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A2735">
      <w:pPr>
        <w:pStyle w:val="37"/>
        <w:jc w:val="both"/>
        <w:rPr>
          <w:rFonts w:hint="eastAsia" w:asciiTheme="majorEastAsia" w:hAnsiTheme="majorEastAsia" w:eastAsiaTheme="majorEastAsia" w:cstheme="majorEastAsia"/>
          <w:b/>
          <w:bCs/>
          <w:color w:val="auto"/>
          <w:sz w:val="84"/>
          <w:szCs w:val="84"/>
          <w:highlight w:val="none"/>
        </w:rPr>
      </w:pPr>
      <w:bookmarkStart w:id="0" w:name="_Toc383625993"/>
      <w:bookmarkStart w:id="1" w:name="_Toc383587456"/>
      <w:bookmarkStart w:id="2" w:name="_Toc383623944"/>
      <w:bookmarkStart w:id="3" w:name="_Toc390098840"/>
      <w:bookmarkStart w:id="4" w:name="_Toc383679746"/>
      <w:bookmarkStart w:id="5" w:name="_Toc426469868"/>
      <w:bookmarkStart w:id="6" w:name="_Toc383698647"/>
      <w:bookmarkStart w:id="7" w:name="_Toc383623672"/>
      <w:bookmarkStart w:id="8" w:name="_Toc390246905"/>
      <w:bookmarkStart w:id="9" w:name="_Toc390099018"/>
    </w:p>
    <w:p w14:paraId="15C68666">
      <w:pPr>
        <w:pStyle w:val="37"/>
        <w:jc w:val="center"/>
        <w:rPr>
          <w:rFonts w:hint="eastAsia" w:asciiTheme="majorEastAsia" w:hAnsiTheme="majorEastAsia" w:eastAsiaTheme="majorEastAsia" w:cstheme="majorEastAsia"/>
          <w:b/>
          <w:bCs/>
          <w:color w:val="auto"/>
          <w:sz w:val="84"/>
          <w:szCs w:val="84"/>
          <w:highlight w:val="none"/>
        </w:rPr>
      </w:pPr>
      <w:r>
        <w:rPr>
          <w:rFonts w:hint="eastAsia" w:asciiTheme="majorEastAsia" w:hAnsiTheme="majorEastAsia" w:eastAsiaTheme="majorEastAsia" w:cstheme="majorEastAsia"/>
          <w:b/>
          <w:bCs/>
          <w:color w:val="auto"/>
          <w:sz w:val="72"/>
          <w:szCs w:val="72"/>
          <w:highlight w:val="none"/>
        </w:rPr>
        <w:t>招　标　文　件</w:t>
      </w:r>
    </w:p>
    <w:p w14:paraId="703B7AA5">
      <w:pPr>
        <w:pStyle w:val="37"/>
        <w:spacing w:line="540" w:lineRule="exact"/>
        <w:rPr>
          <w:rFonts w:hint="eastAsia" w:asciiTheme="majorEastAsia" w:hAnsiTheme="majorEastAsia" w:eastAsiaTheme="majorEastAsia" w:cstheme="majorEastAsia"/>
          <w:b/>
          <w:bCs/>
          <w:color w:val="auto"/>
          <w:sz w:val="32"/>
          <w:szCs w:val="32"/>
          <w:highlight w:val="none"/>
        </w:rPr>
      </w:pPr>
    </w:p>
    <w:p w14:paraId="67B2407E">
      <w:pPr>
        <w:pStyle w:val="37"/>
        <w:spacing w:line="540" w:lineRule="exact"/>
        <w:rPr>
          <w:rFonts w:hint="eastAsia" w:asciiTheme="majorEastAsia" w:hAnsiTheme="majorEastAsia" w:eastAsiaTheme="majorEastAsia" w:cstheme="majorEastAsia"/>
          <w:b/>
          <w:bCs/>
          <w:color w:val="auto"/>
          <w:sz w:val="32"/>
          <w:szCs w:val="32"/>
          <w:highlight w:val="none"/>
        </w:rPr>
      </w:pPr>
    </w:p>
    <w:p w14:paraId="4A777C18">
      <w:pPr>
        <w:pStyle w:val="37"/>
        <w:spacing w:line="540" w:lineRule="exact"/>
        <w:rPr>
          <w:rFonts w:hint="eastAsia" w:asciiTheme="majorEastAsia" w:hAnsiTheme="majorEastAsia" w:eastAsiaTheme="majorEastAsia" w:cstheme="majorEastAsia"/>
          <w:b/>
          <w:bCs/>
          <w:color w:val="auto"/>
          <w:sz w:val="32"/>
          <w:szCs w:val="32"/>
          <w:highlight w:val="none"/>
        </w:rPr>
      </w:pPr>
    </w:p>
    <w:p w14:paraId="5740937C">
      <w:pPr>
        <w:pStyle w:val="37"/>
        <w:spacing w:line="540" w:lineRule="exac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 xml:space="preserve">                                                                                                                                                                                                                                                                                                                                                                                                                                                                                                                                                                                                                                                                                                                                                                                                                                                                                                                                                                                                                                                                                                                                                                                                                                                                                                                                                                                                                                                                                                                                                                                                                         </w:t>
      </w:r>
    </w:p>
    <w:p w14:paraId="45C2C29F">
      <w:pPr>
        <w:widowControl/>
        <w:ind w:left="2266" w:hanging="2266" w:hangingChars="513"/>
        <w:jc w:val="left"/>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t>项目名称</w:t>
      </w:r>
      <w:r>
        <w:rPr>
          <w:rFonts w:hint="eastAsia" w:asciiTheme="majorEastAsia" w:hAnsiTheme="majorEastAsia" w:eastAsiaTheme="majorEastAsia" w:cstheme="majorEastAsia"/>
          <w:color w:val="auto"/>
          <w:sz w:val="44"/>
          <w:szCs w:val="44"/>
          <w:highlight w:val="none"/>
        </w:rPr>
        <w:t>：泰兴市高标准农田“检查评估”上图入库项目</w:t>
      </w:r>
      <w:r>
        <w:rPr>
          <w:rFonts w:hint="eastAsia" w:asciiTheme="majorEastAsia" w:hAnsiTheme="majorEastAsia" w:eastAsiaTheme="majorEastAsia" w:cstheme="majorEastAsia"/>
          <w:b/>
          <w:bCs/>
          <w:color w:val="auto"/>
          <w:sz w:val="44"/>
          <w:szCs w:val="44"/>
          <w:highlight w:val="none"/>
        </w:rPr>
        <w:t xml:space="preserve"> </w:t>
      </w:r>
    </w:p>
    <w:p w14:paraId="6C32C077">
      <w:pPr>
        <w:widowControl/>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b/>
          <w:bCs/>
          <w:color w:val="auto"/>
          <w:sz w:val="44"/>
          <w:szCs w:val="44"/>
          <w:highlight w:val="none"/>
        </w:rPr>
        <w:t>项目编号：JSZC-321283-GXGL-G2024-0095</w:t>
      </w:r>
    </w:p>
    <w:p w14:paraId="04E1ECE1">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71855BB9">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1D744BC6">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0E39E10A">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13269043">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7C593A37">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7B8B36F0">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65652626">
      <w:pPr>
        <w:pStyle w:val="37"/>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236CDC23">
      <w:pPr>
        <w:pStyle w:val="55"/>
        <w:spacing w:line="500" w:lineRule="exact"/>
        <w:ind w:left="0" w:leftChars="0" w:firstLine="0" w:firstLineChars="0"/>
        <w:jc w:val="center"/>
        <w:rPr>
          <w:rFonts w:hint="eastAsia" w:asciiTheme="majorEastAsia" w:hAnsiTheme="majorEastAsia" w:eastAsiaTheme="majorEastAsia" w:cstheme="majorEastAsia"/>
          <w:b/>
          <w:bCs/>
          <w:color w:val="auto"/>
          <w:sz w:val="30"/>
          <w:szCs w:val="30"/>
          <w:highlight w:val="none"/>
        </w:rPr>
      </w:pPr>
      <w:bookmarkStart w:id="10" w:name="_Toc8578"/>
      <w:r>
        <w:rPr>
          <w:rFonts w:hint="eastAsia" w:asciiTheme="majorEastAsia" w:hAnsiTheme="majorEastAsia" w:eastAsiaTheme="majorEastAsia" w:cstheme="majorEastAsia"/>
          <w:b/>
          <w:bCs/>
          <w:color w:val="auto"/>
          <w:sz w:val="30"/>
          <w:szCs w:val="30"/>
          <w:highlight w:val="none"/>
        </w:rPr>
        <w:t>采购人：</w:t>
      </w:r>
      <w:bookmarkEnd w:id="10"/>
      <w:r>
        <w:rPr>
          <w:rFonts w:hint="eastAsia" w:asciiTheme="majorEastAsia" w:hAnsiTheme="majorEastAsia" w:eastAsiaTheme="majorEastAsia" w:cstheme="majorEastAsia"/>
          <w:b/>
          <w:bCs/>
          <w:color w:val="auto"/>
          <w:sz w:val="30"/>
          <w:szCs w:val="30"/>
          <w:highlight w:val="none"/>
          <w:lang w:eastAsia="zh-CN"/>
        </w:rPr>
        <w:t>泰兴市农业农村局</w:t>
      </w:r>
    </w:p>
    <w:p w14:paraId="31706D32">
      <w:pPr>
        <w:pStyle w:val="55"/>
        <w:spacing w:line="500" w:lineRule="exact"/>
        <w:ind w:left="0" w:leftChars="0" w:firstLine="0" w:firstLineChars="0"/>
        <w:jc w:val="center"/>
        <w:rPr>
          <w:rFonts w:hint="eastAsia" w:asciiTheme="majorEastAsia" w:hAnsiTheme="majorEastAsia" w:eastAsiaTheme="majorEastAsia" w:cstheme="majorEastAsia"/>
          <w:b/>
          <w:bCs/>
          <w:color w:val="auto"/>
          <w:sz w:val="30"/>
          <w:szCs w:val="30"/>
          <w:highlight w:val="none"/>
        </w:rPr>
      </w:pPr>
      <w:bookmarkStart w:id="11" w:name="_Toc16534"/>
      <w:r>
        <w:rPr>
          <w:rFonts w:hint="eastAsia" w:asciiTheme="majorEastAsia" w:hAnsiTheme="majorEastAsia" w:eastAsiaTheme="majorEastAsia" w:cstheme="majorEastAsia"/>
          <w:b/>
          <w:bCs/>
          <w:color w:val="auto"/>
          <w:sz w:val="30"/>
          <w:szCs w:val="30"/>
          <w:highlight w:val="none"/>
        </w:rPr>
        <w:t>代理机构：</w:t>
      </w:r>
      <w:bookmarkEnd w:id="11"/>
      <w:r>
        <w:rPr>
          <w:rFonts w:hint="eastAsia" w:asciiTheme="majorEastAsia" w:hAnsiTheme="majorEastAsia" w:eastAsiaTheme="majorEastAsia" w:cstheme="majorEastAsia"/>
          <w:b/>
          <w:bCs/>
          <w:color w:val="auto"/>
          <w:sz w:val="30"/>
          <w:szCs w:val="30"/>
          <w:highlight w:val="none"/>
        </w:rPr>
        <w:t>江苏国兴建设项目管理有限公司</w:t>
      </w:r>
    </w:p>
    <w:p w14:paraId="3A34338C">
      <w:pPr>
        <w:pStyle w:val="55"/>
        <w:spacing w:line="500" w:lineRule="exact"/>
        <w:ind w:left="0" w:leftChars="0" w:firstLine="0" w:firstLineChars="0"/>
        <w:jc w:val="center"/>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rPr>
        <w:t>二○二四年</w:t>
      </w:r>
      <w:r>
        <w:rPr>
          <w:rFonts w:hint="eastAsia" w:asciiTheme="majorEastAsia" w:hAnsiTheme="majorEastAsia" w:eastAsiaTheme="majorEastAsia" w:cstheme="majorEastAsia"/>
          <w:b/>
          <w:bCs/>
          <w:color w:val="auto"/>
          <w:sz w:val="30"/>
          <w:szCs w:val="30"/>
          <w:highlight w:val="none"/>
          <w:lang w:val="en-US" w:eastAsia="zh-CN"/>
        </w:rPr>
        <w:t>十二</w:t>
      </w:r>
      <w:r>
        <w:rPr>
          <w:rFonts w:hint="eastAsia" w:asciiTheme="majorEastAsia" w:hAnsiTheme="majorEastAsia" w:eastAsiaTheme="majorEastAsia" w:cstheme="majorEastAsia"/>
          <w:b/>
          <w:bCs/>
          <w:color w:val="auto"/>
          <w:sz w:val="30"/>
          <w:szCs w:val="30"/>
          <w:highlight w:val="none"/>
        </w:rPr>
        <w:t>月</w:t>
      </w:r>
    </w:p>
    <w:p w14:paraId="626F9363">
      <w:pPr>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rPr>
        <w:br w:type="page"/>
      </w:r>
    </w:p>
    <w:p w14:paraId="03ECC962">
      <w:pPr>
        <w:pStyle w:val="55"/>
        <w:spacing w:line="360" w:lineRule="exact"/>
        <w:ind w:left="1110" w:firstLine="2259" w:firstLineChars="750"/>
        <w:rPr>
          <w:rFonts w:hint="eastAsia" w:asciiTheme="majorEastAsia" w:hAnsiTheme="majorEastAsia" w:eastAsiaTheme="majorEastAsia" w:cstheme="majorEastAsia"/>
          <w:b/>
          <w:color w:val="auto"/>
          <w:sz w:val="30"/>
          <w:szCs w:val="30"/>
          <w:highlight w:val="none"/>
        </w:rPr>
      </w:pPr>
    </w:p>
    <w:sdt>
      <w:sdtPr>
        <w:rPr>
          <w:rFonts w:ascii="宋体" w:hAnsi="宋体"/>
          <w:color w:val="auto"/>
          <w:sz w:val="21"/>
          <w:highlight w:val="none"/>
        </w:rPr>
        <w:id w:val="147467045"/>
        <w15:color w:val="DBDBDB"/>
        <w:docPartObj>
          <w:docPartGallery w:val="Table of Contents"/>
          <w:docPartUnique/>
        </w:docPartObj>
      </w:sdtPr>
      <w:sdtEndPr>
        <w:rPr>
          <w:rFonts w:ascii="宋体" w:hAnsi="宋体"/>
          <w:b/>
          <w:color w:val="auto"/>
          <w:sz w:val="21"/>
          <w:highlight w:val="none"/>
        </w:rPr>
      </w:sdtEndPr>
      <w:sdtContent>
        <w:p w14:paraId="2ACB7706">
          <w:pPr>
            <w:jc w:val="center"/>
            <w:rPr>
              <w:color w:val="auto"/>
              <w:highlight w:val="none"/>
            </w:rPr>
          </w:pPr>
          <w:r>
            <w:rPr>
              <w:rFonts w:hint="eastAsia" w:asciiTheme="majorEastAsia" w:hAnsiTheme="majorEastAsia" w:eastAsiaTheme="majorEastAsia" w:cstheme="majorEastAsia"/>
              <w:b/>
              <w:bCs/>
              <w:color w:val="auto"/>
              <w:sz w:val="32"/>
              <w:szCs w:val="32"/>
              <w:highlight w:val="none"/>
            </w:rPr>
            <w:t>目  录</w:t>
          </w:r>
        </w:p>
        <w:p w14:paraId="276D7F13">
          <w:pPr>
            <w:pStyle w:val="59"/>
            <w:tabs>
              <w:tab w:val="right" w:leader="dot" w:pos="8548"/>
            </w:tabs>
            <w:rPr>
              <w:b/>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p>
        <w:p w14:paraId="0599BF2D">
          <w:pPr>
            <w:pStyle w:val="59"/>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"_Toc24611"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第一章 招标公告</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_Toc24611 \h </w:instrText>
          </w:r>
          <w:r>
            <w:rPr>
              <w:b/>
              <w:color w:val="auto"/>
              <w:sz w:val="24"/>
              <w:szCs w:val="24"/>
              <w:highlight w:val="none"/>
            </w:rPr>
            <w:fldChar w:fldCharType="separate"/>
          </w:r>
          <w:r>
            <w:rPr>
              <w:b/>
              <w:color w:val="auto"/>
              <w:sz w:val="24"/>
              <w:szCs w:val="24"/>
              <w:highlight w:val="none"/>
            </w:rPr>
            <w:t>3</w:t>
          </w:r>
          <w:r>
            <w:rPr>
              <w:b/>
              <w:color w:val="auto"/>
              <w:sz w:val="24"/>
              <w:szCs w:val="24"/>
              <w:highlight w:val="none"/>
            </w:rPr>
            <w:fldChar w:fldCharType="end"/>
          </w:r>
          <w:r>
            <w:rPr>
              <w:b/>
              <w:color w:val="auto"/>
              <w:sz w:val="24"/>
              <w:szCs w:val="24"/>
              <w:highlight w:val="none"/>
            </w:rPr>
            <w:fldChar w:fldCharType="end"/>
          </w:r>
        </w:p>
        <w:p w14:paraId="68535AF7">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"_Toc8644"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一、项目基本情况</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_Toc8644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color w:val="auto"/>
              <w:sz w:val="24"/>
              <w:szCs w:val="24"/>
              <w:highlight w:val="none"/>
            </w:rPr>
            <w:fldChar w:fldCharType="end"/>
          </w:r>
        </w:p>
        <w:p w14:paraId="5AD5F811">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"_Toc24495"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二、申请人的资格要求：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_Toc24495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37EDD361">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"_Toc1657"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三、获取招标文件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_Toc1657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7B7B19BE">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"_Toc17642"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四、提交投标文件截止时间、开标时间和地点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_Toc17642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66F4C7D1">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五、公告期限</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_Toc13270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60C6D084">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"_Toc24651"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六、其他补充事宜</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_Toc24651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7E063880">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"_Toc18289"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七、对本次招标提出询问，请按以下方式联系。</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_Toc18289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2E514EBF">
          <w:pPr>
            <w:pStyle w:val="59"/>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"_Toc987"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 xml:space="preserve">第二章 </w:t>
          </w:r>
          <w:r>
            <w:rPr>
              <w:rFonts w:hint="eastAsia" w:asciiTheme="majorEastAsia" w:hAnsiTheme="majorEastAsia" w:eastAsiaTheme="majorEastAsia" w:cstheme="majorEastAsia"/>
              <w:color w:val="auto"/>
              <w:sz w:val="24"/>
              <w:szCs w:val="24"/>
              <w:highlight w:val="none"/>
            </w:rPr>
            <w:t>供应商</w:t>
          </w:r>
          <w:r>
            <w:rPr>
              <w:rFonts w:hint="eastAsia" w:asciiTheme="majorEastAsia" w:hAnsiTheme="majorEastAsia" w:eastAsiaTheme="majorEastAsia" w:cstheme="majorEastAsia"/>
              <w:b/>
              <w:color w:val="auto"/>
              <w:sz w:val="24"/>
              <w:szCs w:val="24"/>
              <w:highlight w:val="none"/>
            </w:rPr>
            <w:t>须知</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_Toc987 \h </w:instrText>
          </w:r>
          <w:r>
            <w:rPr>
              <w:b/>
              <w:color w:val="auto"/>
              <w:sz w:val="24"/>
              <w:szCs w:val="24"/>
              <w:highlight w:val="none"/>
            </w:rPr>
            <w:fldChar w:fldCharType="separate"/>
          </w:r>
          <w:r>
            <w:rPr>
              <w:b/>
              <w:color w:val="auto"/>
              <w:sz w:val="24"/>
              <w:szCs w:val="24"/>
              <w:highlight w:val="none"/>
            </w:rPr>
            <w:t>6</w:t>
          </w:r>
          <w:r>
            <w:rPr>
              <w:b/>
              <w:color w:val="auto"/>
              <w:sz w:val="24"/>
              <w:szCs w:val="24"/>
              <w:highlight w:val="none"/>
            </w:rPr>
            <w:fldChar w:fldCharType="end"/>
          </w:r>
          <w:r>
            <w:rPr>
              <w:b/>
              <w:color w:val="auto"/>
              <w:sz w:val="24"/>
              <w:szCs w:val="24"/>
              <w:highlight w:val="none"/>
            </w:rPr>
            <w:fldChar w:fldCharType="end"/>
          </w:r>
        </w:p>
        <w:p w14:paraId="60A0C6C9">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"_Toc4797"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1.总则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_Toc4797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color w:val="auto"/>
              <w:sz w:val="24"/>
              <w:szCs w:val="24"/>
              <w:highlight w:val="none"/>
            </w:rPr>
            <w:fldChar w:fldCharType="end"/>
          </w:r>
        </w:p>
        <w:p w14:paraId="0F539490">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"_Toc3240"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2.招标文件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_Toc3240 \h </w:instrText>
          </w:r>
          <w:r>
            <w:rPr>
              <w:color w:val="auto"/>
              <w:sz w:val="24"/>
              <w:szCs w:val="24"/>
              <w:highlight w:val="none"/>
            </w:rPr>
            <w:fldChar w:fldCharType="separate"/>
          </w:r>
          <w:r>
            <w:rPr>
              <w:color w:val="auto"/>
              <w:sz w:val="24"/>
              <w:szCs w:val="24"/>
              <w:highlight w:val="none"/>
            </w:rPr>
            <w:t>9</w:t>
          </w:r>
          <w:r>
            <w:rPr>
              <w:color w:val="auto"/>
              <w:sz w:val="24"/>
              <w:szCs w:val="24"/>
              <w:highlight w:val="none"/>
            </w:rPr>
            <w:fldChar w:fldCharType="end"/>
          </w:r>
          <w:r>
            <w:rPr>
              <w:color w:val="auto"/>
              <w:sz w:val="24"/>
              <w:szCs w:val="24"/>
              <w:highlight w:val="none"/>
            </w:rPr>
            <w:fldChar w:fldCharType="end"/>
          </w:r>
        </w:p>
        <w:p w14:paraId="094035AA">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"_Toc4709"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3.投标文件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_Toc4709 \h </w:instrText>
          </w:r>
          <w:r>
            <w:rPr>
              <w:color w:val="auto"/>
              <w:sz w:val="24"/>
              <w:szCs w:val="24"/>
              <w:highlight w:val="none"/>
            </w:rPr>
            <w:fldChar w:fldCharType="separate"/>
          </w:r>
          <w:r>
            <w:rPr>
              <w:color w:val="auto"/>
              <w:sz w:val="24"/>
              <w:szCs w:val="24"/>
              <w:highlight w:val="none"/>
            </w:rPr>
            <w:t>10</w:t>
          </w:r>
          <w:r>
            <w:rPr>
              <w:color w:val="auto"/>
              <w:sz w:val="24"/>
              <w:szCs w:val="24"/>
              <w:highlight w:val="none"/>
            </w:rPr>
            <w:fldChar w:fldCharType="end"/>
          </w:r>
          <w:r>
            <w:rPr>
              <w:color w:val="auto"/>
              <w:sz w:val="24"/>
              <w:szCs w:val="24"/>
              <w:highlight w:val="none"/>
            </w:rPr>
            <w:fldChar w:fldCharType="end"/>
          </w:r>
        </w:p>
        <w:p w14:paraId="53A53C7C">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"_Toc12576"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4.投标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_Toc12576 \h </w:instrText>
          </w:r>
          <w:r>
            <w:rPr>
              <w:color w:val="auto"/>
              <w:sz w:val="24"/>
              <w:szCs w:val="24"/>
              <w:highlight w:val="none"/>
            </w:rPr>
            <w:fldChar w:fldCharType="separate"/>
          </w:r>
          <w:r>
            <w:rPr>
              <w:color w:val="auto"/>
              <w:sz w:val="24"/>
              <w:szCs w:val="24"/>
              <w:highlight w:val="none"/>
            </w:rPr>
            <w:t>11</w:t>
          </w:r>
          <w:r>
            <w:rPr>
              <w:color w:val="auto"/>
              <w:sz w:val="24"/>
              <w:szCs w:val="24"/>
              <w:highlight w:val="none"/>
            </w:rPr>
            <w:fldChar w:fldCharType="end"/>
          </w:r>
          <w:r>
            <w:rPr>
              <w:color w:val="auto"/>
              <w:sz w:val="24"/>
              <w:szCs w:val="24"/>
              <w:highlight w:val="none"/>
            </w:rPr>
            <w:fldChar w:fldCharType="end"/>
          </w:r>
        </w:p>
        <w:p w14:paraId="2C4EBF98">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"_Toc26062"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5.开标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_Toc26062 \h </w:instrText>
          </w:r>
          <w:r>
            <w:rPr>
              <w:color w:val="auto"/>
              <w:sz w:val="24"/>
              <w:szCs w:val="24"/>
              <w:highlight w:val="none"/>
            </w:rPr>
            <w:fldChar w:fldCharType="separate"/>
          </w:r>
          <w:r>
            <w:rPr>
              <w:color w:val="auto"/>
              <w:sz w:val="24"/>
              <w:szCs w:val="24"/>
              <w:highlight w:val="none"/>
            </w:rPr>
            <w:t>11</w:t>
          </w:r>
          <w:r>
            <w:rPr>
              <w:color w:val="auto"/>
              <w:sz w:val="24"/>
              <w:szCs w:val="24"/>
              <w:highlight w:val="none"/>
            </w:rPr>
            <w:fldChar w:fldCharType="end"/>
          </w:r>
          <w:r>
            <w:rPr>
              <w:color w:val="auto"/>
              <w:sz w:val="24"/>
              <w:szCs w:val="24"/>
              <w:highlight w:val="none"/>
            </w:rPr>
            <w:fldChar w:fldCharType="end"/>
          </w:r>
        </w:p>
        <w:p w14:paraId="0EF65468">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"_Toc29463"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6.评标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_Toc29463 \h </w:instrText>
          </w:r>
          <w:r>
            <w:rPr>
              <w:color w:val="auto"/>
              <w:sz w:val="24"/>
              <w:szCs w:val="24"/>
              <w:highlight w:val="none"/>
            </w:rPr>
            <w:fldChar w:fldCharType="separate"/>
          </w:r>
          <w:r>
            <w:rPr>
              <w:color w:val="auto"/>
              <w:sz w:val="24"/>
              <w:szCs w:val="24"/>
              <w:highlight w:val="none"/>
            </w:rPr>
            <w:t>12</w:t>
          </w:r>
          <w:r>
            <w:rPr>
              <w:color w:val="auto"/>
              <w:sz w:val="24"/>
              <w:szCs w:val="24"/>
              <w:highlight w:val="none"/>
            </w:rPr>
            <w:fldChar w:fldCharType="end"/>
          </w:r>
          <w:r>
            <w:rPr>
              <w:color w:val="auto"/>
              <w:sz w:val="24"/>
              <w:szCs w:val="24"/>
              <w:highlight w:val="none"/>
            </w:rPr>
            <w:fldChar w:fldCharType="end"/>
          </w:r>
        </w:p>
        <w:p w14:paraId="7BBED571">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"_Toc28529"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7.中标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_Toc28529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color w:val="auto"/>
              <w:sz w:val="24"/>
              <w:szCs w:val="24"/>
              <w:highlight w:val="none"/>
            </w:rPr>
            <w:fldChar w:fldCharType="end"/>
          </w:r>
        </w:p>
        <w:p w14:paraId="53A8ACCE">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"_Toc23349"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8.合同</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_Toc23349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color w:val="auto"/>
              <w:sz w:val="24"/>
              <w:szCs w:val="24"/>
              <w:highlight w:val="none"/>
            </w:rPr>
            <w:fldChar w:fldCharType="end"/>
          </w:r>
        </w:p>
        <w:p w14:paraId="36744F45">
          <w:pPr>
            <w:pStyle w:val="60"/>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"_Toc19745"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9. 需要补充的其他内容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_Toc19745 \h </w:instrText>
          </w:r>
          <w:r>
            <w:rPr>
              <w:color w:val="auto"/>
              <w:sz w:val="24"/>
              <w:szCs w:val="24"/>
              <w:highlight w:val="none"/>
            </w:rPr>
            <w:fldChar w:fldCharType="separate"/>
          </w:r>
          <w:r>
            <w:rPr>
              <w:color w:val="auto"/>
              <w:sz w:val="24"/>
              <w:szCs w:val="24"/>
              <w:highlight w:val="none"/>
            </w:rPr>
            <w:t>14</w:t>
          </w:r>
          <w:r>
            <w:rPr>
              <w:color w:val="auto"/>
              <w:sz w:val="24"/>
              <w:szCs w:val="24"/>
              <w:highlight w:val="none"/>
            </w:rPr>
            <w:fldChar w:fldCharType="end"/>
          </w:r>
          <w:r>
            <w:rPr>
              <w:color w:val="auto"/>
              <w:sz w:val="24"/>
              <w:szCs w:val="24"/>
              <w:highlight w:val="none"/>
            </w:rPr>
            <w:fldChar w:fldCharType="end"/>
          </w:r>
        </w:p>
        <w:p w14:paraId="1AD6FF18">
          <w:pPr>
            <w:pStyle w:val="59"/>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"_Toc4258"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第三章 资格审查及评标办法</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_Toc4258 \h </w:instrText>
          </w:r>
          <w:r>
            <w:rPr>
              <w:b/>
              <w:color w:val="auto"/>
              <w:sz w:val="24"/>
              <w:szCs w:val="24"/>
              <w:highlight w:val="none"/>
            </w:rPr>
            <w:fldChar w:fldCharType="separate"/>
          </w:r>
          <w:r>
            <w:rPr>
              <w:b/>
              <w:color w:val="auto"/>
              <w:sz w:val="24"/>
              <w:szCs w:val="24"/>
              <w:highlight w:val="none"/>
            </w:rPr>
            <w:t>15</w:t>
          </w:r>
          <w:r>
            <w:rPr>
              <w:b/>
              <w:color w:val="auto"/>
              <w:sz w:val="24"/>
              <w:szCs w:val="24"/>
              <w:highlight w:val="none"/>
            </w:rPr>
            <w:fldChar w:fldCharType="end"/>
          </w:r>
          <w:r>
            <w:rPr>
              <w:b/>
              <w:color w:val="auto"/>
              <w:sz w:val="24"/>
              <w:szCs w:val="24"/>
              <w:highlight w:val="none"/>
            </w:rPr>
            <w:fldChar w:fldCharType="end"/>
          </w:r>
        </w:p>
        <w:p w14:paraId="5DEC9355">
          <w:pPr>
            <w:pStyle w:val="59"/>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"_Toc7380"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第四章 合同条款（仅供参考）</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_Toc7380 \h </w:instrText>
          </w:r>
          <w:r>
            <w:rPr>
              <w:b/>
              <w:color w:val="auto"/>
              <w:sz w:val="24"/>
              <w:szCs w:val="24"/>
              <w:highlight w:val="none"/>
            </w:rPr>
            <w:fldChar w:fldCharType="separate"/>
          </w:r>
          <w:r>
            <w:rPr>
              <w:b/>
              <w:color w:val="auto"/>
              <w:sz w:val="24"/>
              <w:szCs w:val="24"/>
              <w:highlight w:val="none"/>
            </w:rPr>
            <w:t>22</w:t>
          </w:r>
          <w:r>
            <w:rPr>
              <w:b/>
              <w:color w:val="auto"/>
              <w:sz w:val="24"/>
              <w:szCs w:val="24"/>
              <w:highlight w:val="none"/>
            </w:rPr>
            <w:fldChar w:fldCharType="end"/>
          </w:r>
          <w:r>
            <w:rPr>
              <w:b/>
              <w:color w:val="auto"/>
              <w:sz w:val="24"/>
              <w:szCs w:val="24"/>
              <w:highlight w:val="none"/>
            </w:rPr>
            <w:fldChar w:fldCharType="end"/>
          </w:r>
        </w:p>
        <w:p w14:paraId="4A4CE1B8">
          <w:pPr>
            <w:pStyle w:val="59"/>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"_Toc25333" </w:instrText>
          </w:r>
          <w:r>
            <w:rPr>
              <w:color w:val="auto"/>
              <w:highlight w:val="none"/>
            </w:rPr>
            <w:fldChar w:fldCharType="separate"/>
          </w:r>
          <w:r>
            <w:rPr>
              <w:b/>
              <w:color w:val="auto"/>
              <w:sz w:val="24"/>
              <w:szCs w:val="24"/>
              <w:highlight w:val="none"/>
            </w:rPr>
            <w:t>第五章 采购需求</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_Toc25333 \h </w:instrText>
          </w:r>
          <w:r>
            <w:rPr>
              <w:b/>
              <w:color w:val="auto"/>
              <w:sz w:val="24"/>
              <w:szCs w:val="24"/>
              <w:highlight w:val="none"/>
            </w:rPr>
            <w:fldChar w:fldCharType="separate"/>
          </w:r>
          <w:r>
            <w:rPr>
              <w:b/>
              <w:color w:val="auto"/>
              <w:sz w:val="24"/>
              <w:szCs w:val="24"/>
              <w:highlight w:val="none"/>
            </w:rPr>
            <w:t>28</w:t>
          </w:r>
          <w:r>
            <w:rPr>
              <w:b/>
              <w:color w:val="auto"/>
              <w:sz w:val="24"/>
              <w:szCs w:val="24"/>
              <w:highlight w:val="none"/>
            </w:rPr>
            <w:fldChar w:fldCharType="end"/>
          </w:r>
          <w:r>
            <w:rPr>
              <w:b/>
              <w:color w:val="auto"/>
              <w:sz w:val="24"/>
              <w:szCs w:val="24"/>
              <w:highlight w:val="none"/>
            </w:rPr>
            <w:fldChar w:fldCharType="end"/>
          </w:r>
        </w:p>
        <w:p w14:paraId="089B20B4">
          <w:pPr>
            <w:pStyle w:val="59"/>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"_Toc19231" </w:instrText>
          </w:r>
          <w:r>
            <w:rPr>
              <w:color w:val="auto"/>
              <w:highlight w:val="none"/>
            </w:rPr>
            <w:fldChar w:fldCharType="separate"/>
          </w:r>
          <w:r>
            <w:rPr>
              <w:b/>
              <w:color w:val="auto"/>
              <w:sz w:val="24"/>
              <w:szCs w:val="24"/>
              <w:highlight w:val="none"/>
            </w:rPr>
            <w:t>第六章 投标文件的编制要求及参考格式</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_Toc19231 \h </w:instrText>
          </w:r>
          <w:r>
            <w:rPr>
              <w:b/>
              <w:color w:val="auto"/>
              <w:sz w:val="24"/>
              <w:szCs w:val="24"/>
              <w:highlight w:val="none"/>
            </w:rPr>
            <w:fldChar w:fldCharType="separate"/>
          </w:r>
          <w:r>
            <w:rPr>
              <w:b/>
              <w:color w:val="auto"/>
              <w:sz w:val="24"/>
              <w:szCs w:val="24"/>
              <w:highlight w:val="none"/>
            </w:rPr>
            <w:t>36</w:t>
          </w:r>
          <w:r>
            <w:rPr>
              <w:b/>
              <w:color w:val="auto"/>
              <w:sz w:val="24"/>
              <w:szCs w:val="24"/>
              <w:highlight w:val="none"/>
            </w:rPr>
            <w:fldChar w:fldCharType="end"/>
          </w:r>
          <w:r>
            <w:rPr>
              <w:b/>
              <w:color w:val="auto"/>
              <w:sz w:val="24"/>
              <w:szCs w:val="24"/>
              <w:highlight w:val="none"/>
            </w:rPr>
            <w:fldChar w:fldCharType="end"/>
          </w:r>
        </w:p>
        <w:p w14:paraId="5D23EFCA">
          <w:pPr>
            <w:rPr>
              <w:color w:val="auto"/>
              <w:highlight w:val="none"/>
            </w:rPr>
          </w:pPr>
          <w:r>
            <w:rPr>
              <w:b/>
              <w:color w:val="auto"/>
              <w:highlight w:val="none"/>
            </w:rPr>
            <w:fldChar w:fldCharType="end"/>
          </w:r>
        </w:p>
      </w:sdtContent>
    </w:sdt>
    <w:p w14:paraId="70AD1185">
      <w:pP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br w:type="page"/>
      </w:r>
    </w:p>
    <w:p w14:paraId="382C6356">
      <w:pPr>
        <w:pStyle w:val="20"/>
        <w:tabs>
          <w:tab w:val="left" w:pos="3240"/>
        </w:tabs>
        <w:spacing w:line="500" w:lineRule="exact"/>
        <w:ind w:left="0" w:firstLine="0"/>
        <w:jc w:val="center"/>
        <w:outlineLvl w:val="0"/>
        <w:rPr>
          <w:rFonts w:hint="eastAsia" w:asciiTheme="majorEastAsia" w:hAnsiTheme="majorEastAsia" w:eastAsiaTheme="majorEastAsia" w:cstheme="majorEastAsia"/>
          <w:b/>
          <w:color w:val="auto"/>
          <w:highlight w:val="none"/>
        </w:rPr>
      </w:pPr>
      <w:bookmarkStart w:id="12" w:name="_Toc24611"/>
      <w:r>
        <w:rPr>
          <w:rFonts w:hint="eastAsia" w:asciiTheme="majorEastAsia" w:hAnsiTheme="majorEastAsia" w:eastAsiaTheme="majorEastAsia" w:cstheme="majorEastAsia"/>
          <w:b/>
          <w:color w:val="auto"/>
          <w:highlight w:val="none"/>
        </w:rPr>
        <w:t xml:space="preserve">第一章 </w:t>
      </w:r>
      <w:bookmarkEnd w:id="0"/>
      <w:bookmarkEnd w:id="1"/>
      <w:bookmarkEnd w:id="2"/>
      <w:bookmarkEnd w:id="3"/>
      <w:bookmarkEnd w:id="4"/>
      <w:bookmarkEnd w:id="5"/>
      <w:bookmarkEnd w:id="6"/>
      <w:bookmarkEnd w:id="7"/>
      <w:bookmarkEnd w:id="8"/>
      <w:bookmarkEnd w:id="9"/>
      <w:r>
        <w:rPr>
          <w:rFonts w:hint="eastAsia" w:asciiTheme="majorEastAsia" w:hAnsiTheme="majorEastAsia" w:eastAsiaTheme="majorEastAsia" w:cstheme="majorEastAsia"/>
          <w:b/>
          <w:color w:val="auto"/>
          <w:highlight w:val="none"/>
        </w:rPr>
        <w:t>招标公告</w:t>
      </w:r>
      <w:bookmarkEnd w:id="12"/>
    </w:p>
    <w:p w14:paraId="125E4BD5">
      <w:pPr>
        <w:pBdr>
          <w:top w:val="single" w:color="auto" w:sz="4" w:space="1"/>
          <w:left w:val="single" w:color="auto" w:sz="4" w:space="4"/>
          <w:bottom w:val="single" w:color="auto" w:sz="4" w:space="1"/>
          <w:right w:val="single" w:color="auto" w:sz="4" w:space="4"/>
        </w:pBdr>
        <w:spacing w:line="460" w:lineRule="exact"/>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项目概况</w:t>
      </w:r>
    </w:p>
    <w:p w14:paraId="1D9EED5D">
      <w:pPr>
        <w:pBdr>
          <w:top w:val="single" w:color="auto" w:sz="4" w:space="1"/>
          <w:left w:val="single" w:color="auto" w:sz="4" w:space="4"/>
          <w:bottom w:val="single" w:color="auto" w:sz="4" w:space="1"/>
          <w:right w:val="single" w:color="auto" w:sz="4" w:space="4"/>
        </w:pBdr>
        <w:spacing w:line="460" w:lineRule="exact"/>
        <w:ind w:firstLine="480"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u w:val="single"/>
        </w:rPr>
        <w:t xml:space="preserve">  泰兴市高标准农田“检查评估”上图入库项目 </w:t>
      </w:r>
      <w:r>
        <w:rPr>
          <w:rFonts w:hint="eastAsia" w:asciiTheme="majorEastAsia" w:hAnsiTheme="majorEastAsia" w:eastAsiaTheme="majorEastAsia" w:cstheme="majorEastAsia"/>
          <w:color w:val="auto"/>
          <w:kern w:val="2"/>
          <w:highlight w:val="none"/>
        </w:rPr>
        <w:t>的潜在供应商应在</w:t>
      </w:r>
      <w:r>
        <w:rPr>
          <w:rFonts w:hint="eastAsia" w:asciiTheme="majorEastAsia" w:hAnsiTheme="majorEastAsia" w:eastAsiaTheme="majorEastAsia" w:cstheme="majorEastAsia"/>
          <w:color w:val="auto"/>
          <w:kern w:val="2"/>
          <w:sz w:val="24"/>
          <w:szCs w:val="24"/>
          <w:highlight w:val="none"/>
          <w:u w:val="single"/>
        </w:rPr>
        <w:t>“江苏政府采购网”获取招标文件</w:t>
      </w:r>
      <w:r>
        <w:rPr>
          <w:rFonts w:hint="eastAsia" w:asciiTheme="majorEastAsia" w:hAnsiTheme="majorEastAsia" w:eastAsiaTheme="majorEastAsia" w:cstheme="majorEastAsia"/>
          <w:color w:val="auto"/>
          <w:kern w:val="2"/>
          <w:highlight w:val="none"/>
        </w:rPr>
        <w:t>，并于</w:t>
      </w:r>
      <w:r>
        <w:rPr>
          <w:rFonts w:hint="eastAsia" w:asciiTheme="majorEastAsia" w:hAnsiTheme="majorEastAsia" w:eastAsiaTheme="majorEastAsia" w:cstheme="majorEastAsia"/>
          <w:color w:val="auto"/>
          <w:kern w:val="2"/>
          <w:highlight w:val="none"/>
          <w:u w:val="single"/>
        </w:rPr>
        <w:t>2024</w:t>
      </w:r>
      <w:r>
        <w:rPr>
          <w:rFonts w:hint="eastAsia" w:asciiTheme="majorEastAsia" w:hAnsiTheme="majorEastAsia" w:eastAsiaTheme="majorEastAsia" w:cstheme="majorEastAsia"/>
          <w:bCs/>
          <w:color w:val="auto"/>
          <w:kern w:val="2"/>
          <w:highlight w:val="none"/>
          <w:u w:val="single"/>
        </w:rPr>
        <w:t>年</w:t>
      </w:r>
      <w:r>
        <w:rPr>
          <w:rFonts w:hint="eastAsia" w:asciiTheme="majorEastAsia" w:hAnsiTheme="majorEastAsia" w:eastAsiaTheme="majorEastAsia" w:cstheme="majorEastAsia"/>
          <w:bCs/>
          <w:color w:val="auto"/>
          <w:kern w:val="2"/>
          <w:highlight w:val="none"/>
          <w:u w:val="single"/>
          <w:lang w:val="en-US" w:eastAsia="zh-CN"/>
        </w:rPr>
        <w:t>12</w:t>
      </w:r>
      <w:r>
        <w:rPr>
          <w:rFonts w:hint="eastAsia" w:asciiTheme="majorEastAsia" w:hAnsiTheme="majorEastAsia" w:eastAsiaTheme="majorEastAsia" w:cstheme="majorEastAsia"/>
          <w:bCs/>
          <w:color w:val="auto"/>
          <w:kern w:val="2"/>
          <w:highlight w:val="none"/>
          <w:u w:val="single"/>
        </w:rPr>
        <w:t>月</w:t>
      </w:r>
      <w:r>
        <w:rPr>
          <w:rFonts w:hint="eastAsia" w:asciiTheme="majorEastAsia" w:hAnsiTheme="majorEastAsia" w:eastAsiaTheme="majorEastAsia" w:cstheme="majorEastAsia"/>
          <w:bCs/>
          <w:color w:val="auto"/>
          <w:kern w:val="2"/>
          <w:highlight w:val="none"/>
          <w:u w:val="single"/>
          <w:lang w:val="en-US" w:eastAsia="zh-CN"/>
        </w:rPr>
        <w:t>30</w:t>
      </w:r>
      <w:r>
        <w:rPr>
          <w:rFonts w:hint="eastAsia" w:asciiTheme="majorEastAsia" w:hAnsiTheme="majorEastAsia" w:eastAsiaTheme="majorEastAsia" w:cstheme="majorEastAsia"/>
          <w:bCs/>
          <w:color w:val="auto"/>
          <w:kern w:val="2"/>
          <w:highlight w:val="none"/>
          <w:u w:val="single"/>
        </w:rPr>
        <w:t>日</w:t>
      </w:r>
      <w:r>
        <w:rPr>
          <w:rFonts w:hint="eastAsia" w:asciiTheme="majorEastAsia" w:hAnsiTheme="majorEastAsia" w:eastAsiaTheme="majorEastAsia" w:cstheme="majorEastAsia"/>
          <w:bCs/>
          <w:color w:val="auto"/>
          <w:kern w:val="2"/>
          <w:highlight w:val="none"/>
          <w:u w:val="single"/>
          <w:lang w:val="en-US" w:eastAsia="zh-CN"/>
        </w:rPr>
        <w:t>9</w:t>
      </w:r>
      <w:r>
        <w:rPr>
          <w:rFonts w:hint="eastAsia" w:asciiTheme="majorEastAsia" w:hAnsiTheme="majorEastAsia" w:eastAsiaTheme="majorEastAsia" w:cstheme="majorEastAsia"/>
          <w:bCs/>
          <w:color w:val="auto"/>
          <w:kern w:val="2"/>
          <w:highlight w:val="none"/>
          <w:u w:val="single"/>
        </w:rPr>
        <w:t>点</w:t>
      </w:r>
      <w:r>
        <w:rPr>
          <w:rFonts w:hint="eastAsia" w:asciiTheme="majorEastAsia" w:hAnsiTheme="majorEastAsia" w:eastAsiaTheme="majorEastAsia" w:cstheme="majorEastAsia"/>
          <w:bCs/>
          <w:color w:val="auto"/>
          <w:kern w:val="2"/>
          <w:highlight w:val="none"/>
          <w:u w:val="single"/>
          <w:lang w:val="en-US" w:eastAsia="zh-CN"/>
        </w:rPr>
        <w:t>00</w:t>
      </w:r>
      <w:r>
        <w:rPr>
          <w:rFonts w:hint="eastAsia" w:asciiTheme="majorEastAsia" w:hAnsiTheme="majorEastAsia" w:eastAsiaTheme="majorEastAsia" w:cstheme="majorEastAsia"/>
          <w:bCs/>
          <w:color w:val="auto"/>
          <w:kern w:val="2"/>
          <w:highlight w:val="none"/>
          <w:u w:val="single"/>
        </w:rPr>
        <w:t>分（</w:t>
      </w:r>
      <w:r>
        <w:rPr>
          <w:rFonts w:hint="eastAsia" w:asciiTheme="majorEastAsia" w:hAnsiTheme="majorEastAsia" w:eastAsiaTheme="majorEastAsia" w:cstheme="majorEastAsia"/>
          <w:bCs/>
          <w:color w:val="auto"/>
          <w:kern w:val="2"/>
          <w:highlight w:val="none"/>
        </w:rPr>
        <w:t>北京时间）前递交投标文件</w:t>
      </w:r>
      <w:r>
        <w:rPr>
          <w:rFonts w:hint="eastAsia" w:asciiTheme="majorEastAsia" w:hAnsiTheme="majorEastAsia" w:eastAsiaTheme="majorEastAsia" w:cstheme="majorEastAsia"/>
          <w:color w:val="auto"/>
          <w:kern w:val="2"/>
          <w:highlight w:val="none"/>
        </w:rPr>
        <w:t>。</w:t>
      </w:r>
      <w:bookmarkStart w:id="13" w:name="_Toc28359079"/>
      <w:bookmarkStart w:id="14" w:name="_Toc35393790"/>
      <w:bookmarkStart w:id="15" w:name="_Toc35393621"/>
      <w:bookmarkStart w:id="16" w:name="_Toc28359002"/>
      <w:bookmarkStart w:id="17" w:name="_Hlk24379207"/>
    </w:p>
    <w:p w14:paraId="392E2857">
      <w:pPr>
        <w:spacing w:line="460" w:lineRule="exact"/>
        <w:ind w:firstLine="482" w:firstLineChars="200"/>
        <w:outlineLvl w:val="1"/>
        <w:rPr>
          <w:rFonts w:hint="eastAsia" w:asciiTheme="majorEastAsia" w:hAnsiTheme="majorEastAsia" w:eastAsiaTheme="majorEastAsia" w:cstheme="majorEastAsia"/>
          <w:b/>
          <w:color w:val="auto"/>
          <w:highlight w:val="none"/>
        </w:rPr>
      </w:pPr>
      <w:bookmarkStart w:id="18" w:name="_Toc8644"/>
      <w:r>
        <w:rPr>
          <w:rFonts w:hint="eastAsia" w:asciiTheme="majorEastAsia" w:hAnsiTheme="majorEastAsia" w:eastAsiaTheme="majorEastAsia" w:cstheme="majorEastAsia"/>
          <w:b/>
          <w:color w:val="auto"/>
          <w:highlight w:val="none"/>
        </w:rPr>
        <w:t>一、项目基本情况</w:t>
      </w:r>
      <w:bookmarkEnd w:id="13"/>
      <w:bookmarkEnd w:id="14"/>
      <w:bookmarkEnd w:id="15"/>
      <w:bookmarkEnd w:id="16"/>
      <w:bookmarkEnd w:id="18"/>
    </w:p>
    <w:p w14:paraId="2E400BF3">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1.项目编号：JSZC-321283-GXGL-G2024-0095</w:t>
      </w:r>
    </w:p>
    <w:p w14:paraId="500C22C4">
      <w:pPr>
        <w:spacing w:line="460" w:lineRule="exact"/>
        <w:ind w:firstLine="480"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highlight w:val="none"/>
        </w:rPr>
        <w:t>2.项目名称：</w:t>
      </w:r>
      <w:bookmarkEnd w:id="17"/>
      <w:r>
        <w:rPr>
          <w:rFonts w:hint="eastAsia" w:asciiTheme="majorEastAsia" w:hAnsiTheme="majorEastAsia" w:eastAsiaTheme="majorEastAsia" w:cstheme="majorEastAsia"/>
          <w:color w:val="auto"/>
          <w:highlight w:val="none"/>
        </w:rPr>
        <w:t>泰兴市高标准农田“检查评估”上图入库项目</w:t>
      </w:r>
    </w:p>
    <w:p w14:paraId="769A44E5">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3.采购方式：</w:t>
      </w:r>
      <w:r>
        <w:rPr>
          <w:rFonts w:hint="eastAsia" w:asciiTheme="majorEastAsia" w:hAnsiTheme="majorEastAsia" w:eastAsiaTheme="majorEastAsia" w:cstheme="majorEastAsia"/>
          <w:color w:val="auto"/>
          <w:highlight w:val="none"/>
          <w:lang w:val="en-US" w:eastAsia="zh-CN"/>
        </w:rPr>
        <w:t>公开招标</w:t>
      </w:r>
      <w:r>
        <w:rPr>
          <w:rFonts w:hint="eastAsia" w:asciiTheme="majorEastAsia" w:hAnsiTheme="majorEastAsia" w:eastAsiaTheme="majorEastAsia" w:cstheme="majorEastAsia"/>
          <w:color w:val="auto"/>
          <w:highlight w:val="none"/>
        </w:rPr>
        <w:t xml:space="preserve"> </w:t>
      </w:r>
    </w:p>
    <w:p w14:paraId="65CAFB8E">
      <w:pPr>
        <w:spacing w:line="460" w:lineRule="exact"/>
        <w:ind w:firstLine="480" w:firstLineChars="200"/>
        <w:rPr>
          <w:rFonts w:hint="default" w:asciiTheme="majorEastAsia" w:hAnsiTheme="majorEastAsia" w:eastAsiaTheme="majorEastAsia" w:cstheme="majorEastAsia"/>
          <w:color w:val="auto"/>
          <w:highlight w:val="none"/>
          <w:lang w:val="en-US" w:eastAsia="zh-CN"/>
        </w:rPr>
      </w:pPr>
      <w:bookmarkStart w:id="19" w:name="_Toc28359080"/>
      <w:bookmarkStart w:id="20" w:name="_Toc35393622"/>
      <w:bookmarkStart w:id="21" w:name="_Toc35393791"/>
      <w:bookmarkStart w:id="22" w:name="_Toc28359003"/>
      <w:r>
        <w:rPr>
          <w:rFonts w:hint="eastAsia" w:asciiTheme="majorEastAsia" w:hAnsiTheme="majorEastAsia" w:eastAsiaTheme="majorEastAsia" w:cstheme="majorEastAsia"/>
          <w:color w:val="auto"/>
          <w:highlight w:val="none"/>
        </w:rPr>
        <w:t>4.预算金额：</w:t>
      </w:r>
      <w:r>
        <w:rPr>
          <w:rFonts w:hint="eastAsia" w:asciiTheme="majorEastAsia" w:hAnsiTheme="majorEastAsia" w:eastAsiaTheme="majorEastAsia" w:cstheme="majorEastAsia"/>
          <w:color w:val="auto"/>
          <w:highlight w:val="none"/>
          <w:lang w:val="en-US" w:eastAsia="zh-CN"/>
        </w:rPr>
        <w:t>660万元（一标段：东片区：分界镇、古溪镇、广陵镇、黄桥镇、珊瑚镇、元竹镇、新街镇，共计约480074.81亩，约356.92万元；二标段：西片区：滨江镇、根思乡、河失镇、虹桥镇、济川街道、宣堡镇、延令街道、姚王街道、张桥镇、曲霞镇，共计约407653.53亩，约303.08万元）</w:t>
      </w:r>
    </w:p>
    <w:p w14:paraId="7190442B">
      <w:pPr>
        <w:spacing w:line="460" w:lineRule="exact"/>
        <w:ind w:firstLine="480" w:firstLineChars="20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5.最高限价：</w:t>
      </w:r>
    </w:p>
    <w:tbl>
      <w:tblPr>
        <w:tblStyle w:val="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5654"/>
        <w:gridCol w:w="1690"/>
      </w:tblGrid>
      <w:tr w14:paraId="2E8BE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pct"/>
            <w:noWrap w:val="0"/>
            <w:vAlign w:val="center"/>
          </w:tcPr>
          <w:p w14:paraId="271B1383">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标段</w:t>
            </w:r>
            <w:r>
              <w:rPr>
                <w:rFonts w:hint="eastAsia" w:ascii="宋体" w:hAnsi="宋体" w:eastAsia="宋体" w:cs="宋体"/>
                <w:b/>
                <w:color w:val="auto"/>
                <w:sz w:val="24"/>
                <w:szCs w:val="24"/>
                <w:highlight w:val="none"/>
              </w:rPr>
              <w:t>号</w:t>
            </w:r>
          </w:p>
        </w:tc>
        <w:tc>
          <w:tcPr>
            <w:tcW w:w="3225" w:type="pct"/>
            <w:noWrap w:val="0"/>
            <w:vAlign w:val="center"/>
          </w:tcPr>
          <w:p w14:paraId="2082A585">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w:t>
            </w:r>
            <w:r>
              <w:rPr>
                <w:rFonts w:hint="eastAsia" w:ascii="宋体" w:hAnsi="宋体" w:eastAsia="宋体" w:cs="宋体"/>
                <w:b/>
                <w:color w:val="auto"/>
                <w:sz w:val="24"/>
                <w:szCs w:val="24"/>
                <w:highlight w:val="none"/>
                <w:lang w:val="en-US" w:eastAsia="zh-CN"/>
              </w:rPr>
              <w:t>标段</w:t>
            </w:r>
            <w:r>
              <w:rPr>
                <w:rFonts w:hint="eastAsia" w:ascii="宋体" w:hAnsi="宋体" w:eastAsia="宋体" w:cs="宋体"/>
                <w:b/>
                <w:color w:val="auto"/>
                <w:sz w:val="24"/>
                <w:szCs w:val="24"/>
                <w:highlight w:val="none"/>
              </w:rPr>
              <w:t>名称</w:t>
            </w:r>
          </w:p>
        </w:tc>
        <w:tc>
          <w:tcPr>
            <w:tcW w:w="964" w:type="pct"/>
            <w:noWrap w:val="0"/>
            <w:vAlign w:val="center"/>
          </w:tcPr>
          <w:p w14:paraId="49A7C6C5">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最高限价</w:t>
            </w:r>
          </w:p>
        </w:tc>
      </w:tr>
      <w:tr w14:paraId="1012D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pct"/>
            <w:noWrap w:val="0"/>
            <w:vAlign w:val="center"/>
          </w:tcPr>
          <w:p w14:paraId="36A85582">
            <w:pP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一标段</w:t>
            </w:r>
          </w:p>
        </w:tc>
        <w:tc>
          <w:tcPr>
            <w:tcW w:w="3225" w:type="pct"/>
            <w:noWrap w:val="0"/>
            <w:vAlign w:val="center"/>
          </w:tcPr>
          <w:p w14:paraId="3A9F2583">
            <w:pPr>
              <w:spacing w:line="400" w:lineRule="exact"/>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泰兴市</w:t>
            </w:r>
            <w:r>
              <w:rPr>
                <w:rFonts w:hint="eastAsia" w:ascii="宋体" w:hAnsi="宋体" w:eastAsia="宋体" w:cs="宋体"/>
                <w:color w:val="auto"/>
                <w:sz w:val="24"/>
                <w:szCs w:val="24"/>
                <w:highlight w:val="none"/>
                <w:lang w:eastAsia="zh-CN"/>
              </w:rPr>
              <w:t>高标准农田检查评估、上图入库项目</w:t>
            </w:r>
            <w:r>
              <w:rPr>
                <w:rFonts w:hint="eastAsia" w:ascii="宋体" w:hAnsi="宋体" w:eastAsia="宋体" w:cs="宋体"/>
                <w:color w:val="auto"/>
                <w:sz w:val="24"/>
                <w:szCs w:val="24"/>
                <w:highlight w:val="none"/>
                <w:lang w:val="en-US" w:eastAsia="zh-CN"/>
              </w:rPr>
              <w:t>(东片区)</w:t>
            </w:r>
          </w:p>
        </w:tc>
        <w:tc>
          <w:tcPr>
            <w:tcW w:w="964" w:type="pct"/>
            <w:noWrap w:val="0"/>
            <w:vAlign w:val="center"/>
          </w:tcPr>
          <w:p w14:paraId="1416791C">
            <w:pPr>
              <w:spacing w:line="400" w:lineRule="exact"/>
              <w:jc w:val="center"/>
              <w:rPr>
                <w:rFonts w:hint="eastAsia" w:ascii="宋体" w:hAnsi="宋体" w:eastAsia="宋体" w:cs="宋体"/>
                <w:color w:val="auto"/>
                <w:sz w:val="24"/>
                <w:szCs w:val="24"/>
                <w:highlight w:val="none"/>
              </w:rPr>
            </w:pPr>
            <w:r>
              <w:rPr>
                <w:rFonts w:hint="eastAsia" w:asciiTheme="majorEastAsia" w:hAnsiTheme="majorEastAsia" w:eastAsiaTheme="majorEastAsia" w:cstheme="majorEastAsia"/>
                <w:color w:val="auto"/>
                <w:highlight w:val="none"/>
                <w:lang w:val="en-US" w:eastAsia="zh-CN"/>
              </w:rPr>
              <w:t>356.92</w:t>
            </w:r>
            <w:r>
              <w:rPr>
                <w:rFonts w:hint="eastAsia" w:ascii="宋体" w:hAnsi="宋体" w:eastAsia="宋体" w:cs="宋体"/>
                <w:color w:val="auto"/>
                <w:sz w:val="24"/>
                <w:szCs w:val="24"/>
                <w:highlight w:val="none"/>
              </w:rPr>
              <w:t>万元</w:t>
            </w:r>
          </w:p>
        </w:tc>
      </w:tr>
      <w:tr w14:paraId="161B7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0" w:type="pct"/>
            <w:noWrap w:val="0"/>
            <w:vAlign w:val="center"/>
          </w:tcPr>
          <w:p w14:paraId="3BE6C74C">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二标段</w:t>
            </w:r>
          </w:p>
        </w:tc>
        <w:tc>
          <w:tcPr>
            <w:tcW w:w="3225" w:type="pct"/>
            <w:noWrap w:val="0"/>
            <w:vAlign w:val="center"/>
          </w:tcPr>
          <w:p w14:paraId="37235157">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泰兴市</w:t>
            </w:r>
            <w:r>
              <w:rPr>
                <w:rFonts w:hint="eastAsia" w:ascii="宋体" w:hAnsi="宋体" w:eastAsia="宋体" w:cs="宋体"/>
                <w:color w:val="auto"/>
                <w:sz w:val="24"/>
                <w:szCs w:val="24"/>
                <w:highlight w:val="none"/>
                <w:lang w:eastAsia="zh-CN"/>
              </w:rPr>
              <w:t>高标准农田检查评估、上图入库项目</w:t>
            </w:r>
            <w:r>
              <w:rPr>
                <w:rFonts w:hint="eastAsia" w:ascii="宋体" w:hAnsi="宋体" w:eastAsia="宋体" w:cs="宋体"/>
                <w:color w:val="auto"/>
                <w:sz w:val="24"/>
                <w:szCs w:val="24"/>
                <w:highlight w:val="none"/>
                <w:lang w:val="en-US" w:eastAsia="zh-CN"/>
              </w:rPr>
              <w:t>(西片区)</w:t>
            </w:r>
          </w:p>
        </w:tc>
        <w:tc>
          <w:tcPr>
            <w:tcW w:w="964" w:type="pct"/>
            <w:noWrap w:val="0"/>
            <w:vAlign w:val="center"/>
          </w:tcPr>
          <w:p w14:paraId="36A3DFC6">
            <w:pPr>
              <w:spacing w:line="400" w:lineRule="exact"/>
              <w:jc w:val="center"/>
              <w:rPr>
                <w:rFonts w:hint="eastAsia" w:ascii="宋体" w:hAnsi="宋体" w:eastAsia="宋体" w:cs="宋体"/>
                <w:color w:val="auto"/>
                <w:sz w:val="24"/>
                <w:szCs w:val="24"/>
                <w:highlight w:val="none"/>
              </w:rPr>
            </w:pPr>
            <w:r>
              <w:rPr>
                <w:rFonts w:hint="eastAsia" w:asciiTheme="majorEastAsia" w:hAnsiTheme="majorEastAsia" w:eastAsiaTheme="majorEastAsia" w:cstheme="majorEastAsia"/>
                <w:color w:val="auto"/>
                <w:highlight w:val="none"/>
                <w:lang w:val="en-US" w:eastAsia="zh-CN"/>
              </w:rPr>
              <w:t>303.08</w:t>
            </w:r>
            <w:r>
              <w:rPr>
                <w:rFonts w:hint="eastAsia" w:ascii="宋体" w:hAnsi="宋体" w:eastAsia="宋体" w:cs="宋体"/>
                <w:color w:val="auto"/>
                <w:sz w:val="24"/>
                <w:szCs w:val="24"/>
                <w:highlight w:val="none"/>
              </w:rPr>
              <w:t>万元</w:t>
            </w:r>
          </w:p>
        </w:tc>
      </w:tr>
    </w:tbl>
    <w:p w14:paraId="1E9EEA0B">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6.资金来源：财政</w:t>
      </w:r>
    </w:p>
    <w:p w14:paraId="6D3C2B1A">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7.采购需求：</w:t>
      </w:r>
      <w:r>
        <w:rPr>
          <w:rFonts w:hint="eastAsia" w:ascii="宋体" w:hAnsi="宋体" w:cs="宋体"/>
          <w:color w:val="auto"/>
          <w:szCs w:val="21"/>
          <w:highlight w:val="none"/>
        </w:rPr>
        <w:t>泰兴市</w:t>
      </w:r>
      <w:r>
        <w:rPr>
          <w:rFonts w:hint="eastAsia" w:ascii="宋体" w:hAnsi="宋体" w:cs="宋体"/>
          <w:color w:val="auto"/>
          <w:szCs w:val="21"/>
          <w:highlight w:val="none"/>
          <w:lang w:val="en-US" w:eastAsia="zh-CN"/>
        </w:rPr>
        <w:t>耕地</w:t>
      </w:r>
      <w:r>
        <w:rPr>
          <w:rFonts w:hint="eastAsia" w:ascii="宋体" w:hAnsi="宋体" w:cs="宋体"/>
          <w:color w:val="auto"/>
          <w:szCs w:val="21"/>
          <w:highlight w:val="none"/>
        </w:rPr>
        <w:t>面积总量约为</w:t>
      </w:r>
      <w:r>
        <w:rPr>
          <w:rFonts w:hint="eastAsia" w:ascii="宋体" w:hAnsi="宋体" w:cs="宋体"/>
          <w:color w:val="auto"/>
          <w:szCs w:val="21"/>
          <w:highlight w:val="none"/>
          <w:lang w:val="en-US" w:eastAsia="zh-CN"/>
        </w:rPr>
        <w:t>88.78</w:t>
      </w:r>
      <w:r>
        <w:rPr>
          <w:rFonts w:hint="eastAsia" w:ascii="宋体" w:hAnsi="宋体" w:cs="宋体"/>
          <w:color w:val="auto"/>
          <w:szCs w:val="21"/>
          <w:highlight w:val="none"/>
        </w:rPr>
        <w:t>万亩</w:t>
      </w:r>
      <w:r>
        <w:rPr>
          <w:rFonts w:hint="eastAsia" w:ascii="宋体" w:hAnsi="宋体" w:cs="宋体"/>
          <w:color w:val="auto"/>
          <w:szCs w:val="21"/>
          <w:highlight w:val="none"/>
          <w:lang w:eastAsia="zh-CN"/>
        </w:rPr>
        <w:t>，</w:t>
      </w:r>
      <w:r>
        <w:rPr>
          <w:rFonts w:hint="eastAsia" w:ascii="宋体" w:hAnsi="宋体" w:cs="宋体"/>
          <w:color w:val="auto"/>
          <w:szCs w:val="21"/>
          <w:highlight w:val="none"/>
        </w:rPr>
        <w:t>根据农业农村厅印发的江苏省高标准农田调查摸底上图入库工作指南</w:t>
      </w:r>
      <w:r>
        <w:rPr>
          <w:rFonts w:hint="eastAsia" w:ascii="宋体" w:hAnsi="宋体" w:cs="宋体"/>
          <w:color w:val="auto"/>
          <w:szCs w:val="21"/>
          <w:highlight w:val="none"/>
          <w:lang w:eastAsia="zh-CN"/>
        </w:rPr>
        <w:t>，</w:t>
      </w:r>
      <w:r>
        <w:rPr>
          <w:rFonts w:hint="eastAsia" w:ascii="宋体" w:hAnsi="宋体" w:eastAsia="宋体" w:cs="宋体"/>
          <w:color w:val="auto"/>
          <w:sz w:val="24"/>
          <w:szCs w:val="28"/>
          <w:highlight w:val="none"/>
          <w:lang w:val="en-US" w:eastAsia="zh-CN"/>
        </w:rPr>
        <w:t>摸底调查泰兴市2011年以来已建成并完成上图入库的高标准农田项目，工作内容包括：清查评估入库的2011-2018年各级各有关部门建设管理的高标准农田项目，2019-2023年农业农村部门统一建设管理并纳入全国农田建设综合监测监管平台的高标准农田项目；以及耕地内未建高标准农田区域地块。</w:t>
      </w:r>
      <w:r>
        <w:rPr>
          <w:rFonts w:hint="eastAsia" w:ascii="宋体" w:hAnsi="宋体" w:eastAsia="宋体" w:cs="宋体"/>
          <w:bCs/>
          <w:color w:val="auto"/>
          <w:sz w:val="24"/>
          <w:szCs w:val="24"/>
          <w:highlight w:val="none"/>
        </w:rPr>
        <w:t>（详见招标文件）</w:t>
      </w:r>
      <w:r>
        <w:rPr>
          <w:rFonts w:hint="eastAsia" w:ascii="宋体" w:hAnsi="宋体" w:cs="宋体"/>
          <w:color w:val="auto"/>
          <w:szCs w:val="21"/>
          <w:highlight w:val="none"/>
        </w:rPr>
        <w:t>。</w:t>
      </w:r>
    </w:p>
    <w:p w14:paraId="40B31721">
      <w:pPr>
        <w:tabs>
          <w:tab w:val="left" w:pos="5250"/>
        </w:tabs>
        <w:spacing w:line="440" w:lineRule="exact"/>
        <w:ind w:firstLine="413"/>
        <w:rPr>
          <w:rFonts w:hint="eastAsia" w:ascii="宋体" w:hAnsi="宋体" w:cs="宋体"/>
          <w:b w:val="0"/>
          <w:bCs w:val="0"/>
          <w:color w:val="auto"/>
          <w:szCs w:val="21"/>
          <w:highlight w:val="none"/>
          <w:lang w:val="zh-CN"/>
        </w:rPr>
      </w:pPr>
      <w:r>
        <w:rPr>
          <w:rFonts w:cs="宋体"/>
          <w:b w:val="0"/>
          <w:bCs w:val="0"/>
          <w:color w:val="auto"/>
          <w:highlight w:val="none"/>
        </w:rPr>
        <w:t>8.服务期限：</w:t>
      </w:r>
      <w:r>
        <w:rPr>
          <w:rFonts w:hint="eastAsia" w:ascii="宋体" w:hAnsi="宋体" w:cs="宋体"/>
          <w:b w:val="0"/>
          <w:bCs w:val="0"/>
          <w:color w:val="auto"/>
          <w:szCs w:val="21"/>
          <w:highlight w:val="none"/>
          <w:lang w:val="zh-CN"/>
        </w:rPr>
        <w:t>自合同签订之日起至</w:t>
      </w:r>
      <w:r>
        <w:rPr>
          <w:rFonts w:hint="eastAsia" w:ascii="宋体" w:hAnsi="宋体" w:cs="宋体"/>
          <w:b w:val="0"/>
          <w:bCs w:val="0"/>
          <w:color w:val="auto"/>
          <w:szCs w:val="21"/>
          <w:highlight w:val="none"/>
          <w:lang w:val="en-US" w:eastAsia="zh-CN"/>
        </w:rPr>
        <w:t>省级验收完成</w:t>
      </w:r>
      <w:r>
        <w:rPr>
          <w:rFonts w:hint="eastAsia" w:ascii="宋体" w:hAnsi="宋体" w:cs="宋体"/>
          <w:b w:val="0"/>
          <w:bCs w:val="0"/>
          <w:color w:val="auto"/>
          <w:szCs w:val="21"/>
          <w:highlight w:val="none"/>
          <w:lang w:val="zh-CN"/>
        </w:rPr>
        <w:t>（具体结束时间以省厅部署为准）。</w:t>
      </w:r>
    </w:p>
    <w:p w14:paraId="31B2F275">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9.本项目不接受联合体投标。</w:t>
      </w:r>
    </w:p>
    <w:p w14:paraId="06B92C99">
      <w:pPr>
        <w:adjustRightInd w:val="0"/>
        <w:snapToGrid w:val="0"/>
        <w:spacing w:line="50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本项目本次招标共分</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个标段，同一</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val="en-US" w:eastAsia="zh-CN"/>
        </w:rPr>
        <w:t>可同时参与</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个标段的投标</w:t>
      </w:r>
      <w:r>
        <w:rPr>
          <w:rFonts w:hint="eastAsia" w:ascii="宋体" w:hAnsi="宋体" w:cs="宋体"/>
          <w:b/>
          <w:bCs/>
          <w:color w:val="auto"/>
          <w:sz w:val="24"/>
          <w:szCs w:val="24"/>
          <w:highlight w:val="none"/>
          <w:lang w:val="en-US" w:eastAsia="zh-CN"/>
        </w:rPr>
        <w:t>与评审</w:t>
      </w:r>
      <w:r>
        <w:rPr>
          <w:rFonts w:hint="eastAsia" w:ascii="宋体" w:hAnsi="宋体" w:eastAsia="宋体" w:cs="宋体"/>
          <w:b/>
          <w:bCs/>
          <w:color w:val="auto"/>
          <w:sz w:val="24"/>
          <w:szCs w:val="24"/>
          <w:highlight w:val="none"/>
          <w:lang w:val="en-US" w:eastAsia="zh-CN"/>
        </w:rPr>
        <w:t>，但最多只能中其中</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个标段，本项目开标、评标、定标顺序：按标段依次进行。</w:t>
      </w:r>
    </w:p>
    <w:p w14:paraId="50730E90">
      <w:pPr>
        <w:adjustRightInd w:val="0"/>
        <w:snapToGrid w:val="0"/>
        <w:spacing w:line="500" w:lineRule="exact"/>
        <w:ind w:firstLine="482" w:firstLineChars="200"/>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2.已经中了泰州市高标准农田调查摸底、上图入库市级质量控制第三方服务采购项目的单位不得参与本项目的投标）。</w:t>
      </w:r>
    </w:p>
    <w:p w14:paraId="457EE149">
      <w:pPr>
        <w:spacing w:line="460" w:lineRule="exact"/>
        <w:ind w:firstLine="482" w:firstLineChars="200"/>
        <w:outlineLvl w:val="1"/>
        <w:rPr>
          <w:rFonts w:hint="eastAsia" w:asciiTheme="majorEastAsia" w:hAnsiTheme="majorEastAsia" w:eastAsiaTheme="majorEastAsia" w:cstheme="majorEastAsia"/>
          <w:b/>
          <w:color w:val="auto"/>
          <w:highlight w:val="none"/>
        </w:rPr>
      </w:pPr>
      <w:bookmarkStart w:id="23" w:name="_Toc24495"/>
      <w:r>
        <w:rPr>
          <w:rFonts w:hint="eastAsia" w:asciiTheme="majorEastAsia" w:hAnsiTheme="majorEastAsia" w:eastAsiaTheme="majorEastAsia" w:cstheme="majorEastAsia"/>
          <w:b/>
          <w:color w:val="auto"/>
          <w:highlight w:val="none"/>
        </w:rPr>
        <w:t>二、申请人的资格要求：</w:t>
      </w:r>
      <w:bookmarkEnd w:id="19"/>
      <w:bookmarkEnd w:id="20"/>
      <w:bookmarkEnd w:id="21"/>
      <w:bookmarkEnd w:id="22"/>
      <w:bookmarkEnd w:id="23"/>
    </w:p>
    <w:p w14:paraId="7969A0F3">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1.满足《中华人民共和国政府采购法》第二十二条规定：</w:t>
      </w:r>
    </w:p>
    <w:p w14:paraId="49F0BA77">
      <w:pPr>
        <w:spacing w:line="460" w:lineRule="exact"/>
        <w:ind w:firstLine="480" w:firstLineChars="200"/>
        <w:rPr>
          <w:rFonts w:hint="eastAsia" w:asciiTheme="majorEastAsia" w:hAnsiTheme="majorEastAsia" w:eastAsiaTheme="majorEastAsia" w:cstheme="majorEastAsia"/>
          <w:color w:val="auto"/>
          <w:highlight w:val="none"/>
        </w:rPr>
      </w:pPr>
      <w:bookmarkStart w:id="24" w:name="_Toc28359004"/>
      <w:bookmarkStart w:id="25" w:name="_Toc28359081"/>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sz w:val="24"/>
          <w:szCs w:val="24"/>
          <w:highlight w:val="none"/>
        </w:rPr>
        <w:t>落实政府采购政策需满足的资格要求：本项目为非专门面向中小企业的项</w:t>
      </w:r>
      <w:r>
        <w:rPr>
          <w:rFonts w:hint="eastAsia" w:asciiTheme="majorEastAsia" w:hAnsiTheme="majorEastAsia" w:eastAsiaTheme="majorEastAsia" w:cstheme="majorEastAsia"/>
          <w:color w:val="auto"/>
          <w:sz w:val="24"/>
          <w:szCs w:val="24"/>
          <w:highlight w:val="none"/>
          <w:lang w:val="en-US" w:eastAsia="zh-CN"/>
        </w:rPr>
        <w:t>目。</w:t>
      </w:r>
      <w:r>
        <w:rPr>
          <w:rFonts w:hint="eastAsia" w:asciiTheme="majorEastAsia" w:hAnsiTheme="majorEastAsia" w:eastAsiaTheme="majorEastAsia" w:cstheme="majorEastAsia"/>
          <w:color w:val="auto"/>
          <w:highlight w:val="none"/>
        </w:rPr>
        <w:t>本项目采购的对应的</w:t>
      </w:r>
      <w:r>
        <w:rPr>
          <w:rFonts w:hint="eastAsia" w:asciiTheme="majorEastAsia" w:hAnsiTheme="majorEastAsia" w:eastAsiaTheme="majorEastAsia" w:cstheme="majorEastAsia"/>
          <w:color w:val="auto"/>
          <w:highlight w:val="none"/>
          <w:lang w:val="en-US" w:eastAsia="zh-CN"/>
        </w:rPr>
        <w:t>小微</w:t>
      </w:r>
      <w:r>
        <w:rPr>
          <w:rFonts w:hint="eastAsia" w:asciiTheme="majorEastAsia" w:hAnsiTheme="majorEastAsia" w:eastAsiaTheme="majorEastAsia" w:cstheme="majorEastAsia"/>
          <w:color w:val="auto"/>
          <w:highlight w:val="none"/>
        </w:rPr>
        <w:t>企业划分标准所属行业为：其他暂未列明行业；</w:t>
      </w:r>
    </w:p>
    <w:p w14:paraId="7989EEE4">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3.本项目的特定资格要求：</w:t>
      </w:r>
      <w:bookmarkEnd w:id="24"/>
      <w:bookmarkEnd w:id="25"/>
      <w:bookmarkStart w:id="26" w:name="_Toc35393627"/>
      <w:bookmarkStart w:id="27" w:name="_Toc28359008"/>
      <w:bookmarkStart w:id="28" w:name="_Toc35393796"/>
      <w:bookmarkStart w:id="29" w:name="_Toc28359085"/>
    </w:p>
    <w:p w14:paraId="3B650DB7">
      <w:pPr>
        <w:spacing w:line="460" w:lineRule="exact"/>
        <w:ind w:firstLine="480" w:firstLineChars="200"/>
        <w:outlineLvl w:val="1"/>
        <w:rPr>
          <w:rFonts w:hint="eastAsia" w:ascii="宋体" w:hAnsi="宋体" w:cs="宋体"/>
          <w:b/>
          <w:bCs/>
          <w:color w:val="auto"/>
          <w:highlight w:val="none"/>
        </w:rPr>
      </w:pPr>
      <w:bookmarkStart w:id="30" w:name="_Toc1657"/>
      <w:r>
        <w:rPr>
          <w:rFonts w:hint="eastAsia" w:ascii="宋体" w:hAnsi="宋体" w:cs="宋体"/>
          <w:b w:val="0"/>
          <w:bCs w:val="0"/>
          <w:color w:val="auto"/>
          <w:highlight w:val="none"/>
        </w:rPr>
        <w:t>投标人须具有测绘行政主管部门颁发的</w:t>
      </w:r>
      <w:r>
        <w:rPr>
          <w:rFonts w:hint="eastAsia" w:ascii="宋体" w:hAnsi="宋体" w:cs="宋体"/>
          <w:b w:val="0"/>
          <w:bCs w:val="0"/>
          <w:color w:val="auto"/>
          <w:highlight w:val="none"/>
          <w:lang w:val="en-US" w:eastAsia="zh-CN"/>
        </w:rPr>
        <w:t>甲</w:t>
      </w:r>
      <w:r>
        <w:rPr>
          <w:rFonts w:hint="eastAsia" w:ascii="宋体" w:hAnsi="宋体" w:cs="宋体"/>
          <w:b w:val="0"/>
          <w:bCs w:val="0"/>
          <w:color w:val="auto"/>
          <w:highlight w:val="none"/>
        </w:rPr>
        <w:t>级测绘资质证书</w:t>
      </w:r>
      <w:r>
        <w:rPr>
          <w:rFonts w:hint="eastAsia" w:cs="仿宋" w:asciiTheme="minorEastAsia" w:hAnsiTheme="minorEastAsia" w:eastAsiaTheme="minorEastAsia"/>
          <w:b w:val="0"/>
          <w:bCs w:val="0"/>
          <w:color w:val="auto"/>
          <w:sz w:val="24"/>
          <w:szCs w:val="24"/>
          <w:highlight w:val="none"/>
          <w:lang w:eastAsia="zh-CN"/>
        </w:rPr>
        <w:t>（</w:t>
      </w:r>
      <w:r>
        <w:rPr>
          <w:rFonts w:hint="eastAsia" w:ascii="宋体" w:hAnsi="宋体" w:cs="宋体"/>
          <w:b w:val="0"/>
          <w:bCs w:val="0"/>
          <w:color w:val="auto"/>
          <w:highlight w:val="none"/>
          <w:lang w:eastAsia="zh-CN"/>
        </w:rPr>
        <w:t>资质范围含</w:t>
      </w:r>
      <w:r>
        <w:rPr>
          <w:rFonts w:hint="eastAsia" w:ascii="宋体" w:hAnsi="宋体" w:cs="宋体"/>
          <w:b w:val="0"/>
          <w:bCs w:val="0"/>
          <w:color w:val="auto"/>
          <w:highlight w:val="none"/>
          <w:lang w:val="en-US" w:eastAsia="zh-CN"/>
        </w:rPr>
        <w:t>工程</w:t>
      </w:r>
      <w:r>
        <w:rPr>
          <w:rFonts w:hint="eastAsia" w:ascii="宋体" w:hAnsi="宋体" w:cs="宋体"/>
          <w:b w:val="0"/>
          <w:bCs w:val="0"/>
          <w:color w:val="auto"/>
          <w:highlight w:val="none"/>
          <w:lang w:eastAsia="zh-CN"/>
        </w:rPr>
        <w:t>测量</w:t>
      </w:r>
      <w:r>
        <w:rPr>
          <w:rFonts w:hint="eastAsia" w:ascii="宋体" w:hAnsi="宋体" w:cs="宋体"/>
          <w:b w:val="0"/>
          <w:bCs w:val="0"/>
          <w:color w:val="auto"/>
          <w:highlight w:val="none"/>
          <w:lang w:val="en-US" w:eastAsia="zh-CN"/>
        </w:rPr>
        <w:t>或</w:t>
      </w:r>
      <w:r>
        <w:rPr>
          <w:rFonts w:hint="eastAsia" w:ascii="宋体" w:hAnsi="宋体" w:cs="宋体"/>
          <w:b w:val="0"/>
          <w:bCs w:val="0"/>
          <w:color w:val="auto"/>
          <w:highlight w:val="none"/>
          <w:lang w:eastAsia="zh-CN"/>
        </w:rPr>
        <w:t>地理信息系统工程）</w:t>
      </w:r>
      <w:r>
        <w:rPr>
          <w:rFonts w:hint="eastAsia" w:ascii="宋体" w:hAnsi="宋体" w:cs="宋体"/>
          <w:b w:val="0"/>
          <w:bCs w:val="0"/>
          <w:color w:val="auto"/>
          <w:highlight w:val="none"/>
        </w:rPr>
        <w:t>。</w:t>
      </w:r>
    </w:p>
    <w:bookmarkEnd w:id="30"/>
    <w:p w14:paraId="402F7D06">
      <w:pPr>
        <w:spacing w:line="460" w:lineRule="exact"/>
        <w:ind w:firstLine="482" w:firstLineChars="200"/>
        <w:outlineLvl w:val="1"/>
        <w:rPr>
          <w:rFonts w:hint="eastAsia" w:asciiTheme="majorEastAsia" w:hAnsiTheme="majorEastAsia" w:eastAsiaTheme="majorEastAsia" w:cstheme="majorEastAsia"/>
          <w:b/>
          <w:color w:val="auto"/>
          <w:sz w:val="24"/>
          <w:szCs w:val="24"/>
          <w:highlight w:val="none"/>
        </w:rPr>
      </w:pPr>
      <w:bookmarkStart w:id="31" w:name="_Toc18289"/>
      <w:r>
        <w:rPr>
          <w:rFonts w:hint="eastAsia" w:asciiTheme="majorEastAsia" w:hAnsiTheme="majorEastAsia" w:eastAsiaTheme="majorEastAsia" w:cstheme="majorEastAsia"/>
          <w:b/>
          <w:color w:val="auto"/>
          <w:sz w:val="24"/>
          <w:szCs w:val="24"/>
          <w:highlight w:val="none"/>
        </w:rPr>
        <w:t>三、获取招标文件</w:t>
      </w:r>
    </w:p>
    <w:p w14:paraId="1C4D6661">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1.获取时间：202</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日00时起，到2024年</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16</w:t>
      </w:r>
      <w:r>
        <w:rPr>
          <w:rFonts w:hint="eastAsia" w:asciiTheme="majorEastAsia" w:hAnsiTheme="majorEastAsia" w:eastAsiaTheme="majorEastAsia" w:cstheme="majorEastAsia"/>
          <w:color w:val="auto"/>
          <w:sz w:val="24"/>
          <w:szCs w:val="24"/>
          <w:highlight w:val="none"/>
        </w:rPr>
        <w:t>日23时59分59秒止；</w:t>
      </w:r>
    </w:p>
    <w:p w14:paraId="22C1BFF5">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2.获取方式：</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完成注册并办理CA证书后，登录江苏省政府采购管理交易系统（苏采云）（http://jszfcg.jsczt.cn/）获取本项目的招标文件及有关资料。</w:t>
      </w:r>
    </w:p>
    <w:p w14:paraId="5286523D">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3.售价：免费。</w:t>
      </w:r>
    </w:p>
    <w:p w14:paraId="019DDECB">
      <w:pPr>
        <w:spacing w:line="460" w:lineRule="exact"/>
        <w:ind w:firstLine="482" w:firstLineChars="200"/>
        <w:outlineLvl w:val="1"/>
        <w:rPr>
          <w:rFonts w:hint="eastAsia" w:asciiTheme="majorEastAsia" w:hAnsiTheme="majorEastAsia" w:eastAsiaTheme="majorEastAsia" w:cstheme="majorEastAsia"/>
          <w:b/>
          <w:color w:val="auto"/>
          <w:sz w:val="24"/>
          <w:szCs w:val="24"/>
          <w:highlight w:val="none"/>
        </w:rPr>
      </w:pPr>
      <w:bookmarkStart w:id="32" w:name="_Toc28359005"/>
      <w:bookmarkStart w:id="33" w:name="_Toc28359082"/>
      <w:bookmarkStart w:id="34" w:name="_Toc35393793"/>
      <w:bookmarkStart w:id="35" w:name="_Toc35393624"/>
      <w:bookmarkStart w:id="36" w:name="_Toc17642"/>
      <w:r>
        <w:rPr>
          <w:rFonts w:hint="eastAsia" w:asciiTheme="majorEastAsia" w:hAnsiTheme="majorEastAsia" w:eastAsiaTheme="majorEastAsia" w:cstheme="majorEastAsia"/>
          <w:b/>
          <w:color w:val="auto"/>
          <w:sz w:val="24"/>
          <w:szCs w:val="24"/>
          <w:highlight w:val="none"/>
        </w:rPr>
        <w:t>四、提交投标文件</w:t>
      </w:r>
      <w:bookmarkEnd w:id="32"/>
      <w:bookmarkEnd w:id="33"/>
      <w:r>
        <w:rPr>
          <w:rFonts w:hint="eastAsia" w:asciiTheme="majorEastAsia" w:hAnsiTheme="majorEastAsia" w:eastAsiaTheme="majorEastAsia" w:cstheme="majorEastAsia"/>
          <w:b/>
          <w:color w:val="auto"/>
          <w:sz w:val="24"/>
          <w:szCs w:val="24"/>
          <w:highlight w:val="none"/>
        </w:rPr>
        <w:t>截止时间、开标时间和地点</w:t>
      </w:r>
      <w:bookmarkEnd w:id="34"/>
      <w:bookmarkEnd w:id="35"/>
      <w:bookmarkEnd w:id="36"/>
    </w:p>
    <w:p w14:paraId="3A984304">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1.提交投标文件截止时间：2024年</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30</w:t>
      </w:r>
      <w:r>
        <w:rPr>
          <w:rFonts w:hint="eastAsia" w:asciiTheme="majorEastAsia" w:hAnsiTheme="majorEastAsia" w:eastAsiaTheme="majorEastAsia" w:cstheme="majorEastAsia"/>
          <w:color w:val="auto"/>
          <w:sz w:val="24"/>
          <w:szCs w:val="24"/>
          <w:highlight w:val="none"/>
        </w:rPr>
        <w:t>日</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 xml:space="preserve">点 </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0分止（北京时间）；</w:t>
      </w:r>
    </w:p>
    <w:p w14:paraId="264B6402">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2.开标时间：同投标文件递交截止时间；</w:t>
      </w:r>
    </w:p>
    <w:p w14:paraId="13D94746">
      <w:pPr>
        <w:spacing w:line="46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3.开标地点：“苏采云”系统“开标大厅”。</w:t>
      </w:r>
      <w:bookmarkStart w:id="351" w:name="_GoBack"/>
      <w:bookmarkEnd w:id="351"/>
    </w:p>
    <w:p w14:paraId="0685C8A1">
      <w:pPr>
        <w:spacing w:line="460" w:lineRule="exact"/>
        <w:ind w:firstLine="482" w:firstLineChars="200"/>
        <w:outlineLvl w:val="1"/>
        <w:rPr>
          <w:rFonts w:hint="eastAsia" w:asciiTheme="majorEastAsia" w:hAnsiTheme="majorEastAsia" w:eastAsiaTheme="majorEastAsia" w:cstheme="majorEastAsia"/>
          <w:b/>
          <w:color w:val="auto"/>
          <w:sz w:val="24"/>
          <w:szCs w:val="24"/>
          <w:highlight w:val="none"/>
        </w:rPr>
      </w:pPr>
      <w:bookmarkStart w:id="37" w:name="_Toc35393625"/>
      <w:bookmarkStart w:id="38" w:name="_Toc35393794"/>
      <w:bookmarkStart w:id="39" w:name="_Toc28359084"/>
      <w:bookmarkStart w:id="40" w:name="_Toc13270"/>
      <w:bookmarkStart w:id="41" w:name="_Toc28359007"/>
      <w:r>
        <w:rPr>
          <w:rFonts w:hint="eastAsia" w:asciiTheme="majorEastAsia" w:hAnsiTheme="majorEastAsia" w:eastAsiaTheme="majorEastAsia" w:cstheme="majorEastAsia"/>
          <w:b/>
          <w:color w:val="auto"/>
          <w:sz w:val="24"/>
          <w:szCs w:val="24"/>
          <w:highlight w:val="none"/>
        </w:rPr>
        <w:t>五、公告期限</w:t>
      </w:r>
      <w:bookmarkEnd w:id="37"/>
      <w:bookmarkEnd w:id="38"/>
      <w:bookmarkEnd w:id="39"/>
      <w:bookmarkEnd w:id="40"/>
      <w:bookmarkEnd w:id="41"/>
    </w:p>
    <w:p w14:paraId="236C5CB7">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自本公告发布之日起5个工作日。</w:t>
      </w:r>
    </w:p>
    <w:p w14:paraId="792A48A5">
      <w:pPr>
        <w:spacing w:line="460" w:lineRule="exact"/>
        <w:ind w:firstLine="482" w:firstLineChars="200"/>
        <w:outlineLvl w:val="1"/>
        <w:rPr>
          <w:rFonts w:hint="eastAsia" w:asciiTheme="majorEastAsia" w:hAnsiTheme="majorEastAsia" w:eastAsiaTheme="majorEastAsia" w:cstheme="majorEastAsia"/>
          <w:b/>
          <w:color w:val="auto"/>
          <w:sz w:val="24"/>
          <w:szCs w:val="24"/>
          <w:highlight w:val="none"/>
        </w:rPr>
      </w:pPr>
      <w:bookmarkStart w:id="42" w:name="_Toc35393626"/>
      <w:bookmarkStart w:id="43" w:name="_Toc24651"/>
      <w:bookmarkStart w:id="44" w:name="_Toc35393795"/>
      <w:r>
        <w:rPr>
          <w:rFonts w:hint="eastAsia" w:asciiTheme="majorEastAsia" w:hAnsiTheme="majorEastAsia" w:eastAsiaTheme="majorEastAsia" w:cstheme="majorEastAsia"/>
          <w:b/>
          <w:color w:val="auto"/>
          <w:sz w:val="24"/>
          <w:szCs w:val="24"/>
          <w:highlight w:val="none"/>
        </w:rPr>
        <w:t>六、其他补充事宜</w:t>
      </w:r>
      <w:bookmarkEnd w:id="42"/>
      <w:bookmarkEnd w:id="43"/>
      <w:bookmarkEnd w:id="44"/>
    </w:p>
    <w:p w14:paraId="0C39C53B">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1.投标保证金：无。</w:t>
      </w:r>
    </w:p>
    <w:p w14:paraId="37E382B2">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2.公告发布媒介：江苏政府采购网（www.ccgp-jiangsu.gov.cn）</w:t>
      </w:r>
    </w:p>
    <w:p w14:paraId="20658E49">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w:t>
      </w: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b/>
          <w:color w:val="auto"/>
          <w:sz w:val="24"/>
          <w:szCs w:val="24"/>
          <w:highlight w:val="none"/>
        </w:rPr>
        <w:t>注意事项：</w:t>
      </w:r>
    </w:p>
    <w:p w14:paraId="51AECA2A">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（1）潜在</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登录“江苏省政府采购管理交易系统（苏采云）”须持经注册的CA证书。未注册、领取CA和办理电子签章的潜在</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，请至泰州市高港区泰州大道188号(中国医药城会展交易中心W3馆西南角)公共资源交易大厅政务CA窗口办理，电话：0523-81568158。</w:t>
      </w:r>
    </w:p>
    <w:p w14:paraId="542EC3F6">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（2）本项目采用电子化投标，</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应根据《江苏省政府采购管理交易系统（苏采云）供应商操作手册》（“泰州市政府采购网—下载中心”下载）规定，制作、上传电子投标文件（技术支持电话：0523-87633965、0523-86897512；客服QQ709339244、QQ：1810179072）。</w:t>
      </w:r>
    </w:p>
    <w:p w14:paraId="0B534C3B">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（3）有关本次招标的事项若存在变动或修改，敬请及时关注“江苏政府采购网”发布的更正公告。</w:t>
      </w:r>
    </w:p>
    <w:p w14:paraId="475EDEA8">
      <w:pPr>
        <w:spacing w:line="4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如潜在</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未按上述要求操作，将自行承担所产生的风险。</w:t>
      </w:r>
    </w:p>
    <w:p w14:paraId="160D3C37">
      <w:pPr>
        <w:spacing w:line="460" w:lineRule="exact"/>
        <w:ind w:firstLine="482" w:firstLineChars="200"/>
        <w:outlineLvl w:val="1"/>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七、对本次招标提出询问，请按以下方式联系。</w:t>
      </w:r>
      <w:bookmarkEnd w:id="26"/>
      <w:bookmarkEnd w:id="27"/>
      <w:bookmarkEnd w:id="28"/>
      <w:bookmarkEnd w:id="29"/>
      <w:bookmarkEnd w:id="31"/>
    </w:p>
    <w:p w14:paraId="3F2FED46">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rPr>
      </w:pPr>
      <w:bookmarkStart w:id="45" w:name="_Toc426469869"/>
      <w:bookmarkStart w:id="46" w:name="_Toc382812472"/>
      <w:bookmarkStart w:id="47" w:name="_Toc20823272"/>
      <w:bookmarkStart w:id="48" w:name="_Toc16938516"/>
      <w:bookmarkStart w:id="49" w:name="_Toc382813966"/>
      <w:bookmarkStart w:id="50" w:name="_Toc513029200"/>
      <w:bookmarkStart w:id="51" w:name="_Toc523127445"/>
      <w:bookmarkStart w:id="52" w:name="_Toc382813885"/>
      <w:bookmarkStart w:id="53" w:name="_Toc479757206"/>
      <w:r>
        <w:rPr>
          <w:rFonts w:hint="eastAsia" w:ascii="宋体" w:hAnsi="宋体" w:eastAsia="宋体" w:cs="宋体"/>
          <w:color w:val="auto"/>
          <w:kern w:val="2"/>
          <w:sz w:val="24"/>
          <w:highlight w:val="none"/>
          <w:u w:val="none"/>
        </w:rPr>
        <w:t>1.采购人信息</w:t>
      </w:r>
    </w:p>
    <w:p w14:paraId="104CBB7F">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lang w:eastAsia="zh-CN"/>
        </w:rPr>
      </w:pPr>
      <w:r>
        <w:rPr>
          <w:rFonts w:hint="eastAsia" w:ascii="宋体" w:hAnsi="宋体" w:eastAsia="宋体" w:cs="宋体"/>
          <w:color w:val="auto"/>
          <w:kern w:val="2"/>
          <w:sz w:val="24"/>
          <w:highlight w:val="none"/>
          <w:u w:val="none"/>
        </w:rPr>
        <w:t>名称：</w:t>
      </w:r>
      <w:r>
        <w:rPr>
          <w:rFonts w:hint="eastAsia" w:ascii="宋体" w:hAnsi="宋体" w:eastAsia="宋体" w:cs="宋体"/>
          <w:color w:val="auto"/>
          <w:kern w:val="2"/>
          <w:sz w:val="24"/>
          <w:highlight w:val="none"/>
          <w:u w:val="none"/>
          <w:lang w:eastAsia="zh-CN"/>
        </w:rPr>
        <w:t>泰兴市农业农村局</w:t>
      </w:r>
    </w:p>
    <w:p w14:paraId="32134C83">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szCs w:val="24"/>
          <w:highlight w:val="none"/>
          <w:u w:val="none"/>
          <w:lang w:val="en-US" w:eastAsia="zh-CN"/>
        </w:rPr>
      </w:pPr>
      <w:r>
        <w:rPr>
          <w:rFonts w:hint="eastAsia" w:ascii="宋体" w:hAnsi="宋体" w:eastAsia="宋体" w:cs="宋体"/>
          <w:color w:val="auto"/>
          <w:kern w:val="2"/>
          <w:sz w:val="24"/>
          <w:szCs w:val="24"/>
          <w:highlight w:val="none"/>
          <w:u w:val="none"/>
          <w:lang w:eastAsia="zh-CN"/>
        </w:rPr>
        <w:t>地</w:t>
      </w:r>
      <w:r>
        <w:rPr>
          <w:rFonts w:hint="eastAsia" w:ascii="宋体" w:hAnsi="宋体" w:eastAsia="宋体" w:cs="宋体"/>
          <w:color w:val="auto"/>
          <w:kern w:val="2"/>
          <w:sz w:val="24"/>
          <w:szCs w:val="24"/>
          <w:highlight w:val="none"/>
          <w:u w:val="none"/>
          <w:lang w:val="en-US" w:eastAsia="zh-CN"/>
        </w:rPr>
        <w:t xml:space="preserve">  </w:t>
      </w:r>
      <w:r>
        <w:rPr>
          <w:rFonts w:hint="eastAsia" w:ascii="宋体" w:hAnsi="宋体" w:eastAsia="宋体" w:cs="宋体"/>
          <w:color w:val="auto"/>
          <w:kern w:val="2"/>
          <w:sz w:val="24"/>
          <w:szCs w:val="24"/>
          <w:highlight w:val="none"/>
          <w:u w:val="none"/>
          <w:lang w:eastAsia="zh-CN"/>
        </w:rPr>
        <w:t>址：泰兴市</w:t>
      </w:r>
      <w:r>
        <w:rPr>
          <w:rFonts w:hint="eastAsia" w:ascii="宋体" w:hAnsi="宋体" w:eastAsia="宋体" w:cs="宋体"/>
          <w:color w:val="auto"/>
          <w:kern w:val="2"/>
          <w:sz w:val="24"/>
          <w:szCs w:val="24"/>
          <w:highlight w:val="none"/>
          <w:u w:val="none"/>
          <w:lang w:val="en-US" w:eastAsia="zh-CN"/>
        </w:rPr>
        <w:t>襟江巷2号</w:t>
      </w:r>
    </w:p>
    <w:p w14:paraId="31B199CB">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rPr>
      </w:pPr>
      <w:r>
        <w:rPr>
          <w:rFonts w:hint="eastAsia" w:ascii="宋体" w:hAnsi="宋体" w:eastAsia="宋体" w:cs="宋体"/>
          <w:color w:val="auto"/>
          <w:kern w:val="2"/>
          <w:sz w:val="24"/>
          <w:szCs w:val="24"/>
          <w:highlight w:val="none"/>
          <w:u w:val="none"/>
          <w:lang w:eastAsia="zh-CN"/>
        </w:rPr>
        <w:t>联系方式：0523</w:t>
      </w:r>
      <w:r>
        <w:rPr>
          <w:rFonts w:hint="eastAsia" w:ascii="宋体" w:hAnsi="宋体" w:eastAsia="宋体" w:cs="宋体"/>
          <w:color w:val="auto"/>
          <w:kern w:val="2"/>
          <w:sz w:val="24"/>
          <w:szCs w:val="24"/>
          <w:highlight w:val="none"/>
          <w:u w:val="none"/>
          <w:lang w:val="en-US" w:eastAsia="zh-CN"/>
        </w:rPr>
        <w:t>-</w:t>
      </w:r>
      <w:r>
        <w:rPr>
          <w:rFonts w:hint="eastAsia" w:ascii="宋体" w:hAnsi="宋体" w:eastAsia="宋体" w:cs="宋体"/>
          <w:color w:val="auto"/>
          <w:kern w:val="2"/>
          <w:sz w:val="24"/>
          <w:szCs w:val="24"/>
          <w:highlight w:val="none"/>
          <w:u w:val="none"/>
          <w:lang w:eastAsia="zh-CN"/>
        </w:rPr>
        <w:t>87639632</w:t>
      </w:r>
    </w:p>
    <w:p w14:paraId="3F5AB3F9">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rPr>
        <w:t>2.采购代理机构信息</w:t>
      </w:r>
    </w:p>
    <w:p w14:paraId="70A7D524">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rPr>
        <w:t>名 称：</w:t>
      </w:r>
      <w:r>
        <w:rPr>
          <w:rFonts w:hint="eastAsia" w:ascii="宋体" w:hAnsi="宋体" w:eastAsia="宋体" w:cs="宋体"/>
          <w:color w:val="auto"/>
          <w:kern w:val="2"/>
          <w:sz w:val="24"/>
          <w:highlight w:val="none"/>
          <w:u w:val="none"/>
        </w:rPr>
        <w:t>江苏国兴建设项目管理有限公司</w:t>
      </w:r>
    </w:p>
    <w:p w14:paraId="08C7389A">
      <w:pPr>
        <w:keepNext w:val="0"/>
        <w:keepLines w:val="0"/>
        <w:pageBreakBefore w:val="0"/>
        <w:widowControl/>
        <w:kinsoku/>
        <w:wordWrap/>
        <w:overflowPunct/>
        <w:topLinePunct w:val="0"/>
        <w:autoSpaceDE/>
        <w:autoSpaceDN/>
        <w:bidi w:val="0"/>
        <w:spacing w:line="480" w:lineRule="exact"/>
        <w:ind w:firstLine="420"/>
        <w:jc w:val="left"/>
        <w:textAlignment w:val="auto"/>
        <w:rPr>
          <w:rFonts w:hint="default" w:ascii="宋体" w:hAnsi="宋体" w:eastAsia="宋体" w:cs="宋体"/>
          <w:color w:val="auto"/>
          <w:kern w:val="2"/>
          <w:sz w:val="24"/>
          <w:highlight w:val="none"/>
          <w:u w:val="none"/>
          <w:lang w:val="en-US" w:eastAsia="zh-CN"/>
        </w:rPr>
      </w:pPr>
      <w:r>
        <w:rPr>
          <w:rFonts w:hint="eastAsia" w:ascii="宋体" w:hAnsi="宋体" w:eastAsia="宋体" w:cs="宋体"/>
          <w:color w:val="auto"/>
          <w:kern w:val="2"/>
          <w:sz w:val="24"/>
          <w:highlight w:val="none"/>
        </w:rPr>
        <w:t>地　址：</w:t>
      </w:r>
      <w:r>
        <w:rPr>
          <w:rFonts w:hint="eastAsia" w:ascii="宋体" w:hAnsi="宋体" w:eastAsia="宋体" w:cs="宋体"/>
          <w:color w:val="auto"/>
          <w:kern w:val="2"/>
          <w:sz w:val="24"/>
          <w:highlight w:val="none"/>
          <w:u w:val="none"/>
          <w:lang w:val="en-US" w:eastAsia="zh-CN"/>
        </w:rPr>
        <w:t>政务服务中心1</w:t>
      </w:r>
      <w:r>
        <w:rPr>
          <w:rFonts w:hint="eastAsia" w:ascii="宋体" w:hAnsi="宋体" w:cs="宋体"/>
          <w:color w:val="auto"/>
          <w:kern w:val="2"/>
          <w:sz w:val="24"/>
          <w:highlight w:val="none"/>
          <w:u w:val="none"/>
          <w:lang w:val="en-US" w:eastAsia="zh-CN"/>
        </w:rPr>
        <w:t>003</w:t>
      </w:r>
    </w:p>
    <w:p w14:paraId="5F875621">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rPr>
      </w:pPr>
      <w:r>
        <w:rPr>
          <w:rFonts w:hint="eastAsia" w:ascii="宋体" w:hAnsi="宋体" w:eastAsia="宋体" w:cs="宋体"/>
          <w:color w:val="auto"/>
          <w:kern w:val="2"/>
          <w:sz w:val="24"/>
          <w:highlight w:val="none"/>
        </w:rPr>
        <w:t>联系方式：</w:t>
      </w:r>
      <w:r>
        <w:rPr>
          <w:rFonts w:hint="eastAsia" w:ascii="宋体" w:hAnsi="宋体" w:eastAsia="宋体" w:cs="宋体"/>
          <w:color w:val="auto"/>
          <w:kern w:val="2"/>
          <w:sz w:val="24"/>
          <w:highlight w:val="none"/>
          <w:u w:val="none"/>
        </w:rPr>
        <w:t> 17701421886</w:t>
      </w:r>
    </w:p>
    <w:p w14:paraId="3F01ABCB">
      <w:pPr>
        <w:keepNext w:val="0"/>
        <w:keepLines w:val="0"/>
        <w:pageBreakBefore w:val="0"/>
        <w:widowControl/>
        <w:kinsoku/>
        <w:wordWrap/>
        <w:overflowPunct/>
        <w:topLinePunct w:val="0"/>
        <w:autoSpaceDE/>
        <w:autoSpaceDN/>
        <w:bidi w:val="0"/>
        <w:adjustRightInd/>
        <w:spacing w:line="480" w:lineRule="exact"/>
        <w:ind w:firstLine="42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3.项目联系方式</w:t>
      </w:r>
    </w:p>
    <w:p w14:paraId="017D0DC2">
      <w:pPr>
        <w:keepNext w:val="0"/>
        <w:keepLines w:val="0"/>
        <w:pageBreakBefore w:val="0"/>
        <w:widowControl/>
        <w:kinsoku/>
        <w:wordWrap/>
        <w:overflowPunct/>
        <w:topLinePunct w:val="0"/>
        <w:autoSpaceDE/>
        <w:autoSpaceDN/>
        <w:bidi w:val="0"/>
        <w:adjustRightInd/>
        <w:spacing w:line="480" w:lineRule="exact"/>
        <w:ind w:firstLine="42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项目联系人：</w:t>
      </w:r>
      <w:r>
        <w:rPr>
          <w:rFonts w:hint="eastAsia" w:ascii="宋体" w:hAnsi="宋体" w:eastAsia="宋体" w:cs="宋体"/>
          <w:color w:val="auto"/>
          <w:kern w:val="2"/>
          <w:sz w:val="24"/>
          <w:szCs w:val="24"/>
          <w:highlight w:val="none"/>
          <w:lang w:eastAsia="zh-CN"/>
        </w:rPr>
        <w:t>泰兴市农业农村局</w:t>
      </w: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lang w:val="en-US" w:eastAsia="zh-CN"/>
        </w:rPr>
        <w:t xml:space="preserve">李兴成   </w:t>
      </w:r>
      <w:r>
        <w:rPr>
          <w:rFonts w:hint="eastAsia" w:ascii="宋体" w:hAnsi="宋体" w:eastAsia="宋体" w:cs="宋体"/>
          <w:color w:val="auto"/>
          <w:kern w:val="2"/>
          <w:sz w:val="24"/>
          <w:szCs w:val="24"/>
          <w:highlight w:val="none"/>
        </w:rPr>
        <w:t xml:space="preserve">                  </w:t>
      </w:r>
    </w:p>
    <w:p w14:paraId="660C9B96">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rPr>
      </w:pPr>
      <w:r>
        <w:rPr>
          <w:rFonts w:hint="eastAsia" w:ascii="宋体" w:hAnsi="宋体" w:eastAsia="宋体" w:cs="宋体"/>
          <w:color w:val="auto"/>
          <w:kern w:val="2"/>
          <w:sz w:val="24"/>
          <w:szCs w:val="24"/>
          <w:highlight w:val="none"/>
        </w:rPr>
        <w:t>电</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话：</w:t>
      </w:r>
      <w:r>
        <w:rPr>
          <w:rFonts w:hint="eastAsia" w:ascii="宋体" w:hAnsi="宋体" w:eastAsia="宋体" w:cs="宋体"/>
          <w:color w:val="auto"/>
          <w:kern w:val="2"/>
          <w:sz w:val="24"/>
          <w:szCs w:val="24"/>
          <w:highlight w:val="none"/>
          <w:u w:val="none"/>
          <w:lang w:eastAsia="zh-CN"/>
        </w:rPr>
        <w:t>0523</w:t>
      </w:r>
      <w:r>
        <w:rPr>
          <w:rFonts w:hint="eastAsia" w:ascii="宋体" w:hAnsi="宋体" w:eastAsia="宋体" w:cs="宋体"/>
          <w:color w:val="auto"/>
          <w:kern w:val="2"/>
          <w:sz w:val="24"/>
          <w:szCs w:val="24"/>
          <w:highlight w:val="none"/>
          <w:u w:val="none"/>
          <w:lang w:val="en-US" w:eastAsia="zh-CN"/>
        </w:rPr>
        <w:t>-</w:t>
      </w:r>
      <w:r>
        <w:rPr>
          <w:rFonts w:hint="eastAsia" w:ascii="宋体" w:hAnsi="宋体" w:eastAsia="宋体" w:cs="宋体"/>
          <w:color w:val="auto"/>
          <w:kern w:val="2"/>
          <w:sz w:val="24"/>
          <w:szCs w:val="24"/>
          <w:highlight w:val="none"/>
          <w:u w:val="none"/>
          <w:lang w:eastAsia="zh-CN"/>
        </w:rPr>
        <w:t>87639632</w:t>
      </w:r>
    </w:p>
    <w:p w14:paraId="2CA79EC2">
      <w:pPr>
        <w:keepNext w:val="0"/>
        <w:keepLines w:val="0"/>
        <w:pageBreakBefore w:val="0"/>
        <w:widowControl/>
        <w:kinsoku/>
        <w:wordWrap/>
        <w:overflowPunct/>
        <w:topLinePunct w:val="0"/>
        <w:autoSpaceDE/>
        <w:autoSpaceDN/>
        <w:bidi w:val="0"/>
        <w:adjustRightInd/>
        <w:spacing w:line="480" w:lineRule="exact"/>
        <w:ind w:firstLine="42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项目联系人：江苏国兴建设项目管理有限公司   刘雪芬</w:t>
      </w:r>
    </w:p>
    <w:p w14:paraId="3B247675">
      <w:pPr>
        <w:keepNext w:val="0"/>
        <w:keepLines w:val="0"/>
        <w:pageBreakBefore w:val="0"/>
        <w:widowControl/>
        <w:kinsoku/>
        <w:wordWrap/>
        <w:overflowPunct/>
        <w:topLinePunct w:val="0"/>
        <w:autoSpaceDE/>
        <w:autoSpaceDN/>
        <w:bidi w:val="0"/>
        <w:spacing w:line="480" w:lineRule="exact"/>
        <w:ind w:firstLine="480" w:firstLineChars="200"/>
        <w:jc w:val="both"/>
        <w:textAlignment w:val="auto"/>
        <w:outlineLvl w:val="1"/>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电</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话：17701421886</w:t>
      </w:r>
    </w:p>
    <w:p w14:paraId="22823EA9">
      <w:pPr>
        <w:widowControl/>
        <w:jc w:val="lef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14:paraId="26DB5342">
      <w:pPr>
        <w:widowControl/>
        <w:jc w:val="center"/>
        <w:outlineLvl w:val="0"/>
        <w:rPr>
          <w:rFonts w:hint="eastAsia" w:asciiTheme="majorEastAsia" w:hAnsiTheme="majorEastAsia" w:eastAsiaTheme="majorEastAsia" w:cstheme="majorEastAsia"/>
          <w:b/>
          <w:color w:val="auto"/>
          <w:sz w:val="32"/>
          <w:szCs w:val="32"/>
          <w:highlight w:val="none"/>
        </w:rPr>
      </w:pPr>
      <w:bookmarkStart w:id="54" w:name="_Toc987"/>
      <w:r>
        <w:rPr>
          <w:rFonts w:hint="eastAsia" w:asciiTheme="majorEastAsia" w:hAnsiTheme="majorEastAsia" w:eastAsiaTheme="majorEastAsia" w:cstheme="majorEastAsia"/>
          <w:b/>
          <w:color w:val="auto"/>
          <w:sz w:val="32"/>
          <w:szCs w:val="32"/>
          <w:highlight w:val="none"/>
        </w:rPr>
        <w:t>第二章 供应商须知</w:t>
      </w:r>
      <w:bookmarkEnd w:id="45"/>
      <w:bookmarkEnd w:id="54"/>
    </w:p>
    <w:p w14:paraId="1D0AF196">
      <w:pPr>
        <w:rPr>
          <w:rFonts w:hint="eastAsia" w:asciiTheme="majorEastAsia" w:hAnsiTheme="majorEastAsia" w:eastAsiaTheme="majorEastAsia" w:cstheme="majorEastAsia"/>
          <w:color w:val="auto"/>
          <w:highlight w:val="none"/>
        </w:rPr>
      </w:pPr>
      <w:bookmarkStart w:id="55" w:name="_Toc426469870"/>
      <w:r>
        <w:rPr>
          <w:rFonts w:hint="eastAsia" w:asciiTheme="majorEastAsia" w:hAnsiTheme="majorEastAsia" w:eastAsiaTheme="majorEastAsia" w:cstheme="majorEastAsia"/>
          <w:color w:val="auto"/>
          <w:highlight w:val="none"/>
        </w:rPr>
        <w:t>供应商须知前附表</w:t>
      </w:r>
      <w:bookmarkEnd w:id="55"/>
    </w:p>
    <w:tbl>
      <w:tblPr>
        <w:tblStyle w:val="26"/>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381"/>
        <w:gridCol w:w="140"/>
        <w:gridCol w:w="6018"/>
      </w:tblGrid>
      <w:tr w14:paraId="0339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0770A0BA">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条款号</w:t>
            </w:r>
          </w:p>
        </w:tc>
        <w:tc>
          <w:tcPr>
            <w:tcW w:w="2381" w:type="dxa"/>
            <w:vAlign w:val="center"/>
          </w:tcPr>
          <w:p w14:paraId="420FDCFB">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条 款 名 称</w:t>
            </w:r>
          </w:p>
        </w:tc>
        <w:tc>
          <w:tcPr>
            <w:tcW w:w="6158" w:type="dxa"/>
            <w:gridSpan w:val="2"/>
            <w:vAlign w:val="center"/>
          </w:tcPr>
          <w:p w14:paraId="65266551">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编  列  内  容</w:t>
            </w:r>
          </w:p>
        </w:tc>
      </w:tr>
      <w:tr w14:paraId="7E7AC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5C8FA23E">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1.1.2</w:t>
            </w:r>
          </w:p>
        </w:tc>
        <w:tc>
          <w:tcPr>
            <w:tcW w:w="2381" w:type="dxa"/>
            <w:vAlign w:val="center"/>
          </w:tcPr>
          <w:p w14:paraId="66270B44">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招标人</w:t>
            </w:r>
          </w:p>
        </w:tc>
        <w:tc>
          <w:tcPr>
            <w:tcW w:w="6158" w:type="dxa"/>
            <w:gridSpan w:val="2"/>
            <w:vAlign w:val="top"/>
          </w:tcPr>
          <w:p w14:paraId="19EA4B38">
            <w:pPr>
              <w:adjustRightInd w:val="0"/>
              <w:snapToGrid w:val="0"/>
              <w:spacing w:line="420" w:lineRule="exact"/>
              <w:jc w:val="lef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名称：</w:t>
            </w:r>
            <w:r>
              <w:rPr>
                <w:rFonts w:hint="eastAsia" w:ascii="宋体" w:hAnsi="宋体" w:eastAsia="宋体" w:cs="宋体"/>
                <w:color w:val="auto"/>
                <w:szCs w:val="24"/>
                <w:highlight w:val="none"/>
                <w:lang w:eastAsia="zh-CN"/>
              </w:rPr>
              <w:t>泰兴市农业农村局</w:t>
            </w:r>
          </w:p>
          <w:p w14:paraId="6CB6CA9F">
            <w:pPr>
              <w:adjustRightInd w:val="0"/>
              <w:snapToGrid w:val="0"/>
              <w:spacing w:line="420" w:lineRule="exact"/>
              <w:jc w:val="left"/>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地址：</w:t>
            </w:r>
            <w:r>
              <w:rPr>
                <w:rFonts w:hint="eastAsia" w:ascii="宋体" w:hAnsi="宋体" w:eastAsia="宋体" w:cs="宋体"/>
                <w:color w:val="auto"/>
                <w:kern w:val="0"/>
                <w:sz w:val="24"/>
                <w:szCs w:val="24"/>
                <w:highlight w:val="none"/>
                <w:u w:val="none"/>
                <w:lang w:eastAsia="zh-CN"/>
              </w:rPr>
              <w:t>泰兴市</w:t>
            </w:r>
            <w:r>
              <w:rPr>
                <w:rFonts w:hint="eastAsia" w:ascii="宋体" w:hAnsi="宋体" w:eastAsia="宋体" w:cs="宋体"/>
                <w:color w:val="auto"/>
                <w:kern w:val="0"/>
                <w:sz w:val="24"/>
                <w:szCs w:val="24"/>
                <w:highlight w:val="none"/>
                <w:u w:val="none"/>
                <w:lang w:val="en-US" w:eastAsia="zh-CN"/>
              </w:rPr>
              <w:t>襟江巷2</w:t>
            </w:r>
            <w:r>
              <w:rPr>
                <w:rFonts w:hint="eastAsia" w:ascii="宋体" w:hAnsi="宋体" w:eastAsia="宋体" w:cs="宋体"/>
                <w:color w:val="auto"/>
                <w:kern w:val="0"/>
                <w:sz w:val="24"/>
                <w:szCs w:val="24"/>
                <w:highlight w:val="none"/>
                <w:u w:val="none"/>
                <w:lang w:eastAsia="zh-CN"/>
              </w:rPr>
              <w:t>号</w:t>
            </w:r>
          </w:p>
          <w:p w14:paraId="206A7475">
            <w:pPr>
              <w:keepNext w:val="0"/>
              <w:keepLines w:val="0"/>
              <w:pageBreakBefore w:val="0"/>
              <w:widowControl/>
              <w:kinsoku/>
              <w:wordWrap/>
              <w:overflowPunct/>
              <w:topLinePunct w:val="0"/>
              <w:autoSpaceDE/>
              <w:autoSpaceDN/>
              <w:bidi w:val="0"/>
              <w:adjustRightInd w:val="0"/>
              <w:snapToGrid w:val="0"/>
              <w:spacing w:line="420" w:lineRule="exact"/>
              <w:ind w:firstLine="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项目联系人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李兴成</w:t>
            </w:r>
            <w:r>
              <w:rPr>
                <w:rFonts w:hint="eastAsia" w:ascii="宋体" w:hAnsi="宋体" w:eastAsia="宋体" w:cs="宋体"/>
                <w:color w:val="auto"/>
                <w:kern w:val="0"/>
                <w:sz w:val="24"/>
                <w:szCs w:val="24"/>
                <w:highlight w:val="none"/>
              </w:rPr>
              <w:t xml:space="preserve">                   </w:t>
            </w:r>
          </w:p>
          <w:p w14:paraId="326642A4">
            <w:pPr>
              <w:keepNext w:val="0"/>
              <w:keepLines w:val="0"/>
              <w:pageBreakBefore w:val="0"/>
              <w:kinsoku/>
              <w:wordWrap/>
              <w:overflowPunct/>
              <w:bidi w:val="0"/>
              <w:spacing w:line="360" w:lineRule="exact"/>
              <w:rPr>
                <w:rFonts w:hint="eastAsia" w:asciiTheme="majorEastAsia" w:hAnsiTheme="majorEastAsia" w:eastAsiaTheme="majorEastAsia" w:cstheme="majorEastAsia"/>
                <w:color w:val="auto"/>
                <w:highlight w:val="none"/>
              </w:rPr>
            </w:pPr>
            <w:r>
              <w:rPr>
                <w:rFonts w:hint="eastAsia" w:ascii="宋体" w:hAnsi="宋体" w:eastAsia="宋体" w:cs="宋体"/>
                <w:color w:val="auto"/>
                <w:kern w:val="0"/>
                <w:sz w:val="24"/>
                <w:szCs w:val="24"/>
                <w:highlight w:val="none"/>
              </w:rPr>
              <w:t>电</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话：</w:t>
            </w:r>
            <w:r>
              <w:rPr>
                <w:rFonts w:hint="eastAsia" w:ascii="宋体" w:hAnsi="宋体" w:eastAsia="宋体" w:cs="宋体"/>
                <w:color w:val="auto"/>
                <w:kern w:val="0"/>
                <w:sz w:val="24"/>
                <w:szCs w:val="24"/>
                <w:highlight w:val="none"/>
                <w:u w:val="none"/>
                <w:lang w:eastAsia="zh-CN"/>
              </w:rPr>
              <w:t>0523</w:t>
            </w:r>
            <w:r>
              <w:rPr>
                <w:rFonts w:hint="eastAsia" w:ascii="宋体" w:hAnsi="宋体" w:eastAsia="宋体" w:cs="宋体"/>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eastAsia="zh-CN"/>
              </w:rPr>
              <w:t>87639632</w:t>
            </w:r>
          </w:p>
        </w:tc>
      </w:tr>
      <w:tr w14:paraId="3342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08C761DC">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1.1.3</w:t>
            </w:r>
          </w:p>
        </w:tc>
        <w:tc>
          <w:tcPr>
            <w:tcW w:w="2381" w:type="dxa"/>
            <w:vAlign w:val="center"/>
          </w:tcPr>
          <w:p w14:paraId="14A9BF98">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采购代理机构</w:t>
            </w:r>
          </w:p>
        </w:tc>
        <w:tc>
          <w:tcPr>
            <w:tcW w:w="6158" w:type="dxa"/>
            <w:gridSpan w:val="2"/>
            <w:vAlign w:val="top"/>
          </w:tcPr>
          <w:p w14:paraId="1104A1A4">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江苏国兴建设项目管理有限公司</w:t>
            </w:r>
          </w:p>
          <w:p w14:paraId="0C41E38B">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地址：泰兴市</w:t>
            </w:r>
            <w:r>
              <w:rPr>
                <w:rFonts w:hint="eastAsia" w:ascii="宋体" w:hAnsi="宋体" w:eastAsia="宋体" w:cs="宋体"/>
                <w:color w:val="auto"/>
                <w:sz w:val="24"/>
                <w:szCs w:val="24"/>
                <w:highlight w:val="none"/>
                <w:lang w:val="en-US" w:eastAsia="zh-CN"/>
              </w:rPr>
              <w:t>政务服务中心十</w:t>
            </w:r>
            <w:r>
              <w:rPr>
                <w:rFonts w:hint="eastAsia" w:ascii="宋体" w:hAnsi="宋体" w:eastAsia="宋体" w:cs="宋体"/>
                <w:color w:val="auto"/>
                <w:sz w:val="24"/>
                <w:szCs w:val="24"/>
                <w:highlight w:val="none"/>
                <w:lang w:eastAsia="zh-CN"/>
              </w:rPr>
              <w:t>楼</w:t>
            </w:r>
            <w:r>
              <w:rPr>
                <w:rFonts w:hint="eastAsia" w:ascii="宋体" w:hAnsi="宋体" w:cs="宋体"/>
                <w:color w:val="auto"/>
                <w:sz w:val="24"/>
                <w:szCs w:val="24"/>
                <w:highlight w:val="none"/>
                <w:lang w:val="en-US" w:eastAsia="zh-CN"/>
              </w:rPr>
              <w:t>1003</w:t>
            </w:r>
            <w:r>
              <w:rPr>
                <w:rFonts w:hint="eastAsia" w:ascii="宋体" w:hAnsi="宋体" w:eastAsia="宋体" w:cs="宋体"/>
                <w:color w:val="auto"/>
                <w:sz w:val="24"/>
                <w:szCs w:val="24"/>
                <w:highlight w:val="none"/>
              </w:rPr>
              <w:t>（泰兴市文昌东路62号）</w:t>
            </w:r>
          </w:p>
          <w:p w14:paraId="3EAA343A">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刘雪芬</w:t>
            </w:r>
          </w:p>
          <w:p w14:paraId="063FF03E">
            <w:pPr>
              <w:keepNext w:val="0"/>
              <w:keepLines w:val="0"/>
              <w:pageBreakBefore w:val="0"/>
              <w:kinsoku/>
              <w:wordWrap/>
              <w:overflowPunct/>
              <w:bidi w:val="0"/>
              <w:spacing w:line="360" w:lineRule="exact"/>
              <w:rPr>
                <w:rFonts w:hint="eastAsia" w:asciiTheme="majorEastAsia" w:hAnsiTheme="majorEastAsia" w:eastAsiaTheme="majorEastAsia" w:cstheme="majorEastAsia"/>
                <w:color w:val="auto"/>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17701421886</w:t>
            </w:r>
          </w:p>
        </w:tc>
      </w:tr>
      <w:tr w14:paraId="7F92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25B36595">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1.1.4</w:t>
            </w:r>
          </w:p>
        </w:tc>
        <w:tc>
          <w:tcPr>
            <w:tcW w:w="2381" w:type="dxa"/>
            <w:vAlign w:val="center"/>
          </w:tcPr>
          <w:p w14:paraId="3443BE87">
            <w:pPr>
              <w:adjustRightInd w:val="0"/>
              <w:snapToGrid w:val="0"/>
              <w:spacing w:line="4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项目名称及</w:t>
            </w:r>
          </w:p>
          <w:p w14:paraId="348C16D9">
            <w:pPr>
              <w:adjustRightInd w:val="0"/>
              <w:snapToGrid w:val="0"/>
              <w:spacing w:line="4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项目编号</w:t>
            </w:r>
          </w:p>
        </w:tc>
        <w:tc>
          <w:tcPr>
            <w:tcW w:w="6158" w:type="dxa"/>
            <w:gridSpan w:val="2"/>
          </w:tcPr>
          <w:p w14:paraId="679BD9C8">
            <w:pPr>
              <w:adjustRightInd w:val="0"/>
              <w:snapToGrid w:val="0"/>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p>
          <w:p w14:paraId="5779FB65">
            <w:pPr>
              <w:adjustRightInd w:val="0"/>
              <w:snapToGrid w:val="0"/>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项目编号：</w:t>
            </w:r>
            <w:r>
              <w:rPr>
                <w:color w:val="auto"/>
                <w:highlight w:val="none"/>
              </w:rPr>
              <w:fldChar w:fldCharType="begin"/>
            </w:r>
            <w:r>
              <w:rPr>
                <w:color w:val="auto"/>
                <w:highlight w:val="none"/>
              </w:rPr>
              <w:instrText xml:space="preserve"> HYPERLINK "javascript:void(0);" </w:instrText>
            </w:r>
            <w:r>
              <w:rPr>
                <w:color w:val="auto"/>
                <w:highlight w:val="none"/>
              </w:rPr>
              <w:fldChar w:fldCharType="separate"/>
            </w:r>
            <w:r>
              <w:rPr>
                <w:color w:val="auto"/>
                <w:highlight w:val="none"/>
              </w:rPr>
              <w:fldChar w:fldCharType="end"/>
            </w:r>
          </w:p>
        </w:tc>
      </w:tr>
      <w:tr w14:paraId="13A3A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77C0FC37">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1.2.1</w:t>
            </w:r>
          </w:p>
        </w:tc>
        <w:tc>
          <w:tcPr>
            <w:tcW w:w="2381" w:type="dxa"/>
            <w:vAlign w:val="center"/>
          </w:tcPr>
          <w:p w14:paraId="4DE46A96">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付款方式</w:t>
            </w:r>
          </w:p>
        </w:tc>
        <w:tc>
          <w:tcPr>
            <w:tcW w:w="6158" w:type="dxa"/>
            <w:gridSpan w:val="2"/>
            <w:vAlign w:val="center"/>
          </w:tcPr>
          <w:p w14:paraId="2C424E6E">
            <w:pPr>
              <w:ind w:firstLine="422"/>
              <w:jc w:val="left"/>
              <w:rPr>
                <w:rFonts w:hint="eastAsia" w:asciiTheme="majorEastAsia" w:hAnsiTheme="majorEastAsia" w:eastAsiaTheme="majorEastAsia" w:cstheme="majorEastAsia"/>
                <w:color w:val="auto"/>
                <w:highlight w:val="none"/>
              </w:rPr>
            </w:pPr>
            <w:r>
              <w:rPr>
                <w:rFonts w:hint="eastAsia" w:ascii="宋体" w:hAnsi="宋体" w:cs="宋体"/>
                <w:color w:val="auto"/>
                <w:szCs w:val="21"/>
                <w:highlight w:val="none"/>
              </w:rPr>
              <w:t>合同签订后采购人向中标人支付合同价款的</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%为预付款；</w:t>
            </w:r>
            <w:r>
              <w:rPr>
                <w:rFonts w:hint="eastAsia" w:ascii="宋体" w:hAnsi="宋体" w:cs="宋体"/>
                <w:color w:val="auto"/>
                <w:szCs w:val="21"/>
                <w:highlight w:val="none"/>
                <w:lang w:val="en-US" w:eastAsia="zh-CN"/>
              </w:rPr>
              <w:t>2025</w:t>
            </w:r>
            <w:r>
              <w:rPr>
                <w:rFonts w:hint="eastAsia" w:ascii="宋体" w:hAnsi="宋体" w:cs="宋体"/>
                <w:color w:val="auto"/>
                <w:szCs w:val="21"/>
                <w:highlight w:val="none"/>
              </w:rPr>
              <w:t>年，根据阶段性成果完成情况，</w:t>
            </w:r>
            <w:r>
              <w:rPr>
                <w:rFonts w:hint="eastAsia" w:ascii="宋体" w:hAnsi="宋体" w:cs="宋体"/>
                <w:color w:val="auto"/>
                <w:szCs w:val="21"/>
                <w:highlight w:val="none"/>
                <w:lang w:val="en-US" w:eastAsia="zh-CN"/>
              </w:rPr>
              <w:t>付至</w:t>
            </w:r>
            <w:r>
              <w:rPr>
                <w:rFonts w:hint="eastAsia" w:ascii="宋体" w:hAnsi="宋体" w:cs="宋体"/>
                <w:color w:val="auto"/>
                <w:szCs w:val="21"/>
                <w:highlight w:val="none"/>
              </w:rPr>
              <w:t>合同价款的</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0%；项目</w:t>
            </w:r>
            <w:r>
              <w:rPr>
                <w:rFonts w:hint="eastAsia" w:ascii="宋体" w:hAnsi="宋体" w:cs="宋体"/>
                <w:color w:val="auto"/>
                <w:szCs w:val="21"/>
                <w:highlight w:val="none"/>
                <w:lang w:val="en-US" w:eastAsia="zh-CN"/>
              </w:rPr>
              <w:t>省级</w:t>
            </w:r>
            <w:r>
              <w:rPr>
                <w:rFonts w:hint="eastAsia" w:ascii="宋体" w:hAnsi="宋体" w:cs="宋体"/>
                <w:color w:val="auto"/>
                <w:szCs w:val="21"/>
                <w:highlight w:val="none"/>
              </w:rPr>
              <w:t>验收合格</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2026年</w:t>
            </w:r>
            <w:r>
              <w:rPr>
                <w:rFonts w:hint="eastAsia" w:ascii="宋体" w:hAnsi="宋体" w:cs="宋体"/>
                <w:color w:val="auto"/>
                <w:szCs w:val="21"/>
                <w:highlight w:val="none"/>
              </w:rPr>
              <w:t>付清余款。</w:t>
            </w:r>
          </w:p>
        </w:tc>
      </w:tr>
      <w:tr w14:paraId="39C6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2ADA3AB9">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1.3.1</w:t>
            </w:r>
          </w:p>
        </w:tc>
        <w:tc>
          <w:tcPr>
            <w:tcW w:w="2381" w:type="dxa"/>
            <w:vAlign w:val="center"/>
          </w:tcPr>
          <w:p w14:paraId="079C0859">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采购范围</w:t>
            </w:r>
          </w:p>
        </w:tc>
        <w:tc>
          <w:tcPr>
            <w:tcW w:w="6158" w:type="dxa"/>
            <w:gridSpan w:val="2"/>
            <w:vAlign w:val="center"/>
          </w:tcPr>
          <w:p w14:paraId="7E7901A1">
            <w:pPr>
              <w:adjustRightInd w:val="0"/>
              <w:snapToGrid w:val="0"/>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见采购需求</w:t>
            </w:r>
          </w:p>
        </w:tc>
      </w:tr>
      <w:tr w14:paraId="725F7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51D19306">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1.3.2</w:t>
            </w:r>
          </w:p>
        </w:tc>
        <w:tc>
          <w:tcPr>
            <w:tcW w:w="2381" w:type="dxa"/>
            <w:vAlign w:val="center"/>
          </w:tcPr>
          <w:p w14:paraId="171A0254">
            <w:pPr>
              <w:adjustRightInd w:val="0"/>
              <w:snapToGrid w:val="0"/>
              <w:spacing w:line="4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服务期限</w:t>
            </w:r>
          </w:p>
        </w:tc>
        <w:tc>
          <w:tcPr>
            <w:tcW w:w="6158" w:type="dxa"/>
            <w:gridSpan w:val="2"/>
            <w:vAlign w:val="center"/>
          </w:tcPr>
          <w:p w14:paraId="2094DE72">
            <w:pPr>
              <w:adjustRightInd w:val="0"/>
              <w:snapToGrid w:val="0"/>
              <w:spacing w:line="420" w:lineRule="exact"/>
              <w:jc w:val="left"/>
              <w:rPr>
                <w:rFonts w:hint="eastAsia" w:asciiTheme="majorEastAsia" w:hAnsiTheme="majorEastAsia" w:eastAsiaTheme="majorEastAsia" w:cstheme="majorEastAsia"/>
                <w:color w:val="auto"/>
                <w:highlight w:val="none"/>
              </w:rPr>
            </w:pPr>
            <w:r>
              <w:rPr>
                <w:rFonts w:hint="eastAsia" w:ascii="宋体" w:hAnsi="宋体"/>
                <w:color w:val="auto"/>
                <w:szCs w:val="21"/>
                <w:highlight w:val="none"/>
              </w:rPr>
              <w:t>见招标公告</w:t>
            </w:r>
          </w:p>
        </w:tc>
      </w:tr>
      <w:tr w14:paraId="5CE4B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115518C6">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1.4.2</w:t>
            </w:r>
          </w:p>
        </w:tc>
        <w:tc>
          <w:tcPr>
            <w:tcW w:w="2381" w:type="dxa"/>
            <w:vAlign w:val="center"/>
          </w:tcPr>
          <w:p w14:paraId="41EAF7B5">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要求供应商具备的特定条件</w:t>
            </w:r>
          </w:p>
        </w:tc>
        <w:tc>
          <w:tcPr>
            <w:tcW w:w="6158" w:type="dxa"/>
            <w:gridSpan w:val="2"/>
            <w:vAlign w:val="center"/>
          </w:tcPr>
          <w:p w14:paraId="34C0B867">
            <w:pPr>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见招标公告“申请人的资格要求”</w:t>
            </w:r>
          </w:p>
        </w:tc>
      </w:tr>
      <w:tr w14:paraId="6576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79090585">
            <w:pPr>
              <w:spacing w:line="3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1.8.2</w:t>
            </w:r>
          </w:p>
        </w:tc>
        <w:tc>
          <w:tcPr>
            <w:tcW w:w="2381" w:type="dxa"/>
            <w:vAlign w:val="center"/>
          </w:tcPr>
          <w:p w14:paraId="47CE8D67">
            <w:pPr>
              <w:spacing w:line="3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偏离</w:t>
            </w:r>
          </w:p>
        </w:tc>
        <w:tc>
          <w:tcPr>
            <w:tcW w:w="6158" w:type="dxa"/>
            <w:gridSpan w:val="2"/>
            <w:vAlign w:val="center"/>
          </w:tcPr>
          <w:p w14:paraId="3FB19F62">
            <w:pPr>
              <w:pStyle w:val="10"/>
              <w:spacing w:line="320" w:lineRule="exact"/>
              <w:rPr>
                <w:rFonts w:hint="eastAsia" w:asciiTheme="majorEastAsia" w:hAnsiTheme="majorEastAsia" w:eastAsiaTheme="majorEastAsia" w:cstheme="majorEastAsia"/>
                <w:color w:val="auto"/>
                <w:highlight w:val="none"/>
              </w:rPr>
            </w:pPr>
            <w:bookmarkStart w:id="56" w:name="FEfe800446baa24252acf6b14953dc4897"/>
            <w:bookmarkEnd w:id="56"/>
            <w:bookmarkStart w:id="57" w:name="FBfe800446baa24252acf6b14953dc4897"/>
            <w:bookmarkEnd w:id="57"/>
            <w:r>
              <w:rPr>
                <w:rFonts w:hint="eastAsia" w:asciiTheme="majorEastAsia" w:hAnsiTheme="majorEastAsia" w:eastAsiaTheme="majorEastAsia" w:cstheme="majorEastAsia"/>
                <w:color w:val="auto"/>
                <w:highlight w:val="none"/>
              </w:rPr>
              <w:t>不允许偏离，</w:t>
            </w:r>
          </w:p>
        </w:tc>
      </w:tr>
      <w:tr w14:paraId="1FE1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1CCCF4D3">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w:t>
            </w:r>
          </w:p>
        </w:tc>
        <w:tc>
          <w:tcPr>
            <w:tcW w:w="2381" w:type="dxa"/>
            <w:vAlign w:val="center"/>
          </w:tcPr>
          <w:p w14:paraId="67BE9497">
            <w:pPr>
              <w:spacing w:line="3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构成招标文件的其他材料</w:t>
            </w:r>
          </w:p>
        </w:tc>
        <w:tc>
          <w:tcPr>
            <w:tcW w:w="6158" w:type="dxa"/>
            <w:gridSpan w:val="2"/>
            <w:vAlign w:val="center"/>
          </w:tcPr>
          <w:p w14:paraId="427F2B30">
            <w:pPr>
              <w:spacing w:line="360" w:lineRule="exact"/>
              <w:jc w:val="left"/>
              <w:rPr>
                <w:rFonts w:hint="eastAsia" w:asciiTheme="majorEastAsia" w:hAnsiTheme="majorEastAsia" w:eastAsiaTheme="majorEastAsia" w:cstheme="majorEastAsia"/>
                <w:color w:val="auto"/>
                <w:highlight w:val="none"/>
              </w:rPr>
            </w:pPr>
            <w:bookmarkStart w:id="58" w:name="EB35ced2e8f8364f63a510bf246ff979f0"/>
            <w:bookmarkEnd w:id="58"/>
            <w:r>
              <w:rPr>
                <w:rFonts w:hint="eastAsia" w:asciiTheme="majorEastAsia" w:hAnsiTheme="majorEastAsia" w:eastAsiaTheme="majorEastAsia" w:cstheme="majorEastAsia"/>
                <w:color w:val="auto"/>
                <w:highlight w:val="none"/>
              </w:rPr>
              <w:t>无</w:t>
            </w:r>
          </w:p>
        </w:tc>
      </w:tr>
      <w:tr w14:paraId="3C18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2A0AA08E">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w:t>
            </w:r>
          </w:p>
        </w:tc>
        <w:tc>
          <w:tcPr>
            <w:tcW w:w="2381" w:type="dxa"/>
            <w:vAlign w:val="center"/>
          </w:tcPr>
          <w:p w14:paraId="45802136">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供应商要求澄清招标文件的截止时间</w:t>
            </w:r>
          </w:p>
        </w:tc>
        <w:tc>
          <w:tcPr>
            <w:tcW w:w="6158" w:type="dxa"/>
            <w:gridSpan w:val="2"/>
            <w:vAlign w:val="center"/>
          </w:tcPr>
          <w:p w14:paraId="67F22AE1">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2024年</w:t>
            </w:r>
            <w:r>
              <w:rPr>
                <w:rFonts w:hint="eastAsia" w:asciiTheme="majorEastAsia" w:hAnsiTheme="majorEastAsia" w:eastAsiaTheme="majorEastAsia" w:cstheme="majorEastAsia"/>
                <w:color w:val="auto"/>
                <w:highlight w:val="none"/>
                <w:lang w:val="en-US" w:eastAsia="zh-CN"/>
              </w:rPr>
              <w:t>12</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lang w:val="en-US" w:eastAsia="zh-CN"/>
              </w:rPr>
              <w:t>17</w:t>
            </w:r>
            <w:r>
              <w:rPr>
                <w:rFonts w:hint="eastAsia" w:asciiTheme="majorEastAsia" w:hAnsiTheme="majorEastAsia" w:eastAsiaTheme="majorEastAsia" w:cstheme="majorEastAsia"/>
                <w:color w:val="auto"/>
                <w:highlight w:val="none"/>
              </w:rPr>
              <w:t>日</w:t>
            </w:r>
            <w:r>
              <w:rPr>
                <w:rFonts w:hint="eastAsia" w:asciiTheme="majorEastAsia" w:hAnsiTheme="majorEastAsia" w:eastAsiaTheme="majorEastAsia" w:cstheme="majorEastAsia"/>
                <w:color w:val="auto"/>
                <w:highlight w:val="none"/>
                <w:lang w:val="en-US" w:eastAsia="zh-CN"/>
              </w:rPr>
              <w:t>17</w:t>
            </w:r>
            <w:r>
              <w:rPr>
                <w:rFonts w:hint="eastAsia" w:asciiTheme="majorEastAsia" w:hAnsiTheme="majorEastAsia" w:eastAsiaTheme="majorEastAsia" w:cstheme="majorEastAsia"/>
                <w:color w:val="auto"/>
                <w:highlight w:val="none"/>
              </w:rPr>
              <w:t>时</w:t>
            </w:r>
            <w:r>
              <w:rPr>
                <w:rFonts w:hint="eastAsia" w:asciiTheme="majorEastAsia" w:hAnsiTheme="majorEastAsia" w:eastAsiaTheme="majorEastAsia" w:cstheme="majorEastAsia"/>
                <w:color w:val="auto"/>
                <w:highlight w:val="none"/>
                <w:lang w:val="en-US" w:eastAsia="zh-CN"/>
              </w:rPr>
              <w:t>30</w:t>
            </w:r>
            <w:r>
              <w:rPr>
                <w:rFonts w:hint="eastAsia" w:asciiTheme="majorEastAsia" w:hAnsiTheme="majorEastAsia" w:eastAsiaTheme="majorEastAsia" w:cstheme="majorEastAsia"/>
                <w:color w:val="auto"/>
                <w:highlight w:val="none"/>
              </w:rPr>
              <w:t>分</w:t>
            </w:r>
          </w:p>
        </w:tc>
      </w:tr>
      <w:tr w14:paraId="3A32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3D4F7A1">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3.1</w:t>
            </w:r>
          </w:p>
        </w:tc>
        <w:tc>
          <w:tcPr>
            <w:tcW w:w="2381" w:type="dxa"/>
            <w:vAlign w:val="center"/>
          </w:tcPr>
          <w:p w14:paraId="6B91DC57">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投标文件的组成</w:t>
            </w:r>
          </w:p>
        </w:tc>
        <w:tc>
          <w:tcPr>
            <w:tcW w:w="6158" w:type="dxa"/>
            <w:gridSpan w:val="2"/>
            <w:vAlign w:val="center"/>
          </w:tcPr>
          <w:p w14:paraId="1D81C9FE">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（1）开标一览表；</w:t>
            </w:r>
          </w:p>
          <w:p w14:paraId="26A0B714">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（2）投标函；</w:t>
            </w:r>
          </w:p>
          <w:p w14:paraId="19099777">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（3）中小企业声明函（若有）；</w:t>
            </w:r>
          </w:p>
          <w:p w14:paraId="1F72126F">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（4）投标报价明细表及分析说明（若有）；</w:t>
            </w:r>
          </w:p>
          <w:p w14:paraId="3EF67737">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（5）资格性审查和符合性评审文件；</w:t>
            </w:r>
          </w:p>
          <w:p w14:paraId="05494AF7">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（6）投标偏离表；</w:t>
            </w:r>
          </w:p>
          <w:p w14:paraId="6C2717E8">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（7）对照第三章评标办法，认为应列入投标文件的其他材料。</w:t>
            </w:r>
          </w:p>
          <w:p w14:paraId="10FBD2FF">
            <w:pPr>
              <w:pStyle w:val="14"/>
              <w:spacing w:after="0" w:line="400" w:lineRule="exact"/>
              <w:ind w:left="0" w:leftChars="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（8）法定代表人身份证明书或法定代表人授权委托书（附身份证复印件）</w:t>
            </w:r>
          </w:p>
        </w:tc>
      </w:tr>
      <w:tr w14:paraId="4B4E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7BB18EE4">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3.3.1</w:t>
            </w:r>
          </w:p>
        </w:tc>
        <w:tc>
          <w:tcPr>
            <w:tcW w:w="2381" w:type="dxa"/>
            <w:vAlign w:val="center"/>
          </w:tcPr>
          <w:p w14:paraId="0BC2E7FA">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投标有效期</w:t>
            </w:r>
          </w:p>
        </w:tc>
        <w:tc>
          <w:tcPr>
            <w:tcW w:w="6158" w:type="dxa"/>
            <w:gridSpan w:val="2"/>
            <w:vAlign w:val="center"/>
          </w:tcPr>
          <w:p w14:paraId="0F3AFED8">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60天</w:t>
            </w:r>
          </w:p>
        </w:tc>
      </w:tr>
      <w:tr w14:paraId="2A01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3A94716F">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3.4.3</w:t>
            </w:r>
          </w:p>
        </w:tc>
        <w:tc>
          <w:tcPr>
            <w:tcW w:w="2381" w:type="dxa"/>
            <w:vAlign w:val="center"/>
          </w:tcPr>
          <w:p w14:paraId="7C6E1C09">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投标文件的份数</w:t>
            </w:r>
          </w:p>
        </w:tc>
        <w:tc>
          <w:tcPr>
            <w:tcW w:w="6158" w:type="dxa"/>
            <w:gridSpan w:val="2"/>
            <w:vAlign w:val="center"/>
          </w:tcPr>
          <w:p w14:paraId="278E2458">
            <w:pPr>
              <w:spacing w:line="380" w:lineRule="exact"/>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电子投标文件壹份</w:t>
            </w:r>
          </w:p>
        </w:tc>
      </w:tr>
      <w:tr w14:paraId="7BEE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C5BDCB7">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3.4.4</w:t>
            </w:r>
          </w:p>
        </w:tc>
        <w:tc>
          <w:tcPr>
            <w:tcW w:w="2381" w:type="dxa"/>
            <w:vAlign w:val="center"/>
          </w:tcPr>
          <w:p w14:paraId="061FF603">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投标文件的签署</w:t>
            </w:r>
          </w:p>
        </w:tc>
        <w:tc>
          <w:tcPr>
            <w:tcW w:w="6158" w:type="dxa"/>
            <w:gridSpan w:val="2"/>
            <w:vAlign w:val="center"/>
          </w:tcPr>
          <w:p w14:paraId="0BD9564C">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1.投标函、供应商基本资格条件承诺函中须加盖供应商法人章并经法定代表人签字或签章。</w:t>
            </w:r>
          </w:p>
          <w:p w14:paraId="4A197D02">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2.投标文件中的任何重要的插字、涂改和增删，修改处须有法定代表人签章或签字。</w:t>
            </w:r>
          </w:p>
        </w:tc>
      </w:tr>
      <w:tr w14:paraId="4432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5A9C1FBC">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5.1.1</w:t>
            </w:r>
          </w:p>
        </w:tc>
        <w:tc>
          <w:tcPr>
            <w:tcW w:w="2381" w:type="dxa"/>
            <w:vAlign w:val="center"/>
          </w:tcPr>
          <w:p w14:paraId="6600B6C0">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开标时间和地点</w:t>
            </w:r>
          </w:p>
        </w:tc>
        <w:tc>
          <w:tcPr>
            <w:tcW w:w="6158" w:type="dxa"/>
            <w:gridSpan w:val="2"/>
            <w:vAlign w:val="center"/>
          </w:tcPr>
          <w:p w14:paraId="31F3EA2F">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开标时间：</w:t>
            </w:r>
            <w:bookmarkStart w:id="59" w:name="EB72e20e40757d438698d0d924b6237fcc"/>
            <w:bookmarkEnd w:id="59"/>
            <w:r>
              <w:rPr>
                <w:rFonts w:hint="eastAsia" w:ascii="宋体" w:hAnsi="宋体"/>
                <w:color w:val="auto"/>
                <w:szCs w:val="21"/>
                <w:highlight w:val="none"/>
              </w:rPr>
              <w:t>见招标公告</w:t>
            </w:r>
          </w:p>
          <w:p w14:paraId="16FC27DE">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开标地点：</w:t>
            </w:r>
            <w:r>
              <w:rPr>
                <w:rFonts w:hint="eastAsia" w:ascii="宋体" w:hAnsi="宋体"/>
                <w:color w:val="auto"/>
                <w:szCs w:val="21"/>
                <w:highlight w:val="none"/>
              </w:rPr>
              <w:t>见招标公告</w:t>
            </w:r>
          </w:p>
        </w:tc>
      </w:tr>
      <w:tr w14:paraId="01C1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89" w:type="dxa"/>
            <w:vAlign w:val="center"/>
          </w:tcPr>
          <w:p w14:paraId="7F3A479A">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5.1.2</w:t>
            </w:r>
          </w:p>
        </w:tc>
        <w:tc>
          <w:tcPr>
            <w:tcW w:w="2381" w:type="dxa"/>
            <w:vAlign w:val="center"/>
          </w:tcPr>
          <w:p w14:paraId="40959A9E">
            <w:pPr>
              <w:spacing w:line="4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供应商参与开标要求</w:t>
            </w:r>
          </w:p>
        </w:tc>
        <w:tc>
          <w:tcPr>
            <w:tcW w:w="6158" w:type="dxa"/>
            <w:gridSpan w:val="2"/>
            <w:vAlign w:val="center"/>
          </w:tcPr>
          <w:p w14:paraId="2CFE7BC0">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开标活动将在招标公告中规定的时间和地点进行。供应商应当按照规定，参加开标活动。</w:t>
            </w:r>
          </w:p>
        </w:tc>
      </w:tr>
      <w:tr w14:paraId="46C7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0CDE9A4E">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7.2.1</w:t>
            </w:r>
          </w:p>
        </w:tc>
        <w:tc>
          <w:tcPr>
            <w:tcW w:w="2381" w:type="dxa"/>
            <w:vAlign w:val="center"/>
          </w:tcPr>
          <w:p w14:paraId="47B57C86">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中标公告媒介</w:t>
            </w:r>
          </w:p>
        </w:tc>
        <w:tc>
          <w:tcPr>
            <w:tcW w:w="6158" w:type="dxa"/>
            <w:gridSpan w:val="2"/>
            <w:vAlign w:val="center"/>
          </w:tcPr>
          <w:p w14:paraId="695A0EA2">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t>江苏政府采购网（www.ccgp-jiangsu.gov.cn）</w:t>
            </w:r>
          </w:p>
        </w:tc>
      </w:tr>
      <w:tr w14:paraId="6EEEB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3719C4AD">
            <w:pPr>
              <w:spacing w:line="34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8.1.1</w:t>
            </w:r>
          </w:p>
        </w:tc>
        <w:tc>
          <w:tcPr>
            <w:tcW w:w="2381" w:type="dxa"/>
            <w:vAlign w:val="center"/>
          </w:tcPr>
          <w:p w14:paraId="2BF347D3">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履约保证金</w:t>
            </w:r>
          </w:p>
        </w:tc>
        <w:tc>
          <w:tcPr>
            <w:tcW w:w="6158" w:type="dxa"/>
            <w:gridSpan w:val="2"/>
            <w:vAlign w:val="center"/>
          </w:tcPr>
          <w:p w14:paraId="7CF4DBD5">
            <w:pPr>
              <w:pStyle w:val="38"/>
              <w:keepNext w:val="0"/>
              <w:keepLines w:val="0"/>
              <w:pageBreakBefore w:val="0"/>
              <w:numPr>
                <w:ilvl w:val="0"/>
                <w:numId w:val="1"/>
              </w:numPr>
              <w:kinsoku/>
              <w:wordWrap/>
              <w:overflowPunct/>
              <w:bidi w:val="0"/>
              <w:spacing w:line="360" w:lineRule="exac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履约保证金形式:  支票、汇票、本票、履约担保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银行电汇或网上银行支付或银行保函等法律法规允许的非现金形式</w:t>
            </w:r>
          </w:p>
          <w:p w14:paraId="269C08C3">
            <w:pPr>
              <w:pStyle w:val="38"/>
              <w:keepNext w:val="0"/>
              <w:keepLines w:val="0"/>
              <w:pageBreakBefore w:val="0"/>
              <w:numPr>
                <w:ilvl w:val="0"/>
                <w:numId w:val="0"/>
              </w:numPr>
              <w:kinsoku/>
              <w:wordWrap/>
              <w:overflowPunct/>
              <w:bidi w:val="0"/>
              <w:spacing w:line="360" w:lineRule="exact"/>
              <w:textAlignment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（2）金额：合同价的</w:t>
            </w:r>
            <w:r>
              <w:rPr>
                <w:rFonts w:hint="eastAsia" w:ascii="宋体" w:hAnsi="宋体" w:cs="宋体"/>
                <w:color w:val="FF0000"/>
                <w:sz w:val="24"/>
                <w:szCs w:val="24"/>
                <w:highlight w:val="none"/>
                <w:lang w:val="en-US" w:eastAsia="zh-CN"/>
              </w:rPr>
              <w:t>10</w:t>
            </w:r>
            <w:r>
              <w:rPr>
                <w:rFonts w:hint="eastAsia" w:ascii="宋体" w:hAnsi="宋体" w:eastAsia="宋体" w:cs="宋体"/>
                <w:color w:val="FF0000"/>
                <w:sz w:val="24"/>
                <w:szCs w:val="24"/>
                <w:highlight w:val="none"/>
              </w:rPr>
              <w:t>%</w:t>
            </w:r>
          </w:p>
          <w:p w14:paraId="370C84B7">
            <w:pPr>
              <w:spacing w:line="360" w:lineRule="exact"/>
              <w:jc w:val="left"/>
              <w:rPr>
                <w:rFonts w:hint="eastAsia" w:asciiTheme="majorEastAsia" w:hAnsiTheme="majorEastAsia" w:eastAsiaTheme="majorEastAsia" w:cstheme="majorEastAsia"/>
                <w:color w:val="auto"/>
                <w:highlight w:val="none"/>
              </w:rPr>
            </w:pPr>
            <w:r>
              <w:rPr>
                <w:rFonts w:hint="eastAsia" w:ascii="宋体" w:hAnsi="宋体" w:eastAsia="宋体" w:cs="宋体"/>
                <w:color w:val="auto"/>
                <w:sz w:val="24"/>
                <w:szCs w:val="24"/>
                <w:highlight w:val="none"/>
              </w:rPr>
              <w:t>（3）缴纳时间：在确定成交投标人之后,签订采购合同前。</w:t>
            </w:r>
          </w:p>
        </w:tc>
      </w:tr>
      <w:tr w14:paraId="0AC5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4D1D41BB">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8.2.1</w:t>
            </w:r>
          </w:p>
        </w:tc>
        <w:tc>
          <w:tcPr>
            <w:tcW w:w="2381" w:type="dxa"/>
            <w:vAlign w:val="center"/>
          </w:tcPr>
          <w:p w14:paraId="5CE8456B">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签订合同的</w:t>
            </w:r>
          </w:p>
          <w:p w14:paraId="382A836E">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时间要求</w:t>
            </w:r>
          </w:p>
        </w:tc>
        <w:tc>
          <w:tcPr>
            <w:tcW w:w="6158" w:type="dxa"/>
            <w:gridSpan w:val="2"/>
            <w:vAlign w:val="center"/>
          </w:tcPr>
          <w:p w14:paraId="090F5B03">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自中标通知书发出之日起</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lang w:val="en-US" w:eastAsia="zh-CN"/>
              </w:rPr>
              <w:t>15</w:t>
            </w:r>
            <w:r>
              <w:rPr>
                <w:rFonts w:hint="eastAsia" w:asciiTheme="majorEastAsia" w:hAnsiTheme="majorEastAsia" w:eastAsiaTheme="majorEastAsia" w:cstheme="majorEastAsia"/>
                <w:color w:val="auto"/>
                <w:highlight w:val="none"/>
              </w:rPr>
              <w:t>天内</w:t>
            </w:r>
          </w:p>
        </w:tc>
      </w:tr>
      <w:tr w14:paraId="530C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1FD4D94A">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w:t>
            </w:r>
          </w:p>
        </w:tc>
        <w:tc>
          <w:tcPr>
            <w:tcW w:w="8539" w:type="dxa"/>
            <w:gridSpan w:val="3"/>
            <w:vAlign w:val="center"/>
          </w:tcPr>
          <w:p w14:paraId="2B2FCCA5">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需要补充的其他内容</w:t>
            </w:r>
          </w:p>
        </w:tc>
      </w:tr>
      <w:tr w14:paraId="02CE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390F1964">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9.1</w:t>
            </w:r>
          </w:p>
        </w:tc>
        <w:tc>
          <w:tcPr>
            <w:tcW w:w="2521" w:type="dxa"/>
            <w:gridSpan w:val="2"/>
            <w:vAlign w:val="center"/>
          </w:tcPr>
          <w:p w14:paraId="03E75341">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质疑和投诉</w:t>
            </w:r>
          </w:p>
        </w:tc>
        <w:tc>
          <w:tcPr>
            <w:tcW w:w="6018" w:type="dxa"/>
            <w:vAlign w:val="center"/>
          </w:tcPr>
          <w:p w14:paraId="1BEFB734">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按照《政府采购质疑和投诉办法》（财政部第94号令）处理</w:t>
            </w:r>
          </w:p>
        </w:tc>
      </w:tr>
      <w:tr w14:paraId="2F65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3D646900">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9.2</w:t>
            </w:r>
          </w:p>
        </w:tc>
        <w:tc>
          <w:tcPr>
            <w:tcW w:w="2521" w:type="dxa"/>
            <w:gridSpan w:val="2"/>
            <w:vAlign w:val="center"/>
          </w:tcPr>
          <w:p w14:paraId="6A40D7E1">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招标文件的解释</w:t>
            </w:r>
          </w:p>
        </w:tc>
        <w:tc>
          <w:tcPr>
            <w:tcW w:w="6018" w:type="dxa"/>
            <w:vAlign w:val="center"/>
          </w:tcPr>
          <w:p w14:paraId="45CA31DD">
            <w:pPr>
              <w:spacing w:line="36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由招标人负责</w:t>
            </w:r>
          </w:p>
        </w:tc>
      </w:tr>
      <w:tr w14:paraId="270D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0DB426C1">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9.3</w:t>
            </w:r>
          </w:p>
        </w:tc>
        <w:tc>
          <w:tcPr>
            <w:tcW w:w="2521" w:type="dxa"/>
            <w:gridSpan w:val="2"/>
            <w:vAlign w:val="center"/>
          </w:tcPr>
          <w:p w14:paraId="4AF94343">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落实政府采购政策</w:t>
            </w:r>
          </w:p>
        </w:tc>
        <w:tc>
          <w:tcPr>
            <w:tcW w:w="6018" w:type="dxa"/>
          </w:tcPr>
          <w:p w14:paraId="78797F0D">
            <w:pPr>
              <w:pStyle w:val="38"/>
              <w:spacing w:line="380" w:lineRule="exact"/>
              <w:textAlignment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政府采购促进中小企业发展管理办法》（财库【2020】46号）规定，对小型和微型生产企业生产的产品或承接的服务价格给予10%的扣除，扣除后的价格参与评审。供应商应当提供《中小企业声明函》（格式见附件）</w:t>
            </w:r>
          </w:p>
        </w:tc>
      </w:tr>
      <w:tr w14:paraId="2264B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24AB959">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9.4</w:t>
            </w:r>
          </w:p>
        </w:tc>
        <w:tc>
          <w:tcPr>
            <w:tcW w:w="2521" w:type="dxa"/>
            <w:gridSpan w:val="2"/>
            <w:vAlign w:val="center"/>
          </w:tcPr>
          <w:p w14:paraId="5B2BC62D">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投标报价</w:t>
            </w:r>
          </w:p>
        </w:tc>
        <w:tc>
          <w:tcPr>
            <w:tcW w:w="6018" w:type="dxa"/>
            <w:vAlign w:val="center"/>
          </w:tcPr>
          <w:p w14:paraId="3343738D">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1.供应商应仔细阅读和充分理解招标文件的采购需求和合同主要条款，根据自身实际情况并综合考虑合同履行过程中的各类风险，理性报价。</w:t>
            </w:r>
          </w:p>
          <w:p w14:paraId="735A2020">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2.中标价即为</w:t>
            </w:r>
            <w:r>
              <w:rPr>
                <w:rFonts w:hint="eastAsia" w:asciiTheme="majorEastAsia" w:hAnsiTheme="majorEastAsia" w:eastAsiaTheme="majorEastAsia" w:cstheme="majorEastAsia"/>
                <w:color w:val="auto"/>
                <w:highlight w:val="none"/>
                <w:lang w:val="en-US" w:eastAsia="zh-CN"/>
              </w:rPr>
              <w:t>合</w:t>
            </w:r>
            <w:r>
              <w:rPr>
                <w:rFonts w:hint="eastAsia" w:asciiTheme="majorEastAsia" w:hAnsiTheme="majorEastAsia" w:eastAsiaTheme="majorEastAsia" w:cstheme="majorEastAsia"/>
                <w:color w:val="auto"/>
                <w:highlight w:val="none"/>
              </w:rPr>
              <w:t>同</w:t>
            </w:r>
            <w:r>
              <w:rPr>
                <w:rFonts w:hint="eastAsia" w:asciiTheme="majorEastAsia" w:hAnsiTheme="majorEastAsia" w:eastAsiaTheme="majorEastAsia" w:cstheme="majorEastAsia"/>
                <w:color w:val="auto"/>
                <w:highlight w:val="none"/>
                <w:lang w:val="en-US" w:eastAsia="zh-CN"/>
              </w:rPr>
              <w:t>总</w:t>
            </w:r>
            <w:r>
              <w:rPr>
                <w:rFonts w:hint="eastAsia" w:asciiTheme="majorEastAsia" w:hAnsiTheme="majorEastAsia" w:eastAsiaTheme="majorEastAsia" w:cstheme="majorEastAsia"/>
                <w:color w:val="auto"/>
                <w:highlight w:val="none"/>
              </w:rPr>
              <w:t>价，在合同期内不予调增。</w:t>
            </w:r>
          </w:p>
          <w:p w14:paraId="719642B2">
            <w:pPr>
              <w:spacing w:line="360" w:lineRule="exact"/>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color w:val="auto"/>
                <w:highlight w:val="none"/>
              </w:rPr>
              <w:t>3.异常的低价可能会导致投标无效。</w:t>
            </w:r>
          </w:p>
        </w:tc>
      </w:tr>
      <w:tr w14:paraId="116C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2981219">
            <w:pPr>
              <w:spacing w:line="360" w:lineRule="exact"/>
              <w:jc w:val="center"/>
              <w:rPr>
                <w:rFonts w:hint="eastAsia" w:asciiTheme="majorEastAsia" w:hAnsiTheme="majorEastAsia" w:eastAsiaTheme="majorEastAsia" w:cstheme="majorEastAsia"/>
                <w:b/>
                <w:color w:val="auto"/>
                <w:highlight w:val="none"/>
              </w:rPr>
            </w:pPr>
            <w:bookmarkStart w:id="60" w:name="_Toc426469871"/>
            <w:bookmarkStart w:id="61" w:name="_Toc367784995"/>
            <w:r>
              <w:rPr>
                <w:rFonts w:hint="eastAsia" w:asciiTheme="majorEastAsia" w:hAnsiTheme="majorEastAsia" w:eastAsiaTheme="majorEastAsia" w:cstheme="majorEastAsia"/>
                <w:b/>
                <w:color w:val="auto"/>
                <w:highlight w:val="none"/>
              </w:rPr>
              <w:t>9.5</w:t>
            </w:r>
          </w:p>
        </w:tc>
        <w:tc>
          <w:tcPr>
            <w:tcW w:w="2521" w:type="dxa"/>
            <w:gridSpan w:val="2"/>
            <w:vAlign w:val="center"/>
          </w:tcPr>
          <w:p w14:paraId="6894F084">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其他内容</w:t>
            </w:r>
          </w:p>
        </w:tc>
        <w:tc>
          <w:tcPr>
            <w:tcW w:w="6018" w:type="dxa"/>
            <w:vAlign w:val="center"/>
          </w:tcPr>
          <w:p w14:paraId="787767F0">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b/>
                <w:bCs/>
                <w:color w:val="auto"/>
                <w:highlight w:val="none"/>
              </w:rPr>
              <w:t>本项目招标代理服务费由中标人在领取中标通知书前支付。</w:t>
            </w:r>
            <w:r>
              <w:rPr>
                <w:rFonts w:hint="eastAsia" w:ascii="宋体" w:hAnsi="宋体"/>
                <w:b/>
                <w:color w:val="auto"/>
                <w:sz w:val="24"/>
                <w:szCs w:val="24"/>
                <w:highlight w:val="none"/>
              </w:rPr>
              <w:t>招标代理费按苏招协【2022】002文件规定的</w:t>
            </w:r>
            <w:r>
              <w:rPr>
                <w:rFonts w:hint="eastAsia" w:ascii="宋体" w:hAnsi="宋体"/>
                <w:b/>
                <w:color w:val="auto"/>
                <w:sz w:val="24"/>
                <w:szCs w:val="24"/>
                <w:highlight w:val="none"/>
                <w:lang w:val="en-US" w:eastAsia="zh-CN"/>
              </w:rPr>
              <w:t>86.86</w:t>
            </w:r>
            <w:r>
              <w:rPr>
                <w:rFonts w:hint="eastAsia" w:ascii="宋体" w:hAnsi="宋体"/>
                <w:b/>
                <w:color w:val="auto"/>
                <w:sz w:val="24"/>
                <w:szCs w:val="24"/>
                <w:highlight w:val="none"/>
              </w:rPr>
              <w:t>%计取</w:t>
            </w:r>
            <w:r>
              <w:rPr>
                <w:rFonts w:hint="eastAsia" w:asciiTheme="majorEastAsia" w:hAnsiTheme="majorEastAsia" w:eastAsiaTheme="majorEastAsia" w:cstheme="majorEastAsia"/>
                <w:b/>
                <w:bCs/>
                <w:color w:val="auto"/>
                <w:highlight w:val="none"/>
              </w:rPr>
              <w:t>。以上费用包含在总报价中，无需单列，采购人不另外支付。供应商应充分考虑投标所发生的所有费用。</w:t>
            </w:r>
          </w:p>
          <w:p w14:paraId="43AD6F9A">
            <w:pPr>
              <w:spacing w:line="360" w:lineRule="exact"/>
              <w:jc w:val="left"/>
              <w:rPr>
                <w:rFonts w:eastAsiaTheme="majorEastAsia"/>
                <w:color w:val="auto"/>
                <w:highlight w:val="none"/>
              </w:rPr>
            </w:pPr>
            <w:r>
              <w:rPr>
                <w:rFonts w:hint="eastAsia" w:asciiTheme="majorEastAsia" w:hAnsiTheme="majorEastAsia" w:eastAsiaTheme="majorEastAsia" w:cstheme="majorEastAsia"/>
                <w:color w:val="auto"/>
                <w:highlight w:val="none"/>
              </w:rPr>
              <w:t>2、评审费：按苏财购〔2016〕48号规定，外加路费补贴。</w:t>
            </w:r>
          </w:p>
        </w:tc>
      </w:tr>
    </w:tbl>
    <w:p w14:paraId="017251AC">
      <w:pPr>
        <w:adjustRightInd w:val="0"/>
        <w:snapToGrid w:val="0"/>
        <w:spacing w:line="490" w:lineRule="exact"/>
        <w:outlineLvl w:val="1"/>
        <w:rPr>
          <w:rFonts w:hint="eastAsia" w:asciiTheme="majorEastAsia" w:hAnsiTheme="majorEastAsia" w:eastAsiaTheme="majorEastAsia" w:cstheme="majorEastAsia"/>
          <w:color w:val="auto"/>
          <w:highlight w:val="none"/>
        </w:rPr>
      </w:pPr>
      <w:bookmarkStart w:id="62" w:name="_Toc4797"/>
      <w:r>
        <w:rPr>
          <w:rFonts w:hint="eastAsia" w:asciiTheme="majorEastAsia" w:hAnsiTheme="majorEastAsia" w:eastAsiaTheme="majorEastAsia" w:cstheme="majorEastAsia"/>
          <w:color w:val="auto"/>
          <w:highlight w:val="none"/>
        </w:rPr>
        <w:t>1.总则</w:t>
      </w:r>
      <w:bookmarkEnd w:id="60"/>
      <w:bookmarkEnd w:id="61"/>
      <w:bookmarkEnd w:id="62"/>
    </w:p>
    <w:p w14:paraId="745A8933">
      <w:pPr>
        <w:adjustRightInd w:val="0"/>
        <w:snapToGrid w:val="0"/>
        <w:spacing w:line="490" w:lineRule="exact"/>
        <w:rPr>
          <w:rFonts w:hint="eastAsia" w:asciiTheme="majorEastAsia" w:hAnsiTheme="majorEastAsia" w:eastAsiaTheme="majorEastAsia" w:cstheme="majorEastAsia"/>
          <w:b/>
          <w:color w:val="auto"/>
          <w:highlight w:val="none"/>
        </w:rPr>
      </w:pPr>
      <w:bookmarkStart w:id="63" w:name="_Toc343525506"/>
      <w:bookmarkStart w:id="64" w:name="_Toc152045530"/>
      <w:bookmarkStart w:id="65" w:name="_Toc179632547"/>
      <w:bookmarkStart w:id="66" w:name="_Toc383438593"/>
      <w:bookmarkStart w:id="67" w:name="_Toc246996176"/>
      <w:bookmarkStart w:id="68" w:name="_Toc247085690"/>
      <w:bookmarkStart w:id="69" w:name="_Toc144974498"/>
      <w:bookmarkStart w:id="70" w:name="_Toc426469872"/>
      <w:bookmarkStart w:id="71" w:name="_Toc246996919"/>
      <w:bookmarkStart w:id="72" w:name="_Toc152042306"/>
      <w:bookmarkStart w:id="73" w:name="_Toc367784996"/>
      <w:r>
        <w:rPr>
          <w:rFonts w:hint="eastAsia" w:asciiTheme="majorEastAsia" w:hAnsiTheme="majorEastAsia" w:eastAsiaTheme="majorEastAsia" w:cstheme="majorEastAsia"/>
          <w:b/>
          <w:color w:val="auto"/>
          <w:highlight w:val="none"/>
        </w:rPr>
        <w:t>1.1 项目概况</w:t>
      </w:r>
      <w:bookmarkEnd w:id="63"/>
      <w:bookmarkEnd w:id="64"/>
      <w:bookmarkEnd w:id="65"/>
      <w:bookmarkEnd w:id="66"/>
      <w:bookmarkEnd w:id="67"/>
      <w:bookmarkEnd w:id="68"/>
      <w:bookmarkEnd w:id="69"/>
      <w:bookmarkEnd w:id="70"/>
      <w:bookmarkEnd w:id="71"/>
      <w:bookmarkEnd w:id="72"/>
    </w:p>
    <w:p w14:paraId="309BC6C7">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1.1.1根据《中华人民共和国政府采购法》、《中华人民共和国政府采购法实施条例》等有关法律、法规和规章的规定，本采购项目已具备采购条件，现对本项目进行公开招标。</w:t>
      </w:r>
    </w:p>
    <w:p w14:paraId="5FB9FF1F">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1.1.2 招标人：见供应商须知前附表。</w:t>
      </w:r>
    </w:p>
    <w:p w14:paraId="3F61E91D">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1.1.3 采购代理机构：见供应商须知前附表。</w:t>
      </w:r>
    </w:p>
    <w:p w14:paraId="384B82C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1.1.4 项目名称及项目编号：见供应商须知前附表。</w:t>
      </w:r>
    </w:p>
    <w:p w14:paraId="18E92694">
      <w:pPr>
        <w:adjustRightInd w:val="0"/>
        <w:snapToGrid w:val="0"/>
        <w:spacing w:line="490" w:lineRule="exact"/>
        <w:rPr>
          <w:rFonts w:hint="eastAsia" w:asciiTheme="majorEastAsia" w:hAnsiTheme="majorEastAsia" w:eastAsiaTheme="majorEastAsia" w:cstheme="majorEastAsia"/>
          <w:b/>
          <w:color w:val="auto"/>
          <w:highlight w:val="none"/>
        </w:rPr>
      </w:pPr>
      <w:bookmarkStart w:id="74" w:name="_Toc426469873"/>
      <w:bookmarkStart w:id="75" w:name="_Toc246996920"/>
      <w:bookmarkStart w:id="76" w:name="_Toc383438594"/>
      <w:bookmarkStart w:id="77" w:name="_Toc343525507"/>
      <w:bookmarkStart w:id="78" w:name="_Toc179632548"/>
      <w:bookmarkStart w:id="79" w:name="_Toc247085691"/>
      <w:bookmarkStart w:id="80" w:name="_Toc152042307"/>
      <w:bookmarkStart w:id="81" w:name="_Toc246996177"/>
      <w:bookmarkStart w:id="82" w:name="_Toc152045531"/>
      <w:bookmarkStart w:id="83" w:name="_Toc144974499"/>
      <w:r>
        <w:rPr>
          <w:rFonts w:hint="eastAsia" w:asciiTheme="majorEastAsia" w:hAnsiTheme="majorEastAsia" w:eastAsiaTheme="majorEastAsia" w:cstheme="majorEastAsia"/>
          <w:b/>
          <w:color w:val="auto"/>
          <w:highlight w:val="none"/>
        </w:rPr>
        <w:t>1.2</w:t>
      </w:r>
      <w:bookmarkEnd w:id="74"/>
      <w:bookmarkEnd w:id="75"/>
      <w:bookmarkEnd w:id="76"/>
      <w:bookmarkEnd w:id="77"/>
      <w:bookmarkEnd w:id="78"/>
      <w:bookmarkEnd w:id="79"/>
      <w:bookmarkEnd w:id="80"/>
      <w:bookmarkEnd w:id="81"/>
      <w:bookmarkEnd w:id="82"/>
      <w:bookmarkEnd w:id="83"/>
      <w:r>
        <w:rPr>
          <w:rFonts w:hint="eastAsia" w:asciiTheme="majorEastAsia" w:hAnsiTheme="majorEastAsia" w:eastAsiaTheme="majorEastAsia" w:cstheme="majorEastAsia"/>
          <w:b/>
          <w:color w:val="auto"/>
          <w:highlight w:val="none"/>
        </w:rPr>
        <w:t>付款方式</w:t>
      </w:r>
    </w:p>
    <w:p w14:paraId="6D73C73E">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1.2.1付款方式：见供应商须知前附表。</w:t>
      </w:r>
    </w:p>
    <w:p w14:paraId="5824DC59">
      <w:pPr>
        <w:adjustRightInd w:val="0"/>
        <w:snapToGrid w:val="0"/>
        <w:spacing w:line="490" w:lineRule="exact"/>
        <w:rPr>
          <w:rFonts w:hint="eastAsia" w:asciiTheme="majorEastAsia" w:hAnsiTheme="majorEastAsia" w:eastAsiaTheme="majorEastAsia" w:cstheme="majorEastAsia"/>
          <w:b/>
          <w:color w:val="auto"/>
          <w:highlight w:val="none"/>
        </w:rPr>
      </w:pPr>
      <w:bookmarkStart w:id="84" w:name="_Toc343525508"/>
      <w:bookmarkStart w:id="85" w:name="_Toc152045532"/>
      <w:bookmarkStart w:id="86" w:name="_Toc383438595"/>
      <w:bookmarkStart w:id="87" w:name="_Toc144974500"/>
      <w:bookmarkStart w:id="88" w:name="_Toc247085692"/>
      <w:bookmarkStart w:id="89" w:name="_Toc246996178"/>
      <w:bookmarkStart w:id="90" w:name="_Toc246996921"/>
      <w:bookmarkStart w:id="91" w:name="_Toc152042308"/>
      <w:bookmarkStart w:id="92" w:name="_Toc179632549"/>
      <w:bookmarkStart w:id="93" w:name="_Toc426469874"/>
      <w:r>
        <w:rPr>
          <w:rFonts w:hint="eastAsia" w:asciiTheme="majorEastAsia" w:hAnsiTheme="majorEastAsia" w:eastAsiaTheme="majorEastAsia" w:cstheme="majorEastAsia"/>
          <w:b/>
          <w:color w:val="auto"/>
          <w:highlight w:val="none"/>
        </w:rPr>
        <w:t xml:space="preserve">1.3 </w:t>
      </w:r>
      <w:bookmarkEnd w:id="84"/>
      <w:bookmarkEnd w:id="85"/>
      <w:bookmarkEnd w:id="86"/>
      <w:bookmarkEnd w:id="87"/>
      <w:bookmarkEnd w:id="88"/>
      <w:bookmarkEnd w:id="89"/>
      <w:bookmarkEnd w:id="90"/>
      <w:bookmarkEnd w:id="91"/>
      <w:bookmarkEnd w:id="92"/>
      <w:r>
        <w:rPr>
          <w:rFonts w:hint="eastAsia" w:asciiTheme="majorEastAsia" w:hAnsiTheme="majorEastAsia" w:eastAsiaTheme="majorEastAsia" w:cstheme="majorEastAsia"/>
          <w:b/>
          <w:color w:val="auto"/>
          <w:highlight w:val="none"/>
        </w:rPr>
        <w:t>采购范围</w:t>
      </w:r>
      <w:bookmarkEnd w:id="93"/>
      <w:r>
        <w:rPr>
          <w:rFonts w:hint="eastAsia" w:asciiTheme="majorEastAsia" w:hAnsiTheme="majorEastAsia" w:eastAsiaTheme="majorEastAsia" w:cstheme="majorEastAsia"/>
          <w:b/>
          <w:color w:val="auto"/>
          <w:highlight w:val="none"/>
        </w:rPr>
        <w:t>与服务期限</w:t>
      </w:r>
    </w:p>
    <w:p w14:paraId="5BD7236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1.3.1 采购范围：见供应商须知前附表。</w:t>
      </w:r>
    </w:p>
    <w:p w14:paraId="3047576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1.3.2 服务期限：见供应商须知前附表。</w:t>
      </w:r>
    </w:p>
    <w:p w14:paraId="09138A04">
      <w:pPr>
        <w:adjustRightInd w:val="0"/>
        <w:snapToGrid w:val="0"/>
        <w:spacing w:line="490" w:lineRule="exact"/>
        <w:rPr>
          <w:rFonts w:hint="eastAsia" w:asciiTheme="majorEastAsia" w:hAnsiTheme="majorEastAsia" w:eastAsiaTheme="majorEastAsia" w:cstheme="majorEastAsia"/>
          <w:b/>
          <w:color w:val="auto"/>
          <w:highlight w:val="none"/>
        </w:rPr>
      </w:pPr>
      <w:bookmarkStart w:id="94" w:name="_Toc343525509"/>
      <w:bookmarkStart w:id="95" w:name="_Toc179632551"/>
      <w:bookmarkStart w:id="96" w:name="_Toc152045534"/>
      <w:bookmarkStart w:id="97" w:name="_Toc247085693"/>
      <w:bookmarkStart w:id="98" w:name="_Toc246996922"/>
      <w:bookmarkStart w:id="99" w:name="_Toc246996179"/>
      <w:bookmarkStart w:id="100" w:name="_Toc383438596"/>
      <w:bookmarkStart w:id="101" w:name="_Toc144974502"/>
      <w:bookmarkStart w:id="102" w:name="_Toc426469875"/>
      <w:bookmarkStart w:id="103" w:name="_Toc152042310"/>
      <w:r>
        <w:rPr>
          <w:rFonts w:hint="eastAsia" w:asciiTheme="majorEastAsia" w:hAnsiTheme="majorEastAsia" w:eastAsiaTheme="majorEastAsia" w:cstheme="majorEastAsia"/>
          <w:b/>
          <w:color w:val="auto"/>
          <w:highlight w:val="none"/>
        </w:rPr>
        <w:t>1.4 供应商资格要求</w:t>
      </w:r>
      <w:bookmarkEnd w:id="94"/>
      <w:bookmarkEnd w:id="95"/>
      <w:bookmarkEnd w:id="96"/>
      <w:bookmarkEnd w:id="97"/>
      <w:bookmarkEnd w:id="98"/>
      <w:bookmarkEnd w:id="99"/>
      <w:bookmarkEnd w:id="100"/>
      <w:bookmarkEnd w:id="101"/>
      <w:bookmarkEnd w:id="102"/>
      <w:bookmarkEnd w:id="103"/>
    </w:p>
    <w:p w14:paraId="328F8522">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1.4.1 供应商参加政府采购活动应当具备下列条件：</w:t>
      </w:r>
    </w:p>
    <w:p w14:paraId="2DD6C9FC">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（1）具有独立承担民事责任的能力；</w:t>
      </w:r>
    </w:p>
    <w:p w14:paraId="131D60F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（2）具有良好的商业信誉和健全的财务会计制度；</w:t>
      </w:r>
    </w:p>
    <w:p w14:paraId="4C3CC0C9">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（3）具有履行合同所必需的设备和专业技术能力；</w:t>
      </w:r>
    </w:p>
    <w:p w14:paraId="6DE3B716">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（4）有依法缴纳税收和社会保障资金的良好记录；</w:t>
      </w:r>
    </w:p>
    <w:p w14:paraId="6738F695">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（5）参加政府采购活动前三年内，在经营活动中没有重大违法记录；</w:t>
      </w:r>
    </w:p>
    <w:p w14:paraId="59932197">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（6）法律、行政法规规定的其他条件。</w:t>
      </w:r>
    </w:p>
    <w:p w14:paraId="1726B5FF">
      <w:pPr>
        <w:adjustRightInd w:val="0"/>
        <w:snapToGrid w:val="0"/>
        <w:spacing w:line="49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1.4.2根据采购项目特殊要求，要求供应商具备的特定条件：见供应商须知前附表。</w:t>
      </w:r>
    </w:p>
    <w:p w14:paraId="597CF893">
      <w:pPr>
        <w:adjustRightInd w:val="0"/>
        <w:snapToGrid w:val="0"/>
        <w:spacing w:line="49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1.4.3供应商不得存在下列情形之一：</w:t>
      </w:r>
    </w:p>
    <w:p w14:paraId="68B95376">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（l）与招标人或采购代理机构存在隶属关系或者其他利害关系；</w:t>
      </w:r>
    </w:p>
    <w:p w14:paraId="1C31347B">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（2）为采购项目提供了整体设计、规范编制或者项目管理、监理、检测等服务；</w:t>
      </w:r>
    </w:p>
    <w:p w14:paraId="4797A175">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（3）单位负责人为同一人或者存在直接控股、管理关系的不同供应商，参加同一合同项下的政府采购活动。</w:t>
      </w:r>
    </w:p>
    <w:p w14:paraId="5B57F7D5">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（4）以联合体形式参加政府采购活动的，联合体各方再单独参加或者与其他供应商另外组成联合体参加同一合同项下的政府采购活动。</w:t>
      </w:r>
    </w:p>
    <w:p w14:paraId="3CACFCDE">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（5）法律、行政法规规定的其他条件。</w:t>
      </w:r>
    </w:p>
    <w:p w14:paraId="5B16A222">
      <w:pPr>
        <w:adjustRightInd w:val="0"/>
        <w:snapToGrid w:val="0"/>
        <w:spacing w:line="490" w:lineRule="exact"/>
        <w:rPr>
          <w:rFonts w:hint="eastAsia" w:asciiTheme="majorEastAsia" w:hAnsiTheme="majorEastAsia" w:eastAsiaTheme="majorEastAsia" w:cstheme="majorEastAsia"/>
          <w:b/>
          <w:color w:val="auto"/>
          <w:highlight w:val="none"/>
        </w:rPr>
      </w:pPr>
      <w:bookmarkStart w:id="104" w:name="_Toc152042311"/>
      <w:bookmarkStart w:id="105" w:name="_Toc247085694"/>
      <w:bookmarkStart w:id="106" w:name="_Toc152045535"/>
      <w:bookmarkStart w:id="107" w:name="_Toc179632552"/>
      <w:bookmarkStart w:id="108" w:name="_Toc246996923"/>
      <w:bookmarkStart w:id="109" w:name="_Toc144974503"/>
      <w:bookmarkStart w:id="110" w:name="_Toc383438597"/>
      <w:bookmarkStart w:id="111" w:name="_Toc426469876"/>
      <w:bookmarkStart w:id="112" w:name="_Toc246996180"/>
      <w:bookmarkStart w:id="113" w:name="_Toc343525510"/>
      <w:r>
        <w:rPr>
          <w:rFonts w:hint="eastAsia" w:asciiTheme="majorEastAsia" w:hAnsiTheme="majorEastAsia" w:eastAsiaTheme="majorEastAsia" w:cstheme="majorEastAsia"/>
          <w:b/>
          <w:color w:val="auto"/>
          <w:highlight w:val="none"/>
        </w:rPr>
        <w:t>1.5费用承担</w:t>
      </w:r>
      <w:bookmarkEnd w:id="104"/>
      <w:bookmarkEnd w:id="105"/>
      <w:bookmarkEnd w:id="106"/>
      <w:bookmarkEnd w:id="107"/>
      <w:bookmarkEnd w:id="108"/>
      <w:bookmarkEnd w:id="109"/>
      <w:bookmarkEnd w:id="110"/>
      <w:bookmarkEnd w:id="111"/>
      <w:bookmarkEnd w:id="112"/>
      <w:bookmarkEnd w:id="113"/>
    </w:p>
    <w:p w14:paraId="3D367F5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无论采购结果如何，供应商为准备和参加投标活动发生的费用自理。</w:t>
      </w:r>
    </w:p>
    <w:p w14:paraId="12CF6DEC">
      <w:pPr>
        <w:adjustRightInd w:val="0"/>
        <w:snapToGrid w:val="0"/>
        <w:spacing w:line="490" w:lineRule="exact"/>
        <w:rPr>
          <w:rFonts w:hint="eastAsia" w:asciiTheme="majorEastAsia" w:hAnsiTheme="majorEastAsia" w:eastAsiaTheme="majorEastAsia" w:cstheme="majorEastAsia"/>
          <w:b/>
          <w:color w:val="auto"/>
          <w:highlight w:val="none"/>
        </w:rPr>
      </w:pPr>
      <w:bookmarkStart w:id="114" w:name="_Toc144974505"/>
      <w:bookmarkStart w:id="115" w:name="_Toc179632554"/>
      <w:bookmarkStart w:id="116" w:name="_Toc247085696"/>
      <w:bookmarkStart w:id="117" w:name="_Toc426469878"/>
      <w:bookmarkStart w:id="118" w:name="_Toc152045537"/>
      <w:bookmarkStart w:id="119" w:name="_Toc343525512"/>
      <w:bookmarkStart w:id="120" w:name="_Toc152042313"/>
      <w:bookmarkStart w:id="121" w:name="_Toc246996925"/>
      <w:bookmarkStart w:id="122" w:name="_Toc383438599"/>
      <w:bookmarkStart w:id="123" w:name="_Toc246996182"/>
      <w:r>
        <w:rPr>
          <w:rFonts w:hint="eastAsia" w:asciiTheme="majorEastAsia" w:hAnsiTheme="majorEastAsia" w:eastAsiaTheme="majorEastAsia" w:cstheme="majorEastAsia"/>
          <w:b/>
          <w:color w:val="auto"/>
          <w:highlight w:val="none"/>
        </w:rPr>
        <w:t>1.6语言</w:t>
      </w:r>
      <w:bookmarkEnd w:id="114"/>
      <w:r>
        <w:rPr>
          <w:rFonts w:hint="eastAsia" w:asciiTheme="majorEastAsia" w:hAnsiTheme="majorEastAsia" w:eastAsiaTheme="majorEastAsia" w:cstheme="majorEastAsia"/>
          <w:b/>
          <w:color w:val="auto"/>
          <w:highlight w:val="none"/>
        </w:rPr>
        <w:t>文字</w:t>
      </w:r>
      <w:bookmarkEnd w:id="115"/>
      <w:bookmarkEnd w:id="116"/>
      <w:bookmarkEnd w:id="117"/>
      <w:bookmarkEnd w:id="118"/>
      <w:bookmarkEnd w:id="119"/>
      <w:bookmarkEnd w:id="120"/>
      <w:bookmarkEnd w:id="121"/>
      <w:bookmarkEnd w:id="122"/>
      <w:bookmarkEnd w:id="123"/>
    </w:p>
    <w:p w14:paraId="5BD30BDC">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bookmarkStart w:id="124" w:name="_Toc179632555"/>
      <w:bookmarkStart w:id="125" w:name="_Toc144974506"/>
      <w:bookmarkStart w:id="126" w:name="_Toc246996926"/>
      <w:bookmarkStart w:id="127" w:name="_Toc246996183"/>
      <w:bookmarkStart w:id="128" w:name="_Toc152042314"/>
      <w:bookmarkStart w:id="129" w:name="_Toc247085697"/>
      <w:bookmarkStart w:id="130" w:name="_Toc152045538"/>
      <w:r>
        <w:rPr>
          <w:rFonts w:hint="eastAsia" w:asciiTheme="majorEastAsia" w:hAnsiTheme="majorEastAsia" w:eastAsiaTheme="majorEastAsia" w:cstheme="majorEastAsia"/>
          <w:color w:val="auto"/>
          <w:highlight w:val="none"/>
        </w:rPr>
        <w:t>招投标文件使用的语言文字为中文。专用术语使用外文的，应附有中文注释。</w:t>
      </w:r>
    </w:p>
    <w:p w14:paraId="41BA7760">
      <w:pPr>
        <w:adjustRightInd w:val="0"/>
        <w:snapToGrid w:val="0"/>
        <w:spacing w:line="490" w:lineRule="exact"/>
        <w:rPr>
          <w:rFonts w:hint="eastAsia" w:asciiTheme="majorEastAsia" w:hAnsiTheme="majorEastAsia" w:eastAsiaTheme="majorEastAsia" w:cstheme="majorEastAsia"/>
          <w:b/>
          <w:color w:val="auto"/>
          <w:highlight w:val="none"/>
        </w:rPr>
      </w:pPr>
      <w:bookmarkStart w:id="131" w:name="_Toc383438600"/>
      <w:bookmarkStart w:id="132" w:name="_Toc343525513"/>
      <w:bookmarkStart w:id="133" w:name="_Toc426469879"/>
      <w:r>
        <w:rPr>
          <w:rFonts w:hint="eastAsia" w:asciiTheme="majorEastAsia" w:hAnsiTheme="majorEastAsia" w:eastAsiaTheme="majorEastAsia" w:cstheme="majorEastAsia"/>
          <w:b/>
          <w:color w:val="auto"/>
          <w:highlight w:val="none"/>
        </w:rPr>
        <w:t>1.7 计量单位</w:t>
      </w:r>
      <w:bookmarkEnd w:id="124"/>
      <w:bookmarkEnd w:id="125"/>
      <w:bookmarkEnd w:id="126"/>
      <w:bookmarkEnd w:id="127"/>
      <w:bookmarkEnd w:id="128"/>
      <w:bookmarkEnd w:id="129"/>
      <w:bookmarkEnd w:id="130"/>
      <w:bookmarkEnd w:id="131"/>
      <w:bookmarkEnd w:id="132"/>
      <w:bookmarkEnd w:id="133"/>
    </w:p>
    <w:p w14:paraId="2EBBAB0C">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所有计量均采用中华人民共和国法定计量单位。</w:t>
      </w:r>
    </w:p>
    <w:p w14:paraId="7F57F34D">
      <w:pPr>
        <w:adjustRightInd w:val="0"/>
        <w:snapToGrid w:val="0"/>
        <w:spacing w:line="490" w:lineRule="exact"/>
        <w:rPr>
          <w:rFonts w:hint="eastAsia" w:asciiTheme="majorEastAsia" w:hAnsiTheme="majorEastAsia" w:eastAsiaTheme="majorEastAsia" w:cstheme="majorEastAsia"/>
          <w:b/>
          <w:color w:val="auto"/>
          <w:highlight w:val="none"/>
        </w:rPr>
      </w:pPr>
      <w:bookmarkStart w:id="134" w:name="_Toc426469881"/>
      <w:r>
        <w:rPr>
          <w:rFonts w:hint="eastAsia" w:asciiTheme="majorEastAsia" w:hAnsiTheme="majorEastAsia" w:eastAsiaTheme="majorEastAsia" w:cstheme="majorEastAsia"/>
          <w:b/>
          <w:color w:val="auto"/>
          <w:highlight w:val="none"/>
        </w:rPr>
        <w:t>1.8偏离</w:t>
      </w:r>
      <w:bookmarkEnd w:id="134"/>
    </w:p>
    <w:p w14:paraId="75AFF5D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1.8.1偏离是指投标文件中的内容与招标文件中规定的技术参数、标准、服务要求等不一致的情形。优于招标文件规定的技术参数、标准、服务要求的为正偏离，反之为负偏离。</w:t>
      </w:r>
    </w:p>
    <w:p w14:paraId="761161A1">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1.8.2偏离的具体要求见供应商须知前附表。</w:t>
      </w:r>
    </w:p>
    <w:p w14:paraId="5C9B8A68">
      <w:pPr>
        <w:adjustRightInd w:val="0"/>
        <w:snapToGrid w:val="0"/>
        <w:spacing w:line="490" w:lineRule="exact"/>
        <w:outlineLvl w:val="1"/>
        <w:rPr>
          <w:rFonts w:hint="eastAsia" w:asciiTheme="majorEastAsia" w:hAnsiTheme="majorEastAsia" w:eastAsiaTheme="majorEastAsia" w:cstheme="majorEastAsia"/>
          <w:color w:val="auto"/>
          <w:highlight w:val="none"/>
        </w:rPr>
      </w:pPr>
      <w:bookmarkStart w:id="135" w:name="_Toc383438604"/>
      <w:bookmarkStart w:id="136" w:name="_Toc3240"/>
      <w:bookmarkStart w:id="137" w:name="_Toc343525517"/>
      <w:bookmarkStart w:id="138" w:name="_Toc426469882"/>
      <w:r>
        <w:rPr>
          <w:rFonts w:hint="eastAsia" w:asciiTheme="majorEastAsia" w:hAnsiTheme="majorEastAsia" w:eastAsiaTheme="majorEastAsia" w:cstheme="majorEastAsia"/>
          <w:color w:val="auto"/>
          <w:highlight w:val="none"/>
        </w:rPr>
        <w:t>2. 招标文件</w:t>
      </w:r>
      <w:bookmarkEnd w:id="135"/>
      <w:bookmarkEnd w:id="136"/>
      <w:bookmarkEnd w:id="137"/>
      <w:bookmarkEnd w:id="138"/>
    </w:p>
    <w:p w14:paraId="382D8271">
      <w:pPr>
        <w:adjustRightInd w:val="0"/>
        <w:snapToGrid w:val="0"/>
        <w:spacing w:line="490" w:lineRule="exact"/>
        <w:rPr>
          <w:rFonts w:hint="eastAsia" w:asciiTheme="majorEastAsia" w:hAnsiTheme="majorEastAsia" w:eastAsiaTheme="majorEastAsia" w:cstheme="majorEastAsia"/>
          <w:b/>
          <w:color w:val="auto"/>
          <w:highlight w:val="none"/>
        </w:rPr>
      </w:pPr>
      <w:bookmarkStart w:id="139" w:name="_Toc144974511"/>
      <w:bookmarkStart w:id="140" w:name="_Toc247085702"/>
      <w:bookmarkStart w:id="141" w:name="_Toc152045543"/>
      <w:bookmarkStart w:id="142" w:name="_Toc152042319"/>
      <w:bookmarkStart w:id="143" w:name="_Toc426469883"/>
      <w:bookmarkStart w:id="144" w:name="_Toc246996188"/>
      <w:bookmarkStart w:id="145" w:name="_Toc383438605"/>
      <w:bookmarkStart w:id="146" w:name="_Toc343525518"/>
      <w:bookmarkStart w:id="147" w:name="_Toc179632561"/>
      <w:bookmarkStart w:id="148" w:name="_Toc246996931"/>
      <w:r>
        <w:rPr>
          <w:rFonts w:hint="eastAsia" w:asciiTheme="majorEastAsia" w:hAnsiTheme="majorEastAsia" w:eastAsiaTheme="majorEastAsia" w:cstheme="majorEastAsia"/>
          <w:b/>
          <w:color w:val="auto"/>
          <w:highlight w:val="none"/>
        </w:rPr>
        <w:t>2.1 招标文件的组成</w:t>
      </w:r>
      <w:bookmarkEnd w:id="139"/>
      <w:bookmarkEnd w:id="140"/>
      <w:bookmarkEnd w:id="141"/>
      <w:bookmarkEnd w:id="142"/>
      <w:bookmarkEnd w:id="143"/>
      <w:bookmarkEnd w:id="144"/>
      <w:bookmarkEnd w:id="145"/>
      <w:bookmarkEnd w:id="146"/>
      <w:bookmarkEnd w:id="147"/>
      <w:bookmarkEnd w:id="148"/>
    </w:p>
    <w:p w14:paraId="26D93F6A">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2.1.1 本招标文件包括：</w:t>
      </w:r>
    </w:p>
    <w:p w14:paraId="4DFF575E">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（1）招标公告；</w:t>
      </w:r>
    </w:p>
    <w:p w14:paraId="55985D43">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（2）供应商须知；</w:t>
      </w:r>
    </w:p>
    <w:p w14:paraId="1120A1CD">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（3）评标办法；</w:t>
      </w:r>
    </w:p>
    <w:p w14:paraId="0C86123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（4）合同条款及格式；</w:t>
      </w:r>
    </w:p>
    <w:p w14:paraId="3B9A904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（5）采购需求； </w:t>
      </w:r>
    </w:p>
    <w:p w14:paraId="27A81DC7">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（6）投标文件的编制要求及参考格式；</w:t>
      </w:r>
    </w:p>
    <w:p w14:paraId="18829CDB">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（7）供应商须知前附表规定的构成招标文件的其他材料。</w:t>
      </w:r>
    </w:p>
    <w:p w14:paraId="7FA4654B">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2.1.2根据本章第2.2款和第2.3款对招标文件所作的澄清、修改，构成招标文件的组成部分。</w:t>
      </w:r>
    </w:p>
    <w:p w14:paraId="55365ADE">
      <w:pPr>
        <w:adjustRightInd w:val="0"/>
        <w:snapToGrid w:val="0"/>
        <w:spacing w:line="490" w:lineRule="exact"/>
        <w:rPr>
          <w:rFonts w:hint="eastAsia" w:asciiTheme="majorEastAsia" w:hAnsiTheme="majorEastAsia" w:eastAsiaTheme="majorEastAsia" w:cstheme="majorEastAsia"/>
          <w:b/>
          <w:color w:val="auto"/>
          <w:highlight w:val="none"/>
        </w:rPr>
      </w:pPr>
      <w:bookmarkStart w:id="149" w:name="_Toc246996189"/>
      <w:bookmarkStart w:id="150" w:name="_Toc144974512"/>
      <w:bookmarkStart w:id="151" w:name="_Toc152045544"/>
      <w:bookmarkStart w:id="152" w:name="_Toc152042320"/>
      <w:bookmarkStart w:id="153" w:name="_Toc247085703"/>
      <w:bookmarkStart w:id="154" w:name="_Toc246996932"/>
      <w:bookmarkStart w:id="155" w:name="_Toc426469884"/>
      <w:bookmarkStart w:id="156" w:name="_Toc343525519"/>
      <w:bookmarkStart w:id="157" w:name="_Toc179632562"/>
      <w:bookmarkStart w:id="158" w:name="_Toc383438606"/>
      <w:r>
        <w:rPr>
          <w:rFonts w:hint="eastAsia" w:asciiTheme="majorEastAsia" w:hAnsiTheme="majorEastAsia" w:eastAsiaTheme="majorEastAsia" w:cstheme="majorEastAsia"/>
          <w:b/>
          <w:color w:val="auto"/>
          <w:highlight w:val="none"/>
        </w:rPr>
        <w:t>2.2 招标文件的澄清</w:t>
      </w:r>
      <w:bookmarkEnd w:id="149"/>
      <w:bookmarkEnd w:id="150"/>
      <w:bookmarkEnd w:id="151"/>
      <w:bookmarkEnd w:id="152"/>
      <w:bookmarkEnd w:id="153"/>
      <w:bookmarkEnd w:id="154"/>
      <w:bookmarkEnd w:id="155"/>
      <w:bookmarkEnd w:id="156"/>
      <w:bookmarkEnd w:id="157"/>
      <w:bookmarkEnd w:id="158"/>
      <w:r>
        <w:rPr>
          <w:rFonts w:hint="eastAsia" w:asciiTheme="majorEastAsia" w:hAnsiTheme="majorEastAsia" w:eastAsiaTheme="majorEastAsia" w:cstheme="majorEastAsia"/>
          <w:b/>
          <w:color w:val="auto"/>
          <w:highlight w:val="none"/>
        </w:rPr>
        <w:t xml:space="preserve"> </w:t>
      </w:r>
    </w:p>
    <w:p w14:paraId="22872BEB">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388AC56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2F656691">
      <w:pPr>
        <w:adjustRightInd w:val="0"/>
        <w:snapToGrid w:val="0"/>
        <w:spacing w:line="490" w:lineRule="exact"/>
        <w:rPr>
          <w:rFonts w:hint="eastAsia" w:asciiTheme="majorEastAsia" w:hAnsiTheme="majorEastAsia" w:eastAsiaTheme="majorEastAsia" w:cstheme="majorEastAsia"/>
          <w:b/>
          <w:color w:val="auto"/>
          <w:highlight w:val="none"/>
        </w:rPr>
      </w:pPr>
      <w:bookmarkStart w:id="159" w:name="_Toc144974513"/>
      <w:bookmarkStart w:id="160" w:name="_Toc179632563"/>
      <w:bookmarkStart w:id="161" w:name="_Toc426469885"/>
      <w:bookmarkStart w:id="162" w:name="_Toc247085704"/>
      <w:bookmarkStart w:id="163" w:name="_Toc246996933"/>
      <w:bookmarkStart w:id="164" w:name="_Toc152045545"/>
      <w:bookmarkStart w:id="165" w:name="_Toc343525520"/>
      <w:bookmarkStart w:id="166" w:name="_Toc152042321"/>
      <w:bookmarkStart w:id="167" w:name="_Toc383438607"/>
      <w:bookmarkStart w:id="168" w:name="_Toc246996190"/>
      <w:r>
        <w:rPr>
          <w:rFonts w:hint="eastAsia" w:asciiTheme="majorEastAsia" w:hAnsiTheme="majorEastAsia" w:eastAsiaTheme="majorEastAsia" w:cstheme="majorEastAsia"/>
          <w:b/>
          <w:color w:val="auto"/>
          <w:highlight w:val="none"/>
        </w:rPr>
        <w:t>2.3 招标文件的修改</w:t>
      </w:r>
      <w:bookmarkEnd w:id="159"/>
      <w:bookmarkEnd w:id="160"/>
      <w:bookmarkEnd w:id="161"/>
      <w:bookmarkEnd w:id="162"/>
      <w:bookmarkEnd w:id="163"/>
      <w:bookmarkEnd w:id="164"/>
      <w:bookmarkEnd w:id="165"/>
      <w:bookmarkEnd w:id="166"/>
      <w:bookmarkEnd w:id="167"/>
      <w:bookmarkEnd w:id="168"/>
    </w:p>
    <w:p w14:paraId="65E399F3">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0DD2B71C">
      <w:pPr>
        <w:adjustRightInd w:val="0"/>
        <w:snapToGrid w:val="0"/>
        <w:spacing w:line="49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2.4招标文件的重新发布</w:t>
      </w:r>
    </w:p>
    <w:p w14:paraId="45D6689C">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招标文件的澄清或修改涉及到申请人的资格条件、评标办法、采购需求等实质性内容时，将重新发布招标公告。</w:t>
      </w:r>
    </w:p>
    <w:p w14:paraId="6ABEBE5B">
      <w:pPr>
        <w:adjustRightInd w:val="0"/>
        <w:snapToGrid w:val="0"/>
        <w:spacing w:line="490" w:lineRule="exact"/>
        <w:outlineLvl w:val="1"/>
        <w:rPr>
          <w:rFonts w:hint="eastAsia" w:asciiTheme="majorEastAsia" w:hAnsiTheme="majorEastAsia" w:eastAsiaTheme="majorEastAsia" w:cstheme="majorEastAsia"/>
          <w:b/>
          <w:color w:val="auto"/>
          <w:highlight w:val="none"/>
        </w:rPr>
      </w:pPr>
      <w:bookmarkStart w:id="169" w:name="_Toc247085705"/>
      <w:bookmarkStart w:id="170" w:name="_Toc343525522"/>
      <w:bookmarkStart w:id="171" w:name="_Toc152042322"/>
      <w:bookmarkStart w:id="172" w:name="_Toc144974514"/>
      <w:bookmarkStart w:id="173" w:name="_Toc246996934"/>
      <w:bookmarkStart w:id="174" w:name="_Toc179632564"/>
      <w:bookmarkStart w:id="175" w:name="_Toc246996191"/>
      <w:bookmarkStart w:id="176" w:name="_Toc383438609"/>
      <w:bookmarkStart w:id="177" w:name="_Toc152045546"/>
      <w:bookmarkStart w:id="178" w:name="_Toc4709"/>
      <w:bookmarkStart w:id="179" w:name="_Toc426469887"/>
      <w:r>
        <w:rPr>
          <w:rFonts w:hint="eastAsia" w:asciiTheme="majorEastAsia" w:hAnsiTheme="majorEastAsia" w:eastAsiaTheme="majorEastAsia" w:cstheme="majorEastAsia"/>
          <w:b/>
          <w:color w:val="auto"/>
          <w:highlight w:val="none"/>
        </w:rPr>
        <w:t>3. 投标</w:t>
      </w:r>
      <w:bookmarkEnd w:id="169"/>
      <w:bookmarkEnd w:id="170"/>
      <w:bookmarkEnd w:id="171"/>
      <w:bookmarkEnd w:id="172"/>
      <w:bookmarkEnd w:id="173"/>
      <w:bookmarkEnd w:id="174"/>
      <w:bookmarkEnd w:id="175"/>
      <w:bookmarkEnd w:id="176"/>
      <w:bookmarkEnd w:id="177"/>
      <w:r>
        <w:rPr>
          <w:rFonts w:hint="eastAsia" w:asciiTheme="majorEastAsia" w:hAnsiTheme="majorEastAsia" w:eastAsiaTheme="majorEastAsia" w:cstheme="majorEastAsia"/>
          <w:b/>
          <w:color w:val="auto"/>
          <w:highlight w:val="none"/>
        </w:rPr>
        <w:t>文件</w:t>
      </w:r>
      <w:bookmarkEnd w:id="178"/>
      <w:bookmarkEnd w:id="179"/>
    </w:p>
    <w:p w14:paraId="6FC072F9">
      <w:pPr>
        <w:adjustRightInd w:val="0"/>
        <w:snapToGrid w:val="0"/>
        <w:spacing w:line="490" w:lineRule="exact"/>
        <w:rPr>
          <w:rFonts w:hint="eastAsia" w:asciiTheme="majorEastAsia" w:hAnsiTheme="majorEastAsia" w:eastAsiaTheme="majorEastAsia" w:cstheme="majorEastAsia"/>
          <w:b/>
          <w:color w:val="auto"/>
          <w:highlight w:val="none"/>
        </w:rPr>
      </w:pPr>
      <w:bookmarkStart w:id="180" w:name="_Toc246996192"/>
      <w:bookmarkStart w:id="181" w:name="_Toc144974515"/>
      <w:bookmarkStart w:id="182" w:name="_Toc383438610"/>
      <w:bookmarkStart w:id="183" w:name="_Toc246996935"/>
      <w:bookmarkStart w:id="184" w:name="_Toc152042323"/>
      <w:bookmarkStart w:id="185" w:name="_Toc152045547"/>
      <w:bookmarkStart w:id="186" w:name="_Toc247085706"/>
      <w:bookmarkStart w:id="187" w:name="_Toc343525523"/>
      <w:bookmarkStart w:id="188" w:name="_Toc179632565"/>
      <w:bookmarkStart w:id="189" w:name="_Toc426469888"/>
      <w:r>
        <w:rPr>
          <w:rFonts w:hint="eastAsia" w:asciiTheme="majorEastAsia" w:hAnsiTheme="majorEastAsia" w:eastAsiaTheme="majorEastAsia" w:cstheme="majorEastAsia"/>
          <w:b/>
          <w:color w:val="auto"/>
          <w:highlight w:val="none"/>
        </w:rPr>
        <w:t>3.1</w:t>
      </w:r>
      <w:bookmarkEnd w:id="180"/>
      <w:bookmarkEnd w:id="181"/>
      <w:bookmarkEnd w:id="182"/>
      <w:bookmarkEnd w:id="183"/>
      <w:bookmarkEnd w:id="184"/>
      <w:bookmarkEnd w:id="185"/>
      <w:bookmarkEnd w:id="186"/>
      <w:bookmarkEnd w:id="187"/>
      <w:bookmarkEnd w:id="188"/>
      <w:r>
        <w:rPr>
          <w:rFonts w:hint="eastAsia" w:asciiTheme="majorEastAsia" w:hAnsiTheme="majorEastAsia" w:eastAsiaTheme="majorEastAsia" w:cstheme="majorEastAsia"/>
          <w:b/>
          <w:color w:val="auto"/>
          <w:highlight w:val="none"/>
        </w:rPr>
        <w:t>投标文件的组成</w:t>
      </w:r>
      <w:bookmarkEnd w:id="189"/>
    </w:p>
    <w:p w14:paraId="4D832E11">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投标文件的组成：见供应商须知前附表。</w:t>
      </w:r>
    </w:p>
    <w:p w14:paraId="1B0DD5EF">
      <w:pPr>
        <w:adjustRightInd w:val="0"/>
        <w:snapToGrid w:val="0"/>
        <w:spacing w:line="490" w:lineRule="exact"/>
        <w:rPr>
          <w:rFonts w:hint="eastAsia" w:asciiTheme="majorEastAsia" w:hAnsiTheme="majorEastAsia" w:eastAsiaTheme="majorEastAsia" w:cstheme="majorEastAsia"/>
          <w:b/>
          <w:color w:val="auto"/>
          <w:highlight w:val="none"/>
        </w:rPr>
      </w:pPr>
      <w:bookmarkStart w:id="190" w:name="_Toc367785004"/>
      <w:bookmarkStart w:id="191" w:name="_Toc426469889"/>
      <w:r>
        <w:rPr>
          <w:rFonts w:hint="eastAsia" w:asciiTheme="majorEastAsia" w:hAnsiTheme="majorEastAsia" w:eastAsiaTheme="majorEastAsia" w:cstheme="majorEastAsia"/>
          <w:b/>
          <w:color w:val="auto"/>
          <w:highlight w:val="none"/>
        </w:rPr>
        <w:t>3.2</w:t>
      </w:r>
      <w:bookmarkEnd w:id="190"/>
      <w:r>
        <w:rPr>
          <w:rFonts w:hint="eastAsia" w:asciiTheme="majorEastAsia" w:hAnsiTheme="majorEastAsia" w:eastAsiaTheme="majorEastAsia" w:cstheme="majorEastAsia"/>
          <w:b/>
          <w:color w:val="auto"/>
          <w:highlight w:val="none"/>
        </w:rPr>
        <w:t>投标报价</w:t>
      </w:r>
      <w:bookmarkEnd w:id="191"/>
    </w:p>
    <w:p w14:paraId="7FD3541F">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3.2.1供应商应按招标文件规定的供货及服务要求、责任范围和合同条件，以人民币进行报价。</w:t>
      </w:r>
    </w:p>
    <w:p w14:paraId="3CBC8566">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3.2.2供应商在投标文件中只能有一个投标报价，且不得超过招标公告中载明的最高限价。任何包含价格调整要求和条件的投标报价均将视为无效报价。</w:t>
      </w:r>
    </w:p>
    <w:p w14:paraId="65156E11">
      <w:pPr>
        <w:adjustRightInd w:val="0"/>
        <w:snapToGrid w:val="0"/>
        <w:spacing w:line="490" w:lineRule="exact"/>
        <w:rPr>
          <w:rFonts w:hint="eastAsia" w:asciiTheme="majorEastAsia" w:hAnsiTheme="majorEastAsia" w:eastAsiaTheme="majorEastAsia" w:cstheme="majorEastAsia"/>
          <w:b/>
          <w:color w:val="auto"/>
          <w:highlight w:val="none"/>
        </w:rPr>
      </w:pPr>
      <w:bookmarkStart w:id="192" w:name="_Toc152045549"/>
      <w:bookmarkStart w:id="193" w:name="_Toc247085708"/>
      <w:bookmarkStart w:id="194" w:name="_Toc246996937"/>
      <w:bookmarkStart w:id="195" w:name="_Toc152042325"/>
      <w:bookmarkStart w:id="196" w:name="_Toc343525525"/>
      <w:bookmarkStart w:id="197" w:name="_Toc246996194"/>
      <w:bookmarkStart w:id="198" w:name="_Toc179632567"/>
      <w:bookmarkStart w:id="199" w:name="_Toc144974517"/>
      <w:bookmarkStart w:id="200" w:name="_Toc426469890"/>
      <w:bookmarkStart w:id="201" w:name="_Toc383438612"/>
      <w:r>
        <w:rPr>
          <w:rFonts w:hint="eastAsia" w:asciiTheme="majorEastAsia" w:hAnsiTheme="majorEastAsia" w:eastAsiaTheme="majorEastAsia" w:cstheme="majorEastAsia"/>
          <w:b/>
          <w:color w:val="auto"/>
          <w:highlight w:val="none"/>
        </w:rPr>
        <w:t>3.3投标有效期</w:t>
      </w:r>
      <w:bookmarkEnd w:id="192"/>
      <w:bookmarkEnd w:id="193"/>
      <w:bookmarkEnd w:id="194"/>
      <w:bookmarkEnd w:id="195"/>
      <w:bookmarkEnd w:id="196"/>
      <w:bookmarkEnd w:id="197"/>
      <w:bookmarkEnd w:id="198"/>
      <w:bookmarkEnd w:id="199"/>
      <w:bookmarkEnd w:id="200"/>
      <w:bookmarkEnd w:id="201"/>
    </w:p>
    <w:p w14:paraId="7FDEF272">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3.3.1在供应商须知前附表规定的投标有效期内，供应商不得要求撤销或修改其投标文件。</w:t>
      </w:r>
    </w:p>
    <w:p w14:paraId="36A09C89">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3.3.2出现特殊情况需要延长投标有效期的，招标人将以书面形式通知供应商。供应商拒绝延长投标有效期的，其投标失效。</w:t>
      </w:r>
    </w:p>
    <w:p w14:paraId="125BE968">
      <w:pPr>
        <w:adjustRightInd w:val="0"/>
        <w:snapToGrid w:val="0"/>
        <w:spacing w:line="490" w:lineRule="exact"/>
        <w:rPr>
          <w:rFonts w:hint="eastAsia" w:asciiTheme="majorEastAsia" w:hAnsiTheme="majorEastAsia" w:eastAsiaTheme="majorEastAsia" w:cstheme="majorEastAsia"/>
          <w:b/>
          <w:color w:val="auto"/>
          <w:highlight w:val="none"/>
        </w:rPr>
      </w:pPr>
      <w:bookmarkStart w:id="202" w:name="_Toc426469892"/>
      <w:r>
        <w:rPr>
          <w:rFonts w:hint="eastAsia" w:asciiTheme="majorEastAsia" w:hAnsiTheme="majorEastAsia" w:eastAsiaTheme="majorEastAsia" w:cstheme="majorEastAsia"/>
          <w:b/>
          <w:color w:val="auto"/>
          <w:highlight w:val="none"/>
        </w:rPr>
        <w:t>3.4投标文件的编制</w:t>
      </w:r>
      <w:bookmarkEnd w:id="202"/>
    </w:p>
    <w:p w14:paraId="7494168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3.4.1供应商可以按照第六章“投标文件的编制要求及参考格式”要求编制投标文件。需另行增加的相关内容和材料应编入投标文件相应章节，作为投标文件的组成部分。</w:t>
      </w:r>
    </w:p>
    <w:p w14:paraId="34B2D56A">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3.4.2供应商应对招标文件中的资格要求、服务期限、投标有效期等实质性内容作出响应，并根据评审因素提供相应的证明材料。</w:t>
      </w:r>
    </w:p>
    <w:p w14:paraId="20ED7C1E">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3.4.3 投标文件的数量：见供应商须知前附表</w:t>
      </w:r>
    </w:p>
    <w:p w14:paraId="6553578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bookmarkStart w:id="203" w:name="_Toc426469894"/>
      <w:bookmarkStart w:id="204" w:name="_Toc367785016"/>
      <w:r>
        <w:rPr>
          <w:rFonts w:hint="eastAsia" w:asciiTheme="majorEastAsia" w:hAnsiTheme="majorEastAsia" w:eastAsiaTheme="majorEastAsia" w:cstheme="majorEastAsia"/>
          <w:color w:val="auto"/>
          <w:highlight w:val="none"/>
        </w:rPr>
        <w:t>3.4.4投标文件的签署：见供应商须知前附表</w:t>
      </w:r>
    </w:p>
    <w:bookmarkEnd w:id="73"/>
    <w:bookmarkEnd w:id="203"/>
    <w:bookmarkEnd w:id="204"/>
    <w:p w14:paraId="21EC097B">
      <w:pPr>
        <w:adjustRightInd w:val="0"/>
        <w:snapToGrid w:val="0"/>
        <w:spacing w:line="490" w:lineRule="exact"/>
        <w:outlineLvl w:val="1"/>
        <w:rPr>
          <w:rFonts w:hint="eastAsia" w:asciiTheme="majorEastAsia" w:hAnsiTheme="majorEastAsia" w:eastAsiaTheme="majorEastAsia" w:cstheme="majorEastAsia"/>
          <w:color w:val="auto"/>
          <w:highlight w:val="none"/>
        </w:rPr>
      </w:pPr>
      <w:bookmarkStart w:id="205" w:name="_Toc12576"/>
      <w:bookmarkStart w:id="206" w:name="_Toc383679747"/>
      <w:bookmarkStart w:id="207" w:name="_Toc144974554"/>
      <w:bookmarkStart w:id="208" w:name="_Toc383438646"/>
      <w:bookmarkStart w:id="209" w:name="_Toc390246906"/>
      <w:bookmarkStart w:id="210" w:name="_Toc247085745"/>
      <w:bookmarkStart w:id="211" w:name="_Toc383698648"/>
      <w:bookmarkStart w:id="212" w:name="_Toc383587457"/>
      <w:bookmarkStart w:id="213" w:name="_Toc179632605"/>
      <w:bookmarkStart w:id="214" w:name="_Toc343525562"/>
      <w:bookmarkStart w:id="215" w:name="_Toc383623945"/>
      <w:bookmarkStart w:id="216" w:name="_Toc390099019"/>
      <w:bookmarkStart w:id="217" w:name="_Toc246996973"/>
      <w:bookmarkStart w:id="218" w:name="_Toc152042364"/>
      <w:bookmarkStart w:id="219" w:name="_Toc246996230"/>
      <w:bookmarkStart w:id="220" w:name="_Toc383625994"/>
      <w:bookmarkStart w:id="221" w:name="_Toc390098841"/>
      <w:bookmarkStart w:id="222" w:name="_Toc152045587"/>
      <w:bookmarkStart w:id="223" w:name="_Toc383623673"/>
      <w:r>
        <w:rPr>
          <w:rFonts w:hint="eastAsia" w:asciiTheme="majorEastAsia" w:hAnsiTheme="majorEastAsia" w:eastAsiaTheme="majorEastAsia" w:cstheme="majorEastAsia"/>
          <w:color w:val="auto"/>
          <w:highlight w:val="none"/>
        </w:rPr>
        <w:t>4.投标</w:t>
      </w:r>
      <w:bookmarkEnd w:id="205"/>
    </w:p>
    <w:p w14:paraId="5C9805A4">
      <w:pPr>
        <w:adjustRightInd w:val="0"/>
        <w:snapToGrid w:val="0"/>
        <w:spacing w:line="490" w:lineRule="exact"/>
        <w:rPr>
          <w:rFonts w:hint="eastAsia" w:asciiTheme="majorEastAsia" w:hAnsiTheme="majorEastAsia" w:eastAsiaTheme="majorEastAsia" w:cstheme="majorEastAsia"/>
          <w:b/>
          <w:bCs/>
          <w:color w:val="auto"/>
          <w:sz w:val="24"/>
          <w:szCs w:val="24"/>
          <w:highlight w:val="none"/>
        </w:rPr>
      </w:pPr>
      <w:bookmarkStart w:id="224" w:name="_Toc26062"/>
      <w:r>
        <w:rPr>
          <w:rFonts w:hint="eastAsia" w:asciiTheme="majorEastAsia" w:hAnsiTheme="majorEastAsia" w:eastAsiaTheme="majorEastAsia" w:cstheme="majorEastAsia"/>
          <w:b/>
          <w:color w:val="auto"/>
          <w:sz w:val="24"/>
          <w:szCs w:val="24"/>
          <w:highlight w:val="none"/>
        </w:rPr>
        <w:t>4.1</w:t>
      </w:r>
      <w:r>
        <w:rPr>
          <w:rFonts w:hint="eastAsia" w:asciiTheme="majorEastAsia" w:hAnsiTheme="majorEastAsia" w:eastAsiaTheme="majorEastAsia" w:cstheme="majorEastAsia"/>
          <w:b/>
          <w:bCs/>
          <w:color w:val="auto"/>
          <w:sz w:val="24"/>
          <w:szCs w:val="24"/>
          <w:highlight w:val="none"/>
        </w:rPr>
        <w:t>投标文件的上传</w:t>
      </w:r>
    </w:p>
    <w:p w14:paraId="73769FB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7DC47830">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4.2投标文件的修改与撤回</w:t>
      </w:r>
    </w:p>
    <w:p w14:paraId="274955E8">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4.2.1在投标截止时间前，</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可以修改或撤回已递交的投标文件。具体操作方法见《江苏省政府采购管理交易系统（苏采云）供应商操作手册》。</w:t>
      </w:r>
    </w:p>
    <w:p w14:paraId="1EF604AD">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4.2.2修改的投标文件应按照本招标文件规定进行编制和重新上传。</w:t>
      </w:r>
    </w:p>
    <w:p w14:paraId="25196F50">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4.3投标文件的确认</w:t>
      </w:r>
    </w:p>
    <w:p w14:paraId="4A219199">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可以通过江苏省政府采购管理交易系统（苏采云）多次上传投标文件，以招标文件规定的投标截止时间前，江苏省政府采购管理交易系统（苏采云）接受到的最后一份投标文件为准。</w:t>
      </w:r>
    </w:p>
    <w:bookmarkEnd w:id="46"/>
    <w:bookmarkEnd w:id="47"/>
    <w:bookmarkEnd w:id="48"/>
    <w:bookmarkEnd w:id="49"/>
    <w:bookmarkEnd w:id="50"/>
    <w:bookmarkEnd w:id="51"/>
    <w:bookmarkEnd w:id="52"/>
    <w:bookmarkEnd w:id="53"/>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14:paraId="57EBCF2B">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 开标</w:t>
      </w:r>
    </w:p>
    <w:p w14:paraId="2741B96E">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5.1 开标时间和地点</w:t>
      </w:r>
    </w:p>
    <w:p w14:paraId="1774DB5D">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5.1.1开标时间和地点：见</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须知前附表。</w:t>
      </w:r>
    </w:p>
    <w:p w14:paraId="46D5844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5.1.2开标活动在江苏政府采购“苏采云”系统“开标大厅”内公开进行，</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应当按照《江苏省政府采购管理交易系统（苏采云）供应商操作手册》规定，参加开标活动。</w:t>
      </w:r>
    </w:p>
    <w:p w14:paraId="508CBB2F">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5.2 不见面开标程序</w:t>
      </w:r>
    </w:p>
    <w:p w14:paraId="56E4F7DC">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（1）系统登录。</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应在投标截止时间前登录开标大厅。</w:t>
      </w:r>
    </w:p>
    <w:p w14:paraId="2206579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解密投标文件。按照系统内提示，在规定的时间内完成投标文件的解密。</w:t>
      </w:r>
    </w:p>
    <w:p w14:paraId="6C281C1F">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（3）唱标。</w:t>
      </w:r>
    </w:p>
    <w:p w14:paraId="39BA695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（4）开标记录确认。</w:t>
      </w:r>
    </w:p>
    <w:p w14:paraId="55B76C06">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（5）开标结束。</w:t>
      </w:r>
    </w:p>
    <w:p w14:paraId="1C3653CA">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5.3特殊情况的处置</w:t>
      </w:r>
    </w:p>
    <w:p w14:paraId="0B51044F">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5.3.1在投标截止时间后，开标系统出现下列情况之一时，项目未开标的，暂停开标活动；正在开标的，立即暂停开标，待系统恢复正常后再组织开标。</w:t>
      </w:r>
    </w:p>
    <w:p w14:paraId="3BA8D106">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（1）系统服务器发生故障，无法访问或无法使用系统； </w:t>
      </w:r>
    </w:p>
    <w:p w14:paraId="627E4AF6">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（2）系统的软件或数据库出现错误，不能进行正常操作； </w:t>
      </w:r>
    </w:p>
    <w:p w14:paraId="32F436A6">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（3）系统发现有安全漏洞，有潜在的泄密危险； </w:t>
      </w:r>
    </w:p>
    <w:p w14:paraId="5CB0548C">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（4）其他无法保证招投标过程公平和信息安全的情形。</w:t>
      </w:r>
    </w:p>
    <w:p w14:paraId="21E65260">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5.3.2因供应商自身原因造成投标文件无法解密的，视为撤销投标文件。</w:t>
      </w:r>
    </w:p>
    <w:p w14:paraId="259FF7EA">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5.3.3供应商对开标过程和开标记录有疑义的，可向招标人或者采购代理机构提出。</w:t>
      </w:r>
    </w:p>
    <w:p w14:paraId="005A3AAF">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5.3.4供应商未在开标系统中确认开标结果的，视同认可开标结果。</w:t>
      </w:r>
    </w:p>
    <w:p w14:paraId="7483D9EE">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5" w:name="_Toc29463"/>
      <w:r>
        <w:rPr>
          <w:rFonts w:hint="eastAsia" w:asciiTheme="majorEastAsia" w:hAnsiTheme="majorEastAsia" w:eastAsiaTheme="majorEastAsia" w:cstheme="majorEastAsia"/>
          <w:color w:val="auto"/>
          <w:sz w:val="24"/>
          <w:szCs w:val="24"/>
          <w:highlight w:val="none"/>
        </w:rPr>
        <w:t>6. 评标</w:t>
      </w:r>
      <w:bookmarkEnd w:id="225"/>
    </w:p>
    <w:p w14:paraId="73AA7A1F">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6.1 评标委员会</w:t>
      </w:r>
    </w:p>
    <w:p w14:paraId="22A2AB1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6.1.1评标由招标人依法组建的评标委员会负责。评标委员会由招标人代表，以及有关技术、经济等方面的专家组成。具体人数见供应商须知前附表。</w:t>
      </w:r>
    </w:p>
    <w:p w14:paraId="6E2361DC">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6.1.2评标委员会成员有下列情形之一的，应当回避：</w:t>
      </w:r>
    </w:p>
    <w:p w14:paraId="75266225">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（1）参加采购活动前三年内,与供应商存在劳动关系,或者担任过供应商的董事、监事,或者是供应商的控股股东或实际控制人；</w:t>
      </w:r>
    </w:p>
    <w:p w14:paraId="3C257DEA">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（2）与供应商的法定代表人或者负责人有夫妻、直系血亲、三代以内旁系血亲或者近姻亲关系；</w:t>
      </w:r>
    </w:p>
    <w:p w14:paraId="7BD05057">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（3）与供应商有其他可能影响政府采购活动公平、公正进行的关系；</w:t>
      </w:r>
    </w:p>
    <w:p w14:paraId="2AB15FE6">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（4）法律、行政法规规定的其他条件。</w:t>
      </w:r>
    </w:p>
    <w:p w14:paraId="14A408BF">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6.2 评标</w:t>
      </w:r>
    </w:p>
    <w:p w14:paraId="3E78B0CC">
      <w:pPr>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highlight w:val="none"/>
        </w:rPr>
        <w:t>评标活动遵循公正、客观、审慎的原则。</w:t>
      </w:r>
      <w:r>
        <w:rPr>
          <w:rFonts w:hint="eastAsia" w:asciiTheme="majorEastAsia" w:hAnsiTheme="majorEastAsia" w:eastAsiaTheme="majorEastAsia" w:cstheme="majorEastAsia"/>
          <w:color w:val="auto"/>
          <w:sz w:val="24"/>
          <w:szCs w:val="24"/>
          <w:highlight w:val="none"/>
        </w:rPr>
        <w:t>评标委员会严格按照第三章“评标办法”规定的评标方法、评标程序和评标标准进行独立评审。第三章“评标办法”没有规定的评标标准，不得作为评标依据。</w:t>
      </w:r>
    </w:p>
    <w:p w14:paraId="65F24E6A">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6" w:name="_Toc28529"/>
      <w:r>
        <w:rPr>
          <w:rFonts w:hint="eastAsia" w:asciiTheme="majorEastAsia" w:hAnsiTheme="majorEastAsia" w:eastAsiaTheme="majorEastAsia" w:cstheme="majorEastAsia"/>
          <w:color w:val="auto"/>
          <w:sz w:val="24"/>
          <w:szCs w:val="24"/>
          <w:highlight w:val="none"/>
        </w:rPr>
        <w:t>7.中标</w:t>
      </w:r>
      <w:bookmarkEnd w:id="226"/>
    </w:p>
    <w:p w14:paraId="2C9F8671">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7.1确定中标人</w:t>
      </w:r>
    </w:p>
    <w:p w14:paraId="716C7A9D">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7.1.1自收到评标报告之日起５个工作日内，在评标报告确定的中标候选人名单中按顺序确定中标人。</w:t>
      </w:r>
    </w:p>
    <w:p w14:paraId="1088B1F5">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7.1.2排名第一的中标候选人出现下列情形之一的，除合格供应商的数量不符合法定的要求外，招标人将按照评标委员会提出的中标候选人名单排序依次确定其他中标候选人为中标人。</w:t>
      </w:r>
    </w:p>
    <w:p w14:paraId="0EA82E7F">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（1）因不可抗力或者自身原因不能履行合同的；</w:t>
      </w:r>
    </w:p>
    <w:p w14:paraId="5BA14497">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（2）经过财政部门处理投诉举报、监督检查，认定中标无效的；</w:t>
      </w:r>
    </w:p>
    <w:p w14:paraId="0886C954">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（3）拒绝与招标人签订合同的。</w:t>
      </w:r>
    </w:p>
    <w:p w14:paraId="0018D0A2">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7.2中标公告及中标通知书</w:t>
      </w:r>
    </w:p>
    <w:p w14:paraId="587B5D93">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7.2.1自中标人确定之日起2个工作日内，在供应商须知前附表规定的媒介上公告中标结果，公告期限为1个工作日。</w:t>
      </w:r>
    </w:p>
    <w:p w14:paraId="1987399C">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7.2.2在公告中标结果的同时，向中标人发出中标通知书。中标通知书对招标人和中标人具有同等法律效力。  </w:t>
      </w:r>
    </w:p>
    <w:p w14:paraId="311869ED">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7" w:name="_Toc23349"/>
      <w:r>
        <w:rPr>
          <w:rFonts w:hint="eastAsia" w:asciiTheme="majorEastAsia" w:hAnsiTheme="majorEastAsia" w:eastAsiaTheme="majorEastAsia" w:cstheme="majorEastAsia"/>
          <w:color w:val="auto"/>
          <w:sz w:val="24"/>
          <w:szCs w:val="24"/>
          <w:highlight w:val="none"/>
        </w:rPr>
        <w:t>8.合同</w:t>
      </w:r>
      <w:bookmarkEnd w:id="227"/>
    </w:p>
    <w:p w14:paraId="14D63D99">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8.1 履约保证金</w:t>
      </w:r>
    </w:p>
    <w:p w14:paraId="7AFAFBEE">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8.1.1中标人应按供应商须知前附表规定的履约保证金的形式、金额和提交时间向招标人提交履约保证金。</w:t>
      </w:r>
    </w:p>
    <w:p w14:paraId="1675849B">
      <w:pPr>
        <w:adjustRightInd w:val="0"/>
        <w:snapToGrid w:val="0"/>
        <w:spacing w:line="490" w:lineRule="exact"/>
        <w:ind w:firstLine="480"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8.1.2中标人不能按本招标文件要求提交履约保证金的，视为放弃中标，给招标人造成损失的，中标人还应当予以赔偿。</w:t>
      </w:r>
    </w:p>
    <w:p w14:paraId="7C7C1D21">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8.2签订合同</w:t>
      </w:r>
    </w:p>
    <w:p w14:paraId="51C64F45">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3890837F">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8" w:name="_Toc19745"/>
      <w:r>
        <w:rPr>
          <w:rFonts w:hint="eastAsia" w:asciiTheme="majorEastAsia" w:hAnsiTheme="majorEastAsia" w:eastAsiaTheme="majorEastAsia" w:cstheme="majorEastAsia"/>
          <w:color w:val="auto"/>
          <w:sz w:val="24"/>
          <w:szCs w:val="24"/>
          <w:highlight w:val="none"/>
        </w:rPr>
        <w:t>9. 需要补充的其他内容</w:t>
      </w:r>
      <w:bookmarkEnd w:id="228"/>
    </w:p>
    <w:p w14:paraId="5FE45887">
      <w:pPr>
        <w:spacing w:line="490" w:lineRule="exact"/>
        <w:ind w:firstLine="480"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highlight w:val="none"/>
        </w:rPr>
        <w:t>需要补充的其他内容：见供应商须知前附表。</w:t>
      </w:r>
      <w:bookmarkStart w:id="229" w:name="_Hlt26671372"/>
      <w:bookmarkEnd w:id="229"/>
      <w:bookmarkStart w:id="230" w:name="_Hlt26955064"/>
      <w:bookmarkEnd w:id="230"/>
      <w:bookmarkStart w:id="231" w:name="_Hlt24879081"/>
      <w:bookmarkEnd w:id="231"/>
      <w:bookmarkStart w:id="232" w:name="_Hlt26609391"/>
      <w:bookmarkEnd w:id="232"/>
      <w:bookmarkStart w:id="233" w:name="_Hlt26580838"/>
      <w:bookmarkEnd w:id="233"/>
      <w:bookmarkStart w:id="234" w:name="_Hlt26671343"/>
      <w:bookmarkEnd w:id="234"/>
      <w:bookmarkStart w:id="235" w:name="_Hlt26955056"/>
      <w:bookmarkEnd w:id="235"/>
      <w:bookmarkStart w:id="236" w:name="_Hlt26782999"/>
      <w:bookmarkEnd w:id="236"/>
    </w:p>
    <w:p w14:paraId="124F3780">
      <w:pPr>
        <w:widowControl/>
        <w:jc w:val="left"/>
        <w:rPr>
          <w:rFonts w:hint="eastAsia" w:asciiTheme="majorEastAsia" w:hAnsiTheme="majorEastAsia" w:eastAsiaTheme="majorEastAsia" w:cstheme="majorEastAsia"/>
          <w:color w:val="auto"/>
          <w:highlight w:val="none"/>
        </w:rPr>
      </w:pPr>
    </w:p>
    <w:p w14:paraId="7F9DB76F">
      <w:pP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14:paraId="7DABBF4C">
      <w:pPr>
        <w:pStyle w:val="37"/>
        <w:spacing w:line="360" w:lineRule="exact"/>
        <w:ind w:left="-2" w:leftChars="-1" w:firstLine="643" w:firstLineChars="200"/>
        <w:jc w:val="center"/>
        <w:outlineLvl w:val="0"/>
        <w:rPr>
          <w:rFonts w:hint="eastAsia" w:asciiTheme="majorEastAsia" w:hAnsiTheme="majorEastAsia" w:eastAsiaTheme="majorEastAsia" w:cstheme="majorEastAsia"/>
          <w:b/>
          <w:color w:val="auto"/>
          <w:sz w:val="32"/>
          <w:szCs w:val="32"/>
          <w:highlight w:val="none"/>
        </w:rPr>
      </w:pPr>
      <w:bookmarkStart w:id="237" w:name="_Toc4258"/>
      <w:r>
        <w:rPr>
          <w:rFonts w:hint="eastAsia" w:asciiTheme="majorEastAsia" w:hAnsiTheme="majorEastAsia" w:eastAsiaTheme="majorEastAsia" w:cstheme="majorEastAsia"/>
          <w:b/>
          <w:color w:val="auto"/>
          <w:sz w:val="32"/>
          <w:szCs w:val="32"/>
          <w:highlight w:val="none"/>
        </w:rPr>
        <w:t>第三章 资格审查及评标办法</w:t>
      </w:r>
      <w:bookmarkEnd w:id="237"/>
    </w:p>
    <w:p w14:paraId="538F0DF0">
      <w:pPr>
        <w:rPr>
          <w:rFonts w:hint="eastAsia" w:asciiTheme="majorEastAsia" w:hAnsiTheme="majorEastAsia" w:eastAsiaTheme="majorEastAsia" w:cstheme="majorEastAsia"/>
          <w:color w:val="auto"/>
          <w:sz w:val="28"/>
          <w:szCs w:val="28"/>
          <w:highlight w:val="none"/>
        </w:rPr>
      </w:pPr>
      <w:bookmarkStart w:id="238" w:name="_Toc247085746"/>
      <w:bookmarkStart w:id="239" w:name="_Toc246996231"/>
      <w:bookmarkStart w:id="240" w:name="_Toc179632606"/>
      <w:bookmarkStart w:id="241" w:name="_Toc383438647"/>
      <w:bookmarkStart w:id="242" w:name="_Toc343525563"/>
      <w:bookmarkStart w:id="243" w:name="_Toc152045588"/>
      <w:bookmarkStart w:id="244" w:name="_Toc246996974"/>
      <w:bookmarkStart w:id="245" w:name="_Toc144974555"/>
      <w:bookmarkStart w:id="246" w:name="_Toc152042365"/>
      <w:bookmarkStart w:id="247" w:name="_Toc426469920"/>
      <w:r>
        <w:rPr>
          <w:rFonts w:hint="eastAsia" w:asciiTheme="majorEastAsia" w:hAnsiTheme="majorEastAsia" w:eastAsiaTheme="majorEastAsia" w:cstheme="majorEastAsia"/>
          <w:color w:val="auto"/>
          <w:sz w:val="28"/>
          <w:szCs w:val="28"/>
          <w:highlight w:val="none"/>
        </w:rPr>
        <w:t>资格审查和评标办法前附表</w:t>
      </w:r>
      <w:bookmarkEnd w:id="238"/>
      <w:bookmarkEnd w:id="239"/>
      <w:bookmarkEnd w:id="240"/>
      <w:bookmarkEnd w:id="241"/>
      <w:bookmarkEnd w:id="242"/>
      <w:bookmarkEnd w:id="243"/>
      <w:bookmarkEnd w:id="244"/>
      <w:bookmarkEnd w:id="245"/>
      <w:bookmarkEnd w:id="246"/>
      <w:bookmarkEnd w:id="247"/>
      <w:bookmarkStart w:id="248" w:name="_Toc246996232"/>
      <w:bookmarkStart w:id="249" w:name="_Toc144974556"/>
      <w:bookmarkStart w:id="250" w:name="_Toc343525564"/>
      <w:bookmarkStart w:id="251" w:name="_Toc179632607"/>
      <w:bookmarkStart w:id="252" w:name="_Toc152042366"/>
      <w:bookmarkStart w:id="253" w:name="_Toc247085747"/>
      <w:bookmarkStart w:id="254" w:name="_Toc152045589"/>
      <w:bookmarkStart w:id="255" w:name="_Toc246996975"/>
    </w:p>
    <w:tbl>
      <w:tblPr>
        <w:tblStyle w:val="26"/>
        <w:tblW w:w="870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666"/>
        <w:gridCol w:w="2533"/>
        <w:gridCol w:w="4964"/>
      </w:tblGrid>
      <w:tr w14:paraId="4F0156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212" w:type="dxa"/>
            <w:gridSpan w:val="2"/>
            <w:tcBorders>
              <w:top w:val="outset" w:color="auto" w:sz="6" w:space="0"/>
              <w:left w:val="outset" w:color="auto" w:sz="6" w:space="0"/>
              <w:bottom w:val="outset" w:color="auto" w:sz="6" w:space="0"/>
              <w:right w:val="outset" w:color="auto" w:sz="6" w:space="0"/>
            </w:tcBorders>
            <w:vAlign w:val="center"/>
          </w:tcPr>
          <w:p w14:paraId="15EB91B1">
            <w:pPr>
              <w:spacing w:line="40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条款号</w:t>
            </w:r>
          </w:p>
        </w:tc>
        <w:tc>
          <w:tcPr>
            <w:tcW w:w="2533" w:type="dxa"/>
            <w:tcBorders>
              <w:top w:val="outset" w:color="auto" w:sz="6" w:space="0"/>
              <w:left w:val="outset" w:color="auto" w:sz="6" w:space="0"/>
              <w:bottom w:val="outset" w:color="auto" w:sz="6" w:space="0"/>
              <w:right w:val="outset" w:color="auto" w:sz="6" w:space="0"/>
            </w:tcBorders>
            <w:vAlign w:val="center"/>
          </w:tcPr>
          <w:p w14:paraId="06E419CB">
            <w:pPr>
              <w:spacing w:line="40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评审因素</w:t>
            </w:r>
          </w:p>
        </w:tc>
        <w:tc>
          <w:tcPr>
            <w:tcW w:w="4964" w:type="dxa"/>
            <w:tcBorders>
              <w:top w:val="outset" w:color="auto" w:sz="6" w:space="0"/>
              <w:left w:val="outset" w:color="auto" w:sz="6" w:space="0"/>
              <w:bottom w:val="outset" w:color="auto" w:sz="6" w:space="0"/>
              <w:right w:val="outset" w:color="auto" w:sz="6" w:space="0"/>
            </w:tcBorders>
            <w:vAlign w:val="center"/>
          </w:tcPr>
          <w:p w14:paraId="00F57261">
            <w:pPr>
              <w:spacing w:line="40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评审标准</w:t>
            </w:r>
          </w:p>
        </w:tc>
      </w:tr>
      <w:tr w14:paraId="6B97688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38227043">
            <w:pPr>
              <w:spacing w:line="360" w:lineRule="exact"/>
              <w:jc w:val="center"/>
              <w:rPr>
                <w:rFonts w:hint="eastAsia" w:asciiTheme="majorEastAsia" w:hAnsiTheme="majorEastAsia" w:eastAsiaTheme="majorEastAsia" w:cstheme="majorEastAsia"/>
                <w:color w:val="auto"/>
                <w:spacing w:val="-40"/>
                <w:highlight w:val="none"/>
              </w:rPr>
            </w:pPr>
            <w:r>
              <w:rPr>
                <w:rFonts w:hint="eastAsia" w:asciiTheme="majorEastAsia" w:hAnsiTheme="majorEastAsia" w:eastAsiaTheme="majorEastAsia" w:cstheme="majorEastAsia"/>
                <w:color w:val="auto"/>
                <w:spacing w:val="-14"/>
                <w:highlight w:val="none"/>
              </w:rPr>
              <w:t>1.2</w:t>
            </w:r>
          </w:p>
        </w:tc>
        <w:tc>
          <w:tcPr>
            <w:tcW w:w="666" w:type="dxa"/>
            <w:vMerge w:val="restart"/>
            <w:tcBorders>
              <w:top w:val="outset" w:color="auto" w:sz="6" w:space="0"/>
              <w:left w:val="outset" w:color="auto" w:sz="6" w:space="0"/>
              <w:right w:val="outset" w:color="auto" w:sz="6" w:space="0"/>
            </w:tcBorders>
            <w:vAlign w:val="center"/>
          </w:tcPr>
          <w:p w14:paraId="087189BE">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资格审查</w:t>
            </w:r>
          </w:p>
        </w:tc>
        <w:tc>
          <w:tcPr>
            <w:tcW w:w="2533" w:type="dxa"/>
            <w:tcBorders>
              <w:top w:val="outset" w:color="auto" w:sz="6" w:space="0"/>
              <w:left w:val="outset" w:color="auto" w:sz="6" w:space="0"/>
              <w:bottom w:val="outset" w:color="auto" w:sz="6" w:space="0"/>
              <w:right w:val="outset" w:color="auto" w:sz="6" w:space="0"/>
            </w:tcBorders>
            <w:vAlign w:val="center"/>
          </w:tcPr>
          <w:p w14:paraId="6D625763">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基本资格条件的承诺</w:t>
            </w:r>
          </w:p>
        </w:tc>
        <w:tc>
          <w:tcPr>
            <w:tcW w:w="4964" w:type="dxa"/>
            <w:tcBorders>
              <w:top w:val="outset" w:color="auto" w:sz="6" w:space="0"/>
              <w:left w:val="outset" w:color="auto" w:sz="6" w:space="0"/>
              <w:bottom w:val="outset" w:color="auto" w:sz="6" w:space="0"/>
              <w:right w:val="outset" w:color="auto" w:sz="6" w:space="0"/>
            </w:tcBorders>
            <w:vAlign w:val="center"/>
          </w:tcPr>
          <w:p w14:paraId="0893E83E">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根据供应商提供的承诺函，内容完整且具有法人及法定代表人的印章。（内容及格式参照第六章）</w:t>
            </w:r>
          </w:p>
        </w:tc>
      </w:tr>
      <w:tr w14:paraId="1F5C986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405FA168">
            <w:pPr>
              <w:jc w:val="center"/>
              <w:rPr>
                <w:rFonts w:hint="eastAsia" w:asciiTheme="majorEastAsia" w:hAnsiTheme="majorEastAsia" w:eastAsiaTheme="majorEastAsia" w:cstheme="majorEastAsia"/>
                <w:color w:val="auto"/>
                <w:highlight w:val="none"/>
              </w:rPr>
            </w:pPr>
          </w:p>
        </w:tc>
        <w:tc>
          <w:tcPr>
            <w:tcW w:w="666" w:type="dxa"/>
            <w:vMerge w:val="continue"/>
            <w:tcBorders>
              <w:left w:val="outset" w:color="auto" w:sz="6" w:space="0"/>
              <w:right w:val="outset" w:color="auto" w:sz="6" w:space="0"/>
            </w:tcBorders>
            <w:vAlign w:val="center"/>
          </w:tcPr>
          <w:p w14:paraId="7FF359FF">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2E67995A">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招标人根据本项目特点，要求供应商具备的条件</w:t>
            </w:r>
          </w:p>
        </w:tc>
        <w:tc>
          <w:tcPr>
            <w:tcW w:w="4964" w:type="dxa"/>
            <w:tcBorders>
              <w:top w:val="outset" w:color="auto" w:sz="6" w:space="0"/>
              <w:left w:val="outset" w:color="auto" w:sz="6" w:space="0"/>
              <w:bottom w:val="outset" w:color="auto" w:sz="6" w:space="0"/>
              <w:right w:val="outset" w:color="auto" w:sz="6" w:space="0"/>
            </w:tcBorders>
            <w:vAlign w:val="center"/>
          </w:tcPr>
          <w:p w14:paraId="338E55DA">
            <w:pPr>
              <w:spacing w:line="380" w:lineRule="exact"/>
              <w:jc w:val="left"/>
              <w:rPr>
                <w:rFonts w:hint="eastAsia" w:asciiTheme="majorEastAsia" w:hAnsiTheme="majorEastAsia" w:eastAsiaTheme="majorEastAsia" w:cstheme="majorEastAsia"/>
                <w:color w:val="auto"/>
                <w:highlight w:val="none"/>
              </w:rPr>
            </w:pPr>
            <w:r>
              <w:rPr>
                <w:rFonts w:hint="eastAsia" w:ascii="宋体" w:hAnsi="宋体" w:cs="宋体"/>
                <w:b w:val="0"/>
                <w:bCs w:val="0"/>
                <w:color w:val="auto"/>
                <w:highlight w:val="none"/>
              </w:rPr>
              <w:t>投标人须具有测绘行政主管部门颁发的</w:t>
            </w:r>
            <w:r>
              <w:rPr>
                <w:rFonts w:hint="eastAsia" w:ascii="宋体" w:hAnsi="宋体" w:cs="宋体"/>
                <w:b w:val="0"/>
                <w:bCs w:val="0"/>
                <w:color w:val="auto"/>
                <w:highlight w:val="none"/>
                <w:lang w:val="en-US" w:eastAsia="zh-CN"/>
              </w:rPr>
              <w:t>甲</w:t>
            </w:r>
            <w:r>
              <w:rPr>
                <w:rFonts w:hint="eastAsia" w:ascii="宋体" w:hAnsi="宋体" w:cs="宋体"/>
                <w:b w:val="0"/>
                <w:bCs w:val="0"/>
                <w:color w:val="auto"/>
                <w:highlight w:val="none"/>
              </w:rPr>
              <w:t>级测绘资质证书</w:t>
            </w:r>
            <w:r>
              <w:rPr>
                <w:rFonts w:hint="eastAsia" w:cs="仿宋" w:asciiTheme="minorEastAsia" w:hAnsiTheme="minorEastAsia" w:eastAsiaTheme="minorEastAsia"/>
                <w:b w:val="0"/>
                <w:bCs w:val="0"/>
                <w:color w:val="auto"/>
                <w:sz w:val="24"/>
                <w:szCs w:val="24"/>
                <w:highlight w:val="none"/>
                <w:lang w:eastAsia="zh-CN"/>
              </w:rPr>
              <w:t>（资质范围含地理信息系统工程</w:t>
            </w:r>
            <w:r>
              <w:rPr>
                <w:rFonts w:hint="eastAsia" w:cs="仿宋" w:asciiTheme="minorEastAsia" w:hAnsiTheme="minorEastAsia" w:eastAsiaTheme="minorEastAsia"/>
                <w:b w:val="0"/>
                <w:bCs w:val="0"/>
                <w:color w:val="auto"/>
                <w:sz w:val="24"/>
                <w:szCs w:val="24"/>
                <w:highlight w:val="none"/>
                <w:lang w:val="en-US" w:eastAsia="zh-CN"/>
              </w:rPr>
              <w:t>或工程</w:t>
            </w:r>
            <w:r>
              <w:rPr>
                <w:rFonts w:hint="eastAsia" w:cs="仿宋" w:asciiTheme="minorEastAsia" w:hAnsiTheme="minorEastAsia" w:eastAsiaTheme="minorEastAsia"/>
                <w:b w:val="0"/>
                <w:bCs w:val="0"/>
                <w:color w:val="auto"/>
                <w:sz w:val="24"/>
                <w:szCs w:val="24"/>
                <w:highlight w:val="none"/>
                <w:lang w:eastAsia="zh-CN"/>
              </w:rPr>
              <w:t>测量）</w:t>
            </w:r>
          </w:p>
        </w:tc>
      </w:tr>
      <w:tr w14:paraId="586C0F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54BBFF7">
            <w:pPr>
              <w:spacing w:line="460" w:lineRule="exact"/>
              <w:jc w:val="center"/>
              <w:rPr>
                <w:rFonts w:hint="eastAsia" w:asciiTheme="majorEastAsia" w:hAnsiTheme="majorEastAsia" w:eastAsiaTheme="majorEastAsia" w:cstheme="majorEastAsia"/>
                <w:b/>
                <w:color w:val="auto"/>
                <w:spacing w:val="-14"/>
                <w:highlight w:val="none"/>
              </w:rPr>
            </w:pPr>
            <w:r>
              <w:rPr>
                <w:rFonts w:hint="eastAsia" w:asciiTheme="majorEastAsia" w:hAnsiTheme="majorEastAsia" w:eastAsiaTheme="majorEastAsia" w:cstheme="majorEastAsia"/>
                <w:b/>
                <w:color w:val="auto"/>
                <w:spacing w:val="-14"/>
                <w:highlight w:val="none"/>
              </w:rPr>
              <w:t>1.2项评审内容由采购人负责，投标文件不符合1.2项评审标准的，作无效标处理。</w:t>
            </w:r>
          </w:p>
        </w:tc>
      </w:tr>
      <w:tr w14:paraId="6BB6AB6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7C03EC61">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pacing w:val="-14"/>
                <w:highlight w:val="none"/>
              </w:rPr>
              <w:t>2.2.2</w:t>
            </w:r>
          </w:p>
        </w:tc>
        <w:tc>
          <w:tcPr>
            <w:tcW w:w="666" w:type="dxa"/>
            <w:vMerge w:val="restart"/>
            <w:tcBorders>
              <w:top w:val="outset" w:color="auto" w:sz="6" w:space="0"/>
              <w:left w:val="outset" w:color="auto" w:sz="6" w:space="0"/>
              <w:bottom w:val="outset" w:color="auto" w:sz="6" w:space="0"/>
              <w:right w:val="outset" w:color="auto" w:sz="6" w:space="0"/>
            </w:tcBorders>
            <w:vAlign w:val="center"/>
          </w:tcPr>
          <w:p w14:paraId="5C2C1623">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w:t>
            </w:r>
          </w:p>
          <w:p w14:paraId="07C478E7">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合</w:t>
            </w:r>
          </w:p>
          <w:p w14:paraId="644315B1">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性</w:t>
            </w:r>
          </w:p>
          <w:p w14:paraId="6B7E5032">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w:t>
            </w:r>
          </w:p>
          <w:p w14:paraId="0A90F86D">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审</w:t>
            </w:r>
          </w:p>
        </w:tc>
        <w:tc>
          <w:tcPr>
            <w:tcW w:w="2533" w:type="dxa"/>
            <w:tcBorders>
              <w:top w:val="outset" w:color="auto" w:sz="6" w:space="0"/>
              <w:left w:val="outset" w:color="auto" w:sz="6" w:space="0"/>
              <w:bottom w:val="outset" w:color="auto" w:sz="6" w:space="0"/>
              <w:right w:val="outset" w:color="auto" w:sz="6" w:space="0"/>
            </w:tcBorders>
            <w:vAlign w:val="center"/>
          </w:tcPr>
          <w:p w14:paraId="14052A4D">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投标文件的签署</w:t>
            </w:r>
          </w:p>
        </w:tc>
        <w:tc>
          <w:tcPr>
            <w:tcW w:w="4964" w:type="dxa"/>
            <w:tcBorders>
              <w:top w:val="outset" w:color="auto" w:sz="6" w:space="0"/>
              <w:left w:val="outset" w:color="auto" w:sz="6" w:space="0"/>
              <w:bottom w:val="outset" w:color="auto" w:sz="6" w:space="0"/>
              <w:right w:val="outset" w:color="auto" w:sz="6" w:space="0"/>
            </w:tcBorders>
            <w:vAlign w:val="center"/>
          </w:tcPr>
          <w:p w14:paraId="1624F01C">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符合第二章第3.4.4项规定</w:t>
            </w:r>
          </w:p>
        </w:tc>
      </w:tr>
      <w:tr w14:paraId="01CCC21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5776367F">
            <w:pPr>
              <w:jc w:val="center"/>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1158E5AE">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3E286F96">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报价</w:t>
            </w:r>
          </w:p>
        </w:tc>
        <w:tc>
          <w:tcPr>
            <w:tcW w:w="4964" w:type="dxa"/>
            <w:tcBorders>
              <w:top w:val="outset" w:color="auto" w:sz="6" w:space="0"/>
              <w:left w:val="outset" w:color="auto" w:sz="6" w:space="0"/>
              <w:bottom w:val="outset" w:color="auto" w:sz="6" w:space="0"/>
              <w:right w:val="outset" w:color="auto" w:sz="6" w:space="0"/>
            </w:tcBorders>
            <w:vAlign w:val="center"/>
          </w:tcPr>
          <w:p w14:paraId="531403D1">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有且只有一个有效报价；未超过采购预算或最高限价；</w:t>
            </w:r>
          </w:p>
        </w:tc>
      </w:tr>
      <w:tr w14:paraId="5C06155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6BB8CDA8">
            <w:pPr>
              <w:jc w:val="center"/>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0DE8857E">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74ECA667">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服务期限（合同工期）</w:t>
            </w:r>
          </w:p>
        </w:tc>
        <w:tc>
          <w:tcPr>
            <w:tcW w:w="4964" w:type="dxa"/>
            <w:tcBorders>
              <w:top w:val="outset" w:color="auto" w:sz="6" w:space="0"/>
              <w:left w:val="outset" w:color="auto" w:sz="6" w:space="0"/>
              <w:bottom w:val="outset" w:color="auto" w:sz="6" w:space="0"/>
              <w:right w:val="outset" w:color="auto" w:sz="6" w:space="0"/>
            </w:tcBorders>
            <w:vAlign w:val="center"/>
          </w:tcPr>
          <w:p w14:paraId="72C85FA3">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符合第二章第1.3.2项规定</w:t>
            </w:r>
          </w:p>
        </w:tc>
      </w:tr>
      <w:tr w14:paraId="6503D79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4530D848">
            <w:pPr>
              <w:jc w:val="center"/>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70623896">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14377E2F">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投标有效期</w:t>
            </w:r>
          </w:p>
        </w:tc>
        <w:tc>
          <w:tcPr>
            <w:tcW w:w="4964" w:type="dxa"/>
            <w:tcBorders>
              <w:top w:val="outset" w:color="auto" w:sz="6" w:space="0"/>
              <w:left w:val="outset" w:color="auto" w:sz="6" w:space="0"/>
              <w:bottom w:val="outset" w:color="auto" w:sz="6" w:space="0"/>
              <w:right w:val="outset" w:color="auto" w:sz="6" w:space="0"/>
            </w:tcBorders>
            <w:vAlign w:val="center"/>
          </w:tcPr>
          <w:p w14:paraId="079C53D4">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符合第二章第3.3.1项规定</w:t>
            </w:r>
          </w:p>
        </w:tc>
      </w:tr>
      <w:tr w14:paraId="74B792D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5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2AE7F680">
            <w:pPr>
              <w:jc w:val="left"/>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4150681A">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5824648C">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偏离</w:t>
            </w:r>
          </w:p>
        </w:tc>
        <w:tc>
          <w:tcPr>
            <w:tcW w:w="4964" w:type="dxa"/>
            <w:tcBorders>
              <w:top w:val="outset" w:color="auto" w:sz="6" w:space="0"/>
              <w:left w:val="outset" w:color="auto" w:sz="6" w:space="0"/>
              <w:bottom w:val="outset" w:color="auto" w:sz="6" w:space="0"/>
              <w:right w:val="outset" w:color="auto" w:sz="6" w:space="0"/>
            </w:tcBorders>
            <w:vAlign w:val="center"/>
          </w:tcPr>
          <w:p w14:paraId="23F853A9">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符合第二章“供应商须知”第1.8.2项规定</w:t>
            </w:r>
          </w:p>
        </w:tc>
      </w:tr>
      <w:tr w14:paraId="499BC68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54E73F0">
            <w:pPr>
              <w:spacing w:line="460" w:lineRule="exact"/>
              <w:jc w:val="center"/>
              <w:rPr>
                <w:rFonts w:hint="eastAsia" w:asciiTheme="majorEastAsia" w:hAnsiTheme="majorEastAsia" w:eastAsiaTheme="majorEastAsia" w:cstheme="majorEastAsia"/>
                <w:color w:val="auto"/>
                <w:spacing w:val="-18"/>
                <w:highlight w:val="none"/>
              </w:rPr>
            </w:pPr>
            <w:r>
              <w:rPr>
                <w:rFonts w:hint="eastAsia" w:asciiTheme="majorEastAsia" w:hAnsiTheme="majorEastAsia" w:eastAsiaTheme="majorEastAsia" w:cstheme="majorEastAsia"/>
                <w:b/>
                <w:color w:val="auto"/>
                <w:spacing w:val="-14"/>
                <w:highlight w:val="none"/>
              </w:rPr>
              <w:t>2.2.2项评审内容由评标委员会负责，投标文件不符合2.2.2项评审标准的，作无效标处理。</w:t>
            </w:r>
          </w:p>
        </w:tc>
      </w:tr>
    </w:tbl>
    <w:p w14:paraId="0C57D679">
      <w:pPr>
        <w:adjustRightInd w:val="0"/>
        <w:snapToGrid w:val="0"/>
        <w:spacing w:line="500" w:lineRule="exact"/>
        <w:jc w:val="left"/>
        <w:outlineLvl w:val="1"/>
        <w:rPr>
          <w:rFonts w:hint="eastAsia" w:asciiTheme="majorEastAsia" w:hAnsiTheme="majorEastAsia" w:eastAsiaTheme="majorEastAsia" w:cstheme="majorEastAsia"/>
          <w:b/>
          <w:color w:val="auto"/>
          <w:highlight w:val="none"/>
        </w:rPr>
      </w:pPr>
      <w:bookmarkStart w:id="256" w:name="_Toc3972"/>
      <w:bookmarkStart w:id="257" w:name="_Toc426469921"/>
      <w:r>
        <w:rPr>
          <w:rFonts w:hint="eastAsia" w:asciiTheme="majorEastAsia" w:hAnsiTheme="majorEastAsia" w:eastAsiaTheme="majorEastAsia" w:cstheme="majorEastAsia"/>
          <w:b/>
          <w:color w:val="auto"/>
          <w:highlight w:val="none"/>
        </w:rPr>
        <w:t>2.3详细评审</w:t>
      </w:r>
      <w:bookmarkEnd w:id="256"/>
    </w:p>
    <w:tbl>
      <w:tblPr>
        <w:tblStyle w:val="26"/>
        <w:tblW w:w="8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
        <w:gridCol w:w="785"/>
        <w:gridCol w:w="6150"/>
        <w:gridCol w:w="707"/>
      </w:tblGrid>
      <w:tr w14:paraId="3392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8678" w:type="dxa"/>
            <w:gridSpan w:val="4"/>
            <w:tcMar>
              <w:left w:w="57" w:type="dxa"/>
              <w:right w:w="57" w:type="dxa"/>
            </w:tcMar>
            <w:vAlign w:val="center"/>
          </w:tcPr>
          <w:p w14:paraId="24635C1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评分标准（100分）</w:t>
            </w:r>
          </w:p>
        </w:tc>
      </w:tr>
      <w:tr w14:paraId="191D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821" w:type="dxa"/>
            <w:gridSpan w:val="2"/>
            <w:tcMar>
              <w:left w:w="57" w:type="dxa"/>
              <w:right w:w="57" w:type="dxa"/>
            </w:tcMar>
            <w:vAlign w:val="center"/>
          </w:tcPr>
          <w:p w14:paraId="2C82B5E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评分项目</w:t>
            </w:r>
          </w:p>
        </w:tc>
        <w:tc>
          <w:tcPr>
            <w:tcW w:w="6150" w:type="dxa"/>
            <w:tcMar>
              <w:left w:w="57" w:type="dxa"/>
              <w:right w:w="57" w:type="dxa"/>
            </w:tcMar>
            <w:vAlign w:val="center"/>
          </w:tcPr>
          <w:p w14:paraId="4186AE2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评分细则（未提供资料的不得分）</w:t>
            </w:r>
          </w:p>
        </w:tc>
        <w:tc>
          <w:tcPr>
            <w:tcW w:w="707" w:type="dxa"/>
            <w:tcMar>
              <w:left w:w="57" w:type="dxa"/>
              <w:right w:w="57" w:type="dxa"/>
            </w:tcMar>
            <w:vAlign w:val="center"/>
          </w:tcPr>
          <w:p w14:paraId="0E153C20">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0B39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036" w:type="dxa"/>
            <w:tcMar>
              <w:left w:w="57" w:type="dxa"/>
              <w:right w:w="57" w:type="dxa"/>
            </w:tcMar>
            <w:vAlign w:val="center"/>
          </w:tcPr>
          <w:p w14:paraId="72C859B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p w14:paraId="571BB67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785" w:type="dxa"/>
            <w:tcMar>
              <w:left w:w="57" w:type="dxa"/>
              <w:right w:w="57" w:type="dxa"/>
            </w:tcMar>
            <w:vAlign w:val="center"/>
          </w:tcPr>
          <w:p w14:paraId="075C046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6150" w:type="dxa"/>
            <w:tcMar>
              <w:left w:w="57" w:type="dxa"/>
              <w:right w:w="57" w:type="dxa"/>
            </w:tcMar>
            <w:vAlign w:val="center"/>
          </w:tcPr>
          <w:p w14:paraId="3AF6E500">
            <w:pPr>
              <w:widowControl/>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满足招标文件要求且最后报价最低的报价为基准价，其价格分为满分10分。其他供应商的价格分按下列公式计算：报价得分=（基准价/最后报价）×10%×100</w:t>
            </w:r>
          </w:p>
        </w:tc>
        <w:tc>
          <w:tcPr>
            <w:tcW w:w="707" w:type="dxa"/>
            <w:tcMar>
              <w:left w:w="57" w:type="dxa"/>
              <w:right w:w="57" w:type="dxa"/>
            </w:tcMar>
            <w:vAlign w:val="center"/>
          </w:tcPr>
          <w:p w14:paraId="78F33C2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r>
      <w:tr w14:paraId="696B5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036" w:type="dxa"/>
            <w:vMerge w:val="restart"/>
            <w:tcMar>
              <w:left w:w="57" w:type="dxa"/>
              <w:right w:w="57" w:type="dxa"/>
            </w:tcMar>
            <w:vAlign w:val="center"/>
          </w:tcPr>
          <w:p w14:paraId="4C1F24B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资信</w:t>
            </w:r>
          </w:p>
          <w:p w14:paraId="263BCC1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785" w:type="dxa"/>
            <w:tcMar>
              <w:left w:w="57" w:type="dxa"/>
              <w:right w:w="57" w:type="dxa"/>
            </w:tcMar>
            <w:vAlign w:val="center"/>
          </w:tcPr>
          <w:p w14:paraId="76CA9F38">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企业实力</w:t>
            </w:r>
          </w:p>
        </w:tc>
        <w:tc>
          <w:tcPr>
            <w:tcW w:w="6150" w:type="dxa"/>
            <w:tcMar>
              <w:left w:w="57" w:type="dxa"/>
              <w:right w:w="57" w:type="dxa"/>
            </w:tcMar>
            <w:vAlign w:val="center"/>
          </w:tcPr>
          <w:p w14:paraId="4DF67A5A">
            <w:pPr>
              <w:pStyle w:val="24"/>
              <w:numPr>
                <w:ilvl w:val="0"/>
                <w:numId w:val="2"/>
              </w:num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投标供应商同时具有有效的质量管理体系认证证书、环境管理体系认证证书、职业健康安全管理体系认证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A30C9C2">
            <w:pPr>
              <w:pStyle w:val="2"/>
              <w:numPr>
                <w:ilvl w:val="0"/>
                <w:numId w:val="2"/>
              </w:numPr>
              <w:spacing w:after="0" w:line="360" w:lineRule="auto"/>
              <w:ind w:left="0" w:lef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近</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年内获得过</w:t>
            </w:r>
            <w:r>
              <w:rPr>
                <w:rFonts w:hint="eastAsia" w:ascii="宋体" w:hAnsi="宋体" w:eastAsia="宋体" w:cs="宋体"/>
                <w:color w:val="auto"/>
                <w:sz w:val="24"/>
                <w:szCs w:val="24"/>
                <w:highlight w:val="none"/>
                <w:lang w:val="en-US" w:eastAsia="zh-CN"/>
              </w:rPr>
              <w:t>市级</w:t>
            </w:r>
            <w:r>
              <w:rPr>
                <w:rFonts w:hint="eastAsia" w:ascii="宋体" w:hAnsi="宋体" w:eastAsia="宋体" w:cs="宋体"/>
                <w:color w:val="auto"/>
                <w:sz w:val="24"/>
                <w:szCs w:val="24"/>
                <w:highlight w:val="none"/>
              </w:rPr>
              <w:t>优秀测绘地理信息工程奖的</w:t>
            </w:r>
            <w:r>
              <w:rPr>
                <w:rFonts w:hint="eastAsia" w:ascii="宋体" w:hAnsi="宋体" w:eastAsia="宋体" w:cs="宋体"/>
                <w:color w:val="auto"/>
                <w:sz w:val="24"/>
                <w:szCs w:val="24"/>
                <w:highlight w:val="none"/>
                <w:lang w:val="en-US" w:eastAsia="zh-CN"/>
              </w:rPr>
              <w:t>或参与过市级测绘标准编制的</w:t>
            </w:r>
            <w:r>
              <w:rPr>
                <w:rFonts w:hint="eastAsia" w:ascii="宋体" w:hAnsi="宋体" w:eastAsia="宋体" w:cs="宋体"/>
                <w:color w:val="auto"/>
                <w:sz w:val="24"/>
                <w:szCs w:val="24"/>
                <w:highlight w:val="none"/>
              </w:rPr>
              <w:t>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省级优秀测绘地理信息工程奖的</w:t>
            </w:r>
            <w:r>
              <w:rPr>
                <w:rFonts w:hint="eastAsia" w:ascii="宋体" w:hAnsi="宋体" w:eastAsia="宋体" w:cs="宋体"/>
                <w:color w:val="auto"/>
                <w:sz w:val="24"/>
                <w:szCs w:val="24"/>
                <w:highlight w:val="none"/>
                <w:lang w:val="en-US" w:eastAsia="zh-CN"/>
              </w:rPr>
              <w:t>或参与过省级测绘标准编制的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分，国家级地理信息产业优秀工程奖的</w:t>
            </w:r>
            <w:r>
              <w:rPr>
                <w:rFonts w:hint="eastAsia" w:ascii="宋体" w:hAnsi="宋体" w:eastAsia="宋体" w:cs="宋体"/>
                <w:color w:val="auto"/>
                <w:sz w:val="24"/>
                <w:szCs w:val="24"/>
                <w:highlight w:val="none"/>
                <w:lang w:val="en-US" w:eastAsia="zh-CN"/>
              </w:rPr>
              <w:t>或参与过国家级测绘标准编制的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同一项目按最高奖项得分，本项最高得6分</w:t>
            </w:r>
            <w:r>
              <w:rPr>
                <w:rFonts w:hint="eastAsia" w:ascii="宋体" w:hAnsi="宋体" w:eastAsia="宋体" w:cs="宋体"/>
                <w:color w:val="auto"/>
                <w:sz w:val="24"/>
                <w:szCs w:val="24"/>
                <w:highlight w:val="none"/>
                <w:lang w:eastAsia="zh-CN"/>
              </w:rPr>
              <w:t>）</w:t>
            </w:r>
          </w:p>
          <w:p w14:paraId="743FF92B">
            <w:pPr>
              <w:pStyle w:val="2"/>
              <w:numPr>
                <w:ilvl w:val="0"/>
                <w:numId w:val="2"/>
              </w:numPr>
              <w:spacing w:after="0"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投标人具备数据采集</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数据管理</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数据建库软件著作权</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0444DDE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注：须提供相关材料扫描件加盖公章，否则不得分。</w:t>
            </w:r>
          </w:p>
        </w:tc>
        <w:tc>
          <w:tcPr>
            <w:tcW w:w="707" w:type="dxa"/>
            <w:tcMar>
              <w:left w:w="57" w:type="dxa"/>
              <w:right w:w="57" w:type="dxa"/>
            </w:tcMar>
            <w:vAlign w:val="center"/>
          </w:tcPr>
          <w:p w14:paraId="6C3FCCF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r>
      <w:tr w14:paraId="615C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036" w:type="dxa"/>
            <w:vMerge w:val="continue"/>
            <w:tcMar>
              <w:left w:w="57" w:type="dxa"/>
              <w:right w:w="57" w:type="dxa"/>
            </w:tcMar>
            <w:vAlign w:val="center"/>
          </w:tcPr>
          <w:p w14:paraId="19C19AD3">
            <w:pPr>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0FB8BDC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项目业绩</w:t>
            </w:r>
          </w:p>
        </w:tc>
        <w:tc>
          <w:tcPr>
            <w:tcW w:w="6150" w:type="dxa"/>
            <w:tcMar>
              <w:left w:w="57" w:type="dxa"/>
              <w:right w:w="57" w:type="dxa"/>
            </w:tcMar>
            <w:vAlign w:val="center"/>
          </w:tcPr>
          <w:p w14:paraId="63E886A1">
            <w:pPr>
              <w:widowControl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zh-CN" w:eastAsia="zh-CN"/>
              </w:rPr>
              <w:t>自20</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val="zh-CN" w:eastAsia="zh-CN"/>
              </w:rPr>
              <w:t>年</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zh-CN" w:eastAsia="zh-CN"/>
              </w:rPr>
              <w:t>月1日（</w:t>
            </w:r>
            <w:r>
              <w:rPr>
                <w:rFonts w:hint="eastAsia" w:ascii="宋体" w:hAnsi="宋体" w:eastAsia="宋体" w:cs="宋体"/>
                <w:color w:val="auto"/>
                <w:sz w:val="24"/>
                <w:szCs w:val="24"/>
                <w:highlight w:val="none"/>
                <w:lang w:eastAsia="zh-CN"/>
              </w:rPr>
              <w:t>以合同签订时间为准</w:t>
            </w:r>
            <w:r>
              <w:rPr>
                <w:rFonts w:hint="eastAsia" w:ascii="宋体" w:hAnsi="宋体" w:eastAsia="宋体" w:cs="宋体"/>
                <w:color w:val="auto"/>
                <w:sz w:val="24"/>
                <w:szCs w:val="24"/>
                <w:highlight w:val="none"/>
                <w:lang w:val="zh-CN" w:eastAsia="zh-CN"/>
              </w:rPr>
              <w:t>）以来承担</w:t>
            </w:r>
            <w:r>
              <w:rPr>
                <w:rFonts w:hint="eastAsia" w:ascii="宋体" w:hAnsi="宋体" w:eastAsia="宋体" w:cs="宋体"/>
                <w:color w:val="auto"/>
                <w:sz w:val="24"/>
                <w:szCs w:val="24"/>
                <w:highlight w:val="none"/>
                <w:lang w:eastAsia="zh-CN"/>
              </w:rPr>
              <w:t>过与本项目相关的类似业绩（类似业绩是指自然资源、农业、林业等与</w:t>
            </w:r>
            <w:r>
              <w:rPr>
                <w:rFonts w:hint="eastAsia" w:ascii="宋体" w:hAnsi="宋体" w:eastAsia="宋体" w:cs="宋体"/>
                <w:color w:val="auto"/>
                <w:sz w:val="24"/>
                <w:szCs w:val="24"/>
                <w:highlight w:val="none"/>
                <w:lang w:val="en-US" w:eastAsia="zh-CN"/>
              </w:rPr>
              <w:t>测绘</w:t>
            </w:r>
            <w:r>
              <w:rPr>
                <w:rFonts w:hint="eastAsia" w:ascii="宋体" w:hAnsi="宋体" w:eastAsia="宋体" w:cs="宋体"/>
                <w:color w:val="auto"/>
                <w:sz w:val="24"/>
                <w:szCs w:val="24"/>
                <w:highlight w:val="none"/>
                <w:lang w:eastAsia="zh-CN"/>
              </w:rPr>
              <w:t>相关的调查、</w:t>
            </w:r>
            <w:r>
              <w:rPr>
                <w:rFonts w:hint="eastAsia" w:ascii="宋体" w:hAnsi="宋体" w:eastAsia="宋体" w:cs="宋体"/>
                <w:color w:val="auto"/>
                <w:sz w:val="24"/>
                <w:szCs w:val="24"/>
                <w:highlight w:val="none"/>
                <w:lang w:val="en-US" w:eastAsia="zh-CN"/>
              </w:rPr>
              <w:t>普查、</w:t>
            </w:r>
            <w:r>
              <w:rPr>
                <w:rFonts w:hint="eastAsia" w:ascii="宋体" w:hAnsi="宋体" w:eastAsia="宋体" w:cs="宋体"/>
                <w:color w:val="auto"/>
                <w:sz w:val="24"/>
                <w:szCs w:val="24"/>
                <w:highlight w:val="none"/>
                <w:lang w:eastAsia="zh-CN"/>
              </w:rPr>
              <w:t>核查、监测、质量控制服务、数据库系统等），每提供一个合同得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分，最高得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w:t>
            </w:r>
          </w:p>
          <w:p w14:paraId="1C46315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注：</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lang w:val="zh-CN" w:eastAsia="zh-CN"/>
              </w:rPr>
              <w:t>合同</w:t>
            </w:r>
            <w:r>
              <w:rPr>
                <w:rFonts w:hint="eastAsia" w:ascii="宋体" w:hAnsi="宋体" w:eastAsia="宋体" w:cs="宋体"/>
                <w:color w:val="auto"/>
                <w:sz w:val="24"/>
                <w:szCs w:val="24"/>
                <w:highlight w:val="none"/>
                <w:lang w:eastAsia="zh-CN"/>
              </w:rPr>
              <w:t>或中标通知书原件扫描件</w:t>
            </w:r>
            <w:r>
              <w:rPr>
                <w:rFonts w:hint="eastAsia" w:ascii="宋体" w:hAnsi="宋体" w:eastAsia="宋体" w:cs="宋体"/>
                <w:color w:val="auto"/>
                <w:sz w:val="24"/>
                <w:szCs w:val="24"/>
                <w:highlight w:val="none"/>
                <w:lang w:val="zh-CN" w:eastAsia="zh-CN"/>
              </w:rPr>
              <w:t>。</w:t>
            </w:r>
          </w:p>
        </w:tc>
        <w:tc>
          <w:tcPr>
            <w:tcW w:w="707" w:type="dxa"/>
            <w:tcMar>
              <w:left w:w="57" w:type="dxa"/>
              <w:right w:w="57" w:type="dxa"/>
            </w:tcMar>
            <w:vAlign w:val="center"/>
          </w:tcPr>
          <w:p w14:paraId="3B90D9E1">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r>
      <w:tr w14:paraId="3BC8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036" w:type="dxa"/>
            <w:vMerge w:val="continue"/>
            <w:tcMar>
              <w:left w:w="57" w:type="dxa"/>
              <w:right w:w="57" w:type="dxa"/>
            </w:tcMar>
            <w:vAlign w:val="center"/>
          </w:tcPr>
          <w:p w14:paraId="21411D43">
            <w:pPr>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4994AAE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w:t>
            </w:r>
          </w:p>
          <w:p w14:paraId="601309A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w:t>
            </w:r>
          </w:p>
        </w:tc>
        <w:tc>
          <w:tcPr>
            <w:tcW w:w="6150" w:type="dxa"/>
            <w:tcMar>
              <w:left w:w="57" w:type="dxa"/>
              <w:right w:w="57" w:type="dxa"/>
            </w:tcMar>
            <w:vAlign w:val="center"/>
          </w:tcPr>
          <w:p w14:paraId="4C6DBC4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1、拟投入本项目的项目负责人</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具备测绘类高级及以上工程师职称、注册测绘师</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地理信息安全保密培训合格证</w:t>
            </w:r>
            <w:r>
              <w:rPr>
                <w:rFonts w:hint="eastAsia" w:ascii="宋体" w:hAnsi="宋体" w:eastAsia="宋体" w:cs="宋体"/>
                <w:color w:val="auto"/>
                <w:sz w:val="24"/>
                <w:szCs w:val="24"/>
                <w:highlight w:val="none"/>
                <w:lang w:val="en-US" w:eastAsia="zh-CN"/>
              </w:rPr>
              <w:t>中的一个，得1分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本项最高</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分； </w:t>
            </w:r>
          </w:p>
          <w:p w14:paraId="5966505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2、拟投入本项目的技术负责人</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具备测绘类高级及以上工程师职称、注册测绘师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地理信息安全保密培训合格证</w:t>
            </w:r>
            <w:r>
              <w:rPr>
                <w:rFonts w:hint="eastAsia" w:ascii="宋体" w:hAnsi="宋体" w:eastAsia="宋体" w:cs="宋体"/>
                <w:color w:val="auto"/>
                <w:sz w:val="24"/>
                <w:szCs w:val="24"/>
                <w:highlight w:val="none"/>
                <w:lang w:val="en-US" w:eastAsia="zh-CN"/>
              </w:rPr>
              <w:t>中的一个</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本项最高</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8EB298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拟</w:t>
            </w:r>
            <w:r>
              <w:rPr>
                <w:rFonts w:hint="eastAsia" w:ascii="宋体" w:hAnsi="宋体" w:eastAsia="宋体" w:cs="宋体"/>
                <w:color w:val="auto"/>
                <w:sz w:val="24"/>
                <w:szCs w:val="24"/>
                <w:highlight w:val="none"/>
              </w:rPr>
              <w:t>投入本项目组成员中（不含项目负责人、技术负责人）</w:t>
            </w:r>
          </w:p>
          <w:p w14:paraId="5F6BA776">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（1）具有测绘类高级及以上职称，</w:t>
            </w:r>
            <w:r>
              <w:rPr>
                <w:rFonts w:hint="eastAsia" w:ascii="宋体" w:hAnsi="宋体" w:eastAsia="宋体" w:cs="宋体"/>
                <w:color w:val="auto"/>
                <w:sz w:val="24"/>
                <w:szCs w:val="24"/>
                <w:highlight w:val="none"/>
                <w:lang w:val="en-US" w:eastAsia="zh-CN"/>
              </w:rPr>
              <w:t>每有1人得1分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满分3分</w:t>
            </w:r>
            <w:r>
              <w:rPr>
                <w:rFonts w:hint="eastAsia" w:ascii="宋体" w:hAnsi="宋体" w:eastAsia="宋体" w:cs="宋体"/>
                <w:color w:val="auto"/>
                <w:sz w:val="24"/>
                <w:szCs w:val="24"/>
                <w:highlight w:val="none"/>
              </w:rPr>
              <w:t>。</w:t>
            </w:r>
          </w:p>
          <w:p w14:paraId="71E3500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（2）具有测绘类中级及以上职称，</w:t>
            </w:r>
            <w:r>
              <w:rPr>
                <w:rFonts w:hint="eastAsia" w:ascii="宋体" w:hAnsi="宋体" w:eastAsia="宋体" w:cs="宋体"/>
                <w:color w:val="auto"/>
                <w:sz w:val="24"/>
                <w:szCs w:val="24"/>
                <w:highlight w:val="none"/>
                <w:lang w:val="en-US" w:eastAsia="zh-CN"/>
              </w:rPr>
              <w:t>每有1人得1分，</w:t>
            </w:r>
            <w:r>
              <w:rPr>
                <w:rFonts w:hint="eastAsia" w:ascii="宋体" w:hAnsi="宋体" w:eastAsia="宋体" w:cs="宋体"/>
                <w:color w:val="auto"/>
                <w:sz w:val="24"/>
                <w:szCs w:val="24"/>
                <w:highlight w:val="none"/>
              </w:rPr>
              <w:t>满分</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D7E6556">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具有测绘</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、软件工程、环境工程、</w:t>
            </w:r>
            <w:r>
              <w:rPr>
                <w:rFonts w:hint="eastAsia" w:ascii="宋体" w:hAnsi="宋体" w:eastAsia="宋体" w:cs="宋体"/>
                <w:color w:val="auto"/>
                <w:sz w:val="24"/>
                <w:szCs w:val="24"/>
                <w:highlight w:val="none"/>
                <w:lang w:val="en-US" w:eastAsia="zh-CN"/>
              </w:rPr>
              <w:t>岩土工程、</w:t>
            </w:r>
            <w:r>
              <w:rPr>
                <w:rFonts w:hint="eastAsia" w:ascii="宋体" w:hAnsi="宋体" w:eastAsia="宋体" w:cs="宋体"/>
                <w:color w:val="auto"/>
                <w:sz w:val="24"/>
                <w:szCs w:val="24"/>
                <w:highlight w:val="none"/>
                <w:lang w:eastAsia="zh-CN"/>
              </w:rPr>
              <w:t>土地与国土、水利工程、</w:t>
            </w:r>
            <w:r>
              <w:rPr>
                <w:rFonts w:hint="eastAsia" w:ascii="宋体" w:hAnsi="宋体" w:eastAsia="宋体" w:cs="宋体"/>
                <w:color w:val="auto"/>
                <w:sz w:val="24"/>
                <w:szCs w:val="24"/>
                <w:highlight w:val="none"/>
                <w:lang w:val="en-US" w:eastAsia="zh-CN"/>
              </w:rPr>
              <w:t>地质工程、</w:t>
            </w:r>
            <w:r>
              <w:rPr>
                <w:rFonts w:hint="eastAsia" w:ascii="宋体" w:hAnsi="宋体" w:eastAsia="宋体" w:cs="宋体"/>
                <w:color w:val="auto"/>
                <w:sz w:val="24"/>
                <w:szCs w:val="24"/>
                <w:highlight w:val="none"/>
                <w:lang w:eastAsia="zh-CN"/>
              </w:rPr>
              <w:t>摄影测量与遥感、地理信息</w:t>
            </w:r>
            <w:r>
              <w:rPr>
                <w:rFonts w:hint="eastAsia" w:ascii="宋体" w:hAnsi="宋体" w:eastAsia="宋体" w:cs="宋体"/>
                <w:color w:val="auto"/>
                <w:sz w:val="24"/>
                <w:szCs w:val="24"/>
                <w:highlight w:val="none"/>
                <w:lang w:val="en-US" w:eastAsia="zh-CN"/>
              </w:rPr>
              <w:t>科学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建筑工程、</w:t>
            </w:r>
            <w:r>
              <w:rPr>
                <w:rFonts w:hint="eastAsia" w:ascii="宋体" w:hAnsi="宋体" w:eastAsia="宋体" w:cs="宋体"/>
                <w:color w:val="auto"/>
                <w:sz w:val="24"/>
                <w:szCs w:val="24"/>
                <w:highlight w:val="none"/>
                <w:lang w:eastAsia="zh-CN"/>
              </w:rPr>
              <w:t>计算机科学与技术、土壤学、土地资源管理等专业本科及以上学历人员的每提供一人得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lang w:eastAsia="zh-CN"/>
              </w:rPr>
              <w:t>分，提供学历证书项最多得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每个专业最多只计取两人</w:t>
            </w:r>
            <w:r>
              <w:rPr>
                <w:rFonts w:hint="eastAsia" w:ascii="宋体" w:hAnsi="宋体" w:eastAsia="宋体" w:cs="宋体"/>
                <w:color w:val="auto"/>
                <w:sz w:val="24"/>
                <w:szCs w:val="24"/>
                <w:highlight w:val="none"/>
                <w:lang w:eastAsia="zh-CN"/>
              </w:rPr>
              <w:t>）</w:t>
            </w:r>
          </w:p>
          <w:p w14:paraId="185F9D56">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注：（1）以上人员不重复得分；</w:t>
            </w:r>
          </w:p>
          <w:p w14:paraId="09E22EF0">
            <w:pPr>
              <w:spacing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（2）须提供以上人员的职称证、注册证等相关证明材料，以及投标人为其缴纳的连续三个月的社保参保证明扫描件并加盖公章，否则不得分</w:t>
            </w:r>
            <w:r>
              <w:rPr>
                <w:rFonts w:hint="eastAsia" w:ascii="宋体" w:hAnsi="宋体" w:eastAsia="宋体" w:cs="宋体"/>
                <w:b/>
                <w:bCs/>
                <w:color w:val="auto"/>
                <w:kern w:val="2"/>
                <w:sz w:val="24"/>
                <w:szCs w:val="24"/>
                <w:highlight w:val="none"/>
              </w:rPr>
              <w:t>。</w:t>
            </w:r>
          </w:p>
        </w:tc>
        <w:tc>
          <w:tcPr>
            <w:tcW w:w="707" w:type="dxa"/>
            <w:tcMar>
              <w:left w:w="57" w:type="dxa"/>
              <w:right w:w="57" w:type="dxa"/>
            </w:tcMar>
            <w:vAlign w:val="center"/>
          </w:tcPr>
          <w:p w14:paraId="51377B5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r>
      <w:tr w14:paraId="1560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036" w:type="dxa"/>
            <w:vMerge w:val="continue"/>
            <w:tcMar>
              <w:left w:w="57" w:type="dxa"/>
              <w:right w:w="57" w:type="dxa"/>
            </w:tcMar>
            <w:vAlign w:val="center"/>
          </w:tcPr>
          <w:p w14:paraId="3DE7FB86">
            <w:pPr>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4EA81AD6">
            <w:pPr>
              <w:widowControl w:val="0"/>
              <w:spacing w:line="36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仪器配备</w:t>
            </w:r>
          </w:p>
          <w:p w14:paraId="6E0C81F4">
            <w:pPr>
              <w:widowControl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分）</w:t>
            </w:r>
          </w:p>
        </w:tc>
        <w:tc>
          <w:tcPr>
            <w:tcW w:w="6150" w:type="dxa"/>
            <w:tcMar>
              <w:left w:w="57" w:type="dxa"/>
              <w:right w:w="57" w:type="dxa"/>
            </w:tcMar>
            <w:vAlign w:val="center"/>
          </w:tcPr>
          <w:p w14:paraId="1A43EA42">
            <w:pPr>
              <w:widowControl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lang w:eastAsia="zh-CN"/>
              </w:rPr>
              <w:t>具有无人机设备</w:t>
            </w:r>
            <w:r>
              <w:rPr>
                <w:rFonts w:hint="eastAsia" w:ascii="宋体" w:hAnsi="宋体" w:eastAsia="宋体" w:cs="宋体"/>
                <w:color w:val="auto"/>
                <w:sz w:val="24"/>
                <w:szCs w:val="24"/>
                <w:highlight w:val="none"/>
                <w:lang w:val="zh-CN" w:eastAsia="zh-CN"/>
              </w:rPr>
              <w:t>（起飞重量7KG以上，抗风能力5级以上）、</w:t>
            </w:r>
            <w:r>
              <w:rPr>
                <w:rFonts w:hint="eastAsia" w:ascii="宋体" w:hAnsi="宋体" w:eastAsia="宋体" w:cs="宋体"/>
                <w:color w:val="auto"/>
                <w:sz w:val="24"/>
                <w:szCs w:val="24"/>
                <w:highlight w:val="none"/>
                <w:lang w:eastAsia="zh-CN"/>
              </w:rPr>
              <w:t>GNSS设备的，得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54CF2002">
            <w:pPr>
              <w:widowControl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（上述设备须为投标人自有，提供购买发票扫描件或仪器检定证书扫描件。发票不能说明设备需提供发票附件，未提供的不予认可。）</w:t>
            </w:r>
          </w:p>
        </w:tc>
        <w:tc>
          <w:tcPr>
            <w:tcW w:w="707" w:type="dxa"/>
            <w:tcMar>
              <w:left w:w="57" w:type="dxa"/>
              <w:right w:w="57" w:type="dxa"/>
            </w:tcMar>
            <w:vAlign w:val="center"/>
          </w:tcPr>
          <w:p w14:paraId="4C990519">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1分</w:t>
            </w:r>
          </w:p>
        </w:tc>
      </w:tr>
      <w:tr w14:paraId="204C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6" w:type="dxa"/>
            <w:vMerge w:val="restart"/>
            <w:tcMar>
              <w:left w:w="57" w:type="dxa"/>
              <w:right w:w="57" w:type="dxa"/>
            </w:tcMar>
            <w:vAlign w:val="center"/>
          </w:tcPr>
          <w:p w14:paraId="148FF8E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0A1112E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分</w:t>
            </w:r>
          </w:p>
        </w:tc>
        <w:tc>
          <w:tcPr>
            <w:tcW w:w="785" w:type="dxa"/>
            <w:tcMar>
              <w:left w:w="57" w:type="dxa"/>
              <w:right w:w="57" w:type="dxa"/>
            </w:tcMar>
            <w:vAlign w:val="center"/>
          </w:tcPr>
          <w:p w14:paraId="4C0F1F0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技术方案</w:t>
            </w:r>
          </w:p>
        </w:tc>
        <w:tc>
          <w:tcPr>
            <w:tcW w:w="6150" w:type="dxa"/>
            <w:tcMar>
              <w:left w:w="57" w:type="dxa"/>
              <w:right w:w="57" w:type="dxa"/>
            </w:tcMar>
            <w:vAlign w:val="center"/>
          </w:tcPr>
          <w:p w14:paraId="7E8ACE8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根据供应商拟制的实施方案进行综合评审：</w:t>
            </w:r>
          </w:p>
          <w:p w14:paraId="0BF1B4B7">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方案详实，贴切实际、实用性强为优，得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52AE9A5C">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方案较详实，较贴切实际、实用性较强为良，得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分； </w:t>
            </w:r>
          </w:p>
          <w:p w14:paraId="0F649903">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方案一般详实，一般贴切实际、实用性一般，得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B272E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方案与本项目无关，不贴切实际，无实用性或未提供为差，得0分。</w:t>
            </w:r>
          </w:p>
        </w:tc>
        <w:tc>
          <w:tcPr>
            <w:tcW w:w="707" w:type="dxa"/>
            <w:tcMar>
              <w:left w:w="57" w:type="dxa"/>
              <w:right w:w="57" w:type="dxa"/>
            </w:tcMar>
            <w:vAlign w:val="center"/>
          </w:tcPr>
          <w:p w14:paraId="2932E37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r>
      <w:tr w14:paraId="5D3B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6" w:type="dxa"/>
            <w:vMerge w:val="continue"/>
            <w:tcMar>
              <w:left w:w="57" w:type="dxa"/>
              <w:right w:w="57" w:type="dxa"/>
            </w:tcMar>
            <w:vAlign w:val="center"/>
          </w:tcPr>
          <w:p w14:paraId="38A87D50">
            <w:pPr>
              <w:widowControl/>
              <w:spacing w:line="360" w:lineRule="auto"/>
              <w:jc w:val="center"/>
              <w:rPr>
                <w:rFonts w:hint="eastAsia" w:ascii="宋体" w:hAnsi="宋体" w:eastAsia="宋体" w:cs="宋体"/>
                <w:color w:val="auto"/>
                <w:sz w:val="24"/>
                <w:szCs w:val="24"/>
                <w:highlight w:val="none"/>
              </w:rPr>
            </w:pPr>
          </w:p>
        </w:tc>
        <w:tc>
          <w:tcPr>
            <w:tcW w:w="785" w:type="dxa"/>
            <w:tcMar>
              <w:left w:w="57" w:type="dxa"/>
              <w:right w:w="57" w:type="dxa"/>
            </w:tcMar>
            <w:vAlign w:val="center"/>
          </w:tcPr>
          <w:p w14:paraId="64AD0A2D">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项目理解</w:t>
            </w:r>
            <w:r>
              <w:rPr>
                <w:rFonts w:hint="eastAsia" w:ascii="宋体" w:hAnsi="宋体" w:eastAsia="宋体" w:cs="宋体"/>
                <w:color w:val="FF0000"/>
                <w:sz w:val="24"/>
                <w:szCs w:val="24"/>
                <w:highlight w:val="none"/>
                <w:lang w:eastAsia="zh-CN"/>
              </w:rPr>
              <w:t>（</w:t>
            </w:r>
            <w:r>
              <w:rPr>
                <w:rFonts w:hint="eastAsia" w:ascii="宋体" w:hAnsi="宋体" w:eastAsia="宋体" w:cs="宋体"/>
                <w:color w:val="FF0000"/>
                <w:sz w:val="24"/>
                <w:szCs w:val="24"/>
                <w:highlight w:val="none"/>
                <w:lang w:val="en-US" w:eastAsia="zh-CN"/>
              </w:rPr>
              <w:t>工作指南</w:t>
            </w:r>
            <w:r>
              <w:rPr>
                <w:rFonts w:hint="eastAsia" w:ascii="宋体" w:hAnsi="宋体" w:eastAsia="宋体" w:cs="宋体"/>
                <w:color w:val="FF0000"/>
                <w:sz w:val="24"/>
                <w:szCs w:val="24"/>
                <w:highlight w:val="none"/>
                <w:lang w:eastAsia="zh-CN"/>
              </w:rPr>
              <w:t>）</w:t>
            </w:r>
          </w:p>
        </w:tc>
        <w:tc>
          <w:tcPr>
            <w:tcW w:w="6150" w:type="dxa"/>
            <w:tcMar>
              <w:left w:w="57" w:type="dxa"/>
              <w:right w:w="57" w:type="dxa"/>
            </w:tcMar>
            <w:vAlign w:val="center"/>
          </w:tcPr>
          <w:p w14:paraId="23276849">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根据供应商对项目背景、项目需求理解进行综合评审：</w:t>
            </w:r>
          </w:p>
          <w:p w14:paraId="39D882C6">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方案详实，贴切实际、实用性强为优，得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421DBFFE">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方案较详实，较贴切实际、实用性较强为良，得5分； </w:t>
            </w:r>
          </w:p>
          <w:p w14:paraId="0A5B59DB">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方案一般详实，一般贴切实际、实用性一般，得2分；</w:t>
            </w:r>
          </w:p>
          <w:p w14:paraId="09C4526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方案与本项目无关，不贴切实际，无实用性或未提供为差，得0分。</w:t>
            </w:r>
          </w:p>
        </w:tc>
        <w:tc>
          <w:tcPr>
            <w:tcW w:w="707" w:type="dxa"/>
            <w:tcMar>
              <w:left w:w="57" w:type="dxa"/>
              <w:right w:w="57" w:type="dxa"/>
            </w:tcMar>
            <w:vAlign w:val="center"/>
          </w:tcPr>
          <w:p w14:paraId="68A1AA3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r>
      <w:tr w14:paraId="0E5F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1036" w:type="dxa"/>
            <w:vMerge w:val="continue"/>
            <w:tcMar>
              <w:left w:w="57" w:type="dxa"/>
              <w:right w:w="57" w:type="dxa"/>
            </w:tcMar>
            <w:vAlign w:val="center"/>
          </w:tcPr>
          <w:p w14:paraId="5B5300D6">
            <w:pPr>
              <w:widowControl/>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48458EBE">
            <w:pPr>
              <w:widowControl/>
              <w:spacing w:line="360" w:lineRule="auto"/>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进度计划及保障措施</w:t>
            </w:r>
          </w:p>
          <w:p w14:paraId="109B9C42">
            <w:pPr>
              <w:widowControl/>
              <w:spacing w:line="360" w:lineRule="auto"/>
              <w:jc w:val="center"/>
              <w:rPr>
                <w:rFonts w:hint="eastAsia" w:ascii="宋体" w:hAnsi="宋体" w:eastAsia="宋体" w:cs="宋体"/>
                <w:color w:val="auto"/>
                <w:sz w:val="24"/>
                <w:szCs w:val="24"/>
                <w:highlight w:val="none"/>
              </w:rPr>
            </w:pPr>
          </w:p>
        </w:tc>
        <w:tc>
          <w:tcPr>
            <w:tcW w:w="6150" w:type="dxa"/>
            <w:tcMar>
              <w:left w:w="57" w:type="dxa"/>
              <w:right w:w="57" w:type="dxa"/>
            </w:tcMar>
            <w:vAlign w:val="center"/>
          </w:tcPr>
          <w:p w14:paraId="640B4EDE">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根据供应商对本项目实施的进度计划</w:t>
            </w:r>
            <w:r>
              <w:rPr>
                <w:rFonts w:hint="eastAsia" w:ascii="宋体" w:hAnsi="宋体" w:eastAsia="宋体" w:cs="宋体"/>
                <w:color w:val="auto"/>
                <w:sz w:val="24"/>
                <w:szCs w:val="24"/>
                <w:highlight w:val="none"/>
                <w:lang w:val="zh-CN" w:eastAsia="zh-CN"/>
              </w:rPr>
              <w:t>及保障措施</w:t>
            </w:r>
            <w:r>
              <w:rPr>
                <w:rFonts w:hint="eastAsia" w:ascii="宋体" w:hAnsi="宋体" w:eastAsia="宋体" w:cs="宋体"/>
                <w:color w:val="auto"/>
                <w:sz w:val="24"/>
                <w:szCs w:val="24"/>
                <w:highlight w:val="none"/>
              </w:rPr>
              <w:t xml:space="preserve">、人员安排等制定方案进行综合评审： </w:t>
            </w:r>
          </w:p>
          <w:p w14:paraId="000B897C">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方案详实，贴切实际、实用性强为优，得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55A6196F">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方案较详实，较贴切实际、实用性较强为良，得5分； </w:t>
            </w:r>
          </w:p>
          <w:p w14:paraId="602AAACA">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方案一般详实，一般贴切实际、实用性一般，得2分；</w:t>
            </w:r>
          </w:p>
          <w:p w14:paraId="207EA4EF">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方案与本项目无关，不贴切实际，无实用性或未提供为差，得0分。</w:t>
            </w:r>
          </w:p>
        </w:tc>
        <w:tc>
          <w:tcPr>
            <w:tcW w:w="707" w:type="dxa"/>
            <w:tcMar>
              <w:left w:w="57" w:type="dxa"/>
              <w:right w:w="57" w:type="dxa"/>
            </w:tcMar>
            <w:vAlign w:val="center"/>
          </w:tcPr>
          <w:p w14:paraId="358A1BF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r>
      <w:tr w14:paraId="3481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1036" w:type="dxa"/>
            <w:vMerge w:val="continue"/>
            <w:tcMar>
              <w:left w:w="57" w:type="dxa"/>
              <w:right w:w="57" w:type="dxa"/>
            </w:tcMar>
            <w:vAlign w:val="center"/>
          </w:tcPr>
          <w:p w14:paraId="0F1BE04A">
            <w:pPr>
              <w:widowControl/>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61CCE30E">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合理化建议</w:t>
            </w:r>
          </w:p>
        </w:tc>
        <w:tc>
          <w:tcPr>
            <w:tcW w:w="6150" w:type="dxa"/>
            <w:tcMar>
              <w:left w:w="57" w:type="dxa"/>
              <w:right w:w="57" w:type="dxa"/>
            </w:tcMar>
            <w:vAlign w:val="center"/>
          </w:tcPr>
          <w:p w14:paraId="77FAFAA0">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根据供应商提供的合理化建议方案，进行综合评审：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方案详实，贴切实际、实用性强为优，得7分；</w:t>
            </w:r>
          </w:p>
          <w:p w14:paraId="726DD4F1">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方案较详实，较贴切实际、实用性较强为良，得5分； </w:t>
            </w:r>
          </w:p>
          <w:p w14:paraId="7A8F1576">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方案一般详实，一般贴切实际、实用性一般，得2分；</w:t>
            </w:r>
          </w:p>
          <w:p w14:paraId="0923F76A">
            <w:pPr>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方案与本项目无关，不贴切实际，无实用性或未提供为差，得0分。</w:t>
            </w:r>
          </w:p>
        </w:tc>
        <w:tc>
          <w:tcPr>
            <w:tcW w:w="707" w:type="dxa"/>
            <w:tcMar>
              <w:left w:w="57" w:type="dxa"/>
              <w:right w:w="57" w:type="dxa"/>
            </w:tcMar>
            <w:vAlign w:val="center"/>
          </w:tcPr>
          <w:p w14:paraId="1BBD533C">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7分</w:t>
            </w:r>
          </w:p>
        </w:tc>
      </w:tr>
      <w:tr w14:paraId="6332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1036" w:type="dxa"/>
            <w:vMerge w:val="continue"/>
            <w:tcMar>
              <w:left w:w="57" w:type="dxa"/>
              <w:right w:w="57" w:type="dxa"/>
            </w:tcMar>
            <w:vAlign w:val="center"/>
          </w:tcPr>
          <w:p w14:paraId="6AD2C408">
            <w:pPr>
              <w:widowControl/>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6EFDD714">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w:t>
            </w:r>
          </w:p>
        </w:tc>
        <w:tc>
          <w:tcPr>
            <w:tcW w:w="6150" w:type="dxa"/>
            <w:tcMar>
              <w:left w:w="57" w:type="dxa"/>
              <w:right w:w="57" w:type="dxa"/>
            </w:tcMar>
            <w:vAlign w:val="center"/>
          </w:tcPr>
          <w:p w14:paraId="1E376431">
            <w:pPr>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根据供应商拟制的质量控制方案进行综合评审：</w:t>
            </w:r>
          </w:p>
          <w:p w14:paraId="0C440D0A">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方案详实，贴切实际、实用性强为优，得7分；</w:t>
            </w:r>
          </w:p>
          <w:p w14:paraId="29B4FCAB">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方案较详实，较贴切实际、实用性较强为良，得5分； </w:t>
            </w:r>
          </w:p>
          <w:p w14:paraId="1F4E0344">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方案一般详实，一般贴切实际、实用性一般，得2分；</w:t>
            </w:r>
          </w:p>
          <w:p w14:paraId="5A4850ED">
            <w:pPr>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方案与本项目无关，不贴切实际，无实用性或未提供为差，得0分。</w:t>
            </w:r>
          </w:p>
        </w:tc>
        <w:tc>
          <w:tcPr>
            <w:tcW w:w="707" w:type="dxa"/>
            <w:tcMar>
              <w:left w:w="57" w:type="dxa"/>
              <w:right w:w="57" w:type="dxa"/>
            </w:tcMar>
            <w:vAlign w:val="center"/>
          </w:tcPr>
          <w:p w14:paraId="3FA34F2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7分</w:t>
            </w:r>
          </w:p>
        </w:tc>
      </w:tr>
      <w:tr w14:paraId="4216B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036" w:type="dxa"/>
            <w:vMerge w:val="continue"/>
            <w:tcMar>
              <w:left w:w="57" w:type="dxa"/>
              <w:right w:w="57" w:type="dxa"/>
            </w:tcMar>
            <w:vAlign w:val="center"/>
          </w:tcPr>
          <w:p w14:paraId="07B4B9D1">
            <w:pPr>
              <w:widowControl/>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02ACD858">
            <w:pPr>
              <w:widowControl/>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安全保密</w:t>
            </w:r>
          </w:p>
          <w:p w14:paraId="47B11196">
            <w:pPr>
              <w:widowControl/>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措施及售后服务方案</w:t>
            </w:r>
          </w:p>
          <w:p w14:paraId="38A9A569">
            <w:pPr>
              <w:widowControl/>
              <w:spacing w:line="360" w:lineRule="auto"/>
              <w:jc w:val="left"/>
              <w:rPr>
                <w:rFonts w:hint="eastAsia" w:ascii="宋体" w:hAnsi="宋体" w:eastAsia="宋体" w:cs="宋体"/>
                <w:color w:val="auto"/>
                <w:sz w:val="24"/>
                <w:szCs w:val="24"/>
                <w:highlight w:val="none"/>
              </w:rPr>
            </w:pPr>
          </w:p>
        </w:tc>
        <w:tc>
          <w:tcPr>
            <w:tcW w:w="6150" w:type="dxa"/>
            <w:tcMar>
              <w:left w:w="57" w:type="dxa"/>
              <w:right w:w="57" w:type="dxa"/>
            </w:tcMar>
            <w:vAlign w:val="center"/>
          </w:tcPr>
          <w:p w14:paraId="464B58E5">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对针对本项目的安全保密措施及售后服务方案进行综合评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lang w:eastAsia="zh-CN"/>
              </w:rPr>
              <w:t>：</w:t>
            </w:r>
          </w:p>
          <w:p w14:paraId="17C7AF33">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方案详实，贴切实际、实用性强为优，得7分；</w:t>
            </w:r>
          </w:p>
          <w:p w14:paraId="3F567FC5">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方案较详实，较贴切实际、实用性较强为良，得5分； </w:t>
            </w:r>
          </w:p>
          <w:p w14:paraId="1DD438D1">
            <w:pPr>
              <w:widowControl/>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方案一般详实，一般贴切实际、实用性一般，得2分；</w:t>
            </w:r>
          </w:p>
          <w:p w14:paraId="7A85F54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方案与本项目无关，不贴切实际，无实用性或未提供为差，得0分。</w:t>
            </w:r>
          </w:p>
        </w:tc>
        <w:tc>
          <w:tcPr>
            <w:tcW w:w="707" w:type="dxa"/>
            <w:tcMar>
              <w:left w:w="57" w:type="dxa"/>
              <w:right w:w="57" w:type="dxa"/>
            </w:tcMar>
            <w:vAlign w:val="center"/>
          </w:tcPr>
          <w:p w14:paraId="0858081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7分</w:t>
            </w:r>
          </w:p>
        </w:tc>
      </w:tr>
      <w:tr w14:paraId="4393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036" w:type="dxa"/>
            <w:tcMar>
              <w:left w:w="57" w:type="dxa"/>
              <w:right w:w="57" w:type="dxa"/>
            </w:tcMar>
            <w:vAlign w:val="center"/>
          </w:tcPr>
          <w:p w14:paraId="0740DA8F">
            <w:pPr>
              <w:widowControl/>
              <w:spacing w:line="360" w:lineRule="auto"/>
              <w:jc w:val="left"/>
              <w:rPr>
                <w:rFonts w:hint="eastAsia" w:ascii="宋体" w:hAnsi="宋体" w:eastAsia="宋体" w:cs="宋体"/>
                <w:color w:val="auto"/>
                <w:sz w:val="24"/>
                <w:szCs w:val="24"/>
                <w:highlight w:val="none"/>
              </w:rPr>
            </w:pPr>
          </w:p>
        </w:tc>
        <w:tc>
          <w:tcPr>
            <w:tcW w:w="785" w:type="dxa"/>
            <w:tcMar>
              <w:left w:w="57" w:type="dxa"/>
              <w:right w:w="57" w:type="dxa"/>
            </w:tcMar>
            <w:vAlign w:val="center"/>
          </w:tcPr>
          <w:p w14:paraId="56298E50">
            <w:pPr>
              <w:widowControl/>
              <w:spacing w:line="360" w:lineRule="auto"/>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应急响应</w:t>
            </w:r>
          </w:p>
        </w:tc>
        <w:tc>
          <w:tcPr>
            <w:tcW w:w="6150" w:type="dxa"/>
            <w:tcMar>
              <w:left w:w="57" w:type="dxa"/>
              <w:right w:w="57" w:type="dxa"/>
            </w:tcMar>
            <w:vAlign w:val="center"/>
          </w:tcPr>
          <w:p w14:paraId="43F416D1">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根据供应商对本项目的应急响应方案进行综合评审：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在2小时内安全技术人员或专家到达项目地点提供专业技术服务的得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4小时内能到达项目现场的得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6小时内能到达项目现场的得3分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8小时内能到达项目现场的得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超过8小时的到达项目现场的得0分。</w:t>
            </w:r>
          </w:p>
        </w:tc>
        <w:tc>
          <w:tcPr>
            <w:tcW w:w="707" w:type="dxa"/>
            <w:tcMar>
              <w:left w:w="57" w:type="dxa"/>
              <w:right w:w="57" w:type="dxa"/>
            </w:tcMar>
            <w:vAlign w:val="center"/>
          </w:tcPr>
          <w:p w14:paraId="06AC9B0F">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r>
    </w:tbl>
    <w:p w14:paraId="16F13EE0">
      <w:pPr>
        <w:adjustRightInd w:val="0"/>
        <w:snapToGrid w:val="0"/>
        <w:spacing w:line="50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1.资格审查</w:t>
      </w:r>
    </w:p>
    <w:p w14:paraId="5147F9CC">
      <w:pPr>
        <w:pStyle w:val="2"/>
        <w:adjustRightInd w:val="0"/>
        <w:snapToGrid w:val="0"/>
        <w:spacing w:line="5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1.1项目开标结束后，招标人对供应商的资格进行审查。</w:t>
      </w:r>
    </w:p>
    <w:p w14:paraId="0B100686">
      <w:pPr>
        <w:pStyle w:val="2"/>
        <w:adjustRightInd w:val="0"/>
        <w:snapToGrid w:val="0"/>
        <w:spacing w:line="5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1.2资格审查的内容和标准：见资格审查和评标办法前附表。</w:t>
      </w:r>
    </w:p>
    <w:p w14:paraId="404B1FBC">
      <w:pPr>
        <w:adjustRightInd w:val="0"/>
        <w:snapToGrid w:val="0"/>
        <w:spacing w:line="50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2.评标</w:t>
      </w:r>
    </w:p>
    <w:bookmarkEnd w:id="257"/>
    <w:p w14:paraId="021C91A1">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58" w:name="_Toc14109"/>
      <w:r>
        <w:rPr>
          <w:rFonts w:hint="eastAsia" w:asciiTheme="majorEastAsia" w:hAnsiTheme="majorEastAsia" w:eastAsiaTheme="majorEastAsia" w:cstheme="majorEastAsia"/>
          <w:b/>
          <w:color w:val="auto"/>
          <w:highlight w:val="none"/>
        </w:rPr>
        <w:t>2.1评标方法</w:t>
      </w:r>
      <w:bookmarkEnd w:id="258"/>
    </w:p>
    <w:p w14:paraId="5715D44F">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评标采用综合评分法，评标委员会对满足招标文件实质要求的投标文件，按照本章规定的程序和方法进行评审，并按总得分由高到低顺序推荐中标候选人。</w:t>
      </w:r>
    </w:p>
    <w:p w14:paraId="0F895861">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59" w:name="_Toc4675"/>
      <w:r>
        <w:rPr>
          <w:rFonts w:hint="eastAsia" w:asciiTheme="majorEastAsia" w:hAnsiTheme="majorEastAsia" w:eastAsiaTheme="majorEastAsia" w:cstheme="majorEastAsia"/>
          <w:b/>
          <w:color w:val="auto"/>
          <w:highlight w:val="none"/>
        </w:rPr>
        <w:t>2.2初步评审</w:t>
      </w:r>
      <w:bookmarkEnd w:id="259"/>
    </w:p>
    <w:p w14:paraId="2655AD45">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2.2.1评标委员会对通过资格审查的供应商进行初步评审。</w:t>
      </w:r>
    </w:p>
    <w:p w14:paraId="2C4D0D7E">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2.2.2初步评审的内容为投标文件的符合性评审。符合性评审的内容及标准：见资格审查和评标办法前附表。</w:t>
      </w:r>
    </w:p>
    <w:p w14:paraId="63C65D34">
      <w:pPr>
        <w:pStyle w:val="2"/>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0" w:name="_Toc3825"/>
      <w:r>
        <w:rPr>
          <w:rFonts w:hint="eastAsia" w:asciiTheme="majorEastAsia" w:hAnsiTheme="majorEastAsia" w:eastAsiaTheme="majorEastAsia" w:cstheme="majorEastAsia"/>
          <w:b/>
          <w:color w:val="auto"/>
          <w:highlight w:val="none"/>
        </w:rPr>
        <w:t>2.3详细评审</w:t>
      </w:r>
      <w:bookmarkEnd w:id="260"/>
    </w:p>
    <w:p w14:paraId="71AFE8F3">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2.3.1评标委员会对通过初步评审的供应商进行详细评审。</w:t>
      </w:r>
    </w:p>
    <w:p w14:paraId="5015E4E1">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2.3.2详细评审的内容及标准：见资格审查和评标办法前附表。</w:t>
      </w:r>
    </w:p>
    <w:p w14:paraId="4E67770F">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2.3.3因落实政府采购政策进行价格调整的，以调整后的价格计算评标基准价和投标报价。</w:t>
      </w:r>
    </w:p>
    <w:p w14:paraId="6373CC01">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1" w:name="_Toc8887"/>
      <w:bookmarkStart w:id="262" w:name="_Toc426469924"/>
      <w:r>
        <w:rPr>
          <w:rFonts w:hint="eastAsia" w:asciiTheme="majorEastAsia" w:hAnsiTheme="majorEastAsia" w:eastAsiaTheme="majorEastAsia" w:cstheme="majorEastAsia"/>
          <w:b/>
          <w:color w:val="auto"/>
          <w:highlight w:val="none"/>
        </w:rPr>
        <w:t>2.4评标报告</w:t>
      </w:r>
      <w:bookmarkEnd w:id="261"/>
    </w:p>
    <w:p w14:paraId="785D9BA5">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2.4.1详细评审结束后，评标委员会负责编写评标报告。</w:t>
      </w:r>
    </w:p>
    <w:p w14:paraId="052AB8B6">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2.4.2采购代理机构自评审结束之日起2个工作日内将评标报告送交招标人。</w:t>
      </w:r>
    </w:p>
    <w:p w14:paraId="17775B38">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3" w:name="_Toc27999"/>
      <w:r>
        <w:rPr>
          <w:rFonts w:hint="eastAsia" w:asciiTheme="majorEastAsia" w:hAnsiTheme="majorEastAsia" w:eastAsiaTheme="majorEastAsia" w:cstheme="majorEastAsia"/>
          <w:b/>
          <w:color w:val="auto"/>
          <w:highlight w:val="none"/>
        </w:rPr>
        <w:t>2.5澄清、说明或补正</w:t>
      </w:r>
      <w:bookmarkEnd w:id="263"/>
    </w:p>
    <w:p w14:paraId="7420408B">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2.5.1评标委员会在评审过程中，可以要求供应商对投标文件中含义不明确、同类问题表述不一致或者有明显文字和计算错误的内容等作出必要的澄清、说明或者更正。</w:t>
      </w:r>
    </w:p>
    <w:p w14:paraId="6660EFCA">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2.5.2评标委员会要求供应商澄清、说明或者更正投标文件应当以书面形式作出。</w:t>
      </w:r>
    </w:p>
    <w:p w14:paraId="1F4C3DC3">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2.5.3供应商的澄清、说明或者更正应当由法定代表人或其授权代表签字或者加盖公章。由授权代表签字的，应当附法定代表人授权书。供应商的书面澄清材料作为投标文件的补充。</w:t>
      </w:r>
    </w:p>
    <w:p w14:paraId="18B98A9F">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2.5.4供应商的澄清、说明或者更正不得超出投标文件的范围或者改变投标文件的实质性内容。</w:t>
      </w:r>
    </w:p>
    <w:p w14:paraId="063945FB">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2.5.5评标委员会不得接受供应商主动提出的澄清、说明或补正。</w:t>
      </w:r>
    </w:p>
    <w:p w14:paraId="48AF4766">
      <w:pPr>
        <w:adjustRightInd w:val="0"/>
        <w:snapToGrid w:val="0"/>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3.评标过程中特殊情况的处理规定</w:t>
      </w:r>
    </w:p>
    <w:p w14:paraId="343B87E6">
      <w:pPr>
        <w:pStyle w:val="2"/>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4" w:name="_Toc20779"/>
      <w:r>
        <w:rPr>
          <w:rFonts w:hint="eastAsia" w:asciiTheme="majorEastAsia" w:hAnsiTheme="majorEastAsia" w:eastAsiaTheme="majorEastAsia" w:cstheme="majorEastAsia"/>
          <w:b/>
          <w:color w:val="auto"/>
          <w:highlight w:val="none"/>
        </w:rPr>
        <w:t>3.1投标报价的修正</w:t>
      </w:r>
      <w:bookmarkEnd w:id="264"/>
    </w:p>
    <w:p w14:paraId="0F60696B">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投标文件报价出现前后不一致的，按照下列规定修正： </w:t>
      </w:r>
    </w:p>
    <w:p w14:paraId="513FC714">
      <w:pPr>
        <w:pStyle w:val="2"/>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（1）投标文件中开标一览表内容与投标文件中相应内容不一致的，以开标一览表为准； </w:t>
      </w:r>
    </w:p>
    <w:p w14:paraId="5FE65AE6">
      <w:pPr>
        <w:pStyle w:val="2"/>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（2）大写金额和小写金额不一致的，以大写金额为准； </w:t>
      </w:r>
    </w:p>
    <w:p w14:paraId="7A952542">
      <w:pPr>
        <w:pStyle w:val="2"/>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（3）单价金额小数点或者百分比有明显错位的，以开标一览表的总价为准，并修改单价； </w:t>
      </w:r>
    </w:p>
    <w:p w14:paraId="7F3AD150">
      <w:pPr>
        <w:pStyle w:val="2"/>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（4）总价金额与按单价汇总金额不一致的，以单价金额计算结果为准。 </w:t>
      </w:r>
    </w:p>
    <w:p w14:paraId="01602C2C">
      <w:pPr>
        <w:pStyle w:val="2"/>
        <w:adjustRightInd w:val="0"/>
        <w:snapToGrid w:val="0"/>
        <w:spacing w:line="44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同时出现两种以上不一致的，按照前款规定的顺序修正。修正后的报价按照本章第2.5条的规定经供应商确认后产生约束力，供应商不确认的，其投标无效。</w:t>
      </w:r>
    </w:p>
    <w:p w14:paraId="5EDED5DC">
      <w:pPr>
        <w:pStyle w:val="2"/>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5" w:name="_Toc6511"/>
      <w:r>
        <w:rPr>
          <w:rFonts w:hint="eastAsia" w:asciiTheme="majorEastAsia" w:hAnsiTheme="majorEastAsia" w:eastAsiaTheme="majorEastAsia" w:cstheme="majorEastAsia"/>
          <w:b/>
          <w:color w:val="auto"/>
          <w:highlight w:val="none"/>
        </w:rPr>
        <w:t>3.2评标委员会成员的更换</w:t>
      </w:r>
      <w:bookmarkEnd w:id="265"/>
    </w:p>
    <w:p w14:paraId="4651FAD8">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3.2.1评标过程中，因评标委员会成员缺席、回避或者健康等特殊原因导致评标委员会组成不符合规定的，招标人将依法补足后继续评标。被更换的评标委员会成员所作出的评标意见无效。 </w:t>
      </w:r>
    </w:p>
    <w:p w14:paraId="3294BCF4">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3.2.2无法及时补足评标委员会成员的，招标人将停止评标活动，封存所有投标文件和开标、评标资料，依法重新组建评标委员会进行评标。原评标委员会所作出的评标意见无效。</w:t>
      </w:r>
    </w:p>
    <w:p w14:paraId="786672B0">
      <w:pPr>
        <w:pStyle w:val="2"/>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6" w:name="_Toc26846"/>
      <w:r>
        <w:rPr>
          <w:rFonts w:hint="eastAsia" w:asciiTheme="majorEastAsia" w:hAnsiTheme="majorEastAsia" w:eastAsiaTheme="majorEastAsia" w:cstheme="majorEastAsia"/>
          <w:b/>
          <w:color w:val="auto"/>
          <w:highlight w:val="none"/>
        </w:rPr>
        <w:t>3.3异常低价的处理</w:t>
      </w:r>
      <w:bookmarkEnd w:id="266"/>
    </w:p>
    <w:p w14:paraId="33B3705B">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631ABB03">
      <w:pPr>
        <w:pStyle w:val="2"/>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7" w:name="_Toc14415"/>
      <w:r>
        <w:rPr>
          <w:rFonts w:hint="eastAsia" w:asciiTheme="majorEastAsia" w:hAnsiTheme="majorEastAsia" w:eastAsiaTheme="majorEastAsia" w:cstheme="majorEastAsia"/>
          <w:b/>
          <w:color w:val="auto"/>
          <w:highlight w:val="none"/>
        </w:rPr>
        <w:t>3.4争议解决</w:t>
      </w:r>
      <w:bookmarkEnd w:id="267"/>
    </w:p>
    <w:p w14:paraId="455CED3E">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评标委员会成员对需要共同认定的事项存在争议的，按照少数服从多数的原则作出结论。持不同意见的评标委员会成员须在评标报告上签署不同意见及理由。</w:t>
      </w:r>
    </w:p>
    <w:p w14:paraId="1E105D15">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8" w:name="_Toc11631"/>
      <w:r>
        <w:rPr>
          <w:rFonts w:hint="eastAsia" w:asciiTheme="majorEastAsia" w:hAnsiTheme="majorEastAsia" w:eastAsiaTheme="majorEastAsia" w:cstheme="majorEastAsia"/>
          <w:b/>
          <w:color w:val="auto"/>
          <w:highlight w:val="none"/>
        </w:rPr>
        <w:t>3.5评标终止</w:t>
      </w:r>
      <w:bookmarkEnd w:id="268"/>
    </w:p>
    <w:p w14:paraId="2390BD04">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34AB5AA8">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9" w:name="_Toc3496"/>
      <w:r>
        <w:rPr>
          <w:rFonts w:hint="eastAsia" w:asciiTheme="majorEastAsia" w:hAnsiTheme="majorEastAsia" w:eastAsiaTheme="majorEastAsia" w:cstheme="majorEastAsia"/>
          <w:b/>
          <w:color w:val="auto"/>
          <w:highlight w:val="none"/>
        </w:rPr>
        <w:t>3.6修改评标结果</w:t>
      </w:r>
      <w:bookmarkEnd w:id="269"/>
    </w:p>
    <w:p w14:paraId="08DA9ECC">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评审组长负责汇总和核对各评标委员会成员的评审结果。在评标报告签署前，出现下列情形之一的，可以要求其当场修改评审结果：</w:t>
      </w:r>
    </w:p>
    <w:p w14:paraId="5B93B7BD">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（1）分值汇总计算错误；</w:t>
      </w:r>
    </w:p>
    <w:p w14:paraId="060C266E">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（2）分项评分超出评分标准范围；</w:t>
      </w:r>
    </w:p>
    <w:p w14:paraId="0D829D04">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（3）评标委员会成员对客观评审因素评分不一致；</w:t>
      </w:r>
    </w:p>
    <w:p w14:paraId="7D05B071">
      <w:pPr>
        <w:pStyle w:val="2"/>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（4）经评标委员会认定评分畸高或畸低。</w:t>
      </w:r>
    </w:p>
    <w:p w14:paraId="34B696C4">
      <w:pPr>
        <w:pStyle w:val="2"/>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70" w:name="_Toc12381"/>
      <w:r>
        <w:rPr>
          <w:rFonts w:hint="eastAsia" w:asciiTheme="majorEastAsia" w:hAnsiTheme="majorEastAsia" w:eastAsiaTheme="majorEastAsia" w:cstheme="majorEastAsia"/>
          <w:b/>
          <w:color w:val="auto"/>
          <w:highlight w:val="none"/>
        </w:rPr>
        <w:t>3.7 供应商总分相同</w:t>
      </w:r>
      <w:bookmarkEnd w:id="270"/>
    </w:p>
    <w:p w14:paraId="53035E0E">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供应商总分相同时，投标报价低的排名优先；如投标报价也相同，由招标人抽签确定排序。</w:t>
      </w:r>
    </w:p>
    <w:p w14:paraId="4CDBB41C">
      <w:pPr>
        <w:pStyle w:val="2"/>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71" w:name="_Toc14222"/>
      <w:r>
        <w:rPr>
          <w:rFonts w:hint="eastAsia" w:asciiTheme="majorEastAsia" w:hAnsiTheme="majorEastAsia" w:eastAsiaTheme="majorEastAsia" w:cstheme="majorEastAsia"/>
          <w:b/>
          <w:color w:val="auto"/>
          <w:highlight w:val="none"/>
        </w:rPr>
        <w:t>3.8评标报告签署</w:t>
      </w:r>
      <w:bookmarkEnd w:id="271"/>
    </w:p>
    <w:p w14:paraId="34ACC05E">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0C6D5516">
      <w:pPr>
        <w:pStyle w:val="2"/>
        <w:adjustRightInd w:val="0"/>
        <w:snapToGrid w:val="0"/>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4.判定无效投标的规定</w:t>
      </w:r>
    </w:p>
    <w:p w14:paraId="41BE8A1E">
      <w:pPr>
        <w:pStyle w:val="2"/>
        <w:adjustRightInd w:val="0"/>
        <w:snapToGrid w:val="0"/>
        <w:spacing w:after="0" w:line="500" w:lineRule="exact"/>
        <w:rPr>
          <w:rFonts w:hint="eastAsia" w:asciiTheme="majorEastAsia" w:hAnsiTheme="majorEastAsia" w:eastAsiaTheme="majorEastAsia" w:cstheme="majorEastAsia"/>
          <w:b/>
          <w:color w:val="auto"/>
          <w:spacing w:val="-14"/>
          <w:highlight w:val="none"/>
        </w:rPr>
      </w:pPr>
      <w:r>
        <w:rPr>
          <w:rFonts w:hint="eastAsia" w:asciiTheme="majorEastAsia" w:hAnsiTheme="majorEastAsia" w:eastAsiaTheme="majorEastAsia" w:cstheme="majorEastAsia"/>
          <w:b/>
          <w:color w:val="auto"/>
          <w:highlight w:val="none"/>
        </w:rPr>
        <w:t>4.1资格审查过程中，</w:t>
      </w:r>
      <w:r>
        <w:rPr>
          <w:rFonts w:hint="eastAsia" w:asciiTheme="majorEastAsia" w:hAnsiTheme="majorEastAsia" w:eastAsiaTheme="majorEastAsia" w:cstheme="majorEastAsia"/>
          <w:b/>
          <w:color w:val="auto"/>
          <w:spacing w:val="-14"/>
          <w:highlight w:val="none"/>
        </w:rPr>
        <w:t>投标文件出现不符合1.2项评审标准之一的，作无效标处理。</w:t>
      </w:r>
    </w:p>
    <w:p w14:paraId="79E1885A">
      <w:pPr>
        <w:pStyle w:val="2"/>
        <w:adjustRightInd w:val="0"/>
        <w:snapToGrid w:val="0"/>
        <w:spacing w:after="0" w:line="500" w:lineRule="exact"/>
        <w:outlineLvl w:val="1"/>
        <w:rPr>
          <w:rFonts w:hint="eastAsia" w:asciiTheme="majorEastAsia" w:hAnsiTheme="majorEastAsia" w:eastAsiaTheme="majorEastAsia" w:cstheme="majorEastAsia"/>
          <w:b/>
          <w:color w:val="auto"/>
          <w:spacing w:val="-14"/>
          <w:highlight w:val="none"/>
        </w:rPr>
      </w:pPr>
      <w:bookmarkStart w:id="272" w:name="_Toc2805"/>
      <w:r>
        <w:rPr>
          <w:rFonts w:hint="eastAsia" w:asciiTheme="majorEastAsia" w:hAnsiTheme="majorEastAsia" w:eastAsiaTheme="majorEastAsia" w:cstheme="majorEastAsia"/>
          <w:b/>
          <w:color w:val="auto"/>
          <w:spacing w:val="-14"/>
          <w:highlight w:val="none"/>
        </w:rPr>
        <w:t>4.2</w:t>
      </w:r>
      <w:r>
        <w:rPr>
          <w:rFonts w:hint="eastAsia" w:asciiTheme="majorEastAsia" w:hAnsiTheme="majorEastAsia" w:eastAsiaTheme="majorEastAsia" w:cstheme="majorEastAsia"/>
          <w:b/>
          <w:color w:val="auto"/>
          <w:highlight w:val="none"/>
        </w:rPr>
        <w:t>评标过程中，有下列情形之一的，作无效投标处理。</w:t>
      </w:r>
      <w:bookmarkEnd w:id="272"/>
    </w:p>
    <w:p w14:paraId="570047DF">
      <w:pPr>
        <w:pStyle w:val="2"/>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（1）符合性评审时，投标文件出现不符合2.2.2项评审标准之一的；</w:t>
      </w:r>
    </w:p>
    <w:p w14:paraId="766EE4D4">
      <w:pPr>
        <w:pStyle w:val="2"/>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（2）供应商不确认评标委员会提出的投标报价修正意见的；</w:t>
      </w:r>
    </w:p>
    <w:p w14:paraId="596091BF">
      <w:pPr>
        <w:pStyle w:val="2"/>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（3）未按照评标委员会要求提供书面说明及相关证明材料证明其报价合理性的；</w:t>
      </w:r>
    </w:p>
    <w:p w14:paraId="342FBC9B">
      <w:pPr>
        <w:pStyle w:val="2"/>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（4）投标文件含有采购人不能接受的附加条件的。</w:t>
      </w:r>
    </w:p>
    <w:p w14:paraId="0DB13C0E">
      <w:pPr>
        <w:pStyle w:val="2"/>
        <w:adjustRightInd w:val="0"/>
        <w:snapToGrid w:val="0"/>
        <w:spacing w:after="0" w:line="500" w:lineRule="exact"/>
        <w:outlineLvl w:val="1"/>
        <w:rPr>
          <w:rFonts w:hint="eastAsia" w:asciiTheme="majorEastAsia" w:hAnsiTheme="majorEastAsia" w:eastAsiaTheme="majorEastAsia" w:cstheme="majorEastAsia"/>
          <w:b/>
          <w:color w:val="auto"/>
          <w:highlight w:val="none"/>
        </w:rPr>
      </w:pPr>
      <w:bookmarkStart w:id="273" w:name="_Toc14142"/>
      <w:r>
        <w:rPr>
          <w:rFonts w:hint="eastAsia" w:asciiTheme="majorEastAsia" w:hAnsiTheme="majorEastAsia" w:eastAsiaTheme="majorEastAsia" w:cstheme="majorEastAsia"/>
          <w:b/>
          <w:color w:val="auto"/>
          <w:highlight w:val="none"/>
        </w:rPr>
        <w:t>4.3法律、法规规定的其他投标无效情形。</w:t>
      </w:r>
      <w:bookmarkEnd w:id="248"/>
      <w:bookmarkEnd w:id="249"/>
      <w:bookmarkEnd w:id="250"/>
      <w:bookmarkEnd w:id="251"/>
      <w:bookmarkEnd w:id="252"/>
      <w:bookmarkEnd w:id="253"/>
      <w:bookmarkEnd w:id="254"/>
      <w:bookmarkEnd w:id="255"/>
      <w:bookmarkEnd w:id="262"/>
      <w:bookmarkEnd w:id="273"/>
    </w:p>
    <w:p w14:paraId="429A2D64">
      <w:pPr>
        <w:pStyle w:val="2"/>
        <w:rPr>
          <w:rFonts w:hint="eastAsia" w:asciiTheme="majorEastAsia" w:hAnsiTheme="majorEastAsia" w:eastAsiaTheme="majorEastAsia" w:cstheme="majorEastAsia"/>
          <w:color w:val="auto"/>
          <w:highlight w:val="none"/>
        </w:rPr>
      </w:pPr>
    </w:p>
    <w:p w14:paraId="7503AF63">
      <w:pPr>
        <w:adjustRightInd w:val="0"/>
        <w:snapToGrid w:val="0"/>
        <w:spacing w:line="500" w:lineRule="exact"/>
        <w:jc w:val="center"/>
        <w:outlineLvl w:val="0"/>
        <w:rPr>
          <w:rFonts w:hint="eastAsia" w:asciiTheme="majorEastAsia" w:hAnsiTheme="majorEastAsia" w:eastAsiaTheme="majorEastAsia" w:cstheme="majorEastAsia"/>
          <w:b/>
          <w:color w:val="auto"/>
          <w:highlight w:val="none"/>
        </w:rPr>
      </w:pPr>
      <w:bookmarkStart w:id="274" w:name="_Toc7380"/>
      <w:bookmarkStart w:id="275" w:name="_Toc390099086"/>
      <w:bookmarkStart w:id="276" w:name="_Toc425871381"/>
      <w:bookmarkStart w:id="277" w:name="_Toc383624013"/>
      <w:bookmarkStart w:id="278" w:name="_Toc383698715"/>
      <w:bookmarkStart w:id="279" w:name="_Toc390246973"/>
      <w:bookmarkStart w:id="280" w:name="_Toc383679815"/>
      <w:bookmarkStart w:id="281" w:name="_Toc390098908"/>
      <w:bookmarkStart w:id="282" w:name="_Toc383626062"/>
      <w:bookmarkStart w:id="283" w:name="_Toc383623741"/>
      <w:r>
        <w:rPr>
          <w:rFonts w:hint="eastAsia" w:asciiTheme="majorEastAsia" w:hAnsiTheme="majorEastAsia" w:eastAsiaTheme="majorEastAsia" w:cstheme="majorEastAsia"/>
          <w:b/>
          <w:color w:val="auto"/>
          <w:highlight w:val="none"/>
        </w:rPr>
        <w:br w:type="page"/>
      </w:r>
    </w:p>
    <w:p w14:paraId="0263834C">
      <w:pPr>
        <w:pStyle w:val="20"/>
        <w:numPr>
          <w:ilvl w:val="0"/>
          <w:numId w:val="3"/>
        </w:numPr>
        <w:adjustRightInd w:val="0"/>
        <w:snapToGrid w:val="0"/>
        <w:spacing w:line="500" w:lineRule="exact"/>
        <w:ind w:left="0" w:firstLine="0"/>
        <w:jc w:val="center"/>
        <w:outlineLvl w:val="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合同条款</w:t>
      </w:r>
      <w:bookmarkStart w:id="284" w:name="_Toc382812484"/>
      <w:bookmarkStart w:id="285" w:name="_Toc390098887"/>
      <w:bookmarkStart w:id="286" w:name="_Toc382813933"/>
      <w:bookmarkStart w:id="287" w:name="_Toc288030332"/>
      <w:bookmarkStart w:id="288" w:name="_Toc383587505"/>
      <w:bookmarkStart w:id="289" w:name="_Toc382814014"/>
      <w:bookmarkStart w:id="290" w:name="_Toc20823315"/>
      <w:bookmarkStart w:id="291" w:name="_Toc382811586"/>
      <w:bookmarkStart w:id="292" w:name="_Toc383679794"/>
      <w:bookmarkStart w:id="293" w:name="_Toc383698694"/>
      <w:bookmarkStart w:id="294" w:name="_Toc383623720"/>
      <w:bookmarkStart w:id="295" w:name="_Toc383626041"/>
      <w:bookmarkStart w:id="296" w:name="_Toc513029243"/>
      <w:bookmarkStart w:id="297" w:name="_Toc390099065"/>
      <w:bookmarkStart w:id="298" w:name="_Toc425871366"/>
      <w:bookmarkStart w:id="299" w:name="_Toc382811181"/>
      <w:bookmarkStart w:id="300" w:name="_Toc383623992"/>
      <w:bookmarkStart w:id="301" w:name="_Toc16938559"/>
      <w:bookmarkStart w:id="302" w:name="_Toc120614222"/>
      <w:bookmarkStart w:id="303" w:name="_Toc382812295"/>
      <w:bookmarkStart w:id="304" w:name="_Toc390246952"/>
      <w:bookmarkStart w:id="305" w:name="_Toc282446296"/>
      <w:r>
        <w:rPr>
          <w:rFonts w:hint="eastAsia" w:asciiTheme="majorEastAsia" w:hAnsiTheme="majorEastAsia" w:eastAsiaTheme="majorEastAsia" w:cstheme="majorEastAsia"/>
          <w:b/>
          <w:color w:val="auto"/>
          <w:highlight w:val="none"/>
        </w:rPr>
        <w:t>（仅供参考）</w:t>
      </w:r>
      <w:bookmarkEnd w:id="274"/>
    </w:p>
    <w:p w14:paraId="02383918">
      <w:pPr>
        <w:widowControl/>
        <w:shd w:val="clear" w:color="auto" w:fill="FFFFFF"/>
        <w:spacing w:line="360" w:lineRule="auto"/>
        <w:jc w:val="center"/>
        <w:outlineLvl w:val="1"/>
        <w:rPr>
          <w:rFonts w:hint="eastAsia" w:asciiTheme="majorEastAsia" w:hAnsiTheme="majorEastAsia" w:eastAsiaTheme="majorEastAsia" w:cstheme="majorEastAsia"/>
          <w:b/>
          <w:bCs/>
          <w:color w:val="auto"/>
          <w:highlight w:val="none"/>
        </w:rPr>
      </w:pPr>
      <w:bookmarkStart w:id="306" w:name="_Toc26484"/>
      <w:r>
        <w:rPr>
          <w:rFonts w:hint="eastAsia" w:asciiTheme="majorEastAsia" w:hAnsiTheme="majorEastAsia" w:eastAsiaTheme="majorEastAsia" w:cstheme="majorEastAsia"/>
          <w:b/>
          <w:bCs/>
          <w:color w:val="auto"/>
          <w:highlight w:val="none"/>
        </w:rPr>
        <w:t>（本项目最终签订的合同由合同双方协商后确定）</w:t>
      </w:r>
      <w:bookmarkEnd w:id="306"/>
    </w:p>
    <w:p w14:paraId="2ADB035C">
      <w:pPr>
        <w:widowControl/>
        <w:shd w:val="clear" w:color="auto" w:fill="FFFFFF"/>
        <w:spacing w:line="360" w:lineRule="auto"/>
        <w:ind w:firstLine="315"/>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 </w:t>
      </w:r>
    </w:p>
    <w:p w14:paraId="4480B19F">
      <w:pPr>
        <w:widowControl/>
        <w:shd w:val="clear" w:color="auto" w:fill="FFFFFF"/>
        <w:spacing w:line="360" w:lineRule="auto"/>
        <w:rPr>
          <w:rFonts w:hint="eastAsia" w:asciiTheme="majorEastAsia" w:hAnsiTheme="majorEastAsia" w:eastAsiaTheme="majorEastAsia" w:cstheme="majorEastAsia"/>
          <w:color w:val="auto"/>
          <w:kern w:val="0"/>
          <w:sz w:val="24"/>
          <w:szCs w:val="24"/>
          <w:highlight w:val="none"/>
        </w:rPr>
      </w:pPr>
    </w:p>
    <w:p w14:paraId="372D0E16">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合同编号 ：</w:t>
      </w:r>
      <w:r>
        <w:rPr>
          <w:rFonts w:hint="eastAsia" w:asciiTheme="majorEastAsia" w:hAnsiTheme="majorEastAsia" w:eastAsiaTheme="majorEastAsia" w:cstheme="majorEastAsia"/>
          <w:b/>
          <w:bCs/>
          <w:color w:val="auto"/>
          <w:kern w:val="0"/>
          <w:sz w:val="24"/>
          <w:szCs w:val="24"/>
          <w:highlight w:val="none"/>
          <w:u w:val="single"/>
        </w:rPr>
        <w:t>          </w:t>
      </w:r>
    </w:p>
    <w:p w14:paraId="42041BDE">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项目名称 ：</w:t>
      </w:r>
      <w:r>
        <w:rPr>
          <w:rFonts w:hint="eastAsia" w:asciiTheme="majorEastAsia" w:hAnsiTheme="majorEastAsia" w:eastAsiaTheme="majorEastAsia" w:cstheme="majorEastAsia"/>
          <w:b/>
          <w:bCs/>
          <w:color w:val="auto"/>
          <w:kern w:val="0"/>
          <w:sz w:val="24"/>
          <w:szCs w:val="24"/>
          <w:highlight w:val="none"/>
          <w:u w:val="single"/>
        </w:rPr>
        <w:t>          </w:t>
      </w:r>
    </w:p>
    <w:p w14:paraId="26593A97">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甲  方 ：</w:t>
      </w:r>
      <w:r>
        <w:rPr>
          <w:rFonts w:hint="eastAsia" w:asciiTheme="majorEastAsia" w:hAnsiTheme="majorEastAsia" w:eastAsiaTheme="majorEastAsia" w:cstheme="majorEastAsia"/>
          <w:b/>
          <w:bCs/>
          <w:color w:val="auto"/>
          <w:kern w:val="0"/>
          <w:sz w:val="24"/>
          <w:szCs w:val="24"/>
          <w:highlight w:val="none"/>
          <w:u w:val="single"/>
        </w:rPr>
        <w:t>          </w:t>
      </w:r>
    </w:p>
    <w:p w14:paraId="163B67C8">
      <w:pPr>
        <w:widowControl/>
        <w:shd w:val="clear" w:color="auto" w:fill="FFFFFF"/>
        <w:spacing w:line="420" w:lineRule="auto"/>
        <w:ind w:firstLine="1916"/>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乙  方 ：</w:t>
      </w:r>
      <w:r>
        <w:rPr>
          <w:rFonts w:hint="eastAsia" w:asciiTheme="majorEastAsia" w:hAnsiTheme="majorEastAsia" w:eastAsiaTheme="majorEastAsia" w:cstheme="majorEastAsia"/>
          <w:b/>
          <w:bCs/>
          <w:color w:val="auto"/>
          <w:kern w:val="0"/>
          <w:sz w:val="24"/>
          <w:szCs w:val="24"/>
          <w:highlight w:val="none"/>
          <w:u w:val="single"/>
        </w:rPr>
        <w:t>          </w:t>
      </w:r>
    </w:p>
    <w:p w14:paraId="208B5BA0">
      <w:pPr>
        <w:widowControl/>
        <w:shd w:val="clear" w:color="auto" w:fill="FFFFFF"/>
        <w:spacing w:line="420" w:lineRule="auto"/>
        <w:ind w:firstLine="1916"/>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签订日期 ：</w:t>
      </w:r>
      <w:r>
        <w:rPr>
          <w:rFonts w:hint="eastAsia" w:asciiTheme="majorEastAsia" w:hAnsiTheme="majorEastAsia" w:eastAsiaTheme="majorEastAsia" w:cstheme="majorEastAsia"/>
          <w:b/>
          <w:bCs/>
          <w:color w:val="auto"/>
          <w:kern w:val="0"/>
          <w:sz w:val="24"/>
          <w:szCs w:val="24"/>
          <w:highlight w:val="none"/>
          <w:u w:val="single"/>
        </w:rPr>
        <w:t>          </w:t>
      </w:r>
    </w:p>
    <w:p w14:paraId="04ECCDE9">
      <w:pPr>
        <w:widowControl/>
        <w:shd w:val="clear" w:color="auto" w:fill="FFFFFF"/>
        <w:spacing w:line="360" w:lineRule="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w:t>
      </w:r>
      <w:r>
        <w:rPr>
          <w:rFonts w:hint="eastAsia" w:asciiTheme="majorEastAsia" w:hAnsiTheme="majorEastAsia" w:eastAsiaTheme="majorEastAsia" w:cstheme="majorEastAsia"/>
          <w:b/>
          <w:bCs/>
          <w:color w:val="auto"/>
          <w:kern w:val="0"/>
          <w:sz w:val="24"/>
          <w:szCs w:val="24"/>
          <w:highlight w:val="none"/>
        </w:rPr>
        <w:t>   </w:t>
      </w:r>
    </w:p>
    <w:p w14:paraId="282AF940">
      <w:pPr>
        <w:widowControl/>
        <w:shd w:val="clear" w:color="auto" w:fill="FFFFFF"/>
        <w:spacing w:line="360" w:lineRule="auto"/>
        <w:ind w:firstLine="2984"/>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 </w:t>
      </w:r>
    </w:p>
    <w:p w14:paraId="067AD7DB">
      <w:pPr>
        <w:spacing w:line="8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br w:type="page"/>
      </w:r>
    </w:p>
    <w:p w14:paraId="7A37ADEA">
      <w:pPr>
        <w:spacing w:line="500" w:lineRule="exact"/>
        <w:ind w:firstLine="422"/>
        <w:rPr>
          <w:rFonts w:ascii="宋体" w:hAnsi="宋体"/>
          <w:color w:val="auto"/>
          <w:szCs w:val="21"/>
          <w:highlight w:val="none"/>
        </w:rPr>
      </w:pPr>
      <w:r>
        <w:rPr>
          <w:rFonts w:ascii="宋体" w:hAnsi="宋体"/>
          <w:color w:val="auto"/>
          <w:szCs w:val="21"/>
          <w:highlight w:val="none"/>
        </w:rPr>
        <w:t>合同编号： </w:t>
      </w:r>
    </w:p>
    <w:p w14:paraId="1DEE5991">
      <w:pPr>
        <w:spacing w:line="500" w:lineRule="exact"/>
        <w:ind w:firstLine="422"/>
        <w:rPr>
          <w:rFonts w:ascii="宋体" w:hAnsi="宋体"/>
          <w:color w:val="auto"/>
          <w:szCs w:val="21"/>
          <w:highlight w:val="none"/>
        </w:rPr>
      </w:pPr>
      <w:r>
        <w:rPr>
          <w:rFonts w:ascii="宋体" w:hAnsi="宋体"/>
          <w:color w:val="auto"/>
          <w:szCs w:val="21"/>
          <w:highlight w:val="none"/>
        </w:rPr>
        <w:t>政府采购计划号：</w:t>
      </w:r>
    </w:p>
    <w:tbl>
      <w:tblPr>
        <w:tblStyle w:val="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74"/>
        <w:gridCol w:w="4274"/>
      </w:tblGrid>
      <w:tr w14:paraId="25EEC1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5" w:hRule="atLeast"/>
        </w:trPr>
        <w:tc>
          <w:tcPr>
            <w:tcW w:w="4643" w:type="dxa"/>
            <w:tcBorders>
              <w:top w:val="nil"/>
              <w:left w:val="nil"/>
              <w:bottom w:val="nil"/>
              <w:right w:val="nil"/>
            </w:tcBorders>
            <w:noWrap/>
            <w:tcMar>
              <w:top w:w="0" w:type="dxa"/>
              <w:left w:w="0" w:type="dxa"/>
              <w:bottom w:w="0" w:type="dxa"/>
              <w:right w:w="0" w:type="dxa"/>
            </w:tcMar>
          </w:tcPr>
          <w:p w14:paraId="5A9E1C14">
            <w:pPr>
              <w:spacing w:line="500" w:lineRule="exact"/>
              <w:ind w:firstLine="422"/>
              <w:rPr>
                <w:rFonts w:ascii="宋体" w:hAnsi="宋体"/>
                <w:color w:val="auto"/>
                <w:szCs w:val="21"/>
                <w:highlight w:val="none"/>
              </w:rPr>
            </w:pPr>
            <w:r>
              <w:rPr>
                <w:rFonts w:ascii="宋体" w:hAnsi="宋体"/>
                <w:color w:val="auto"/>
                <w:szCs w:val="21"/>
                <w:highlight w:val="none"/>
              </w:rPr>
              <w:t> 采购人：（以下称甲方）</w:t>
            </w:r>
          </w:p>
        </w:tc>
        <w:tc>
          <w:tcPr>
            <w:tcW w:w="4643" w:type="dxa"/>
            <w:tcBorders>
              <w:top w:val="nil"/>
              <w:left w:val="nil"/>
              <w:bottom w:val="nil"/>
              <w:right w:val="nil"/>
            </w:tcBorders>
            <w:noWrap/>
            <w:tcMar>
              <w:top w:w="0" w:type="dxa"/>
              <w:left w:w="0" w:type="dxa"/>
              <w:bottom w:w="0" w:type="dxa"/>
              <w:right w:w="0" w:type="dxa"/>
            </w:tcMar>
          </w:tcPr>
          <w:p w14:paraId="45617BDD">
            <w:pPr>
              <w:spacing w:line="500" w:lineRule="exact"/>
              <w:ind w:firstLine="422"/>
              <w:rPr>
                <w:rFonts w:ascii="宋体" w:hAnsi="宋体"/>
                <w:color w:val="auto"/>
                <w:szCs w:val="21"/>
                <w:highlight w:val="none"/>
              </w:rPr>
            </w:pPr>
            <w:r>
              <w:rPr>
                <w:rFonts w:ascii="宋体" w:hAnsi="宋体"/>
                <w:color w:val="auto"/>
                <w:szCs w:val="21"/>
                <w:highlight w:val="none"/>
              </w:rPr>
              <w:t>供应商：（以下称乙方）</w:t>
            </w:r>
          </w:p>
        </w:tc>
      </w:tr>
      <w:tr w14:paraId="407E94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0" w:hRule="atLeast"/>
        </w:trPr>
        <w:tc>
          <w:tcPr>
            <w:tcW w:w="4643" w:type="dxa"/>
            <w:tcBorders>
              <w:top w:val="nil"/>
              <w:left w:val="nil"/>
              <w:bottom w:val="nil"/>
              <w:right w:val="nil"/>
            </w:tcBorders>
            <w:noWrap/>
            <w:tcMar>
              <w:top w:w="0" w:type="dxa"/>
              <w:left w:w="0" w:type="dxa"/>
              <w:bottom w:w="0" w:type="dxa"/>
              <w:right w:w="0" w:type="dxa"/>
            </w:tcMar>
          </w:tcPr>
          <w:p w14:paraId="1F6AE5C0">
            <w:pPr>
              <w:spacing w:line="500" w:lineRule="exact"/>
              <w:ind w:firstLine="422"/>
              <w:rPr>
                <w:rFonts w:ascii="宋体" w:hAnsi="宋体"/>
                <w:color w:val="auto"/>
                <w:szCs w:val="21"/>
                <w:highlight w:val="none"/>
              </w:rPr>
            </w:pPr>
            <w:r>
              <w:rPr>
                <w:rFonts w:ascii="宋体" w:hAnsi="宋体"/>
                <w:color w:val="auto"/>
                <w:szCs w:val="21"/>
                <w:highlight w:val="none"/>
              </w:rPr>
              <w:t> 住所地：</w:t>
            </w:r>
          </w:p>
        </w:tc>
        <w:tc>
          <w:tcPr>
            <w:tcW w:w="4643" w:type="dxa"/>
            <w:tcBorders>
              <w:top w:val="nil"/>
              <w:left w:val="nil"/>
              <w:bottom w:val="nil"/>
              <w:right w:val="nil"/>
            </w:tcBorders>
            <w:noWrap/>
            <w:tcMar>
              <w:top w:w="0" w:type="dxa"/>
              <w:left w:w="0" w:type="dxa"/>
              <w:bottom w:w="0" w:type="dxa"/>
              <w:right w:w="0" w:type="dxa"/>
            </w:tcMar>
          </w:tcPr>
          <w:p w14:paraId="6108D108">
            <w:pPr>
              <w:spacing w:line="500" w:lineRule="exact"/>
              <w:ind w:firstLine="422"/>
              <w:rPr>
                <w:rFonts w:ascii="宋体" w:hAnsi="宋体"/>
                <w:color w:val="auto"/>
                <w:szCs w:val="21"/>
                <w:highlight w:val="none"/>
              </w:rPr>
            </w:pPr>
            <w:r>
              <w:rPr>
                <w:rFonts w:ascii="宋体" w:hAnsi="宋体"/>
                <w:color w:val="auto"/>
                <w:szCs w:val="21"/>
                <w:highlight w:val="none"/>
              </w:rPr>
              <w:t>住所地：</w:t>
            </w:r>
          </w:p>
        </w:tc>
      </w:tr>
    </w:tbl>
    <w:p w14:paraId="2D4F3F98">
      <w:pPr>
        <w:spacing w:line="500" w:lineRule="exact"/>
        <w:ind w:firstLine="422"/>
        <w:rPr>
          <w:rFonts w:ascii="宋体" w:hAnsi="宋体"/>
          <w:color w:val="auto"/>
          <w:szCs w:val="21"/>
          <w:highlight w:val="none"/>
        </w:rPr>
      </w:pPr>
      <w:r>
        <w:rPr>
          <w:rFonts w:ascii="宋体" w:hAnsi="宋体"/>
          <w:color w:val="auto"/>
          <w:szCs w:val="21"/>
          <w:highlight w:val="none"/>
        </w:rPr>
        <w:t>根据《中华人民共和国政府采购法》、《中华人民共和国民法典》等法律法规的规定，甲乙双方按照代理机构</w:t>
      </w:r>
      <w:r>
        <w:rPr>
          <w:rFonts w:hint="eastAsia" w:ascii="宋体" w:hAnsi="宋体"/>
          <w:color w:val="auto"/>
          <w:szCs w:val="21"/>
          <w:highlight w:val="none"/>
        </w:rPr>
        <w:t>公开招标</w:t>
      </w:r>
      <w:r>
        <w:rPr>
          <w:rFonts w:ascii="宋体" w:hAnsi="宋体"/>
          <w:color w:val="auto"/>
          <w:szCs w:val="21"/>
          <w:highlight w:val="none"/>
        </w:rPr>
        <w:t>结果签订本合同。</w:t>
      </w:r>
    </w:p>
    <w:p w14:paraId="4409AD1B">
      <w:pPr>
        <w:spacing w:line="500" w:lineRule="exact"/>
        <w:ind w:firstLine="422"/>
        <w:rPr>
          <w:rFonts w:ascii="宋体" w:hAnsi="宋体"/>
          <w:color w:val="auto"/>
          <w:szCs w:val="21"/>
          <w:highlight w:val="none"/>
        </w:rPr>
      </w:pPr>
      <w:r>
        <w:rPr>
          <w:rFonts w:hint="eastAsia" w:ascii="宋体" w:hAnsi="宋体"/>
          <w:color w:val="auto"/>
          <w:szCs w:val="21"/>
          <w:highlight w:val="none"/>
        </w:rPr>
        <w:t>第一条</w:t>
      </w:r>
      <w:r>
        <w:rPr>
          <w:rFonts w:hint="eastAsia" w:ascii="宋体" w:hAnsi="宋体"/>
          <w:color w:val="auto"/>
          <w:szCs w:val="21"/>
          <w:highlight w:val="none"/>
          <w:lang w:eastAsia="zh-CN"/>
        </w:rPr>
        <w:t>：</w:t>
      </w:r>
      <w:r>
        <w:rPr>
          <w:rFonts w:hint="eastAsia" w:ascii="宋体" w:hAnsi="宋体"/>
          <w:color w:val="auto"/>
          <w:szCs w:val="21"/>
          <w:highlight w:val="none"/>
        </w:rPr>
        <w:t>合同标的</w:t>
      </w:r>
      <w:r>
        <w:rPr>
          <w:rFonts w:hint="eastAsia" w:ascii="宋体" w:hAnsi="宋体"/>
          <w:color w:val="auto"/>
          <w:szCs w:val="21"/>
          <w:highlight w:val="none"/>
          <w:lang w:eastAsia="zh-CN"/>
        </w:rPr>
        <w:t>：</w:t>
      </w:r>
      <w:r>
        <w:rPr>
          <w:rFonts w:ascii="宋体" w:hAnsi="宋体"/>
          <w:color w:val="auto"/>
          <w:szCs w:val="21"/>
          <w:highlight w:val="none"/>
        </w:rPr>
        <w:t>乙方根据甲方需求提供下列服务。</w:t>
      </w:r>
    </w:p>
    <w:p w14:paraId="649A4199">
      <w:pPr>
        <w:numPr>
          <w:ilvl w:val="0"/>
          <w:numId w:val="0"/>
        </w:numPr>
        <w:snapToGrid w:val="0"/>
        <w:spacing w:before="19" w:line="360" w:lineRule="auto"/>
        <w:ind w:firstLine="480" w:firstLineChars="200"/>
        <w:rPr>
          <w:rFonts w:ascii="宋体" w:hAnsi="宋体" w:eastAsia="宋体" w:cs="Times New Roman"/>
          <w:color w:val="auto"/>
          <w:szCs w:val="21"/>
          <w:highlight w:val="none"/>
        </w:rPr>
      </w:pPr>
      <w:r>
        <w:rPr>
          <w:rStyle w:val="64"/>
          <w:rFonts w:hint="eastAsia" w:ascii="宋体" w:hAnsi="宋体"/>
          <w:color w:val="auto"/>
          <w:szCs w:val="21"/>
          <w:highlight w:val="none"/>
          <w:lang w:val="en-US" w:eastAsia="zh-CN"/>
        </w:rPr>
        <w:t>1、</w:t>
      </w:r>
      <w:r>
        <w:rPr>
          <w:rStyle w:val="64"/>
          <w:rFonts w:ascii="宋体" w:hAnsi="宋体"/>
          <w:color w:val="auto"/>
          <w:szCs w:val="21"/>
          <w:highlight w:val="none"/>
        </w:rPr>
        <w:t>项目名称：</w:t>
      </w:r>
      <w:r>
        <w:rPr>
          <w:rFonts w:hint="eastAsia" w:ascii="宋体" w:hAnsi="宋体" w:eastAsia="宋体" w:cs="Times New Roman"/>
          <w:color w:val="auto"/>
          <w:szCs w:val="21"/>
          <w:highlight w:val="none"/>
        </w:rPr>
        <w:t>泰兴市高标准农田“检查评估”上图入库项目</w:t>
      </w:r>
    </w:p>
    <w:p w14:paraId="0E2FC14E">
      <w:pPr>
        <w:spacing w:line="440" w:lineRule="exact"/>
        <w:ind w:firstLine="420"/>
        <w:rPr>
          <w:rFonts w:hint="eastAsia" w:ascii="宋体" w:hAnsi="宋体" w:cs="宋体"/>
          <w:color w:val="auto"/>
          <w:szCs w:val="21"/>
          <w:highlight w:val="none"/>
        </w:rPr>
      </w:pPr>
      <w:r>
        <w:rPr>
          <w:rStyle w:val="64"/>
          <w:rFonts w:ascii="宋体" w:hAnsi="宋体"/>
          <w:color w:val="auto"/>
          <w:szCs w:val="21"/>
          <w:highlight w:val="none"/>
        </w:rPr>
        <w:t>2、服务内容：</w:t>
      </w:r>
      <w:r>
        <w:rPr>
          <w:rFonts w:hint="eastAsia" w:ascii="宋体" w:hAnsi="宋体" w:cs="宋体"/>
          <w:color w:val="auto"/>
          <w:szCs w:val="21"/>
          <w:highlight w:val="none"/>
        </w:rPr>
        <w:t>泰兴市</w:t>
      </w:r>
      <w:r>
        <w:rPr>
          <w:rFonts w:hint="eastAsia" w:ascii="宋体" w:hAnsi="宋体" w:cs="宋体"/>
          <w:color w:val="auto"/>
          <w:szCs w:val="21"/>
          <w:highlight w:val="none"/>
          <w:lang w:val="en-US" w:eastAsia="zh-CN"/>
        </w:rPr>
        <w:t>耕地</w:t>
      </w:r>
      <w:r>
        <w:rPr>
          <w:rFonts w:hint="eastAsia" w:ascii="宋体" w:hAnsi="宋体" w:cs="宋体"/>
          <w:color w:val="auto"/>
          <w:szCs w:val="21"/>
          <w:highlight w:val="none"/>
        </w:rPr>
        <w:t>面积总量约为</w:t>
      </w:r>
      <w:r>
        <w:rPr>
          <w:rFonts w:hint="eastAsia" w:ascii="宋体" w:hAnsi="宋体" w:cs="宋体"/>
          <w:color w:val="auto"/>
          <w:szCs w:val="21"/>
          <w:highlight w:val="none"/>
          <w:lang w:val="en-US" w:eastAsia="zh-CN"/>
        </w:rPr>
        <w:t>88.78</w:t>
      </w:r>
      <w:r>
        <w:rPr>
          <w:rFonts w:hint="eastAsia" w:ascii="宋体" w:hAnsi="宋体" w:cs="宋体"/>
          <w:color w:val="auto"/>
          <w:szCs w:val="21"/>
          <w:highlight w:val="none"/>
        </w:rPr>
        <w:t>万亩</w:t>
      </w:r>
      <w:r>
        <w:rPr>
          <w:rFonts w:hint="eastAsia" w:ascii="宋体" w:hAnsi="宋体" w:cs="宋体"/>
          <w:color w:val="auto"/>
          <w:szCs w:val="21"/>
          <w:highlight w:val="none"/>
          <w:lang w:eastAsia="zh-CN"/>
        </w:rPr>
        <w:t>，</w:t>
      </w:r>
      <w:r>
        <w:rPr>
          <w:rFonts w:hint="eastAsia" w:ascii="宋体" w:hAnsi="宋体" w:cs="宋体"/>
          <w:color w:val="auto"/>
          <w:szCs w:val="21"/>
          <w:highlight w:val="none"/>
        </w:rPr>
        <w:t>根据农业农村厅印发的江苏省高标准农田调查摸底上图入库工作指南</w:t>
      </w:r>
      <w:r>
        <w:rPr>
          <w:rFonts w:hint="eastAsia" w:ascii="宋体" w:hAnsi="宋体" w:cs="宋体"/>
          <w:color w:val="auto"/>
          <w:szCs w:val="21"/>
          <w:highlight w:val="none"/>
          <w:lang w:eastAsia="zh-CN"/>
        </w:rPr>
        <w:t>，</w:t>
      </w:r>
      <w:r>
        <w:rPr>
          <w:rFonts w:hint="eastAsia" w:ascii="宋体" w:hAnsi="宋体" w:eastAsia="宋体" w:cs="宋体"/>
          <w:color w:val="auto"/>
          <w:sz w:val="24"/>
          <w:szCs w:val="28"/>
          <w:highlight w:val="none"/>
          <w:lang w:val="en-US" w:eastAsia="zh-CN"/>
        </w:rPr>
        <w:t>摸底调查泰兴市2011年以来已建成并完成上图入库的高标准农田项目，工作内容包括：清查评估入库的2011-2018年各级各有关部门建设管理的高标准农田项目，2019-2023年农业农村部门统一建设管理并纳入全国农田建设综合监测监管平台的高标准农田项目；以及耕地内未建高标准农田区域地块。</w:t>
      </w:r>
      <w:r>
        <w:rPr>
          <w:rFonts w:hint="eastAsia" w:ascii="宋体" w:hAnsi="宋体" w:eastAsia="宋体" w:cs="宋体"/>
          <w:bCs/>
          <w:color w:val="auto"/>
          <w:sz w:val="24"/>
          <w:szCs w:val="24"/>
          <w:highlight w:val="none"/>
        </w:rPr>
        <w:t>（详见招标文件）</w:t>
      </w:r>
      <w:r>
        <w:rPr>
          <w:rFonts w:hint="eastAsia" w:ascii="宋体" w:hAnsi="宋体" w:cs="宋体"/>
          <w:color w:val="auto"/>
          <w:szCs w:val="21"/>
          <w:highlight w:val="none"/>
        </w:rPr>
        <w:t>。</w:t>
      </w:r>
    </w:p>
    <w:p w14:paraId="4E07DDA4">
      <w:pPr>
        <w:tabs>
          <w:tab w:val="left" w:pos="5250"/>
        </w:tabs>
        <w:spacing w:line="440" w:lineRule="exact"/>
        <w:ind w:firstLine="413"/>
        <w:rPr>
          <w:rFonts w:hint="eastAsia" w:ascii="宋体" w:hAnsi="宋体" w:cs="宋体"/>
          <w:b/>
          <w:bCs/>
          <w:color w:val="auto"/>
          <w:szCs w:val="21"/>
          <w:highlight w:val="none"/>
          <w:lang w:val="zh-CN"/>
        </w:rPr>
      </w:pPr>
      <w:r>
        <w:rPr>
          <w:rStyle w:val="64"/>
          <w:rFonts w:ascii="宋体" w:hAnsi="宋体"/>
          <w:color w:val="auto"/>
          <w:szCs w:val="21"/>
          <w:highlight w:val="none"/>
        </w:rPr>
        <w:t>3、服务期限：</w:t>
      </w:r>
      <w:r>
        <w:rPr>
          <w:rFonts w:hint="eastAsia" w:ascii="宋体" w:hAnsi="宋体" w:cs="宋体"/>
          <w:b/>
          <w:bCs/>
          <w:color w:val="auto"/>
          <w:szCs w:val="21"/>
          <w:highlight w:val="none"/>
          <w:lang w:val="zh-CN"/>
        </w:rPr>
        <w:t>自合同签订之日起至</w:t>
      </w:r>
      <w:r>
        <w:rPr>
          <w:rFonts w:hint="eastAsia" w:ascii="宋体" w:hAnsi="宋体" w:cs="宋体"/>
          <w:b/>
          <w:bCs/>
          <w:color w:val="auto"/>
          <w:szCs w:val="21"/>
          <w:highlight w:val="none"/>
          <w:lang w:val="en-US" w:eastAsia="zh-CN"/>
        </w:rPr>
        <w:t>省级验收完成</w:t>
      </w:r>
      <w:r>
        <w:rPr>
          <w:rFonts w:hint="eastAsia" w:ascii="宋体" w:hAnsi="宋体" w:cs="宋体"/>
          <w:b/>
          <w:bCs/>
          <w:color w:val="auto"/>
          <w:szCs w:val="21"/>
          <w:highlight w:val="none"/>
          <w:lang w:val="zh-CN"/>
        </w:rPr>
        <w:t>（具体结束时间以省厅部署为准）。</w:t>
      </w:r>
    </w:p>
    <w:p w14:paraId="42DDABEE">
      <w:pPr>
        <w:spacing w:line="500" w:lineRule="exact"/>
        <w:ind w:firstLine="422"/>
        <w:rPr>
          <w:rFonts w:ascii="宋体" w:hAnsi="宋体"/>
          <w:color w:val="auto"/>
          <w:szCs w:val="21"/>
          <w:highlight w:val="none"/>
        </w:rPr>
      </w:pPr>
      <w:r>
        <w:rPr>
          <w:rFonts w:hint="eastAsia" w:ascii="宋体" w:hAnsi="宋体"/>
          <w:color w:val="auto"/>
          <w:szCs w:val="21"/>
          <w:highlight w:val="none"/>
        </w:rPr>
        <w:t>第二条</w:t>
      </w:r>
      <w:r>
        <w:rPr>
          <w:rFonts w:hint="eastAsia" w:ascii="宋体" w:hAnsi="宋体"/>
          <w:color w:val="auto"/>
          <w:szCs w:val="21"/>
          <w:highlight w:val="none"/>
          <w:lang w:eastAsia="zh-CN"/>
        </w:rPr>
        <w:t>：</w:t>
      </w:r>
      <w:r>
        <w:rPr>
          <w:rFonts w:hint="eastAsia" w:ascii="宋体" w:hAnsi="宋体"/>
          <w:color w:val="auto"/>
          <w:szCs w:val="21"/>
          <w:highlight w:val="none"/>
        </w:rPr>
        <w:t>合同价款</w:t>
      </w:r>
      <w:r>
        <w:rPr>
          <w:rFonts w:hint="eastAsia" w:ascii="宋体" w:hAnsi="宋体"/>
          <w:color w:val="auto"/>
          <w:szCs w:val="21"/>
          <w:highlight w:val="none"/>
          <w:lang w:eastAsia="zh-CN"/>
        </w:rPr>
        <w:t>：</w:t>
      </w:r>
      <w:r>
        <w:rPr>
          <w:rFonts w:ascii="宋体" w:hAnsi="宋体"/>
          <w:b/>
          <w:bCs/>
          <w:color w:val="auto"/>
          <w:szCs w:val="21"/>
          <w:highlight w:val="none"/>
        </w:rPr>
        <w:t>本合同为</w:t>
      </w:r>
      <w:r>
        <w:rPr>
          <w:rFonts w:hint="eastAsia" w:ascii="宋体" w:hAnsi="宋体"/>
          <w:b/>
          <w:bCs/>
          <w:color w:val="auto"/>
          <w:szCs w:val="21"/>
          <w:highlight w:val="none"/>
          <w:lang w:val="en-US" w:eastAsia="zh-CN"/>
        </w:rPr>
        <w:t>固定总价合同</w:t>
      </w:r>
      <w:r>
        <w:rPr>
          <w:rFonts w:hint="eastAsia" w:ascii="宋体" w:hAnsi="宋体"/>
          <w:b/>
          <w:bCs/>
          <w:color w:val="auto"/>
          <w:szCs w:val="21"/>
          <w:highlight w:val="none"/>
        </w:rPr>
        <w:t>，在合同期内不予调增</w:t>
      </w:r>
      <w:r>
        <w:rPr>
          <w:rFonts w:ascii="宋体" w:hAnsi="宋体"/>
          <w:color w:val="auto"/>
          <w:szCs w:val="21"/>
          <w:highlight w:val="none"/>
        </w:rPr>
        <w:t>。</w:t>
      </w:r>
    </w:p>
    <w:p w14:paraId="260B1F76">
      <w:pPr>
        <w:spacing w:line="500" w:lineRule="exact"/>
        <w:ind w:firstLine="422"/>
        <w:rPr>
          <w:rFonts w:ascii="宋体" w:hAnsi="宋体"/>
          <w:color w:val="auto"/>
          <w:szCs w:val="21"/>
          <w:highlight w:val="none"/>
        </w:rPr>
      </w:pPr>
      <w:r>
        <w:rPr>
          <w:rFonts w:ascii="宋体" w:hAnsi="宋体"/>
          <w:color w:val="auto"/>
          <w:szCs w:val="21"/>
          <w:highlight w:val="none"/>
        </w:rPr>
        <w:t>本合同价款是完成本项目所发生的所有含税费用、支付给员工的工资和国家强制缴纳的各种社会保障资金，以及供应商认为需要的其他费用等，甲方不再支付其他任何价款。</w:t>
      </w:r>
    </w:p>
    <w:p w14:paraId="27E95FB5">
      <w:pPr>
        <w:spacing w:line="500" w:lineRule="exact"/>
        <w:ind w:firstLine="422"/>
        <w:rPr>
          <w:rFonts w:ascii="宋体" w:hAnsi="宋体"/>
          <w:color w:val="auto"/>
          <w:szCs w:val="21"/>
          <w:highlight w:val="none"/>
        </w:rPr>
      </w:pPr>
      <w:r>
        <w:rPr>
          <w:rFonts w:ascii="宋体" w:hAnsi="宋体"/>
          <w:color w:val="auto"/>
          <w:szCs w:val="21"/>
          <w:highlight w:val="none"/>
        </w:rPr>
        <w:t>本合同执行期间合同价款不变。</w:t>
      </w:r>
    </w:p>
    <w:p w14:paraId="32B53C04">
      <w:pPr>
        <w:spacing w:line="500" w:lineRule="exact"/>
        <w:ind w:firstLine="422"/>
        <w:rPr>
          <w:rFonts w:ascii="宋体" w:hAnsi="宋体"/>
          <w:color w:val="auto"/>
          <w:szCs w:val="21"/>
          <w:highlight w:val="none"/>
        </w:rPr>
      </w:pPr>
      <w:r>
        <w:rPr>
          <w:rFonts w:hint="eastAsia" w:ascii="宋体" w:hAnsi="宋体"/>
          <w:color w:val="auto"/>
          <w:szCs w:val="21"/>
          <w:highlight w:val="none"/>
        </w:rPr>
        <w:t>第三条</w:t>
      </w:r>
      <w:r>
        <w:rPr>
          <w:rFonts w:hint="eastAsia" w:ascii="宋体" w:hAnsi="宋体"/>
          <w:color w:val="auto"/>
          <w:szCs w:val="21"/>
          <w:highlight w:val="none"/>
          <w:lang w:eastAsia="zh-CN"/>
        </w:rPr>
        <w:t>：</w:t>
      </w:r>
      <w:r>
        <w:rPr>
          <w:rFonts w:hint="eastAsia" w:ascii="宋体" w:hAnsi="宋体"/>
          <w:color w:val="auto"/>
          <w:szCs w:val="21"/>
          <w:highlight w:val="none"/>
        </w:rPr>
        <w:t>组成本合同的有关文件</w:t>
      </w:r>
      <w:r>
        <w:rPr>
          <w:rFonts w:ascii="宋体" w:hAnsi="宋体"/>
          <w:color w:val="auto"/>
          <w:szCs w:val="21"/>
          <w:highlight w:val="none"/>
        </w:rPr>
        <w:t>  下列关于</w:t>
      </w:r>
      <w:r>
        <w:rPr>
          <w:rFonts w:ascii="宋体" w:hAnsi="宋体"/>
          <w:color w:val="auto"/>
          <w:szCs w:val="21"/>
          <w:highlight w:val="none"/>
          <w:u w:val="single"/>
        </w:rPr>
        <w:t>          </w:t>
      </w:r>
      <w:r>
        <w:rPr>
          <w:rFonts w:ascii="宋体" w:hAnsi="宋体"/>
          <w:color w:val="auto"/>
          <w:szCs w:val="21"/>
          <w:highlight w:val="none"/>
        </w:rPr>
        <w:t>号的</w:t>
      </w:r>
      <w:r>
        <w:rPr>
          <w:rFonts w:hint="eastAsia" w:ascii="宋体" w:hAnsi="宋体"/>
          <w:color w:val="auto"/>
          <w:szCs w:val="21"/>
          <w:highlight w:val="none"/>
        </w:rPr>
        <w:t>公开招标</w:t>
      </w:r>
      <w:r>
        <w:rPr>
          <w:rFonts w:ascii="宋体" w:hAnsi="宋体"/>
          <w:color w:val="auto"/>
          <w:szCs w:val="21"/>
          <w:highlight w:val="none"/>
        </w:rPr>
        <w:t>文件、供应商</w:t>
      </w:r>
      <w:r>
        <w:rPr>
          <w:rFonts w:hint="eastAsia" w:ascii="宋体" w:hAnsi="宋体"/>
          <w:color w:val="auto"/>
          <w:szCs w:val="21"/>
          <w:highlight w:val="none"/>
          <w:lang w:val="en-US" w:eastAsia="zh-CN"/>
        </w:rPr>
        <w:t>投标</w:t>
      </w:r>
      <w:r>
        <w:rPr>
          <w:rFonts w:ascii="宋体" w:hAnsi="宋体"/>
          <w:color w:val="auto"/>
          <w:szCs w:val="21"/>
          <w:highlight w:val="none"/>
        </w:rPr>
        <w:t>文件，或与本次采购活动方式相适应的文件，以及有关附件是本合同不可分割的组成部分，与本合同具有同等法律效力，这些文件包括但不限于：</w:t>
      </w:r>
    </w:p>
    <w:p w14:paraId="5FC0A0D8">
      <w:pPr>
        <w:spacing w:line="500" w:lineRule="exact"/>
        <w:ind w:firstLine="422"/>
        <w:rPr>
          <w:rFonts w:ascii="宋体" w:hAnsi="宋体"/>
          <w:color w:val="auto"/>
          <w:szCs w:val="21"/>
          <w:highlight w:val="none"/>
        </w:rPr>
      </w:pPr>
      <w:r>
        <w:rPr>
          <w:rFonts w:ascii="宋体" w:hAnsi="宋体"/>
          <w:color w:val="auto"/>
          <w:szCs w:val="21"/>
          <w:highlight w:val="none"/>
        </w:rPr>
        <w:t>（1）乙方提供的</w:t>
      </w:r>
      <w:r>
        <w:rPr>
          <w:rFonts w:hint="eastAsia" w:ascii="宋体" w:hAnsi="宋体"/>
          <w:color w:val="auto"/>
          <w:szCs w:val="21"/>
          <w:highlight w:val="none"/>
          <w:lang w:val="en-US" w:eastAsia="zh-CN"/>
        </w:rPr>
        <w:t>投标</w:t>
      </w:r>
      <w:r>
        <w:rPr>
          <w:rFonts w:ascii="宋体" w:hAnsi="宋体"/>
          <w:color w:val="auto"/>
          <w:szCs w:val="21"/>
          <w:highlight w:val="none"/>
        </w:rPr>
        <w:t>文件和报价表；</w:t>
      </w:r>
    </w:p>
    <w:p w14:paraId="2AA88EEE">
      <w:pPr>
        <w:spacing w:line="500" w:lineRule="exact"/>
        <w:ind w:firstLine="422"/>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服务要求</w:t>
      </w:r>
      <w:r>
        <w:rPr>
          <w:rFonts w:ascii="宋体" w:hAnsi="宋体"/>
          <w:color w:val="auto"/>
          <w:szCs w:val="21"/>
          <w:highlight w:val="none"/>
        </w:rPr>
        <w:t>响应表；</w:t>
      </w:r>
    </w:p>
    <w:p w14:paraId="6777A450">
      <w:pPr>
        <w:spacing w:line="500" w:lineRule="exact"/>
        <w:ind w:firstLine="422"/>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招标</w:t>
      </w:r>
      <w:r>
        <w:rPr>
          <w:rFonts w:ascii="宋体" w:hAnsi="宋体"/>
          <w:color w:val="auto"/>
          <w:szCs w:val="21"/>
          <w:highlight w:val="none"/>
        </w:rPr>
        <w:t>承诺/服务承诺；</w:t>
      </w:r>
    </w:p>
    <w:p w14:paraId="19A09486">
      <w:pPr>
        <w:spacing w:line="500" w:lineRule="exact"/>
        <w:ind w:firstLine="422"/>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lang w:val="en-US" w:eastAsia="zh-CN"/>
        </w:rPr>
        <w:t>中标</w:t>
      </w:r>
      <w:r>
        <w:rPr>
          <w:rFonts w:ascii="宋体" w:hAnsi="宋体"/>
          <w:color w:val="auto"/>
          <w:szCs w:val="21"/>
          <w:highlight w:val="none"/>
        </w:rPr>
        <w:t>通知书；</w:t>
      </w:r>
    </w:p>
    <w:p w14:paraId="17C556CE">
      <w:pPr>
        <w:spacing w:line="500" w:lineRule="exact"/>
        <w:ind w:firstLine="422"/>
        <w:rPr>
          <w:rFonts w:ascii="宋体" w:hAnsi="宋体"/>
          <w:color w:val="auto"/>
          <w:szCs w:val="21"/>
          <w:highlight w:val="none"/>
        </w:rPr>
      </w:pPr>
      <w:r>
        <w:rPr>
          <w:rFonts w:ascii="宋体" w:hAnsi="宋体"/>
          <w:color w:val="auto"/>
          <w:szCs w:val="21"/>
          <w:highlight w:val="none"/>
        </w:rPr>
        <w:t>（5）甲乙双方商定的其他文件。</w:t>
      </w:r>
    </w:p>
    <w:p w14:paraId="52831395">
      <w:pPr>
        <w:autoSpaceDE w:val="0"/>
        <w:autoSpaceDN w:val="0"/>
        <w:adjustRightInd w:val="0"/>
        <w:spacing w:line="360" w:lineRule="auto"/>
        <w:ind w:firstLine="480" w:firstLineChars="200"/>
        <w:jc w:val="left"/>
        <w:rPr>
          <w:rFonts w:hint="eastAsia" w:ascii="宋体" w:hAnsi="宋体" w:cs="宋体"/>
          <w:color w:val="auto"/>
          <w:sz w:val="24"/>
          <w:highlight w:val="none"/>
          <w:lang w:val="zh-CN"/>
        </w:rPr>
      </w:pPr>
      <w:r>
        <w:rPr>
          <w:rFonts w:hint="eastAsia" w:ascii="宋体" w:hAnsi="宋体" w:cs="宋体"/>
          <w:color w:val="auto"/>
          <w:sz w:val="24"/>
          <w:highlight w:val="none"/>
        </w:rPr>
        <w:t>当招标文件和乙方的投标文件不一致时，应当以招标文件为准，但如果投标文件的承诺高于招标文件时，以投标文件为准。</w:t>
      </w:r>
    </w:p>
    <w:p w14:paraId="5D6783C4">
      <w:pPr>
        <w:spacing w:line="500" w:lineRule="exact"/>
        <w:ind w:firstLine="422"/>
        <w:rPr>
          <w:rFonts w:ascii="宋体" w:hAnsi="宋体"/>
          <w:color w:val="auto"/>
          <w:szCs w:val="21"/>
          <w:highlight w:val="none"/>
        </w:rPr>
      </w:pPr>
      <w:r>
        <w:rPr>
          <w:rFonts w:ascii="宋体" w:hAnsi="宋体"/>
          <w:color w:val="auto"/>
          <w:szCs w:val="21"/>
          <w:highlight w:val="none"/>
        </w:rPr>
        <w:t>第四条</w:t>
      </w:r>
      <w:r>
        <w:rPr>
          <w:rFonts w:hint="eastAsia" w:ascii="宋体" w:hAnsi="宋体"/>
          <w:color w:val="auto"/>
          <w:szCs w:val="21"/>
          <w:highlight w:val="none"/>
          <w:lang w:eastAsia="zh-CN"/>
        </w:rPr>
        <w:t>：</w:t>
      </w:r>
      <w:r>
        <w:rPr>
          <w:rFonts w:ascii="宋体" w:hAnsi="宋体"/>
          <w:color w:val="auto"/>
          <w:szCs w:val="21"/>
          <w:highlight w:val="none"/>
        </w:rPr>
        <w:t>权利保证</w:t>
      </w:r>
    </w:p>
    <w:p w14:paraId="60FD3F92">
      <w:pPr>
        <w:spacing w:line="500" w:lineRule="exact"/>
        <w:ind w:firstLine="422"/>
        <w:rPr>
          <w:rFonts w:ascii="宋体" w:hAnsi="宋体"/>
          <w:color w:val="auto"/>
          <w:szCs w:val="21"/>
          <w:highlight w:val="none"/>
        </w:rPr>
      </w:pPr>
      <w:r>
        <w:rPr>
          <w:rFonts w:ascii="宋体" w:hAnsi="宋体"/>
          <w:color w:val="auto"/>
          <w:szCs w:val="21"/>
          <w:highlight w:val="none"/>
        </w:rPr>
        <w:t>乙方应保证甲方在使用该服务或其任何一部分时不受第三方提出侵犯其专利权、版权、商标权或其他权利的起诉。一旦出现侵权，乙方应承担全部责任并负责消除对甲方的不利影响，如甲方因此承担了任何责任，有权向乙方全额追偿。</w:t>
      </w:r>
    </w:p>
    <w:p w14:paraId="35DC0B06">
      <w:pPr>
        <w:spacing w:line="500" w:lineRule="exact"/>
        <w:ind w:firstLine="422"/>
        <w:rPr>
          <w:rFonts w:ascii="宋体" w:hAnsi="宋体"/>
          <w:color w:val="auto"/>
          <w:szCs w:val="21"/>
          <w:highlight w:val="none"/>
        </w:rPr>
      </w:pPr>
      <w:r>
        <w:rPr>
          <w:rFonts w:ascii="宋体" w:hAnsi="宋体"/>
          <w:color w:val="auto"/>
          <w:szCs w:val="21"/>
          <w:highlight w:val="none"/>
        </w:rPr>
        <w:t>第五条</w:t>
      </w:r>
      <w:r>
        <w:rPr>
          <w:rFonts w:hint="eastAsia" w:ascii="宋体" w:hAnsi="宋体"/>
          <w:color w:val="auto"/>
          <w:szCs w:val="21"/>
          <w:highlight w:val="none"/>
          <w:lang w:eastAsia="zh-CN"/>
        </w:rPr>
        <w:t>：</w:t>
      </w:r>
      <w:r>
        <w:rPr>
          <w:rFonts w:ascii="宋体" w:hAnsi="宋体"/>
          <w:color w:val="auto"/>
          <w:szCs w:val="21"/>
          <w:highlight w:val="none"/>
        </w:rPr>
        <w:t>质量保证</w:t>
      </w:r>
    </w:p>
    <w:p w14:paraId="719C1E64">
      <w:pPr>
        <w:spacing w:line="500" w:lineRule="exact"/>
        <w:ind w:firstLine="422"/>
        <w:rPr>
          <w:rFonts w:ascii="宋体" w:hAnsi="宋体"/>
          <w:color w:val="auto"/>
          <w:szCs w:val="21"/>
          <w:highlight w:val="none"/>
        </w:rPr>
      </w:pPr>
      <w:r>
        <w:rPr>
          <w:rFonts w:ascii="宋体" w:hAnsi="宋体"/>
          <w:color w:val="auto"/>
          <w:szCs w:val="21"/>
          <w:highlight w:val="none"/>
        </w:rPr>
        <w:t>乙方所提供的服务的技术规格应与采购文件规定的技术规格及所附的“技术条款偏离表”相一致；若技术性能无特殊说明，则按国家有关部门最新颁布的标准及规范为准。</w:t>
      </w:r>
    </w:p>
    <w:p w14:paraId="1005801B">
      <w:pPr>
        <w:spacing w:line="500" w:lineRule="exact"/>
        <w:ind w:firstLine="422"/>
        <w:rPr>
          <w:rFonts w:ascii="宋体" w:hAnsi="宋体"/>
          <w:color w:val="auto"/>
          <w:szCs w:val="21"/>
          <w:highlight w:val="none"/>
        </w:rPr>
      </w:pPr>
      <w:r>
        <w:rPr>
          <w:rFonts w:ascii="宋体" w:hAnsi="宋体"/>
          <w:color w:val="auto"/>
          <w:szCs w:val="21"/>
          <w:highlight w:val="none"/>
        </w:rPr>
        <w:t>第六条</w:t>
      </w:r>
      <w:r>
        <w:rPr>
          <w:rFonts w:hint="eastAsia" w:ascii="宋体" w:hAnsi="宋体"/>
          <w:color w:val="auto"/>
          <w:szCs w:val="21"/>
          <w:highlight w:val="none"/>
          <w:lang w:eastAsia="zh-CN"/>
        </w:rPr>
        <w:t>：</w:t>
      </w:r>
      <w:r>
        <w:rPr>
          <w:rFonts w:ascii="宋体" w:hAnsi="宋体"/>
          <w:color w:val="auto"/>
          <w:szCs w:val="21"/>
          <w:highlight w:val="none"/>
        </w:rPr>
        <w:t>合同服务期</w:t>
      </w:r>
    </w:p>
    <w:p w14:paraId="1F5A731A">
      <w:pPr>
        <w:numPr>
          <w:ilvl w:val="0"/>
          <w:numId w:val="4"/>
        </w:numPr>
        <w:spacing w:line="500" w:lineRule="exact"/>
        <w:ind w:firstLine="420"/>
        <w:rPr>
          <w:rFonts w:hint="eastAsia" w:ascii="宋体" w:hAnsi="宋体"/>
          <w:color w:val="auto"/>
          <w:szCs w:val="21"/>
          <w:highlight w:val="none"/>
          <w:lang w:eastAsia="zh-CN"/>
        </w:rPr>
      </w:pPr>
      <w:r>
        <w:rPr>
          <w:rFonts w:ascii="宋体" w:hAnsi="宋体"/>
          <w:color w:val="auto"/>
          <w:szCs w:val="21"/>
          <w:highlight w:val="none"/>
        </w:rPr>
        <w:t>乙方服务周期</w:t>
      </w:r>
      <w:r>
        <w:rPr>
          <w:rFonts w:hint="eastAsia" w:ascii="宋体" w:hAnsi="宋体"/>
          <w:color w:val="auto"/>
          <w:szCs w:val="21"/>
          <w:highlight w:val="none"/>
          <w:lang w:eastAsia="zh-CN"/>
        </w:rPr>
        <w:t>：</w:t>
      </w:r>
    </w:p>
    <w:p w14:paraId="79F27831">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rPr>
        <w:t>）第一阶段（2024年</w:t>
      </w:r>
      <w:r>
        <w:rPr>
          <w:rFonts w:hint="eastAsia" w:ascii="宋体" w:hAnsi="宋体" w:cs="宋体"/>
          <w:color w:val="auto"/>
          <w:szCs w:val="21"/>
          <w:highlight w:val="none"/>
        </w:rPr>
        <w:t>12</w:t>
      </w:r>
      <w:r>
        <w:rPr>
          <w:rFonts w:hint="eastAsia" w:ascii="宋体" w:hAnsi="宋体" w:cs="宋体"/>
          <w:color w:val="auto"/>
          <w:szCs w:val="21"/>
          <w:highlight w:val="none"/>
          <w:lang w:val="zh-CN"/>
        </w:rPr>
        <w:t>月底前）</w:t>
      </w:r>
    </w:p>
    <w:p w14:paraId="7158522A">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做好相关方案编制工作，包括本级的调查摸底工作方案、实施方案、预算方案等；组织开展相关培训工作；配合省、市级要求组织开展项目信息清查，基本信息核实</w:t>
      </w:r>
      <w:r>
        <w:rPr>
          <w:rFonts w:ascii="宋体" w:hAnsi="宋体" w:cs="宋体"/>
          <w:color w:val="auto"/>
          <w:szCs w:val="21"/>
          <w:highlight w:val="none"/>
          <w:lang w:val="zh-CN"/>
        </w:rPr>
        <w:t>工</w:t>
      </w:r>
      <w:r>
        <w:rPr>
          <w:rFonts w:hint="eastAsia" w:ascii="宋体" w:hAnsi="宋体" w:cs="宋体"/>
          <w:color w:val="auto"/>
          <w:szCs w:val="21"/>
          <w:highlight w:val="none"/>
          <w:lang w:val="zh-CN"/>
        </w:rPr>
        <w:t>作；组织开展边界范围划定工作；</w:t>
      </w:r>
    </w:p>
    <w:p w14:paraId="6671DA4E">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rPr>
        <w:t>）第二阶段（2025年</w:t>
      </w:r>
      <w:r>
        <w:rPr>
          <w:rFonts w:hint="eastAsia" w:ascii="宋体" w:hAnsi="宋体" w:cs="宋体"/>
          <w:color w:val="auto"/>
          <w:szCs w:val="21"/>
          <w:highlight w:val="none"/>
        </w:rPr>
        <w:t>6</w:t>
      </w:r>
      <w:r>
        <w:rPr>
          <w:rFonts w:hint="eastAsia" w:ascii="宋体" w:hAnsi="宋体" w:cs="宋体"/>
          <w:color w:val="auto"/>
          <w:szCs w:val="21"/>
          <w:highlight w:val="none"/>
          <w:lang w:val="zh-CN"/>
        </w:rPr>
        <w:t>月底前）</w:t>
      </w:r>
    </w:p>
    <w:p w14:paraId="4DD05551">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学习省级下发的各项操作规程；配合参加省级阶段性业务培训，组织开展本级培训工作；根据省、市计划按时开展外业采集和调查；</w:t>
      </w:r>
    </w:p>
    <w:p w14:paraId="37E3897A">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rPr>
        <w:t>）第三阶段（2025年</w:t>
      </w:r>
      <w:r>
        <w:rPr>
          <w:rFonts w:hint="eastAsia" w:ascii="宋体" w:hAnsi="宋体" w:cs="宋体"/>
          <w:color w:val="auto"/>
          <w:szCs w:val="21"/>
          <w:highlight w:val="none"/>
        </w:rPr>
        <w:t>7</w:t>
      </w:r>
      <w:r>
        <w:rPr>
          <w:rFonts w:hint="eastAsia" w:ascii="宋体" w:hAnsi="宋体" w:cs="宋体"/>
          <w:color w:val="auto"/>
          <w:szCs w:val="21"/>
          <w:highlight w:val="none"/>
          <w:lang w:val="zh-CN"/>
        </w:rPr>
        <w:t>月底前）</w:t>
      </w:r>
    </w:p>
    <w:p w14:paraId="530EE955">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汇总区域内的数据成果，开展数据质检及核查；编制本级的工作总结、工作技术（含质量控制）报告，做好项目验收等相关工作。</w:t>
      </w:r>
    </w:p>
    <w:p w14:paraId="6016834F">
      <w:pPr>
        <w:numPr>
          <w:ilvl w:val="0"/>
          <w:numId w:val="5"/>
        </w:numPr>
        <w:spacing w:line="440" w:lineRule="exact"/>
        <w:ind w:firstLine="42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zh-CN"/>
        </w:rPr>
        <w:t>第</w:t>
      </w:r>
      <w:r>
        <w:rPr>
          <w:rFonts w:hint="eastAsia" w:ascii="宋体" w:hAnsi="宋体" w:cs="宋体"/>
          <w:b w:val="0"/>
          <w:bCs w:val="0"/>
          <w:color w:val="auto"/>
          <w:szCs w:val="21"/>
          <w:highlight w:val="none"/>
          <w:lang w:val="en-US" w:eastAsia="zh-CN"/>
        </w:rPr>
        <w:t>四</w:t>
      </w:r>
      <w:r>
        <w:rPr>
          <w:rFonts w:hint="eastAsia" w:ascii="宋体" w:hAnsi="宋体" w:cs="宋体"/>
          <w:b w:val="0"/>
          <w:bCs w:val="0"/>
          <w:color w:val="auto"/>
          <w:szCs w:val="21"/>
          <w:highlight w:val="none"/>
          <w:lang w:val="zh-CN"/>
        </w:rPr>
        <w:t>阶段（2025年7月底</w:t>
      </w:r>
      <w:r>
        <w:rPr>
          <w:rFonts w:hint="eastAsia" w:ascii="宋体" w:hAnsi="宋体" w:cs="宋体"/>
          <w:b w:val="0"/>
          <w:bCs w:val="0"/>
          <w:color w:val="auto"/>
          <w:szCs w:val="21"/>
          <w:highlight w:val="none"/>
          <w:lang w:val="en-US" w:eastAsia="zh-CN"/>
        </w:rPr>
        <w:t>至</w:t>
      </w:r>
      <w:r>
        <w:rPr>
          <w:rFonts w:hint="eastAsia" w:ascii="宋体" w:hAnsi="宋体" w:cs="宋体"/>
          <w:b w:val="0"/>
          <w:bCs w:val="0"/>
          <w:color w:val="auto"/>
          <w:szCs w:val="21"/>
          <w:highlight w:val="none"/>
          <w:lang w:val="zh-CN"/>
        </w:rPr>
        <w:t>202</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lang w:val="zh-CN"/>
        </w:rPr>
        <w:t>年</w:t>
      </w:r>
      <w:r>
        <w:rPr>
          <w:rFonts w:hint="eastAsia" w:ascii="宋体" w:hAnsi="宋体" w:cs="宋体"/>
          <w:b w:val="0"/>
          <w:bCs w:val="0"/>
          <w:color w:val="auto"/>
          <w:szCs w:val="21"/>
          <w:highlight w:val="none"/>
          <w:lang w:val="en-US" w:eastAsia="zh-CN"/>
        </w:rPr>
        <w:t>底省级验收完成）</w:t>
      </w:r>
    </w:p>
    <w:p w14:paraId="6820380D">
      <w:pPr>
        <w:numPr>
          <w:ilvl w:val="0"/>
          <w:numId w:val="0"/>
        </w:numPr>
        <w:spacing w:line="440" w:lineRule="exact"/>
        <w:ind w:firstLine="480" w:firstLineChars="200"/>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en-US" w:eastAsia="zh-CN"/>
        </w:rPr>
        <w:t>配合</w:t>
      </w:r>
      <w:r>
        <w:rPr>
          <w:rFonts w:hint="eastAsia" w:ascii="宋体" w:hAnsi="宋体" w:eastAsia="宋体" w:cs="宋体"/>
          <w:b w:val="0"/>
          <w:bCs w:val="0"/>
          <w:color w:val="auto"/>
          <w:szCs w:val="21"/>
          <w:highlight w:val="none"/>
          <w:lang w:val="zh-CN"/>
        </w:rPr>
        <w:t>市级、省级</w:t>
      </w:r>
      <w:r>
        <w:rPr>
          <w:rFonts w:hint="eastAsia" w:ascii="宋体" w:hAnsi="宋体" w:cs="宋体"/>
          <w:b w:val="0"/>
          <w:bCs w:val="0"/>
          <w:color w:val="auto"/>
          <w:szCs w:val="21"/>
          <w:highlight w:val="none"/>
          <w:lang w:val="en-US" w:eastAsia="zh-CN"/>
        </w:rPr>
        <w:t>成果抽查和审核确认工作</w:t>
      </w:r>
      <w:r>
        <w:rPr>
          <w:rFonts w:hint="eastAsia" w:ascii="宋体" w:hAnsi="宋体" w:eastAsia="宋体" w:cs="宋体"/>
          <w:b w:val="0"/>
          <w:bCs w:val="0"/>
          <w:color w:val="auto"/>
          <w:szCs w:val="21"/>
          <w:highlight w:val="none"/>
          <w:lang w:val="zh-CN" w:eastAsia="zh-CN"/>
        </w:rPr>
        <w:t>，</w:t>
      </w:r>
      <w:r>
        <w:rPr>
          <w:rFonts w:hint="eastAsia" w:ascii="宋体" w:hAnsi="宋体" w:eastAsia="宋体" w:cs="宋体"/>
          <w:b w:val="0"/>
          <w:bCs w:val="0"/>
          <w:color w:val="auto"/>
          <w:szCs w:val="21"/>
          <w:highlight w:val="none"/>
          <w:lang w:val="en-US" w:eastAsia="zh-CN"/>
        </w:rPr>
        <w:t>确保省级验收完成</w:t>
      </w:r>
      <w:r>
        <w:rPr>
          <w:rFonts w:hint="eastAsia" w:ascii="宋体" w:hAnsi="宋体" w:eastAsia="宋体" w:cs="宋体"/>
          <w:b w:val="0"/>
          <w:bCs w:val="0"/>
          <w:color w:val="auto"/>
          <w:szCs w:val="21"/>
          <w:highlight w:val="none"/>
          <w:lang w:val="zh-CN"/>
        </w:rPr>
        <w:t>。</w:t>
      </w:r>
    </w:p>
    <w:p w14:paraId="2A3C65CD">
      <w:pPr>
        <w:spacing w:line="440" w:lineRule="exact"/>
        <w:ind w:firstLine="422"/>
        <w:rPr>
          <w:rFonts w:hint="eastAsia"/>
          <w:color w:val="auto"/>
          <w:highlight w:val="none"/>
          <w:lang w:eastAsia="zh-CN"/>
        </w:rPr>
      </w:pPr>
      <w:r>
        <w:rPr>
          <w:rFonts w:hint="eastAsia" w:ascii="宋体" w:hAnsi="宋体" w:cs="宋体"/>
          <w:b/>
          <w:bCs/>
          <w:color w:val="auto"/>
          <w:szCs w:val="21"/>
          <w:highlight w:val="none"/>
          <w:lang w:val="zh-CN"/>
        </w:rPr>
        <w:t>具体时间安排根据省、市最新文件要求进行调整。</w:t>
      </w:r>
    </w:p>
    <w:p w14:paraId="3DA88809">
      <w:pPr>
        <w:spacing w:line="500" w:lineRule="exact"/>
        <w:ind w:firstLine="422"/>
        <w:rPr>
          <w:rFonts w:ascii="宋体" w:hAnsi="宋体"/>
          <w:color w:val="auto"/>
          <w:szCs w:val="21"/>
          <w:highlight w:val="none"/>
        </w:rPr>
      </w:pPr>
      <w:r>
        <w:rPr>
          <w:rFonts w:ascii="宋体" w:hAnsi="宋体"/>
          <w:color w:val="auto"/>
          <w:szCs w:val="21"/>
          <w:highlight w:val="none"/>
        </w:rPr>
        <w:t>第七条</w:t>
      </w:r>
      <w:r>
        <w:rPr>
          <w:rFonts w:hint="eastAsia" w:ascii="宋体" w:hAnsi="宋体"/>
          <w:color w:val="auto"/>
          <w:szCs w:val="21"/>
          <w:highlight w:val="none"/>
          <w:lang w:eastAsia="zh-CN"/>
        </w:rPr>
        <w:t>：</w:t>
      </w:r>
      <w:r>
        <w:rPr>
          <w:rFonts w:ascii="宋体" w:hAnsi="宋体"/>
          <w:color w:val="auto"/>
          <w:szCs w:val="21"/>
          <w:highlight w:val="none"/>
        </w:rPr>
        <w:t>履约</w:t>
      </w:r>
      <w:r>
        <w:rPr>
          <w:rFonts w:hint="eastAsia" w:ascii="宋体" w:hAnsi="宋体"/>
          <w:color w:val="auto"/>
          <w:szCs w:val="21"/>
          <w:highlight w:val="none"/>
        </w:rPr>
        <w:t>担保</w:t>
      </w:r>
    </w:p>
    <w:p w14:paraId="7F2DB139">
      <w:pPr>
        <w:pStyle w:val="38"/>
        <w:keepNext w:val="0"/>
        <w:keepLines w:val="0"/>
        <w:pageBreakBefore w:val="0"/>
        <w:numPr>
          <w:ilvl w:val="0"/>
          <w:numId w:val="0"/>
        </w:numPr>
        <w:kinsoku/>
        <w:wordWrap/>
        <w:overflowPunct/>
        <w:bidi w:val="0"/>
        <w:spacing w:line="360" w:lineRule="exact"/>
        <w:ind w:firstLine="480" w:firstLineChars="200"/>
        <w:textAlignment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1、乙方在签订本合同前，</w:t>
      </w:r>
      <w:r>
        <w:rPr>
          <w:rFonts w:hint="eastAsia" w:ascii="宋体" w:hAnsi="宋体" w:eastAsia="宋体" w:cs="宋体"/>
          <w:color w:val="auto"/>
          <w:sz w:val="24"/>
          <w:szCs w:val="24"/>
          <w:highlight w:val="none"/>
        </w:rPr>
        <w:t>支票、汇票、本票、履约担保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银行电汇或网上银行支付或银行保函等法律法规允许的非现金形式</w:t>
      </w:r>
      <w:r>
        <w:rPr>
          <w:rFonts w:hint="eastAsia" w:ascii="宋体" w:hAnsi="宋体" w:cs="宋体"/>
          <w:color w:val="auto"/>
          <w:sz w:val="24"/>
          <w:highlight w:val="none"/>
          <w:lang w:val="zh-CN"/>
        </w:rPr>
        <w:t>，向采购人</w:t>
      </w:r>
      <w:r>
        <w:rPr>
          <w:rFonts w:hint="eastAsia" w:ascii="宋体" w:hAnsi="宋体" w:cs="宋体"/>
          <w:color w:val="auto"/>
          <w:sz w:val="24"/>
          <w:highlight w:val="none"/>
          <w:lang w:val="en-US" w:eastAsia="zh-CN"/>
        </w:rPr>
        <w:t>缴纳</w:t>
      </w:r>
      <w:r>
        <w:rPr>
          <w:rFonts w:hint="eastAsia" w:ascii="宋体" w:hAnsi="宋体" w:cs="宋体"/>
          <w:color w:val="auto"/>
          <w:sz w:val="24"/>
          <w:highlight w:val="none"/>
          <w:lang w:val="zh-CN"/>
        </w:rPr>
        <w:t>合同价的</w:t>
      </w:r>
      <w:r>
        <w:rPr>
          <w:rFonts w:hint="eastAsia" w:ascii="宋体" w:hAnsi="宋体" w:cs="宋体"/>
          <w:color w:val="FF0000"/>
          <w:sz w:val="24"/>
          <w:highlight w:val="none"/>
          <w:lang w:val="zh-CN"/>
        </w:rPr>
        <w:t xml:space="preserve"> </w:t>
      </w:r>
      <w:r>
        <w:rPr>
          <w:rFonts w:hint="eastAsia" w:ascii="宋体" w:hAnsi="宋体" w:cs="宋体"/>
          <w:color w:val="FF0000"/>
          <w:sz w:val="24"/>
          <w:highlight w:val="none"/>
          <w:lang w:val="en-US" w:eastAsia="zh-CN"/>
        </w:rPr>
        <w:t>10</w:t>
      </w:r>
      <w:r>
        <w:rPr>
          <w:rFonts w:hint="eastAsia" w:ascii="宋体" w:hAnsi="宋体" w:cs="宋体"/>
          <w:color w:val="FF0000"/>
          <w:sz w:val="24"/>
          <w:highlight w:val="none"/>
          <w:lang w:val="zh-CN"/>
        </w:rPr>
        <w:t>%</w:t>
      </w:r>
      <w:r>
        <w:rPr>
          <w:rFonts w:hint="eastAsia" w:ascii="宋体" w:hAnsi="宋体" w:cs="宋体"/>
          <w:color w:val="FF0000"/>
          <w:sz w:val="24"/>
          <w:highlight w:val="none"/>
          <w:lang w:val="en-US" w:eastAsia="zh-CN"/>
        </w:rPr>
        <w:t>为</w:t>
      </w:r>
      <w:r>
        <w:rPr>
          <w:rFonts w:hint="eastAsia" w:ascii="宋体" w:hAnsi="宋体" w:cs="宋体"/>
          <w:color w:val="auto"/>
          <w:sz w:val="24"/>
          <w:highlight w:val="none"/>
          <w:lang w:val="zh-CN"/>
        </w:rPr>
        <w:t>履约保证金。</w:t>
      </w:r>
    </w:p>
    <w:p w14:paraId="4A7BB138">
      <w:pPr>
        <w:autoSpaceDE w:val="0"/>
        <w:autoSpaceDN w:val="0"/>
        <w:adjustRightInd w:val="0"/>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2、履约保证金的有效期为该项目验收合格时止。</w:t>
      </w:r>
    </w:p>
    <w:p w14:paraId="79E44CD3">
      <w:pPr>
        <w:autoSpaceDE w:val="0"/>
        <w:autoSpaceDN w:val="0"/>
        <w:adjustRightInd w:val="0"/>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3、如乙方未能履行合同规定的义务，甲方有权从履约保证金中取得补偿。</w:t>
      </w:r>
    </w:p>
    <w:p w14:paraId="115A151A">
      <w:pPr>
        <w:autoSpaceDE w:val="0"/>
        <w:autoSpaceDN w:val="0"/>
        <w:adjustRightInd w:val="0"/>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4、履约保证金扣除甲方应得的补偿后的余额在有效期满后七工作日内无息退还给乙方。</w:t>
      </w:r>
    </w:p>
    <w:p w14:paraId="400CB7DA">
      <w:pPr>
        <w:spacing w:line="500" w:lineRule="exact"/>
        <w:ind w:firstLine="422"/>
        <w:rPr>
          <w:rFonts w:ascii="宋体" w:hAnsi="宋体"/>
          <w:color w:val="auto"/>
          <w:szCs w:val="21"/>
          <w:highlight w:val="none"/>
        </w:rPr>
      </w:pPr>
      <w:r>
        <w:rPr>
          <w:rFonts w:ascii="宋体" w:hAnsi="宋体"/>
          <w:color w:val="auto"/>
          <w:szCs w:val="21"/>
          <w:highlight w:val="none"/>
        </w:rPr>
        <w:t>第八条</w:t>
      </w:r>
      <w:r>
        <w:rPr>
          <w:rFonts w:hint="eastAsia" w:ascii="宋体" w:hAnsi="宋体"/>
          <w:color w:val="auto"/>
          <w:szCs w:val="21"/>
          <w:highlight w:val="none"/>
          <w:lang w:eastAsia="zh-CN"/>
        </w:rPr>
        <w:t>：</w:t>
      </w:r>
      <w:r>
        <w:rPr>
          <w:rFonts w:ascii="宋体" w:hAnsi="宋体"/>
          <w:color w:val="auto"/>
          <w:szCs w:val="21"/>
          <w:highlight w:val="none"/>
        </w:rPr>
        <w:t>合同款支付</w:t>
      </w:r>
    </w:p>
    <w:p w14:paraId="522293BF">
      <w:pPr>
        <w:spacing w:line="500" w:lineRule="exact"/>
        <w:ind w:firstLine="422"/>
        <w:rPr>
          <w:rFonts w:ascii="宋体" w:hAnsi="宋体"/>
          <w:color w:val="auto"/>
          <w:szCs w:val="21"/>
          <w:highlight w:val="none"/>
        </w:rPr>
      </w:pPr>
      <w:r>
        <w:rPr>
          <w:rFonts w:ascii="宋体" w:hAnsi="宋体"/>
          <w:color w:val="auto"/>
          <w:szCs w:val="21"/>
          <w:highlight w:val="none"/>
        </w:rPr>
        <w:t>1、本合同项下所有款项均以人民币支付。</w:t>
      </w:r>
    </w:p>
    <w:p w14:paraId="1216EDEA">
      <w:pPr>
        <w:spacing w:line="500" w:lineRule="exact"/>
        <w:ind w:firstLine="422"/>
        <w:rPr>
          <w:rFonts w:ascii="宋体" w:hAnsi="宋体"/>
          <w:color w:val="auto"/>
          <w:szCs w:val="21"/>
          <w:highlight w:val="none"/>
        </w:rPr>
      </w:pPr>
      <w:r>
        <w:rPr>
          <w:rFonts w:ascii="宋体" w:hAnsi="宋体"/>
          <w:color w:val="auto"/>
          <w:szCs w:val="21"/>
          <w:highlight w:val="none"/>
        </w:rPr>
        <w:t>2、本合同项下的采购资金由甲方自行支付，每次付款前乙方向甲方开具合格的发票。</w:t>
      </w:r>
    </w:p>
    <w:p w14:paraId="655EC9CD">
      <w:pPr>
        <w:tabs>
          <w:tab w:val="left" w:pos="5250"/>
        </w:tabs>
        <w:spacing w:line="440" w:lineRule="exact"/>
        <w:ind w:firstLine="420"/>
        <w:rPr>
          <w:color w:val="auto"/>
          <w:highlight w:val="none"/>
        </w:rPr>
      </w:pPr>
      <w:r>
        <w:rPr>
          <w:rFonts w:ascii="宋体" w:hAnsi="宋体"/>
          <w:color w:val="auto"/>
          <w:szCs w:val="21"/>
          <w:highlight w:val="none"/>
        </w:rPr>
        <w:t>3、付款</w:t>
      </w:r>
      <w:r>
        <w:rPr>
          <w:rFonts w:hint="eastAsia" w:ascii="宋体" w:hAnsi="宋体"/>
          <w:color w:val="auto"/>
          <w:szCs w:val="21"/>
          <w:highlight w:val="none"/>
          <w:lang w:val="en-US" w:eastAsia="zh-CN"/>
        </w:rPr>
        <w:t>方式</w:t>
      </w:r>
      <w:r>
        <w:rPr>
          <w:rFonts w:ascii="宋体" w:hAnsi="宋体"/>
          <w:color w:val="auto"/>
          <w:szCs w:val="21"/>
          <w:highlight w:val="none"/>
        </w:rPr>
        <w:t>：</w:t>
      </w:r>
      <w:r>
        <w:rPr>
          <w:rFonts w:hint="eastAsia" w:ascii="宋体" w:hAnsi="宋体"/>
          <w:color w:val="auto"/>
          <w:szCs w:val="21"/>
          <w:highlight w:val="none"/>
        </w:rPr>
        <w:t>合同签订后采购人向中标人支付合同价款的</w:t>
      </w:r>
      <w:r>
        <w:rPr>
          <w:rFonts w:hint="eastAsia" w:ascii="宋体" w:hAnsi="宋体"/>
          <w:color w:val="auto"/>
          <w:szCs w:val="21"/>
          <w:highlight w:val="none"/>
          <w:lang w:val="en-US" w:eastAsia="zh-CN"/>
        </w:rPr>
        <w:t>15</w:t>
      </w:r>
      <w:r>
        <w:rPr>
          <w:rFonts w:hint="eastAsia" w:ascii="宋体" w:hAnsi="宋体"/>
          <w:color w:val="auto"/>
          <w:szCs w:val="21"/>
          <w:highlight w:val="none"/>
        </w:rPr>
        <w:t>%为预付款；</w:t>
      </w:r>
      <w:r>
        <w:rPr>
          <w:rFonts w:hint="eastAsia" w:ascii="宋体" w:hAnsi="宋体"/>
          <w:color w:val="auto"/>
          <w:szCs w:val="21"/>
          <w:highlight w:val="none"/>
          <w:lang w:val="en-US" w:eastAsia="zh-CN"/>
        </w:rPr>
        <w:t>2025</w:t>
      </w:r>
      <w:r>
        <w:rPr>
          <w:rFonts w:hint="eastAsia" w:ascii="宋体" w:hAnsi="宋体"/>
          <w:color w:val="auto"/>
          <w:szCs w:val="21"/>
          <w:highlight w:val="none"/>
        </w:rPr>
        <w:t>年，根据阶段性成果完成情况，</w:t>
      </w:r>
      <w:r>
        <w:rPr>
          <w:rFonts w:hint="eastAsia" w:ascii="宋体" w:hAnsi="宋体"/>
          <w:color w:val="auto"/>
          <w:szCs w:val="21"/>
          <w:highlight w:val="none"/>
          <w:lang w:val="en-US" w:eastAsia="zh-CN"/>
        </w:rPr>
        <w:t>付至</w:t>
      </w:r>
      <w:r>
        <w:rPr>
          <w:rFonts w:hint="eastAsia" w:ascii="宋体" w:hAnsi="宋体"/>
          <w:color w:val="auto"/>
          <w:szCs w:val="21"/>
          <w:highlight w:val="none"/>
        </w:rPr>
        <w:t>合同价款的</w:t>
      </w:r>
      <w:r>
        <w:rPr>
          <w:rFonts w:hint="eastAsia" w:ascii="宋体" w:hAnsi="宋体"/>
          <w:color w:val="auto"/>
          <w:szCs w:val="21"/>
          <w:highlight w:val="none"/>
          <w:lang w:val="en-US" w:eastAsia="zh-CN"/>
        </w:rPr>
        <w:t>7</w:t>
      </w:r>
      <w:r>
        <w:rPr>
          <w:rFonts w:hint="eastAsia" w:ascii="宋体" w:hAnsi="宋体"/>
          <w:color w:val="auto"/>
          <w:szCs w:val="21"/>
          <w:highlight w:val="none"/>
        </w:rPr>
        <w:t>0%；项目</w:t>
      </w:r>
      <w:r>
        <w:rPr>
          <w:rFonts w:hint="eastAsia" w:ascii="宋体" w:hAnsi="宋体"/>
          <w:color w:val="auto"/>
          <w:szCs w:val="21"/>
          <w:highlight w:val="none"/>
          <w:lang w:val="en-US" w:eastAsia="zh-CN"/>
        </w:rPr>
        <w:t>省级</w:t>
      </w:r>
      <w:r>
        <w:rPr>
          <w:rFonts w:hint="eastAsia" w:ascii="宋体" w:hAnsi="宋体"/>
          <w:color w:val="auto"/>
          <w:szCs w:val="21"/>
          <w:highlight w:val="none"/>
        </w:rPr>
        <w:t>验收合格</w:t>
      </w:r>
      <w:r>
        <w:rPr>
          <w:rFonts w:hint="eastAsia" w:ascii="宋体" w:hAnsi="宋体"/>
          <w:color w:val="auto"/>
          <w:szCs w:val="21"/>
          <w:highlight w:val="none"/>
          <w:lang w:val="en-US" w:eastAsia="zh-CN"/>
        </w:rPr>
        <w:t>后</w:t>
      </w:r>
      <w:r>
        <w:rPr>
          <w:rFonts w:hint="eastAsia" w:ascii="宋体" w:hAnsi="宋体"/>
          <w:color w:val="auto"/>
          <w:szCs w:val="21"/>
          <w:highlight w:val="none"/>
        </w:rPr>
        <w:t>，</w:t>
      </w:r>
      <w:r>
        <w:rPr>
          <w:rFonts w:hint="eastAsia" w:ascii="宋体" w:hAnsi="宋体"/>
          <w:color w:val="auto"/>
          <w:szCs w:val="21"/>
          <w:highlight w:val="none"/>
          <w:lang w:val="en-US" w:eastAsia="zh-CN"/>
        </w:rPr>
        <w:t>2026年</w:t>
      </w:r>
      <w:r>
        <w:rPr>
          <w:rFonts w:hint="eastAsia" w:ascii="宋体" w:hAnsi="宋体"/>
          <w:color w:val="auto"/>
          <w:szCs w:val="21"/>
          <w:highlight w:val="none"/>
        </w:rPr>
        <w:t>付清余款</w:t>
      </w:r>
      <w:r>
        <w:rPr>
          <w:rFonts w:hint="eastAsia" w:ascii="宋体" w:hAnsi="宋体" w:cs="宋体"/>
          <w:color w:val="auto"/>
          <w:szCs w:val="21"/>
          <w:highlight w:val="none"/>
        </w:rPr>
        <w:t>。</w:t>
      </w:r>
    </w:p>
    <w:p w14:paraId="683F93D9">
      <w:pPr>
        <w:spacing w:line="500" w:lineRule="exact"/>
        <w:ind w:firstLine="422"/>
        <w:rPr>
          <w:rFonts w:ascii="宋体" w:hAnsi="宋体"/>
          <w:color w:val="auto"/>
          <w:szCs w:val="21"/>
          <w:highlight w:val="none"/>
        </w:rPr>
      </w:pPr>
      <w:r>
        <w:rPr>
          <w:rFonts w:ascii="宋体" w:hAnsi="宋体"/>
          <w:color w:val="auto"/>
          <w:szCs w:val="21"/>
          <w:highlight w:val="none"/>
        </w:rPr>
        <w:t>第九条</w:t>
      </w:r>
      <w:r>
        <w:rPr>
          <w:rFonts w:hint="eastAsia" w:ascii="宋体" w:hAnsi="宋体"/>
          <w:color w:val="auto"/>
          <w:szCs w:val="21"/>
          <w:highlight w:val="none"/>
          <w:lang w:eastAsia="zh-CN"/>
        </w:rPr>
        <w:t>：</w:t>
      </w:r>
      <w:r>
        <w:rPr>
          <w:rFonts w:ascii="宋体" w:hAnsi="宋体"/>
          <w:color w:val="auto"/>
          <w:szCs w:val="21"/>
          <w:highlight w:val="none"/>
        </w:rPr>
        <w:t>违约责任</w:t>
      </w:r>
    </w:p>
    <w:p w14:paraId="13B551AA">
      <w:pPr>
        <w:spacing w:line="500" w:lineRule="exact"/>
        <w:ind w:firstLine="422"/>
        <w:rPr>
          <w:rFonts w:ascii="宋体" w:hAnsi="宋体"/>
          <w:color w:val="auto"/>
          <w:szCs w:val="21"/>
          <w:highlight w:val="none"/>
        </w:rPr>
      </w:pPr>
      <w:r>
        <w:rPr>
          <w:rFonts w:ascii="宋体" w:hAnsi="宋体"/>
          <w:color w:val="auto"/>
          <w:szCs w:val="21"/>
          <w:highlight w:val="none"/>
        </w:rPr>
        <w:t>１、甲方无正当理由拒收服务的，甲方向乙方偿付不超过合同总价5%的违约金。</w:t>
      </w:r>
    </w:p>
    <w:p w14:paraId="113A9E78">
      <w:pPr>
        <w:spacing w:line="500" w:lineRule="exact"/>
        <w:ind w:firstLine="422"/>
        <w:rPr>
          <w:rFonts w:ascii="宋体" w:hAnsi="宋体"/>
          <w:color w:val="auto"/>
          <w:szCs w:val="21"/>
          <w:highlight w:val="none"/>
        </w:rPr>
      </w:pPr>
      <w:r>
        <w:rPr>
          <w:rFonts w:hint="eastAsia" w:ascii="宋体" w:hAnsi="宋体"/>
          <w:color w:val="auto"/>
          <w:szCs w:val="21"/>
          <w:highlight w:val="none"/>
          <w:lang w:val="en-US" w:eastAsia="zh-CN"/>
        </w:rPr>
        <w:t>2</w:t>
      </w:r>
      <w:r>
        <w:rPr>
          <w:rFonts w:ascii="宋体" w:hAnsi="宋体"/>
          <w:color w:val="auto"/>
          <w:szCs w:val="21"/>
          <w:highlight w:val="none"/>
        </w:rPr>
        <w:t>、如乙方不能交付合格的服务的，甲方有权解除合同，解除合同的通知自到达乙方时生效，甲方无需支付任何费用，乙方应向甲方支付合同总价5%的违约金，还应赔偿因此给甲方造成的损失。</w:t>
      </w:r>
    </w:p>
    <w:p w14:paraId="6353F65D">
      <w:pPr>
        <w:spacing w:line="500" w:lineRule="exact"/>
        <w:ind w:firstLine="422"/>
        <w:rPr>
          <w:rFonts w:ascii="宋体" w:hAnsi="宋体"/>
          <w:color w:val="auto"/>
          <w:szCs w:val="21"/>
          <w:highlight w:val="none"/>
        </w:rPr>
      </w:pPr>
      <w:r>
        <w:rPr>
          <w:rFonts w:hint="eastAsia" w:ascii="宋体" w:hAnsi="宋体"/>
          <w:color w:val="auto"/>
          <w:szCs w:val="21"/>
          <w:highlight w:val="none"/>
          <w:lang w:val="en-US" w:eastAsia="zh-CN"/>
        </w:rPr>
        <w:t>3</w:t>
      </w:r>
      <w:r>
        <w:rPr>
          <w:rFonts w:ascii="宋体" w:hAnsi="宋体"/>
          <w:color w:val="auto"/>
          <w:szCs w:val="21"/>
          <w:highlight w:val="none"/>
        </w:rPr>
        <w:t>、乙方逾期服务的，每逾期1天，乙方向甲方偿付合同总额的5‰的滞纳金。如乙方逾期服务达10天，甲方有权解除合同，解除合同的通知自到达乙方时生效。甲方无需支付任何费用，乙方应向甲方支付合同总价5%的违约金，还应赔偿因此给甲方造成的损失。</w:t>
      </w:r>
    </w:p>
    <w:p w14:paraId="0EC3F173">
      <w:pPr>
        <w:spacing w:line="500" w:lineRule="exact"/>
        <w:ind w:firstLine="422"/>
        <w:rPr>
          <w:rFonts w:ascii="宋体" w:hAnsi="宋体"/>
          <w:color w:val="auto"/>
          <w:szCs w:val="21"/>
          <w:highlight w:val="none"/>
        </w:rPr>
      </w:pPr>
      <w:r>
        <w:rPr>
          <w:rFonts w:hint="eastAsia" w:ascii="宋体" w:hAnsi="宋体"/>
          <w:color w:val="auto"/>
          <w:szCs w:val="21"/>
          <w:highlight w:val="none"/>
          <w:lang w:val="en-US" w:eastAsia="zh-CN"/>
        </w:rPr>
        <w:t>4</w:t>
      </w:r>
      <w:r>
        <w:rPr>
          <w:rFonts w:ascii="宋体" w:hAnsi="宋体"/>
          <w:color w:val="auto"/>
          <w:szCs w:val="21"/>
          <w:highlight w:val="none"/>
        </w:rPr>
        <w:t>、乙方所交付的服务不符合合同规定的，甲方有权拒收。甲方拒收的，甲方有权解除合同，解除合同的通知自到达乙方时生效，甲方无需支付任何费用，乙方应向甲方支付合同总款5%的违约金，还应赔偿因此给甲方造成的损失。甲方未拒收的，审查发现后将向有关部门反映，并责成乙方按照采购结果提供服务，乙方应赔偿因此给甲方造成的损失。</w:t>
      </w:r>
    </w:p>
    <w:p w14:paraId="1D9E33F2">
      <w:pPr>
        <w:spacing w:line="500" w:lineRule="exact"/>
        <w:ind w:firstLine="422"/>
        <w:rPr>
          <w:rFonts w:ascii="宋体" w:hAnsi="宋体"/>
          <w:color w:val="auto"/>
          <w:szCs w:val="21"/>
          <w:highlight w:val="none"/>
        </w:rPr>
      </w:pPr>
      <w:r>
        <w:rPr>
          <w:rFonts w:hint="eastAsia" w:ascii="宋体" w:hAnsi="宋体"/>
          <w:color w:val="auto"/>
          <w:szCs w:val="21"/>
          <w:highlight w:val="none"/>
          <w:lang w:val="en-US" w:eastAsia="zh-CN"/>
        </w:rPr>
        <w:t>5</w:t>
      </w:r>
      <w:r>
        <w:rPr>
          <w:rFonts w:ascii="宋体" w:hAnsi="宋体"/>
          <w:color w:val="auto"/>
          <w:szCs w:val="21"/>
          <w:highlight w:val="none"/>
        </w:rPr>
        <w:t>、在乙方承诺的或国家规定的质量保证期内（取两者中最长的期限），如经甲方要求，乙方两次整改仍不能达到合同约定的服务质量标准，乙方应退回全部合同价款，并按第3款处理，同时，乙方还须赔偿甲方因此遭受的损失。</w:t>
      </w:r>
    </w:p>
    <w:p w14:paraId="1A758968">
      <w:pPr>
        <w:spacing w:line="500" w:lineRule="exact"/>
        <w:ind w:firstLine="422"/>
        <w:rPr>
          <w:rFonts w:ascii="宋体" w:hAnsi="宋体"/>
          <w:color w:val="auto"/>
          <w:szCs w:val="21"/>
          <w:highlight w:val="none"/>
        </w:rPr>
      </w:pPr>
      <w:r>
        <w:rPr>
          <w:rFonts w:hint="eastAsia" w:ascii="宋体" w:hAnsi="宋体"/>
          <w:color w:val="auto"/>
          <w:szCs w:val="21"/>
          <w:highlight w:val="none"/>
          <w:lang w:val="en-US" w:eastAsia="zh-CN"/>
        </w:rPr>
        <w:t>6</w:t>
      </w:r>
      <w:r>
        <w:rPr>
          <w:rFonts w:ascii="宋体" w:hAnsi="宋体"/>
          <w:color w:val="auto"/>
          <w:szCs w:val="21"/>
          <w:highlight w:val="none"/>
        </w:rPr>
        <w:t>、乙方未按本合同的规定和“服务承诺”提供伴随服务/售后服务的，应按合同总价款的5%向甲方承担违约责任，还应赔偿因此给甲方造成的损失。</w:t>
      </w:r>
    </w:p>
    <w:p w14:paraId="70755C63">
      <w:pPr>
        <w:spacing w:line="500" w:lineRule="exact"/>
        <w:ind w:firstLine="422"/>
        <w:rPr>
          <w:rFonts w:ascii="宋体" w:hAnsi="宋体"/>
          <w:color w:val="auto"/>
          <w:szCs w:val="21"/>
          <w:highlight w:val="none"/>
        </w:rPr>
      </w:pPr>
      <w:r>
        <w:rPr>
          <w:rFonts w:hint="eastAsia" w:ascii="宋体" w:hAnsi="宋体"/>
          <w:color w:val="auto"/>
          <w:szCs w:val="21"/>
          <w:highlight w:val="none"/>
          <w:lang w:val="en-US" w:eastAsia="zh-CN"/>
        </w:rPr>
        <w:t>7</w:t>
      </w:r>
      <w:r>
        <w:rPr>
          <w:rFonts w:ascii="宋体" w:hAnsi="宋体"/>
          <w:color w:val="auto"/>
          <w:szCs w:val="21"/>
          <w:highlight w:val="none"/>
        </w:rPr>
        <w:t>、乙方在承担上述4-7款一项或多项违约责任后，仍应继续履行合同规定的义务（甲方解除合同的除外）。甲方未能及时追究乙方的任何一项违约责任并不表明甲方放弃追究乙方该项或其他违约责任。</w:t>
      </w:r>
    </w:p>
    <w:p w14:paraId="4B587014">
      <w:pPr>
        <w:spacing w:line="500" w:lineRule="exact"/>
        <w:ind w:firstLine="422"/>
        <w:rPr>
          <w:rFonts w:ascii="宋体" w:hAnsi="宋体"/>
          <w:color w:val="auto"/>
          <w:szCs w:val="21"/>
          <w:highlight w:val="none"/>
        </w:rPr>
      </w:pPr>
      <w:r>
        <w:rPr>
          <w:rFonts w:hint="eastAsia" w:ascii="宋体" w:hAnsi="宋体"/>
          <w:color w:val="auto"/>
          <w:szCs w:val="21"/>
          <w:highlight w:val="none"/>
          <w:lang w:val="en-US" w:eastAsia="zh-CN"/>
        </w:rPr>
        <w:t>8</w:t>
      </w:r>
      <w:r>
        <w:rPr>
          <w:rFonts w:ascii="宋体" w:hAnsi="宋体"/>
          <w:color w:val="auto"/>
          <w:szCs w:val="21"/>
          <w:highlight w:val="none"/>
        </w:rPr>
        <w:t>、乙方响应属虚假承诺，或经权威部门监测提供的服务不能满足</w:t>
      </w:r>
      <w:r>
        <w:rPr>
          <w:rFonts w:hint="eastAsia" w:ascii="宋体" w:hAnsi="宋体"/>
          <w:color w:val="auto"/>
          <w:szCs w:val="21"/>
          <w:highlight w:val="none"/>
        </w:rPr>
        <w:t>公开招标</w:t>
      </w:r>
      <w:r>
        <w:rPr>
          <w:rFonts w:ascii="宋体" w:hAnsi="宋体"/>
          <w:color w:val="auto"/>
          <w:szCs w:val="21"/>
          <w:highlight w:val="none"/>
        </w:rPr>
        <w:t>文件要求，或是由于乙方的过错造成合同无法继续履行的，甲方有权解除合同，解除合同的通知自到达乙方时生效，甲方无需支付任何费用，乙方除承担违约金外，还应向甲方支付不少于合同总价30%违约金。</w:t>
      </w:r>
    </w:p>
    <w:p w14:paraId="1737C433">
      <w:pPr>
        <w:spacing w:line="500" w:lineRule="exact"/>
        <w:ind w:firstLine="422"/>
        <w:rPr>
          <w:rFonts w:ascii="宋体" w:hAnsi="宋体"/>
          <w:color w:val="auto"/>
          <w:szCs w:val="21"/>
          <w:highlight w:val="none"/>
        </w:rPr>
      </w:pPr>
      <w:r>
        <w:rPr>
          <w:rFonts w:ascii="宋体" w:hAnsi="宋体"/>
          <w:color w:val="auto"/>
          <w:szCs w:val="21"/>
          <w:highlight w:val="none"/>
        </w:rPr>
        <w:t>第十条</w:t>
      </w:r>
      <w:r>
        <w:rPr>
          <w:rFonts w:hint="eastAsia" w:ascii="宋体" w:hAnsi="宋体"/>
          <w:color w:val="auto"/>
          <w:szCs w:val="21"/>
          <w:highlight w:val="none"/>
          <w:lang w:eastAsia="zh-CN"/>
        </w:rPr>
        <w:t>：</w:t>
      </w:r>
      <w:r>
        <w:rPr>
          <w:rFonts w:ascii="宋体" w:hAnsi="宋体"/>
          <w:color w:val="auto"/>
          <w:szCs w:val="21"/>
          <w:highlight w:val="none"/>
        </w:rPr>
        <w:t>合同的变更和终止</w:t>
      </w:r>
    </w:p>
    <w:p w14:paraId="0D93B0F8">
      <w:pPr>
        <w:spacing w:line="500" w:lineRule="exact"/>
        <w:ind w:firstLine="422"/>
        <w:rPr>
          <w:rFonts w:ascii="宋体" w:hAnsi="宋体"/>
          <w:color w:val="auto"/>
          <w:szCs w:val="21"/>
          <w:highlight w:val="none"/>
        </w:rPr>
      </w:pPr>
      <w:r>
        <w:rPr>
          <w:rFonts w:ascii="宋体" w:hAnsi="宋体"/>
          <w:color w:val="auto"/>
          <w:szCs w:val="21"/>
          <w:highlight w:val="none"/>
        </w:rPr>
        <w:t>1、除《政府采购法》第50条第二款规定的情形或符合合同约定的解除条件外，本合同一经签订，甲乙双方不得擅自变更、中止或终止合同。</w:t>
      </w:r>
    </w:p>
    <w:p w14:paraId="451686C9">
      <w:pPr>
        <w:spacing w:line="500" w:lineRule="exact"/>
        <w:ind w:firstLine="422"/>
        <w:rPr>
          <w:rFonts w:ascii="宋体" w:hAnsi="宋体"/>
          <w:color w:val="auto"/>
          <w:szCs w:val="21"/>
          <w:highlight w:val="none"/>
        </w:rPr>
      </w:pPr>
      <w:r>
        <w:rPr>
          <w:rFonts w:ascii="宋体" w:hAnsi="宋体"/>
          <w:color w:val="auto"/>
          <w:szCs w:val="21"/>
          <w:highlight w:val="none"/>
        </w:rPr>
        <w:t>2、除发生法律规定的不能预见、不能避免并不能克服的客观情况或另一方以自身行为明确表示不履行合同外，甲乙双方不得放弃或拒绝履行合同。</w:t>
      </w:r>
    </w:p>
    <w:p w14:paraId="314338C2">
      <w:pPr>
        <w:spacing w:line="500" w:lineRule="exact"/>
        <w:ind w:firstLine="422"/>
        <w:rPr>
          <w:rFonts w:ascii="宋体" w:hAnsi="宋体"/>
          <w:color w:val="auto"/>
          <w:szCs w:val="21"/>
          <w:highlight w:val="none"/>
        </w:rPr>
      </w:pPr>
      <w:r>
        <w:rPr>
          <w:rFonts w:ascii="宋体" w:hAnsi="宋体"/>
          <w:color w:val="auto"/>
          <w:szCs w:val="21"/>
          <w:highlight w:val="none"/>
        </w:rPr>
        <w:t>第十一条</w:t>
      </w:r>
      <w:r>
        <w:rPr>
          <w:rFonts w:hint="eastAsia" w:ascii="宋体" w:hAnsi="宋体"/>
          <w:color w:val="auto"/>
          <w:szCs w:val="21"/>
          <w:highlight w:val="none"/>
          <w:lang w:eastAsia="zh-CN"/>
        </w:rPr>
        <w:t>：</w:t>
      </w:r>
      <w:r>
        <w:rPr>
          <w:rFonts w:ascii="宋体" w:hAnsi="宋体"/>
          <w:color w:val="auto"/>
          <w:szCs w:val="21"/>
          <w:highlight w:val="none"/>
        </w:rPr>
        <w:t>合同的转让</w:t>
      </w:r>
    </w:p>
    <w:p w14:paraId="2A3462CE">
      <w:pPr>
        <w:spacing w:line="500" w:lineRule="exact"/>
        <w:ind w:firstLine="422"/>
        <w:rPr>
          <w:rFonts w:ascii="宋体" w:hAnsi="宋体"/>
          <w:color w:val="auto"/>
          <w:szCs w:val="21"/>
          <w:highlight w:val="none"/>
        </w:rPr>
      </w:pPr>
      <w:r>
        <w:rPr>
          <w:rFonts w:ascii="宋体" w:hAnsi="宋体"/>
          <w:color w:val="auto"/>
          <w:szCs w:val="21"/>
          <w:highlight w:val="none"/>
        </w:rPr>
        <w:t>乙方不得擅自部分或全部转让其应履行的合同义务，否则一切后果由乙方承担，甲方有权解除合同，解除合同的通知自到达乙方时生效，乙方应向甲方返还所有已收费用（如有）并赔偿合同总价30%的违约金。</w:t>
      </w:r>
    </w:p>
    <w:p w14:paraId="3715C387">
      <w:pPr>
        <w:spacing w:line="500" w:lineRule="exact"/>
        <w:ind w:firstLine="422"/>
        <w:rPr>
          <w:rFonts w:ascii="宋体" w:hAnsi="宋体"/>
          <w:color w:val="auto"/>
          <w:szCs w:val="21"/>
          <w:highlight w:val="none"/>
        </w:rPr>
      </w:pPr>
      <w:r>
        <w:rPr>
          <w:rFonts w:ascii="宋体" w:hAnsi="宋体"/>
          <w:color w:val="auto"/>
          <w:szCs w:val="21"/>
          <w:highlight w:val="none"/>
        </w:rPr>
        <w:t>第十二条</w:t>
      </w:r>
      <w:r>
        <w:rPr>
          <w:rFonts w:hint="eastAsia" w:ascii="宋体" w:hAnsi="宋体"/>
          <w:color w:val="auto"/>
          <w:szCs w:val="21"/>
          <w:highlight w:val="none"/>
          <w:lang w:eastAsia="zh-CN"/>
        </w:rPr>
        <w:t>：</w:t>
      </w:r>
      <w:r>
        <w:rPr>
          <w:rFonts w:ascii="宋体" w:hAnsi="宋体"/>
          <w:color w:val="auto"/>
          <w:szCs w:val="21"/>
          <w:highlight w:val="none"/>
        </w:rPr>
        <w:t>争议的解决</w:t>
      </w:r>
    </w:p>
    <w:p w14:paraId="7936E6A3">
      <w:pPr>
        <w:spacing w:line="500" w:lineRule="exact"/>
        <w:ind w:firstLine="422"/>
        <w:rPr>
          <w:rFonts w:ascii="宋体" w:hAnsi="宋体"/>
          <w:color w:val="auto"/>
          <w:szCs w:val="21"/>
          <w:highlight w:val="none"/>
        </w:rPr>
      </w:pPr>
      <w:r>
        <w:rPr>
          <w:rFonts w:ascii="宋体" w:hAnsi="宋体"/>
          <w:color w:val="auto"/>
          <w:szCs w:val="21"/>
          <w:highlight w:val="none"/>
        </w:rPr>
        <w:t>1、因服务的质量问题发生争议的，应当邀请国家认可的质量检测机构对服务质量进行鉴定。符合标准的，鉴定费由甲方承担；不符合质量标准的，鉴定费由乙方承担。</w:t>
      </w:r>
    </w:p>
    <w:p w14:paraId="637BA596">
      <w:pPr>
        <w:spacing w:line="500" w:lineRule="exact"/>
        <w:ind w:firstLine="422"/>
        <w:rPr>
          <w:rFonts w:ascii="宋体" w:hAnsi="宋体"/>
          <w:color w:val="auto"/>
          <w:szCs w:val="21"/>
          <w:highlight w:val="none"/>
        </w:rPr>
      </w:pPr>
      <w:r>
        <w:rPr>
          <w:rFonts w:ascii="宋体" w:hAnsi="宋体"/>
          <w:color w:val="auto"/>
          <w:szCs w:val="21"/>
          <w:highlight w:val="none"/>
        </w:rPr>
        <w:t>2、因履行本合同引起的或与本合同有关的争议，甲、乙双方应首先通过友好协商解决，如果协商不能解决争议，则采取以下第（1）种方式解决争议：</w:t>
      </w:r>
    </w:p>
    <w:p w14:paraId="1512CCAE">
      <w:pPr>
        <w:spacing w:line="500" w:lineRule="exact"/>
        <w:ind w:firstLine="422"/>
        <w:rPr>
          <w:rFonts w:ascii="宋体" w:hAnsi="宋体"/>
          <w:color w:val="auto"/>
          <w:szCs w:val="21"/>
          <w:highlight w:val="none"/>
        </w:rPr>
      </w:pPr>
      <w:r>
        <w:rPr>
          <w:rFonts w:ascii="宋体" w:hAnsi="宋体"/>
          <w:color w:val="auto"/>
          <w:szCs w:val="21"/>
          <w:highlight w:val="none"/>
        </w:rPr>
        <w:t>（1）向甲方所在地有管辖权的人民法院提起诉讼；因诉讼产生的相关费用及开支（包括但不限于公证费、诉讼费、保全担保费、鉴定费、律师费、交通费用）均由败诉方承担。</w:t>
      </w:r>
    </w:p>
    <w:p w14:paraId="279D7569">
      <w:pPr>
        <w:spacing w:line="500" w:lineRule="exact"/>
        <w:ind w:firstLine="422"/>
        <w:rPr>
          <w:rFonts w:ascii="宋体" w:hAnsi="宋体"/>
          <w:color w:val="auto"/>
          <w:szCs w:val="21"/>
          <w:highlight w:val="none"/>
        </w:rPr>
      </w:pPr>
      <w:r>
        <w:rPr>
          <w:rFonts w:ascii="宋体" w:hAnsi="宋体"/>
          <w:color w:val="auto"/>
          <w:szCs w:val="21"/>
          <w:highlight w:val="none"/>
        </w:rPr>
        <w:t>（2）向</w:t>
      </w:r>
      <w:r>
        <w:rPr>
          <w:rFonts w:hint="eastAsia" w:ascii="宋体" w:hAnsi="宋体"/>
          <w:color w:val="auto"/>
          <w:szCs w:val="21"/>
          <w:highlight w:val="none"/>
          <w:lang w:val="en-US" w:eastAsia="zh-CN"/>
        </w:rPr>
        <w:t>泰州</w:t>
      </w:r>
      <w:r>
        <w:rPr>
          <w:rFonts w:ascii="宋体" w:hAnsi="宋体"/>
          <w:color w:val="auto"/>
          <w:szCs w:val="21"/>
          <w:highlight w:val="none"/>
        </w:rPr>
        <w:t>仲裁委员会按其仲裁规则申请仲裁。</w:t>
      </w:r>
    </w:p>
    <w:p w14:paraId="54D7D77F">
      <w:pPr>
        <w:spacing w:line="500" w:lineRule="exact"/>
        <w:ind w:firstLine="422"/>
        <w:rPr>
          <w:rFonts w:ascii="宋体" w:hAnsi="宋体"/>
          <w:color w:val="auto"/>
          <w:szCs w:val="21"/>
          <w:highlight w:val="none"/>
        </w:rPr>
      </w:pPr>
      <w:r>
        <w:rPr>
          <w:rFonts w:ascii="宋体" w:hAnsi="宋体"/>
          <w:color w:val="auto"/>
          <w:szCs w:val="21"/>
          <w:highlight w:val="none"/>
        </w:rPr>
        <w:t>如没有约定，默认采取第2种方式解决争议。</w:t>
      </w:r>
    </w:p>
    <w:p w14:paraId="6ADE9BCE">
      <w:pPr>
        <w:spacing w:line="500" w:lineRule="exact"/>
        <w:ind w:firstLine="422"/>
        <w:rPr>
          <w:rFonts w:ascii="宋体" w:hAnsi="宋体"/>
          <w:color w:val="auto"/>
          <w:szCs w:val="21"/>
          <w:highlight w:val="none"/>
        </w:rPr>
      </w:pPr>
      <w:r>
        <w:rPr>
          <w:rFonts w:ascii="宋体" w:hAnsi="宋体"/>
          <w:color w:val="auto"/>
          <w:szCs w:val="21"/>
          <w:highlight w:val="none"/>
        </w:rPr>
        <w:t>3、在仲裁或诉讼期间，本合同应继续履行。</w:t>
      </w:r>
    </w:p>
    <w:p w14:paraId="3E29608A">
      <w:pPr>
        <w:spacing w:line="500" w:lineRule="exact"/>
        <w:ind w:firstLine="422"/>
        <w:rPr>
          <w:rFonts w:ascii="宋体" w:hAnsi="宋体"/>
          <w:color w:val="auto"/>
          <w:szCs w:val="21"/>
          <w:highlight w:val="none"/>
        </w:rPr>
      </w:pPr>
      <w:r>
        <w:rPr>
          <w:rFonts w:ascii="宋体" w:hAnsi="宋体"/>
          <w:color w:val="auto"/>
          <w:szCs w:val="21"/>
          <w:highlight w:val="none"/>
        </w:rPr>
        <w:t>第十三条</w:t>
      </w:r>
      <w:r>
        <w:rPr>
          <w:rFonts w:hint="eastAsia" w:ascii="宋体" w:hAnsi="宋体"/>
          <w:color w:val="auto"/>
          <w:szCs w:val="21"/>
          <w:highlight w:val="none"/>
          <w:lang w:eastAsia="zh-CN"/>
        </w:rPr>
        <w:t>：</w:t>
      </w:r>
      <w:r>
        <w:rPr>
          <w:rFonts w:ascii="宋体" w:hAnsi="宋体"/>
          <w:color w:val="auto"/>
          <w:szCs w:val="21"/>
          <w:highlight w:val="none"/>
        </w:rPr>
        <w:t xml:space="preserve">诚实信用 </w:t>
      </w:r>
    </w:p>
    <w:p w14:paraId="6E6C5949">
      <w:pPr>
        <w:spacing w:line="500" w:lineRule="exact"/>
        <w:ind w:firstLine="422"/>
        <w:rPr>
          <w:rFonts w:ascii="宋体" w:hAnsi="宋体"/>
          <w:color w:val="auto"/>
          <w:szCs w:val="21"/>
          <w:highlight w:val="none"/>
        </w:rPr>
      </w:pPr>
      <w:r>
        <w:rPr>
          <w:rFonts w:ascii="宋体" w:hAnsi="宋体"/>
          <w:color w:val="auto"/>
          <w:szCs w:val="21"/>
          <w:highlight w:val="none"/>
        </w:rPr>
        <w:t>乙方应诚实信用，严格按照</w:t>
      </w:r>
      <w:r>
        <w:rPr>
          <w:rFonts w:hint="eastAsia" w:ascii="宋体" w:hAnsi="宋体"/>
          <w:color w:val="auto"/>
          <w:szCs w:val="21"/>
          <w:highlight w:val="none"/>
        </w:rPr>
        <w:t>公开招标</w:t>
      </w:r>
      <w:r>
        <w:rPr>
          <w:rFonts w:ascii="宋体" w:hAnsi="宋体"/>
          <w:color w:val="auto"/>
          <w:szCs w:val="21"/>
          <w:highlight w:val="none"/>
        </w:rPr>
        <w:t>文件要求和响应承诺履行合同，不向甲方进行商业贿赂或者提供不正当利益。</w:t>
      </w:r>
    </w:p>
    <w:p w14:paraId="3E544402">
      <w:pPr>
        <w:spacing w:line="500" w:lineRule="exact"/>
        <w:ind w:firstLine="422"/>
        <w:rPr>
          <w:rFonts w:ascii="宋体" w:hAnsi="宋体"/>
          <w:color w:val="auto"/>
          <w:szCs w:val="21"/>
          <w:highlight w:val="none"/>
        </w:rPr>
      </w:pPr>
      <w:r>
        <w:rPr>
          <w:rFonts w:ascii="宋体" w:hAnsi="宋体"/>
          <w:color w:val="auto"/>
          <w:szCs w:val="21"/>
          <w:highlight w:val="none"/>
        </w:rPr>
        <w:t>第十四条</w:t>
      </w:r>
      <w:r>
        <w:rPr>
          <w:rFonts w:hint="eastAsia" w:ascii="宋体" w:hAnsi="宋体"/>
          <w:color w:val="auto"/>
          <w:szCs w:val="21"/>
          <w:highlight w:val="none"/>
          <w:lang w:eastAsia="zh-CN"/>
        </w:rPr>
        <w:t>：</w:t>
      </w:r>
      <w:r>
        <w:rPr>
          <w:rFonts w:ascii="宋体" w:hAnsi="宋体"/>
          <w:color w:val="auto"/>
          <w:szCs w:val="21"/>
          <w:highlight w:val="none"/>
        </w:rPr>
        <w:t>合同生效及其他</w:t>
      </w:r>
    </w:p>
    <w:p w14:paraId="2531FE69">
      <w:pPr>
        <w:spacing w:line="500" w:lineRule="exact"/>
        <w:ind w:firstLine="422"/>
        <w:rPr>
          <w:rFonts w:ascii="宋体" w:hAnsi="宋体"/>
          <w:color w:val="auto"/>
          <w:szCs w:val="21"/>
          <w:highlight w:val="none"/>
        </w:rPr>
      </w:pPr>
      <w:r>
        <w:rPr>
          <w:rFonts w:ascii="宋体" w:hAnsi="宋体"/>
          <w:color w:val="auto"/>
          <w:szCs w:val="21"/>
          <w:highlight w:val="none"/>
        </w:rPr>
        <w:t>1、本合同自签订之日起生效。</w:t>
      </w:r>
    </w:p>
    <w:p w14:paraId="5C8869C7">
      <w:pPr>
        <w:spacing w:line="500" w:lineRule="exact"/>
        <w:ind w:firstLine="422"/>
        <w:rPr>
          <w:rFonts w:ascii="宋体" w:hAnsi="宋体"/>
          <w:color w:val="auto"/>
          <w:szCs w:val="21"/>
          <w:highlight w:val="none"/>
        </w:rPr>
      </w:pPr>
      <w:r>
        <w:rPr>
          <w:rFonts w:ascii="宋体" w:hAnsi="宋体"/>
          <w:color w:val="auto"/>
          <w:szCs w:val="21"/>
          <w:highlight w:val="none"/>
        </w:rPr>
        <w:t>2、本合同一式六份，甲乙双方各执两份，一份报送政府采购监督管理部门备案，一份报送街道财政部门。（可根据需求自行增加）</w:t>
      </w:r>
    </w:p>
    <w:p w14:paraId="5643FE28">
      <w:pPr>
        <w:spacing w:line="500" w:lineRule="exact"/>
        <w:ind w:firstLine="422"/>
        <w:rPr>
          <w:rFonts w:ascii="宋体" w:hAnsi="宋体"/>
          <w:color w:val="auto"/>
          <w:szCs w:val="21"/>
          <w:highlight w:val="none"/>
        </w:rPr>
      </w:pPr>
      <w:r>
        <w:rPr>
          <w:rFonts w:ascii="宋体" w:hAnsi="宋体"/>
          <w:color w:val="auto"/>
          <w:szCs w:val="21"/>
          <w:highlight w:val="none"/>
        </w:rPr>
        <w:t>3、本合同应按照中华人民共和国的现行法律进行解释。</w:t>
      </w:r>
    </w:p>
    <w:tbl>
      <w:tblPr>
        <w:tblStyle w:val="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74"/>
        <w:gridCol w:w="4274"/>
      </w:tblGrid>
      <w:tr w14:paraId="714DAE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0" w:type="dxa"/>
              <w:bottom w:w="0" w:type="dxa"/>
              <w:right w:w="0" w:type="dxa"/>
            </w:tcMar>
          </w:tcPr>
          <w:p w14:paraId="74491C1C">
            <w:pPr>
              <w:spacing w:line="500" w:lineRule="exact"/>
              <w:ind w:firstLine="422"/>
              <w:rPr>
                <w:rFonts w:ascii="宋体" w:hAnsi="宋体"/>
                <w:color w:val="auto"/>
                <w:szCs w:val="21"/>
                <w:highlight w:val="none"/>
              </w:rPr>
            </w:pPr>
            <w:r>
              <w:rPr>
                <w:rFonts w:ascii="宋体" w:hAnsi="宋体"/>
                <w:color w:val="auto"/>
                <w:szCs w:val="21"/>
                <w:highlight w:val="none"/>
              </w:rPr>
              <w:t>甲方（采购人）： </w:t>
            </w:r>
          </w:p>
          <w:p w14:paraId="0464059C">
            <w:pPr>
              <w:spacing w:line="500" w:lineRule="exact"/>
              <w:ind w:firstLine="422"/>
              <w:rPr>
                <w:rFonts w:ascii="宋体" w:hAnsi="宋体"/>
                <w:color w:val="auto"/>
                <w:szCs w:val="21"/>
                <w:highlight w:val="none"/>
              </w:rPr>
            </w:pPr>
            <w:r>
              <w:rPr>
                <w:rFonts w:ascii="宋体" w:hAnsi="宋体"/>
                <w:color w:val="auto"/>
                <w:szCs w:val="21"/>
                <w:highlight w:val="none"/>
              </w:rPr>
              <w:t>（盖章）</w:t>
            </w:r>
          </w:p>
        </w:tc>
        <w:tc>
          <w:tcPr>
            <w:tcW w:w="4643" w:type="dxa"/>
            <w:tcBorders>
              <w:top w:val="nil"/>
              <w:left w:val="nil"/>
              <w:bottom w:val="nil"/>
              <w:right w:val="nil"/>
            </w:tcBorders>
            <w:noWrap/>
            <w:tcMar>
              <w:top w:w="0" w:type="dxa"/>
              <w:left w:w="0" w:type="dxa"/>
              <w:bottom w:w="0" w:type="dxa"/>
              <w:right w:w="0" w:type="dxa"/>
            </w:tcMar>
          </w:tcPr>
          <w:p w14:paraId="0CA93C22">
            <w:pPr>
              <w:spacing w:line="500" w:lineRule="exact"/>
              <w:ind w:firstLine="422"/>
              <w:rPr>
                <w:rFonts w:ascii="宋体" w:hAnsi="宋体"/>
                <w:color w:val="auto"/>
                <w:szCs w:val="21"/>
                <w:highlight w:val="none"/>
              </w:rPr>
            </w:pPr>
            <w:r>
              <w:rPr>
                <w:rFonts w:ascii="宋体" w:hAnsi="宋体"/>
                <w:color w:val="auto"/>
                <w:szCs w:val="21"/>
                <w:highlight w:val="none"/>
              </w:rPr>
              <w:t>乙方（供应商）：（盖章）</w:t>
            </w:r>
          </w:p>
        </w:tc>
      </w:tr>
      <w:tr w14:paraId="3E9F4D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7" w:hRule="atLeast"/>
        </w:trPr>
        <w:tc>
          <w:tcPr>
            <w:tcW w:w="4643" w:type="dxa"/>
            <w:tcBorders>
              <w:top w:val="nil"/>
              <w:left w:val="nil"/>
              <w:bottom w:val="nil"/>
              <w:right w:val="nil"/>
            </w:tcBorders>
            <w:noWrap/>
            <w:tcMar>
              <w:top w:w="0" w:type="dxa"/>
              <w:left w:w="0" w:type="dxa"/>
              <w:bottom w:w="0" w:type="dxa"/>
              <w:right w:w="0" w:type="dxa"/>
            </w:tcMar>
          </w:tcPr>
          <w:p w14:paraId="10C6FAB1">
            <w:pPr>
              <w:spacing w:line="500" w:lineRule="exact"/>
              <w:ind w:firstLine="422"/>
              <w:rPr>
                <w:rFonts w:ascii="宋体" w:hAnsi="宋体"/>
                <w:color w:val="auto"/>
                <w:szCs w:val="21"/>
                <w:highlight w:val="none"/>
              </w:rPr>
            </w:pPr>
            <w:r>
              <w:rPr>
                <w:rFonts w:ascii="宋体" w:hAnsi="宋体"/>
                <w:color w:val="auto"/>
                <w:szCs w:val="21"/>
                <w:highlight w:val="none"/>
              </w:rPr>
              <w:t>代表人：</w:t>
            </w:r>
          </w:p>
        </w:tc>
        <w:tc>
          <w:tcPr>
            <w:tcW w:w="4643" w:type="dxa"/>
            <w:tcBorders>
              <w:top w:val="nil"/>
              <w:left w:val="nil"/>
              <w:bottom w:val="nil"/>
              <w:right w:val="nil"/>
            </w:tcBorders>
            <w:noWrap/>
            <w:tcMar>
              <w:top w:w="0" w:type="dxa"/>
              <w:left w:w="0" w:type="dxa"/>
              <w:bottom w:w="0" w:type="dxa"/>
              <w:right w:w="0" w:type="dxa"/>
            </w:tcMar>
          </w:tcPr>
          <w:p w14:paraId="4E146597">
            <w:pPr>
              <w:spacing w:line="500" w:lineRule="exact"/>
              <w:ind w:firstLine="422"/>
              <w:rPr>
                <w:rFonts w:ascii="宋体" w:hAnsi="宋体"/>
                <w:color w:val="auto"/>
                <w:szCs w:val="21"/>
                <w:highlight w:val="none"/>
              </w:rPr>
            </w:pPr>
            <w:r>
              <w:rPr>
                <w:rFonts w:ascii="宋体" w:hAnsi="宋体"/>
                <w:color w:val="auto"/>
                <w:szCs w:val="21"/>
                <w:highlight w:val="none"/>
              </w:rPr>
              <w:t>代表人：</w:t>
            </w:r>
          </w:p>
        </w:tc>
      </w:tr>
      <w:tr w14:paraId="0F6473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2" w:hRule="atLeast"/>
        </w:trPr>
        <w:tc>
          <w:tcPr>
            <w:tcW w:w="4643" w:type="dxa"/>
            <w:tcBorders>
              <w:top w:val="nil"/>
              <w:left w:val="nil"/>
              <w:bottom w:val="nil"/>
              <w:right w:val="nil"/>
            </w:tcBorders>
            <w:noWrap/>
            <w:tcMar>
              <w:top w:w="0" w:type="dxa"/>
              <w:left w:w="0" w:type="dxa"/>
              <w:bottom w:w="0" w:type="dxa"/>
              <w:right w:w="0" w:type="dxa"/>
            </w:tcMar>
          </w:tcPr>
          <w:p w14:paraId="24C0E354">
            <w:pPr>
              <w:spacing w:line="500" w:lineRule="exact"/>
              <w:ind w:firstLine="422"/>
              <w:rPr>
                <w:rFonts w:ascii="宋体" w:hAnsi="宋体"/>
                <w:color w:val="auto"/>
                <w:szCs w:val="21"/>
                <w:highlight w:val="none"/>
              </w:rPr>
            </w:pPr>
            <w:r>
              <w:rPr>
                <w:rFonts w:ascii="宋体" w:hAnsi="宋体"/>
                <w:color w:val="auto"/>
                <w:szCs w:val="21"/>
                <w:highlight w:val="none"/>
              </w:rPr>
              <w:t>电    话：</w:t>
            </w:r>
          </w:p>
        </w:tc>
        <w:tc>
          <w:tcPr>
            <w:tcW w:w="4643" w:type="dxa"/>
            <w:tcBorders>
              <w:top w:val="nil"/>
              <w:left w:val="nil"/>
              <w:bottom w:val="nil"/>
              <w:right w:val="nil"/>
            </w:tcBorders>
            <w:noWrap/>
            <w:tcMar>
              <w:top w:w="0" w:type="dxa"/>
              <w:left w:w="0" w:type="dxa"/>
              <w:bottom w:w="0" w:type="dxa"/>
              <w:right w:w="0" w:type="dxa"/>
            </w:tcMar>
          </w:tcPr>
          <w:p w14:paraId="7115C445">
            <w:pPr>
              <w:spacing w:line="500" w:lineRule="exact"/>
              <w:ind w:firstLine="422"/>
              <w:rPr>
                <w:rFonts w:ascii="宋体" w:hAnsi="宋体"/>
                <w:color w:val="auto"/>
                <w:szCs w:val="21"/>
                <w:highlight w:val="none"/>
              </w:rPr>
            </w:pPr>
            <w:r>
              <w:rPr>
                <w:rFonts w:ascii="宋体" w:hAnsi="宋体"/>
                <w:color w:val="auto"/>
                <w:szCs w:val="21"/>
                <w:highlight w:val="none"/>
              </w:rPr>
              <w:t>电    话：</w:t>
            </w:r>
          </w:p>
        </w:tc>
      </w:tr>
      <w:tr w14:paraId="45A91B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4" w:hRule="atLeast"/>
        </w:trPr>
        <w:tc>
          <w:tcPr>
            <w:tcW w:w="4643" w:type="dxa"/>
            <w:tcBorders>
              <w:top w:val="nil"/>
              <w:left w:val="nil"/>
              <w:bottom w:val="nil"/>
              <w:right w:val="nil"/>
            </w:tcBorders>
            <w:noWrap/>
            <w:tcMar>
              <w:top w:w="0" w:type="dxa"/>
              <w:left w:w="0" w:type="dxa"/>
              <w:bottom w:w="0" w:type="dxa"/>
              <w:right w:w="0" w:type="dxa"/>
            </w:tcMar>
          </w:tcPr>
          <w:p w14:paraId="76A48121">
            <w:pPr>
              <w:spacing w:line="500" w:lineRule="exact"/>
              <w:ind w:firstLine="422"/>
              <w:rPr>
                <w:rFonts w:ascii="宋体" w:hAnsi="宋体"/>
                <w:color w:val="auto"/>
                <w:szCs w:val="21"/>
                <w:highlight w:val="none"/>
              </w:rPr>
            </w:pPr>
            <w:r>
              <w:rPr>
                <w:rFonts w:ascii="宋体" w:hAnsi="宋体"/>
                <w:color w:val="auto"/>
                <w:szCs w:val="21"/>
                <w:highlight w:val="none"/>
              </w:rPr>
              <w:t>开户银行：</w:t>
            </w:r>
          </w:p>
        </w:tc>
        <w:tc>
          <w:tcPr>
            <w:tcW w:w="4643" w:type="dxa"/>
            <w:tcBorders>
              <w:top w:val="nil"/>
              <w:left w:val="nil"/>
              <w:bottom w:val="nil"/>
              <w:right w:val="nil"/>
            </w:tcBorders>
            <w:noWrap/>
            <w:tcMar>
              <w:top w:w="0" w:type="dxa"/>
              <w:left w:w="0" w:type="dxa"/>
              <w:bottom w:w="0" w:type="dxa"/>
              <w:right w:w="0" w:type="dxa"/>
            </w:tcMar>
          </w:tcPr>
          <w:p w14:paraId="5D71055F">
            <w:pPr>
              <w:spacing w:line="500" w:lineRule="exact"/>
              <w:ind w:firstLine="422"/>
              <w:rPr>
                <w:rFonts w:ascii="宋体" w:hAnsi="宋体"/>
                <w:color w:val="auto"/>
                <w:szCs w:val="21"/>
                <w:highlight w:val="none"/>
              </w:rPr>
            </w:pPr>
            <w:r>
              <w:rPr>
                <w:rFonts w:ascii="宋体" w:hAnsi="宋体"/>
                <w:color w:val="auto"/>
                <w:szCs w:val="21"/>
                <w:highlight w:val="none"/>
              </w:rPr>
              <w:t>开户银行：</w:t>
            </w:r>
          </w:p>
        </w:tc>
      </w:tr>
      <w:tr w14:paraId="6624F3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0" w:type="dxa"/>
              <w:bottom w:w="0" w:type="dxa"/>
              <w:right w:w="0" w:type="dxa"/>
            </w:tcMar>
          </w:tcPr>
          <w:p w14:paraId="440C5D7A">
            <w:pPr>
              <w:spacing w:line="500" w:lineRule="exact"/>
              <w:ind w:firstLine="422"/>
              <w:rPr>
                <w:rFonts w:ascii="宋体" w:hAnsi="宋体"/>
                <w:color w:val="auto"/>
                <w:szCs w:val="21"/>
                <w:highlight w:val="none"/>
              </w:rPr>
            </w:pPr>
            <w:r>
              <w:rPr>
                <w:rFonts w:ascii="宋体" w:hAnsi="宋体"/>
                <w:color w:val="auto"/>
                <w:szCs w:val="21"/>
                <w:highlight w:val="none"/>
              </w:rPr>
              <w:t>账    号：</w:t>
            </w:r>
          </w:p>
        </w:tc>
        <w:tc>
          <w:tcPr>
            <w:tcW w:w="4643" w:type="dxa"/>
            <w:tcBorders>
              <w:top w:val="nil"/>
              <w:left w:val="nil"/>
              <w:bottom w:val="nil"/>
              <w:right w:val="nil"/>
            </w:tcBorders>
            <w:noWrap/>
            <w:tcMar>
              <w:top w:w="0" w:type="dxa"/>
              <w:left w:w="0" w:type="dxa"/>
              <w:bottom w:w="0" w:type="dxa"/>
              <w:right w:w="0" w:type="dxa"/>
            </w:tcMar>
          </w:tcPr>
          <w:p w14:paraId="716DEB92">
            <w:pPr>
              <w:spacing w:line="500" w:lineRule="exact"/>
              <w:ind w:firstLine="422"/>
              <w:rPr>
                <w:rFonts w:ascii="宋体" w:hAnsi="宋体"/>
                <w:color w:val="auto"/>
                <w:szCs w:val="21"/>
                <w:highlight w:val="none"/>
              </w:rPr>
            </w:pPr>
            <w:r>
              <w:rPr>
                <w:rFonts w:ascii="宋体" w:hAnsi="宋体"/>
                <w:color w:val="auto"/>
                <w:szCs w:val="21"/>
                <w:highlight w:val="none"/>
              </w:rPr>
              <w:t>账    号：</w:t>
            </w:r>
          </w:p>
          <w:p w14:paraId="183CAAA8">
            <w:pPr>
              <w:spacing w:line="500" w:lineRule="exact"/>
              <w:ind w:firstLine="422"/>
              <w:rPr>
                <w:rFonts w:ascii="宋体" w:hAnsi="宋体"/>
                <w:color w:val="auto"/>
                <w:szCs w:val="21"/>
                <w:highlight w:val="none"/>
              </w:rPr>
            </w:pPr>
            <w:r>
              <w:rPr>
                <w:rFonts w:ascii="宋体" w:hAnsi="宋体"/>
                <w:color w:val="auto"/>
                <w:szCs w:val="21"/>
                <w:highlight w:val="none"/>
              </w:rPr>
              <w:t> </w:t>
            </w:r>
          </w:p>
        </w:tc>
      </w:tr>
    </w:tbl>
    <w:p w14:paraId="1C44819E">
      <w:pPr>
        <w:spacing w:line="360" w:lineRule="auto"/>
        <w:ind w:firstLine="482" w:firstLineChars="200"/>
        <w:rPr>
          <w:rFonts w:hint="eastAsia" w:ascii="宋体" w:hAnsi="宋体"/>
          <w:b/>
          <w:color w:val="auto"/>
          <w:sz w:val="24"/>
          <w:highlight w:val="none"/>
        </w:rPr>
      </w:pPr>
      <w:r>
        <w:rPr>
          <w:rFonts w:hint="eastAsia" w:ascii="宋体" w:hAnsi="宋体" w:cs="宋体-18030"/>
          <w:b/>
          <w:color w:val="auto"/>
          <w:sz w:val="24"/>
          <w:highlight w:val="none"/>
        </w:rPr>
        <w:t>注：</w:t>
      </w:r>
      <w:r>
        <w:rPr>
          <w:rFonts w:hint="eastAsia" w:ascii="宋体" w:hAnsi="宋体"/>
          <w:b/>
          <w:color w:val="auto"/>
          <w:sz w:val="24"/>
          <w:highlight w:val="none"/>
        </w:rPr>
        <w:t>该合同格式仅为主要条款，</w:t>
      </w:r>
      <w:r>
        <w:rPr>
          <w:rFonts w:hint="eastAsia" w:ascii="宋体" w:hAnsi="宋体" w:cs="宋体-18030"/>
          <w:b/>
          <w:color w:val="auto"/>
          <w:sz w:val="24"/>
          <w:highlight w:val="none"/>
        </w:rPr>
        <w:t>详细格式可参照相关服务合同要求，</w:t>
      </w:r>
      <w:r>
        <w:rPr>
          <w:rFonts w:hint="eastAsia" w:ascii="宋体" w:hAnsi="宋体"/>
          <w:b/>
          <w:color w:val="auto"/>
          <w:sz w:val="24"/>
          <w:highlight w:val="none"/>
        </w:rPr>
        <w:t>以最终双方签订合同条款为准。</w:t>
      </w:r>
    </w:p>
    <w:p w14:paraId="4C4A10B6">
      <w:pPr>
        <w:widowControl/>
        <w:shd w:val="clear" w:color="auto" w:fill="FFFFFF"/>
        <w:spacing w:line="360" w:lineRule="auto"/>
        <w:rPr>
          <w:rFonts w:hint="eastAsia" w:asciiTheme="majorEastAsia" w:hAnsiTheme="majorEastAsia" w:eastAsiaTheme="majorEastAsia" w:cstheme="majorEastAsia"/>
          <w:b/>
          <w:bCs/>
          <w:color w:val="auto"/>
          <w:highlight w:val="none"/>
        </w:rPr>
      </w:pPr>
    </w:p>
    <w:p w14:paraId="759BE2AE">
      <w:pPr>
        <w:pBdr>
          <w:top w:val="none" w:color="000000" w:sz="0" w:space="0"/>
          <w:left w:val="none" w:color="000000" w:sz="0" w:space="0"/>
          <w:bottom w:val="none" w:color="000000" w:sz="0" w:space="0"/>
          <w:right w:val="none" w:color="000000" w:sz="0" w:space="0"/>
        </w:pBdr>
        <w:spacing w:before="240" w:after="240" w:line="85" w:lineRule="atLeast"/>
        <w:ind w:firstLine="422"/>
        <w:jc w:val="center"/>
        <w:rPr>
          <w:color w:val="auto"/>
          <w:highlight w:val="none"/>
        </w:rPr>
      </w:pPr>
      <w:r>
        <w:rPr>
          <w:color w:val="auto"/>
          <w:highlight w:val="none"/>
        </w:rPr>
        <w:br w:type="page" w:clear="all"/>
      </w:r>
    </w:p>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14:paraId="6174D5CC">
      <w:pPr>
        <w:numPr>
          <w:ilvl w:val="0"/>
          <w:numId w:val="6"/>
        </w:numPr>
        <w:jc w:val="center"/>
        <w:outlineLvl w:val="0"/>
        <w:rPr>
          <w:rFonts w:hint="eastAsia" w:asciiTheme="majorEastAsia" w:hAnsiTheme="majorEastAsia" w:eastAsiaTheme="majorEastAsia" w:cstheme="majorEastAsia"/>
          <w:color w:val="auto"/>
          <w:sz w:val="32"/>
          <w:szCs w:val="32"/>
          <w:highlight w:val="none"/>
        </w:rPr>
      </w:pPr>
      <w:bookmarkStart w:id="307" w:name="_Toc25333"/>
      <w:r>
        <w:rPr>
          <w:rFonts w:hint="eastAsia" w:asciiTheme="majorEastAsia" w:hAnsiTheme="majorEastAsia" w:eastAsiaTheme="majorEastAsia" w:cstheme="majorEastAsia"/>
          <w:color w:val="auto"/>
          <w:sz w:val="32"/>
          <w:szCs w:val="32"/>
          <w:highlight w:val="none"/>
        </w:rPr>
        <w:t>采购需求</w:t>
      </w:r>
      <w:bookmarkEnd w:id="307"/>
    </w:p>
    <w:p w14:paraId="0181F7CB">
      <w:pPr>
        <w:tabs>
          <w:tab w:val="left" w:pos="5250"/>
        </w:tabs>
        <w:spacing w:line="440" w:lineRule="exact"/>
        <w:ind w:firstLine="31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en-US" w:eastAsia="zh-CN"/>
        </w:rPr>
        <w:t>一</w:t>
      </w:r>
      <w:r>
        <w:rPr>
          <w:rFonts w:hint="eastAsia" w:ascii="宋体" w:hAnsi="宋体" w:cs="宋体"/>
          <w:b/>
          <w:bCs/>
          <w:color w:val="auto"/>
          <w:szCs w:val="21"/>
          <w:highlight w:val="none"/>
          <w:lang w:val="zh-CN"/>
        </w:rPr>
        <w:t>、采购要求：</w:t>
      </w:r>
    </w:p>
    <w:p w14:paraId="454BF489">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(一)采购需求</w:t>
      </w:r>
    </w:p>
    <w:p w14:paraId="0F762C92">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泰兴市高标准农田调查摸底上图入库面积总量约为</w:t>
      </w:r>
      <w:r>
        <w:rPr>
          <w:rFonts w:hint="eastAsia" w:ascii="宋体" w:hAnsi="宋体" w:cs="宋体"/>
          <w:color w:val="auto"/>
          <w:szCs w:val="21"/>
          <w:highlight w:val="none"/>
          <w:lang w:val="en-US" w:eastAsia="zh-CN"/>
        </w:rPr>
        <w:t>88.78</w:t>
      </w:r>
      <w:r>
        <w:rPr>
          <w:rFonts w:hint="eastAsia" w:ascii="宋体" w:hAnsi="宋体" w:cs="宋体"/>
          <w:color w:val="auto"/>
          <w:szCs w:val="21"/>
          <w:highlight w:val="none"/>
        </w:rPr>
        <w:t>万亩，根据农业农村厅印发的江苏省高标准农田调查摸底上图入库工作指南，现在泰兴市对高标准农田进行调查摸底上图入库工作，包括对位置面积复查与校核比对、数据采集与调查、成果汇交等，以及对耕地内未建高标准农田区域地块进行宜建性评估。</w:t>
      </w:r>
    </w:p>
    <w:p w14:paraId="311ED5E1">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(二)</w:t>
      </w:r>
      <w:r>
        <w:rPr>
          <w:rFonts w:hint="eastAsia" w:ascii="宋体" w:hAnsi="宋体"/>
          <w:b/>
          <w:color w:val="auto"/>
          <w:highlight w:val="none"/>
        </w:rPr>
        <w:t xml:space="preserve"> </w:t>
      </w:r>
      <w:r>
        <w:rPr>
          <w:rFonts w:hint="eastAsia" w:ascii="宋体" w:hAnsi="宋体" w:cs="宋体"/>
          <w:b/>
          <w:color w:val="auto"/>
          <w:szCs w:val="21"/>
          <w:highlight w:val="none"/>
        </w:rPr>
        <w:t>服务内容</w:t>
      </w:r>
    </w:p>
    <w:p w14:paraId="7731AA08">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1、工作范围</w:t>
      </w:r>
    </w:p>
    <w:p w14:paraId="5BFD0C02">
      <w:pPr>
        <w:spacing w:line="440" w:lineRule="exact"/>
        <w:ind w:firstLine="420"/>
        <w:rPr>
          <w:rFonts w:hint="eastAsia" w:ascii="宋体" w:hAnsi="宋体" w:cs="宋体"/>
          <w:color w:val="auto"/>
          <w:szCs w:val="21"/>
          <w:highlight w:val="none"/>
        </w:rPr>
      </w:pPr>
      <w:r>
        <w:rPr>
          <w:rFonts w:hint="eastAsia" w:ascii="宋体" w:hAnsi="宋体" w:eastAsia="宋体" w:cs="宋体"/>
          <w:color w:val="auto"/>
          <w:sz w:val="24"/>
          <w:szCs w:val="28"/>
          <w:highlight w:val="none"/>
        </w:rPr>
        <w:t>本项目为</w:t>
      </w:r>
      <w:r>
        <w:rPr>
          <w:rFonts w:hint="eastAsia" w:ascii="宋体" w:hAnsi="宋体" w:eastAsia="宋体" w:cs="宋体"/>
          <w:color w:val="auto"/>
          <w:sz w:val="24"/>
          <w:szCs w:val="28"/>
          <w:highlight w:val="none"/>
          <w:lang w:val="en-US" w:eastAsia="zh-CN"/>
        </w:rPr>
        <w:t>摸底调查泰兴市2011年以来已建成并完成上图入库的高标准农田项目，工作内容包括：清查评估入库的2011-2018年各级各有关部门建设管理的高标准农田项目，2019-2023年农业农村部门统一建设管理并纳入全国农田建设综合监测监管平台的高标准农田项目；以及耕地内未建高标准农田区域地块。</w:t>
      </w:r>
    </w:p>
    <w:p w14:paraId="395FD6CA">
      <w:pPr>
        <w:pStyle w:val="25"/>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东片区：</w:t>
      </w:r>
    </w:p>
    <w:tbl>
      <w:tblPr>
        <w:tblStyle w:val="26"/>
        <w:tblW w:w="49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740"/>
        <w:gridCol w:w="2136"/>
      </w:tblGrid>
      <w:tr w14:paraId="0ED58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210D">
            <w:pP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序号</w:t>
            </w:r>
          </w:p>
        </w:tc>
        <w:tc>
          <w:tcPr>
            <w:tcW w:w="1740" w:type="dxa"/>
            <w:tcBorders>
              <w:top w:val="single" w:color="000000" w:sz="4" w:space="0"/>
              <w:left w:val="single" w:color="000000" w:sz="4" w:space="0"/>
              <w:bottom w:val="nil"/>
              <w:right w:val="single" w:color="000000" w:sz="4" w:space="0"/>
            </w:tcBorders>
            <w:shd w:val="clear" w:color="auto" w:fill="auto"/>
            <w:noWrap/>
            <w:vAlign w:val="center"/>
          </w:tcPr>
          <w:p w14:paraId="20A04FF3">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行政区</w:t>
            </w:r>
          </w:p>
        </w:tc>
        <w:tc>
          <w:tcPr>
            <w:tcW w:w="2136" w:type="dxa"/>
            <w:tcBorders>
              <w:top w:val="single" w:color="000000" w:sz="4" w:space="0"/>
              <w:left w:val="single" w:color="000000" w:sz="4" w:space="0"/>
              <w:bottom w:val="nil"/>
              <w:right w:val="single" w:color="000000" w:sz="4" w:space="0"/>
            </w:tcBorders>
            <w:shd w:val="clear" w:color="auto" w:fill="auto"/>
            <w:noWrap/>
            <w:vAlign w:val="center"/>
          </w:tcPr>
          <w:p w14:paraId="5D3FDE2A">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耕地（亩）</w:t>
            </w:r>
          </w:p>
        </w:tc>
      </w:tr>
      <w:tr w14:paraId="2D3B8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123A7D3">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1</w:t>
            </w:r>
          </w:p>
        </w:tc>
        <w:tc>
          <w:tcPr>
            <w:tcW w:w="174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3DB7E836">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分界镇</w:t>
            </w:r>
          </w:p>
        </w:tc>
        <w:tc>
          <w:tcPr>
            <w:tcW w:w="2136" w:type="dxa"/>
            <w:tcBorders>
              <w:top w:val="single" w:color="000000" w:sz="8" w:space="0"/>
              <w:left w:val="nil"/>
              <w:bottom w:val="single" w:color="000000" w:sz="4" w:space="0"/>
              <w:right w:val="single" w:color="000000" w:sz="4" w:space="0"/>
            </w:tcBorders>
            <w:shd w:val="clear" w:color="auto" w:fill="auto"/>
            <w:noWrap/>
            <w:vAlign w:val="center"/>
          </w:tcPr>
          <w:p w14:paraId="524E8304">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67352.53</w:t>
            </w:r>
          </w:p>
        </w:tc>
      </w:tr>
      <w:tr w14:paraId="31137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51DCCFA">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2</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F188F0">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古溪镇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6F9FC838">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71588.01</w:t>
            </w:r>
          </w:p>
        </w:tc>
      </w:tr>
      <w:tr w14:paraId="48A2F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6FB9999">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3</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CAEA9B9">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广陵镇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025AA7A3">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50006.86</w:t>
            </w:r>
          </w:p>
        </w:tc>
      </w:tr>
      <w:tr w14:paraId="30231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7F61EF6">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4</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610AEB">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黄桥镇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59847D1F">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143628.14</w:t>
            </w:r>
          </w:p>
        </w:tc>
      </w:tr>
      <w:tr w14:paraId="149AB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777EC55">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5</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93A7AE">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珊瑚镇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1D322103">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44333.08</w:t>
            </w:r>
          </w:p>
        </w:tc>
      </w:tr>
      <w:tr w14:paraId="07A2A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E5415FC">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6</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E1C8A76">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新街镇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64975F20">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60953.22</w:t>
            </w:r>
          </w:p>
        </w:tc>
      </w:tr>
      <w:tr w14:paraId="6146C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83A0664">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7</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A23F9D">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元竹镇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4ACEF598">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42212.97</w:t>
            </w:r>
          </w:p>
        </w:tc>
      </w:tr>
    </w:tbl>
    <w:p w14:paraId="15C628A6">
      <w:pPr>
        <w:spacing w:line="440" w:lineRule="exact"/>
        <w:rPr>
          <w:rFonts w:hint="eastAsia" w:ascii="宋体" w:hAnsi="宋体" w:cs="宋体"/>
          <w:color w:val="auto"/>
          <w:szCs w:val="21"/>
          <w:highlight w:val="none"/>
          <w:lang w:val="en-US" w:eastAsia="zh-CN"/>
        </w:rPr>
      </w:pPr>
    </w:p>
    <w:p w14:paraId="0338A3F2">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西片区：</w:t>
      </w:r>
    </w:p>
    <w:tbl>
      <w:tblPr>
        <w:tblStyle w:val="26"/>
        <w:tblW w:w="49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740"/>
        <w:gridCol w:w="2136"/>
      </w:tblGrid>
      <w:tr w14:paraId="372D7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7584">
            <w:pP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序号</w:t>
            </w:r>
          </w:p>
        </w:tc>
        <w:tc>
          <w:tcPr>
            <w:tcW w:w="1740" w:type="dxa"/>
            <w:tcBorders>
              <w:top w:val="single" w:color="000000" w:sz="4" w:space="0"/>
              <w:left w:val="single" w:color="000000" w:sz="4" w:space="0"/>
              <w:bottom w:val="nil"/>
              <w:right w:val="single" w:color="000000" w:sz="4" w:space="0"/>
            </w:tcBorders>
            <w:shd w:val="clear" w:color="auto" w:fill="auto"/>
            <w:noWrap/>
            <w:vAlign w:val="center"/>
          </w:tcPr>
          <w:p w14:paraId="143F633F">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行政区</w:t>
            </w:r>
          </w:p>
        </w:tc>
        <w:tc>
          <w:tcPr>
            <w:tcW w:w="2136" w:type="dxa"/>
            <w:tcBorders>
              <w:top w:val="single" w:color="000000" w:sz="4" w:space="0"/>
              <w:left w:val="single" w:color="000000" w:sz="4" w:space="0"/>
              <w:bottom w:val="nil"/>
              <w:right w:val="single" w:color="000000" w:sz="4" w:space="0"/>
            </w:tcBorders>
            <w:shd w:val="clear" w:color="auto" w:fill="auto"/>
            <w:noWrap/>
            <w:vAlign w:val="center"/>
          </w:tcPr>
          <w:p w14:paraId="17C5C076">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耕地（亩）</w:t>
            </w:r>
          </w:p>
        </w:tc>
      </w:tr>
      <w:tr w14:paraId="5ED37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181A530">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1</w:t>
            </w:r>
          </w:p>
        </w:tc>
        <w:tc>
          <w:tcPr>
            <w:tcW w:w="174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771CA08">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滨江镇</w:t>
            </w:r>
          </w:p>
        </w:tc>
        <w:tc>
          <w:tcPr>
            <w:tcW w:w="2136" w:type="dxa"/>
            <w:tcBorders>
              <w:top w:val="single" w:color="000000" w:sz="8" w:space="0"/>
              <w:left w:val="nil"/>
              <w:bottom w:val="single" w:color="000000" w:sz="4" w:space="0"/>
              <w:right w:val="single" w:color="000000" w:sz="4" w:space="0"/>
            </w:tcBorders>
            <w:shd w:val="clear" w:color="auto" w:fill="auto"/>
            <w:noWrap/>
            <w:vAlign w:val="center"/>
          </w:tcPr>
          <w:p w14:paraId="0B2B6BDA">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61908.33</w:t>
            </w:r>
          </w:p>
        </w:tc>
      </w:tr>
      <w:tr w14:paraId="1D734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7E0F1A5">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2</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DC5ED6">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根思乡</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00570A7C">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52923.91</w:t>
            </w:r>
          </w:p>
        </w:tc>
      </w:tr>
      <w:tr w14:paraId="1BA6F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8C281DC">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3</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D6ED853">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河失镇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5AC07A9E">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54871.17</w:t>
            </w:r>
          </w:p>
        </w:tc>
      </w:tr>
      <w:tr w14:paraId="25166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15428177">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4</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242615">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虹桥镇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47740C60">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68044.63</w:t>
            </w:r>
          </w:p>
        </w:tc>
      </w:tr>
      <w:tr w14:paraId="4AD65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29538E62">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5</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F4B3042">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济川街道</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216CD440">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20507.36</w:t>
            </w:r>
          </w:p>
        </w:tc>
      </w:tr>
      <w:tr w14:paraId="703EC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37717D52">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6</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3028F2">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宣堡镇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4B106009">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14430.08</w:t>
            </w:r>
          </w:p>
        </w:tc>
      </w:tr>
      <w:tr w14:paraId="5E40E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7FF46EE1">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7</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A831E6">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延令街道</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0CCD2B1C">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15969.67</w:t>
            </w:r>
          </w:p>
        </w:tc>
      </w:tr>
      <w:tr w14:paraId="432B8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44BEA608">
            <w:pPr>
              <w:spacing w:line="440" w:lineRule="exact"/>
              <w:ind w:firstLine="420"/>
              <w:rPr>
                <w:rFonts w:hint="default" w:ascii="宋体" w:hAnsi="宋体" w:cs="宋体"/>
                <w:color w:val="auto"/>
                <w:szCs w:val="21"/>
                <w:highlight w:val="none"/>
              </w:rPr>
            </w:pPr>
            <w:r>
              <w:rPr>
                <w:rFonts w:hint="default" w:ascii="宋体" w:hAnsi="宋体" w:cs="宋体"/>
                <w:color w:val="auto"/>
                <w:szCs w:val="21"/>
                <w:highlight w:val="none"/>
                <w:lang w:val="en-US" w:eastAsia="zh-CN"/>
              </w:rPr>
              <w:t>8</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11C763">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姚王街道</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561F0EC6">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33075.96</w:t>
            </w:r>
          </w:p>
        </w:tc>
      </w:tr>
      <w:tr w14:paraId="59F3C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6A532FCC">
            <w:pPr>
              <w:spacing w:line="440" w:lineRule="exact"/>
              <w:ind w:firstLine="42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1BDC0F">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曲霞镇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0655FCEC">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31973.73</w:t>
            </w:r>
          </w:p>
        </w:tc>
      </w:tr>
      <w:tr w14:paraId="27566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0ADD9A7A">
            <w:pPr>
              <w:spacing w:line="440" w:lineRule="exact"/>
              <w:ind w:firstLine="42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174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F5FFBD2">
            <w:pP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张桥镇</w:t>
            </w:r>
          </w:p>
        </w:tc>
        <w:tc>
          <w:tcPr>
            <w:tcW w:w="2136" w:type="dxa"/>
            <w:tcBorders>
              <w:top w:val="single" w:color="000000" w:sz="4" w:space="0"/>
              <w:left w:val="nil"/>
              <w:bottom w:val="single" w:color="000000" w:sz="4" w:space="0"/>
              <w:right w:val="single" w:color="000000" w:sz="4" w:space="0"/>
            </w:tcBorders>
            <w:shd w:val="clear" w:color="auto" w:fill="auto"/>
            <w:noWrap/>
            <w:vAlign w:val="center"/>
          </w:tcPr>
          <w:p w14:paraId="5A3C45CC">
            <w:pPr>
              <w:spacing w:line="440" w:lineRule="exact"/>
              <w:ind w:firstLine="42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53948.69</w:t>
            </w:r>
          </w:p>
        </w:tc>
      </w:tr>
    </w:tbl>
    <w:p w14:paraId="6F28839C">
      <w:pPr>
        <w:pStyle w:val="5"/>
        <w:rPr>
          <w:rFonts w:hint="default" w:ascii="宋体" w:hAnsi="宋体" w:eastAsia="宋体" w:cs="宋体"/>
          <w:color w:val="auto"/>
          <w:sz w:val="24"/>
          <w:szCs w:val="21"/>
          <w:highlight w:val="none"/>
          <w:lang w:val="en-US" w:eastAsia="zh-CN" w:bidi="ar-SA"/>
        </w:rPr>
      </w:pPr>
    </w:p>
    <w:p w14:paraId="7340CC61">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2、工作目标</w:t>
      </w:r>
    </w:p>
    <w:p w14:paraId="255FB953">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对泰兴市已建高标准农田开展全面调查摸底工作，查清泰兴市高标准农田数量、质量、分布、利用状况和未建区域宜建性，推动相关信息“上图入库”，实现“底数清、位置准、情况明”的目标。为加快推进农田数字化建设，实现“以图管田”、分类管理、精准施策，提供科学准确的数据信息支撑，对夯实泰兴市高标准农田高水平建设管理基础，高质量推进耕地建设与利用，保障粮食安全具有重要意义。</w:t>
      </w:r>
    </w:p>
    <w:p w14:paraId="10902886">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（1）摸清高标准农田项目及工程底数</w:t>
      </w:r>
    </w:p>
    <w:p w14:paraId="2A491FBC">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p>
    <w:p w14:paraId="05AF3D8C">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（2）掌握高标准农田建设实际利用情况和建设潜力</w:t>
      </w:r>
    </w:p>
    <w:p w14:paraId="0BF626D0">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通过对高标准农田粮食产能、耕地质量、耕地流转等情况进行调查和数据采集，充分掌握高标准农田的实际利用情况，对未建区域宜建性开展评估，为进一步挖掘潜力、发挥效益提供参考。</w:t>
      </w:r>
    </w:p>
    <w:p w14:paraId="5B894165">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（3）夯实高标准农田建设数据管理基础</w:t>
      </w:r>
    </w:p>
    <w:p w14:paraId="2CC2C3EA">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通过调查摸底工作形成的数据成果，能更好地促进高标准农田管理信息化，与相关农业数据叠加融合，形成多维立体的耕地信息图，为农业农村部门实现“以图管田”奠定基础。</w:t>
      </w:r>
    </w:p>
    <w:p w14:paraId="2A700E2A">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3、工作内容</w:t>
      </w:r>
    </w:p>
    <w:p w14:paraId="156AA574">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（1）项目工作准备</w:t>
      </w:r>
    </w:p>
    <w:p w14:paraId="3C19558B">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统筹落实调查摸底工作相关的人财物等资源保障安排，包括开展方案编制、硬件保障、数据清查、人员培训等。</w:t>
      </w:r>
    </w:p>
    <w:p w14:paraId="2B558952">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①方案编制</w:t>
      </w:r>
    </w:p>
    <w:p w14:paraId="4ED9C377">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根据实际需求编制本级调查摸底工作的预算方案及工作（含技术）方案，符合自身实际、切实可行、量化清晰的调查摸底工作方案，明确调查摸底工作的目标、内容、步骤、技术路线、进度安排、责任分工、工作措施、工作保障等。</w:t>
      </w:r>
    </w:p>
    <w:p w14:paraId="7DF28523">
      <w:pPr>
        <w:ind w:firstLine="482"/>
        <w:rPr>
          <w:rFonts w:asciiTheme="minorEastAsia" w:hAnsiTheme="minorEastAsia" w:eastAsiaTheme="minorEastAsia"/>
          <w:color w:val="auto"/>
          <w:sz w:val="24"/>
          <w:szCs w:val="24"/>
          <w:highlight w:val="none"/>
          <w:lang w:eastAsia="zh-CN"/>
        </w:rPr>
      </w:pPr>
      <w:r>
        <w:rPr>
          <w:rFonts w:hint="eastAsia" w:ascii="宋体" w:hAnsi="宋体" w:cs="宋体"/>
          <w:b/>
          <w:color w:val="auto"/>
          <w:szCs w:val="21"/>
          <w:highlight w:val="none"/>
        </w:rPr>
        <w:t>②</w:t>
      </w:r>
      <w:r>
        <w:rPr>
          <w:rFonts w:hint="eastAsia" w:asciiTheme="minorEastAsia" w:hAnsiTheme="minorEastAsia" w:eastAsiaTheme="minorEastAsia"/>
          <w:b/>
          <w:bCs/>
          <w:color w:val="auto"/>
          <w:sz w:val="24"/>
          <w:szCs w:val="24"/>
          <w:highlight w:val="none"/>
          <w:lang w:eastAsia="zh-CN"/>
        </w:rPr>
        <w:t>设备购（配）置</w:t>
      </w:r>
    </w:p>
    <w:p w14:paraId="435C4F36">
      <w:pPr>
        <w:ind w:firstLine="480"/>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按照要求配备满足调查摸底工具（WEB）系统单机运行的PC终端1台（</w:t>
      </w:r>
      <w:r>
        <w:rPr>
          <w:rFonts w:hint="eastAsia" w:cs="宋体" w:asciiTheme="minorEastAsia" w:hAnsiTheme="minorEastAsia" w:eastAsiaTheme="minorEastAsia"/>
          <w:color w:val="auto"/>
          <w:sz w:val="24"/>
          <w:szCs w:val="24"/>
          <w:highlight w:val="none"/>
          <w:lang w:val="en-US" w:eastAsia="zh-CN"/>
        </w:rPr>
        <w:t>一标段</w:t>
      </w:r>
      <w:r>
        <w:rPr>
          <w:rFonts w:hint="eastAsia" w:cs="宋体" w:asciiTheme="minorEastAsia" w:hAnsiTheme="minorEastAsia" w:eastAsiaTheme="minorEastAsia"/>
          <w:color w:val="auto"/>
          <w:sz w:val="24"/>
          <w:szCs w:val="24"/>
          <w:highlight w:val="none"/>
          <w:lang w:eastAsia="zh-CN"/>
        </w:rPr>
        <w:t>），可联通互联网的PC终端1台（</w:t>
      </w:r>
      <w:r>
        <w:rPr>
          <w:rFonts w:hint="eastAsia" w:cs="宋体" w:asciiTheme="minorEastAsia" w:hAnsiTheme="minorEastAsia" w:eastAsiaTheme="minorEastAsia"/>
          <w:color w:val="auto"/>
          <w:sz w:val="24"/>
          <w:szCs w:val="24"/>
          <w:highlight w:val="none"/>
          <w:lang w:val="en-US" w:eastAsia="zh-CN"/>
        </w:rPr>
        <w:t>二标段</w:t>
      </w:r>
      <w:r>
        <w:rPr>
          <w:rFonts w:hint="eastAsia" w:cs="宋体" w:asciiTheme="minorEastAsia" w:hAnsiTheme="minorEastAsia" w:eastAsiaTheme="minorEastAsia"/>
          <w:color w:val="auto"/>
          <w:sz w:val="24"/>
          <w:szCs w:val="24"/>
          <w:highlight w:val="none"/>
          <w:lang w:eastAsia="zh-CN"/>
        </w:rPr>
        <w:t>），硬件配置要求如下：</w:t>
      </w:r>
    </w:p>
    <w:tbl>
      <w:tblPr>
        <w:tblStyle w:val="26"/>
        <w:tblW w:w="87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24"/>
        <w:gridCol w:w="990"/>
        <w:gridCol w:w="1083"/>
        <w:gridCol w:w="851"/>
        <w:gridCol w:w="1701"/>
        <w:gridCol w:w="3260"/>
      </w:tblGrid>
      <w:tr w14:paraId="7607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1" w:hRule="atLeast"/>
          <w:tblHeader/>
        </w:trPr>
        <w:tc>
          <w:tcPr>
            <w:tcW w:w="824" w:type="dxa"/>
            <w:shd w:val="clear" w:color="auto" w:fill="auto"/>
            <w:tcMar>
              <w:top w:w="0" w:type="dxa"/>
              <w:left w:w="62" w:type="dxa"/>
              <w:bottom w:w="0" w:type="dxa"/>
              <w:right w:w="62" w:type="dxa"/>
            </w:tcMar>
            <w:vAlign w:val="center"/>
          </w:tcPr>
          <w:p w14:paraId="4AFF7461">
            <w:pPr>
              <w:spacing w:line="240" w:lineRule="auto"/>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CPU</w:t>
            </w:r>
          </w:p>
        </w:tc>
        <w:tc>
          <w:tcPr>
            <w:tcW w:w="990" w:type="dxa"/>
            <w:shd w:val="clear" w:color="auto" w:fill="auto"/>
            <w:tcMar>
              <w:top w:w="0" w:type="dxa"/>
              <w:left w:w="62" w:type="dxa"/>
              <w:bottom w:w="0" w:type="dxa"/>
              <w:right w:w="62" w:type="dxa"/>
            </w:tcMar>
            <w:vAlign w:val="center"/>
          </w:tcPr>
          <w:p w14:paraId="5CB630CE">
            <w:pPr>
              <w:spacing w:line="240" w:lineRule="auto"/>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内存</w:t>
            </w:r>
          </w:p>
        </w:tc>
        <w:tc>
          <w:tcPr>
            <w:tcW w:w="1083" w:type="dxa"/>
            <w:shd w:val="clear" w:color="auto" w:fill="auto"/>
            <w:tcMar>
              <w:top w:w="0" w:type="dxa"/>
              <w:left w:w="62" w:type="dxa"/>
              <w:bottom w:w="0" w:type="dxa"/>
              <w:right w:w="62" w:type="dxa"/>
            </w:tcMar>
            <w:vAlign w:val="center"/>
          </w:tcPr>
          <w:p w14:paraId="147B5D39">
            <w:pPr>
              <w:spacing w:line="240" w:lineRule="auto"/>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磁盘</w:t>
            </w:r>
          </w:p>
        </w:tc>
        <w:tc>
          <w:tcPr>
            <w:tcW w:w="851" w:type="dxa"/>
            <w:shd w:val="clear" w:color="auto" w:fill="auto"/>
            <w:tcMar>
              <w:top w:w="0" w:type="dxa"/>
              <w:left w:w="62" w:type="dxa"/>
              <w:bottom w:w="0" w:type="dxa"/>
              <w:right w:w="62" w:type="dxa"/>
            </w:tcMar>
            <w:vAlign w:val="center"/>
          </w:tcPr>
          <w:p w14:paraId="641E98BE">
            <w:pPr>
              <w:spacing w:line="240" w:lineRule="auto"/>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数量</w:t>
            </w:r>
          </w:p>
        </w:tc>
        <w:tc>
          <w:tcPr>
            <w:tcW w:w="1701" w:type="dxa"/>
            <w:shd w:val="clear" w:color="auto" w:fill="auto"/>
            <w:tcMar>
              <w:top w:w="0" w:type="dxa"/>
              <w:left w:w="62" w:type="dxa"/>
              <w:bottom w:w="0" w:type="dxa"/>
              <w:right w:w="62" w:type="dxa"/>
            </w:tcMar>
            <w:vAlign w:val="center"/>
          </w:tcPr>
          <w:p w14:paraId="77CC2DAF">
            <w:pPr>
              <w:spacing w:line="240" w:lineRule="auto"/>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网络联通要求</w:t>
            </w:r>
          </w:p>
        </w:tc>
        <w:tc>
          <w:tcPr>
            <w:tcW w:w="3260" w:type="dxa"/>
            <w:shd w:val="clear" w:color="auto" w:fill="auto"/>
            <w:tcMar>
              <w:top w:w="0" w:type="dxa"/>
              <w:left w:w="62" w:type="dxa"/>
              <w:bottom w:w="0" w:type="dxa"/>
              <w:right w:w="62" w:type="dxa"/>
            </w:tcMar>
            <w:vAlign w:val="center"/>
          </w:tcPr>
          <w:p w14:paraId="6D79BDF1">
            <w:pPr>
              <w:spacing w:line="240" w:lineRule="auto"/>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备注</w:t>
            </w:r>
          </w:p>
        </w:tc>
      </w:tr>
      <w:tr w14:paraId="1751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1" w:hRule="atLeast"/>
        </w:trPr>
        <w:tc>
          <w:tcPr>
            <w:tcW w:w="824" w:type="dxa"/>
            <w:shd w:val="clear" w:color="auto" w:fill="auto"/>
            <w:tcMar>
              <w:top w:w="0" w:type="dxa"/>
              <w:left w:w="62" w:type="dxa"/>
              <w:bottom w:w="0" w:type="dxa"/>
              <w:right w:w="62" w:type="dxa"/>
            </w:tcMar>
            <w:vAlign w:val="center"/>
          </w:tcPr>
          <w:p w14:paraId="7678A5C6">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16核</w:t>
            </w:r>
          </w:p>
        </w:tc>
        <w:tc>
          <w:tcPr>
            <w:tcW w:w="990" w:type="dxa"/>
            <w:shd w:val="clear" w:color="auto" w:fill="auto"/>
            <w:tcMar>
              <w:top w:w="0" w:type="dxa"/>
              <w:left w:w="62" w:type="dxa"/>
              <w:bottom w:w="0" w:type="dxa"/>
              <w:right w:w="62" w:type="dxa"/>
            </w:tcMar>
            <w:vAlign w:val="center"/>
          </w:tcPr>
          <w:p w14:paraId="697D67AF">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32GB</w:t>
            </w:r>
          </w:p>
        </w:tc>
        <w:tc>
          <w:tcPr>
            <w:tcW w:w="1083" w:type="dxa"/>
            <w:shd w:val="clear" w:color="auto" w:fill="auto"/>
            <w:tcMar>
              <w:top w:w="0" w:type="dxa"/>
              <w:left w:w="62" w:type="dxa"/>
              <w:bottom w:w="0" w:type="dxa"/>
              <w:right w:w="62" w:type="dxa"/>
            </w:tcMar>
            <w:vAlign w:val="center"/>
          </w:tcPr>
          <w:p w14:paraId="0C4E377C">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 TB</w:t>
            </w:r>
          </w:p>
        </w:tc>
        <w:tc>
          <w:tcPr>
            <w:tcW w:w="851" w:type="dxa"/>
            <w:shd w:val="clear" w:color="auto" w:fill="auto"/>
            <w:tcMar>
              <w:top w:w="0" w:type="dxa"/>
              <w:left w:w="62" w:type="dxa"/>
              <w:bottom w:w="0" w:type="dxa"/>
              <w:right w:w="62" w:type="dxa"/>
            </w:tcMar>
            <w:vAlign w:val="center"/>
          </w:tcPr>
          <w:p w14:paraId="13D75A29">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p>
        </w:tc>
        <w:tc>
          <w:tcPr>
            <w:tcW w:w="1701" w:type="dxa"/>
            <w:shd w:val="clear" w:color="auto" w:fill="auto"/>
            <w:tcMar>
              <w:top w:w="0" w:type="dxa"/>
              <w:left w:w="62" w:type="dxa"/>
              <w:bottom w:w="0" w:type="dxa"/>
              <w:right w:w="62" w:type="dxa"/>
            </w:tcMar>
            <w:vAlign w:val="center"/>
          </w:tcPr>
          <w:p w14:paraId="41F177DA">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物理隔离</w:t>
            </w:r>
          </w:p>
        </w:tc>
        <w:tc>
          <w:tcPr>
            <w:tcW w:w="3260" w:type="dxa"/>
            <w:shd w:val="clear" w:color="auto" w:fill="auto"/>
            <w:tcMar>
              <w:top w:w="0" w:type="dxa"/>
              <w:left w:w="62" w:type="dxa"/>
              <w:bottom w:w="0" w:type="dxa"/>
              <w:right w:w="62" w:type="dxa"/>
            </w:tcMar>
            <w:vAlign w:val="center"/>
          </w:tcPr>
          <w:p w14:paraId="5C4F2E57">
            <w:pPr>
              <w:spacing w:line="240" w:lineRule="auto"/>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安装部署单机版调查摸底工具（WEB）系统</w:t>
            </w:r>
          </w:p>
          <w:p w14:paraId="7BE844B4">
            <w:pPr>
              <w:spacing w:line="240" w:lineRule="auto"/>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外业调查成果自检、成果数据存储</w:t>
            </w:r>
          </w:p>
        </w:tc>
      </w:tr>
      <w:tr w14:paraId="2A66E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1" w:hRule="atLeast"/>
        </w:trPr>
        <w:tc>
          <w:tcPr>
            <w:tcW w:w="824" w:type="dxa"/>
            <w:shd w:val="clear" w:color="auto" w:fill="auto"/>
            <w:tcMar>
              <w:top w:w="0" w:type="dxa"/>
              <w:left w:w="62" w:type="dxa"/>
              <w:bottom w:w="0" w:type="dxa"/>
              <w:right w:w="62" w:type="dxa"/>
            </w:tcMar>
            <w:vAlign w:val="center"/>
          </w:tcPr>
          <w:p w14:paraId="09EAB817">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16核</w:t>
            </w:r>
          </w:p>
        </w:tc>
        <w:tc>
          <w:tcPr>
            <w:tcW w:w="990" w:type="dxa"/>
            <w:shd w:val="clear" w:color="auto" w:fill="auto"/>
            <w:tcMar>
              <w:top w:w="0" w:type="dxa"/>
              <w:left w:w="62" w:type="dxa"/>
              <w:bottom w:w="0" w:type="dxa"/>
              <w:right w:w="62" w:type="dxa"/>
            </w:tcMar>
            <w:vAlign w:val="center"/>
          </w:tcPr>
          <w:p w14:paraId="57E76B24">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32GB</w:t>
            </w:r>
          </w:p>
        </w:tc>
        <w:tc>
          <w:tcPr>
            <w:tcW w:w="1083" w:type="dxa"/>
            <w:shd w:val="clear" w:color="auto" w:fill="auto"/>
            <w:tcMar>
              <w:top w:w="0" w:type="dxa"/>
              <w:left w:w="62" w:type="dxa"/>
              <w:bottom w:w="0" w:type="dxa"/>
              <w:right w:w="62" w:type="dxa"/>
            </w:tcMar>
            <w:vAlign w:val="center"/>
          </w:tcPr>
          <w:p w14:paraId="520011A3">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 TB</w:t>
            </w:r>
          </w:p>
        </w:tc>
        <w:tc>
          <w:tcPr>
            <w:tcW w:w="851" w:type="dxa"/>
            <w:shd w:val="clear" w:color="auto" w:fill="auto"/>
            <w:tcMar>
              <w:top w:w="0" w:type="dxa"/>
              <w:left w:w="62" w:type="dxa"/>
              <w:bottom w:w="0" w:type="dxa"/>
              <w:right w:w="62" w:type="dxa"/>
            </w:tcMar>
            <w:vAlign w:val="center"/>
          </w:tcPr>
          <w:p w14:paraId="707BF196">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p>
        </w:tc>
        <w:tc>
          <w:tcPr>
            <w:tcW w:w="1701" w:type="dxa"/>
            <w:shd w:val="clear" w:color="auto" w:fill="auto"/>
            <w:tcMar>
              <w:top w:w="0" w:type="dxa"/>
              <w:left w:w="62" w:type="dxa"/>
              <w:bottom w:w="0" w:type="dxa"/>
              <w:right w:w="62" w:type="dxa"/>
            </w:tcMar>
            <w:vAlign w:val="center"/>
          </w:tcPr>
          <w:p w14:paraId="1BCFBBC5">
            <w:pPr>
              <w:spacing w:line="24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联通互联网</w:t>
            </w:r>
          </w:p>
        </w:tc>
        <w:tc>
          <w:tcPr>
            <w:tcW w:w="3260" w:type="dxa"/>
            <w:shd w:val="clear" w:color="auto" w:fill="auto"/>
            <w:tcMar>
              <w:top w:w="0" w:type="dxa"/>
              <w:left w:w="62" w:type="dxa"/>
              <w:bottom w:w="0" w:type="dxa"/>
              <w:right w:w="62" w:type="dxa"/>
            </w:tcMar>
            <w:vAlign w:val="center"/>
          </w:tcPr>
          <w:p w14:paraId="2823BB93">
            <w:pPr>
              <w:spacing w:line="240" w:lineRule="auto"/>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任务数据包下发、任务数据收集</w:t>
            </w:r>
          </w:p>
        </w:tc>
      </w:tr>
    </w:tbl>
    <w:p w14:paraId="29D6ECF2">
      <w:pPr>
        <w:spacing w:line="440" w:lineRule="exact"/>
        <w:ind w:firstLine="420"/>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③人员投入和相关培训</w:t>
      </w:r>
    </w:p>
    <w:p w14:paraId="57F81247">
      <w:pPr>
        <w:spacing w:line="440" w:lineRule="exact"/>
        <w:ind w:firstLine="420"/>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投标人应组建专门的技术服务保障团队，配备专业的技术人员，完成合同约定的各项技术服务内容。</w:t>
      </w:r>
    </w:p>
    <w:p w14:paraId="1A520A6D">
      <w:pPr>
        <w:spacing w:line="440" w:lineRule="exact"/>
        <w:ind w:firstLine="420"/>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投标文件中规定的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向采购人支付违约金，其他人员按照500元人民币/人/天的标准向采购人支付违约金。</w:t>
      </w:r>
    </w:p>
    <w:p w14:paraId="6403DD22">
      <w:pPr>
        <w:spacing w:line="440" w:lineRule="exact"/>
        <w:ind w:firstLine="420"/>
        <w:rPr>
          <w:rFonts w:hint="eastAsia" w:ascii="宋体" w:hAnsi="宋体" w:cs="宋体"/>
          <w:color w:val="auto"/>
          <w:szCs w:val="21"/>
          <w:highlight w:val="none"/>
        </w:rPr>
      </w:pPr>
      <w:r>
        <w:rPr>
          <w:rFonts w:hint="eastAsia" w:asciiTheme="minorEastAsia" w:hAnsiTheme="minorEastAsia" w:eastAsiaTheme="minorEastAsia"/>
          <w:color w:val="auto"/>
          <w:sz w:val="24"/>
          <w:szCs w:val="24"/>
          <w:highlight w:val="none"/>
          <w:lang w:eastAsia="zh-CN"/>
        </w:rPr>
        <w:t>当技术团队人员不能满足合同服务的进度计划或质量要求时，采购人有权要求投标人继续增派</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和</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或更换</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人员。投标人在接到通知</w:t>
      </w:r>
      <w:r>
        <w:rPr>
          <w:rFonts w:asciiTheme="minorEastAsia" w:hAnsiTheme="minorEastAsia" w:eastAsiaTheme="minorEastAsia"/>
          <w:color w:val="auto"/>
          <w:sz w:val="24"/>
          <w:szCs w:val="24"/>
          <w:highlight w:val="none"/>
          <w:lang w:eastAsia="zh-CN"/>
        </w:rPr>
        <w:t>7</w:t>
      </w:r>
      <w:r>
        <w:rPr>
          <w:rFonts w:hint="eastAsia" w:asciiTheme="minorEastAsia" w:hAnsiTheme="minorEastAsia" w:eastAsiaTheme="minorEastAsia"/>
          <w:color w:val="auto"/>
          <w:sz w:val="24"/>
          <w:szCs w:val="24"/>
          <w:highlight w:val="none"/>
          <w:lang w:eastAsia="zh-CN"/>
        </w:rPr>
        <w:t>天内，增派</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和</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或更换</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的人员应到岗，否则，投标人按照</w:t>
      </w:r>
      <w:r>
        <w:rPr>
          <w:rFonts w:asciiTheme="minorEastAsia" w:hAnsiTheme="minorEastAsia" w:eastAsiaTheme="minorEastAsia"/>
          <w:color w:val="auto"/>
          <w:sz w:val="24"/>
          <w:szCs w:val="24"/>
          <w:highlight w:val="none"/>
          <w:lang w:eastAsia="zh-CN"/>
        </w:rPr>
        <w:t>500</w:t>
      </w:r>
      <w:r>
        <w:rPr>
          <w:rFonts w:hint="eastAsia" w:asciiTheme="minorEastAsia" w:hAnsiTheme="minorEastAsia" w:eastAsiaTheme="minorEastAsia"/>
          <w:color w:val="auto"/>
          <w:sz w:val="24"/>
          <w:szCs w:val="24"/>
          <w:highlight w:val="none"/>
          <w:lang w:eastAsia="zh-CN"/>
        </w:rPr>
        <w:t>元人民币</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人</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天的标准向采购人支付违约金，直至按照采购人的要求增派</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和</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或更换</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的人员到岗为止。</w:t>
      </w:r>
    </w:p>
    <w:p w14:paraId="1349DFB3">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④数据清查</w:t>
      </w:r>
    </w:p>
    <w:p w14:paraId="6B0D327F">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对现有数据资料进行清查，摸清本级调查摸底工作量，形成清查底册。</w:t>
      </w:r>
    </w:p>
    <w:p w14:paraId="2A9E996C">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（2）位置面积复查与校核比对</w:t>
      </w:r>
    </w:p>
    <w:p w14:paraId="5A6306D1">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①项目范围修订和划定</w:t>
      </w:r>
    </w:p>
    <w:p w14:paraId="1720ECF8">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p>
    <w:p w14:paraId="424E8736">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②项目区专题重叠核实确认</w:t>
      </w:r>
    </w:p>
    <w:p w14:paraId="551636C6">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县（区）级对2011-2023年高标准农田项目图斑与林地区划数据、城镇开发边界、生态保护红线、水源地保护范围线、河道湖泊管理范围线等部门专题数据的重叠成果进行核实确认。</w:t>
      </w:r>
    </w:p>
    <w:p w14:paraId="31AB23C4">
      <w:pPr>
        <w:spacing w:line="440" w:lineRule="exact"/>
        <w:ind w:firstLine="422"/>
        <w:rPr>
          <w:rFonts w:hint="eastAsia" w:ascii="宋体" w:hAnsi="宋体" w:cs="宋体"/>
          <w:b/>
          <w:color w:val="auto"/>
          <w:szCs w:val="21"/>
          <w:highlight w:val="none"/>
          <w:lang w:eastAsia="zh"/>
        </w:rPr>
      </w:pPr>
      <w:r>
        <w:rPr>
          <w:rFonts w:hint="eastAsia" w:ascii="宋体" w:hAnsi="宋体" w:cs="宋体"/>
          <w:b/>
          <w:color w:val="auto"/>
          <w:szCs w:val="21"/>
          <w:highlight w:val="none"/>
        </w:rPr>
        <w:t>③</w:t>
      </w:r>
      <w:r>
        <w:rPr>
          <w:rFonts w:hint="eastAsia" w:ascii="宋体" w:hAnsi="宋体" w:cs="宋体"/>
          <w:b/>
          <w:color w:val="auto"/>
          <w:szCs w:val="21"/>
          <w:highlight w:val="none"/>
          <w:lang w:eastAsia="zh"/>
        </w:rPr>
        <w:t>耕地与永久基本农田建设情况分析</w:t>
      </w:r>
    </w:p>
    <w:p w14:paraId="30F27492">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p>
    <w:p w14:paraId="08CEE829">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（3）数据采集与调查</w:t>
      </w:r>
    </w:p>
    <w:p w14:paraId="1DAF9F0C">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①工程设施评估与上图</w:t>
      </w:r>
    </w:p>
    <w:p w14:paraId="77E05CAC">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p>
    <w:p w14:paraId="0F8FFA84">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②产量信息采集与产能评估</w:t>
      </w:r>
    </w:p>
    <w:p w14:paraId="113DD2D8">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p>
    <w:p w14:paraId="3495ED60">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③种植经营模式调查</w:t>
      </w:r>
    </w:p>
    <w:p w14:paraId="3BFB53D4">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p>
    <w:p w14:paraId="479C987D">
      <w:pPr>
        <w:spacing w:line="440" w:lineRule="exact"/>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④未建区域地块调查</w:t>
      </w:r>
    </w:p>
    <w:p w14:paraId="5099D207">
      <w:pPr>
        <w:spacing w:line="44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以地块为调查单元，对耕地内未建区域的连片度、道路通达情况、地块平整度、是否位于灌区内、宜机化、种植与利用情况进行调查，作为宜建性评估数据来源。</w:t>
      </w:r>
    </w:p>
    <w:p w14:paraId="4B4C5DEB">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（4）数据建库及汇交</w:t>
      </w:r>
    </w:p>
    <w:p w14:paraId="7490A926">
      <w:pPr>
        <w:spacing w:line="44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建设标准化、规范化的泰兴市高标准农田多源综合数据库，主要分为项目区数据库、工程设施数据库和专题数据库三类，对数据成果进行汇总和动态管理。根据省级工作要求，将质检完成后的泰兴市调查摸底成果数据汇交到市级和省级。</w:t>
      </w:r>
    </w:p>
    <w:p w14:paraId="2A879C55">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（5）质量控制</w:t>
      </w:r>
    </w:p>
    <w:p w14:paraId="01CA1861">
      <w:pPr>
        <w:spacing w:line="44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p>
    <w:p w14:paraId="0F535ED1">
      <w:pPr>
        <w:spacing w:line="440" w:lineRule="exact"/>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（6）成果编制</w:t>
      </w:r>
    </w:p>
    <w:p w14:paraId="12F8AA34">
      <w:pPr>
        <w:spacing w:line="44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编写相关报告和图表成果，包含：</w:t>
      </w:r>
    </w:p>
    <w:p w14:paraId="53F5AB56">
      <w:pPr>
        <w:spacing w:line="44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①报告编制</w:t>
      </w:r>
    </w:p>
    <w:p w14:paraId="0C6ACF94">
      <w:pPr>
        <w:spacing w:line="44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泰兴市</w:t>
      </w:r>
      <w:r>
        <w:rPr>
          <w:rFonts w:hint="eastAsia" w:ascii="宋体" w:hAnsi="宋体" w:cs="宋体"/>
          <w:bCs/>
          <w:color w:val="auto"/>
          <w:szCs w:val="21"/>
          <w:highlight w:val="none"/>
        </w:rPr>
        <w:t>高标准农田调查摸底工作总结报告；</w:t>
      </w:r>
    </w:p>
    <w:p w14:paraId="3607BEB3">
      <w:pPr>
        <w:spacing w:line="44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泰兴市</w:t>
      </w:r>
      <w:r>
        <w:rPr>
          <w:rFonts w:hint="eastAsia" w:ascii="宋体" w:hAnsi="宋体" w:cs="宋体"/>
          <w:bCs/>
          <w:color w:val="auto"/>
          <w:szCs w:val="21"/>
          <w:highlight w:val="none"/>
        </w:rPr>
        <w:t>高标准农田调查摸底技术报告；</w:t>
      </w:r>
    </w:p>
    <w:p w14:paraId="6D8D79C1">
      <w:pPr>
        <w:spacing w:line="44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泰兴市</w:t>
      </w:r>
      <w:r>
        <w:rPr>
          <w:rFonts w:hint="eastAsia" w:ascii="宋体" w:hAnsi="宋体" w:cs="宋体"/>
          <w:bCs/>
          <w:color w:val="auto"/>
          <w:szCs w:val="21"/>
          <w:highlight w:val="none"/>
        </w:rPr>
        <w:t>高标准农田调查摸底质量控制报告。</w:t>
      </w:r>
    </w:p>
    <w:p w14:paraId="57AABB74">
      <w:pPr>
        <w:spacing w:line="44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②图表编制</w:t>
      </w:r>
    </w:p>
    <w:p w14:paraId="4965C4B9">
      <w:pPr>
        <w:spacing w:line="44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泰兴市</w:t>
      </w:r>
      <w:r>
        <w:rPr>
          <w:rFonts w:hint="eastAsia" w:ascii="宋体" w:hAnsi="宋体" w:cs="宋体"/>
          <w:bCs/>
          <w:color w:val="auto"/>
          <w:szCs w:val="21"/>
          <w:highlight w:val="none"/>
        </w:rPr>
        <w:t>行政区内已建高标准农田工程设施数据；</w:t>
      </w:r>
    </w:p>
    <w:p w14:paraId="5D5DDEE4">
      <w:pPr>
        <w:spacing w:line="44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泰兴市</w:t>
      </w:r>
      <w:r>
        <w:rPr>
          <w:rFonts w:hint="eastAsia" w:ascii="宋体" w:hAnsi="宋体" w:cs="宋体"/>
          <w:bCs/>
          <w:color w:val="auto"/>
          <w:szCs w:val="21"/>
          <w:highlight w:val="none"/>
        </w:rPr>
        <w:t>行政区内已建高标准农田粮食产能数据；</w:t>
      </w:r>
    </w:p>
    <w:p w14:paraId="2E2CB3AE">
      <w:pPr>
        <w:spacing w:line="44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泰兴市</w:t>
      </w:r>
      <w:r>
        <w:rPr>
          <w:rFonts w:hint="eastAsia" w:ascii="宋体" w:hAnsi="宋体" w:cs="宋体"/>
          <w:bCs/>
          <w:color w:val="auto"/>
          <w:szCs w:val="21"/>
          <w:highlight w:val="none"/>
        </w:rPr>
        <w:t>行政区内已建高标准农田耕地流转数据；</w:t>
      </w:r>
    </w:p>
    <w:p w14:paraId="5984A63B">
      <w:pPr>
        <w:spacing w:line="44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泰兴市</w:t>
      </w:r>
      <w:r>
        <w:rPr>
          <w:rFonts w:hint="eastAsia" w:ascii="宋体" w:hAnsi="宋体" w:cs="宋体"/>
          <w:bCs/>
          <w:color w:val="auto"/>
          <w:szCs w:val="21"/>
          <w:highlight w:val="none"/>
        </w:rPr>
        <w:t>行政区内未建高标准农田宜建性评估数据。</w:t>
      </w:r>
    </w:p>
    <w:p w14:paraId="6B63F63B">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(三)服务标准</w:t>
      </w:r>
    </w:p>
    <w:p w14:paraId="7CE3614B">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1、技术指标</w:t>
      </w:r>
    </w:p>
    <w:p w14:paraId="4D27532B">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（1）空间定位</w:t>
      </w:r>
    </w:p>
    <w:p w14:paraId="55C95F56">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①坐标系统：采用2000国家大地坐标系；</w:t>
      </w:r>
    </w:p>
    <w:p w14:paraId="24AA9C1D">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②投影系统：采用高斯-克吕格投影，采用标准3度分带平面直角坐标系；</w:t>
      </w:r>
    </w:p>
    <w:p w14:paraId="71CC57B8">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③高程系统：采用1985国家高程基准。</w:t>
      </w:r>
    </w:p>
    <w:p w14:paraId="6097EC16">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（2）计量单位</w:t>
      </w:r>
    </w:p>
    <w:p w14:paraId="1DE19FCB">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采用法定计量单位，数据精度在各项调查摸底工作技术规程规范中做详细说明：</w:t>
      </w:r>
    </w:p>
    <w:p w14:paraId="6808DC4E">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①长度单位根据需要采用千米（km）或米（m）计量；</w:t>
      </w:r>
    </w:p>
    <w:p w14:paraId="0D0357E4">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②面积计算单位采用公顷，面积统计汇总单位采用公顷，万亩、亩作为辅助单位；</w:t>
      </w:r>
    </w:p>
    <w:p w14:paraId="74D73563">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③坐标单位采用米（m）；</w:t>
      </w:r>
    </w:p>
    <w:p w14:paraId="3765C55D">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④日期采用公元纪年，时间采用北京时间；</w:t>
      </w:r>
    </w:p>
    <w:p w14:paraId="33BA7AA0">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⑤比例计算采用百分比（%）的形式。</w:t>
      </w:r>
    </w:p>
    <w:p w14:paraId="5CD99938">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2、政策文件</w:t>
      </w:r>
    </w:p>
    <w:p w14:paraId="033F7B9A">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w:t>
      </w:r>
      <w:r>
        <w:rPr>
          <w:rFonts w:hint="eastAsia" w:ascii="宋体" w:hAnsi="宋体" w:cs="宋体"/>
          <w:bCs/>
          <w:color w:val="auto"/>
          <w:szCs w:val="21"/>
          <w:highlight w:val="none"/>
          <w:lang w:val="zh-CN"/>
        </w:rPr>
        <w:t>）《国土资源部 国家发展改革委 财政部 水利部 农业部关于切实做好高标准农田建设统一上图入库工作的通知》（国土资发〔2017〕115号）</w:t>
      </w:r>
    </w:p>
    <w:p w14:paraId="206762A5">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2</w:t>
      </w:r>
      <w:r>
        <w:rPr>
          <w:rFonts w:hint="eastAsia" w:ascii="宋体" w:hAnsi="宋体" w:cs="宋体"/>
          <w:bCs/>
          <w:color w:val="auto"/>
          <w:szCs w:val="21"/>
          <w:highlight w:val="none"/>
          <w:lang w:val="zh-CN"/>
        </w:rPr>
        <w:t>）《省政府办公厅关于印发江苏省高标准农田建设标准的通知》（苏政办发〔2021〕21号）</w:t>
      </w:r>
    </w:p>
    <w:p w14:paraId="42155068">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3</w:t>
      </w:r>
      <w:r>
        <w:rPr>
          <w:rFonts w:hint="eastAsia" w:ascii="宋体" w:hAnsi="宋体" w:cs="宋体"/>
          <w:bCs/>
          <w:color w:val="auto"/>
          <w:szCs w:val="21"/>
          <w:highlight w:val="none"/>
          <w:lang w:val="zh-CN"/>
        </w:rPr>
        <w:t>）《全国高标准农田建设规划（2021-2030年）》</w:t>
      </w:r>
    </w:p>
    <w:p w14:paraId="4301AB5C">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4</w:t>
      </w:r>
      <w:r>
        <w:rPr>
          <w:rFonts w:hint="eastAsia" w:ascii="宋体" w:hAnsi="宋体" w:cs="宋体"/>
          <w:bCs/>
          <w:color w:val="auto"/>
          <w:szCs w:val="21"/>
          <w:highlight w:val="none"/>
          <w:lang w:val="zh-CN"/>
        </w:rPr>
        <w:t>）《关于做好全省高标准农田调查摸底、“上图入库”工作的通知》（苏农建〔2024〕6号）</w:t>
      </w:r>
    </w:p>
    <w:p w14:paraId="7417385D">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）《高标准农田建设评价规范》（GB/T 33130-2016）</w:t>
      </w:r>
    </w:p>
    <w:p w14:paraId="7709F49C">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6</w:t>
      </w:r>
      <w:r>
        <w:rPr>
          <w:rFonts w:hint="eastAsia" w:ascii="宋体" w:hAnsi="宋体" w:cs="宋体"/>
          <w:bCs/>
          <w:color w:val="auto"/>
          <w:szCs w:val="21"/>
          <w:highlight w:val="none"/>
          <w:lang w:val="zh-CN"/>
        </w:rPr>
        <w:t>）《耕地质量等级》（GB/T 33469-2016）</w:t>
      </w:r>
    </w:p>
    <w:p w14:paraId="097AC5C3">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7</w:t>
      </w:r>
      <w:r>
        <w:rPr>
          <w:rFonts w:hint="eastAsia" w:ascii="宋体" w:hAnsi="宋体" w:cs="宋体"/>
          <w:bCs/>
          <w:color w:val="auto"/>
          <w:szCs w:val="21"/>
          <w:highlight w:val="none"/>
          <w:lang w:val="zh-CN"/>
        </w:rPr>
        <w:t>）《土地利用现状分类》（GB/T 21010-20</w:t>
      </w:r>
      <w:r>
        <w:rPr>
          <w:rFonts w:hint="eastAsia" w:ascii="宋体" w:hAnsi="宋体" w:cs="宋体"/>
          <w:bCs/>
          <w:color w:val="auto"/>
          <w:szCs w:val="21"/>
          <w:highlight w:val="none"/>
          <w:lang w:val="zh-CN" w:eastAsia="zh"/>
        </w:rPr>
        <w:t>1</w:t>
      </w:r>
      <w:r>
        <w:rPr>
          <w:rFonts w:hint="eastAsia" w:ascii="宋体" w:hAnsi="宋体" w:cs="宋体"/>
          <w:bCs/>
          <w:color w:val="auto"/>
          <w:szCs w:val="21"/>
          <w:highlight w:val="none"/>
          <w:lang w:val="zh-CN"/>
        </w:rPr>
        <w:t>7）</w:t>
      </w:r>
    </w:p>
    <w:p w14:paraId="65982FA6">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8</w:t>
      </w:r>
      <w:r>
        <w:rPr>
          <w:rFonts w:hint="eastAsia" w:ascii="宋体" w:hAnsi="宋体" w:cs="宋体"/>
          <w:bCs/>
          <w:color w:val="auto"/>
          <w:szCs w:val="21"/>
          <w:highlight w:val="none"/>
          <w:lang w:val="zh-CN"/>
        </w:rPr>
        <w:t>）《灌溉与排水工程设计标准》（GB 50288-2018）</w:t>
      </w:r>
    </w:p>
    <w:p w14:paraId="41E4A89F">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9</w:t>
      </w:r>
      <w:r>
        <w:rPr>
          <w:rFonts w:hint="eastAsia" w:ascii="宋体" w:hAnsi="宋体" w:cs="宋体"/>
          <w:bCs/>
          <w:color w:val="auto"/>
          <w:szCs w:val="21"/>
          <w:highlight w:val="none"/>
          <w:lang w:val="zh-CN"/>
        </w:rPr>
        <w:t>）《信息安全技术 数据库管理系统安全技术要求》（GB/T 20273-2019）</w:t>
      </w:r>
    </w:p>
    <w:p w14:paraId="0095F492">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10</w:t>
      </w:r>
      <w:r>
        <w:rPr>
          <w:rFonts w:hint="eastAsia" w:ascii="宋体" w:hAnsi="宋体" w:cs="宋体"/>
          <w:bCs/>
          <w:color w:val="auto"/>
          <w:szCs w:val="21"/>
          <w:highlight w:val="none"/>
          <w:lang w:val="zh-CN"/>
        </w:rPr>
        <w:t>）《基础地理信息数字成果元数据》（GB/T 39608-2020）</w:t>
      </w:r>
    </w:p>
    <w:p w14:paraId="267CF3E1">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11</w:t>
      </w:r>
      <w:r>
        <w:rPr>
          <w:rFonts w:hint="eastAsia" w:ascii="宋体" w:hAnsi="宋体" w:cs="宋体"/>
          <w:bCs/>
          <w:color w:val="auto"/>
          <w:szCs w:val="21"/>
          <w:highlight w:val="none"/>
          <w:lang w:val="zh-CN"/>
        </w:rPr>
        <w:t>）《渠道防渗衬砌工程技术标准》（GB/T 50600-2020）</w:t>
      </w:r>
    </w:p>
    <w:p w14:paraId="79A5F9DF">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12</w:t>
      </w:r>
      <w:r>
        <w:rPr>
          <w:rFonts w:hint="eastAsia" w:ascii="宋体" w:hAnsi="宋体" w:cs="宋体"/>
          <w:bCs/>
          <w:color w:val="auto"/>
          <w:szCs w:val="21"/>
          <w:highlight w:val="none"/>
          <w:lang w:val="zh-CN"/>
        </w:rPr>
        <w:t>）《高标准农田建设通则》（GB/T 30600-20</w:t>
      </w:r>
      <w:r>
        <w:rPr>
          <w:rFonts w:hint="eastAsia" w:ascii="宋体" w:hAnsi="宋体" w:cs="宋体"/>
          <w:bCs/>
          <w:color w:val="auto"/>
          <w:szCs w:val="21"/>
          <w:highlight w:val="none"/>
          <w:lang w:val="zh-CN" w:eastAsia="zh"/>
        </w:rPr>
        <w:t>22</w:t>
      </w:r>
      <w:r>
        <w:rPr>
          <w:rFonts w:hint="eastAsia" w:ascii="宋体" w:hAnsi="宋体" w:cs="宋体"/>
          <w:bCs/>
          <w:color w:val="auto"/>
          <w:szCs w:val="21"/>
          <w:highlight w:val="none"/>
          <w:lang w:val="zh-CN"/>
        </w:rPr>
        <w:t>）</w:t>
      </w:r>
    </w:p>
    <w:p w14:paraId="44D5BAE3">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13</w:t>
      </w:r>
      <w:r>
        <w:rPr>
          <w:rFonts w:hint="eastAsia" w:ascii="宋体" w:hAnsi="宋体" w:cs="宋体"/>
          <w:bCs/>
          <w:color w:val="auto"/>
          <w:szCs w:val="21"/>
          <w:highlight w:val="none"/>
          <w:lang w:val="zh-CN"/>
        </w:rPr>
        <w:t>）《全国耕地类型区、耕地地力等级划分》（NY/T 309—1996）</w:t>
      </w:r>
    </w:p>
    <w:p w14:paraId="410D554E">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14</w:t>
      </w:r>
      <w:r>
        <w:rPr>
          <w:rFonts w:hint="eastAsia" w:ascii="宋体" w:hAnsi="宋体" w:cs="宋体"/>
          <w:bCs/>
          <w:color w:val="auto"/>
          <w:szCs w:val="21"/>
          <w:highlight w:val="none"/>
          <w:lang w:val="zh-CN"/>
        </w:rPr>
        <w:t>）《耕地地力调查与质量评价技术规程》（NY/T 1634—2008）</w:t>
      </w:r>
    </w:p>
    <w:p w14:paraId="2AF78EA4">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15</w:t>
      </w:r>
      <w:r>
        <w:rPr>
          <w:rFonts w:hint="eastAsia" w:ascii="宋体" w:hAnsi="宋体" w:cs="宋体"/>
          <w:bCs/>
          <w:color w:val="auto"/>
          <w:szCs w:val="21"/>
          <w:highlight w:val="none"/>
          <w:lang w:val="zh-CN"/>
        </w:rPr>
        <w:t>）《高标准农田建设项目制图及其图例规范》（DB32/T 3721-2020）</w:t>
      </w:r>
    </w:p>
    <w:p w14:paraId="258A8C5E">
      <w:pPr>
        <w:spacing w:line="440" w:lineRule="exact"/>
        <w:ind w:firstLine="42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16</w:t>
      </w:r>
      <w:r>
        <w:rPr>
          <w:rFonts w:hint="eastAsia" w:ascii="宋体" w:hAnsi="宋体" w:cs="宋体"/>
          <w:bCs/>
          <w:color w:val="auto"/>
          <w:szCs w:val="21"/>
          <w:highlight w:val="none"/>
          <w:lang w:val="zh-CN"/>
        </w:rPr>
        <w:t>）《高标准农田建设评价规范》（讨论稿）</w:t>
      </w:r>
    </w:p>
    <w:p w14:paraId="3062B417">
      <w:pPr>
        <w:spacing w:line="440" w:lineRule="exact"/>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（四）进度要求</w:t>
      </w:r>
    </w:p>
    <w:p w14:paraId="13048B9B">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1、第一阶段（2024年</w:t>
      </w:r>
      <w:r>
        <w:rPr>
          <w:rFonts w:hint="eastAsia" w:ascii="宋体" w:hAnsi="宋体" w:cs="宋体"/>
          <w:color w:val="auto"/>
          <w:szCs w:val="21"/>
          <w:highlight w:val="none"/>
        </w:rPr>
        <w:t>12</w:t>
      </w:r>
      <w:r>
        <w:rPr>
          <w:rFonts w:hint="eastAsia" w:ascii="宋体" w:hAnsi="宋体" w:cs="宋体"/>
          <w:color w:val="auto"/>
          <w:szCs w:val="21"/>
          <w:highlight w:val="none"/>
          <w:lang w:val="zh-CN"/>
        </w:rPr>
        <w:t>月底前）</w:t>
      </w:r>
    </w:p>
    <w:p w14:paraId="506D3E9C">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做好相关方案编制工作，包括本级的调查摸底工作方案、实施方案、预算方案等；组织开展相关培训工作；配合省、市级要求组织开展项目信息清查，基本信息核实</w:t>
      </w:r>
      <w:r>
        <w:rPr>
          <w:rFonts w:ascii="宋体" w:hAnsi="宋体" w:cs="宋体"/>
          <w:color w:val="auto"/>
          <w:szCs w:val="21"/>
          <w:highlight w:val="none"/>
          <w:lang w:val="zh-CN"/>
        </w:rPr>
        <w:t>工</w:t>
      </w:r>
      <w:r>
        <w:rPr>
          <w:rFonts w:hint="eastAsia" w:ascii="宋体" w:hAnsi="宋体" w:cs="宋体"/>
          <w:color w:val="auto"/>
          <w:szCs w:val="21"/>
          <w:highlight w:val="none"/>
          <w:lang w:val="zh-CN"/>
        </w:rPr>
        <w:t>作；组织开展边界范围划定工作；</w:t>
      </w:r>
    </w:p>
    <w:p w14:paraId="6C250D52">
      <w:pPr>
        <w:spacing w:line="440" w:lineRule="exact"/>
        <w:ind w:firstLine="420"/>
        <w:rPr>
          <w:rFonts w:hint="eastAsia" w:ascii="宋体" w:hAnsi="宋体" w:cs="宋体"/>
          <w:color w:val="auto"/>
          <w:szCs w:val="21"/>
          <w:highlight w:val="none"/>
          <w:lang w:val="zh-CN"/>
        </w:rPr>
      </w:pPr>
      <w:r>
        <w:rPr>
          <w:rFonts w:ascii="宋体" w:hAnsi="宋体" w:cs="宋体"/>
          <w:color w:val="auto"/>
          <w:szCs w:val="21"/>
          <w:highlight w:val="none"/>
          <w:lang w:val="zh-CN"/>
        </w:rPr>
        <w:t>2</w:t>
      </w:r>
      <w:r>
        <w:rPr>
          <w:rFonts w:hint="eastAsia" w:ascii="宋体" w:hAnsi="宋体" w:cs="宋体"/>
          <w:color w:val="auto"/>
          <w:szCs w:val="21"/>
          <w:highlight w:val="none"/>
          <w:lang w:val="zh-CN"/>
        </w:rPr>
        <w:t>、第二阶段（2025年</w:t>
      </w:r>
      <w:r>
        <w:rPr>
          <w:rFonts w:hint="eastAsia" w:ascii="宋体" w:hAnsi="宋体" w:cs="宋体"/>
          <w:color w:val="auto"/>
          <w:szCs w:val="21"/>
          <w:highlight w:val="none"/>
        </w:rPr>
        <w:t>6</w:t>
      </w:r>
      <w:r>
        <w:rPr>
          <w:rFonts w:hint="eastAsia" w:ascii="宋体" w:hAnsi="宋体" w:cs="宋体"/>
          <w:color w:val="auto"/>
          <w:szCs w:val="21"/>
          <w:highlight w:val="none"/>
          <w:lang w:val="zh-CN"/>
        </w:rPr>
        <w:t>月底前）</w:t>
      </w:r>
    </w:p>
    <w:p w14:paraId="42307B04">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学习省级下发的各项操作规程；配合参加省级阶段性业务培训，组织开展本级培训工作；根据省、市计划按时开展外业采集和调查；</w:t>
      </w:r>
    </w:p>
    <w:p w14:paraId="35D331B8">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3、第三阶段（2025年</w:t>
      </w:r>
      <w:r>
        <w:rPr>
          <w:rFonts w:hint="eastAsia" w:ascii="宋体" w:hAnsi="宋体" w:cs="宋体"/>
          <w:color w:val="auto"/>
          <w:szCs w:val="21"/>
          <w:highlight w:val="none"/>
        </w:rPr>
        <w:t>7</w:t>
      </w:r>
      <w:r>
        <w:rPr>
          <w:rFonts w:hint="eastAsia" w:ascii="宋体" w:hAnsi="宋体" w:cs="宋体"/>
          <w:color w:val="auto"/>
          <w:szCs w:val="21"/>
          <w:highlight w:val="none"/>
          <w:lang w:val="zh-CN"/>
        </w:rPr>
        <w:t>月底前）</w:t>
      </w:r>
    </w:p>
    <w:p w14:paraId="511D706B">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汇总区域内的数据成果，开展数据质检及核查；编制本级的工作总结、工作技术（含质量控制）报告，做好项目验收等相关工作。</w:t>
      </w:r>
    </w:p>
    <w:p w14:paraId="348B6A6C">
      <w:pPr>
        <w:spacing w:line="440" w:lineRule="exact"/>
        <w:ind w:firstLine="420"/>
        <w:rPr>
          <w:rFonts w:hint="eastAsia" w:ascii="宋体" w:hAnsi="宋体" w:cs="宋体"/>
          <w:color w:val="auto"/>
          <w:szCs w:val="21"/>
          <w:highlight w:val="none"/>
          <w:lang w:val="zh-CN"/>
        </w:rPr>
      </w:pPr>
    </w:p>
    <w:p w14:paraId="39364B92">
      <w:pPr>
        <w:numPr>
          <w:ilvl w:val="0"/>
          <w:numId w:val="0"/>
        </w:numPr>
        <w:spacing w:line="440" w:lineRule="exact"/>
        <w:ind w:firstLine="48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lang w:val="zh-CN"/>
        </w:rPr>
        <w:t>第</w:t>
      </w:r>
      <w:r>
        <w:rPr>
          <w:rFonts w:hint="eastAsia" w:ascii="宋体" w:hAnsi="宋体" w:cs="宋体"/>
          <w:b w:val="0"/>
          <w:bCs w:val="0"/>
          <w:color w:val="auto"/>
          <w:szCs w:val="21"/>
          <w:highlight w:val="none"/>
          <w:lang w:val="en-US" w:eastAsia="zh-CN"/>
        </w:rPr>
        <w:t>四</w:t>
      </w:r>
      <w:r>
        <w:rPr>
          <w:rFonts w:hint="eastAsia" w:ascii="宋体" w:hAnsi="宋体" w:cs="宋体"/>
          <w:b w:val="0"/>
          <w:bCs w:val="0"/>
          <w:color w:val="auto"/>
          <w:szCs w:val="21"/>
          <w:highlight w:val="none"/>
          <w:lang w:val="zh-CN"/>
        </w:rPr>
        <w:t>阶段（2025年7月底</w:t>
      </w:r>
      <w:r>
        <w:rPr>
          <w:rFonts w:hint="eastAsia" w:ascii="宋体" w:hAnsi="宋体" w:cs="宋体"/>
          <w:b w:val="0"/>
          <w:bCs w:val="0"/>
          <w:color w:val="auto"/>
          <w:szCs w:val="21"/>
          <w:highlight w:val="none"/>
          <w:lang w:val="en-US" w:eastAsia="zh-CN"/>
        </w:rPr>
        <w:t>至</w:t>
      </w:r>
      <w:r>
        <w:rPr>
          <w:rFonts w:hint="eastAsia" w:ascii="宋体" w:hAnsi="宋体" w:cs="宋体"/>
          <w:b w:val="0"/>
          <w:bCs w:val="0"/>
          <w:color w:val="auto"/>
          <w:szCs w:val="21"/>
          <w:highlight w:val="none"/>
          <w:lang w:val="zh-CN"/>
        </w:rPr>
        <w:t>202</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lang w:val="zh-CN"/>
        </w:rPr>
        <w:t>年</w:t>
      </w:r>
      <w:r>
        <w:rPr>
          <w:rFonts w:hint="eastAsia" w:ascii="宋体" w:hAnsi="宋体" w:cs="宋体"/>
          <w:b w:val="0"/>
          <w:bCs w:val="0"/>
          <w:color w:val="auto"/>
          <w:szCs w:val="21"/>
          <w:highlight w:val="none"/>
          <w:lang w:val="en-US" w:eastAsia="zh-CN"/>
        </w:rPr>
        <w:t>底省级验收完成）</w:t>
      </w:r>
    </w:p>
    <w:p w14:paraId="48E79162">
      <w:pPr>
        <w:numPr>
          <w:ilvl w:val="0"/>
          <w:numId w:val="0"/>
        </w:numPr>
        <w:spacing w:line="440" w:lineRule="exact"/>
        <w:ind w:firstLine="480" w:firstLineChars="200"/>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en-US" w:eastAsia="zh-CN"/>
        </w:rPr>
        <w:t>配合</w:t>
      </w:r>
      <w:r>
        <w:rPr>
          <w:rFonts w:hint="eastAsia" w:ascii="宋体" w:hAnsi="宋体" w:eastAsia="宋体" w:cs="宋体"/>
          <w:b w:val="0"/>
          <w:bCs w:val="0"/>
          <w:color w:val="auto"/>
          <w:szCs w:val="21"/>
          <w:highlight w:val="none"/>
          <w:lang w:val="zh-CN"/>
        </w:rPr>
        <w:t>市级、省级</w:t>
      </w:r>
      <w:r>
        <w:rPr>
          <w:rFonts w:hint="eastAsia" w:ascii="宋体" w:hAnsi="宋体" w:cs="宋体"/>
          <w:b w:val="0"/>
          <w:bCs w:val="0"/>
          <w:color w:val="auto"/>
          <w:szCs w:val="21"/>
          <w:highlight w:val="none"/>
          <w:lang w:val="en-US" w:eastAsia="zh-CN"/>
        </w:rPr>
        <w:t>成果抽查和审核确认工作</w:t>
      </w:r>
      <w:r>
        <w:rPr>
          <w:rFonts w:hint="eastAsia" w:ascii="宋体" w:hAnsi="宋体" w:eastAsia="宋体" w:cs="宋体"/>
          <w:b w:val="0"/>
          <w:bCs w:val="0"/>
          <w:color w:val="auto"/>
          <w:szCs w:val="21"/>
          <w:highlight w:val="none"/>
          <w:lang w:val="zh-CN" w:eastAsia="zh-CN"/>
        </w:rPr>
        <w:t>，</w:t>
      </w:r>
      <w:r>
        <w:rPr>
          <w:rFonts w:hint="eastAsia" w:ascii="宋体" w:hAnsi="宋体" w:eastAsia="宋体" w:cs="宋体"/>
          <w:b w:val="0"/>
          <w:bCs w:val="0"/>
          <w:color w:val="auto"/>
          <w:szCs w:val="21"/>
          <w:highlight w:val="none"/>
          <w:lang w:val="en-US" w:eastAsia="zh-CN"/>
        </w:rPr>
        <w:t>确保省级验收完成</w:t>
      </w:r>
      <w:r>
        <w:rPr>
          <w:rFonts w:hint="eastAsia" w:ascii="宋体" w:hAnsi="宋体" w:eastAsia="宋体" w:cs="宋体"/>
          <w:b w:val="0"/>
          <w:bCs w:val="0"/>
          <w:color w:val="auto"/>
          <w:szCs w:val="21"/>
          <w:highlight w:val="none"/>
          <w:lang w:val="zh-CN"/>
        </w:rPr>
        <w:t>。</w:t>
      </w:r>
    </w:p>
    <w:p w14:paraId="6F008DC4">
      <w:pPr>
        <w:spacing w:line="440" w:lineRule="exact"/>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具体时间安排根据省、市最新文件要求进行调整。</w:t>
      </w:r>
    </w:p>
    <w:p w14:paraId="523A999C">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 (五)成果要求</w:t>
      </w:r>
    </w:p>
    <w:p w14:paraId="3AD7D6BE">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1、数据成果</w:t>
      </w:r>
    </w:p>
    <w:p w14:paraId="6E430EC1">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汇总泰兴市范围内已建高标准农田工程设施、粮食产能、耕地流转和耕地内未建高标准农田区域等调查摸底数据。</w:t>
      </w:r>
    </w:p>
    <w:p w14:paraId="61F270DE">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（1）泰兴市内已建高标准农田工程设施数据；</w:t>
      </w:r>
    </w:p>
    <w:p w14:paraId="0F3F4938">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（2）泰兴市内已建高标准农田粮食产能数据；</w:t>
      </w:r>
    </w:p>
    <w:p w14:paraId="4C3ACF93">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（3）泰兴市内已建高标准农田耕地流转数据；</w:t>
      </w:r>
    </w:p>
    <w:p w14:paraId="158C03A6">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（4）泰兴市内未建高标准农田宜建性评估数据。</w:t>
      </w:r>
    </w:p>
    <w:p w14:paraId="4D42858F">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2、文字成果</w:t>
      </w:r>
    </w:p>
    <w:p w14:paraId="692E5673">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编制泰兴市高标准农田调查摸底工作分析报告。</w:t>
      </w:r>
    </w:p>
    <w:p w14:paraId="4F8C728B">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（1）泰兴市高标准农田调查摸底工作总结报告；</w:t>
      </w:r>
    </w:p>
    <w:p w14:paraId="3C02E417">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（2）泰兴市高标准农田调查摸底工作技术报告；</w:t>
      </w:r>
    </w:p>
    <w:p w14:paraId="1F72A1C7">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（3）泰兴市高标准农田调查摸底工作质量控制报告。</w:t>
      </w:r>
    </w:p>
    <w:p w14:paraId="5E30C31A">
      <w:pPr>
        <w:spacing w:line="440" w:lineRule="exact"/>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（六）售后服务</w:t>
      </w:r>
    </w:p>
    <w:p w14:paraId="4D9F047F">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项目通过验收后，中标单位须为本项目提供1年免费维保。</w:t>
      </w:r>
    </w:p>
    <w:p w14:paraId="270A0A98">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供应商应按照采购内容，规划设计合理可行的售后服务方案，售后服务方案包括售后服务承诺、售后服务内容、响应时间、响应方式等内容。</w:t>
      </w:r>
    </w:p>
    <w:p w14:paraId="5FEBCF3E">
      <w:pPr>
        <w:spacing w:line="440" w:lineRule="exact"/>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（七）验收服务</w:t>
      </w:r>
    </w:p>
    <w:p w14:paraId="332C4D2D">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w:t>
      </w:r>
      <w:r>
        <w:rPr>
          <w:rFonts w:ascii="宋体" w:hAnsi="宋体" w:cs="宋体"/>
          <w:color w:val="auto"/>
          <w:szCs w:val="21"/>
          <w:highlight w:val="none"/>
          <w:lang w:val="zh-CN"/>
        </w:rPr>
        <w:t>符合国家、行业、地方相关规定，并满足采购人要求</w:t>
      </w:r>
      <w:r>
        <w:rPr>
          <w:rFonts w:hint="eastAsia" w:ascii="宋体" w:hAnsi="宋体" w:cs="宋体"/>
          <w:color w:val="auto"/>
          <w:szCs w:val="21"/>
          <w:highlight w:val="none"/>
          <w:lang w:val="zh-CN"/>
        </w:rPr>
        <w:t>。</w:t>
      </w:r>
    </w:p>
    <w:p w14:paraId="0651B7AF">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1、文字类成果需通过工作专班的评审；</w:t>
      </w:r>
    </w:p>
    <w:p w14:paraId="4AD8D121">
      <w:pPr>
        <w:spacing w:line="44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2、数据类成果需满足规程规范，通过软件质检并满足质量控制标准；</w:t>
      </w:r>
    </w:p>
    <w:p w14:paraId="2CDFE669">
      <w:pPr>
        <w:spacing w:line="400" w:lineRule="exact"/>
        <w:ind w:left="420"/>
        <w:rPr>
          <w:rFonts w:hint="eastAsia" w:ascii="宋体" w:hAnsi="宋体" w:cs="宋体"/>
          <w:color w:val="auto"/>
          <w:szCs w:val="21"/>
          <w:highlight w:val="none"/>
        </w:rPr>
      </w:pPr>
      <w:r>
        <w:rPr>
          <w:rFonts w:hint="eastAsia" w:ascii="宋体" w:hAnsi="宋体" w:cs="宋体"/>
          <w:color w:val="auto"/>
          <w:szCs w:val="21"/>
          <w:highlight w:val="none"/>
          <w:lang w:val="zh-CN"/>
        </w:rPr>
        <w:t>3、需提供年度阶段性工作成果，每年的工作成果需通过采购人组织的评审，并出具验收报告。</w:t>
      </w:r>
    </w:p>
    <w:p w14:paraId="2ADE7F79">
      <w:pPr>
        <w:spacing w:line="440" w:lineRule="exact"/>
        <w:ind w:firstLine="310"/>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二</w:t>
      </w:r>
      <w:r>
        <w:rPr>
          <w:rFonts w:hint="eastAsia" w:ascii="宋体" w:hAnsi="宋体" w:cs="宋体"/>
          <w:b/>
          <w:color w:val="auto"/>
          <w:szCs w:val="21"/>
          <w:highlight w:val="none"/>
          <w:lang w:val="zh-CN"/>
        </w:rPr>
        <w:t>、</w:t>
      </w:r>
      <w:r>
        <w:rPr>
          <w:rFonts w:hint="eastAsia" w:ascii="宋体" w:hAnsi="宋体" w:cs="宋体"/>
          <w:b/>
          <w:color w:val="auto"/>
          <w:szCs w:val="21"/>
          <w:highlight w:val="none"/>
        </w:rPr>
        <w:t>综合说明：</w:t>
      </w:r>
    </w:p>
    <w:p w14:paraId="75E94350">
      <w:pPr>
        <w:tabs>
          <w:tab w:val="left" w:pos="5250"/>
        </w:tabs>
        <w:spacing w:line="440" w:lineRule="exact"/>
        <w:ind w:firstLine="413"/>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1、服务期限：自合同签订之日起至</w:t>
      </w:r>
      <w:r>
        <w:rPr>
          <w:rFonts w:hint="eastAsia" w:ascii="宋体" w:hAnsi="宋体" w:cs="宋体"/>
          <w:b w:val="0"/>
          <w:bCs w:val="0"/>
          <w:color w:val="auto"/>
          <w:szCs w:val="21"/>
          <w:highlight w:val="none"/>
          <w:lang w:val="en-US" w:eastAsia="zh-CN"/>
        </w:rPr>
        <w:t>省级验收完成</w:t>
      </w:r>
      <w:r>
        <w:rPr>
          <w:rFonts w:hint="eastAsia" w:ascii="宋体" w:hAnsi="宋体" w:cs="宋体"/>
          <w:b w:val="0"/>
          <w:bCs w:val="0"/>
          <w:color w:val="auto"/>
          <w:szCs w:val="21"/>
          <w:highlight w:val="none"/>
          <w:lang w:val="zh-CN"/>
        </w:rPr>
        <w:t>（具体结束时间以省厅部署为准）。</w:t>
      </w:r>
    </w:p>
    <w:p w14:paraId="1BF1835D">
      <w:pPr>
        <w:tabs>
          <w:tab w:val="left" w:pos="5250"/>
        </w:tabs>
        <w:spacing w:line="440" w:lineRule="exact"/>
        <w:ind w:firstLine="413"/>
        <w:rPr>
          <w:rFonts w:hint="eastAsia" w:ascii="宋体" w:hAnsi="宋体" w:cs="宋体"/>
          <w:b w:val="0"/>
          <w:bCs w:val="0"/>
          <w:color w:val="auto"/>
          <w:szCs w:val="21"/>
          <w:highlight w:val="none"/>
          <w:lang w:val="zh-CN"/>
        </w:rPr>
      </w:pPr>
      <w:r>
        <w:rPr>
          <w:rFonts w:hint="eastAsia" w:ascii="宋体" w:hAnsi="宋体" w:cs="宋体"/>
          <w:b w:val="0"/>
          <w:bCs w:val="0"/>
          <w:color w:val="auto"/>
          <w:szCs w:val="21"/>
          <w:highlight w:val="none"/>
          <w:lang w:val="zh-CN"/>
        </w:rPr>
        <w:t>2、付款步骤和付款方式</w:t>
      </w:r>
    </w:p>
    <w:p w14:paraId="01CA03D8">
      <w:pPr>
        <w:tabs>
          <w:tab w:val="left" w:pos="5250"/>
        </w:tabs>
        <w:spacing w:line="440" w:lineRule="exact"/>
        <w:ind w:firstLine="420"/>
        <w:rPr>
          <w:color w:val="auto"/>
          <w:highlight w:val="none"/>
        </w:rPr>
      </w:pPr>
      <w:r>
        <w:rPr>
          <w:rFonts w:hint="eastAsia" w:ascii="宋体" w:hAnsi="宋体" w:cs="宋体"/>
          <w:color w:val="auto"/>
          <w:szCs w:val="21"/>
          <w:highlight w:val="none"/>
        </w:rPr>
        <w:t>（1）付款方式：合同签订后采购人向中标人支付合同价款的</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%为预付款；</w:t>
      </w:r>
      <w:r>
        <w:rPr>
          <w:rFonts w:hint="eastAsia" w:ascii="宋体" w:hAnsi="宋体" w:cs="宋体"/>
          <w:color w:val="auto"/>
          <w:szCs w:val="21"/>
          <w:highlight w:val="none"/>
          <w:lang w:val="en-US" w:eastAsia="zh-CN"/>
        </w:rPr>
        <w:t>2025</w:t>
      </w:r>
      <w:r>
        <w:rPr>
          <w:rFonts w:hint="eastAsia" w:ascii="宋体" w:hAnsi="宋体" w:cs="宋体"/>
          <w:color w:val="auto"/>
          <w:szCs w:val="21"/>
          <w:highlight w:val="none"/>
        </w:rPr>
        <w:t>年，根据阶段性成果完成情况，</w:t>
      </w:r>
      <w:r>
        <w:rPr>
          <w:rFonts w:hint="eastAsia" w:ascii="宋体" w:hAnsi="宋体" w:cs="宋体"/>
          <w:color w:val="auto"/>
          <w:szCs w:val="21"/>
          <w:highlight w:val="none"/>
          <w:lang w:val="en-US" w:eastAsia="zh-CN"/>
        </w:rPr>
        <w:t>付至</w:t>
      </w:r>
      <w:r>
        <w:rPr>
          <w:rFonts w:hint="eastAsia" w:ascii="宋体" w:hAnsi="宋体" w:cs="宋体"/>
          <w:color w:val="auto"/>
          <w:szCs w:val="21"/>
          <w:highlight w:val="none"/>
        </w:rPr>
        <w:t>合同价款的</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0%；项目</w:t>
      </w:r>
      <w:r>
        <w:rPr>
          <w:rFonts w:hint="eastAsia" w:ascii="宋体" w:hAnsi="宋体" w:cs="宋体"/>
          <w:color w:val="auto"/>
          <w:szCs w:val="21"/>
          <w:highlight w:val="none"/>
          <w:lang w:val="en-US" w:eastAsia="zh-CN"/>
        </w:rPr>
        <w:t>省级</w:t>
      </w:r>
      <w:r>
        <w:rPr>
          <w:rFonts w:hint="eastAsia" w:ascii="宋体" w:hAnsi="宋体" w:cs="宋体"/>
          <w:color w:val="auto"/>
          <w:szCs w:val="21"/>
          <w:highlight w:val="none"/>
        </w:rPr>
        <w:t>验收合格</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2026年</w:t>
      </w:r>
      <w:r>
        <w:rPr>
          <w:rFonts w:hint="eastAsia" w:ascii="宋体" w:hAnsi="宋体" w:cs="宋体"/>
          <w:color w:val="auto"/>
          <w:szCs w:val="21"/>
          <w:highlight w:val="none"/>
        </w:rPr>
        <w:t>付清余款。</w:t>
      </w:r>
    </w:p>
    <w:p w14:paraId="20F43BFE">
      <w:pPr>
        <w:tabs>
          <w:tab w:val="left" w:pos="5250"/>
        </w:tabs>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（2）每次采购人向</w:t>
      </w:r>
      <w:r>
        <w:rPr>
          <w:rFonts w:hint="eastAsia" w:ascii="宋体" w:hAnsi="宋体" w:cs="宋体"/>
          <w:color w:val="auto"/>
          <w:szCs w:val="21"/>
          <w:highlight w:val="none"/>
          <w:lang w:eastAsia="zh-CN"/>
        </w:rPr>
        <w:t>中标人</w:t>
      </w:r>
      <w:r>
        <w:rPr>
          <w:rFonts w:hint="eastAsia" w:ascii="宋体" w:hAnsi="宋体" w:cs="宋体"/>
          <w:color w:val="auto"/>
          <w:szCs w:val="21"/>
          <w:highlight w:val="none"/>
        </w:rPr>
        <w:t>支付款项时，</w:t>
      </w:r>
      <w:r>
        <w:rPr>
          <w:rFonts w:hint="eastAsia" w:ascii="宋体" w:hAnsi="宋体" w:cs="宋体"/>
          <w:color w:val="auto"/>
          <w:szCs w:val="21"/>
          <w:highlight w:val="none"/>
          <w:lang w:eastAsia="zh-CN"/>
        </w:rPr>
        <w:t>中标人</w:t>
      </w:r>
      <w:r>
        <w:rPr>
          <w:rFonts w:hint="eastAsia" w:ascii="宋体" w:hAnsi="宋体" w:cs="宋体"/>
          <w:color w:val="auto"/>
          <w:szCs w:val="21"/>
          <w:highlight w:val="none"/>
        </w:rPr>
        <w:t>都应提供支付款项同等金额的发票，因</w:t>
      </w:r>
      <w:r>
        <w:rPr>
          <w:rFonts w:hint="eastAsia" w:ascii="宋体" w:hAnsi="宋体" w:cs="宋体"/>
          <w:color w:val="auto"/>
          <w:szCs w:val="21"/>
          <w:highlight w:val="none"/>
          <w:lang w:eastAsia="zh-CN"/>
        </w:rPr>
        <w:t>中标人</w:t>
      </w:r>
      <w:r>
        <w:rPr>
          <w:rFonts w:hint="eastAsia" w:ascii="宋体" w:hAnsi="宋体" w:cs="宋体"/>
          <w:color w:val="auto"/>
          <w:szCs w:val="21"/>
          <w:highlight w:val="none"/>
        </w:rPr>
        <w:t>未按采购人要求出具相应票据导致的延迟付款，采购人不承担违约责任。</w:t>
      </w:r>
      <w:r>
        <w:rPr>
          <w:rFonts w:hint="eastAsia" w:ascii="宋体" w:hAnsi="宋体" w:cs="宋体"/>
          <w:color w:val="auto"/>
          <w:szCs w:val="21"/>
          <w:highlight w:val="none"/>
          <w:lang w:eastAsia="zh-CN"/>
        </w:rPr>
        <w:t>中标人</w:t>
      </w:r>
      <w:r>
        <w:rPr>
          <w:rFonts w:hint="eastAsia" w:ascii="宋体" w:hAnsi="宋体" w:cs="宋体"/>
          <w:color w:val="auto"/>
          <w:szCs w:val="21"/>
          <w:highlight w:val="none"/>
        </w:rPr>
        <w:t>须无条件接受因财政资金下达造成的支付金额比例调整或延迟支付。</w:t>
      </w:r>
    </w:p>
    <w:p w14:paraId="041741F9">
      <w:pP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（3）本项目所有款项允许通过数字人民币支付。</w:t>
      </w:r>
    </w:p>
    <w:p w14:paraId="3CC0657D">
      <w:pPr>
        <w:tabs>
          <w:tab w:val="left" w:pos="5250"/>
        </w:tabs>
        <w:spacing w:line="440" w:lineRule="exact"/>
        <w:ind w:firstLine="413"/>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3、报价说明</w:t>
      </w:r>
    </w:p>
    <w:p w14:paraId="2A29B19E">
      <w:pPr>
        <w:tabs>
          <w:tab w:val="left" w:pos="5250"/>
        </w:tabs>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的报价为综合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w:t>
      </w:r>
      <w:r>
        <w:rPr>
          <w:rFonts w:hint="eastAsia" w:ascii="宋体" w:hAnsi="宋体" w:cs="宋体"/>
          <w:color w:val="auto"/>
          <w:szCs w:val="21"/>
          <w:highlight w:val="none"/>
          <w:lang w:eastAsia="zh-CN"/>
        </w:rPr>
        <w:t>投标单位</w:t>
      </w:r>
      <w:r>
        <w:rPr>
          <w:rFonts w:hint="eastAsia" w:ascii="宋体" w:hAnsi="宋体" w:cs="宋体"/>
          <w:color w:val="auto"/>
          <w:szCs w:val="21"/>
          <w:highlight w:val="none"/>
        </w:rPr>
        <w:t>不得再要求追加任何费用。同时，除非合同条款中另有规定，否则，</w:t>
      </w:r>
      <w:r>
        <w:rPr>
          <w:rFonts w:hint="eastAsia" w:ascii="宋体" w:hAnsi="宋体" w:cs="宋体"/>
          <w:color w:val="auto"/>
          <w:szCs w:val="21"/>
          <w:highlight w:val="none"/>
          <w:lang w:eastAsia="zh-CN"/>
        </w:rPr>
        <w:t>投标单位</w:t>
      </w:r>
      <w:r>
        <w:rPr>
          <w:rFonts w:hint="eastAsia" w:ascii="宋体" w:hAnsi="宋体" w:cs="宋体"/>
          <w:color w:val="auto"/>
          <w:szCs w:val="21"/>
          <w:highlight w:val="none"/>
        </w:rPr>
        <w:t>所报价格在合同实施期间不因市场变化因素而变动。</w:t>
      </w:r>
    </w:p>
    <w:p w14:paraId="7FE90D42">
      <w:pPr>
        <w:tabs>
          <w:tab w:val="left" w:pos="5250"/>
        </w:tabs>
        <w:spacing w:line="440" w:lineRule="exact"/>
        <w:ind w:firstLine="413"/>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4、其它要求</w:t>
      </w:r>
    </w:p>
    <w:p w14:paraId="23DB7A34">
      <w:pPr>
        <w:tabs>
          <w:tab w:val="left" w:pos="5250"/>
        </w:tabs>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（1）本项目所形成的数据成果归采购人所有。项目任务实施中涉及的相关保密数据、资料、文档等按照相应相关保密规定执行，</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单位有对资料保密的义务。不得以商业目的使用该资料或者开发和生产其他产品；</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单位可根据需要对资料内容进行必要的修改和对数据格式进行转换，但未经许可，不得将修改、转换后的数据对外发布和提供。</w:t>
      </w:r>
    </w:p>
    <w:p w14:paraId="295C29DE">
      <w:pPr>
        <w:tabs>
          <w:tab w:val="left" w:pos="5250"/>
        </w:tabs>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投标单位</w:t>
      </w:r>
      <w:r>
        <w:rPr>
          <w:rFonts w:hint="eastAsia" w:ascii="宋体" w:hAnsi="宋体" w:cs="宋体"/>
          <w:color w:val="auto"/>
          <w:szCs w:val="21"/>
          <w:highlight w:val="none"/>
        </w:rPr>
        <w:t>必须承诺采购文件中提出的全部服务要求；如果以其中某些条款不响应时，应在文件中逐条列出，未列出的视同响应。</w:t>
      </w:r>
    </w:p>
    <w:p w14:paraId="1EBEDBBA">
      <w:pPr>
        <w:tabs>
          <w:tab w:val="left" w:pos="5250"/>
        </w:tabs>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单位工作人员在岗履行职责期间（包括上下班途中），发生自身的人身伤害、伤亡，均由</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单位负责处理并承担经济和道义上的责任，采购单位不承担任何责任。</w:t>
      </w:r>
    </w:p>
    <w:p w14:paraId="7D8C51FE">
      <w:pPr>
        <w:tabs>
          <w:tab w:val="left" w:pos="5250"/>
        </w:tabs>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eastAsia="zh-CN"/>
        </w:rPr>
        <w:t>投标单位</w:t>
      </w:r>
      <w:r>
        <w:rPr>
          <w:rFonts w:hint="eastAsia" w:ascii="宋体" w:hAnsi="宋体" w:cs="宋体"/>
          <w:color w:val="auto"/>
          <w:szCs w:val="21"/>
          <w:highlight w:val="none"/>
        </w:rPr>
        <w:t>应对全部内容进行报价，只投其中部分内容者，</w:t>
      </w:r>
      <w:r>
        <w:rPr>
          <w:rFonts w:hint="eastAsia" w:ascii="宋体" w:hAnsi="宋体" w:cs="宋体"/>
          <w:color w:val="auto"/>
          <w:szCs w:val="21"/>
          <w:highlight w:val="none"/>
          <w:lang w:val="en-US" w:eastAsia="zh-CN"/>
        </w:rPr>
        <w:t>视为不响应招标文件</w:t>
      </w:r>
      <w:r>
        <w:rPr>
          <w:rFonts w:hint="eastAsia" w:ascii="宋体" w:hAnsi="宋体" w:cs="宋体"/>
          <w:color w:val="auto"/>
          <w:szCs w:val="21"/>
          <w:highlight w:val="none"/>
        </w:rPr>
        <w:t>。</w:t>
      </w:r>
    </w:p>
    <w:p w14:paraId="67DAB205">
      <w:pPr>
        <w:tabs>
          <w:tab w:val="left" w:pos="5250"/>
        </w:tabs>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eastAsia="zh-CN"/>
        </w:rPr>
        <w:t>投标单位</w:t>
      </w:r>
      <w:r>
        <w:rPr>
          <w:rFonts w:hint="eastAsia" w:ascii="宋体" w:hAnsi="宋体" w:cs="宋体"/>
          <w:color w:val="auto"/>
          <w:szCs w:val="21"/>
          <w:highlight w:val="none"/>
        </w:rPr>
        <w:t>必须保证全部</w:t>
      </w: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资料的真实性，在</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结果公示期间，</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单位须提供相关响应原件资料以供与复印件资料核对。如有虚假或对磋商文件所要求说明的情况故意隐瞒或虚报，取消其</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的资格，并将按照《中华人民共和国政府采购法》相关条款给予处罚。</w:t>
      </w:r>
    </w:p>
    <w:p w14:paraId="6819382C">
      <w:pPr>
        <w:rPr>
          <w:color w:val="auto"/>
          <w:highlight w:val="none"/>
        </w:rPr>
      </w:pPr>
      <w:r>
        <w:rPr>
          <w:rFonts w:hint="eastAsia" w:ascii="宋体" w:hAnsi="宋体" w:cs="宋体"/>
          <w:b/>
          <w:color w:val="auto"/>
          <w:szCs w:val="21"/>
          <w:highlight w:val="none"/>
          <w:lang w:val="en-US" w:eastAsia="zh-CN"/>
        </w:rPr>
        <w:t>三</w:t>
      </w:r>
      <w:r>
        <w:rPr>
          <w:rFonts w:hint="eastAsia" w:ascii="宋体" w:hAnsi="宋体" w:cs="宋体"/>
          <w:b/>
          <w:color w:val="auto"/>
          <w:szCs w:val="21"/>
          <w:highlight w:val="none"/>
          <w:lang w:val="zh-CN"/>
        </w:rPr>
        <w:t>、凡涉及采购文件的补充说明和修改，均以</w:t>
      </w:r>
      <w:r>
        <w:rPr>
          <w:rFonts w:hint="eastAsia" w:ascii="宋体" w:hAnsi="宋体" w:cs="宋体"/>
          <w:b/>
          <w:color w:val="auto"/>
          <w:szCs w:val="21"/>
          <w:highlight w:val="none"/>
          <w:lang w:val="en-US" w:eastAsia="zh-CN"/>
        </w:rPr>
        <w:t>江苏省</w:t>
      </w:r>
      <w:r>
        <w:rPr>
          <w:rFonts w:hint="eastAsia" w:ascii="宋体" w:hAnsi="宋体" w:cs="宋体"/>
          <w:b/>
          <w:color w:val="auto"/>
          <w:szCs w:val="21"/>
          <w:highlight w:val="none"/>
          <w:lang w:val="zh-CN"/>
        </w:rPr>
        <w:t xml:space="preserve">政府采购网上发布的通知为准。  </w:t>
      </w:r>
    </w:p>
    <w:p w14:paraId="035802B8">
      <w:pPr>
        <w:pStyle w:val="21"/>
        <w:spacing w:line="500" w:lineRule="exact"/>
        <w:rPr>
          <w:rFonts w:hint="eastAsia" w:asciiTheme="majorEastAsia" w:hAnsiTheme="majorEastAsia" w:eastAsiaTheme="majorEastAsia" w:cstheme="majorEastAsia"/>
          <w:color w:val="auto"/>
          <w:sz w:val="24"/>
          <w:szCs w:val="24"/>
          <w:highlight w:val="none"/>
        </w:rPr>
        <w:sectPr>
          <w:footerReference r:id="rId3" w:type="default"/>
          <w:pgSz w:w="11906" w:h="16838"/>
          <w:pgMar w:top="1440" w:right="1558" w:bottom="1440" w:left="1800" w:header="851" w:footer="992" w:gutter="0"/>
          <w:cols w:space="425" w:num="1"/>
          <w:docGrid w:type="lines" w:linePitch="312" w:charSpace="0"/>
        </w:sectPr>
      </w:pPr>
    </w:p>
    <w:p w14:paraId="41D3C58E">
      <w:pPr>
        <w:jc w:val="center"/>
        <w:outlineLvl w:val="0"/>
        <w:rPr>
          <w:rFonts w:hint="eastAsia" w:asciiTheme="majorEastAsia" w:hAnsiTheme="majorEastAsia" w:eastAsiaTheme="majorEastAsia" w:cstheme="majorEastAsia"/>
          <w:b/>
          <w:color w:val="auto"/>
          <w:highlight w:val="none"/>
        </w:rPr>
      </w:pPr>
      <w:bookmarkStart w:id="308" w:name="_Toc19231"/>
      <w:r>
        <w:rPr>
          <w:rFonts w:hint="eastAsia" w:asciiTheme="majorEastAsia" w:hAnsiTheme="majorEastAsia" w:eastAsiaTheme="majorEastAsia" w:cstheme="majorEastAsia"/>
          <w:color w:val="auto"/>
          <w:sz w:val="44"/>
          <w:szCs w:val="44"/>
          <w:highlight w:val="none"/>
        </w:rPr>
        <w:t xml:space="preserve">第六章 </w:t>
      </w:r>
      <w:r>
        <w:rPr>
          <w:rFonts w:hint="eastAsia" w:asciiTheme="majorEastAsia" w:hAnsiTheme="majorEastAsia" w:eastAsiaTheme="majorEastAsia" w:cstheme="majorEastAsia"/>
          <w:b/>
          <w:color w:val="auto"/>
          <w:sz w:val="44"/>
          <w:szCs w:val="44"/>
          <w:highlight w:val="none"/>
        </w:rPr>
        <w:t>投标文件的编制要求及参考格式</w:t>
      </w:r>
      <w:bookmarkEnd w:id="308"/>
      <w:r>
        <w:rPr>
          <w:rFonts w:hint="eastAsia" w:asciiTheme="majorEastAsia" w:hAnsiTheme="majorEastAsia" w:eastAsiaTheme="majorEastAsia" w:cstheme="majorEastAsia"/>
          <w:b/>
          <w:color w:val="auto"/>
          <w:highlight w:val="none"/>
        </w:rPr>
        <w:t xml:space="preserve"> </w:t>
      </w:r>
      <w:bookmarkStart w:id="309" w:name="_Hlt26671244"/>
      <w:bookmarkEnd w:id="309"/>
      <w:bookmarkStart w:id="310" w:name="_Hlt26955039"/>
      <w:bookmarkEnd w:id="310"/>
      <w:bookmarkStart w:id="311" w:name="_Toc26554094"/>
      <w:bookmarkStart w:id="312" w:name="_Toc49090576"/>
      <w:bookmarkStart w:id="313" w:name="_Toc282446331"/>
      <w:bookmarkStart w:id="314" w:name="_Toc120614282"/>
      <w:bookmarkStart w:id="315" w:name="_Toc288030359"/>
    </w:p>
    <w:p w14:paraId="5447920E">
      <w:pPr>
        <w:pStyle w:val="20"/>
        <w:spacing w:line="360" w:lineRule="exact"/>
        <w:ind w:left="646" w:firstLine="0"/>
        <w:jc w:val="center"/>
        <w:rPr>
          <w:rFonts w:hint="eastAsia" w:asciiTheme="majorEastAsia" w:hAnsiTheme="majorEastAsia" w:eastAsiaTheme="majorEastAsia" w:cstheme="majorEastAsia"/>
          <w:b/>
          <w:color w:val="auto"/>
          <w:sz w:val="44"/>
          <w:szCs w:val="44"/>
          <w:highlight w:val="none"/>
        </w:rPr>
      </w:pPr>
    </w:p>
    <w:p w14:paraId="0400EAF5">
      <w:pPr>
        <w:spacing w:line="500" w:lineRule="exact"/>
        <w:outlineLvl w:val="1"/>
        <w:rPr>
          <w:rFonts w:hint="eastAsia" w:asciiTheme="majorEastAsia" w:hAnsiTheme="majorEastAsia" w:eastAsiaTheme="majorEastAsia" w:cstheme="majorEastAsia"/>
          <w:color w:val="auto"/>
          <w:highlight w:val="none"/>
        </w:rPr>
      </w:pPr>
      <w:bookmarkStart w:id="316" w:name="_Toc426469932"/>
      <w:bookmarkStart w:id="317" w:name="_Toc26281"/>
      <w:r>
        <w:rPr>
          <w:rFonts w:hint="eastAsia" w:asciiTheme="majorEastAsia" w:hAnsiTheme="majorEastAsia" w:eastAsiaTheme="majorEastAsia" w:cstheme="majorEastAsia"/>
          <w:color w:val="auto"/>
          <w:highlight w:val="none"/>
        </w:rPr>
        <w:t>1.投标文件的组成</w:t>
      </w:r>
      <w:bookmarkEnd w:id="316"/>
      <w:bookmarkEnd w:id="317"/>
    </w:p>
    <w:p w14:paraId="70A5D1C1">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bookmarkStart w:id="318" w:name="_Toc426469933"/>
      <w:r>
        <w:rPr>
          <w:rFonts w:hint="eastAsia" w:asciiTheme="majorEastAsia" w:hAnsiTheme="majorEastAsia" w:eastAsiaTheme="majorEastAsia" w:cstheme="majorEastAsia"/>
          <w:color w:val="auto"/>
          <w:highlight w:val="none"/>
        </w:rPr>
        <w:t>见本招标文件第二章3.1条。</w:t>
      </w:r>
    </w:p>
    <w:p w14:paraId="5A589597">
      <w:pPr>
        <w:spacing w:line="500" w:lineRule="exact"/>
        <w:outlineLvl w:val="1"/>
        <w:rPr>
          <w:rFonts w:hint="eastAsia" w:asciiTheme="majorEastAsia" w:hAnsiTheme="majorEastAsia" w:eastAsiaTheme="majorEastAsia" w:cstheme="majorEastAsia"/>
          <w:color w:val="auto"/>
          <w:highlight w:val="none"/>
        </w:rPr>
      </w:pPr>
      <w:bookmarkStart w:id="319" w:name="_Toc10906"/>
      <w:r>
        <w:rPr>
          <w:rFonts w:hint="eastAsia" w:asciiTheme="majorEastAsia" w:hAnsiTheme="majorEastAsia" w:eastAsiaTheme="majorEastAsia" w:cstheme="majorEastAsia"/>
          <w:color w:val="auto"/>
          <w:highlight w:val="none"/>
        </w:rPr>
        <w:t>2.投标文件的编制内容及编制要求</w:t>
      </w:r>
      <w:bookmarkEnd w:id="318"/>
      <w:bookmarkEnd w:id="319"/>
    </w:p>
    <w:p w14:paraId="353B129E">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2.1开标一览表</w:t>
      </w:r>
    </w:p>
    <w:p w14:paraId="1BD1D0E6">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2.1.1 供应商应按表中格式完整、清晰、正确填写；</w:t>
      </w:r>
    </w:p>
    <w:p w14:paraId="67F95907">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2.1.2开标一览表中的价格应与投标文件中</w:t>
      </w:r>
      <w:bookmarkStart w:id="320" w:name="OLE_LINK8"/>
      <w:r>
        <w:rPr>
          <w:rFonts w:hint="eastAsia" w:asciiTheme="majorEastAsia" w:hAnsiTheme="majorEastAsia" w:eastAsiaTheme="majorEastAsia" w:cstheme="majorEastAsia"/>
          <w:color w:val="auto"/>
          <w:highlight w:val="none"/>
        </w:rPr>
        <w:t>投标报价明细表</w:t>
      </w:r>
      <w:bookmarkEnd w:id="320"/>
      <w:r>
        <w:rPr>
          <w:rFonts w:hint="eastAsia" w:asciiTheme="majorEastAsia" w:hAnsiTheme="majorEastAsia" w:eastAsiaTheme="majorEastAsia" w:cstheme="majorEastAsia"/>
          <w:color w:val="auto"/>
          <w:highlight w:val="none"/>
        </w:rPr>
        <w:t>中的价格一致；</w:t>
      </w:r>
    </w:p>
    <w:p w14:paraId="5702205D">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2.1.3开标一览表格式见附件。</w:t>
      </w:r>
    </w:p>
    <w:p w14:paraId="28C9C22E">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2.2 投标函</w:t>
      </w:r>
    </w:p>
    <w:p w14:paraId="2DB98A4F">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2.2.1供应商应按表中规定格式完整、清晰、正确填写；</w:t>
      </w:r>
    </w:p>
    <w:p w14:paraId="570980AA">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2.2.2投标函必须加盖供应商法人公章并经法定代表人签字或签章。</w:t>
      </w:r>
    </w:p>
    <w:p w14:paraId="44E242F2">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2.3资格条件证明文件</w:t>
      </w:r>
    </w:p>
    <w:p w14:paraId="15F2DD50">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（1）供应商基本资格条件承诺函；</w:t>
      </w:r>
    </w:p>
    <w:p w14:paraId="068D671C">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（2）招标文件要求的其他资格条件证明材料。</w:t>
      </w:r>
    </w:p>
    <w:p w14:paraId="2E9FCA43">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2.4投标偏离表</w:t>
      </w:r>
    </w:p>
    <w:p w14:paraId="4088A90B">
      <w:pPr>
        <w:spacing w:line="500" w:lineRule="exact"/>
        <w:ind w:firstLine="480" w:firstLineChars="20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color w:val="auto"/>
          <w:highlight w:val="none"/>
        </w:rPr>
        <w:t>供应商应仔细阅读招标文件第五章采购需求，结合自身的实际情况，如实编制，格式自拟。</w:t>
      </w:r>
      <w:r>
        <w:rPr>
          <w:rFonts w:hint="eastAsia" w:asciiTheme="majorEastAsia" w:hAnsiTheme="majorEastAsia" w:eastAsiaTheme="majorEastAsia" w:cstheme="majorEastAsia"/>
          <w:b/>
          <w:color w:val="auto"/>
          <w:highlight w:val="none"/>
        </w:rPr>
        <w:t>投标偏离表须详细说明实际提供的服务及其他采购需求中相关要求的响应情况。</w:t>
      </w:r>
    </w:p>
    <w:p w14:paraId="444753CF">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2.5供应商认为应列入投标文件的其他材料</w:t>
      </w:r>
    </w:p>
    <w:p w14:paraId="30F12608">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供应商应对照第三章评标办法中的评审因素，结合自身的实际情况，如实编制，格式自拟。</w:t>
      </w:r>
    </w:p>
    <w:p w14:paraId="3C6436B1">
      <w:pPr>
        <w:spacing w:line="500" w:lineRule="exact"/>
        <w:outlineLvl w:val="1"/>
        <w:rPr>
          <w:rFonts w:hint="eastAsia" w:asciiTheme="majorEastAsia" w:hAnsiTheme="majorEastAsia" w:eastAsiaTheme="majorEastAsia" w:cstheme="majorEastAsia"/>
          <w:color w:val="auto"/>
          <w:sz w:val="32"/>
          <w:szCs w:val="32"/>
          <w:highlight w:val="none"/>
        </w:rPr>
      </w:pPr>
      <w:bookmarkStart w:id="321" w:name="_Toc426469934"/>
      <w:r>
        <w:rPr>
          <w:rFonts w:hint="eastAsia" w:asciiTheme="majorEastAsia" w:hAnsiTheme="majorEastAsia" w:eastAsiaTheme="majorEastAsia" w:cstheme="majorEastAsia"/>
          <w:color w:val="auto"/>
          <w:sz w:val="32"/>
          <w:szCs w:val="32"/>
          <w:highlight w:val="none"/>
        </w:rPr>
        <w:br w:type="page"/>
      </w:r>
      <w:bookmarkStart w:id="322" w:name="_Toc9930"/>
      <w:r>
        <w:rPr>
          <w:rFonts w:hint="eastAsia" w:asciiTheme="majorEastAsia" w:hAnsiTheme="majorEastAsia" w:eastAsiaTheme="majorEastAsia" w:cstheme="majorEastAsia"/>
          <w:color w:val="auto"/>
          <w:sz w:val="32"/>
          <w:szCs w:val="32"/>
          <w:highlight w:val="none"/>
        </w:rPr>
        <w:t>3. 投标文件参考格式</w:t>
      </w:r>
      <w:bookmarkEnd w:id="311"/>
      <w:bookmarkEnd w:id="312"/>
      <w:bookmarkEnd w:id="313"/>
      <w:bookmarkEnd w:id="314"/>
      <w:bookmarkEnd w:id="315"/>
      <w:bookmarkEnd w:id="321"/>
      <w:bookmarkEnd w:id="322"/>
      <w:bookmarkStart w:id="323" w:name="_Toc426469936"/>
      <w:bookmarkStart w:id="324" w:name="_Toc426469937"/>
      <w:bookmarkStart w:id="325" w:name="_Toc382813957"/>
      <w:bookmarkStart w:id="326" w:name="_Toc382814038"/>
      <w:bookmarkStart w:id="327" w:name="_Toc382811202"/>
      <w:bookmarkStart w:id="328" w:name="_Toc382812316"/>
      <w:bookmarkStart w:id="329" w:name="_Toc383679822"/>
      <w:bookmarkStart w:id="330" w:name="_Toc390246998"/>
      <w:bookmarkStart w:id="331" w:name="_Toc383698722"/>
      <w:bookmarkStart w:id="332" w:name="_Toc383626069"/>
      <w:bookmarkStart w:id="333" w:name="_Toc383624021"/>
      <w:bookmarkStart w:id="334" w:name="_Toc390099111"/>
      <w:bookmarkStart w:id="335" w:name="_Toc383587529"/>
      <w:bookmarkStart w:id="336" w:name="_Toc382811607"/>
      <w:bookmarkStart w:id="337" w:name="_Toc382812507"/>
      <w:bookmarkStart w:id="338" w:name="_Toc390098915"/>
      <w:bookmarkStart w:id="339" w:name="_Toc383623749"/>
    </w:p>
    <w:p w14:paraId="211CC1EE">
      <w:pPr>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3.1投标文件封面格式</w:t>
      </w:r>
      <w:bookmarkEnd w:id="323"/>
    </w:p>
    <w:p w14:paraId="3C2524AD">
      <w:pPr>
        <w:spacing w:line="360" w:lineRule="exact"/>
        <w:ind w:firstLine="480" w:firstLineChars="200"/>
        <w:jc w:val="center"/>
        <w:rPr>
          <w:rFonts w:hint="eastAsia" w:asciiTheme="majorEastAsia" w:hAnsiTheme="majorEastAsia" w:eastAsiaTheme="majorEastAsia" w:cstheme="majorEastAsia"/>
          <w:color w:val="auto"/>
          <w:highlight w:val="none"/>
        </w:rPr>
      </w:pPr>
    </w:p>
    <w:p w14:paraId="64192158">
      <w:pPr>
        <w:spacing w:line="360" w:lineRule="exact"/>
        <w:ind w:firstLine="480" w:firstLineChars="200"/>
        <w:jc w:val="center"/>
        <w:rPr>
          <w:rFonts w:hint="eastAsia" w:asciiTheme="majorEastAsia" w:hAnsiTheme="majorEastAsia" w:eastAsiaTheme="majorEastAsia" w:cstheme="majorEastAsia"/>
          <w:color w:val="auto"/>
          <w:highlight w:val="none"/>
        </w:rPr>
      </w:pPr>
    </w:p>
    <w:p w14:paraId="0B43335F">
      <w:pPr>
        <w:jc w:val="center"/>
        <w:rPr>
          <w:rFonts w:hint="eastAsia" w:asciiTheme="majorEastAsia" w:hAnsiTheme="majorEastAsia" w:eastAsiaTheme="majorEastAsia" w:cstheme="majorEastAsia"/>
          <w:b/>
          <w:color w:val="auto"/>
          <w:sz w:val="48"/>
          <w:szCs w:val="48"/>
          <w:highlight w:val="none"/>
        </w:rPr>
      </w:pPr>
      <w:r>
        <w:rPr>
          <w:rFonts w:hint="eastAsia" w:asciiTheme="majorEastAsia" w:hAnsiTheme="majorEastAsia" w:eastAsiaTheme="majorEastAsia" w:cstheme="majorEastAsia"/>
          <w:b/>
          <w:color w:val="auto"/>
          <w:sz w:val="48"/>
          <w:szCs w:val="48"/>
          <w:highlight w:val="none"/>
        </w:rPr>
        <w:t>投标文件</w:t>
      </w:r>
    </w:p>
    <w:p w14:paraId="7B4E5412">
      <w:pPr>
        <w:pStyle w:val="2"/>
        <w:rPr>
          <w:rFonts w:hint="eastAsia" w:asciiTheme="majorEastAsia" w:hAnsiTheme="majorEastAsia" w:eastAsiaTheme="majorEastAsia" w:cstheme="majorEastAsia"/>
          <w:color w:val="auto"/>
          <w:highlight w:val="none"/>
        </w:rPr>
      </w:pPr>
    </w:p>
    <w:p w14:paraId="4E1DE0D1">
      <w:pPr>
        <w:spacing w:line="440" w:lineRule="exact"/>
        <w:ind w:firstLine="2160" w:firstLineChars="9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采购项目名称：</w:t>
      </w:r>
    </w:p>
    <w:p w14:paraId="349482E4">
      <w:pPr>
        <w:spacing w:line="44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采购项目编号：</w:t>
      </w:r>
    </w:p>
    <w:p w14:paraId="4179D505">
      <w:pPr>
        <w:spacing w:line="360" w:lineRule="exact"/>
        <w:ind w:firstLine="1080" w:firstLineChars="450"/>
        <w:rPr>
          <w:rFonts w:hint="eastAsia" w:asciiTheme="majorEastAsia" w:hAnsiTheme="majorEastAsia" w:eastAsiaTheme="majorEastAsia" w:cstheme="majorEastAsia"/>
          <w:color w:val="auto"/>
          <w:highlight w:val="none"/>
        </w:rPr>
      </w:pPr>
    </w:p>
    <w:p w14:paraId="36BBE150">
      <w:pPr>
        <w:spacing w:line="360" w:lineRule="exact"/>
        <w:ind w:firstLine="480" w:firstLineChars="200"/>
        <w:rPr>
          <w:rFonts w:hint="eastAsia" w:asciiTheme="majorEastAsia" w:hAnsiTheme="majorEastAsia" w:eastAsiaTheme="majorEastAsia" w:cstheme="majorEastAsia"/>
          <w:color w:val="auto"/>
          <w:highlight w:val="none"/>
        </w:rPr>
      </w:pPr>
    </w:p>
    <w:p w14:paraId="7EC98475">
      <w:pPr>
        <w:tabs>
          <w:tab w:val="left" w:pos="2700"/>
        </w:tabs>
        <w:spacing w:line="40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供应商名称：</w:t>
      </w:r>
      <w:r>
        <w:rPr>
          <w:rFonts w:hint="eastAsia" w:asciiTheme="majorEastAsia" w:hAnsiTheme="majorEastAsia" w:eastAsiaTheme="majorEastAsia" w:cstheme="majorEastAsia"/>
          <w:color w:val="auto"/>
          <w:highlight w:val="none"/>
          <w:u w:val="single"/>
        </w:rPr>
        <w:t xml:space="preserve">  （盖法人章）     </w:t>
      </w:r>
    </w:p>
    <w:p w14:paraId="75BDBEC4">
      <w:pPr>
        <w:tabs>
          <w:tab w:val="left" w:pos="2700"/>
        </w:tabs>
        <w:spacing w:line="40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联系人：</w:t>
      </w:r>
    </w:p>
    <w:p w14:paraId="38508CE7">
      <w:pPr>
        <w:tabs>
          <w:tab w:val="left" w:pos="2700"/>
        </w:tabs>
        <w:spacing w:line="40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联系电话：</w:t>
      </w:r>
    </w:p>
    <w:p w14:paraId="73FD16A7">
      <w:pPr>
        <w:spacing w:line="400" w:lineRule="exact"/>
        <w:ind w:firstLine="2160" w:firstLineChars="9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日期：______年____月____日</w:t>
      </w:r>
    </w:p>
    <w:p w14:paraId="03A3DBF1">
      <w:pPr>
        <w:spacing w:line="400" w:lineRule="exact"/>
        <w:ind w:firstLine="2520" w:firstLineChars="900"/>
        <w:rPr>
          <w:rFonts w:hint="eastAsia" w:asciiTheme="majorEastAsia" w:hAnsiTheme="majorEastAsia" w:eastAsiaTheme="majorEastAsia" w:cstheme="majorEastAsia"/>
          <w:color w:val="auto"/>
          <w:sz w:val="28"/>
          <w:szCs w:val="28"/>
          <w:highlight w:val="none"/>
        </w:rPr>
      </w:pPr>
    </w:p>
    <w:p w14:paraId="4877C570">
      <w:pPr>
        <w:spacing w:line="400" w:lineRule="exact"/>
        <w:rPr>
          <w:rFonts w:hint="eastAsia" w:asciiTheme="majorEastAsia" w:hAnsiTheme="majorEastAsia" w:eastAsiaTheme="majorEastAsia" w:cstheme="majorEastAsia"/>
          <w:color w:val="auto"/>
          <w:sz w:val="28"/>
          <w:szCs w:val="28"/>
          <w:highlight w:val="none"/>
        </w:rPr>
      </w:pPr>
    </w:p>
    <w:p w14:paraId="6C1BABE2">
      <w:pPr>
        <w:spacing w:line="400" w:lineRule="exact"/>
        <w:rPr>
          <w:rFonts w:hint="eastAsia" w:asciiTheme="majorEastAsia" w:hAnsiTheme="majorEastAsia" w:eastAsiaTheme="majorEastAsia" w:cstheme="majorEastAsia"/>
          <w:color w:val="auto"/>
          <w:sz w:val="28"/>
          <w:szCs w:val="28"/>
          <w:highlight w:val="none"/>
        </w:rPr>
      </w:pPr>
    </w:p>
    <w:p w14:paraId="2D567ACB">
      <w:pPr>
        <w:spacing w:line="400" w:lineRule="exact"/>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3.2 开标一览表</w:t>
      </w:r>
      <w:bookmarkEnd w:id="324"/>
    </w:p>
    <w:p w14:paraId="4D7B66AE">
      <w:pPr>
        <w:rPr>
          <w:rFonts w:hint="eastAsia" w:asciiTheme="majorEastAsia" w:hAnsiTheme="majorEastAsia" w:eastAsiaTheme="majorEastAsia" w:cstheme="majorEastAsia"/>
          <w:b/>
          <w:color w:val="auto"/>
          <w:sz w:val="32"/>
          <w:szCs w:val="32"/>
          <w:highlight w:val="none"/>
        </w:rPr>
      </w:pPr>
      <w:bookmarkStart w:id="340" w:name="_Toc426469938"/>
      <w:r>
        <w:rPr>
          <w:rFonts w:hint="eastAsia" w:asciiTheme="majorEastAsia" w:hAnsiTheme="majorEastAsia" w:eastAsiaTheme="majorEastAsia" w:cstheme="majorEastAsia"/>
          <w:color w:val="auto"/>
          <w:highlight w:val="none"/>
        </w:rPr>
        <w:t xml:space="preserve">                  </w:t>
      </w:r>
      <w:r>
        <w:rPr>
          <w:rFonts w:hint="eastAsia" w:asciiTheme="majorEastAsia" w:hAnsiTheme="majorEastAsia" w:eastAsiaTheme="majorEastAsia" w:cstheme="majorEastAsia"/>
          <w:b/>
          <w:color w:val="auto"/>
          <w:sz w:val="32"/>
          <w:szCs w:val="32"/>
          <w:highlight w:val="none"/>
        </w:rPr>
        <w:t>开标一览表</w:t>
      </w:r>
    </w:p>
    <w:p w14:paraId="54D128B2">
      <w:pPr>
        <w:pStyle w:val="2"/>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供应商名称（加盖公章）：</w:t>
      </w:r>
    </w:p>
    <w:p w14:paraId="2BBF5132">
      <w:pPr>
        <w:pStyle w:val="2"/>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p>
    <w:p w14:paraId="5741F6BA">
      <w:pPr>
        <w:pStyle w:val="2"/>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项目编号：</w:t>
      </w:r>
    </w:p>
    <w:tbl>
      <w:tblPr>
        <w:tblStyle w:val="27"/>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6"/>
        <w:gridCol w:w="5245"/>
      </w:tblGrid>
      <w:tr w14:paraId="1ED99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33958A53">
            <w:pPr>
              <w:pStyle w:val="2"/>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p>
        </w:tc>
        <w:tc>
          <w:tcPr>
            <w:tcW w:w="5245" w:type="dxa"/>
          </w:tcPr>
          <w:p w14:paraId="60FE7DDC">
            <w:pPr>
              <w:pStyle w:val="2"/>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总报价</w:t>
            </w:r>
          </w:p>
        </w:tc>
      </w:tr>
      <w:tr w14:paraId="64B9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6" w:type="dxa"/>
          </w:tcPr>
          <w:p w14:paraId="0C4CF696">
            <w:pPr>
              <w:pStyle w:val="2"/>
              <w:rPr>
                <w:rFonts w:hint="eastAsia" w:asciiTheme="majorEastAsia" w:hAnsiTheme="majorEastAsia" w:eastAsiaTheme="majorEastAsia" w:cstheme="majorEastAsia"/>
                <w:color w:val="auto"/>
                <w:highlight w:val="none"/>
              </w:rPr>
            </w:pPr>
          </w:p>
        </w:tc>
        <w:tc>
          <w:tcPr>
            <w:tcW w:w="5245" w:type="dxa"/>
          </w:tcPr>
          <w:p w14:paraId="0F09EAF8">
            <w:pPr>
              <w:pStyle w:val="2"/>
              <w:spacing w:line="46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大写：</w:t>
            </w:r>
          </w:p>
          <w:p w14:paraId="6E77074F">
            <w:pPr>
              <w:pStyle w:val="2"/>
              <w:spacing w:line="46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小写：        （元）（人民币）</w:t>
            </w:r>
          </w:p>
        </w:tc>
      </w:tr>
    </w:tbl>
    <w:p w14:paraId="0F41B1C1">
      <w:pPr>
        <w:rPr>
          <w:rFonts w:hint="eastAsia" w:asciiTheme="majorEastAsia" w:hAnsiTheme="majorEastAsia" w:eastAsiaTheme="majorEastAsia" w:cstheme="majorEastAsia"/>
          <w:color w:val="auto"/>
          <w:highlight w:val="none"/>
        </w:rPr>
      </w:pPr>
    </w:p>
    <w:p w14:paraId="6EA33A04">
      <w:pPr>
        <w:spacing w:line="400" w:lineRule="exact"/>
        <w:ind w:firstLine="2160" w:firstLineChars="9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日期：______年____月____日</w:t>
      </w:r>
    </w:p>
    <w:p w14:paraId="0696223F">
      <w:pPr>
        <w:rPr>
          <w:rFonts w:hint="eastAsia" w:asciiTheme="majorEastAsia" w:hAnsiTheme="majorEastAsia" w:eastAsiaTheme="majorEastAsia" w:cstheme="majorEastAsia"/>
          <w:color w:val="auto"/>
          <w:highlight w:val="none"/>
        </w:rPr>
      </w:pPr>
    </w:p>
    <w:p w14:paraId="7872330E">
      <w:pP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highlight w:val="none"/>
        </w:rPr>
        <w:br w:type="page"/>
      </w:r>
      <w:r>
        <w:rPr>
          <w:rFonts w:hint="eastAsia" w:asciiTheme="majorEastAsia" w:hAnsiTheme="majorEastAsia" w:eastAsiaTheme="majorEastAsia" w:cstheme="majorEastAsia"/>
          <w:b/>
          <w:color w:val="auto"/>
          <w:sz w:val="28"/>
          <w:szCs w:val="28"/>
          <w:highlight w:val="none"/>
        </w:rPr>
        <w:t>3.3 投标函</w:t>
      </w:r>
      <w:bookmarkEnd w:id="340"/>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14:paraId="52362CD1">
      <w:pPr>
        <w:jc w:val="center"/>
        <w:rPr>
          <w:rFonts w:hint="eastAsia" w:asciiTheme="majorEastAsia" w:hAnsiTheme="majorEastAsia" w:eastAsiaTheme="majorEastAsia" w:cstheme="majorEastAsia"/>
          <w:color w:val="auto"/>
          <w:sz w:val="44"/>
          <w:szCs w:val="44"/>
          <w:highlight w:val="none"/>
        </w:rPr>
      </w:pPr>
      <w:bookmarkStart w:id="341" w:name="_Toc367785041"/>
      <w:r>
        <w:rPr>
          <w:rFonts w:hint="eastAsia" w:asciiTheme="majorEastAsia" w:hAnsiTheme="majorEastAsia" w:eastAsiaTheme="majorEastAsia" w:cstheme="majorEastAsia"/>
          <w:color w:val="auto"/>
          <w:sz w:val="44"/>
          <w:szCs w:val="44"/>
          <w:highlight w:val="none"/>
        </w:rPr>
        <w:t>投 标 函</w:t>
      </w:r>
      <w:bookmarkEnd w:id="341"/>
    </w:p>
    <w:p w14:paraId="311EF06F">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致：</w:t>
      </w:r>
      <w:r>
        <w:rPr>
          <w:rFonts w:hint="eastAsia" w:asciiTheme="majorEastAsia" w:hAnsiTheme="majorEastAsia" w:eastAsiaTheme="majorEastAsia" w:cstheme="majorEastAsia"/>
          <w:color w:val="auto"/>
          <w:highlight w:val="none"/>
          <w:u w:val="single"/>
        </w:rPr>
        <w:t>(采购人名称)</w:t>
      </w:r>
      <w:r>
        <w:rPr>
          <w:rFonts w:hint="eastAsia" w:asciiTheme="majorEastAsia" w:hAnsiTheme="majorEastAsia" w:eastAsiaTheme="majorEastAsia" w:cstheme="majorEastAsia"/>
          <w:color w:val="auto"/>
          <w:highlight w:val="none"/>
        </w:rPr>
        <w:t>：</w:t>
      </w:r>
    </w:p>
    <w:p w14:paraId="133C8347">
      <w:pPr>
        <w:spacing w:line="52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根据</w:t>
      </w:r>
      <w:r>
        <w:rPr>
          <w:rFonts w:hint="eastAsia" w:asciiTheme="majorEastAsia" w:hAnsiTheme="majorEastAsia" w:eastAsiaTheme="majorEastAsia" w:cstheme="majorEastAsia"/>
          <w:color w:val="auto"/>
          <w:highlight w:val="none"/>
          <w:u w:val="single"/>
        </w:rPr>
        <w:t xml:space="preserve">   （项目名称）    </w:t>
      </w:r>
      <w:r>
        <w:rPr>
          <w:rFonts w:hint="eastAsia" w:asciiTheme="majorEastAsia" w:hAnsiTheme="majorEastAsia" w:eastAsiaTheme="majorEastAsia" w:cstheme="majorEastAsia"/>
          <w:color w:val="auto"/>
          <w:highlight w:val="none"/>
        </w:rPr>
        <w:t>招标文件的所有条款要求，遵照《中华人民共和国政府采购法》、《中华人民共和国政府采购法实施条例》等有关规定，我方承诺如下：</w:t>
      </w:r>
    </w:p>
    <w:p w14:paraId="5D5520C1">
      <w:pPr>
        <w:spacing w:line="52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1、投标价格为（大写）：</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。如我方中标，投标总价即为合同价，在履行合同约定的责任和义务的过程中不再要求调增。</w:t>
      </w:r>
    </w:p>
    <w:p w14:paraId="14AB0540">
      <w:pPr>
        <w:spacing w:line="520" w:lineRule="exact"/>
        <w:ind w:firstLine="480" w:firstLineChars="200"/>
        <w:outlineLvl w:val="1"/>
        <w:rPr>
          <w:rFonts w:hint="eastAsia" w:asciiTheme="majorEastAsia" w:hAnsiTheme="majorEastAsia" w:eastAsiaTheme="majorEastAsia" w:cstheme="majorEastAsia"/>
          <w:color w:val="auto"/>
          <w:highlight w:val="none"/>
        </w:rPr>
      </w:pPr>
      <w:bookmarkStart w:id="342" w:name="_Toc30498"/>
      <w:r>
        <w:rPr>
          <w:rFonts w:hint="eastAsia" w:asciiTheme="majorEastAsia" w:hAnsiTheme="majorEastAsia" w:eastAsiaTheme="majorEastAsia" w:cstheme="majorEastAsia"/>
          <w:color w:val="auto"/>
          <w:highlight w:val="none"/>
        </w:rPr>
        <w:t>2、服务期限（工期）：</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w:t>
      </w:r>
      <w:bookmarkEnd w:id="342"/>
      <w:r>
        <w:rPr>
          <w:rFonts w:hint="eastAsia" w:asciiTheme="majorEastAsia" w:hAnsiTheme="majorEastAsia" w:eastAsiaTheme="majorEastAsia" w:cstheme="majorEastAsia"/>
          <w:color w:val="auto"/>
          <w:highlight w:val="none"/>
        </w:rPr>
        <w:t xml:space="preserve"> </w:t>
      </w:r>
    </w:p>
    <w:p w14:paraId="28576A76">
      <w:pPr>
        <w:spacing w:line="52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3、投标有效期：</w:t>
      </w:r>
      <w:r>
        <w:rPr>
          <w:rFonts w:hint="eastAsia" w:asciiTheme="majorEastAsia" w:hAnsiTheme="majorEastAsia" w:eastAsiaTheme="majorEastAsia" w:cstheme="majorEastAsia"/>
          <w:color w:val="auto"/>
          <w:highlight w:val="none"/>
          <w:u w:val="single"/>
        </w:rPr>
        <w:t xml:space="preserve"> 60天 </w:t>
      </w:r>
      <w:r>
        <w:rPr>
          <w:rFonts w:hint="eastAsia" w:asciiTheme="majorEastAsia" w:hAnsiTheme="majorEastAsia" w:eastAsiaTheme="majorEastAsia" w:cstheme="majorEastAsia"/>
          <w:color w:val="auto"/>
          <w:highlight w:val="none"/>
        </w:rPr>
        <w:t>。在投标有效期内我方同意遵守本投标文件中的承诺且在此期限期满之前投标文件对我方具有法律约束力。</w:t>
      </w:r>
    </w:p>
    <w:p w14:paraId="2017D1FD">
      <w:pPr>
        <w:spacing w:line="52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4、我方已详细审查全部招标文件。我们完全理解并同意放弃对这方面有不明及误解的权力。</w:t>
      </w:r>
    </w:p>
    <w:p w14:paraId="29F41492">
      <w:pPr>
        <w:spacing w:line="52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2C04C089">
      <w:pPr>
        <w:pStyle w:val="2"/>
        <w:rPr>
          <w:rFonts w:hint="eastAsia" w:asciiTheme="majorEastAsia" w:hAnsiTheme="majorEastAsia" w:eastAsiaTheme="majorEastAsia" w:cstheme="majorEastAsia"/>
          <w:color w:val="auto"/>
          <w:highlight w:val="none"/>
        </w:rPr>
      </w:pPr>
    </w:p>
    <w:p w14:paraId="3E4997E1">
      <w:pPr>
        <w:spacing w:line="520" w:lineRule="exact"/>
        <w:ind w:right="560" w:firstLine="2640" w:firstLineChars="1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供应商名称(盖法人章)：</w:t>
      </w:r>
    </w:p>
    <w:p w14:paraId="2B943812">
      <w:pPr>
        <w:spacing w:line="520" w:lineRule="exact"/>
        <w:ind w:firstLine="2640" w:firstLineChars="1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法定代表人 (签字或签章)：</w:t>
      </w:r>
    </w:p>
    <w:p w14:paraId="3DD80FA2">
      <w:pPr>
        <w:spacing w:line="520" w:lineRule="exact"/>
        <w:ind w:firstLine="2640" w:firstLineChars="1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日期：   年  月   日</w:t>
      </w:r>
    </w:p>
    <w:p w14:paraId="1552635C">
      <w:pP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br w:type="page"/>
      </w:r>
    </w:p>
    <w:p w14:paraId="32C8C0D7">
      <w:pPr>
        <w:rPr>
          <w:rFonts w:hint="eastAsia" w:ascii="宋体" w:hAnsi="宋体"/>
          <w:b/>
          <w:color w:val="auto"/>
          <w:szCs w:val="21"/>
          <w:highlight w:val="none"/>
          <w:lang w:val="zh-CN"/>
        </w:rPr>
      </w:pPr>
      <w:r>
        <w:rPr>
          <w:rFonts w:hint="eastAsia" w:ascii="宋体" w:hAnsi="宋体"/>
          <w:b/>
          <w:color w:val="auto"/>
          <w:szCs w:val="21"/>
          <w:highlight w:val="none"/>
        </w:rPr>
        <w:t>3.4投标报价明细表</w:t>
      </w:r>
      <w:r>
        <w:rPr>
          <w:rFonts w:hint="eastAsia" w:ascii="宋体" w:hAnsi="宋体"/>
          <w:b/>
          <w:color w:val="auto"/>
          <w:szCs w:val="21"/>
          <w:highlight w:val="none"/>
          <w:lang w:val="zh-CN"/>
        </w:rPr>
        <w:t>格式</w:t>
      </w:r>
    </w:p>
    <w:p w14:paraId="5BAF07F8">
      <w:pPr>
        <w:spacing w:line="360" w:lineRule="auto"/>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投标报价明细表</w:t>
      </w:r>
    </w:p>
    <w:p w14:paraId="4322AF1D">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项目编号：</w:t>
      </w:r>
    </w:p>
    <w:p w14:paraId="285EEFC7">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项目名称：</w:t>
      </w:r>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758"/>
        <w:gridCol w:w="1101"/>
        <w:gridCol w:w="1244"/>
        <w:gridCol w:w="1361"/>
        <w:gridCol w:w="1474"/>
      </w:tblGrid>
      <w:tr w14:paraId="62C2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53D2812A">
            <w:pPr>
              <w:jc w:val="center"/>
              <w:rPr>
                <w:b/>
                <w:color w:val="auto"/>
                <w:highlight w:val="none"/>
                <w:lang w:val="zh-CN"/>
              </w:rPr>
            </w:pPr>
            <w:r>
              <w:rPr>
                <w:rFonts w:hint="eastAsia" w:cs="宋体"/>
                <w:b/>
                <w:color w:val="auto"/>
                <w:highlight w:val="none"/>
                <w:lang w:val="zh-CN"/>
              </w:rPr>
              <w:t>序号</w:t>
            </w:r>
          </w:p>
        </w:tc>
        <w:tc>
          <w:tcPr>
            <w:tcW w:w="1556" w:type="pct"/>
            <w:tcBorders>
              <w:top w:val="single" w:color="auto" w:sz="4" w:space="0"/>
              <w:left w:val="single" w:color="auto" w:sz="4" w:space="0"/>
              <w:bottom w:val="single" w:color="auto" w:sz="4" w:space="0"/>
              <w:right w:val="single" w:color="auto" w:sz="4" w:space="0"/>
            </w:tcBorders>
            <w:noWrap/>
            <w:vAlign w:val="center"/>
          </w:tcPr>
          <w:p w14:paraId="7393D7CB">
            <w:pPr>
              <w:jc w:val="center"/>
              <w:rPr>
                <w:b/>
                <w:color w:val="auto"/>
                <w:highlight w:val="none"/>
                <w:lang w:val="zh-CN"/>
              </w:rPr>
            </w:pPr>
            <w:r>
              <w:rPr>
                <w:rFonts w:hint="eastAsia" w:cs="宋体"/>
                <w:b/>
                <w:color w:val="auto"/>
                <w:highlight w:val="none"/>
                <w:lang w:val="zh-CN"/>
              </w:rPr>
              <w:t>分项名称</w:t>
            </w:r>
          </w:p>
        </w:tc>
        <w:tc>
          <w:tcPr>
            <w:tcW w:w="621" w:type="pct"/>
            <w:tcBorders>
              <w:top w:val="single" w:color="auto" w:sz="4" w:space="0"/>
              <w:left w:val="single" w:color="auto" w:sz="4" w:space="0"/>
              <w:bottom w:val="single" w:color="auto" w:sz="4" w:space="0"/>
              <w:right w:val="single" w:color="auto" w:sz="4" w:space="0"/>
            </w:tcBorders>
            <w:noWrap/>
            <w:vAlign w:val="center"/>
          </w:tcPr>
          <w:p w14:paraId="7664A2BA">
            <w:pPr>
              <w:jc w:val="center"/>
              <w:rPr>
                <w:b/>
                <w:color w:val="auto"/>
                <w:highlight w:val="none"/>
                <w:lang w:val="zh-CN"/>
              </w:rPr>
            </w:pPr>
            <w:r>
              <w:rPr>
                <w:rFonts w:hint="eastAsia" w:cs="宋体"/>
                <w:b/>
                <w:color w:val="auto"/>
                <w:highlight w:val="none"/>
                <w:lang w:val="zh-CN"/>
              </w:rPr>
              <w:t>单位</w:t>
            </w:r>
          </w:p>
        </w:tc>
        <w:tc>
          <w:tcPr>
            <w:tcW w:w="702" w:type="pct"/>
            <w:tcBorders>
              <w:top w:val="single" w:color="auto" w:sz="4" w:space="0"/>
              <w:left w:val="single" w:color="auto" w:sz="4" w:space="0"/>
              <w:bottom w:val="single" w:color="auto" w:sz="4" w:space="0"/>
              <w:right w:val="single" w:color="auto" w:sz="4" w:space="0"/>
            </w:tcBorders>
            <w:noWrap/>
            <w:vAlign w:val="center"/>
          </w:tcPr>
          <w:p w14:paraId="6AFCE21C">
            <w:pPr>
              <w:jc w:val="center"/>
              <w:rPr>
                <w:rFonts w:cs="宋体"/>
                <w:b/>
                <w:color w:val="auto"/>
                <w:highlight w:val="none"/>
              </w:rPr>
            </w:pPr>
            <w:r>
              <w:rPr>
                <w:rFonts w:hint="eastAsia" w:cs="宋体"/>
                <w:b/>
                <w:color w:val="auto"/>
                <w:highlight w:val="none"/>
              </w:rPr>
              <w:t>数量</w:t>
            </w:r>
          </w:p>
        </w:tc>
        <w:tc>
          <w:tcPr>
            <w:tcW w:w="768" w:type="pct"/>
            <w:tcBorders>
              <w:top w:val="single" w:color="auto" w:sz="4" w:space="0"/>
              <w:left w:val="single" w:color="auto" w:sz="4" w:space="0"/>
              <w:bottom w:val="single" w:color="auto" w:sz="4" w:space="0"/>
              <w:right w:val="single" w:color="auto" w:sz="4" w:space="0"/>
            </w:tcBorders>
            <w:noWrap/>
            <w:vAlign w:val="center"/>
          </w:tcPr>
          <w:p w14:paraId="5FB62067">
            <w:pPr>
              <w:jc w:val="center"/>
              <w:rPr>
                <w:b/>
                <w:color w:val="auto"/>
                <w:highlight w:val="none"/>
                <w:lang w:val="zh-CN"/>
              </w:rPr>
            </w:pPr>
            <w:r>
              <w:rPr>
                <w:rFonts w:hint="eastAsia" w:cs="宋体"/>
                <w:b/>
                <w:color w:val="auto"/>
                <w:highlight w:val="none"/>
              </w:rPr>
              <w:t>单价</w:t>
            </w:r>
          </w:p>
        </w:tc>
        <w:tc>
          <w:tcPr>
            <w:tcW w:w="831" w:type="pct"/>
            <w:tcBorders>
              <w:top w:val="single" w:color="auto" w:sz="4" w:space="0"/>
              <w:left w:val="single" w:color="auto" w:sz="4" w:space="0"/>
              <w:bottom w:val="single" w:color="auto" w:sz="4" w:space="0"/>
              <w:right w:val="single" w:color="auto" w:sz="4" w:space="0"/>
            </w:tcBorders>
            <w:noWrap/>
            <w:vAlign w:val="center"/>
          </w:tcPr>
          <w:p w14:paraId="073854AD">
            <w:pPr>
              <w:jc w:val="center"/>
              <w:rPr>
                <w:b/>
                <w:color w:val="auto"/>
                <w:highlight w:val="none"/>
              </w:rPr>
            </w:pPr>
            <w:r>
              <w:rPr>
                <w:rFonts w:hint="eastAsia"/>
                <w:b/>
                <w:color w:val="auto"/>
                <w:highlight w:val="none"/>
              </w:rPr>
              <w:t>合计</w:t>
            </w:r>
          </w:p>
        </w:tc>
      </w:tr>
      <w:tr w14:paraId="33CE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4F7C9D57">
            <w:pPr>
              <w:jc w:val="center"/>
              <w:rPr>
                <w:color w:val="auto"/>
                <w:szCs w:val="21"/>
                <w:highlight w:val="none"/>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3176EA1A">
            <w:pP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4507C4EA">
            <w:pPr>
              <w:rPr>
                <w:color w:val="auto"/>
                <w:szCs w:val="21"/>
                <w:highlight w:val="none"/>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4116DBAE">
            <w:pPr>
              <w:rPr>
                <w:color w:val="auto"/>
                <w:szCs w:val="21"/>
                <w:highlight w:val="none"/>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60CEFC54">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61AAB5C7">
            <w:pPr>
              <w:jc w:val="center"/>
              <w:rPr>
                <w:color w:val="auto"/>
                <w:szCs w:val="21"/>
                <w:highlight w:val="none"/>
                <w:lang w:val="zh-CN"/>
              </w:rPr>
            </w:pPr>
          </w:p>
        </w:tc>
      </w:tr>
      <w:tr w14:paraId="5B65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0D6E26C2">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3B59FC05">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20E13A5C">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09433EEE">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195C835C">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3803FE1B">
            <w:pPr>
              <w:jc w:val="center"/>
              <w:rPr>
                <w:color w:val="auto"/>
                <w:szCs w:val="21"/>
                <w:highlight w:val="none"/>
                <w:lang w:val="zh-CN"/>
              </w:rPr>
            </w:pPr>
          </w:p>
        </w:tc>
      </w:tr>
      <w:tr w14:paraId="0B2C7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1EF9ACD5">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5C18A696">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401F2937">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40544195">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1A378634">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101B8445">
            <w:pPr>
              <w:jc w:val="center"/>
              <w:rPr>
                <w:color w:val="auto"/>
                <w:szCs w:val="21"/>
                <w:highlight w:val="none"/>
                <w:lang w:val="zh-CN"/>
              </w:rPr>
            </w:pPr>
          </w:p>
        </w:tc>
      </w:tr>
      <w:tr w14:paraId="4D02E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151A2157">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3EA43F18">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3DD50E82">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249DD66D">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398C81E9">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0F8A8D02">
            <w:pPr>
              <w:jc w:val="center"/>
              <w:rPr>
                <w:color w:val="auto"/>
                <w:szCs w:val="21"/>
                <w:highlight w:val="none"/>
                <w:lang w:val="zh-CN"/>
              </w:rPr>
            </w:pPr>
          </w:p>
        </w:tc>
      </w:tr>
      <w:tr w14:paraId="6017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28A40B50">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0642CECA">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6BF9CE93">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60D9AAC0">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595C0248">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200E3A6D">
            <w:pPr>
              <w:jc w:val="center"/>
              <w:rPr>
                <w:color w:val="auto"/>
                <w:szCs w:val="21"/>
                <w:highlight w:val="none"/>
                <w:lang w:val="zh-CN"/>
              </w:rPr>
            </w:pPr>
          </w:p>
        </w:tc>
      </w:tr>
      <w:tr w14:paraId="2B42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6404A35C">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11911981">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0FE7A5F5">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659D18C5">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770FD0B6">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2BFAF16C">
            <w:pPr>
              <w:jc w:val="center"/>
              <w:rPr>
                <w:color w:val="auto"/>
                <w:szCs w:val="21"/>
                <w:highlight w:val="none"/>
                <w:lang w:val="zh-CN"/>
              </w:rPr>
            </w:pPr>
          </w:p>
        </w:tc>
      </w:tr>
      <w:tr w14:paraId="4D5D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72C0262A">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74F6E84A">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1A5AB0CD">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6F308A7C">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65665D89">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199A3B7C">
            <w:pPr>
              <w:jc w:val="center"/>
              <w:rPr>
                <w:color w:val="auto"/>
                <w:szCs w:val="21"/>
                <w:highlight w:val="none"/>
                <w:lang w:val="zh-CN"/>
              </w:rPr>
            </w:pPr>
          </w:p>
        </w:tc>
      </w:tr>
      <w:tr w14:paraId="7F47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762DFC60">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28332597">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6AD61AB8">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7FE0289C">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15473383">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2BF0152C">
            <w:pPr>
              <w:jc w:val="center"/>
              <w:rPr>
                <w:color w:val="auto"/>
                <w:szCs w:val="21"/>
                <w:highlight w:val="none"/>
                <w:lang w:val="zh-CN"/>
              </w:rPr>
            </w:pPr>
          </w:p>
        </w:tc>
      </w:tr>
      <w:tr w14:paraId="6EE3A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19" w:type="pct"/>
            <w:tcBorders>
              <w:top w:val="single" w:color="auto" w:sz="4" w:space="0"/>
              <w:left w:val="single" w:color="auto" w:sz="4" w:space="0"/>
              <w:bottom w:val="single" w:color="auto" w:sz="4" w:space="0"/>
              <w:right w:val="single" w:color="auto" w:sz="4" w:space="0"/>
            </w:tcBorders>
            <w:noWrap/>
            <w:vAlign w:val="center"/>
          </w:tcPr>
          <w:p w14:paraId="4A1B1D0D">
            <w:pPr>
              <w:jc w:val="center"/>
              <w:rPr>
                <w:color w:val="auto"/>
                <w:szCs w:val="21"/>
                <w:highlight w:val="none"/>
                <w:lang w:val="zh-CN"/>
              </w:rPr>
            </w:pPr>
          </w:p>
        </w:tc>
        <w:tc>
          <w:tcPr>
            <w:tcW w:w="1556" w:type="pct"/>
            <w:tcBorders>
              <w:top w:val="single" w:color="auto" w:sz="4" w:space="0"/>
              <w:left w:val="single" w:color="auto" w:sz="4" w:space="0"/>
              <w:bottom w:val="single" w:color="auto" w:sz="4" w:space="0"/>
              <w:right w:val="single" w:color="auto" w:sz="4" w:space="0"/>
            </w:tcBorders>
            <w:noWrap/>
            <w:vAlign w:val="center"/>
          </w:tcPr>
          <w:p w14:paraId="1B218583">
            <w:pPr>
              <w:jc w:val="center"/>
              <w:rPr>
                <w:color w:val="auto"/>
                <w:szCs w:val="21"/>
                <w:highlight w:val="none"/>
                <w:lang w:val="zh-CN"/>
              </w:rPr>
            </w:pPr>
          </w:p>
        </w:tc>
        <w:tc>
          <w:tcPr>
            <w:tcW w:w="621" w:type="pct"/>
            <w:tcBorders>
              <w:top w:val="single" w:color="auto" w:sz="4" w:space="0"/>
              <w:left w:val="single" w:color="auto" w:sz="4" w:space="0"/>
              <w:bottom w:val="single" w:color="auto" w:sz="4" w:space="0"/>
              <w:right w:val="single" w:color="auto" w:sz="4" w:space="0"/>
            </w:tcBorders>
            <w:noWrap/>
            <w:vAlign w:val="center"/>
          </w:tcPr>
          <w:p w14:paraId="54A810D6">
            <w:pPr>
              <w:jc w:val="center"/>
              <w:rPr>
                <w:color w:val="auto"/>
                <w:szCs w:val="21"/>
                <w:highlight w:val="none"/>
                <w:lang w:val="zh-CN"/>
              </w:rPr>
            </w:pPr>
          </w:p>
        </w:tc>
        <w:tc>
          <w:tcPr>
            <w:tcW w:w="702" w:type="pct"/>
            <w:tcBorders>
              <w:top w:val="single" w:color="auto" w:sz="4" w:space="0"/>
              <w:left w:val="single" w:color="auto" w:sz="4" w:space="0"/>
              <w:bottom w:val="single" w:color="auto" w:sz="4" w:space="0"/>
              <w:right w:val="single" w:color="auto" w:sz="4" w:space="0"/>
            </w:tcBorders>
            <w:noWrap/>
            <w:vAlign w:val="center"/>
          </w:tcPr>
          <w:p w14:paraId="517906DF">
            <w:pPr>
              <w:jc w:val="center"/>
              <w:rPr>
                <w:color w:val="auto"/>
                <w:szCs w:val="21"/>
                <w:highlight w:val="none"/>
                <w:lang w:val="zh-CN"/>
              </w:rPr>
            </w:pPr>
          </w:p>
        </w:tc>
        <w:tc>
          <w:tcPr>
            <w:tcW w:w="768" w:type="pct"/>
            <w:tcBorders>
              <w:top w:val="single" w:color="auto" w:sz="4" w:space="0"/>
              <w:left w:val="single" w:color="auto" w:sz="4" w:space="0"/>
              <w:bottom w:val="single" w:color="auto" w:sz="4" w:space="0"/>
              <w:right w:val="single" w:color="auto" w:sz="4" w:space="0"/>
            </w:tcBorders>
            <w:noWrap/>
            <w:vAlign w:val="center"/>
          </w:tcPr>
          <w:p w14:paraId="264BB3C5">
            <w:pPr>
              <w:jc w:val="center"/>
              <w:rPr>
                <w:color w:val="auto"/>
                <w:szCs w:val="21"/>
                <w:highlight w:val="none"/>
                <w:lang w:val="zh-CN"/>
              </w:rPr>
            </w:pPr>
          </w:p>
        </w:tc>
        <w:tc>
          <w:tcPr>
            <w:tcW w:w="831" w:type="pct"/>
            <w:tcBorders>
              <w:top w:val="single" w:color="auto" w:sz="4" w:space="0"/>
              <w:left w:val="single" w:color="auto" w:sz="4" w:space="0"/>
              <w:bottom w:val="single" w:color="auto" w:sz="4" w:space="0"/>
              <w:right w:val="single" w:color="auto" w:sz="4" w:space="0"/>
            </w:tcBorders>
            <w:noWrap/>
            <w:vAlign w:val="center"/>
          </w:tcPr>
          <w:p w14:paraId="25BD0276">
            <w:pPr>
              <w:jc w:val="center"/>
              <w:rPr>
                <w:color w:val="auto"/>
                <w:szCs w:val="21"/>
                <w:highlight w:val="none"/>
                <w:lang w:val="zh-CN"/>
              </w:rPr>
            </w:pPr>
          </w:p>
        </w:tc>
      </w:tr>
    </w:tbl>
    <w:p w14:paraId="2EB6C652">
      <w:pPr>
        <w:pStyle w:val="31"/>
        <w:ind w:firstLine="0"/>
        <w:rPr>
          <w:rFonts w:hint="eastAsia"/>
          <w:color w:val="auto"/>
          <w:highlight w:val="none"/>
        </w:rPr>
      </w:pPr>
    </w:p>
    <w:p w14:paraId="7B4BD623">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说明:  </w:t>
      </w:r>
    </w:p>
    <w:p w14:paraId="5A1B6EC5">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代理机构对每一项货物和服务仅接受一个价格，不得填报有选择性报价方案。若有优惠条款须注明，但不得影响报价，影响产品整体功能。</w:t>
      </w:r>
    </w:p>
    <w:p w14:paraId="39CE5262">
      <w:pPr>
        <w:widowControl/>
        <w:spacing w:line="360" w:lineRule="auto"/>
        <w:ind w:firstLine="420"/>
        <w:jc w:val="left"/>
        <w:rPr>
          <w:rFonts w:hint="eastAsia" w:asciiTheme="minorEastAsia" w:hAnsiTheme="minorEastAsia" w:eastAsiaTheme="minorEastAsia" w:cstheme="minorEastAsia"/>
          <w:color w:val="auto"/>
          <w:highlight w:val="none"/>
          <w:lang w:val="zh-CN"/>
        </w:rPr>
      </w:pPr>
    </w:p>
    <w:p w14:paraId="1C486EE9">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注：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w:t>
      </w:r>
      <w:r>
        <w:rPr>
          <w:rFonts w:hint="eastAsia" w:asciiTheme="majorEastAsia" w:hAnsiTheme="majorEastAsia" w:eastAsiaTheme="majorEastAsia" w:cstheme="majorEastAsia"/>
          <w:color w:val="auto"/>
          <w:highlight w:val="none"/>
        </w:rPr>
        <w:t>供应商</w:t>
      </w:r>
      <w:r>
        <w:rPr>
          <w:rFonts w:hint="eastAsia" w:asciiTheme="minorEastAsia" w:hAnsiTheme="minorEastAsia" w:eastAsiaTheme="minorEastAsia" w:cstheme="minorEastAsia"/>
          <w:color w:val="auto"/>
          <w:highlight w:val="none"/>
          <w:lang w:val="zh-CN"/>
        </w:rPr>
        <w:t>认为需要的其他费用等。</w:t>
      </w:r>
    </w:p>
    <w:p w14:paraId="19814281">
      <w:pPr>
        <w:widowControl/>
        <w:spacing w:line="360" w:lineRule="auto"/>
        <w:ind w:firstLine="420"/>
        <w:jc w:val="left"/>
        <w:rPr>
          <w:rFonts w:hint="eastAsia" w:asciiTheme="minorEastAsia" w:hAnsiTheme="minorEastAsia" w:eastAsiaTheme="minorEastAsia" w:cstheme="minorEastAsia"/>
          <w:color w:val="auto"/>
          <w:highlight w:val="none"/>
          <w:lang w:val="zh-CN"/>
        </w:rPr>
      </w:pPr>
    </w:p>
    <w:p w14:paraId="3305D9C5">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ajorEastAsia" w:hAnsiTheme="majorEastAsia" w:eastAsiaTheme="majorEastAsia" w:cstheme="majorEastAsia"/>
          <w:color w:val="auto"/>
          <w:highlight w:val="none"/>
        </w:rPr>
        <w:t>供应商</w:t>
      </w:r>
      <w:r>
        <w:rPr>
          <w:rFonts w:hint="eastAsia" w:asciiTheme="minorEastAsia" w:hAnsiTheme="minorEastAsia" w:eastAsiaTheme="minorEastAsia" w:cstheme="minorEastAsia"/>
          <w:color w:val="auto"/>
          <w:highlight w:val="none"/>
          <w:lang w:val="zh-CN"/>
        </w:rPr>
        <w:t xml:space="preserve">（盖章）：            </w:t>
      </w:r>
    </w:p>
    <w:p w14:paraId="58ACAFCA">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授权代表签字：             </w:t>
      </w:r>
    </w:p>
    <w:p w14:paraId="3330C713">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日    期：    年    月   日</w:t>
      </w:r>
    </w:p>
    <w:p w14:paraId="32A25B17">
      <w:pPr>
        <w:widowControl/>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br w:type="page"/>
      </w:r>
    </w:p>
    <w:p w14:paraId="6CAC0521">
      <w:pPr>
        <w:widowControl/>
        <w:spacing w:line="500" w:lineRule="exact"/>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3.5</w:t>
      </w:r>
      <w:r>
        <w:rPr>
          <w:rFonts w:hint="eastAsia" w:asciiTheme="majorEastAsia" w:hAnsiTheme="majorEastAsia" w:eastAsiaTheme="majorEastAsia" w:cstheme="majorEastAsia"/>
          <w:color w:val="auto"/>
          <w:highlight w:val="none"/>
        </w:rPr>
        <w:t>供应商</w:t>
      </w:r>
      <w:r>
        <w:rPr>
          <w:rFonts w:hint="eastAsia" w:asciiTheme="majorEastAsia" w:hAnsiTheme="majorEastAsia" w:eastAsiaTheme="majorEastAsia" w:cstheme="majorEastAsia"/>
          <w:b/>
          <w:color w:val="auto"/>
          <w:highlight w:val="none"/>
        </w:rPr>
        <w:t>资格条件证明文件</w:t>
      </w:r>
    </w:p>
    <w:p w14:paraId="4468253B">
      <w:pPr>
        <w:pStyle w:val="9"/>
        <w:spacing w:line="50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w:t>
      </w:r>
      <w:r>
        <w:rPr>
          <w:rFonts w:hint="eastAsia" w:asciiTheme="majorEastAsia" w:hAnsiTheme="majorEastAsia" w:eastAsiaTheme="majorEastAsia" w:cstheme="majorEastAsia"/>
          <w:color w:val="auto"/>
          <w:sz w:val="24"/>
          <w:szCs w:val="24"/>
          <w:highlight w:val="none"/>
        </w:rPr>
        <w:t>供应商</w:t>
      </w:r>
      <w:r>
        <w:rPr>
          <w:rFonts w:hint="eastAsia" w:asciiTheme="majorEastAsia" w:hAnsiTheme="majorEastAsia" w:eastAsiaTheme="majorEastAsia" w:cstheme="majorEastAsia"/>
          <w:b/>
          <w:color w:val="auto"/>
          <w:sz w:val="24"/>
          <w:szCs w:val="24"/>
          <w:highlight w:val="none"/>
        </w:rPr>
        <w:t>基本资格条件承诺函</w:t>
      </w:r>
    </w:p>
    <w:p w14:paraId="1919460E">
      <w:pPr>
        <w:pStyle w:val="9"/>
        <w:spacing w:line="50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供应商</w:t>
      </w:r>
      <w:r>
        <w:rPr>
          <w:rFonts w:hint="eastAsia" w:asciiTheme="majorEastAsia" w:hAnsiTheme="majorEastAsia" w:eastAsiaTheme="majorEastAsia" w:cstheme="majorEastAsia"/>
          <w:b/>
          <w:color w:val="auto"/>
          <w:sz w:val="24"/>
          <w:szCs w:val="24"/>
          <w:highlight w:val="none"/>
        </w:rPr>
        <w:t>基本资格条件承诺函</w:t>
      </w:r>
    </w:p>
    <w:p w14:paraId="3EE9F0F1">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一、按照《政府采购法》第二十二条规定的供应商基本资格条件，我公司郑重承诺如下：</w:t>
      </w:r>
    </w:p>
    <w:p w14:paraId="6A2E6382">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rPr>
        <w:t>1.我公司具有</w:t>
      </w:r>
      <w:r>
        <w:rPr>
          <w:rFonts w:hint="eastAsia" w:asciiTheme="majorEastAsia" w:hAnsiTheme="majorEastAsia" w:eastAsiaTheme="majorEastAsia" w:cstheme="majorEastAsia"/>
          <w:color w:val="auto"/>
          <w:sz w:val="24"/>
          <w:szCs w:val="24"/>
          <w:highlight w:val="none"/>
          <w:shd w:val="clear" w:color="auto" w:fill="FFFFFF"/>
        </w:rPr>
        <w:t>良好的商业信誉和健全的财务制度；</w:t>
      </w:r>
    </w:p>
    <w:p w14:paraId="0E6AF4CF">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2.我公司具有履行合同所必须的设备和专业技术能力；</w:t>
      </w:r>
    </w:p>
    <w:p w14:paraId="61589C54">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3.我公司具有依法缴纳税收和社会保障资金的良好记录；</w:t>
      </w:r>
    </w:p>
    <w:p w14:paraId="3892A47F">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4.我公司参加政府采购活动前三年内，在经营活动中没有重大违法记录；</w:t>
      </w:r>
    </w:p>
    <w:p w14:paraId="4F8D09F4">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ajorEastAsia" w:hAnsiTheme="majorEastAsia" w:eastAsiaTheme="majorEastAsia" w:cstheme="majorEastAsia"/>
          <w:color w:val="auto"/>
          <w:sz w:val="24"/>
          <w:szCs w:val="24"/>
          <w:highlight w:val="none"/>
        </w:rPr>
        <w:t>。</w:t>
      </w:r>
    </w:p>
    <w:p w14:paraId="37FAD769">
      <w:pPr>
        <w:pStyle w:val="9"/>
        <w:adjustRightInd w:val="0"/>
        <w:snapToGrid w:val="0"/>
        <w:spacing w:line="500" w:lineRule="exact"/>
        <w:ind w:firstLine="480" w:firstLineChars="200"/>
        <w:rPr>
          <w:rFonts w:hint="eastAsia"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sz w:val="24"/>
          <w:szCs w:val="24"/>
          <w:highlight w:val="none"/>
          <w:shd w:val="clear" w:color="auto" w:fill="FFFFFF"/>
        </w:rPr>
        <w:t>二、</w:t>
      </w:r>
      <w:r>
        <w:rPr>
          <w:rFonts w:hint="eastAsia" w:asciiTheme="majorEastAsia" w:hAnsiTheme="majorEastAsia" w:eastAsiaTheme="majorEastAsia" w:cstheme="majorEastAsia"/>
          <w:color w:val="auto"/>
          <w:sz w:val="24"/>
          <w:szCs w:val="24"/>
          <w:highlight w:val="none"/>
        </w:rPr>
        <w:t>我公司承诺：在本次投标过程中，我公司不存在本项目招标文件第二章第1.4.3条所列情形之一。</w:t>
      </w:r>
    </w:p>
    <w:p w14:paraId="22AE7BAA">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rPr>
      </w:pPr>
    </w:p>
    <w:p w14:paraId="4BD03A8C">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供应商名称(盖法人章)：</w:t>
      </w:r>
    </w:p>
    <w:p w14:paraId="19D5556F">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法定代表人 (签字或签章)：</w:t>
      </w:r>
    </w:p>
    <w:p w14:paraId="3E6BA8CA">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日期：   年  月   日</w:t>
      </w:r>
    </w:p>
    <w:p w14:paraId="6A5DC883">
      <w:pPr>
        <w:pStyle w:val="9"/>
        <w:adjustRightInd w:val="0"/>
        <w:snapToGrid w:val="0"/>
        <w:spacing w:line="500" w:lineRule="exact"/>
        <w:rPr>
          <w:rFonts w:hint="eastAsia" w:asciiTheme="majorEastAsia" w:hAnsiTheme="majorEastAsia" w:eastAsiaTheme="majorEastAsia" w:cstheme="majorEastAsia"/>
          <w:b/>
          <w:color w:val="auto"/>
          <w:sz w:val="24"/>
          <w:szCs w:val="24"/>
          <w:highlight w:val="none"/>
        </w:rPr>
      </w:pPr>
    </w:p>
    <w:p w14:paraId="10C53C00">
      <w:pPr>
        <w:pStyle w:val="9"/>
        <w:adjustRightInd w:val="0"/>
        <w:snapToGrid w:val="0"/>
        <w:spacing w:line="50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（2）招标文件要求的其他资格条件及证明材料</w:t>
      </w:r>
    </w:p>
    <w:p w14:paraId="5C232C31">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1.具有有效的营业执照（附证书的复印件）；</w:t>
      </w:r>
    </w:p>
    <w:p w14:paraId="3DFD6C3F">
      <w:pPr>
        <w:pStyle w:val="9"/>
        <w:adjustRightInd w:val="0"/>
        <w:snapToGrid w:val="0"/>
        <w:spacing w:line="500" w:lineRule="exact"/>
        <w:ind w:firstLine="480"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2.中小企业声明函（参考格式附后）。</w:t>
      </w:r>
    </w:p>
    <w:p w14:paraId="3D9EEB63">
      <w:pPr>
        <w:widowControl/>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br w:type="page"/>
      </w:r>
    </w:p>
    <w:p w14:paraId="1F9D61C3">
      <w:pPr>
        <w:widowControl/>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附件：中小企业声明函</w:t>
      </w:r>
    </w:p>
    <w:p w14:paraId="41941851">
      <w:pPr>
        <w:spacing w:line="440" w:lineRule="exact"/>
        <w:jc w:val="center"/>
        <w:rPr>
          <w:rFonts w:hint="eastAsia" w:asciiTheme="majorEastAsia" w:hAnsiTheme="majorEastAsia" w:eastAsiaTheme="majorEastAsia" w:cstheme="majorEastAsia"/>
          <w:bCs/>
          <w:color w:val="auto"/>
          <w:highlight w:val="none"/>
        </w:rPr>
      </w:pPr>
      <w:r>
        <w:rPr>
          <w:rFonts w:hint="eastAsia" w:asciiTheme="majorEastAsia" w:hAnsiTheme="majorEastAsia" w:eastAsiaTheme="majorEastAsia" w:cstheme="majorEastAsia"/>
          <w:bCs/>
          <w:color w:val="auto"/>
          <w:highlight w:val="none"/>
        </w:rPr>
        <w:t>中小企业声明函</w:t>
      </w:r>
    </w:p>
    <w:p w14:paraId="60F581A5">
      <w:pPr>
        <w:spacing w:line="440" w:lineRule="exact"/>
        <w:ind w:firstLine="57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本公司（联合体）郑重声明，根据《政府采购促进中小企业发展管理办法》（财库[2020]46号）的规定，本公司（联合体）参加</w:t>
      </w:r>
      <w:r>
        <w:rPr>
          <w:rFonts w:hint="eastAsia" w:asciiTheme="majorEastAsia" w:hAnsiTheme="majorEastAsia" w:eastAsiaTheme="majorEastAsia" w:cstheme="majorEastAsia"/>
          <w:color w:val="auto"/>
          <w:highlight w:val="none"/>
          <w:u w:val="single"/>
        </w:rPr>
        <w:t xml:space="preserve"> （单位名称）      </w:t>
      </w:r>
      <w:r>
        <w:rPr>
          <w:rFonts w:hint="eastAsia" w:asciiTheme="majorEastAsia" w:hAnsiTheme="majorEastAsia" w:eastAsiaTheme="majorEastAsia" w:cstheme="majorEastAsia"/>
          <w:color w:val="auto"/>
          <w:highlight w:val="none"/>
        </w:rPr>
        <w:t>的</w:t>
      </w:r>
      <w:r>
        <w:rPr>
          <w:rFonts w:hint="eastAsia" w:asciiTheme="majorEastAsia" w:hAnsiTheme="majorEastAsia" w:eastAsiaTheme="majorEastAsia" w:cstheme="majorEastAsia"/>
          <w:color w:val="auto"/>
          <w:highlight w:val="none"/>
          <w:u w:val="single"/>
        </w:rPr>
        <w:t xml:space="preserve"> （标的名称）       </w:t>
      </w:r>
      <w:r>
        <w:rPr>
          <w:rFonts w:hint="eastAsia" w:asciiTheme="majorEastAsia" w:hAnsiTheme="majorEastAsia" w:eastAsiaTheme="majorEastAsia" w:cstheme="majorEastAsia"/>
          <w:color w:val="auto"/>
          <w:highlight w:val="none"/>
        </w:rPr>
        <w:t>采购活动，提供的货物或服务全部由符合政策要求的小微企业提供。相关企业（含联合体中的中小企业、签订分包意向协议的中小企业）的具体情况如下：</w:t>
      </w:r>
    </w:p>
    <w:p w14:paraId="42C04984">
      <w:pPr>
        <w:spacing w:line="440" w:lineRule="exact"/>
        <w:ind w:firstLine="480" w:firstLineChars="2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u w:val="single"/>
        </w:rPr>
        <w:t xml:space="preserve"> （标的名称）        </w:t>
      </w:r>
      <w:r>
        <w:rPr>
          <w:rFonts w:hint="eastAsia" w:asciiTheme="majorEastAsia" w:hAnsiTheme="majorEastAsia" w:eastAsiaTheme="majorEastAsia" w:cstheme="majorEastAsia"/>
          <w:color w:val="auto"/>
          <w:highlight w:val="none"/>
        </w:rPr>
        <w:t>，属于</w:t>
      </w:r>
      <w:r>
        <w:rPr>
          <w:rFonts w:hint="eastAsia" w:asciiTheme="majorEastAsia" w:hAnsiTheme="majorEastAsia" w:eastAsiaTheme="majorEastAsia" w:cstheme="majorEastAsia"/>
          <w:color w:val="auto"/>
          <w:highlight w:val="none"/>
          <w:u w:val="single"/>
        </w:rPr>
        <w:t xml:space="preserve">         行业  </w:t>
      </w:r>
      <w:r>
        <w:rPr>
          <w:rFonts w:hint="eastAsia" w:asciiTheme="majorEastAsia" w:hAnsiTheme="majorEastAsia" w:eastAsiaTheme="majorEastAsia" w:cstheme="majorEastAsia"/>
          <w:color w:val="auto"/>
          <w:highlight w:val="none"/>
        </w:rPr>
        <w:t>；承建（承接）企业为</w:t>
      </w:r>
      <w:r>
        <w:rPr>
          <w:rFonts w:hint="eastAsia" w:asciiTheme="majorEastAsia" w:hAnsiTheme="majorEastAsia" w:eastAsiaTheme="majorEastAsia" w:cstheme="majorEastAsia"/>
          <w:color w:val="auto"/>
          <w:highlight w:val="none"/>
          <w:u w:val="single"/>
        </w:rPr>
        <w:t xml:space="preserve"> （企业名称）</w:t>
      </w:r>
      <w:r>
        <w:rPr>
          <w:rFonts w:hint="eastAsia" w:asciiTheme="majorEastAsia" w:hAnsiTheme="majorEastAsia" w:eastAsiaTheme="majorEastAsia" w:cstheme="majorEastAsia"/>
          <w:color w:val="auto"/>
          <w:highlight w:val="none"/>
        </w:rPr>
        <w:t>，从业人员</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人，营业收入</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万元，资产总额</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万元，属于</w:t>
      </w:r>
      <w:r>
        <w:rPr>
          <w:rFonts w:hint="eastAsia" w:asciiTheme="majorEastAsia" w:hAnsiTheme="majorEastAsia" w:eastAsiaTheme="majorEastAsia" w:cstheme="majorEastAsia"/>
          <w:color w:val="auto"/>
          <w:highlight w:val="none"/>
          <w:u w:val="single"/>
        </w:rPr>
        <w:t xml:space="preserve"> （中型企业、小型企业、微型企业）       </w:t>
      </w:r>
      <w:r>
        <w:rPr>
          <w:rFonts w:hint="eastAsia" w:asciiTheme="majorEastAsia" w:hAnsiTheme="majorEastAsia" w:eastAsiaTheme="majorEastAsia" w:cstheme="majorEastAsia"/>
          <w:color w:val="auto"/>
          <w:highlight w:val="none"/>
        </w:rPr>
        <w:t>；</w:t>
      </w:r>
    </w:p>
    <w:p w14:paraId="4FFACD47">
      <w:pPr>
        <w:spacing w:line="440" w:lineRule="exact"/>
        <w:ind w:firstLine="480" w:firstLineChars="2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u w:val="single"/>
        </w:rPr>
        <w:t xml:space="preserve">（标的名称）        </w:t>
      </w:r>
      <w:r>
        <w:rPr>
          <w:rFonts w:hint="eastAsia" w:asciiTheme="majorEastAsia" w:hAnsiTheme="majorEastAsia" w:eastAsiaTheme="majorEastAsia" w:cstheme="majorEastAsia"/>
          <w:color w:val="auto"/>
          <w:highlight w:val="none"/>
        </w:rPr>
        <w:t>，属于</w:t>
      </w:r>
      <w:r>
        <w:rPr>
          <w:rFonts w:hint="eastAsia" w:asciiTheme="majorEastAsia" w:hAnsiTheme="majorEastAsia" w:eastAsiaTheme="majorEastAsia" w:cstheme="majorEastAsia"/>
          <w:color w:val="auto"/>
          <w:highlight w:val="none"/>
          <w:u w:val="single"/>
        </w:rPr>
        <w:t xml:space="preserve">  （采购文件中明确的所属行业） </w:t>
      </w:r>
      <w:r>
        <w:rPr>
          <w:rFonts w:hint="eastAsia" w:asciiTheme="majorEastAsia" w:hAnsiTheme="majorEastAsia" w:eastAsiaTheme="majorEastAsia" w:cstheme="majorEastAsia"/>
          <w:color w:val="auto"/>
          <w:highlight w:val="none"/>
        </w:rPr>
        <w:t>；承建（承接）企业为</w:t>
      </w:r>
      <w:r>
        <w:rPr>
          <w:rFonts w:hint="eastAsia" w:asciiTheme="majorEastAsia" w:hAnsiTheme="majorEastAsia" w:eastAsiaTheme="majorEastAsia" w:cstheme="majorEastAsia"/>
          <w:color w:val="auto"/>
          <w:highlight w:val="none"/>
          <w:u w:val="single"/>
        </w:rPr>
        <w:t xml:space="preserve"> （企业名称）</w:t>
      </w:r>
      <w:r>
        <w:rPr>
          <w:rFonts w:hint="eastAsia" w:asciiTheme="majorEastAsia" w:hAnsiTheme="majorEastAsia" w:eastAsiaTheme="majorEastAsia" w:cstheme="majorEastAsia"/>
          <w:color w:val="auto"/>
          <w:highlight w:val="none"/>
        </w:rPr>
        <w:t>，从业人员</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人，营业收入</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万元，资产总额</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万元，属于</w:t>
      </w:r>
      <w:r>
        <w:rPr>
          <w:rFonts w:hint="eastAsia" w:asciiTheme="majorEastAsia" w:hAnsiTheme="majorEastAsia" w:eastAsiaTheme="majorEastAsia" w:cstheme="majorEastAsia"/>
          <w:color w:val="auto"/>
          <w:highlight w:val="none"/>
          <w:u w:val="single"/>
        </w:rPr>
        <w:t xml:space="preserve"> （中型企业、小型企业、微型企业）       </w:t>
      </w:r>
      <w:r>
        <w:rPr>
          <w:rFonts w:hint="eastAsia" w:asciiTheme="majorEastAsia" w:hAnsiTheme="majorEastAsia" w:eastAsiaTheme="majorEastAsia" w:cstheme="majorEastAsia"/>
          <w:color w:val="auto"/>
          <w:highlight w:val="none"/>
        </w:rPr>
        <w:t>；</w:t>
      </w:r>
    </w:p>
    <w:p w14:paraId="77B67926">
      <w:pPr>
        <w:pStyle w:val="39"/>
        <w:spacing w:line="440" w:lineRule="exact"/>
        <w:ind w:left="930" w:firstLine="0" w:firstLineChars="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p w14:paraId="6F6B805F">
      <w:pPr>
        <w:spacing w:line="44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以上企业，不属于大企业的分支机构，不存在控股股东为大企业的情形，也不存在与大企业的负责人为同一人的情形。</w:t>
      </w:r>
    </w:p>
    <w:p w14:paraId="2A8A30CC">
      <w:pPr>
        <w:spacing w:line="440" w:lineRule="exact"/>
        <w:ind w:firstLine="57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本企业对上述声明内容的真实性负责。如有虚假，将依法承担相应责任。</w:t>
      </w:r>
    </w:p>
    <w:p w14:paraId="3F06C8E8">
      <w:pPr>
        <w:spacing w:line="440" w:lineRule="exact"/>
        <w:ind w:firstLine="4080" w:firstLineChars="17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企业名称（盖章）：</w:t>
      </w:r>
    </w:p>
    <w:p w14:paraId="2769391E">
      <w:pPr>
        <w:spacing w:line="440" w:lineRule="exact"/>
        <w:ind w:firstLine="4080" w:firstLineChars="17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w:t>
      </w:r>
    </w:p>
    <w:p w14:paraId="1197D8E8">
      <w:pPr>
        <w:pStyle w:val="38"/>
        <w:spacing w:line="440" w:lineRule="exact"/>
        <w:textAlignment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注：1、从业人员、营业收入填报上一年度数据，无上一年度数据的新成立企业可不填报。</w:t>
      </w:r>
    </w:p>
    <w:p w14:paraId="7AA378B9">
      <w:pPr>
        <w:spacing w:line="440" w:lineRule="exact"/>
        <w:ind w:firstLine="480" w:firstLineChars="200"/>
        <w:outlineLvl w:val="1"/>
        <w:rPr>
          <w:rFonts w:hint="eastAsia" w:asciiTheme="majorEastAsia" w:hAnsiTheme="majorEastAsia" w:eastAsiaTheme="majorEastAsia" w:cstheme="majorEastAsia"/>
          <w:color w:val="auto"/>
          <w:highlight w:val="none"/>
        </w:rPr>
      </w:pPr>
      <w:bookmarkStart w:id="343" w:name="_Toc8336"/>
      <w:r>
        <w:rPr>
          <w:rFonts w:hint="eastAsia" w:asciiTheme="majorEastAsia" w:hAnsiTheme="majorEastAsia" w:eastAsiaTheme="majorEastAsia" w:cstheme="majorEastAsia"/>
          <w:color w:val="auto"/>
          <w:highlight w:val="none"/>
        </w:rPr>
        <w:t>2、供应商如不提供此声明函，价格将不做相应扣除。</w:t>
      </w:r>
      <w:bookmarkEnd w:id="343"/>
    </w:p>
    <w:p w14:paraId="2E3155BB">
      <w:pPr>
        <w:spacing w:line="44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3、供应商提供的声明函内容不实的，属于提供虚假材料谋取中标，依照《中华人民共和国政府采购法》等国家有关规定追究相应责任。</w:t>
      </w:r>
    </w:p>
    <w:p w14:paraId="23B306D0">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14:paraId="73CD654A">
      <w:pPr>
        <w:widowControl/>
        <w:spacing w:line="440" w:lineRule="exact"/>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3.5投标偏离表（格式自拟）</w:t>
      </w:r>
    </w:p>
    <w:p w14:paraId="73D55540">
      <w:pPr>
        <w:pStyle w:val="22"/>
        <w:widowControl/>
        <w:spacing w:before="0" w:after="0"/>
        <w:ind w:firstLine="490"/>
        <w:jc w:val="center"/>
        <w:rPr>
          <w:rFonts w:eastAsia="黑体"/>
          <w:color w:val="auto"/>
          <w:highlight w:val="none"/>
        </w:rPr>
      </w:pPr>
      <w:r>
        <w:rPr>
          <w:rFonts w:ascii="黑体" w:eastAsia="黑体" w:cs="黑体"/>
          <w:color w:val="auto"/>
          <w:sz w:val="28"/>
          <w:szCs w:val="28"/>
          <w:highlight w:val="none"/>
        </w:rPr>
        <w:t>投标偏离表（针对第五章采购需求内容）</w:t>
      </w:r>
    </w:p>
    <w:p w14:paraId="655AF683">
      <w:pPr>
        <w:pStyle w:val="22"/>
        <w:widowControl/>
        <w:spacing w:before="0" w:after="0" w:line="400" w:lineRule="atLeast"/>
        <w:jc w:val="center"/>
        <w:rPr>
          <w:color w:val="auto"/>
          <w:highlight w:val="none"/>
        </w:rPr>
      </w:pPr>
      <w:r>
        <w:rPr>
          <w:rFonts w:ascii="黑体" w:eastAsia="黑体" w:cs="黑体"/>
          <w:color w:val="auto"/>
          <w:sz w:val="28"/>
          <w:szCs w:val="28"/>
          <w:highlight w:val="none"/>
        </w:rPr>
        <w:t> </w:t>
      </w:r>
    </w:p>
    <w:p w14:paraId="07CDBE79">
      <w:pPr>
        <w:pStyle w:val="22"/>
        <w:widowControl/>
        <w:spacing w:before="0" w:after="0" w:line="400" w:lineRule="atLeast"/>
        <w:jc w:val="center"/>
        <w:rPr>
          <w:color w:val="auto"/>
          <w:highlight w:val="none"/>
        </w:rPr>
      </w:pPr>
      <w:r>
        <w:rPr>
          <w:rFonts w:ascii="黑体" w:eastAsia="黑体" w:cs="黑体"/>
          <w:color w:val="auto"/>
          <w:sz w:val="28"/>
          <w:szCs w:val="28"/>
          <w:highlight w:val="none"/>
        </w:rPr>
        <w:t> </w:t>
      </w:r>
    </w:p>
    <w:p w14:paraId="0E1CC680">
      <w:pPr>
        <w:pStyle w:val="22"/>
        <w:widowControl/>
        <w:spacing w:before="0" w:after="0" w:line="400" w:lineRule="atLeast"/>
        <w:jc w:val="both"/>
        <w:rPr>
          <w:color w:val="auto"/>
          <w:highlight w:val="none"/>
        </w:rPr>
      </w:pPr>
      <w:r>
        <w:rPr>
          <w:rFonts w:ascii="黑体" w:eastAsia="黑体" w:cs="黑体"/>
          <w:color w:val="auto"/>
          <w:highlight w:val="none"/>
        </w:rPr>
        <w:t>供应商名称（盖章）                  采购项目编号：</w:t>
      </w:r>
    </w:p>
    <w:p w14:paraId="55E72798">
      <w:pPr>
        <w:pStyle w:val="22"/>
        <w:widowControl/>
        <w:spacing w:before="0" w:after="0" w:line="400" w:lineRule="atLeast"/>
        <w:jc w:val="both"/>
        <w:rPr>
          <w:color w:val="auto"/>
          <w:highlight w:val="none"/>
        </w:rPr>
      </w:pPr>
      <w:r>
        <w:rPr>
          <w:rFonts w:ascii="黑体" w:eastAsia="黑体" w:cs="黑体"/>
          <w:color w:val="auto"/>
          <w:highlight w:val="none"/>
        </w:rPr>
        <w:t> </w:t>
      </w:r>
    </w:p>
    <w:tbl>
      <w:tblPr>
        <w:tblStyle w:val="26"/>
        <w:tblW w:w="0" w:type="auto"/>
        <w:tblCellSpacing w:w="0" w:type="dxa"/>
        <w:tblInd w:w="20" w:type="dxa"/>
        <w:tblLayout w:type="autofit"/>
        <w:tblCellMar>
          <w:top w:w="0" w:type="dxa"/>
          <w:left w:w="108" w:type="dxa"/>
          <w:bottom w:w="0" w:type="dxa"/>
          <w:right w:w="108" w:type="dxa"/>
        </w:tblCellMar>
      </w:tblPr>
      <w:tblGrid>
        <w:gridCol w:w="1681"/>
        <w:gridCol w:w="2486"/>
        <w:gridCol w:w="2486"/>
        <w:gridCol w:w="2029"/>
      </w:tblGrid>
      <w:tr w14:paraId="3CBF14EA">
        <w:tblPrEx>
          <w:tblCellMar>
            <w:top w:w="0" w:type="dxa"/>
            <w:left w:w="108" w:type="dxa"/>
            <w:bottom w:w="0" w:type="dxa"/>
            <w:right w:w="108" w:type="dxa"/>
          </w:tblCellMar>
        </w:tblPrEx>
        <w:trPr>
          <w:trHeight w:val="555" w:hRule="atLeast"/>
          <w:tblCellSpacing w:w="0" w:type="dxa"/>
        </w:trPr>
        <w:tc>
          <w:tcPr>
            <w:tcW w:w="180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5E590550">
            <w:pPr>
              <w:pStyle w:val="22"/>
              <w:widowControl/>
              <w:spacing w:before="0" w:after="0"/>
              <w:jc w:val="center"/>
              <w:rPr>
                <w:color w:val="auto"/>
                <w:highlight w:val="none"/>
              </w:rPr>
            </w:pPr>
            <w:r>
              <w:rPr>
                <w:rFonts w:cs="宋体"/>
                <w:b/>
                <w:bCs/>
                <w:color w:val="auto"/>
                <w:highlight w:val="none"/>
              </w:rPr>
              <w:t>名称</w:t>
            </w:r>
          </w:p>
        </w:tc>
        <w:tc>
          <w:tcPr>
            <w:tcW w:w="2683"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258B9095">
            <w:pPr>
              <w:pStyle w:val="22"/>
              <w:widowControl/>
              <w:spacing w:before="0" w:after="0"/>
              <w:jc w:val="center"/>
              <w:rPr>
                <w:color w:val="auto"/>
                <w:highlight w:val="none"/>
              </w:rPr>
            </w:pPr>
            <w:r>
              <w:rPr>
                <w:rFonts w:cs="宋体"/>
                <w:b/>
                <w:bCs/>
                <w:color w:val="auto"/>
                <w:highlight w:val="none"/>
              </w:rPr>
              <w:t>采购要求</w:t>
            </w:r>
          </w:p>
        </w:tc>
        <w:tc>
          <w:tcPr>
            <w:tcW w:w="2683"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1D1405EA">
            <w:pPr>
              <w:pStyle w:val="22"/>
              <w:widowControl/>
              <w:spacing w:before="0" w:after="0"/>
              <w:jc w:val="center"/>
              <w:rPr>
                <w:color w:val="auto"/>
                <w:highlight w:val="none"/>
              </w:rPr>
            </w:pPr>
            <w:r>
              <w:rPr>
                <w:rFonts w:cs="宋体"/>
                <w:b/>
                <w:bCs/>
                <w:color w:val="auto"/>
                <w:highlight w:val="none"/>
              </w:rPr>
              <w:t>实报内容</w:t>
            </w:r>
          </w:p>
        </w:tc>
        <w:tc>
          <w:tcPr>
            <w:tcW w:w="2186"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2B9C4715">
            <w:pPr>
              <w:pStyle w:val="22"/>
              <w:widowControl/>
              <w:spacing w:before="0" w:after="0"/>
              <w:jc w:val="center"/>
              <w:rPr>
                <w:color w:val="auto"/>
                <w:highlight w:val="none"/>
              </w:rPr>
            </w:pPr>
            <w:r>
              <w:rPr>
                <w:rFonts w:cs="宋体"/>
                <w:b/>
                <w:bCs/>
                <w:color w:val="auto"/>
                <w:highlight w:val="none"/>
              </w:rPr>
              <w:t>偏离说明</w:t>
            </w:r>
          </w:p>
        </w:tc>
      </w:tr>
      <w:tr w14:paraId="11BB028D">
        <w:tblPrEx>
          <w:tblCellMar>
            <w:top w:w="0" w:type="dxa"/>
            <w:left w:w="108" w:type="dxa"/>
            <w:bottom w:w="0" w:type="dxa"/>
            <w:right w:w="108" w:type="dxa"/>
          </w:tblCellMar>
        </w:tblPrEx>
        <w:trPr>
          <w:trHeight w:val="510" w:hRule="atLeast"/>
          <w:tblCellSpacing w:w="0" w:type="dxa"/>
        </w:trPr>
        <w:tc>
          <w:tcPr>
            <w:tcW w:w="1803"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6A442264">
            <w:pPr>
              <w:pStyle w:val="22"/>
              <w:widowControl/>
              <w:spacing w:before="0" w:after="0"/>
              <w:jc w:val="center"/>
              <w:rPr>
                <w:color w:val="auto"/>
                <w:highlight w:val="none"/>
              </w:rPr>
            </w:pPr>
            <w:r>
              <w:rPr>
                <w:rFonts w:cs="宋体"/>
                <w:color w:val="auto"/>
                <w:sz w:val="21"/>
                <w:szCs w:val="21"/>
                <w:highlight w:val="none"/>
              </w:rPr>
              <w:t> </w:t>
            </w:r>
          </w:p>
        </w:tc>
        <w:tc>
          <w:tcPr>
            <w:tcW w:w="2683" w:type="dxa"/>
            <w:tcBorders>
              <w:top w:val="nil"/>
              <w:left w:val="nil"/>
              <w:bottom w:val="single" w:color="000000" w:sz="8" w:space="0"/>
              <w:right w:val="single" w:color="000000" w:sz="8" w:space="0"/>
            </w:tcBorders>
            <w:shd w:val="clear" w:color="auto" w:fill="auto"/>
            <w:tcMar>
              <w:left w:w="0" w:type="dxa"/>
              <w:right w:w="0" w:type="dxa"/>
            </w:tcMar>
            <w:vAlign w:val="center"/>
          </w:tcPr>
          <w:p w14:paraId="3A3577E9">
            <w:pPr>
              <w:pStyle w:val="22"/>
              <w:widowControl/>
              <w:spacing w:before="0" w:after="0"/>
              <w:jc w:val="both"/>
              <w:rPr>
                <w:color w:val="auto"/>
                <w:highlight w:val="none"/>
              </w:rPr>
            </w:pPr>
            <w:r>
              <w:rPr>
                <w:rFonts w:cs="宋体"/>
                <w:color w:val="auto"/>
                <w:sz w:val="21"/>
                <w:szCs w:val="21"/>
                <w:highlight w:val="none"/>
              </w:rPr>
              <w:t> </w:t>
            </w:r>
          </w:p>
        </w:tc>
        <w:tc>
          <w:tcPr>
            <w:tcW w:w="2683" w:type="dxa"/>
            <w:tcBorders>
              <w:top w:val="nil"/>
              <w:left w:val="nil"/>
              <w:bottom w:val="single" w:color="000000" w:sz="8" w:space="0"/>
              <w:right w:val="single" w:color="000000" w:sz="8" w:space="0"/>
            </w:tcBorders>
            <w:shd w:val="clear" w:color="auto" w:fill="auto"/>
            <w:tcMar>
              <w:left w:w="0" w:type="dxa"/>
              <w:right w:w="0" w:type="dxa"/>
            </w:tcMar>
            <w:vAlign w:val="center"/>
          </w:tcPr>
          <w:p w14:paraId="032245D4">
            <w:pPr>
              <w:pStyle w:val="22"/>
              <w:widowControl/>
              <w:spacing w:before="0" w:after="0"/>
              <w:jc w:val="center"/>
              <w:rPr>
                <w:color w:val="auto"/>
                <w:highlight w:val="none"/>
              </w:rPr>
            </w:pPr>
            <w:r>
              <w:rPr>
                <w:rFonts w:cs="宋体"/>
                <w:color w:val="auto"/>
                <w:sz w:val="21"/>
                <w:szCs w:val="21"/>
                <w:highlight w:val="none"/>
              </w:rPr>
              <w:t> </w:t>
            </w:r>
          </w:p>
        </w:tc>
        <w:tc>
          <w:tcPr>
            <w:tcW w:w="2186" w:type="dxa"/>
            <w:tcBorders>
              <w:top w:val="nil"/>
              <w:left w:val="nil"/>
              <w:bottom w:val="single" w:color="000000" w:sz="8" w:space="0"/>
              <w:right w:val="single" w:color="000000" w:sz="8" w:space="0"/>
            </w:tcBorders>
            <w:shd w:val="clear" w:color="auto" w:fill="auto"/>
            <w:tcMar>
              <w:left w:w="0" w:type="dxa"/>
              <w:right w:w="0" w:type="dxa"/>
            </w:tcMar>
            <w:vAlign w:val="center"/>
          </w:tcPr>
          <w:p w14:paraId="2B42660B">
            <w:pPr>
              <w:pStyle w:val="22"/>
              <w:widowControl/>
              <w:spacing w:before="0" w:after="0"/>
              <w:jc w:val="center"/>
              <w:rPr>
                <w:color w:val="auto"/>
                <w:highlight w:val="none"/>
              </w:rPr>
            </w:pPr>
            <w:r>
              <w:rPr>
                <w:rFonts w:cs="宋体"/>
                <w:color w:val="auto"/>
                <w:sz w:val="21"/>
                <w:szCs w:val="21"/>
                <w:highlight w:val="none"/>
              </w:rPr>
              <w:t> </w:t>
            </w:r>
          </w:p>
        </w:tc>
      </w:tr>
    </w:tbl>
    <w:p w14:paraId="2AA657B3">
      <w:pPr>
        <w:pStyle w:val="22"/>
        <w:widowControl/>
        <w:spacing w:before="0" w:after="0"/>
        <w:jc w:val="both"/>
        <w:rPr>
          <w:color w:val="auto"/>
          <w:highlight w:val="none"/>
        </w:rPr>
      </w:pPr>
      <w:r>
        <w:rPr>
          <w:rFonts w:cs="宋体"/>
          <w:b/>
          <w:bCs/>
          <w:color w:val="auto"/>
          <w:highlight w:val="none"/>
        </w:rPr>
        <w:t> </w:t>
      </w:r>
    </w:p>
    <w:p w14:paraId="56D09C7A">
      <w:pPr>
        <w:pStyle w:val="22"/>
        <w:widowControl/>
        <w:spacing w:before="0" w:after="0"/>
        <w:jc w:val="both"/>
        <w:rPr>
          <w:color w:val="auto"/>
          <w:highlight w:val="none"/>
        </w:rPr>
      </w:pPr>
      <w:r>
        <w:rPr>
          <w:rFonts w:cs="宋体"/>
          <w:b/>
          <w:bCs/>
          <w:color w:val="auto"/>
          <w:highlight w:val="none"/>
        </w:rPr>
        <w:t>法定代表人或法定代表人授权代表签字或盖章：</w:t>
      </w:r>
    </w:p>
    <w:p w14:paraId="6D276328">
      <w:pPr>
        <w:pStyle w:val="22"/>
        <w:widowControl/>
        <w:spacing w:before="0" w:after="0"/>
        <w:jc w:val="both"/>
        <w:rPr>
          <w:color w:val="auto"/>
          <w:highlight w:val="none"/>
        </w:rPr>
      </w:pPr>
      <w:r>
        <w:rPr>
          <w:rFonts w:cs="宋体"/>
          <w:color w:val="auto"/>
          <w:sz w:val="30"/>
          <w:szCs w:val="30"/>
          <w:highlight w:val="none"/>
        </w:rPr>
        <w:t> </w:t>
      </w:r>
    </w:p>
    <w:p w14:paraId="0767836D">
      <w:pPr>
        <w:pStyle w:val="22"/>
        <w:widowControl/>
        <w:spacing w:before="0" w:after="0"/>
        <w:ind w:firstLine="420"/>
        <w:jc w:val="both"/>
        <w:rPr>
          <w:color w:val="auto"/>
          <w:highlight w:val="none"/>
        </w:rPr>
      </w:pPr>
      <w:r>
        <w:rPr>
          <w:rFonts w:cs="宋体"/>
          <w:color w:val="auto"/>
          <w:highlight w:val="none"/>
        </w:rPr>
        <w:t>注：（1）本表不得删除；</w:t>
      </w:r>
    </w:p>
    <w:p w14:paraId="1DC531ED">
      <w:pPr>
        <w:pStyle w:val="22"/>
        <w:widowControl/>
        <w:spacing w:before="0" w:after="0"/>
        <w:ind w:firstLine="420"/>
        <w:jc w:val="both"/>
        <w:rPr>
          <w:color w:val="auto"/>
          <w:highlight w:val="none"/>
        </w:rPr>
      </w:pPr>
      <w:r>
        <w:rPr>
          <w:rFonts w:cs="宋体"/>
          <w:color w:val="auto"/>
          <w:highlight w:val="none"/>
        </w:rPr>
        <w:t>   （2）如无任何技术偏离，请于本表 “偏离说明”中注明“无偏离”；</w:t>
      </w:r>
    </w:p>
    <w:p w14:paraId="7AB268ED">
      <w:pPr>
        <w:widowControl/>
        <w:spacing w:line="440" w:lineRule="exact"/>
        <w:jc w:val="left"/>
        <w:rPr>
          <w:rFonts w:hint="eastAsia" w:asciiTheme="majorEastAsia" w:hAnsiTheme="majorEastAsia" w:eastAsiaTheme="majorEastAsia" w:cstheme="majorEastAsia"/>
          <w:b/>
          <w:color w:val="auto"/>
          <w:highlight w:val="none"/>
        </w:rPr>
      </w:pPr>
      <w:r>
        <w:rPr>
          <w:rFonts w:ascii="宋体" w:hAnsi="宋体" w:cs="宋体"/>
          <w:color w:val="auto"/>
          <w:highlight w:val="none"/>
        </w:rPr>
        <w:t>   （3）如有技术偏离项，请于本表中列明偏离内容，如需要可自行延长，其余无偏离内容不须赘述。</w:t>
      </w:r>
    </w:p>
    <w:p w14:paraId="3C678238">
      <w:pPr>
        <w:pStyle w:val="14"/>
        <w:ind w:left="480"/>
        <w:rPr>
          <w:rFonts w:hint="eastAsia" w:asciiTheme="majorEastAsia" w:hAnsiTheme="majorEastAsia" w:eastAsiaTheme="majorEastAsia" w:cstheme="majorEastAsia"/>
          <w:b/>
          <w:color w:val="auto"/>
          <w:sz w:val="32"/>
          <w:szCs w:val="32"/>
          <w:highlight w:val="none"/>
        </w:rPr>
      </w:pPr>
    </w:p>
    <w:p w14:paraId="2FA838FF">
      <w:pPr>
        <w:jc w:val="left"/>
        <w:rPr>
          <w:rFonts w:hint="eastAsia" w:ascii="宋体" w:hAnsi="宋体"/>
          <w:b/>
          <w:color w:val="auto"/>
          <w:highlight w:val="none"/>
        </w:rPr>
      </w:pPr>
    </w:p>
    <w:p w14:paraId="03D0F67A">
      <w:pPr>
        <w:jc w:val="left"/>
        <w:rPr>
          <w:rFonts w:hint="eastAsia" w:ascii="宋体" w:hAnsi="宋体"/>
          <w:b/>
          <w:color w:val="auto"/>
          <w:highlight w:val="none"/>
        </w:rPr>
      </w:pPr>
      <w:r>
        <w:rPr>
          <w:rFonts w:hint="eastAsia" w:ascii="宋体" w:hAnsi="宋体"/>
          <w:b/>
          <w:color w:val="auto"/>
          <w:highlight w:val="none"/>
        </w:rPr>
        <w:br w:type="page"/>
      </w:r>
    </w:p>
    <w:p w14:paraId="6351E0F8">
      <w:pPr>
        <w:spacing w:before="120"/>
        <w:jc w:val="left"/>
        <w:rPr>
          <w:rFonts w:hint="eastAsia" w:ascii="宋体" w:hAnsi="宋体"/>
          <w:b/>
          <w:color w:val="auto"/>
          <w:highlight w:val="none"/>
        </w:rPr>
      </w:pPr>
      <w:r>
        <w:rPr>
          <w:rFonts w:hint="eastAsia" w:ascii="宋体" w:hAnsi="宋体"/>
          <w:b/>
          <w:color w:val="auto"/>
          <w:highlight w:val="none"/>
        </w:rPr>
        <w:t>3.6.供应商认为应列入投标文件得到其他材料</w:t>
      </w:r>
    </w:p>
    <w:p w14:paraId="6BEFADDA">
      <w:pPr>
        <w:spacing w:before="120"/>
        <w:jc w:val="left"/>
        <w:rPr>
          <w:rFonts w:hint="eastAsia" w:ascii="宋体" w:hAnsi="宋体"/>
          <w:b/>
          <w:color w:val="auto"/>
          <w:highlight w:val="none"/>
          <w:lang w:val="zh-CN"/>
        </w:rPr>
      </w:pPr>
      <w:r>
        <w:rPr>
          <w:rFonts w:hint="eastAsia" w:ascii="宋体" w:hAnsi="宋体"/>
          <w:b/>
          <w:color w:val="auto"/>
          <w:highlight w:val="none"/>
          <w:lang w:val="zh-CN"/>
        </w:rPr>
        <w:t>（一）项目实施方案、人员组织、工作计划、相关承诺（格式自拟）与建议（具体内容按照招标文件的要求制作）（包含但不仅限于文件要求内容）</w:t>
      </w:r>
    </w:p>
    <w:p w14:paraId="231FF410">
      <w:pPr>
        <w:spacing w:before="120"/>
        <w:jc w:val="left"/>
        <w:rPr>
          <w:rFonts w:hint="eastAsia" w:ascii="宋体" w:hAnsi="宋体"/>
          <w:b/>
          <w:color w:val="auto"/>
          <w:highlight w:val="none"/>
          <w:lang w:val="zh-CN"/>
        </w:rPr>
      </w:pPr>
    </w:p>
    <w:p w14:paraId="43305B8A">
      <w:pPr>
        <w:spacing w:before="120"/>
        <w:jc w:val="left"/>
        <w:rPr>
          <w:rFonts w:hint="eastAsia" w:ascii="宋体" w:hAnsi="宋体"/>
          <w:b/>
          <w:color w:val="auto"/>
          <w:highlight w:val="none"/>
          <w:lang w:val="zh-CN"/>
        </w:rPr>
      </w:pPr>
      <w:r>
        <w:rPr>
          <w:rFonts w:hint="eastAsia" w:ascii="宋体" w:hAnsi="宋体"/>
          <w:b/>
          <w:color w:val="auto"/>
          <w:highlight w:val="none"/>
          <w:lang w:val="zh-CN"/>
        </w:rPr>
        <w:t>（二）.</w:t>
      </w:r>
      <w:r>
        <w:rPr>
          <w:rFonts w:hint="eastAsia" w:asciiTheme="majorEastAsia" w:hAnsiTheme="majorEastAsia" w:eastAsiaTheme="majorEastAsia" w:cstheme="majorEastAsia"/>
          <w:b/>
          <w:bCs/>
          <w:color w:val="auto"/>
          <w:highlight w:val="none"/>
        </w:rPr>
        <w:t>供应商</w:t>
      </w:r>
      <w:r>
        <w:rPr>
          <w:rFonts w:hint="eastAsia" w:ascii="宋体" w:hAnsi="宋体"/>
          <w:b/>
          <w:color w:val="auto"/>
          <w:highlight w:val="none"/>
          <w:lang w:val="zh-CN"/>
        </w:rPr>
        <w:t>项目负责人及技术人员一览表</w:t>
      </w:r>
    </w:p>
    <w:tbl>
      <w:tblPr>
        <w:tblStyle w:val="2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5"/>
        <w:gridCol w:w="1053"/>
        <w:gridCol w:w="720"/>
        <w:gridCol w:w="1260"/>
        <w:gridCol w:w="1308"/>
        <w:gridCol w:w="1680"/>
        <w:gridCol w:w="1646"/>
      </w:tblGrid>
      <w:tr w14:paraId="4E93A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8522" w:type="dxa"/>
            <w:gridSpan w:val="7"/>
          </w:tcPr>
          <w:p w14:paraId="4F93D31A">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ajorEastAsia" w:hAnsiTheme="majorEastAsia" w:eastAsiaTheme="majorEastAsia" w:cstheme="majorEastAsia"/>
                <w:color w:val="auto"/>
                <w:highlight w:val="none"/>
              </w:rPr>
              <w:t>供应商</w:t>
            </w:r>
            <w:r>
              <w:rPr>
                <w:rFonts w:hint="eastAsia" w:asciiTheme="minorEastAsia" w:hAnsiTheme="minorEastAsia" w:eastAsiaTheme="minorEastAsia" w:cstheme="minorEastAsia"/>
                <w:color w:val="auto"/>
                <w:highlight w:val="none"/>
                <w:lang w:val="zh-CN"/>
              </w:rPr>
              <w:t xml:space="preserve">：                             </w:t>
            </w:r>
          </w:p>
        </w:tc>
      </w:tr>
      <w:tr w14:paraId="454A9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gridSpan w:val="7"/>
          </w:tcPr>
          <w:p w14:paraId="33F8EF00">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项目负责人：</w:t>
            </w:r>
          </w:p>
        </w:tc>
      </w:tr>
      <w:tr w14:paraId="54594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47021E07">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姓名</w:t>
            </w:r>
          </w:p>
        </w:tc>
        <w:tc>
          <w:tcPr>
            <w:tcW w:w="1053" w:type="dxa"/>
          </w:tcPr>
          <w:p w14:paraId="3C93C937">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性别</w:t>
            </w:r>
          </w:p>
        </w:tc>
        <w:tc>
          <w:tcPr>
            <w:tcW w:w="720" w:type="dxa"/>
          </w:tcPr>
          <w:p w14:paraId="34A5A4A1">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年龄</w:t>
            </w:r>
          </w:p>
        </w:tc>
        <w:tc>
          <w:tcPr>
            <w:tcW w:w="1260" w:type="dxa"/>
          </w:tcPr>
          <w:p w14:paraId="7761FFAD">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职务职称</w:t>
            </w:r>
          </w:p>
        </w:tc>
        <w:tc>
          <w:tcPr>
            <w:tcW w:w="1308" w:type="dxa"/>
          </w:tcPr>
          <w:p w14:paraId="35823106">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业务专业</w:t>
            </w:r>
          </w:p>
        </w:tc>
        <w:tc>
          <w:tcPr>
            <w:tcW w:w="1680" w:type="dxa"/>
          </w:tcPr>
          <w:p w14:paraId="51AD949E">
            <w:pPr>
              <w:widowControl/>
              <w:spacing w:line="360" w:lineRule="auto"/>
              <w:jc w:val="lef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参加工作时间</w:t>
            </w:r>
          </w:p>
        </w:tc>
        <w:tc>
          <w:tcPr>
            <w:tcW w:w="1646" w:type="dxa"/>
          </w:tcPr>
          <w:p w14:paraId="2C7402FF">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所在单位</w:t>
            </w:r>
          </w:p>
        </w:tc>
      </w:tr>
      <w:tr w14:paraId="60163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1D40B0C0">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053" w:type="dxa"/>
          </w:tcPr>
          <w:p w14:paraId="379DB047">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720" w:type="dxa"/>
          </w:tcPr>
          <w:p w14:paraId="2D97B2E4">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260" w:type="dxa"/>
          </w:tcPr>
          <w:p w14:paraId="1F7D59A7">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308" w:type="dxa"/>
          </w:tcPr>
          <w:p w14:paraId="388634C7">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80" w:type="dxa"/>
          </w:tcPr>
          <w:p w14:paraId="44E65D12">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46" w:type="dxa"/>
          </w:tcPr>
          <w:p w14:paraId="2CC6FC5E">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r>
      <w:tr w14:paraId="531BD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504A9359">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053" w:type="dxa"/>
          </w:tcPr>
          <w:p w14:paraId="13C69A9B">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720" w:type="dxa"/>
          </w:tcPr>
          <w:p w14:paraId="5D935DAF">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260" w:type="dxa"/>
          </w:tcPr>
          <w:p w14:paraId="59A878F1">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308" w:type="dxa"/>
          </w:tcPr>
          <w:p w14:paraId="0EC33EB1">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80" w:type="dxa"/>
          </w:tcPr>
          <w:p w14:paraId="7C42A7F1">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46" w:type="dxa"/>
          </w:tcPr>
          <w:p w14:paraId="0989D647">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r>
      <w:tr w14:paraId="204B9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gridSpan w:val="7"/>
          </w:tcPr>
          <w:p w14:paraId="729BAECB">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主要人员</w:t>
            </w:r>
          </w:p>
        </w:tc>
      </w:tr>
      <w:tr w14:paraId="7A39A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6495EFD6">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姓名</w:t>
            </w:r>
          </w:p>
        </w:tc>
        <w:tc>
          <w:tcPr>
            <w:tcW w:w="1053" w:type="dxa"/>
          </w:tcPr>
          <w:p w14:paraId="790CC9BC">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性别</w:t>
            </w:r>
          </w:p>
        </w:tc>
        <w:tc>
          <w:tcPr>
            <w:tcW w:w="720" w:type="dxa"/>
          </w:tcPr>
          <w:p w14:paraId="4ECCB1B5">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年龄</w:t>
            </w:r>
          </w:p>
        </w:tc>
        <w:tc>
          <w:tcPr>
            <w:tcW w:w="1260" w:type="dxa"/>
          </w:tcPr>
          <w:p w14:paraId="7B30F435">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职务职称</w:t>
            </w:r>
          </w:p>
        </w:tc>
        <w:tc>
          <w:tcPr>
            <w:tcW w:w="1308" w:type="dxa"/>
          </w:tcPr>
          <w:p w14:paraId="39928E4D">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业务专业</w:t>
            </w:r>
          </w:p>
        </w:tc>
        <w:tc>
          <w:tcPr>
            <w:tcW w:w="1680" w:type="dxa"/>
            <w:vAlign w:val="top"/>
          </w:tcPr>
          <w:p w14:paraId="6DE03E09">
            <w:pPr>
              <w:widowControl/>
              <w:spacing w:line="360" w:lineRule="auto"/>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en-US" w:eastAsia="zh-CN"/>
              </w:rPr>
              <w:t>参加工作时间</w:t>
            </w:r>
          </w:p>
        </w:tc>
        <w:tc>
          <w:tcPr>
            <w:tcW w:w="1646" w:type="dxa"/>
          </w:tcPr>
          <w:p w14:paraId="6C1C8ECB">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所在单位</w:t>
            </w:r>
          </w:p>
        </w:tc>
      </w:tr>
      <w:tr w14:paraId="06D92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7E66FB89">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053" w:type="dxa"/>
          </w:tcPr>
          <w:p w14:paraId="23C920DC">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720" w:type="dxa"/>
          </w:tcPr>
          <w:p w14:paraId="4B37413B">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260" w:type="dxa"/>
          </w:tcPr>
          <w:p w14:paraId="486906D0">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308" w:type="dxa"/>
          </w:tcPr>
          <w:p w14:paraId="441D4E87">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80" w:type="dxa"/>
          </w:tcPr>
          <w:p w14:paraId="5A9E9606">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46" w:type="dxa"/>
          </w:tcPr>
          <w:p w14:paraId="13A54F53">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r>
      <w:tr w14:paraId="3AC5F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45457D6C">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053" w:type="dxa"/>
          </w:tcPr>
          <w:p w14:paraId="2D4BE2E6">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720" w:type="dxa"/>
          </w:tcPr>
          <w:p w14:paraId="5982C658">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260" w:type="dxa"/>
          </w:tcPr>
          <w:p w14:paraId="7876D1DA">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308" w:type="dxa"/>
          </w:tcPr>
          <w:p w14:paraId="26444B4C">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80" w:type="dxa"/>
          </w:tcPr>
          <w:p w14:paraId="692917FF">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46" w:type="dxa"/>
          </w:tcPr>
          <w:p w14:paraId="5AF58D20">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r>
      <w:tr w14:paraId="13A3D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2E01C3A4">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053" w:type="dxa"/>
          </w:tcPr>
          <w:p w14:paraId="70114410">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720" w:type="dxa"/>
          </w:tcPr>
          <w:p w14:paraId="3B0786D7">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260" w:type="dxa"/>
          </w:tcPr>
          <w:p w14:paraId="41D87989">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308" w:type="dxa"/>
          </w:tcPr>
          <w:p w14:paraId="41918661">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80" w:type="dxa"/>
          </w:tcPr>
          <w:p w14:paraId="77F0D41D">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46" w:type="dxa"/>
          </w:tcPr>
          <w:p w14:paraId="71150A68">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r>
      <w:tr w14:paraId="641B2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62BF302E">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053" w:type="dxa"/>
          </w:tcPr>
          <w:p w14:paraId="36C53C07">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720" w:type="dxa"/>
          </w:tcPr>
          <w:p w14:paraId="66A65FD5">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260" w:type="dxa"/>
          </w:tcPr>
          <w:p w14:paraId="140A441F">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308" w:type="dxa"/>
          </w:tcPr>
          <w:p w14:paraId="77C907FC">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80" w:type="dxa"/>
          </w:tcPr>
          <w:p w14:paraId="6ECFFEFC">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46" w:type="dxa"/>
          </w:tcPr>
          <w:p w14:paraId="1D195D69">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r>
      <w:tr w14:paraId="33E0B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5" w:type="dxa"/>
          </w:tcPr>
          <w:p w14:paraId="457E660A">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053" w:type="dxa"/>
          </w:tcPr>
          <w:p w14:paraId="30BE83C4">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720" w:type="dxa"/>
          </w:tcPr>
          <w:p w14:paraId="0E8D053B">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260" w:type="dxa"/>
          </w:tcPr>
          <w:p w14:paraId="58ED16FD">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308" w:type="dxa"/>
          </w:tcPr>
          <w:p w14:paraId="322DA728">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80" w:type="dxa"/>
          </w:tcPr>
          <w:p w14:paraId="2F3E69FD">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c>
          <w:tcPr>
            <w:tcW w:w="1646" w:type="dxa"/>
          </w:tcPr>
          <w:p w14:paraId="740AB695">
            <w:pPr>
              <w:widowControl/>
              <w:spacing w:line="360" w:lineRule="auto"/>
              <w:ind w:firstLine="420"/>
              <w:jc w:val="left"/>
              <w:rPr>
                <w:rFonts w:hint="eastAsia" w:asciiTheme="minorEastAsia" w:hAnsiTheme="minorEastAsia" w:eastAsiaTheme="minorEastAsia" w:cstheme="minorEastAsia"/>
                <w:color w:val="auto"/>
                <w:highlight w:val="none"/>
                <w:lang w:val="zh-CN"/>
              </w:rPr>
            </w:pPr>
          </w:p>
        </w:tc>
      </w:tr>
    </w:tbl>
    <w:p w14:paraId="6FCC2E8F">
      <w:pPr>
        <w:widowControl/>
        <w:spacing w:line="360" w:lineRule="auto"/>
        <w:ind w:firstLine="42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注：1.项目负责人是本项目的技术核心人员，须是该项目实施全过程的真正组织者和领导者，担负实质性项目工作。项目负责人需要有较强的组织和协调能力，具有承担类似研究项目的成功经验，并有较高的理论素养和分析解决问题的能力。</w:t>
      </w:r>
    </w:p>
    <w:p w14:paraId="5F0406A6">
      <w:pPr>
        <w:widowControl/>
        <w:spacing w:line="360" w:lineRule="auto"/>
        <w:ind w:firstLine="420"/>
        <w:jc w:val="left"/>
        <w:rPr>
          <w:rFonts w:hint="eastAsia" w:ascii="宋体" w:hAnsi="宋体"/>
          <w:color w:val="auto"/>
          <w:szCs w:val="21"/>
          <w:highlight w:val="none"/>
        </w:rPr>
      </w:pPr>
      <w:r>
        <w:rPr>
          <w:rFonts w:hint="eastAsia" w:asciiTheme="minorEastAsia" w:hAnsiTheme="minorEastAsia" w:eastAsiaTheme="minorEastAsia" w:cstheme="minorEastAsia"/>
          <w:color w:val="auto"/>
          <w:highlight w:val="none"/>
          <w:lang w:val="zh-CN"/>
        </w:rPr>
        <w:t xml:space="preserve">   2.项目负责人及技术人员（资质证明材料可附后）</w:t>
      </w:r>
    </w:p>
    <w:p w14:paraId="1D618C89">
      <w:pPr>
        <w:widowControl/>
        <w:jc w:val="left"/>
        <w:rPr>
          <w:rFonts w:hint="eastAsia" w:ascii="宋体" w:hAnsi="宋体"/>
          <w:b/>
          <w:color w:val="auto"/>
          <w:szCs w:val="21"/>
          <w:highlight w:val="none"/>
        </w:rPr>
      </w:pPr>
    </w:p>
    <w:p w14:paraId="204564FD">
      <w:pPr>
        <w:pStyle w:val="7"/>
        <w:rPr>
          <w:rFonts w:ascii="宋体" w:hAnsi="宋体"/>
          <w:color w:val="auto"/>
          <w:szCs w:val="21"/>
          <w:highlight w:val="none"/>
        </w:rPr>
      </w:pPr>
    </w:p>
    <w:p w14:paraId="5CE07650">
      <w:pPr>
        <w:rPr>
          <w:rFonts w:hint="eastAsia" w:ascii="宋体" w:hAnsi="宋体"/>
          <w:b/>
          <w:color w:val="auto"/>
          <w:szCs w:val="21"/>
          <w:highlight w:val="none"/>
        </w:rPr>
      </w:pPr>
    </w:p>
    <w:p w14:paraId="4A14CA6F">
      <w:pPr>
        <w:pStyle w:val="7"/>
        <w:rPr>
          <w:color w:val="auto"/>
          <w:highlight w:val="none"/>
        </w:rPr>
      </w:pPr>
    </w:p>
    <w:p w14:paraId="6B55DDAE">
      <w:pPr>
        <w:spacing w:line="360" w:lineRule="auto"/>
        <w:rPr>
          <w:rFonts w:hint="eastAsia" w:ascii="宋体" w:hAnsi="宋体"/>
          <w:b/>
          <w:bCs/>
          <w:color w:val="auto"/>
          <w:highlight w:val="none"/>
        </w:rPr>
      </w:pPr>
    </w:p>
    <w:p w14:paraId="60BE0E39">
      <w:pPr>
        <w:spacing w:line="360" w:lineRule="auto"/>
        <w:rPr>
          <w:rFonts w:hint="eastAsia" w:ascii="宋体" w:hAnsi="宋体"/>
          <w:b/>
          <w:bCs/>
          <w:color w:val="auto"/>
          <w:highlight w:val="none"/>
        </w:rPr>
      </w:pPr>
    </w:p>
    <w:p w14:paraId="12B9E84A">
      <w:pPr>
        <w:spacing w:line="360" w:lineRule="auto"/>
        <w:rPr>
          <w:rFonts w:hint="eastAsia" w:ascii="宋体" w:hAnsi="宋体"/>
          <w:b/>
          <w:bCs/>
          <w:color w:val="auto"/>
          <w:highlight w:val="none"/>
        </w:rPr>
      </w:pPr>
    </w:p>
    <w:p w14:paraId="1317D1EC">
      <w:pPr>
        <w:spacing w:line="360" w:lineRule="auto"/>
        <w:rPr>
          <w:rFonts w:hint="eastAsia" w:ascii="宋体" w:hAnsi="宋体"/>
          <w:b/>
          <w:bCs/>
          <w:color w:val="auto"/>
          <w:highlight w:val="none"/>
        </w:rPr>
      </w:pPr>
    </w:p>
    <w:p w14:paraId="5BC8B4C8">
      <w:pPr>
        <w:spacing w:line="360" w:lineRule="auto"/>
        <w:rPr>
          <w:rFonts w:hint="eastAsia" w:ascii="宋体" w:hAnsi="宋体"/>
          <w:b/>
          <w:bCs/>
          <w:color w:val="auto"/>
          <w:highlight w:val="none"/>
        </w:rPr>
      </w:pPr>
      <w:r>
        <w:rPr>
          <w:rFonts w:hint="eastAsia" w:ascii="宋体" w:hAnsi="宋体"/>
          <w:b/>
          <w:bCs/>
          <w:color w:val="auto"/>
          <w:highlight w:val="none"/>
        </w:rPr>
        <w:t>（三）供应商项目业绩一览表</w:t>
      </w:r>
    </w:p>
    <w:p w14:paraId="0E077F84">
      <w:pPr>
        <w:jc w:val="center"/>
        <w:rPr>
          <w:rFonts w:hint="eastAsia" w:ascii="宋体" w:hAnsi="宋体"/>
          <w:color w:val="auto"/>
          <w:highlight w:val="none"/>
        </w:rPr>
      </w:pPr>
      <w:r>
        <w:rPr>
          <w:rFonts w:hint="eastAsia" w:asciiTheme="majorEastAsia" w:hAnsiTheme="majorEastAsia" w:eastAsiaTheme="majorEastAsia" w:cstheme="majorEastAsia"/>
          <w:color w:val="auto"/>
          <w:highlight w:val="none"/>
        </w:rPr>
        <w:t>供应商</w:t>
      </w:r>
      <w:r>
        <w:rPr>
          <w:rFonts w:hint="eastAsia" w:ascii="宋体" w:hAnsi="宋体"/>
          <w:color w:val="auto"/>
          <w:highlight w:val="none"/>
        </w:rPr>
        <w:t>项目业绩一览表</w:t>
      </w:r>
    </w:p>
    <w:p w14:paraId="47595B8E">
      <w:pPr>
        <w:rPr>
          <w:rFonts w:hint="eastAsia" w:ascii="宋体" w:hAnsi="宋体"/>
          <w:color w:val="auto"/>
          <w:highlight w:val="none"/>
        </w:rPr>
      </w:pPr>
      <w:r>
        <w:rPr>
          <w:rFonts w:hint="eastAsia" w:asciiTheme="majorEastAsia" w:hAnsiTheme="majorEastAsia" w:eastAsiaTheme="majorEastAsia" w:cstheme="majorEastAsia"/>
          <w:color w:val="auto"/>
          <w:highlight w:val="none"/>
        </w:rPr>
        <w:t>供应商</w:t>
      </w:r>
      <w:r>
        <w:rPr>
          <w:rFonts w:hint="eastAsia" w:ascii="宋体" w:hAnsi="宋体"/>
          <w:color w:val="auto"/>
          <w:highlight w:val="none"/>
        </w:rPr>
        <w:t>：（盖章）</w:t>
      </w:r>
    </w:p>
    <w:tbl>
      <w:tblPr>
        <w:tblStyle w:val="2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3252"/>
        <w:gridCol w:w="2131"/>
        <w:gridCol w:w="2131"/>
      </w:tblGrid>
      <w:tr w14:paraId="3181C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50E712E6">
            <w:pPr>
              <w:rPr>
                <w:rFonts w:hint="eastAsia" w:ascii="宋体" w:hAnsi="宋体"/>
                <w:color w:val="auto"/>
                <w:highlight w:val="none"/>
              </w:rPr>
            </w:pPr>
            <w:r>
              <w:rPr>
                <w:rFonts w:hint="eastAsia" w:ascii="宋体" w:hAnsi="宋体"/>
                <w:color w:val="auto"/>
                <w:highlight w:val="none"/>
              </w:rPr>
              <w:t>序号</w:t>
            </w:r>
          </w:p>
        </w:tc>
        <w:tc>
          <w:tcPr>
            <w:tcW w:w="3252" w:type="dxa"/>
          </w:tcPr>
          <w:p w14:paraId="7D8E0787">
            <w:pPr>
              <w:rPr>
                <w:rFonts w:hint="eastAsia" w:ascii="宋体" w:hAnsi="宋体"/>
                <w:color w:val="auto"/>
                <w:highlight w:val="none"/>
              </w:rPr>
            </w:pPr>
            <w:r>
              <w:rPr>
                <w:rFonts w:hint="eastAsia" w:ascii="宋体" w:hAnsi="宋体"/>
                <w:color w:val="auto"/>
                <w:highlight w:val="none"/>
              </w:rPr>
              <w:t>项目名称</w:t>
            </w:r>
          </w:p>
        </w:tc>
        <w:tc>
          <w:tcPr>
            <w:tcW w:w="2131" w:type="dxa"/>
          </w:tcPr>
          <w:p w14:paraId="1A0601E0">
            <w:pPr>
              <w:rPr>
                <w:rFonts w:hint="eastAsia" w:ascii="宋体" w:hAnsi="宋体"/>
                <w:color w:val="auto"/>
                <w:highlight w:val="none"/>
              </w:rPr>
            </w:pPr>
            <w:r>
              <w:rPr>
                <w:rFonts w:hint="eastAsia" w:ascii="宋体" w:hAnsi="宋体"/>
                <w:color w:val="auto"/>
                <w:highlight w:val="none"/>
              </w:rPr>
              <w:t>合同金额（万元）</w:t>
            </w:r>
          </w:p>
        </w:tc>
        <w:tc>
          <w:tcPr>
            <w:tcW w:w="2131" w:type="dxa"/>
          </w:tcPr>
          <w:p w14:paraId="49223F70">
            <w:pPr>
              <w:rPr>
                <w:rFonts w:hint="eastAsia" w:ascii="宋体" w:hAnsi="宋体"/>
                <w:color w:val="auto"/>
                <w:highlight w:val="none"/>
              </w:rPr>
            </w:pPr>
            <w:r>
              <w:rPr>
                <w:rFonts w:hint="eastAsia" w:ascii="宋体" w:hAnsi="宋体"/>
                <w:color w:val="auto"/>
                <w:highlight w:val="none"/>
              </w:rPr>
              <w:t>项目负责人</w:t>
            </w:r>
          </w:p>
        </w:tc>
      </w:tr>
      <w:tr w14:paraId="2A93D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090344DA">
            <w:pPr>
              <w:rPr>
                <w:rFonts w:hint="eastAsia" w:ascii="宋体" w:hAnsi="宋体"/>
                <w:color w:val="auto"/>
                <w:highlight w:val="none"/>
              </w:rPr>
            </w:pPr>
            <w:r>
              <w:rPr>
                <w:rFonts w:hint="eastAsia" w:ascii="宋体" w:hAnsi="宋体"/>
                <w:color w:val="auto"/>
                <w:highlight w:val="none"/>
              </w:rPr>
              <w:t>1</w:t>
            </w:r>
          </w:p>
        </w:tc>
        <w:tc>
          <w:tcPr>
            <w:tcW w:w="3252" w:type="dxa"/>
          </w:tcPr>
          <w:p w14:paraId="7C866E21">
            <w:pPr>
              <w:rPr>
                <w:rFonts w:hint="eastAsia" w:ascii="宋体" w:hAnsi="宋体"/>
                <w:color w:val="auto"/>
                <w:highlight w:val="none"/>
              </w:rPr>
            </w:pPr>
          </w:p>
        </w:tc>
        <w:tc>
          <w:tcPr>
            <w:tcW w:w="2131" w:type="dxa"/>
          </w:tcPr>
          <w:p w14:paraId="35C250EB">
            <w:pPr>
              <w:rPr>
                <w:rFonts w:hint="eastAsia" w:ascii="宋体" w:hAnsi="宋体"/>
                <w:color w:val="auto"/>
                <w:highlight w:val="none"/>
              </w:rPr>
            </w:pPr>
          </w:p>
        </w:tc>
        <w:tc>
          <w:tcPr>
            <w:tcW w:w="2131" w:type="dxa"/>
          </w:tcPr>
          <w:p w14:paraId="3CAA2F21">
            <w:pPr>
              <w:rPr>
                <w:rFonts w:hint="eastAsia" w:ascii="宋体" w:hAnsi="宋体"/>
                <w:color w:val="auto"/>
                <w:highlight w:val="none"/>
              </w:rPr>
            </w:pPr>
          </w:p>
        </w:tc>
      </w:tr>
      <w:tr w14:paraId="30CB9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2359C451">
            <w:pPr>
              <w:rPr>
                <w:rFonts w:hint="eastAsia" w:ascii="宋体" w:hAnsi="宋体"/>
                <w:color w:val="auto"/>
                <w:highlight w:val="none"/>
              </w:rPr>
            </w:pPr>
            <w:r>
              <w:rPr>
                <w:rFonts w:hint="eastAsia" w:ascii="宋体" w:hAnsi="宋体"/>
                <w:color w:val="auto"/>
                <w:highlight w:val="none"/>
              </w:rPr>
              <w:t>2</w:t>
            </w:r>
          </w:p>
        </w:tc>
        <w:tc>
          <w:tcPr>
            <w:tcW w:w="3252" w:type="dxa"/>
          </w:tcPr>
          <w:p w14:paraId="44CBF4A1">
            <w:pPr>
              <w:rPr>
                <w:rFonts w:hint="eastAsia" w:ascii="宋体" w:hAnsi="宋体"/>
                <w:color w:val="auto"/>
                <w:highlight w:val="none"/>
              </w:rPr>
            </w:pPr>
          </w:p>
        </w:tc>
        <w:tc>
          <w:tcPr>
            <w:tcW w:w="2131" w:type="dxa"/>
          </w:tcPr>
          <w:p w14:paraId="2DA413AA">
            <w:pPr>
              <w:rPr>
                <w:rFonts w:hint="eastAsia" w:ascii="宋体" w:hAnsi="宋体"/>
                <w:color w:val="auto"/>
                <w:highlight w:val="none"/>
              </w:rPr>
            </w:pPr>
          </w:p>
        </w:tc>
        <w:tc>
          <w:tcPr>
            <w:tcW w:w="2131" w:type="dxa"/>
          </w:tcPr>
          <w:p w14:paraId="4A61F296">
            <w:pPr>
              <w:rPr>
                <w:rFonts w:hint="eastAsia" w:ascii="宋体" w:hAnsi="宋体"/>
                <w:color w:val="auto"/>
                <w:highlight w:val="none"/>
              </w:rPr>
            </w:pPr>
          </w:p>
        </w:tc>
      </w:tr>
      <w:tr w14:paraId="68351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206B1566">
            <w:pPr>
              <w:rPr>
                <w:rFonts w:hint="eastAsia" w:ascii="宋体" w:hAnsi="宋体"/>
                <w:color w:val="auto"/>
                <w:highlight w:val="none"/>
              </w:rPr>
            </w:pPr>
            <w:r>
              <w:rPr>
                <w:rFonts w:hint="eastAsia" w:ascii="宋体" w:hAnsi="宋体"/>
                <w:color w:val="auto"/>
                <w:highlight w:val="none"/>
              </w:rPr>
              <w:t>3</w:t>
            </w:r>
          </w:p>
        </w:tc>
        <w:tc>
          <w:tcPr>
            <w:tcW w:w="3252" w:type="dxa"/>
          </w:tcPr>
          <w:p w14:paraId="16EE5222">
            <w:pPr>
              <w:rPr>
                <w:rFonts w:hint="eastAsia" w:ascii="宋体" w:hAnsi="宋体"/>
                <w:color w:val="auto"/>
                <w:highlight w:val="none"/>
              </w:rPr>
            </w:pPr>
          </w:p>
        </w:tc>
        <w:tc>
          <w:tcPr>
            <w:tcW w:w="2131" w:type="dxa"/>
          </w:tcPr>
          <w:p w14:paraId="69F7C386">
            <w:pPr>
              <w:rPr>
                <w:rFonts w:hint="eastAsia" w:ascii="宋体" w:hAnsi="宋体"/>
                <w:color w:val="auto"/>
                <w:highlight w:val="none"/>
              </w:rPr>
            </w:pPr>
          </w:p>
        </w:tc>
        <w:tc>
          <w:tcPr>
            <w:tcW w:w="2131" w:type="dxa"/>
          </w:tcPr>
          <w:p w14:paraId="5F8D00B8">
            <w:pPr>
              <w:rPr>
                <w:rFonts w:hint="eastAsia" w:ascii="宋体" w:hAnsi="宋体"/>
                <w:color w:val="auto"/>
                <w:highlight w:val="none"/>
              </w:rPr>
            </w:pPr>
          </w:p>
        </w:tc>
      </w:tr>
      <w:tr w14:paraId="7BDD8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363A26A7">
            <w:pPr>
              <w:rPr>
                <w:rFonts w:hint="eastAsia" w:ascii="宋体" w:hAnsi="宋体"/>
                <w:color w:val="auto"/>
                <w:highlight w:val="none"/>
              </w:rPr>
            </w:pPr>
            <w:r>
              <w:rPr>
                <w:rFonts w:hint="eastAsia" w:ascii="宋体" w:hAnsi="宋体"/>
                <w:color w:val="auto"/>
                <w:highlight w:val="none"/>
              </w:rPr>
              <w:t>4</w:t>
            </w:r>
          </w:p>
        </w:tc>
        <w:tc>
          <w:tcPr>
            <w:tcW w:w="3252" w:type="dxa"/>
          </w:tcPr>
          <w:p w14:paraId="62A16A9E">
            <w:pPr>
              <w:rPr>
                <w:rFonts w:hint="eastAsia" w:ascii="宋体" w:hAnsi="宋体"/>
                <w:color w:val="auto"/>
                <w:highlight w:val="none"/>
              </w:rPr>
            </w:pPr>
          </w:p>
        </w:tc>
        <w:tc>
          <w:tcPr>
            <w:tcW w:w="2131" w:type="dxa"/>
          </w:tcPr>
          <w:p w14:paraId="517B4364">
            <w:pPr>
              <w:rPr>
                <w:rFonts w:hint="eastAsia" w:ascii="宋体" w:hAnsi="宋体"/>
                <w:color w:val="auto"/>
                <w:highlight w:val="none"/>
              </w:rPr>
            </w:pPr>
          </w:p>
        </w:tc>
        <w:tc>
          <w:tcPr>
            <w:tcW w:w="2131" w:type="dxa"/>
          </w:tcPr>
          <w:p w14:paraId="3D0724B3">
            <w:pPr>
              <w:rPr>
                <w:rFonts w:hint="eastAsia" w:ascii="宋体" w:hAnsi="宋体"/>
                <w:color w:val="auto"/>
                <w:highlight w:val="none"/>
              </w:rPr>
            </w:pPr>
          </w:p>
        </w:tc>
      </w:tr>
      <w:tr w14:paraId="4DCA2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1EFCDFFE">
            <w:pPr>
              <w:rPr>
                <w:rFonts w:hint="eastAsia" w:ascii="宋体" w:hAnsi="宋体"/>
                <w:color w:val="auto"/>
                <w:highlight w:val="none"/>
              </w:rPr>
            </w:pPr>
            <w:r>
              <w:rPr>
                <w:rFonts w:hint="eastAsia" w:ascii="宋体" w:hAnsi="宋体"/>
                <w:color w:val="auto"/>
                <w:highlight w:val="none"/>
              </w:rPr>
              <w:t>5</w:t>
            </w:r>
          </w:p>
        </w:tc>
        <w:tc>
          <w:tcPr>
            <w:tcW w:w="3252" w:type="dxa"/>
          </w:tcPr>
          <w:p w14:paraId="3E7C259D">
            <w:pPr>
              <w:rPr>
                <w:rFonts w:hint="eastAsia" w:ascii="宋体" w:hAnsi="宋体"/>
                <w:color w:val="auto"/>
                <w:highlight w:val="none"/>
              </w:rPr>
            </w:pPr>
          </w:p>
        </w:tc>
        <w:tc>
          <w:tcPr>
            <w:tcW w:w="2131" w:type="dxa"/>
          </w:tcPr>
          <w:p w14:paraId="6DBB117C">
            <w:pPr>
              <w:rPr>
                <w:rFonts w:hint="eastAsia" w:ascii="宋体" w:hAnsi="宋体"/>
                <w:color w:val="auto"/>
                <w:highlight w:val="none"/>
              </w:rPr>
            </w:pPr>
          </w:p>
        </w:tc>
        <w:tc>
          <w:tcPr>
            <w:tcW w:w="2131" w:type="dxa"/>
          </w:tcPr>
          <w:p w14:paraId="6A3B8228">
            <w:pPr>
              <w:rPr>
                <w:rFonts w:hint="eastAsia" w:ascii="宋体" w:hAnsi="宋体"/>
                <w:color w:val="auto"/>
                <w:highlight w:val="none"/>
              </w:rPr>
            </w:pPr>
          </w:p>
        </w:tc>
      </w:tr>
      <w:tr w14:paraId="3A541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312574FB">
            <w:pPr>
              <w:rPr>
                <w:rFonts w:hint="eastAsia" w:ascii="宋体" w:hAnsi="宋体"/>
                <w:color w:val="auto"/>
                <w:highlight w:val="none"/>
              </w:rPr>
            </w:pPr>
          </w:p>
        </w:tc>
        <w:tc>
          <w:tcPr>
            <w:tcW w:w="3252" w:type="dxa"/>
          </w:tcPr>
          <w:p w14:paraId="42926889">
            <w:pPr>
              <w:rPr>
                <w:rFonts w:hint="eastAsia" w:ascii="宋体" w:hAnsi="宋体"/>
                <w:color w:val="auto"/>
                <w:highlight w:val="none"/>
              </w:rPr>
            </w:pPr>
          </w:p>
        </w:tc>
        <w:tc>
          <w:tcPr>
            <w:tcW w:w="2131" w:type="dxa"/>
          </w:tcPr>
          <w:p w14:paraId="514F786D">
            <w:pPr>
              <w:rPr>
                <w:rFonts w:hint="eastAsia" w:ascii="宋体" w:hAnsi="宋体"/>
                <w:color w:val="auto"/>
                <w:highlight w:val="none"/>
              </w:rPr>
            </w:pPr>
          </w:p>
        </w:tc>
        <w:tc>
          <w:tcPr>
            <w:tcW w:w="2131" w:type="dxa"/>
          </w:tcPr>
          <w:p w14:paraId="0215E0B8">
            <w:pPr>
              <w:rPr>
                <w:rFonts w:hint="eastAsia" w:ascii="宋体" w:hAnsi="宋体"/>
                <w:color w:val="auto"/>
                <w:highlight w:val="none"/>
              </w:rPr>
            </w:pPr>
          </w:p>
        </w:tc>
      </w:tr>
    </w:tbl>
    <w:p w14:paraId="69AD734D">
      <w:pPr>
        <w:spacing w:line="360" w:lineRule="auto"/>
        <w:rPr>
          <w:rFonts w:hint="eastAsia" w:ascii="宋体" w:hAnsi="宋体"/>
          <w:color w:val="auto"/>
          <w:highlight w:val="none"/>
        </w:rPr>
      </w:pPr>
      <w:r>
        <w:rPr>
          <w:rFonts w:hint="eastAsia" w:ascii="宋体" w:hAnsi="宋体"/>
          <w:color w:val="auto"/>
          <w:highlight w:val="none"/>
        </w:rPr>
        <w:t>注：1.各</w:t>
      </w:r>
      <w:r>
        <w:rPr>
          <w:rFonts w:hint="eastAsia" w:asciiTheme="majorEastAsia" w:hAnsiTheme="majorEastAsia" w:eastAsiaTheme="majorEastAsia" w:cstheme="majorEastAsia"/>
          <w:color w:val="auto"/>
          <w:highlight w:val="none"/>
        </w:rPr>
        <w:t>供应商</w:t>
      </w:r>
      <w:r>
        <w:rPr>
          <w:rFonts w:hint="eastAsia" w:ascii="宋体" w:hAnsi="宋体"/>
          <w:color w:val="auto"/>
          <w:highlight w:val="none"/>
        </w:rPr>
        <w:t>可参照上述格式自制《</w:t>
      </w:r>
      <w:r>
        <w:rPr>
          <w:rFonts w:hint="eastAsia" w:asciiTheme="majorEastAsia" w:hAnsiTheme="majorEastAsia" w:eastAsiaTheme="majorEastAsia" w:cstheme="majorEastAsia"/>
          <w:color w:val="auto"/>
          <w:highlight w:val="none"/>
        </w:rPr>
        <w:t>供应商</w:t>
      </w:r>
      <w:r>
        <w:rPr>
          <w:rFonts w:hint="eastAsia" w:ascii="宋体" w:hAnsi="宋体"/>
          <w:color w:val="auto"/>
          <w:highlight w:val="none"/>
        </w:rPr>
        <w:t>项目业绩一览表》投标。</w:t>
      </w:r>
    </w:p>
    <w:p w14:paraId="13F5AA2F">
      <w:pPr>
        <w:rPr>
          <w:rFonts w:hint="eastAsia" w:ascii="宋体" w:hAnsi="宋体"/>
          <w:color w:val="auto"/>
          <w:highlight w:val="none"/>
        </w:rPr>
      </w:pPr>
      <w:r>
        <w:rPr>
          <w:rFonts w:hint="eastAsia" w:ascii="宋体" w:hAnsi="宋体"/>
          <w:color w:val="auto"/>
          <w:highlight w:val="none"/>
        </w:rPr>
        <w:t xml:space="preserve">    2.</w:t>
      </w:r>
      <w:r>
        <w:rPr>
          <w:rFonts w:hint="eastAsia" w:ascii="宋体" w:hAnsi="宋体" w:cs="宋体"/>
          <w:color w:val="auto"/>
          <w:highlight w:val="none"/>
        </w:rPr>
        <w:t>后附有效业绩的复印件，原件备查。</w:t>
      </w:r>
    </w:p>
    <w:p w14:paraId="3F78CDA5">
      <w:pPr>
        <w:ind w:firstLine="4410"/>
        <w:rPr>
          <w:rFonts w:hint="eastAsia" w:ascii="宋体" w:hAnsi="宋体"/>
          <w:color w:val="auto"/>
          <w:highlight w:val="none"/>
        </w:rPr>
      </w:pPr>
      <w:r>
        <w:rPr>
          <w:rFonts w:hint="eastAsia" w:ascii="宋体" w:hAnsi="宋体"/>
          <w:color w:val="auto"/>
          <w:highlight w:val="none"/>
        </w:rPr>
        <w:t xml:space="preserve">           </w:t>
      </w:r>
      <w:r>
        <w:rPr>
          <w:rFonts w:hint="eastAsia" w:asciiTheme="majorEastAsia" w:hAnsiTheme="majorEastAsia" w:eastAsiaTheme="majorEastAsia" w:cstheme="majorEastAsia"/>
          <w:color w:val="auto"/>
          <w:highlight w:val="none"/>
        </w:rPr>
        <w:t>供应商</w:t>
      </w:r>
      <w:r>
        <w:rPr>
          <w:rFonts w:hint="eastAsia" w:ascii="宋体" w:hAnsi="宋体"/>
          <w:color w:val="auto"/>
          <w:highlight w:val="none"/>
        </w:rPr>
        <w:t>：（盖章）</w:t>
      </w:r>
    </w:p>
    <w:p w14:paraId="7512FCC2">
      <w:pPr>
        <w:jc w:val="right"/>
        <w:rPr>
          <w:rFonts w:hint="eastAsia" w:ascii="宋体" w:hAnsi="宋体" w:cs="宋体"/>
          <w:color w:val="auto"/>
          <w:szCs w:val="21"/>
          <w:highlight w:val="none"/>
          <w:lang w:val="zh-CN"/>
        </w:rPr>
      </w:pPr>
      <w:r>
        <w:rPr>
          <w:rFonts w:hint="eastAsia" w:ascii="宋体" w:hAnsi="宋体"/>
          <w:color w:val="auto"/>
          <w:highlight w:val="none"/>
        </w:rPr>
        <w:t>日期：      年    月    日</w:t>
      </w:r>
    </w:p>
    <w:p w14:paraId="6C517B97">
      <w:pPr>
        <w:widowControl/>
        <w:jc w:val="left"/>
        <w:rPr>
          <w:rFonts w:hint="eastAsia" w:ascii="宋体" w:hAnsi="宋体"/>
          <w:b/>
          <w:color w:val="auto"/>
          <w:szCs w:val="21"/>
          <w:highlight w:val="none"/>
        </w:rPr>
      </w:pPr>
    </w:p>
    <w:p w14:paraId="722BEECA">
      <w:pPr>
        <w:pStyle w:val="2"/>
        <w:rPr>
          <w:color w:val="auto"/>
          <w:highlight w:val="none"/>
        </w:rPr>
      </w:pPr>
    </w:p>
    <w:p w14:paraId="3AAD3C02">
      <w:pPr>
        <w:widowControl/>
        <w:spacing w:line="440" w:lineRule="exact"/>
        <w:jc w:val="left"/>
        <w:rPr>
          <w:rFonts w:hint="eastAsia" w:asciiTheme="majorEastAsia" w:hAnsiTheme="majorEastAsia" w:eastAsiaTheme="majorEastAsia" w:cstheme="majorEastAsia"/>
          <w:b/>
          <w:color w:val="auto"/>
          <w:highlight w:val="none"/>
        </w:rPr>
      </w:pPr>
    </w:p>
    <w:p w14:paraId="54C66023">
      <w:pPr>
        <w:widowControl/>
        <w:spacing w:line="440" w:lineRule="exact"/>
        <w:jc w:val="left"/>
        <w:rPr>
          <w:rFonts w:hint="eastAsia" w:asciiTheme="majorEastAsia" w:hAnsiTheme="majorEastAsia" w:eastAsiaTheme="majorEastAsia" w:cstheme="majorEastAsia"/>
          <w:b/>
          <w:color w:val="auto"/>
          <w:highlight w:val="none"/>
        </w:rPr>
      </w:pPr>
    </w:p>
    <w:p w14:paraId="4E186092">
      <w:pPr>
        <w:widowControl/>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br w:type="page"/>
      </w:r>
    </w:p>
    <w:p w14:paraId="0A96DC51">
      <w:pPr>
        <w:pStyle w:val="55"/>
        <w:spacing w:line="400" w:lineRule="exact"/>
        <w:ind w:firstLine="0"/>
        <w:jc w:val="both"/>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3.7附件：</w:t>
      </w:r>
    </w:p>
    <w:p w14:paraId="6728DE75">
      <w:pPr>
        <w:pStyle w:val="24"/>
        <w:spacing w:line="400" w:lineRule="exact"/>
        <w:ind w:firstLine="0" w:firstLineChars="0"/>
        <w:rPr>
          <w:rFonts w:hint="eastAsia" w:asciiTheme="majorEastAsia" w:hAnsiTheme="majorEastAsia" w:eastAsiaTheme="majorEastAsia" w:cstheme="majorEastAsia"/>
          <w:color w:val="auto"/>
          <w:sz w:val="24"/>
          <w:szCs w:val="24"/>
          <w:highlight w:val="none"/>
        </w:rPr>
      </w:pPr>
    </w:p>
    <w:p w14:paraId="3F276B76">
      <w:pPr>
        <w:widowControl/>
        <w:spacing w:line="400" w:lineRule="exact"/>
        <w:jc w:val="center"/>
        <w:outlineLvl w:val="0"/>
        <w:rPr>
          <w:rFonts w:hint="eastAsia" w:asciiTheme="majorEastAsia" w:hAnsiTheme="majorEastAsia" w:eastAsiaTheme="majorEastAsia" w:cstheme="majorEastAsia"/>
          <w:b/>
          <w:color w:val="auto"/>
          <w:highlight w:val="none"/>
        </w:rPr>
      </w:pPr>
      <w:bookmarkStart w:id="344" w:name="_Toc22867"/>
      <w:r>
        <w:rPr>
          <w:rFonts w:hint="eastAsia" w:asciiTheme="majorEastAsia" w:hAnsiTheme="majorEastAsia" w:eastAsiaTheme="majorEastAsia" w:cstheme="majorEastAsia"/>
          <w:b/>
          <w:color w:val="auto"/>
          <w:highlight w:val="none"/>
        </w:rPr>
        <w:t>法定代表人身份证明书</w:t>
      </w:r>
      <w:bookmarkEnd w:id="344"/>
    </w:p>
    <w:p w14:paraId="37FFD9C1">
      <w:pPr>
        <w:spacing w:line="400" w:lineRule="exact"/>
        <w:rPr>
          <w:rFonts w:hint="eastAsia" w:asciiTheme="majorEastAsia" w:hAnsiTheme="majorEastAsia" w:eastAsiaTheme="majorEastAsia" w:cstheme="majorEastAsia"/>
          <w:b/>
          <w:color w:val="auto"/>
          <w:highlight w:val="none"/>
        </w:rPr>
      </w:pPr>
    </w:p>
    <w:p w14:paraId="27E165CA">
      <w:pPr>
        <w:spacing w:line="400" w:lineRule="exact"/>
        <w:ind w:firstLine="612"/>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单位名称：</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p>
    <w:p w14:paraId="5424D2E7">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单位性质：</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p>
    <w:p w14:paraId="596834D4">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    址：</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p>
    <w:p w14:paraId="3471D840">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成立时间：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4297A5A2">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经营期限：</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p>
    <w:p w14:paraId="66C842E7">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姓    名：</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 性别：</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年龄：</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 </w:t>
      </w:r>
    </w:p>
    <w:p w14:paraId="704C69F9">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身份证号码</w:t>
      </w:r>
      <w:r>
        <w:rPr>
          <w:rFonts w:hint="eastAsia" w:asciiTheme="majorEastAsia" w:hAnsiTheme="majorEastAsia" w:eastAsiaTheme="majorEastAsia" w:cstheme="majorEastAsia"/>
          <w:color w:val="auto"/>
          <w:highlight w:val="none"/>
          <w:u w:val="single"/>
        </w:rPr>
        <w:t xml:space="preserve">                                 </w:t>
      </w:r>
    </w:p>
    <w:p w14:paraId="3ABB1747">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联系方式：</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邮箱：</w:t>
      </w:r>
      <w:r>
        <w:rPr>
          <w:rFonts w:hint="eastAsia" w:asciiTheme="majorEastAsia" w:hAnsiTheme="majorEastAsia" w:eastAsiaTheme="majorEastAsia" w:cstheme="majorEastAsia"/>
          <w:color w:val="auto"/>
          <w:highlight w:val="none"/>
          <w:u w:val="single"/>
        </w:rPr>
        <w:t xml:space="preserve">                    </w:t>
      </w:r>
    </w:p>
    <w:p w14:paraId="7109FF27">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系</w:t>
      </w:r>
      <w:r>
        <w:rPr>
          <w:rFonts w:hint="eastAsia" w:asciiTheme="majorEastAsia" w:hAnsiTheme="majorEastAsia" w:eastAsiaTheme="majorEastAsia" w:cstheme="majorEastAsia"/>
          <w:color w:val="auto"/>
          <w:highlight w:val="none"/>
          <w:u w:val="single"/>
        </w:rPr>
        <w:t xml:space="preserve">          （供应商单位名称）         </w:t>
      </w:r>
      <w:r>
        <w:rPr>
          <w:rFonts w:hint="eastAsia" w:asciiTheme="majorEastAsia" w:hAnsiTheme="majorEastAsia" w:eastAsiaTheme="majorEastAsia" w:cstheme="majorEastAsia"/>
          <w:color w:val="auto"/>
          <w:highlight w:val="none"/>
        </w:rPr>
        <w:t>的法定代表人。</w:t>
      </w:r>
    </w:p>
    <w:p w14:paraId="480BB938">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特此证明。</w:t>
      </w:r>
    </w:p>
    <w:p w14:paraId="51735D62">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u w:val="single"/>
        </w:rPr>
        <w:t xml:space="preserve">          附身份证复印件                         </w:t>
      </w:r>
    </w:p>
    <w:p w14:paraId="3924F856">
      <w:pPr>
        <w:tabs>
          <w:tab w:val="left" w:pos="720"/>
          <w:tab w:val="left" w:pos="900"/>
        </w:tabs>
        <w:spacing w:line="400" w:lineRule="exact"/>
        <w:ind w:firstLine="480" w:firstLineChars="200"/>
        <w:rPr>
          <w:rFonts w:hint="eastAsia" w:asciiTheme="majorEastAsia" w:hAnsiTheme="majorEastAsia" w:eastAsiaTheme="majorEastAsia" w:cstheme="majorEastAsia"/>
          <w:color w:val="auto"/>
          <w:highlight w:val="none"/>
        </w:rPr>
      </w:pPr>
    </w:p>
    <w:p w14:paraId="69F7C10D">
      <w:pPr>
        <w:tabs>
          <w:tab w:val="left" w:pos="720"/>
          <w:tab w:val="left" w:pos="900"/>
        </w:tabs>
        <w:spacing w:line="400" w:lineRule="exact"/>
        <w:ind w:firstLine="4440" w:firstLineChars="185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供应商：</w:t>
      </w:r>
      <w:r>
        <w:rPr>
          <w:rFonts w:hint="eastAsia" w:asciiTheme="majorEastAsia" w:hAnsiTheme="majorEastAsia" w:eastAsiaTheme="majorEastAsia" w:cstheme="majorEastAsia"/>
          <w:color w:val="auto"/>
          <w:highlight w:val="none"/>
          <w:u w:val="single"/>
        </w:rPr>
        <w:t xml:space="preserve">         （盖公章）</w:t>
      </w:r>
    </w:p>
    <w:p w14:paraId="62264D29">
      <w:pPr>
        <w:tabs>
          <w:tab w:val="left" w:pos="720"/>
          <w:tab w:val="left" w:pos="900"/>
        </w:tabs>
        <w:spacing w:line="400" w:lineRule="exact"/>
        <w:ind w:firstLine="4440" w:firstLineChars="185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法定代表人签名</w:t>
      </w:r>
      <w:r>
        <w:rPr>
          <w:rFonts w:hint="eastAsia" w:asciiTheme="majorEastAsia" w:hAnsiTheme="majorEastAsia" w:eastAsiaTheme="majorEastAsia" w:cstheme="majorEastAsia"/>
          <w:color w:val="auto"/>
          <w:highlight w:val="none"/>
          <w:u w:val="single"/>
        </w:rPr>
        <w:t xml:space="preserve">：           </w:t>
      </w:r>
    </w:p>
    <w:p w14:paraId="53AA55E5">
      <w:pPr>
        <w:tabs>
          <w:tab w:val="left" w:pos="720"/>
          <w:tab w:val="left" w:pos="900"/>
        </w:tabs>
        <w:spacing w:line="400" w:lineRule="exact"/>
        <w:ind w:firstLine="4440" w:firstLineChars="185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2DC01F19">
      <w:pPr>
        <w:widowControl/>
        <w:jc w:val="center"/>
        <w:rPr>
          <w:rFonts w:hint="eastAsia" w:asciiTheme="majorEastAsia" w:hAnsiTheme="majorEastAsia" w:eastAsiaTheme="majorEastAsia" w:cstheme="majorEastAsia"/>
          <w:b/>
          <w:color w:val="auto"/>
          <w:sz w:val="32"/>
          <w:szCs w:val="32"/>
          <w:highlight w:val="none"/>
        </w:rPr>
      </w:pPr>
      <w:bookmarkStart w:id="345" w:name="_Toc25165"/>
      <w:bookmarkStart w:id="346" w:name="_Toc27790"/>
      <w:bookmarkStart w:id="347" w:name="_Toc18831"/>
      <w:bookmarkStart w:id="348" w:name="_Toc7171"/>
      <w:bookmarkStart w:id="349" w:name="_Toc263"/>
    </w:p>
    <w:p w14:paraId="010B03B7">
      <w:pPr>
        <w:widowControl/>
        <w:jc w:val="center"/>
        <w:outlineLvl w:val="0"/>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bookmarkStart w:id="350" w:name="_Toc17045"/>
      <w:r>
        <w:rPr>
          <w:rFonts w:hint="eastAsia" w:asciiTheme="majorEastAsia" w:hAnsiTheme="majorEastAsia" w:eastAsiaTheme="majorEastAsia" w:cstheme="majorEastAsia"/>
          <w:b/>
          <w:color w:val="auto"/>
          <w:sz w:val="32"/>
          <w:szCs w:val="32"/>
          <w:highlight w:val="none"/>
        </w:rPr>
        <w:t>授权委托书</w:t>
      </w:r>
      <w:bookmarkEnd w:id="345"/>
      <w:bookmarkEnd w:id="346"/>
      <w:bookmarkEnd w:id="347"/>
      <w:bookmarkEnd w:id="348"/>
      <w:bookmarkEnd w:id="349"/>
      <w:bookmarkEnd w:id="350"/>
    </w:p>
    <w:p w14:paraId="09FA5E44">
      <w:pPr>
        <w:widowControl/>
        <w:spacing w:line="420" w:lineRule="exact"/>
        <w:jc w:val="left"/>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32"/>
          <w:szCs w:val="32"/>
          <w:highlight w:val="none"/>
        </w:rPr>
        <w:t> </w:t>
      </w:r>
    </w:p>
    <w:p w14:paraId="4CC4EFC5">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委托人（供应商）：</w:t>
      </w:r>
      <w:r>
        <w:rPr>
          <w:rFonts w:hint="eastAsia" w:asciiTheme="majorEastAsia" w:hAnsiTheme="majorEastAsia" w:eastAsiaTheme="majorEastAsia" w:cstheme="majorEastAsia"/>
          <w:color w:val="auto"/>
          <w:highlight w:val="none"/>
          <w:u w:val="single"/>
        </w:rPr>
        <w:t xml:space="preserve">                         </w:t>
      </w:r>
    </w:p>
    <w:p w14:paraId="543FB162">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地    址：</w:t>
      </w:r>
      <w:r>
        <w:rPr>
          <w:rFonts w:hint="eastAsia" w:asciiTheme="majorEastAsia" w:hAnsiTheme="majorEastAsia" w:eastAsiaTheme="majorEastAsia" w:cstheme="majorEastAsia"/>
          <w:color w:val="auto"/>
          <w:highlight w:val="none"/>
          <w:u w:val="single"/>
        </w:rPr>
        <w:t xml:space="preserve">                               </w:t>
      </w:r>
    </w:p>
    <w:p w14:paraId="7F09CDFF">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法定代表人：</w:t>
      </w:r>
      <w:r>
        <w:rPr>
          <w:rFonts w:hint="eastAsia" w:asciiTheme="majorEastAsia" w:hAnsiTheme="majorEastAsia" w:eastAsiaTheme="majorEastAsia" w:cstheme="majorEastAsia"/>
          <w:color w:val="auto"/>
          <w:highlight w:val="none"/>
          <w:u w:val="single"/>
        </w:rPr>
        <w:t xml:space="preserve">                             </w:t>
      </w:r>
    </w:p>
    <w:p w14:paraId="3EDC7022">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受委托人（一）：</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职务：</w:t>
      </w:r>
      <w:r>
        <w:rPr>
          <w:rFonts w:hint="eastAsia" w:asciiTheme="majorEastAsia" w:hAnsiTheme="majorEastAsia" w:eastAsiaTheme="majorEastAsia" w:cstheme="majorEastAsia"/>
          <w:color w:val="auto"/>
          <w:highlight w:val="none"/>
          <w:u w:val="single"/>
        </w:rPr>
        <w:t xml:space="preserve">        </w:t>
      </w:r>
    </w:p>
    <w:p w14:paraId="583CA273">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受委托人（一）身份证号码：</w:t>
      </w:r>
      <w:r>
        <w:rPr>
          <w:rFonts w:hint="eastAsia" w:asciiTheme="majorEastAsia" w:hAnsiTheme="majorEastAsia" w:eastAsiaTheme="majorEastAsia" w:cstheme="majorEastAsia"/>
          <w:color w:val="auto"/>
          <w:highlight w:val="none"/>
          <w:u w:val="single"/>
        </w:rPr>
        <w:t>                   </w:t>
      </w:r>
    </w:p>
    <w:p w14:paraId="33E576B0">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联系方式：</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邮箱：</w:t>
      </w:r>
      <w:r>
        <w:rPr>
          <w:rFonts w:hint="eastAsia" w:asciiTheme="majorEastAsia" w:hAnsiTheme="majorEastAsia" w:eastAsiaTheme="majorEastAsia" w:cstheme="majorEastAsia"/>
          <w:color w:val="auto"/>
          <w:highlight w:val="none"/>
          <w:u w:val="single"/>
        </w:rPr>
        <w:t xml:space="preserve">                            </w:t>
      </w:r>
    </w:p>
    <w:p w14:paraId="2F1DBC9F">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222FAB8">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现委托上述受委托人在</w:t>
      </w:r>
      <w:r>
        <w:rPr>
          <w:rFonts w:hint="eastAsia" w:asciiTheme="majorEastAsia" w:hAnsiTheme="majorEastAsia" w:eastAsiaTheme="majorEastAsia" w:cstheme="majorEastAsia"/>
          <w:color w:val="auto"/>
          <w:highlight w:val="none"/>
          <w:u w:val="single"/>
        </w:rPr>
        <w:t>   （招标项目名称）     </w:t>
      </w:r>
      <w:r>
        <w:rPr>
          <w:rFonts w:hint="eastAsia" w:asciiTheme="majorEastAsia" w:hAnsiTheme="majorEastAsia" w:eastAsiaTheme="majorEastAsia" w:cstheme="majorEastAsia"/>
          <w:color w:val="auto"/>
          <w:highlight w:val="none"/>
        </w:rPr>
        <w:t>招标投标活动中，作为委托人的授权委托人。</w:t>
      </w:r>
    </w:p>
    <w:p w14:paraId="6CFF612C">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委托事项：领取采购文件、编制、签署、递交、说明补正响应文件、签订合同和处理有关事宜等特别授权。受委托人联合行使或独立行使的委托权限，其法律后果由委托人承担。</w:t>
      </w:r>
    </w:p>
    <w:p w14:paraId="3436D794">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投标事务负责人无转委托权。采购人（采购代理机构）有权拒绝其他任何代表委托人行使的投标事宜，以及超出本授权范围的其他事宜。</w:t>
      </w:r>
    </w:p>
    <w:p w14:paraId="4047CFF8">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委托期限：</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日，自</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日至</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日。</w:t>
      </w:r>
    </w:p>
    <w:p w14:paraId="1C3F2804">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1D3E0334">
      <w:pPr>
        <w:spacing w:line="42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（附身份证复印件）                             </w:t>
      </w:r>
    </w:p>
    <w:p w14:paraId="3D9F2EB2">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2FD97F36">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4972FDA0">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58534481">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5F42088D">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4C16012D">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441AD56">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（盖单位章）</w:t>
      </w:r>
    </w:p>
    <w:p w14:paraId="34B974AF">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15909C7">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法定代表人：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（签字）</w:t>
      </w:r>
    </w:p>
    <w:p w14:paraId="146C9844">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85BCDB8">
      <w:pPr>
        <w:pStyle w:val="55"/>
        <w:spacing w:line="360" w:lineRule="exact"/>
        <w:ind w:left="-2" w:leftChars="-1"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受委托人：</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（签字）</w:t>
      </w:r>
    </w:p>
    <w:p w14:paraId="2DA29486">
      <w:pPr>
        <w:pStyle w:val="14"/>
        <w:ind w:left="480"/>
        <w:rPr>
          <w:rFonts w:hint="eastAsia" w:asciiTheme="majorEastAsia" w:hAnsiTheme="majorEastAsia" w:eastAsiaTheme="majorEastAsia" w:cstheme="majorEastAsia"/>
          <w:b/>
          <w:color w:val="auto"/>
          <w:highlight w:val="none"/>
        </w:rPr>
      </w:pPr>
    </w:p>
    <w:p w14:paraId="6E6BDF25">
      <w:pPr>
        <w:rPr>
          <w:color w:val="auto"/>
          <w:highlight w:val="none"/>
        </w:rPr>
      </w:pPr>
    </w:p>
    <w:sectPr>
      <w:footerReference r:id="rId4" w:type="default"/>
      <w:pgSz w:w="11906" w:h="16838"/>
      <w:pgMar w:top="1213" w:right="1558" w:bottom="115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宋体-18030">
    <w:altName w:val="宋体"/>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71460182"/>
    </w:sdtPr>
    <w:sdtContent>
      <w:p w14:paraId="6CC6450A">
        <w:pPr>
          <w:pStyle w:val="16"/>
          <w:jc w:val="center"/>
        </w:pPr>
        <w:r>
          <w:fldChar w:fldCharType="begin"/>
        </w:r>
        <w:r>
          <w:instrText xml:space="preserve">PAGE   \* MERGEFORMAT</w:instrText>
        </w:r>
        <w:r>
          <w:fldChar w:fldCharType="separate"/>
        </w:r>
        <w:r>
          <w:rPr>
            <w:lang w:val="zh-CN"/>
          </w:rPr>
          <w:t>1</w:t>
        </w:r>
        <w:r>
          <w:fldChar w:fldCharType="end"/>
        </w:r>
      </w:p>
    </w:sdtContent>
  </w:sdt>
  <w:p w14:paraId="5F247FB6">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04FC64CD">
        <w:pPr>
          <w:pStyle w:val="16"/>
          <w:jc w:val="center"/>
        </w:pPr>
        <w:r>
          <w:fldChar w:fldCharType="begin"/>
        </w:r>
        <w:r>
          <w:instrText xml:space="preserve">PAGE   \* MERGEFORMAT</w:instrText>
        </w:r>
        <w:r>
          <w:fldChar w:fldCharType="separate"/>
        </w:r>
        <w:r>
          <w:rPr>
            <w:lang w:val="zh-CN"/>
          </w:rPr>
          <w:t>50</w:t>
        </w:r>
        <w:r>
          <w:fldChar w:fldCharType="end"/>
        </w:r>
      </w:p>
    </w:sdtContent>
  </w:sdt>
  <w:p w14:paraId="0C05B250">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C7C6"/>
    <w:multiLevelType w:val="singleLevel"/>
    <w:tmpl w:val="D958C7C6"/>
    <w:lvl w:ilvl="0" w:tentative="0">
      <w:start w:val="4"/>
      <w:numFmt w:val="decimal"/>
      <w:suff w:val="nothing"/>
      <w:lvlText w:val="（%1）"/>
      <w:lvlJc w:val="left"/>
    </w:lvl>
  </w:abstractNum>
  <w:abstractNum w:abstractNumId="1">
    <w:nsid w:val="E72B6572"/>
    <w:multiLevelType w:val="singleLevel"/>
    <w:tmpl w:val="E72B6572"/>
    <w:lvl w:ilvl="0" w:tentative="0">
      <w:start w:val="4"/>
      <w:numFmt w:val="chineseCounting"/>
      <w:suff w:val="space"/>
      <w:lvlText w:val="第%1章"/>
      <w:lvlJc w:val="left"/>
      <w:rPr>
        <w:rFonts w:hint="eastAsia"/>
      </w:rPr>
    </w:lvl>
  </w:abstractNum>
  <w:abstractNum w:abstractNumId="2">
    <w:nsid w:val="3964E114"/>
    <w:multiLevelType w:val="singleLevel"/>
    <w:tmpl w:val="3964E114"/>
    <w:lvl w:ilvl="0" w:tentative="0">
      <w:start w:val="5"/>
      <w:numFmt w:val="chineseCounting"/>
      <w:suff w:val="space"/>
      <w:lvlText w:val="第%1章"/>
      <w:lvlJc w:val="left"/>
      <w:rPr>
        <w:rFonts w:hint="eastAsia"/>
      </w:rPr>
    </w:lvl>
  </w:abstractNum>
  <w:abstractNum w:abstractNumId="3">
    <w:nsid w:val="3A664126"/>
    <w:multiLevelType w:val="singleLevel"/>
    <w:tmpl w:val="3A664126"/>
    <w:lvl w:ilvl="0" w:tentative="0">
      <w:start w:val="1"/>
      <w:numFmt w:val="decimal"/>
      <w:suff w:val="nothing"/>
      <w:lvlText w:val="%1、"/>
      <w:lvlJc w:val="left"/>
    </w:lvl>
  </w:abstractNum>
  <w:abstractNum w:abstractNumId="4">
    <w:nsid w:val="4B8FC609"/>
    <w:multiLevelType w:val="singleLevel"/>
    <w:tmpl w:val="4B8FC609"/>
    <w:lvl w:ilvl="0" w:tentative="0">
      <w:start w:val="1"/>
      <w:numFmt w:val="decimal"/>
      <w:suff w:val="nothing"/>
      <w:lvlText w:val="%1、"/>
      <w:lvlJc w:val="left"/>
    </w:lvl>
  </w:abstractNum>
  <w:abstractNum w:abstractNumId="5">
    <w:nsid w:val="661487BD"/>
    <w:multiLevelType w:val="singleLevel"/>
    <w:tmpl w:val="661487BD"/>
    <w:lvl w:ilvl="0" w:tentative="0">
      <w:start w:val="1"/>
      <w:numFmt w:val="decimal"/>
      <w:suff w:val="nothing"/>
      <w:lvlText w:val="（%1）"/>
      <w:lvlJc w:val="left"/>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Q2ZmMzY2QwOTcyNzVkZDlmZDkwMTIzZGIwZGU2MGUifQ=="/>
  </w:docVars>
  <w:rsids>
    <w:rsidRoot w:val="00F24CD4"/>
    <w:rsid w:val="00016641"/>
    <w:rsid w:val="00023D6D"/>
    <w:rsid w:val="00030D30"/>
    <w:rsid w:val="00043144"/>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14A5C"/>
    <w:rsid w:val="00121DDC"/>
    <w:rsid w:val="00130DF9"/>
    <w:rsid w:val="00150FED"/>
    <w:rsid w:val="00162569"/>
    <w:rsid w:val="0016448A"/>
    <w:rsid w:val="0017591F"/>
    <w:rsid w:val="00177EE0"/>
    <w:rsid w:val="00185D2A"/>
    <w:rsid w:val="00185F38"/>
    <w:rsid w:val="0019223D"/>
    <w:rsid w:val="001A071D"/>
    <w:rsid w:val="001A4B04"/>
    <w:rsid w:val="001A65D1"/>
    <w:rsid w:val="001C3EE0"/>
    <w:rsid w:val="001C48F9"/>
    <w:rsid w:val="001D076C"/>
    <w:rsid w:val="001E276B"/>
    <w:rsid w:val="001F3FFA"/>
    <w:rsid w:val="001F6455"/>
    <w:rsid w:val="00220DE6"/>
    <w:rsid w:val="0022576E"/>
    <w:rsid w:val="00242E7C"/>
    <w:rsid w:val="002562A9"/>
    <w:rsid w:val="00257EE9"/>
    <w:rsid w:val="00260CE9"/>
    <w:rsid w:val="00270BE5"/>
    <w:rsid w:val="00274C87"/>
    <w:rsid w:val="00281479"/>
    <w:rsid w:val="002C1E07"/>
    <w:rsid w:val="002C5D00"/>
    <w:rsid w:val="00321BEE"/>
    <w:rsid w:val="003225BB"/>
    <w:rsid w:val="003340F4"/>
    <w:rsid w:val="0033630F"/>
    <w:rsid w:val="003637D2"/>
    <w:rsid w:val="0037724D"/>
    <w:rsid w:val="003805D0"/>
    <w:rsid w:val="003A2CB1"/>
    <w:rsid w:val="003A6119"/>
    <w:rsid w:val="003A798E"/>
    <w:rsid w:val="003B6A16"/>
    <w:rsid w:val="003D00F1"/>
    <w:rsid w:val="003F4A6D"/>
    <w:rsid w:val="004142B0"/>
    <w:rsid w:val="004227B7"/>
    <w:rsid w:val="00422F99"/>
    <w:rsid w:val="004300BC"/>
    <w:rsid w:val="0043186A"/>
    <w:rsid w:val="00482380"/>
    <w:rsid w:val="004825D9"/>
    <w:rsid w:val="00487A3C"/>
    <w:rsid w:val="00495D48"/>
    <w:rsid w:val="00496D1D"/>
    <w:rsid w:val="004A133D"/>
    <w:rsid w:val="004A1E85"/>
    <w:rsid w:val="004C1448"/>
    <w:rsid w:val="004C266E"/>
    <w:rsid w:val="004D1A7D"/>
    <w:rsid w:val="004E6288"/>
    <w:rsid w:val="004E637D"/>
    <w:rsid w:val="004F674A"/>
    <w:rsid w:val="00511A86"/>
    <w:rsid w:val="00532CCE"/>
    <w:rsid w:val="0053456B"/>
    <w:rsid w:val="00545818"/>
    <w:rsid w:val="00562B2E"/>
    <w:rsid w:val="00563375"/>
    <w:rsid w:val="0056756E"/>
    <w:rsid w:val="00571146"/>
    <w:rsid w:val="00573FC2"/>
    <w:rsid w:val="005845F5"/>
    <w:rsid w:val="00597096"/>
    <w:rsid w:val="005C3349"/>
    <w:rsid w:val="005C3762"/>
    <w:rsid w:val="005D62FA"/>
    <w:rsid w:val="00602CB8"/>
    <w:rsid w:val="006375D2"/>
    <w:rsid w:val="00644F30"/>
    <w:rsid w:val="00647AF0"/>
    <w:rsid w:val="00650B20"/>
    <w:rsid w:val="006704EB"/>
    <w:rsid w:val="00682B15"/>
    <w:rsid w:val="00696C1C"/>
    <w:rsid w:val="006A35DB"/>
    <w:rsid w:val="006E23DF"/>
    <w:rsid w:val="006F04B3"/>
    <w:rsid w:val="006F6E5D"/>
    <w:rsid w:val="007078FC"/>
    <w:rsid w:val="007104EC"/>
    <w:rsid w:val="0071261D"/>
    <w:rsid w:val="0074119A"/>
    <w:rsid w:val="00741B2E"/>
    <w:rsid w:val="007471EF"/>
    <w:rsid w:val="0078143C"/>
    <w:rsid w:val="007F2883"/>
    <w:rsid w:val="007F2C4B"/>
    <w:rsid w:val="00832566"/>
    <w:rsid w:val="0085221E"/>
    <w:rsid w:val="00873257"/>
    <w:rsid w:val="00874B4B"/>
    <w:rsid w:val="00884752"/>
    <w:rsid w:val="008923D8"/>
    <w:rsid w:val="008B7CF4"/>
    <w:rsid w:val="008C257A"/>
    <w:rsid w:val="008C2736"/>
    <w:rsid w:val="008D5504"/>
    <w:rsid w:val="008E024C"/>
    <w:rsid w:val="008E250D"/>
    <w:rsid w:val="00904B62"/>
    <w:rsid w:val="009378D4"/>
    <w:rsid w:val="00952547"/>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3089"/>
    <w:rsid w:val="00A36F47"/>
    <w:rsid w:val="00A46E79"/>
    <w:rsid w:val="00A56B1E"/>
    <w:rsid w:val="00A668E1"/>
    <w:rsid w:val="00A8781E"/>
    <w:rsid w:val="00A92B5D"/>
    <w:rsid w:val="00A92B82"/>
    <w:rsid w:val="00A94FFD"/>
    <w:rsid w:val="00AA07F0"/>
    <w:rsid w:val="00AA5695"/>
    <w:rsid w:val="00AF16F4"/>
    <w:rsid w:val="00B22B7F"/>
    <w:rsid w:val="00B2654F"/>
    <w:rsid w:val="00B72F9A"/>
    <w:rsid w:val="00B80030"/>
    <w:rsid w:val="00B83EBC"/>
    <w:rsid w:val="00B93086"/>
    <w:rsid w:val="00BB46CC"/>
    <w:rsid w:val="00BB6EFF"/>
    <w:rsid w:val="00BC758A"/>
    <w:rsid w:val="00BD6078"/>
    <w:rsid w:val="00BE4092"/>
    <w:rsid w:val="00C0745E"/>
    <w:rsid w:val="00C21E0B"/>
    <w:rsid w:val="00C27B7E"/>
    <w:rsid w:val="00C345A1"/>
    <w:rsid w:val="00C43EE5"/>
    <w:rsid w:val="00C57323"/>
    <w:rsid w:val="00C61A2C"/>
    <w:rsid w:val="00C70C0F"/>
    <w:rsid w:val="00C72133"/>
    <w:rsid w:val="00C73680"/>
    <w:rsid w:val="00C97304"/>
    <w:rsid w:val="00CA70E0"/>
    <w:rsid w:val="00CA7EEA"/>
    <w:rsid w:val="00CB5140"/>
    <w:rsid w:val="00CC04F8"/>
    <w:rsid w:val="00CC4EA0"/>
    <w:rsid w:val="00CE25FF"/>
    <w:rsid w:val="00CE2AE3"/>
    <w:rsid w:val="00CE2ED5"/>
    <w:rsid w:val="00CE5DC4"/>
    <w:rsid w:val="00CF19E6"/>
    <w:rsid w:val="00D04BBA"/>
    <w:rsid w:val="00D164D4"/>
    <w:rsid w:val="00D23952"/>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60A9C"/>
    <w:rsid w:val="00E70C4D"/>
    <w:rsid w:val="00E80FDE"/>
    <w:rsid w:val="00E846D9"/>
    <w:rsid w:val="00EB0902"/>
    <w:rsid w:val="00ED19B1"/>
    <w:rsid w:val="00ED296B"/>
    <w:rsid w:val="00EE1722"/>
    <w:rsid w:val="00EF369D"/>
    <w:rsid w:val="00F038B5"/>
    <w:rsid w:val="00F06C37"/>
    <w:rsid w:val="00F13A48"/>
    <w:rsid w:val="00F13BC3"/>
    <w:rsid w:val="00F153D1"/>
    <w:rsid w:val="00F24CD4"/>
    <w:rsid w:val="00F3547E"/>
    <w:rsid w:val="00F57104"/>
    <w:rsid w:val="00F73ACC"/>
    <w:rsid w:val="00F75D40"/>
    <w:rsid w:val="00F80386"/>
    <w:rsid w:val="00F82EA7"/>
    <w:rsid w:val="00F96656"/>
    <w:rsid w:val="00F96F60"/>
    <w:rsid w:val="00F978C6"/>
    <w:rsid w:val="00FA081C"/>
    <w:rsid w:val="00FA4AE3"/>
    <w:rsid w:val="00FC60C2"/>
    <w:rsid w:val="00FF304F"/>
    <w:rsid w:val="01350223"/>
    <w:rsid w:val="01685AF7"/>
    <w:rsid w:val="01BB5A85"/>
    <w:rsid w:val="01C35DFF"/>
    <w:rsid w:val="021E0353"/>
    <w:rsid w:val="022278B2"/>
    <w:rsid w:val="02445A7A"/>
    <w:rsid w:val="026E6F9B"/>
    <w:rsid w:val="02784461"/>
    <w:rsid w:val="02994018"/>
    <w:rsid w:val="02F0273C"/>
    <w:rsid w:val="035A1A92"/>
    <w:rsid w:val="03BE7AAE"/>
    <w:rsid w:val="03DD6186"/>
    <w:rsid w:val="040E6340"/>
    <w:rsid w:val="04161698"/>
    <w:rsid w:val="041A2F36"/>
    <w:rsid w:val="0429076D"/>
    <w:rsid w:val="042948F2"/>
    <w:rsid w:val="042C2C6A"/>
    <w:rsid w:val="04A37004"/>
    <w:rsid w:val="04CB5FDF"/>
    <w:rsid w:val="052838D4"/>
    <w:rsid w:val="052A284F"/>
    <w:rsid w:val="053A45A8"/>
    <w:rsid w:val="056A1C9B"/>
    <w:rsid w:val="056D52E8"/>
    <w:rsid w:val="0593210B"/>
    <w:rsid w:val="05976809"/>
    <w:rsid w:val="059E1945"/>
    <w:rsid w:val="05A54A82"/>
    <w:rsid w:val="05C869C2"/>
    <w:rsid w:val="05F11A75"/>
    <w:rsid w:val="05F8235F"/>
    <w:rsid w:val="06031841"/>
    <w:rsid w:val="062260D2"/>
    <w:rsid w:val="063D4CBA"/>
    <w:rsid w:val="066B5CCB"/>
    <w:rsid w:val="067A5F0E"/>
    <w:rsid w:val="06A765D7"/>
    <w:rsid w:val="06BA630B"/>
    <w:rsid w:val="06C62F02"/>
    <w:rsid w:val="06C75DF5"/>
    <w:rsid w:val="06D66EBD"/>
    <w:rsid w:val="06E15AD9"/>
    <w:rsid w:val="06EB6E0C"/>
    <w:rsid w:val="0733430F"/>
    <w:rsid w:val="073F4A62"/>
    <w:rsid w:val="07506C6F"/>
    <w:rsid w:val="07746E01"/>
    <w:rsid w:val="07774365"/>
    <w:rsid w:val="07E301FD"/>
    <w:rsid w:val="07E44876"/>
    <w:rsid w:val="08167EB9"/>
    <w:rsid w:val="083E4D1A"/>
    <w:rsid w:val="08931509"/>
    <w:rsid w:val="08A55394"/>
    <w:rsid w:val="08A76D63"/>
    <w:rsid w:val="08B446D3"/>
    <w:rsid w:val="08B56EC5"/>
    <w:rsid w:val="08EB4EA1"/>
    <w:rsid w:val="08FC0E5C"/>
    <w:rsid w:val="09141A78"/>
    <w:rsid w:val="091A4CC9"/>
    <w:rsid w:val="0972111F"/>
    <w:rsid w:val="098F027E"/>
    <w:rsid w:val="0992356F"/>
    <w:rsid w:val="0A083831"/>
    <w:rsid w:val="0A314B36"/>
    <w:rsid w:val="0A543B62"/>
    <w:rsid w:val="0A704BD1"/>
    <w:rsid w:val="0B2C17A1"/>
    <w:rsid w:val="0B341654"/>
    <w:rsid w:val="0B446AEB"/>
    <w:rsid w:val="0B586924"/>
    <w:rsid w:val="0B751115"/>
    <w:rsid w:val="0B760EC6"/>
    <w:rsid w:val="0B7E1CB6"/>
    <w:rsid w:val="0B955598"/>
    <w:rsid w:val="0BAF665A"/>
    <w:rsid w:val="0BB342DB"/>
    <w:rsid w:val="0BBC2B25"/>
    <w:rsid w:val="0BC51F82"/>
    <w:rsid w:val="0BCA2A97"/>
    <w:rsid w:val="0BEB340A"/>
    <w:rsid w:val="0C13651A"/>
    <w:rsid w:val="0C1F767A"/>
    <w:rsid w:val="0C2D57D1"/>
    <w:rsid w:val="0C3703FE"/>
    <w:rsid w:val="0C4A4FFD"/>
    <w:rsid w:val="0C5965C6"/>
    <w:rsid w:val="0C8852C6"/>
    <w:rsid w:val="0CA4630A"/>
    <w:rsid w:val="0CA75583"/>
    <w:rsid w:val="0CFC2B46"/>
    <w:rsid w:val="0D1150F2"/>
    <w:rsid w:val="0D166265"/>
    <w:rsid w:val="0D466B4A"/>
    <w:rsid w:val="0DAE2B79"/>
    <w:rsid w:val="0DC7755F"/>
    <w:rsid w:val="0E056A05"/>
    <w:rsid w:val="0E150EAB"/>
    <w:rsid w:val="0E172295"/>
    <w:rsid w:val="0E2B5D40"/>
    <w:rsid w:val="0E6D45AA"/>
    <w:rsid w:val="0E965864"/>
    <w:rsid w:val="0E96765D"/>
    <w:rsid w:val="0EA026CC"/>
    <w:rsid w:val="0F093F3B"/>
    <w:rsid w:val="0F110441"/>
    <w:rsid w:val="0F5512C6"/>
    <w:rsid w:val="0FA20284"/>
    <w:rsid w:val="0FB0474F"/>
    <w:rsid w:val="0FB415D5"/>
    <w:rsid w:val="10135C3C"/>
    <w:rsid w:val="10204215"/>
    <w:rsid w:val="104B3917"/>
    <w:rsid w:val="10593038"/>
    <w:rsid w:val="11032084"/>
    <w:rsid w:val="114446C2"/>
    <w:rsid w:val="11535CDA"/>
    <w:rsid w:val="11716160"/>
    <w:rsid w:val="117A14B8"/>
    <w:rsid w:val="117B581C"/>
    <w:rsid w:val="11AC0F46"/>
    <w:rsid w:val="11D87F8D"/>
    <w:rsid w:val="1205646C"/>
    <w:rsid w:val="122E4051"/>
    <w:rsid w:val="12324082"/>
    <w:rsid w:val="12541D09"/>
    <w:rsid w:val="126E269F"/>
    <w:rsid w:val="12A8305E"/>
    <w:rsid w:val="12A8611D"/>
    <w:rsid w:val="12B10F0A"/>
    <w:rsid w:val="12CA1FCB"/>
    <w:rsid w:val="12E57771"/>
    <w:rsid w:val="12FC5EFD"/>
    <w:rsid w:val="133B3CA6"/>
    <w:rsid w:val="13525B1D"/>
    <w:rsid w:val="13CF0812"/>
    <w:rsid w:val="13EE6AF0"/>
    <w:rsid w:val="1432532D"/>
    <w:rsid w:val="1447609C"/>
    <w:rsid w:val="144C6FE7"/>
    <w:rsid w:val="14896D52"/>
    <w:rsid w:val="14942891"/>
    <w:rsid w:val="14991C55"/>
    <w:rsid w:val="14A867BA"/>
    <w:rsid w:val="14CD7B51"/>
    <w:rsid w:val="14E7475B"/>
    <w:rsid w:val="15175270"/>
    <w:rsid w:val="1534197E"/>
    <w:rsid w:val="158E72E0"/>
    <w:rsid w:val="15A46B04"/>
    <w:rsid w:val="15B900D5"/>
    <w:rsid w:val="15E457A9"/>
    <w:rsid w:val="15F07F9B"/>
    <w:rsid w:val="164B34E1"/>
    <w:rsid w:val="165E3157"/>
    <w:rsid w:val="168801D3"/>
    <w:rsid w:val="16AA5140"/>
    <w:rsid w:val="16FBB2D8"/>
    <w:rsid w:val="170F4451"/>
    <w:rsid w:val="17441DA1"/>
    <w:rsid w:val="17542220"/>
    <w:rsid w:val="179761F4"/>
    <w:rsid w:val="179E7583"/>
    <w:rsid w:val="17A81C09"/>
    <w:rsid w:val="17AE342C"/>
    <w:rsid w:val="17C23271"/>
    <w:rsid w:val="17F13B56"/>
    <w:rsid w:val="17FE0021"/>
    <w:rsid w:val="180649CC"/>
    <w:rsid w:val="181D2B9D"/>
    <w:rsid w:val="181E4380"/>
    <w:rsid w:val="18366AB4"/>
    <w:rsid w:val="18434EDA"/>
    <w:rsid w:val="187B4002"/>
    <w:rsid w:val="1910625E"/>
    <w:rsid w:val="19377E5F"/>
    <w:rsid w:val="1943335F"/>
    <w:rsid w:val="19ED16E8"/>
    <w:rsid w:val="1A116732"/>
    <w:rsid w:val="1A5F124B"/>
    <w:rsid w:val="1A9B5FFB"/>
    <w:rsid w:val="1AA807B0"/>
    <w:rsid w:val="1AB84DFF"/>
    <w:rsid w:val="1ABC3B86"/>
    <w:rsid w:val="1AC15A62"/>
    <w:rsid w:val="1AD87250"/>
    <w:rsid w:val="1ADD6614"/>
    <w:rsid w:val="1B021EAC"/>
    <w:rsid w:val="1B420A0F"/>
    <w:rsid w:val="1B762CF0"/>
    <w:rsid w:val="1B860A5A"/>
    <w:rsid w:val="1B966EEF"/>
    <w:rsid w:val="1BA333BA"/>
    <w:rsid w:val="1BAB226E"/>
    <w:rsid w:val="1C241E60"/>
    <w:rsid w:val="1C451422"/>
    <w:rsid w:val="1C7D0846"/>
    <w:rsid w:val="1C844F99"/>
    <w:rsid w:val="1CA53161"/>
    <w:rsid w:val="1CFF4D07"/>
    <w:rsid w:val="1DAD0F97"/>
    <w:rsid w:val="1DC43E7C"/>
    <w:rsid w:val="1DCF493A"/>
    <w:rsid w:val="1DE25885"/>
    <w:rsid w:val="1DEE1906"/>
    <w:rsid w:val="1E0F2F88"/>
    <w:rsid w:val="1E396257"/>
    <w:rsid w:val="1E9179DF"/>
    <w:rsid w:val="1EBF689B"/>
    <w:rsid w:val="1EC27FFB"/>
    <w:rsid w:val="1EE60968"/>
    <w:rsid w:val="1EFB350D"/>
    <w:rsid w:val="1F0028D1"/>
    <w:rsid w:val="1F122276"/>
    <w:rsid w:val="1F5F584A"/>
    <w:rsid w:val="1F7C464D"/>
    <w:rsid w:val="1FDF9778"/>
    <w:rsid w:val="20196410"/>
    <w:rsid w:val="202C6073"/>
    <w:rsid w:val="204D5FEA"/>
    <w:rsid w:val="205B24B5"/>
    <w:rsid w:val="20650389"/>
    <w:rsid w:val="20653865"/>
    <w:rsid w:val="20724974"/>
    <w:rsid w:val="208732AA"/>
    <w:rsid w:val="20E701EC"/>
    <w:rsid w:val="20ED1916"/>
    <w:rsid w:val="21274A8D"/>
    <w:rsid w:val="215313DE"/>
    <w:rsid w:val="21B53E47"/>
    <w:rsid w:val="220F79FB"/>
    <w:rsid w:val="2229482B"/>
    <w:rsid w:val="22462CF1"/>
    <w:rsid w:val="22E569AE"/>
    <w:rsid w:val="22E76282"/>
    <w:rsid w:val="23052BAC"/>
    <w:rsid w:val="232623FE"/>
    <w:rsid w:val="23607DE2"/>
    <w:rsid w:val="23626704"/>
    <w:rsid w:val="238E3BA3"/>
    <w:rsid w:val="23A2644A"/>
    <w:rsid w:val="23A3664D"/>
    <w:rsid w:val="242B6642"/>
    <w:rsid w:val="24311EAA"/>
    <w:rsid w:val="24442C50"/>
    <w:rsid w:val="254038D8"/>
    <w:rsid w:val="25474819"/>
    <w:rsid w:val="257A162F"/>
    <w:rsid w:val="25956469"/>
    <w:rsid w:val="25973F8F"/>
    <w:rsid w:val="259A6743"/>
    <w:rsid w:val="259B3353"/>
    <w:rsid w:val="25A14E0E"/>
    <w:rsid w:val="26121868"/>
    <w:rsid w:val="262C582D"/>
    <w:rsid w:val="263E1E2C"/>
    <w:rsid w:val="26812549"/>
    <w:rsid w:val="26C1158E"/>
    <w:rsid w:val="26D27249"/>
    <w:rsid w:val="26D54C47"/>
    <w:rsid w:val="27135F64"/>
    <w:rsid w:val="271D6716"/>
    <w:rsid w:val="27271343"/>
    <w:rsid w:val="273A56B3"/>
    <w:rsid w:val="2744545C"/>
    <w:rsid w:val="275B16C4"/>
    <w:rsid w:val="27750300"/>
    <w:rsid w:val="27AC5543"/>
    <w:rsid w:val="27DA086F"/>
    <w:rsid w:val="286C6BA3"/>
    <w:rsid w:val="286D0FD7"/>
    <w:rsid w:val="288F719F"/>
    <w:rsid w:val="28946B3B"/>
    <w:rsid w:val="28BE0379"/>
    <w:rsid w:val="28E16EFE"/>
    <w:rsid w:val="28ED036A"/>
    <w:rsid w:val="28F416F8"/>
    <w:rsid w:val="2916786F"/>
    <w:rsid w:val="294A2B7B"/>
    <w:rsid w:val="29DC0A3C"/>
    <w:rsid w:val="29F01EC0"/>
    <w:rsid w:val="2A1F09F7"/>
    <w:rsid w:val="2A585CB7"/>
    <w:rsid w:val="2A725FE5"/>
    <w:rsid w:val="2A8B7E3A"/>
    <w:rsid w:val="2AAD252D"/>
    <w:rsid w:val="2AB729DE"/>
    <w:rsid w:val="2AC84BEB"/>
    <w:rsid w:val="2AEC1E8B"/>
    <w:rsid w:val="2B0E3562"/>
    <w:rsid w:val="2B147E30"/>
    <w:rsid w:val="2B8C2DFF"/>
    <w:rsid w:val="2B920D55"/>
    <w:rsid w:val="2BCA04EF"/>
    <w:rsid w:val="2BCA683F"/>
    <w:rsid w:val="2C251BC9"/>
    <w:rsid w:val="2C3B3B88"/>
    <w:rsid w:val="2C442F1C"/>
    <w:rsid w:val="2C4D184B"/>
    <w:rsid w:val="2C7212B2"/>
    <w:rsid w:val="2CF10822"/>
    <w:rsid w:val="2D0A5B36"/>
    <w:rsid w:val="2D1F51E0"/>
    <w:rsid w:val="2D35709C"/>
    <w:rsid w:val="2D3A06A0"/>
    <w:rsid w:val="2D4A7B39"/>
    <w:rsid w:val="2D74105A"/>
    <w:rsid w:val="2DA07759"/>
    <w:rsid w:val="2DE0049D"/>
    <w:rsid w:val="2E0929AB"/>
    <w:rsid w:val="2E1B251B"/>
    <w:rsid w:val="2E6E69EE"/>
    <w:rsid w:val="2E864BA1"/>
    <w:rsid w:val="2E984638"/>
    <w:rsid w:val="2EA4771D"/>
    <w:rsid w:val="2EED4C20"/>
    <w:rsid w:val="2F1A59E5"/>
    <w:rsid w:val="2F320885"/>
    <w:rsid w:val="2F642A08"/>
    <w:rsid w:val="2F7215C9"/>
    <w:rsid w:val="2F7A33D3"/>
    <w:rsid w:val="2FBB6ACC"/>
    <w:rsid w:val="301461DC"/>
    <w:rsid w:val="308928A7"/>
    <w:rsid w:val="308E41E1"/>
    <w:rsid w:val="30DC47B7"/>
    <w:rsid w:val="30FA690C"/>
    <w:rsid w:val="312F0409"/>
    <w:rsid w:val="3149291E"/>
    <w:rsid w:val="315E7BB3"/>
    <w:rsid w:val="318C6F4C"/>
    <w:rsid w:val="31B163D9"/>
    <w:rsid w:val="31CD2AE7"/>
    <w:rsid w:val="31E14E3B"/>
    <w:rsid w:val="322B4EB9"/>
    <w:rsid w:val="324059AE"/>
    <w:rsid w:val="327318E0"/>
    <w:rsid w:val="32D700C1"/>
    <w:rsid w:val="32E60ABA"/>
    <w:rsid w:val="32EE0F67"/>
    <w:rsid w:val="33272C01"/>
    <w:rsid w:val="33274478"/>
    <w:rsid w:val="3341553A"/>
    <w:rsid w:val="336F654B"/>
    <w:rsid w:val="33FB52BF"/>
    <w:rsid w:val="341727DA"/>
    <w:rsid w:val="3422536C"/>
    <w:rsid w:val="34316819"/>
    <w:rsid w:val="34721473"/>
    <w:rsid w:val="34A17A33"/>
    <w:rsid w:val="34CB5A03"/>
    <w:rsid w:val="34DC5D6B"/>
    <w:rsid w:val="35335914"/>
    <w:rsid w:val="35586B6B"/>
    <w:rsid w:val="35647C06"/>
    <w:rsid w:val="356B4AF0"/>
    <w:rsid w:val="35766452"/>
    <w:rsid w:val="357C0AAC"/>
    <w:rsid w:val="35C10BB4"/>
    <w:rsid w:val="35FB77CA"/>
    <w:rsid w:val="362F5B1E"/>
    <w:rsid w:val="364C66D0"/>
    <w:rsid w:val="36AA2B75"/>
    <w:rsid w:val="36BC1539"/>
    <w:rsid w:val="36C721FA"/>
    <w:rsid w:val="36DD1A1E"/>
    <w:rsid w:val="36F87A99"/>
    <w:rsid w:val="37661A13"/>
    <w:rsid w:val="37773C20"/>
    <w:rsid w:val="377A101B"/>
    <w:rsid w:val="3787198A"/>
    <w:rsid w:val="37895702"/>
    <w:rsid w:val="379C3687"/>
    <w:rsid w:val="37A442EA"/>
    <w:rsid w:val="37CB536B"/>
    <w:rsid w:val="386817BB"/>
    <w:rsid w:val="387B329C"/>
    <w:rsid w:val="38CA1FBC"/>
    <w:rsid w:val="38E54BBA"/>
    <w:rsid w:val="391159AF"/>
    <w:rsid w:val="39180AEB"/>
    <w:rsid w:val="3936665A"/>
    <w:rsid w:val="39644A2A"/>
    <w:rsid w:val="399379B2"/>
    <w:rsid w:val="39966F3E"/>
    <w:rsid w:val="39A607ED"/>
    <w:rsid w:val="39AE31FE"/>
    <w:rsid w:val="39F94DC1"/>
    <w:rsid w:val="3A26548A"/>
    <w:rsid w:val="3A976388"/>
    <w:rsid w:val="3AC802EF"/>
    <w:rsid w:val="3B4958D4"/>
    <w:rsid w:val="3BBD03F4"/>
    <w:rsid w:val="3BC65A96"/>
    <w:rsid w:val="3BE15B0C"/>
    <w:rsid w:val="3BFF2C3E"/>
    <w:rsid w:val="3C047A4D"/>
    <w:rsid w:val="3C2B322B"/>
    <w:rsid w:val="3C5F3E57"/>
    <w:rsid w:val="3C6B7ACC"/>
    <w:rsid w:val="3C931926"/>
    <w:rsid w:val="3CD4741F"/>
    <w:rsid w:val="3CEA7217"/>
    <w:rsid w:val="3D202BCA"/>
    <w:rsid w:val="3D2645C0"/>
    <w:rsid w:val="3D401E19"/>
    <w:rsid w:val="3D683537"/>
    <w:rsid w:val="3D7B1A05"/>
    <w:rsid w:val="3DE33F6B"/>
    <w:rsid w:val="3E042CB3"/>
    <w:rsid w:val="3E281D66"/>
    <w:rsid w:val="3E6B3DB3"/>
    <w:rsid w:val="3E802B5B"/>
    <w:rsid w:val="3F012022"/>
    <w:rsid w:val="3F2F4DE1"/>
    <w:rsid w:val="3F62064C"/>
    <w:rsid w:val="3F7647BE"/>
    <w:rsid w:val="3FED6268"/>
    <w:rsid w:val="3FEDC342"/>
    <w:rsid w:val="401376FA"/>
    <w:rsid w:val="405A0737"/>
    <w:rsid w:val="406C133E"/>
    <w:rsid w:val="40980764"/>
    <w:rsid w:val="40B732E0"/>
    <w:rsid w:val="40BE01CA"/>
    <w:rsid w:val="40F75247"/>
    <w:rsid w:val="41210759"/>
    <w:rsid w:val="41361918"/>
    <w:rsid w:val="41782A6F"/>
    <w:rsid w:val="41A21103"/>
    <w:rsid w:val="41E015A4"/>
    <w:rsid w:val="41F93484"/>
    <w:rsid w:val="421A2E97"/>
    <w:rsid w:val="423F576B"/>
    <w:rsid w:val="427174BE"/>
    <w:rsid w:val="428D254A"/>
    <w:rsid w:val="42AB6E74"/>
    <w:rsid w:val="42F00D2B"/>
    <w:rsid w:val="42F92F33"/>
    <w:rsid w:val="431A1904"/>
    <w:rsid w:val="43763B0B"/>
    <w:rsid w:val="43A23DD3"/>
    <w:rsid w:val="43B117D6"/>
    <w:rsid w:val="43B12268"/>
    <w:rsid w:val="43C20EE5"/>
    <w:rsid w:val="440C6F05"/>
    <w:rsid w:val="441A54D9"/>
    <w:rsid w:val="4436276D"/>
    <w:rsid w:val="444634F5"/>
    <w:rsid w:val="444E5D09"/>
    <w:rsid w:val="44550E45"/>
    <w:rsid w:val="44703ED1"/>
    <w:rsid w:val="4475773A"/>
    <w:rsid w:val="449000D0"/>
    <w:rsid w:val="44BA794A"/>
    <w:rsid w:val="44D426B2"/>
    <w:rsid w:val="45097E82"/>
    <w:rsid w:val="45232CF2"/>
    <w:rsid w:val="45254284"/>
    <w:rsid w:val="45563B4C"/>
    <w:rsid w:val="45CB4971"/>
    <w:rsid w:val="45F73BFF"/>
    <w:rsid w:val="45FE72BB"/>
    <w:rsid w:val="461229C6"/>
    <w:rsid w:val="46144D30"/>
    <w:rsid w:val="466E61EE"/>
    <w:rsid w:val="46A41E3A"/>
    <w:rsid w:val="46D63D94"/>
    <w:rsid w:val="46F96400"/>
    <w:rsid w:val="470628CB"/>
    <w:rsid w:val="47134FE8"/>
    <w:rsid w:val="4723522B"/>
    <w:rsid w:val="47767A51"/>
    <w:rsid w:val="47D50B06"/>
    <w:rsid w:val="485E2293"/>
    <w:rsid w:val="4918213C"/>
    <w:rsid w:val="49207DC7"/>
    <w:rsid w:val="49684B31"/>
    <w:rsid w:val="49A14B2D"/>
    <w:rsid w:val="49BC54C3"/>
    <w:rsid w:val="49C32CF5"/>
    <w:rsid w:val="49E1317B"/>
    <w:rsid w:val="4A2E7CBC"/>
    <w:rsid w:val="4A660114"/>
    <w:rsid w:val="4A6923B5"/>
    <w:rsid w:val="4B107C37"/>
    <w:rsid w:val="4B1F03FF"/>
    <w:rsid w:val="4B35377F"/>
    <w:rsid w:val="4B3A6FE7"/>
    <w:rsid w:val="4B3B68BB"/>
    <w:rsid w:val="4B5B6ED2"/>
    <w:rsid w:val="4B7A3887"/>
    <w:rsid w:val="4BA95F1B"/>
    <w:rsid w:val="4BE64A79"/>
    <w:rsid w:val="4BEC797C"/>
    <w:rsid w:val="4C1A4723"/>
    <w:rsid w:val="4C8207A3"/>
    <w:rsid w:val="4C8F3CB7"/>
    <w:rsid w:val="4CD3324F"/>
    <w:rsid w:val="4CDB2104"/>
    <w:rsid w:val="4CE87A1F"/>
    <w:rsid w:val="4D0B3391"/>
    <w:rsid w:val="4D14218C"/>
    <w:rsid w:val="4D551EB6"/>
    <w:rsid w:val="4D9C7768"/>
    <w:rsid w:val="4DAE5A6A"/>
    <w:rsid w:val="4DB03590"/>
    <w:rsid w:val="4DBC0187"/>
    <w:rsid w:val="4DD454D1"/>
    <w:rsid w:val="4DE167DD"/>
    <w:rsid w:val="4DE44FE8"/>
    <w:rsid w:val="4E2468B8"/>
    <w:rsid w:val="4E315298"/>
    <w:rsid w:val="4E6A7BE3"/>
    <w:rsid w:val="4E751761"/>
    <w:rsid w:val="4EB32846"/>
    <w:rsid w:val="4EF929FE"/>
    <w:rsid w:val="4EFC0A88"/>
    <w:rsid w:val="4F1A33B7"/>
    <w:rsid w:val="4F1B52F5"/>
    <w:rsid w:val="4F367AC5"/>
    <w:rsid w:val="4F412C02"/>
    <w:rsid w:val="4F4977F9"/>
    <w:rsid w:val="4F7306F5"/>
    <w:rsid w:val="4F7F146C"/>
    <w:rsid w:val="5001466E"/>
    <w:rsid w:val="50642410"/>
    <w:rsid w:val="506A3ECB"/>
    <w:rsid w:val="506A5C79"/>
    <w:rsid w:val="50CC0757"/>
    <w:rsid w:val="510065DD"/>
    <w:rsid w:val="51282DB0"/>
    <w:rsid w:val="513D513B"/>
    <w:rsid w:val="51A647D1"/>
    <w:rsid w:val="52233879"/>
    <w:rsid w:val="52262073"/>
    <w:rsid w:val="523D453F"/>
    <w:rsid w:val="524A3FB4"/>
    <w:rsid w:val="5251113A"/>
    <w:rsid w:val="525A3ACB"/>
    <w:rsid w:val="532F6D06"/>
    <w:rsid w:val="53370074"/>
    <w:rsid w:val="533C1422"/>
    <w:rsid w:val="533D58C6"/>
    <w:rsid w:val="537E739A"/>
    <w:rsid w:val="538E7ED0"/>
    <w:rsid w:val="53D855EF"/>
    <w:rsid w:val="53DC50DF"/>
    <w:rsid w:val="543C5B7E"/>
    <w:rsid w:val="548B2661"/>
    <w:rsid w:val="549D56F9"/>
    <w:rsid w:val="549F610D"/>
    <w:rsid w:val="54FD0A7F"/>
    <w:rsid w:val="5503254D"/>
    <w:rsid w:val="55967510"/>
    <w:rsid w:val="55DB3175"/>
    <w:rsid w:val="55E206B3"/>
    <w:rsid w:val="55E91F5E"/>
    <w:rsid w:val="55F873F7"/>
    <w:rsid w:val="560B3A5A"/>
    <w:rsid w:val="56A17F1A"/>
    <w:rsid w:val="56D737F9"/>
    <w:rsid w:val="56FF2E93"/>
    <w:rsid w:val="57007337"/>
    <w:rsid w:val="570566FB"/>
    <w:rsid w:val="5718669A"/>
    <w:rsid w:val="573174F0"/>
    <w:rsid w:val="573D15CA"/>
    <w:rsid w:val="57476D14"/>
    <w:rsid w:val="575E3FB3"/>
    <w:rsid w:val="57672F12"/>
    <w:rsid w:val="57970874"/>
    <w:rsid w:val="57A31A70"/>
    <w:rsid w:val="57CA4760"/>
    <w:rsid w:val="5805272B"/>
    <w:rsid w:val="580764A3"/>
    <w:rsid w:val="58353010"/>
    <w:rsid w:val="58522852"/>
    <w:rsid w:val="58647451"/>
    <w:rsid w:val="58B26EC7"/>
    <w:rsid w:val="58F22CAF"/>
    <w:rsid w:val="59480B21"/>
    <w:rsid w:val="5963158C"/>
    <w:rsid w:val="59760128"/>
    <w:rsid w:val="599D12DF"/>
    <w:rsid w:val="59C06909"/>
    <w:rsid w:val="5A1629CD"/>
    <w:rsid w:val="5A1B4488"/>
    <w:rsid w:val="5A1E1882"/>
    <w:rsid w:val="5A1F25C7"/>
    <w:rsid w:val="5A486232"/>
    <w:rsid w:val="5A4A5AF5"/>
    <w:rsid w:val="5A4B3A12"/>
    <w:rsid w:val="5A5B2AD6"/>
    <w:rsid w:val="5AA32F2A"/>
    <w:rsid w:val="5AA4447D"/>
    <w:rsid w:val="5ABA17E4"/>
    <w:rsid w:val="5ABD6BA3"/>
    <w:rsid w:val="5ABF613D"/>
    <w:rsid w:val="5AC62DF4"/>
    <w:rsid w:val="5AE12FDB"/>
    <w:rsid w:val="5AFF7905"/>
    <w:rsid w:val="5B060B3A"/>
    <w:rsid w:val="5B8C73EB"/>
    <w:rsid w:val="5B90055D"/>
    <w:rsid w:val="5BCFBEFA"/>
    <w:rsid w:val="5C0276AD"/>
    <w:rsid w:val="5C9B540C"/>
    <w:rsid w:val="5CB36BF9"/>
    <w:rsid w:val="5CCB5CF1"/>
    <w:rsid w:val="5D0C00B7"/>
    <w:rsid w:val="5D323FC2"/>
    <w:rsid w:val="5D4B6E32"/>
    <w:rsid w:val="5D956FF3"/>
    <w:rsid w:val="5DA14CA4"/>
    <w:rsid w:val="5DBF5C0A"/>
    <w:rsid w:val="5DE43074"/>
    <w:rsid w:val="5DF41277"/>
    <w:rsid w:val="5DFE5C52"/>
    <w:rsid w:val="5E2558D5"/>
    <w:rsid w:val="5E4B16FA"/>
    <w:rsid w:val="5E543AC4"/>
    <w:rsid w:val="5E5E4943"/>
    <w:rsid w:val="5E604B5F"/>
    <w:rsid w:val="5EB50A07"/>
    <w:rsid w:val="5EC818D1"/>
    <w:rsid w:val="5F1C0EB4"/>
    <w:rsid w:val="5F6366B5"/>
    <w:rsid w:val="5F645F89"/>
    <w:rsid w:val="5FAF875C"/>
    <w:rsid w:val="5FBC0587"/>
    <w:rsid w:val="5FD2383A"/>
    <w:rsid w:val="5FE570CA"/>
    <w:rsid w:val="5FFBDC7B"/>
    <w:rsid w:val="5FFC5BC2"/>
    <w:rsid w:val="602C4CF9"/>
    <w:rsid w:val="60692C88"/>
    <w:rsid w:val="609C15A0"/>
    <w:rsid w:val="60A26DEB"/>
    <w:rsid w:val="60AD6EA0"/>
    <w:rsid w:val="60C211B9"/>
    <w:rsid w:val="61040DDC"/>
    <w:rsid w:val="612D18A0"/>
    <w:rsid w:val="614B4ACA"/>
    <w:rsid w:val="615C160D"/>
    <w:rsid w:val="618669D1"/>
    <w:rsid w:val="61A30FEA"/>
    <w:rsid w:val="62231FBA"/>
    <w:rsid w:val="624665A5"/>
    <w:rsid w:val="625422E5"/>
    <w:rsid w:val="628C7CD0"/>
    <w:rsid w:val="6299063F"/>
    <w:rsid w:val="62BB05B6"/>
    <w:rsid w:val="62BE2E26"/>
    <w:rsid w:val="62F12229"/>
    <w:rsid w:val="630C48EC"/>
    <w:rsid w:val="63402869"/>
    <w:rsid w:val="637F5A87"/>
    <w:rsid w:val="63807109"/>
    <w:rsid w:val="63911317"/>
    <w:rsid w:val="63C57BFC"/>
    <w:rsid w:val="63DF02D4"/>
    <w:rsid w:val="63F800F4"/>
    <w:rsid w:val="63FD075A"/>
    <w:rsid w:val="64033FC2"/>
    <w:rsid w:val="642F544C"/>
    <w:rsid w:val="645446EA"/>
    <w:rsid w:val="645B0956"/>
    <w:rsid w:val="6468666D"/>
    <w:rsid w:val="64836EB1"/>
    <w:rsid w:val="64A05CB5"/>
    <w:rsid w:val="64C86FBA"/>
    <w:rsid w:val="64F83738"/>
    <w:rsid w:val="64FE5585"/>
    <w:rsid w:val="65405B73"/>
    <w:rsid w:val="65510D5D"/>
    <w:rsid w:val="65C854C3"/>
    <w:rsid w:val="65EF30FE"/>
    <w:rsid w:val="66033642"/>
    <w:rsid w:val="660B3602"/>
    <w:rsid w:val="665C2657"/>
    <w:rsid w:val="666429AA"/>
    <w:rsid w:val="66884C53"/>
    <w:rsid w:val="67550FD9"/>
    <w:rsid w:val="67627252"/>
    <w:rsid w:val="676463C0"/>
    <w:rsid w:val="678E16D0"/>
    <w:rsid w:val="679631B0"/>
    <w:rsid w:val="67BF28F6"/>
    <w:rsid w:val="67C82386"/>
    <w:rsid w:val="67CE48E7"/>
    <w:rsid w:val="67E73BFB"/>
    <w:rsid w:val="680926AC"/>
    <w:rsid w:val="683E1A6D"/>
    <w:rsid w:val="68605EEA"/>
    <w:rsid w:val="686F65EC"/>
    <w:rsid w:val="687011B3"/>
    <w:rsid w:val="68755967"/>
    <w:rsid w:val="687922FA"/>
    <w:rsid w:val="687C1304"/>
    <w:rsid w:val="68863282"/>
    <w:rsid w:val="689E250C"/>
    <w:rsid w:val="68A51AEC"/>
    <w:rsid w:val="68B327D3"/>
    <w:rsid w:val="68DB3760"/>
    <w:rsid w:val="690F51B7"/>
    <w:rsid w:val="6948013B"/>
    <w:rsid w:val="694D7B54"/>
    <w:rsid w:val="697257F6"/>
    <w:rsid w:val="69913E1E"/>
    <w:rsid w:val="69D106BF"/>
    <w:rsid w:val="69D56401"/>
    <w:rsid w:val="69E331D0"/>
    <w:rsid w:val="6A0171F6"/>
    <w:rsid w:val="6A7774B8"/>
    <w:rsid w:val="6A9F256B"/>
    <w:rsid w:val="6ABD413D"/>
    <w:rsid w:val="6ADE3093"/>
    <w:rsid w:val="6AF40B09"/>
    <w:rsid w:val="6AFFCE1C"/>
    <w:rsid w:val="6B1C3BBC"/>
    <w:rsid w:val="6B234F4A"/>
    <w:rsid w:val="6B791801"/>
    <w:rsid w:val="6B99750F"/>
    <w:rsid w:val="6BAE0CB8"/>
    <w:rsid w:val="6C4909E0"/>
    <w:rsid w:val="6C7353BC"/>
    <w:rsid w:val="6C79791D"/>
    <w:rsid w:val="6CBE5332"/>
    <w:rsid w:val="6CCF5389"/>
    <w:rsid w:val="6CE34991"/>
    <w:rsid w:val="6CFA39F2"/>
    <w:rsid w:val="6D2D20B0"/>
    <w:rsid w:val="6D633D24"/>
    <w:rsid w:val="6D7442E5"/>
    <w:rsid w:val="6E0258B9"/>
    <w:rsid w:val="6E22598D"/>
    <w:rsid w:val="6E9D582D"/>
    <w:rsid w:val="6EB16F6E"/>
    <w:rsid w:val="6ED07197"/>
    <w:rsid w:val="6ED30A35"/>
    <w:rsid w:val="6EDF5173"/>
    <w:rsid w:val="6EF015E7"/>
    <w:rsid w:val="6F060E0B"/>
    <w:rsid w:val="6F503DBF"/>
    <w:rsid w:val="6F616041"/>
    <w:rsid w:val="6F685621"/>
    <w:rsid w:val="6F927E36"/>
    <w:rsid w:val="6F99623C"/>
    <w:rsid w:val="6FB940CF"/>
    <w:rsid w:val="6FEF7AF1"/>
    <w:rsid w:val="6FF70753"/>
    <w:rsid w:val="6FFE5F86"/>
    <w:rsid w:val="700B573B"/>
    <w:rsid w:val="7012558D"/>
    <w:rsid w:val="706D22F9"/>
    <w:rsid w:val="707B3132"/>
    <w:rsid w:val="70A8705E"/>
    <w:rsid w:val="70B14278"/>
    <w:rsid w:val="70BC0AB7"/>
    <w:rsid w:val="711F7F62"/>
    <w:rsid w:val="7121017E"/>
    <w:rsid w:val="718F50E7"/>
    <w:rsid w:val="722D66AE"/>
    <w:rsid w:val="7271448E"/>
    <w:rsid w:val="72726A36"/>
    <w:rsid w:val="72A414C0"/>
    <w:rsid w:val="72AF5EFB"/>
    <w:rsid w:val="72B0293D"/>
    <w:rsid w:val="72BA1C74"/>
    <w:rsid w:val="72C93C83"/>
    <w:rsid w:val="73607BE6"/>
    <w:rsid w:val="736B2CCA"/>
    <w:rsid w:val="73972979"/>
    <w:rsid w:val="73D019E7"/>
    <w:rsid w:val="73F43B4B"/>
    <w:rsid w:val="74081181"/>
    <w:rsid w:val="7417146C"/>
    <w:rsid w:val="74253AE1"/>
    <w:rsid w:val="7429582C"/>
    <w:rsid w:val="744D0862"/>
    <w:rsid w:val="74850A24"/>
    <w:rsid w:val="74C4154C"/>
    <w:rsid w:val="74C652C4"/>
    <w:rsid w:val="750202C6"/>
    <w:rsid w:val="75062D05"/>
    <w:rsid w:val="752972CF"/>
    <w:rsid w:val="75472D8D"/>
    <w:rsid w:val="75565D41"/>
    <w:rsid w:val="75644ADD"/>
    <w:rsid w:val="75B555D9"/>
    <w:rsid w:val="7614205F"/>
    <w:rsid w:val="765E777E"/>
    <w:rsid w:val="76961786"/>
    <w:rsid w:val="76AA29C3"/>
    <w:rsid w:val="76AF247D"/>
    <w:rsid w:val="76C30980"/>
    <w:rsid w:val="76CE656D"/>
    <w:rsid w:val="76D661A1"/>
    <w:rsid w:val="772F0D4F"/>
    <w:rsid w:val="77493F8A"/>
    <w:rsid w:val="77768EA8"/>
    <w:rsid w:val="777C7EBC"/>
    <w:rsid w:val="777F7DA9"/>
    <w:rsid w:val="77C35AEB"/>
    <w:rsid w:val="77C93D96"/>
    <w:rsid w:val="77DFFAD1"/>
    <w:rsid w:val="77E617D9"/>
    <w:rsid w:val="77FA6202"/>
    <w:rsid w:val="78144598"/>
    <w:rsid w:val="783C3AEF"/>
    <w:rsid w:val="78564BB1"/>
    <w:rsid w:val="78852686"/>
    <w:rsid w:val="78882890"/>
    <w:rsid w:val="79202AC9"/>
    <w:rsid w:val="794B6EF7"/>
    <w:rsid w:val="796C31B8"/>
    <w:rsid w:val="797D616D"/>
    <w:rsid w:val="799A0ACD"/>
    <w:rsid w:val="79EE4DDF"/>
    <w:rsid w:val="7A543209"/>
    <w:rsid w:val="7A74066E"/>
    <w:rsid w:val="7AA339B1"/>
    <w:rsid w:val="7AB91427"/>
    <w:rsid w:val="7ACF310D"/>
    <w:rsid w:val="7ADF33E3"/>
    <w:rsid w:val="7AFF32B2"/>
    <w:rsid w:val="7B334D35"/>
    <w:rsid w:val="7B66335D"/>
    <w:rsid w:val="7B7D4202"/>
    <w:rsid w:val="7B9652C4"/>
    <w:rsid w:val="7B9D6653"/>
    <w:rsid w:val="7BAE07F2"/>
    <w:rsid w:val="7BB7BBBD"/>
    <w:rsid w:val="7BDF773E"/>
    <w:rsid w:val="7C1F175E"/>
    <w:rsid w:val="7C86506C"/>
    <w:rsid w:val="7CB023B6"/>
    <w:rsid w:val="7CBB3234"/>
    <w:rsid w:val="7D060228"/>
    <w:rsid w:val="7D2376F2"/>
    <w:rsid w:val="7D337C89"/>
    <w:rsid w:val="7D4C6582"/>
    <w:rsid w:val="7D8A0E59"/>
    <w:rsid w:val="7DB80DA2"/>
    <w:rsid w:val="7DBF4FA6"/>
    <w:rsid w:val="7DC651C8"/>
    <w:rsid w:val="7DC83905"/>
    <w:rsid w:val="7DD5FE74"/>
    <w:rsid w:val="7DFC3B42"/>
    <w:rsid w:val="7DFF880D"/>
    <w:rsid w:val="7E353C4D"/>
    <w:rsid w:val="7E4454AB"/>
    <w:rsid w:val="7E7538B7"/>
    <w:rsid w:val="7E926217"/>
    <w:rsid w:val="7ED246B2"/>
    <w:rsid w:val="7F3217A8"/>
    <w:rsid w:val="7F3D2627"/>
    <w:rsid w:val="7F583CA8"/>
    <w:rsid w:val="7F5F6901"/>
    <w:rsid w:val="7F681A51"/>
    <w:rsid w:val="7F6A7194"/>
    <w:rsid w:val="7FB7CC7B"/>
    <w:rsid w:val="7FBF303C"/>
    <w:rsid w:val="7FCF6FF7"/>
    <w:rsid w:val="7FF7C71E"/>
    <w:rsid w:val="7FFFC4A7"/>
    <w:rsid w:val="89DFBF2A"/>
    <w:rsid w:val="93F54DDD"/>
    <w:rsid w:val="9EFF0B64"/>
    <w:rsid w:val="9FDD4387"/>
    <w:rsid w:val="9FEB8BD9"/>
    <w:rsid w:val="AFAAE5FF"/>
    <w:rsid w:val="BEAF8244"/>
    <w:rsid w:val="BF3F8CAF"/>
    <w:rsid w:val="C7DE3745"/>
    <w:rsid w:val="DCCB93E2"/>
    <w:rsid w:val="DF7B59C2"/>
    <w:rsid w:val="E1FBF14B"/>
    <w:rsid w:val="E7DF81EB"/>
    <w:rsid w:val="EBEC75FB"/>
    <w:rsid w:val="EDCBA2CB"/>
    <w:rsid w:val="EFE66E24"/>
    <w:rsid w:val="F5FF7A82"/>
    <w:rsid w:val="F7FB9123"/>
    <w:rsid w:val="F9BAB811"/>
    <w:rsid w:val="FB3E5588"/>
    <w:rsid w:val="FDFBEED4"/>
    <w:rsid w:val="FE3F2846"/>
    <w:rsid w:val="FE7C0A7E"/>
    <w:rsid w:val="FE7F936E"/>
    <w:rsid w:val="FEFC161E"/>
    <w:rsid w:val="FFD795B5"/>
    <w:rsid w:val="FFFF74D6"/>
    <w:rsid w:val="FFFFC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5"/>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qFormat/>
    <w:uiPriority w:val="9"/>
    <w:pPr>
      <w:keepNext/>
      <w:keepLines/>
      <w:autoSpaceDE w:val="0"/>
      <w:autoSpaceDN w:val="0"/>
      <w:adjustRightInd w:val="0"/>
      <w:spacing w:before="360" w:after="120"/>
      <w:jc w:val="left"/>
      <w:outlineLvl w:val="2"/>
    </w:pPr>
    <w:rPr>
      <w:rFonts w:ascii="宋体"/>
      <w:b/>
      <w:szCs w:val="20"/>
      <w:u w:val="single"/>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5"/>
    <w:qFormat/>
    <w:uiPriority w:val="99"/>
    <w:pPr>
      <w:spacing w:after="120"/>
    </w:pPr>
  </w:style>
  <w:style w:type="paragraph" w:styleId="5">
    <w:name w:val="Normal Indent"/>
    <w:basedOn w:val="1"/>
    <w:qFormat/>
    <w:uiPriority w:val="0"/>
    <w:pPr>
      <w:ind w:firstLine="420"/>
    </w:pPr>
    <w:rPr>
      <w:szCs w:val="21"/>
    </w:rPr>
  </w:style>
  <w:style w:type="paragraph" w:styleId="8">
    <w:name w:val="toc 7"/>
    <w:basedOn w:val="1"/>
    <w:next w:val="1"/>
    <w:unhideWhenUsed/>
    <w:qFormat/>
    <w:uiPriority w:val="39"/>
    <w:pPr>
      <w:ind w:left="1260"/>
      <w:jc w:val="left"/>
    </w:pPr>
    <w:rPr>
      <w:sz w:val="18"/>
      <w:szCs w:val="18"/>
    </w:rPr>
  </w:style>
  <w:style w:type="paragraph" w:styleId="9">
    <w:name w:val="Document Map"/>
    <w:basedOn w:val="1"/>
    <w:link w:val="43"/>
    <w:unhideWhenUsed/>
    <w:qFormat/>
    <w:uiPriority w:val="99"/>
    <w:rPr>
      <w:rFonts w:ascii="宋体"/>
      <w:sz w:val="18"/>
      <w:szCs w:val="18"/>
    </w:rPr>
  </w:style>
  <w:style w:type="paragraph" w:styleId="10">
    <w:name w:val="annotation text"/>
    <w:basedOn w:val="1"/>
    <w:link w:val="44"/>
    <w:unhideWhenUsed/>
    <w:qFormat/>
    <w:uiPriority w:val="99"/>
    <w:pPr>
      <w:jc w:val="left"/>
    </w:pPr>
  </w:style>
  <w:style w:type="paragraph" w:styleId="11">
    <w:name w:val="Body Text Indent"/>
    <w:basedOn w:val="1"/>
    <w:next w:val="1"/>
    <w:qFormat/>
    <w:uiPriority w:val="0"/>
    <w:pPr>
      <w:spacing w:after="120"/>
      <w:ind w:left="420"/>
    </w:pPr>
    <w:rPr>
      <w:rFonts w:ascii="Calibri" w:hAnsi="Calibri"/>
    </w:rPr>
  </w:style>
  <w:style w:type="paragraph" w:styleId="12">
    <w:name w:val="index 4"/>
    <w:basedOn w:val="1"/>
    <w:next w:val="1"/>
    <w:unhideWhenUsed/>
    <w:qFormat/>
    <w:uiPriority w:val="99"/>
    <w:pPr>
      <w:ind w:firstLine="200" w:firstLineChars="200"/>
    </w:pPr>
  </w:style>
  <w:style w:type="paragraph" w:styleId="13">
    <w:name w:val="Plain Text"/>
    <w:basedOn w:val="1"/>
    <w:qFormat/>
    <w:uiPriority w:val="99"/>
    <w:rPr>
      <w:rFonts w:ascii="宋体" w:hAnsi="Courier New"/>
      <w:szCs w:val="21"/>
    </w:rPr>
  </w:style>
  <w:style w:type="paragraph" w:styleId="14">
    <w:name w:val="Body Text Indent 2"/>
    <w:basedOn w:val="1"/>
    <w:qFormat/>
    <w:uiPriority w:val="0"/>
    <w:pPr>
      <w:spacing w:after="120" w:line="480" w:lineRule="auto"/>
      <w:ind w:left="420" w:leftChars="200"/>
    </w:pPr>
  </w:style>
  <w:style w:type="paragraph" w:styleId="15">
    <w:name w:val="Balloon Text"/>
    <w:basedOn w:val="1"/>
    <w:link w:val="42"/>
    <w:semiHidden/>
    <w:unhideWhenUsed/>
    <w:qFormat/>
    <w:uiPriority w:val="99"/>
    <w:rPr>
      <w:sz w:val="18"/>
      <w:szCs w:val="18"/>
    </w:rPr>
  </w:style>
  <w:style w:type="paragraph" w:styleId="16">
    <w:name w:val="footer"/>
    <w:basedOn w:val="1"/>
    <w:link w:val="41"/>
    <w:unhideWhenUsed/>
    <w:qFormat/>
    <w:uiPriority w:val="99"/>
    <w:pPr>
      <w:tabs>
        <w:tab w:val="center" w:pos="4153"/>
        <w:tab w:val="right" w:pos="8306"/>
      </w:tabs>
      <w:snapToGrid w:val="0"/>
      <w:jc w:val="left"/>
    </w:pPr>
    <w:rPr>
      <w:sz w:val="18"/>
      <w:szCs w:val="18"/>
    </w:rPr>
  </w:style>
  <w:style w:type="paragraph" w:styleId="17">
    <w:name w:val="envelope return"/>
    <w:basedOn w:val="1"/>
    <w:qFormat/>
    <w:uiPriority w:val="0"/>
  </w:style>
  <w:style w:type="paragraph" w:styleId="18">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next w:val="1"/>
    <w:qFormat/>
    <w:uiPriority w:val="0"/>
    <w:pPr>
      <w:ind w:left="420" w:hanging="420"/>
    </w:pPr>
    <w:rPr>
      <w:rFonts w:ascii="Arial" w:hAnsi="Arial" w:eastAsia="楷体_GB2312"/>
      <w:sz w:val="28"/>
    </w:rPr>
  </w:style>
  <w:style w:type="paragraph" w:styleId="20">
    <w:name w:val="Body Text Indent 3"/>
    <w:basedOn w:val="1"/>
    <w:link w:val="36"/>
    <w:qFormat/>
    <w:uiPriority w:val="99"/>
    <w:pPr>
      <w:ind w:left="645" w:firstLine="645"/>
    </w:pPr>
    <w:rPr>
      <w:rFonts w:ascii="Arial" w:hAnsi="Arial" w:eastAsia="仿宋_GB2312"/>
      <w:color w:val="FFFF00"/>
      <w:sz w:val="32"/>
      <w:szCs w:val="20"/>
    </w:rPr>
  </w:style>
  <w:style w:type="paragraph" w:styleId="21">
    <w:name w:val="toc 2"/>
    <w:basedOn w:val="1"/>
    <w:next w:val="1"/>
    <w:qFormat/>
    <w:uiPriority w:val="39"/>
    <w:pPr>
      <w:ind w:left="210"/>
      <w:jc w:val="left"/>
    </w:pPr>
    <w:rPr>
      <w:smallCaps/>
      <w:sz w:val="20"/>
      <w:szCs w:val="20"/>
    </w:rPr>
  </w:style>
  <w:style w:type="paragraph" w:styleId="22">
    <w:name w:val="Normal (Web)"/>
    <w:basedOn w:val="1"/>
    <w:qFormat/>
    <w:uiPriority w:val="99"/>
    <w:pPr>
      <w:spacing w:before="150" w:after="150" w:line="480" w:lineRule="auto"/>
      <w:jc w:val="left"/>
    </w:pPr>
    <w:rPr>
      <w:rFonts w:hint="eastAsia" w:ascii="宋体" w:hAnsi="宋体"/>
      <w:color w:val="000000"/>
    </w:rPr>
  </w:style>
  <w:style w:type="paragraph" w:styleId="23">
    <w:name w:val="annotation subject"/>
    <w:basedOn w:val="10"/>
    <w:next w:val="10"/>
    <w:link w:val="45"/>
    <w:semiHidden/>
    <w:unhideWhenUsed/>
    <w:qFormat/>
    <w:uiPriority w:val="99"/>
    <w:rPr>
      <w:b/>
      <w:bCs/>
    </w:rPr>
  </w:style>
  <w:style w:type="paragraph" w:styleId="24">
    <w:name w:val="Body Text First Indent"/>
    <w:basedOn w:val="2"/>
    <w:qFormat/>
    <w:uiPriority w:val="0"/>
    <w:pPr>
      <w:spacing w:line="360" w:lineRule="auto"/>
      <w:ind w:firstLine="200" w:firstLineChars="200"/>
    </w:pPr>
    <w:rPr>
      <w:rFonts w:ascii="仿宋_GB2312" w:hAnsi="Arial" w:eastAsia="仿宋_GB2312"/>
      <w:sz w:val="30"/>
      <w:szCs w:val="30"/>
    </w:rPr>
  </w:style>
  <w:style w:type="paragraph" w:styleId="25">
    <w:name w:val="Body Text First Indent 2"/>
    <w:basedOn w:val="11"/>
    <w:next w:val="5"/>
    <w:qFormat/>
    <w:uiPriority w:val="0"/>
    <w:pPr>
      <w:spacing w:after="0" w:line="360" w:lineRule="auto"/>
      <w:ind w:left="0" w:firstLine="420"/>
    </w:pPr>
    <w:rPr>
      <w:rFonts w:ascii="宋体" w:hAnsi="宋体"/>
      <w:sz w:val="20"/>
      <w:szCs w:val="20"/>
    </w:rPr>
  </w:style>
  <w:style w:type="table" w:styleId="27">
    <w:name w:val="Table Grid"/>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Hyperlink"/>
    <w:qFormat/>
    <w:uiPriority w:val="99"/>
    <w:rPr>
      <w:rFonts w:cs="Times New Roman"/>
      <w:color w:val="336699"/>
      <w:sz w:val="18"/>
      <w:u w:val="none"/>
    </w:rPr>
  </w:style>
  <w:style w:type="character" w:styleId="30">
    <w:name w:val="annotation reference"/>
    <w:basedOn w:val="28"/>
    <w:semiHidden/>
    <w:unhideWhenUsed/>
    <w:qFormat/>
    <w:uiPriority w:val="99"/>
    <w:rPr>
      <w:sz w:val="21"/>
      <w:szCs w:val="21"/>
    </w:rPr>
  </w:style>
  <w:style w:type="paragraph" w:customStyle="1" w:styleId="31">
    <w:name w:val="首行缩进"/>
    <w:basedOn w:val="1"/>
    <w:qFormat/>
    <w:uiPriority w:val="0"/>
    <w:pPr>
      <w:spacing w:line="360" w:lineRule="auto"/>
      <w:ind w:firstLine="480"/>
    </w:pPr>
    <w:rPr>
      <w:rFonts w:hAnsi="宋体" w:cs="宋体"/>
    </w:rPr>
  </w:style>
  <w:style w:type="paragraph" w:customStyle="1" w:styleId="3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3">
    <w:name w:val="正文文本 Char"/>
    <w:basedOn w:val="28"/>
    <w:semiHidden/>
    <w:qFormat/>
    <w:uiPriority w:val="99"/>
    <w:rPr>
      <w:rFonts w:ascii="Times New Roman" w:hAnsi="Times New Roman" w:eastAsia="宋体" w:cs="Times New Roman"/>
      <w:kern w:val="0"/>
      <w:sz w:val="24"/>
      <w:szCs w:val="24"/>
    </w:rPr>
  </w:style>
  <w:style w:type="character" w:customStyle="1" w:styleId="34">
    <w:name w:val="正文文本缩进 3 Char"/>
    <w:basedOn w:val="28"/>
    <w:semiHidden/>
    <w:qFormat/>
    <w:uiPriority w:val="99"/>
    <w:rPr>
      <w:rFonts w:ascii="Times New Roman" w:hAnsi="Times New Roman" w:eastAsia="宋体" w:cs="Times New Roman"/>
      <w:kern w:val="0"/>
      <w:sz w:val="16"/>
      <w:szCs w:val="16"/>
    </w:rPr>
  </w:style>
  <w:style w:type="character" w:customStyle="1" w:styleId="35">
    <w:name w:val="正文文本 字符"/>
    <w:link w:val="2"/>
    <w:qFormat/>
    <w:locked/>
    <w:uiPriority w:val="99"/>
    <w:rPr>
      <w:rFonts w:ascii="Times New Roman" w:hAnsi="Times New Roman" w:eastAsia="宋体" w:cs="Times New Roman"/>
      <w:kern w:val="0"/>
      <w:sz w:val="24"/>
      <w:szCs w:val="24"/>
    </w:rPr>
  </w:style>
  <w:style w:type="character" w:customStyle="1" w:styleId="36">
    <w:name w:val="正文文本缩进 3 字符"/>
    <w:link w:val="20"/>
    <w:qFormat/>
    <w:locked/>
    <w:uiPriority w:val="99"/>
    <w:rPr>
      <w:rFonts w:ascii="Arial" w:hAnsi="Arial" w:eastAsia="仿宋_GB2312" w:cs="Times New Roman"/>
      <w:color w:val="FFFF00"/>
      <w:kern w:val="0"/>
      <w:sz w:val="32"/>
      <w:szCs w:val="20"/>
    </w:rPr>
  </w:style>
  <w:style w:type="paragraph" w:customStyle="1" w:styleId="37">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8">
    <w:name w:val="WPS Plain"/>
    <w:qFormat/>
    <w:uiPriority w:val="0"/>
    <w:rPr>
      <w:rFonts w:ascii="Times New Roman" w:hAnsi="Times New Roman" w:eastAsia="宋体" w:cs="Times New Roman"/>
      <w:lang w:val="en-US" w:eastAsia="zh-CN" w:bidi="ar-SA"/>
    </w:rPr>
  </w:style>
  <w:style w:type="paragraph" w:styleId="39">
    <w:name w:val="List Paragraph"/>
    <w:basedOn w:val="1"/>
    <w:qFormat/>
    <w:uiPriority w:val="34"/>
    <w:pPr>
      <w:ind w:firstLine="420" w:firstLineChars="200"/>
    </w:pPr>
    <w:rPr>
      <w:rFonts w:eastAsia="Times New Roman"/>
    </w:rPr>
  </w:style>
  <w:style w:type="character" w:customStyle="1" w:styleId="40">
    <w:name w:val="页眉 字符"/>
    <w:basedOn w:val="28"/>
    <w:link w:val="18"/>
    <w:qFormat/>
    <w:uiPriority w:val="99"/>
    <w:rPr>
      <w:rFonts w:ascii="Times New Roman" w:hAnsi="Times New Roman" w:eastAsia="宋体" w:cs="Times New Roman"/>
      <w:sz w:val="18"/>
      <w:szCs w:val="18"/>
    </w:rPr>
  </w:style>
  <w:style w:type="character" w:customStyle="1" w:styleId="41">
    <w:name w:val="页脚 字符"/>
    <w:basedOn w:val="28"/>
    <w:link w:val="16"/>
    <w:qFormat/>
    <w:uiPriority w:val="99"/>
    <w:rPr>
      <w:rFonts w:ascii="Times New Roman" w:hAnsi="Times New Roman" w:eastAsia="宋体" w:cs="Times New Roman"/>
      <w:sz w:val="18"/>
      <w:szCs w:val="18"/>
    </w:rPr>
  </w:style>
  <w:style w:type="character" w:customStyle="1" w:styleId="42">
    <w:name w:val="批注框文本 字符"/>
    <w:basedOn w:val="28"/>
    <w:link w:val="15"/>
    <w:semiHidden/>
    <w:qFormat/>
    <w:uiPriority w:val="99"/>
    <w:rPr>
      <w:rFonts w:ascii="Times New Roman" w:hAnsi="Times New Roman" w:eastAsia="宋体" w:cs="Times New Roman"/>
      <w:sz w:val="18"/>
      <w:szCs w:val="18"/>
    </w:rPr>
  </w:style>
  <w:style w:type="character" w:customStyle="1" w:styleId="43">
    <w:name w:val="文档结构图 字符"/>
    <w:basedOn w:val="28"/>
    <w:link w:val="9"/>
    <w:qFormat/>
    <w:uiPriority w:val="99"/>
    <w:rPr>
      <w:rFonts w:ascii="宋体" w:hAnsi="Times New Roman" w:eastAsia="宋体" w:cs="Times New Roman"/>
      <w:sz w:val="18"/>
      <w:szCs w:val="18"/>
    </w:rPr>
  </w:style>
  <w:style w:type="character" w:customStyle="1" w:styleId="44">
    <w:name w:val="批注文字 字符"/>
    <w:basedOn w:val="28"/>
    <w:link w:val="10"/>
    <w:qFormat/>
    <w:uiPriority w:val="99"/>
    <w:rPr>
      <w:rFonts w:ascii="Times New Roman" w:hAnsi="Times New Roman" w:eastAsia="宋体" w:cs="Times New Roman"/>
      <w:sz w:val="24"/>
      <w:szCs w:val="24"/>
    </w:rPr>
  </w:style>
  <w:style w:type="character" w:customStyle="1" w:styleId="45">
    <w:name w:val="批注主题 字符"/>
    <w:basedOn w:val="44"/>
    <w:link w:val="23"/>
    <w:semiHidden/>
    <w:qFormat/>
    <w:uiPriority w:val="99"/>
    <w:rPr>
      <w:rFonts w:ascii="Times New Roman" w:hAnsi="Times New Roman" w:eastAsia="宋体" w:cs="Times New Roman"/>
      <w:b/>
      <w:bCs/>
      <w:sz w:val="24"/>
      <w:szCs w:val="24"/>
    </w:rPr>
  </w:style>
  <w:style w:type="paragraph" w:customStyle="1" w:styleId="46">
    <w:name w:val="正文首行缩进2字符"/>
    <w:basedOn w:val="1"/>
    <w:qFormat/>
    <w:uiPriority w:val="0"/>
    <w:pPr>
      <w:ind w:firstLine="482"/>
    </w:pPr>
  </w:style>
  <w:style w:type="character" w:customStyle="1" w:styleId="47">
    <w:name w:val="current"/>
    <w:basedOn w:val="28"/>
    <w:qFormat/>
    <w:uiPriority w:val="0"/>
    <w:rPr>
      <w:b/>
      <w:bCs/>
      <w:color w:val="05A7D8"/>
      <w:sz w:val="18"/>
      <w:szCs w:val="18"/>
    </w:rPr>
  </w:style>
  <w:style w:type="character" w:customStyle="1" w:styleId="48">
    <w:name w:val="l-btn-left"/>
    <w:basedOn w:val="28"/>
    <w:qFormat/>
    <w:uiPriority w:val="0"/>
  </w:style>
  <w:style w:type="character" w:customStyle="1" w:styleId="49">
    <w:name w:val="l-btn-text36"/>
    <w:basedOn w:val="28"/>
    <w:qFormat/>
    <w:uiPriority w:val="0"/>
  </w:style>
  <w:style w:type="character" w:customStyle="1" w:styleId="50">
    <w:name w:val="l-btn-text"/>
    <w:basedOn w:val="28"/>
    <w:qFormat/>
    <w:uiPriority w:val="0"/>
  </w:style>
  <w:style w:type="character" w:customStyle="1" w:styleId="51">
    <w:name w:val="grame"/>
    <w:basedOn w:val="28"/>
    <w:qFormat/>
    <w:uiPriority w:val="0"/>
  </w:style>
  <w:style w:type="paragraph" w:customStyle="1" w:styleId="52">
    <w:name w:val="标准文本"/>
    <w:basedOn w:val="1"/>
    <w:qFormat/>
    <w:uiPriority w:val="0"/>
    <w:pPr>
      <w:spacing w:line="360" w:lineRule="auto"/>
      <w:ind w:firstLine="480" w:firstLineChars="200"/>
    </w:pPr>
    <w:rPr>
      <w:rFonts w:cs="宋体"/>
      <w:szCs w:val="20"/>
    </w:rPr>
  </w:style>
  <w:style w:type="paragraph" w:customStyle="1" w:styleId="53">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54">
    <w:name w:val="Table Paragraph"/>
    <w:basedOn w:val="1"/>
    <w:qFormat/>
    <w:uiPriority w:val="99"/>
  </w:style>
  <w:style w:type="paragraph" w:customStyle="1" w:styleId="55">
    <w:name w:val="普通正文"/>
    <w:basedOn w:val="1"/>
    <w:qFormat/>
    <w:uiPriority w:val="0"/>
    <w:pPr>
      <w:adjustRightInd w:val="0"/>
      <w:spacing w:line="360" w:lineRule="auto"/>
      <w:ind w:firstLine="480"/>
      <w:jc w:val="left"/>
    </w:pPr>
    <w:rPr>
      <w:rFonts w:ascii="Arial" w:hAnsi="Arial"/>
    </w:rPr>
  </w:style>
  <w:style w:type="paragraph" w:customStyle="1" w:styleId="56">
    <w:name w:val="正文缩进11"/>
    <w:basedOn w:val="1"/>
    <w:qFormat/>
    <w:uiPriority w:val="99"/>
    <w:rPr>
      <w:sz w:val="20"/>
      <w:szCs w:val="20"/>
    </w:rPr>
  </w:style>
  <w:style w:type="paragraph" w:customStyle="1" w:styleId="57">
    <w:name w:val="1.1.1.1"/>
    <w:qFormat/>
    <w:uiPriority w:val="0"/>
    <w:pPr>
      <w:keepLines/>
      <w:spacing w:line="520" w:lineRule="exact"/>
      <w:ind w:firstLine="200"/>
      <w:outlineLvl w:val="3"/>
    </w:pPr>
    <w:rPr>
      <w:rFonts w:ascii="Times New Roman" w:hAnsi="Times New Roman" w:eastAsia="方正仿宋_GBK" w:cs="Times New Roman"/>
      <w:b/>
      <w:sz w:val="24"/>
      <w:szCs w:val="22"/>
      <w:lang w:val="en-US" w:eastAsia="zh-CN" w:bidi="ar-SA"/>
    </w:rPr>
  </w:style>
  <w:style w:type="paragraph" w:customStyle="1" w:styleId="58">
    <w:name w:val="仿宋GBK正文"/>
    <w:basedOn w:val="1"/>
    <w:qFormat/>
    <w:uiPriority w:val="0"/>
  </w:style>
  <w:style w:type="paragraph" w:customStyle="1" w:styleId="59">
    <w:name w:val="WPSOffice手动目录 1"/>
    <w:qFormat/>
    <w:uiPriority w:val="0"/>
    <w:rPr>
      <w:rFonts w:ascii="Times New Roman" w:hAnsi="Times New Roman" w:eastAsia="宋体" w:cs="Times New Roman"/>
      <w:lang w:val="en-US" w:eastAsia="zh-CN" w:bidi="ar-SA"/>
    </w:rPr>
  </w:style>
  <w:style w:type="paragraph" w:customStyle="1" w:styleId="6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1">
    <w:name w:val="正文1"/>
    <w:basedOn w:val="1"/>
    <w:qFormat/>
    <w:uiPriority w:val="0"/>
    <w:pPr>
      <w:ind w:firstLine="425"/>
    </w:pPr>
    <w:rPr>
      <w:rFonts w:ascii="Calibri" w:hAnsi="Calibri"/>
      <w:szCs w:val="20"/>
    </w:rPr>
  </w:style>
  <w:style w:type="paragraph" w:customStyle="1" w:styleId="62">
    <w:name w:val="列出段落2"/>
    <w:basedOn w:val="1"/>
    <w:qFormat/>
    <w:uiPriority w:val="99"/>
    <w:pPr>
      <w:spacing w:line="360" w:lineRule="auto"/>
      <w:ind w:firstLine="420" w:firstLineChars="200"/>
    </w:pPr>
    <w:rPr>
      <w:rFonts w:ascii="Calibri" w:hAnsi="Calibri" w:cs="Calibri"/>
    </w:rPr>
  </w:style>
  <w:style w:type="paragraph" w:customStyle="1" w:styleId="63">
    <w:name w:val="标题 11"/>
    <w:basedOn w:val="1"/>
    <w:next w:val="1"/>
    <w:qFormat/>
    <w:uiPriority w:val="0"/>
    <w:pPr>
      <w:keepNext/>
      <w:keepLines/>
      <w:spacing w:before="340" w:after="330" w:line="576" w:lineRule="auto"/>
      <w:outlineLvl w:val="0"/>
    </w:pPr>
    <w:rPr>
      <w:b/>
      <w:bCs/>
      <w:sz w:val="44"/>
      <w:szCs w:val="44"/>
    </w:rPr>
  </w:style>
  <w:style w:type="character" w:customStyle="1" w:styleId="64">
    <w:name w:val="NormalCharacter"/>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46</Pages>
  <Words>582</Words>
  <Characters>698</Characters>
  <Lines>167</Lines>
  <Paragraphs>47</Paragraphs>
  <TotalTime>0</TotalTime>
  <ScaleCrop>false</ScaleCrop>
  <LinksUpToDate>false</LinksUpToDate>
  <CharactersWithSpaces>2299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2024-11-18T05:21:00Z</dcterms:created>
  <dc:creator>阙美霞</dc:creator>
  <cp:lastModifiedBy>ALICE</cp:lastModifiedBy>
  <cp:lastPrinted>2024-12-04T03:53:00Z</cp:lastPrinted>
  <dcterms:modified xsi:type="dcterms:W3CDTF">2024-12-09T04:44:25Z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A85AADD4506D46578952076EB3FAA99E_13</vt:lpwstr>
  </property>
</Properties>
</file>