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86"/>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86"/>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8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8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8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98"/>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JSZC-320200-JZCG-G2024-0097</w:t>
      </w:r>
      <w:r>
        <w:rPr>
          <w:rFonts w:ascii="黑体" w:hAnsi="华文中宋" w:eastAsia="黑体"/>
          <w:bCs/>
          <w:color w:val="000000"/>
          <w:sz w:val="32"/>
          <w:szCs w:val="32"/>
        </w:rPr>
      </w:r>
      <w:r/>
    </w:p>
    <w:p>
      <w:pPr>
        <w:pStyle w:val="698"/>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长三角（无锡）质量大数据中心定制软件开发项目</w:t>
      </w:r>
      <w:r>
        <w:rPr>
          <w:rFonts w:hint="eastAsia" w:ascii="黑体" w:hAnsi="华文中宋" w:eastAsia="黑体"/>
          <w:bCs/>
          <w:color w:val="000000"/>
          <w:sz w:val="32"/>
          <w:szCs w:val="32"/>
        </w:rPr>
      </w:r>
      <w:r/>
    </w:p>
    <w:p>
      <w:pPr>
        <w:pStyle w:val="698"/>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无锡市市场监督管理局</w:t>
      </w:r>
      <w:r>
        <w:rPr>
          <w:rFonts w:hint="eastAsia" w:ascii="黑体" w:hAnsi="华文中宋" w:eastAsia="黑体"/>
          <w:bCs/>
          <w:color w:val="000000"/>
          <w:sz w:val="32"/>
          <w:szCs w:val="32"/>
        </w:rPr>
      </w:r>
      <w:r/>
    </w:p>
    <w:p>
      <w:pPr>
        <w:pStyle w:val="69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8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8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8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86"/>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86"/>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六</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786"/>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698"/>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9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9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9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9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9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9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98"/>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9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无锡市市场监督管理局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长三角（无锡）质量大数据中心定制软件开发项目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JSZC-320200-JZCG-G2024-0097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9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9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长三角（无锡）质量大数据中心定制软件开发项目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7</w:t>
      </w:r>
      <w:r>
        <w:rPr>
          <w:rFonts w:hint="eastAsia" w:ascii="宋体" w:hAnsi="宋体"/>
          <w:color w:val="000000"/>
          <w:sz w:val="24"/>
          <w:szCs w:val="24"/>
        </w:rPr>
        <w:t xml:space="preserve">月10日0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01"/>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JSZC-320200-JZCG-G2024-0097</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长三角（无锡）质量大数据中心定制软件开发项目</w:t>
      </w:r>
      <w:r>
        <w:rPr>
          <w:rFonts w:ascii="宋体" w:hAnsi="宋体"/>
          <w:color w:val="000000"/>
          <w:sz w:val="24"/>
          <w:szCs w:val="24"/>
        </w:rPr>
      </w:r>
      <w:r/>
    </w:p>
    <w:p>
      <w:pPr>
        <w:pStyle w:val="698"/>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204.98</w:t>
      </w:r>
      <w:r>
        <w:rPr>
          <w:rFonts w:hint="eastAsia" w:ascii="宋体" w:hAnsi="宋体"/>
          <w:color w:val="000000"/>
          <w:sz w:val="24"/>
          <w:szCs w:val="24"/>
        </w:rPr>
        <w:t xml:space="preserve">万元</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204.98</w:t>
      </w:r>
      <w:r>
        <w:rPr>
          <w:rFonts w:hint="eastAsia" w:ascii="宋体" w:hAnsi="宋体"/>
          <w:color w:val="000000"/>
          <w:sz w:val="24"/>
          <w:szCs w:val="24"/>
        </w:rPr>
        <w:t xml:space="preserve">万元</w:t>
      </w:r>
      <w:r>
        <w:rPr>
          <w:rFonts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98"/>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701"/>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98"/>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98"/>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701"/>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98"/>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698"/>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698"/>
        <w:ind w:firstLine="540"/>
        <w:spacing w:line="500" w:lineRule="exact"/>
        <w:rPr>
          <w:rStyle w:val="775"/>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775"/>
          <w:color w:val="000000"/>
        </w:rPr>
      </w:r>
      <w:r/>
    </w:p>
    <w:p>
      <w:pPr>
        <w:pStyle w:val="698"/>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701"/>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7</w:t>
      </w:r>
      <w:r>
        <w:rPr>
          <w:rFonts w:hint="eastAsia" w:ascii="宋体" w:hAnsi="宋体"/>
          <w:bCs/>
          <w:color w:val="000000"/>
          <w:sz w:val="24"/>
          <w:szCs w:val="24"/>
        </w:rPr>
        <w:t xml:space="preserve">月10日09点30分（北京时间）</w:t>
      </w:r>
      <w:r/>
    </w:p>
    <w:p>
      <w:pPr>
        <w:pStyle w:val="698"/>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701"/>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698"/>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01"/>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01"/>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无锡市市场监督管理局</w:t>
      </w:r>
      <w:r>
        <w:rPr>
          <w:rFonts w:ascii="宋体" w:hAnsi="宋体" w:cs="宋体"/>
          <w:color w:val="000000"/>
          <w:sz w:val="24"/>
          <w:szCs w:val="24"/>
        </w:rPr>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无锡市梁溪区永和路28号</w:t>
      </w:r>
      <w:r>
        <w:rPr>
          <w:rFonts w:ascii="宋体" w:hAnsi="宋体" w:cs="宋体"/>
          <w:color w:val="000000"/>
          <w:sz w:val="24"/>
          <w:szCs w:val="24"/>
        </w:rPr>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9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9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9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9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9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赵莉</w:t>
      </w:r>
      <w:r>
        <w:rPr>
          <w:rFonts w:hint="eastAsia" w:ascii="宋体" w:hAnsi="宋体" w:cs="宋体"/>
          <w:color w:val="000000"/>
          <w:sz w:val="24"/>
          <w:szCs w:val="24"/>
        </w:rPr>
        <w:t xml:space="preserve">；电话：0510-</w:t>
      </w:r>
      <w:r>
        <w:rPr>
          <w:rFonts w:ascii="宋体" w:hAnsi="宋体" w:cs="宋体"/>
          <w:color w:val="000000"/>
          <w:sz w:val="24"/>
          <w:szCs w:val="24"/>
        </w:rPr>
        <w:t xml:space="preserve">81009113</w:t>
      </w:r>
      <w:r>
        <w:rPr>
          <w:rFonts w:hint="eastAsia" w:ascii="宋体" w:hAnsi="宋体" w:cs="宋体"/>
          <w:color w:val="000000"/>
          <w:sz w:val="24"/>
          <w:szCs w:val="24"/>
        </w:rPr>
      </w:r>
      <w:r/>
    </w:p>
    <w:p>
      <w:pPr>
        <w:pStyle w:val="69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赵莉</w:t>
      </w:r>
      <w:r>
        <w:rPr>
          <w:rFonts w:hint="eastAsia" w:ascii="宋体" w:hAnsi="宋体" w:cs="宋体"/>
          <w:color w:val="000000"/>
          <w:sz w:val="24"/>
          <w:szCs w:val="24"/>
        </w:rPr>
        <w:t xml:space="preserve">；电话：0510-</w:t>
      </w:r>
      <w:r>
        <w:rPr>
          <w:rFonts w:ascii="宋体" w:hAnsi="宋体" w:cs="宋体"/>
          <w:color w:val="000000"/>
          <w:sz w:val="24"/>
          <w:szCs w:val="24"/>
        </w:rPr>
        <w:t xml:space="preserve">81009113</w:t>
      </w:r>
      <w:r>
        <w:rPr>
          <w:rFonts w:hint="eastAsia" w:ascii="宋体" w:hAnsi="宋体" w:cs="宋体"/>
          <w:color w:val="000000"/>
          <w:sz w:val="24"/>
          <w:szCs w:val="24"/>
        </w:rPr>
      </w:r>
      <w:r/>
    </w:p>
    <w:p>
      <w:pPr>
        <w:pStyle w:val="69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701"/>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98"/>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9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9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9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9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9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p>
    <w:p>
      <w:pPr>
        <w:pStyle w:val="69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9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9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9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98"/>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98"/>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9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98"/>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698"/>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698"/>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701"/>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02"/>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02"/>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702"/>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698"/>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9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01"/>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698"/>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98"/>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2"/>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702"/>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701"/>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698"/>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98"/>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702"/>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698"/>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702"/>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98"/>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02"/>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698"/>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702"/>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702"/>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698"/>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702"/>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01"/>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11"/>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702"/>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702"/>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01"/>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698"/>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pStyle w:val="698"/>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702"/>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698"/>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98"/>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98"/>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702"/>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698"/>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702"/>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98"/>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98"/>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98"/>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98"/>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98"/>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98"/>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98"/>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698"/>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698"/>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标段、分包）投标总价超过本项目（</w:t>
      </w:r>
      <w:r>
        <w:rPr>
          <w:rFonts w:hint="eastAsia" w:ascii="宋体" w:hAnsi="宋体"/>
          <w:bCs/>
          <w:color w:val="000000"/>
          <w:sz w:val="24"/>
          <w:szCs w:val="24"/>
        </w:rPr>
        <w:t xml:space="preserve">标项、</w:t>
      </w:r>
      <w:r>
        <w:rPr>
          <w:rFonts w:hint="eastAsia" w:ascii="宋体" w:hAnsi="宋体"/>
          <w:bCs/>
          <w:color w:val="000000"/>
          <w:sz w:val="24"/>
          <w:szCs w:val="24"/>
        </w:rPr>
        <w:t xml:space="preserve">标段、分包）预算或最高限价的。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9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98"/>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698"/>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rPr>
          <w:rFonts w:hint="eastAsia" w:ascii="宋体" w:hAnsi="宋体"/>
          <w:bCs/>
          <w:color w:val="000000"/>
          <w:sz w:val="24"/>
        </w:rPr>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98"/>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98"/>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98"/>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98"/>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98"/>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98"/>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98"/>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01"/>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98"/>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顺序确定</w:t>
      </w:r>
      <w:r>
        <w:rPr>
          <w:rFonts w:hint="eastAsia" w:ascii="宋体" w:hAnsi="宋体"/>
          <w:bCs/>
          <w:color w:val="000000"/>
          <w:sz w:val="24"/>
        </w:rPr>
        <w:t xml:space="preserve">一名投标人为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w:t>
      </w:r>
      <w:r>
        <w:rPr>
          <w:rFonts w:hint="eastAsia" w:ascii="宋体" w:hAnsi="宋体"/>
          <w:bCs/>
          <w:color w:val="000000"/>
          <w:sz w:val="24"/>
        </w:rPr>
        <w:t xml:space="preserve">经采购人有关书面委托的，评标委员会也可按排名先后顺序直接确定中标人。</w:t>
      </w:r>
      <w:r>
        <w:rPr>
          <w:rFonts w:hint="eastAsia" w:ascii="宋体" w:hAnsi="宋体"/>
          <w:bCs/>
          <w:color w:val="000000"/>
          <w:sz w:val="24"/>
        </w:rPr>
        <w:t xml:space="preserve">联合体中标的，联合体各方应当共同与采购人签订合同，就中标项目向采购人承担连带责任。</w:t>
      </w:r>
      <w:r/>
    </w:p>
    <w:p>
      <w:pPr>
        <w:pStyle w:val="69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98"/>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98"/>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w:t>
      </w:r>
      <w:r>
        <w:rPr>
          <w:rFonts w:hint="eastAsia" w:ascii="宋体" w:hAnsi="宋体"/>
          <w:color w:val="000000"/>
          <w:sz w:val="24"/>
          <w:szCs w:val="24"/>
        </w:rPr>
        <w:t xml:space="preserve">提出质疑的供应商应当是参与</w:t>
      </w:r>
      <w:r>
        <w:rPr>
          <w:rFonts w:hint="eastAsia" w:ascii="宋体" w:hAnsi="宋体"/>
          <w:color w:val="000000"/>
          <w:sz w:val="24"/>
          <w:szCs w:val="24"/>
        </w:rPr>
        <w:t xml:space="preserve">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rPr>
        <w:t xml:space="preserve">。</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98"/>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98"/>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1"/>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702"/>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69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98"/>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0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2"/>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698"/>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以下为中标后签定本项目合同的通用条款，中标人不得提出实质性的修改。</w:t>
      </w:r>
      <w:r/>
    </w:p>
    <w:p>
      <w:pPr>
        <w:pStyle w:val="698"/>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37"/>
        <w:spacing w:line="400" w:lineRule="exact"/>
        <w:rPr>
          <w:rFonts w:hAnsi="宋体"/>
          <w:color w:val="000000"/>
          <w:sz w:val="24"/>
          <w:szCs w:val="24"/>
        </w:rPr>
      </w:pPr>
      <w:r>
        <w:rPr>
          <w:rFonts w:hAnsi="宋体"/>
          <w:color w:val="000000"/>
          <w:sz w:val="24"/>
          <w:szCs w:val="24"/>
        </w:rPr>
        <w:t xml:space="preserve">项目名称：                                       项目编号：</w:t>
      </w:r>
      <w:r/>
    </w:p>
    <w:p>
      <w:pPr>
        <w:pStyle w:val="737"/>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37"/>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37"/>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37"/>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37"/>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37"/>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37"/>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37"/>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37"/>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37"/>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37"/>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37"/>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7"/>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37"/>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7"/>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37"/>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37"/>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37"/>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37"/>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37"/>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98"/>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698"/>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37"/>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37"/>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尾款支付时间：服务结束并验收合格,采购人收到发票后15日内，尾款支付比例：合同金额的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37"/>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698"/>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98"/>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3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3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3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37"/>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3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《民法典》、《政府采购法》</w:t>
      </w:r>
      <w:r>
        <w:rPr>
          <w:rFonts w:hAnsi="宋体"/>
          <w:color w:val="000000"/>
          <w:sz w:val="24"/>
          <w:szCs w:val="24"/>
        </w:rPr>
        <w:t xml:space="preserve">有关条文执行。</w:t>
      </w:r>
      <w:r/>
    </w:p>
    <w:p>
      <w:pPr>
        <w:pStyle w:val="73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37"/>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37"/>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37"/>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37"/>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698"/>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698"/>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698"/>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698"/>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69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98"/>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69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699"/>
        <w:numPr>
          <w:ilvl w:val="0"/>
          <w:numId w:val="21"/>
        </w:numPr>
        <w:keepLines/>
        <w:pageBreakBefore/>
        <w:spacing w:before="240" w:after="240" w:line="360" w:lineRule="auto"/>
        <w:widowControl/>
        <w:tabs>
          <w:tab w:val="left" w:pos="425" w:leader="none"/>
          <w:tab w:val="left" w:pos="560" w:leader="none"/>
        </w:tabs>
        <w:rPr>
          <w:rFonts w:ascii="仿宋" w:hAnsi="仿宋" w:eastAsia="仿宋"/>
          <w:b/>
          <w:bCs/>
          <w:color w:val="000000"/>
          <w:sz w:val="44"/>
          <w:szCs w:val="44"/>
        </w:rPr>
      </w:pPr>
      <w:r/>
      <w:bookmarkStart w:id="193" w:name="_Toc20474"/>
      <w:r>
        <w:rPr>
          <w:rFonts w:hint="eastAsia" w:ascii="仿宋" w:hAnsi="仿宋" w:eastAsia="仿宋"/>
          <w:b/>
          <w:bCs/>
          <w:color w:val="000000"/>
          <w:sz w:val="44"/>
          <w:szCs w:val="44"/>
        </w:rPr>
        <w:t xml:space="preserve">项目概述</w:t>
      </w:r>
      <w:bookmarkEnd w:id="193"/>
      <w:r>
        <w:rPr>
          <w:rFonts w:ascii="仿宋" w:hAnsi="仿宋" w:eastAsia="仿宋"/>
          <w:b/>
          <w:bCs/>
          <w:color w:val="000000"/>
          <w:sz w:val="44"/>
          <w:szCs w:val="44"/>
        </w:rPr>
      </w:r>
      <w:r/>
    </w:p>
    <w:p>
      <w:pPr>
        <w:pStyle w:val="700"/>
        <w:numPr>
          <w:ilvl w:val="1"/>
          <w:numId w:val="21"/>
        </w:numPr>
        <w:ind w:left="0" w:firstLine="0"/>
        <w:jc w:val="left"/>
        <w:spacing w:before="0" w:after="0" w:line="360" w:lineRule="auto"/>
        <w:widowControl/>
        <w:tabs>
          <w:tab w:val="left" w:pos="425" w:leader="none"/>
          <w:tab w:val="left" w:pos="560" w:leader="none"/>
        </w:tabs>
        <w:rPr>
          <w:rFonts w:ascii="仿宋" w:hAnsi="仿宋" w:eastAsia="仿宋"/>
          <w:color w:val="000000"/>
        </w:rPr>
      </w:pPr>
      <w:r/>
      <w:bookmarkStart w:id="194" w:name="_Toc11733"/>
      <w:r>
        <w:rPr>
          <w:rFonts w:hint="eastAsia" w:ascii="仿宋" w:hAnsi="仿宋" w:eastAsia="仿宋"/>
          <w:color w:val="000000"/>
        </w:rPr>
        <w:t xml:space="preserve">项目建设目标、规模、内容、建设期</w:t>
      </w:r>
      <w:bookmarkEnd w:id="194"/>
      <w:r>
        <w:rPr>
          <w:rFonts w:ascii="仿宋" w:hAnsi="仿宋" w:eastAsia="仿宋"/>
          <w:color w:val="000000"/>
        </w:rPr>
      </w:r>
      <w:r/>
    </w:p>
    <w:p>
      <w:pPr>
        <w:pStyle w:val="701"/>
        <w:numPr>
          <w:ilvl w:val="2"/>
          <w:numId w:val="21"/>
        </w:numPr>
        <w:ind w:left="720"/>
        <w:jc w:val="left"/>
        <w:spacing w:before="240" w:after="0" w:line="360" w:lineRule="auto"/>
        <w:widowControl/>
        <w:tabs>
          <w:tab w:val="left" w:pos="425" w:leader="none"/>
          <w:tab w:val="left" w:pos="560" w:leader="none"/>
        </w:tabs>
        <w:rPr>
          <w:rFonts w:ascii="仿宋" w:hAnsi="仿宋" w:eastAsia="仿宋"/>
          <w:color w:val="000000"/>
        </w:rPr>
      </w:pPr>
      <w:r/>
      <w:bookmarkStart w:id="195" w:name="_Toc22099"/>
      <w:r>
        <w:rPr>
          <w:rFonts w:hint="eastAsia" w:ascii="仿宋" w:hAnsi="仿宋" w:eastAsia="仿宋"/>
          <w:color w:val="000000"/>
        </w:rPr>
        <w:t xml:space="preserve">建设目标</w:t>
      </w:r>
      <w:bookmarkEnd w:id="195"/>
      <w:r>
        <w:rPr>
          <w:rFonts w:ascii="仿宋" w:hAnsi="仿宋" w:eastAsia="仿宋"/>
          <w:color w:val="000000"/>
        </w:rPr>
      </w:r>
      <w:r/>
    </w:p>
    <w:p>
      <w:pPr>
        <w:pStyle w:val="698"/>
        <w:ind w:firstLine="560"/>
        <w:rPr>
          <w:color w:val="000000"/>
          <w:sz w:val="24"/>
        </w:rPr>
      </w:pPr>
      <w:r>
        <w:rPr>
          <w:rFonts w:hint="eastAsia"/>
          <w:color w:val="000000"/>
          <w:sz w:val="24"/>
        </w:rPr>
        <w:t xml:space="preserve">紧扣“聚焦高质量发展、聚力高水平监管”主题，</w:t>
      </w:r>
      <w:r>
        <w:rPr>
          <w:rFonts w:hint="eastAsia"/>
          <w:color w:val="000000"/>
          <w:sz w:val="24"/>
        </w:rPr>
        <w:t xml:space="preserve">以数据驱动管理、数据洞察风险、数据服务决策为核心，汇集整合无锡地区质量数据，强化顶层设计。以“集成-融合-提升”的步伐，分步建立科学合理的“1+1+1+N”无锡市质量大数据平台。通过搭建质量数据管理、一屏观质量、锡质安、E链通、N应用（包括数字认证、数字计量、数字标准、数字检验检测、质量基础设施、质量发展、质量监督、质量稽查线索管理和掌上质量管理等九个数据应用场景）及密码应用，为市场主体提供线上查询通道，方便企业享受惠企政策和质量服务，同时充分开发利用市场监管数据，提高市场监管效能，服务无锡市质量发展工作。</w:t>
      </w:r>
      <w:r>
        <w:rPr>
          <w:color w:val="000000"/>
          <w:sz w:val="24"/>
        </w:rPr>
      </w:r>
      <w:r/>
    </w:p>
    <w:p>
      <w:pPr>
        <w:pStyle w:val="701"/>
        <w:numPr>
          <w:ilvl w:val="2"/>
          <w:numId w:val="21"/>
        </w:numPr>
        <w:ind w:left="720"/>
        <w:jc w:val="left"/>
        <w:spacing w:before="240" w:after="0" w:line="360" w:lineRule="auto"/>
        <w:widowControl/>
        <w:tabs>
          <w:tab w:val="left" w:pos="425" w:leader="none"/>
          <w:tab w:val="left" w:pos="560" w:leader="none"/>
        </w:tabs>
        <w:rPr>
          <w:rFonts w:ascii="仿宋" w:hAnsi="仿宋" w:eastAsia="仿宋"/>
          <w:color w:val="000000"/>
        </w:rPr>
      </w:pPr>
      <w:r/>
      <w:bookmarkStart w:id="196" w:name="_Toc8103"/>
      <w:r>
        <w:rPr>
          <w:rFonts w:hint="eastAsia" w:ascii="仿宋" w:hAnsi="仿宋" w:eastAsia="仿宋"/>
          <w:color w:val="000000"/>
        </w:rPr>
        <w:t xml:space="preserve">建设规模</w:t>
      </w:r>
      <w:bookmarkEnd w:id="196"/>
      <w:r>
        <w:rPr>
          <w:rFonts w:ascii="仿宋" w:hAnsi="仿宋" w:eastAsia="仿宋"/>
          <w:color w:val="000000"/>
        </w:rPr>
      </w:r>
      <w:r/>
    </w:p>
    <w:p>
      <w:pPr>
        <w:pStyle w:val="698"/>
        <w:ind w:firstLine="560"/>
        <w:rPr>
          <w:rFonts w:ascii="仿宋" w:hAnsi="仿宋" w:eastAsia="仿宋"/>
          <w:color w:val="000000"/>
        </w:rPr>
      </w:pPr>
      <w:r>
        <w:rPr>
          <w:rFonts w:hint="eastAsia"/>
          <w:color w:val="000000"/>
          <w:sz w:val="24"/>
        </w:rPr>
        <w:t xml:space="preserve">支撑市、区、分局三级进行工作开展，提供数据查询服务。分PC端及APP端，法人服务门户服务于各类市场主体用户</w:t>
      </w:r>
      <w:r>
        <w:rPr>
          <w:rFonts w:hint="eastAsia" w:ascii="仿宋" w:hAnsi="仿宋"/>
          <w:color w:val="000000"/>
        </w:rPr>
        <w:t xml:space="preserve">。</w:t>
      </w:r>
      <w:r>
        <w:rPr>
          <w:rFonts w:ascii="仿宋" w:hAnsi="仿宋" w:eastAsia="仿宋"/>
          <w:color w:val="000000"/>
        </w:rPr>
      </w:r>
      <w:r/>
    </w:p>
    <w:p>
      <w:pPr>
        <w:pStyle w:val="699"/>
        <w:numPr>
          <w:ilvl w:val="0"/>
          <w:numId w:val="21"/>
        </w:numPr>
        <w:keepLines/>
        <w:pageBreakBefore/>
        <w:spacing w:before="240" w:after="240" w:line="360" w:lineRule="auto"/>
        <w:widowControl/>
        <w:tabs>
          <w:tab w:val="left" w:pos="425" w:leader="none"/>
          <w:tab w:val="left" w:pos="560" w:leader="none"/>
        </w:tabs>
        <w:rPr>
          <w:rFonts w:ascii="仿宋" w:hAnsi="仿宋" w:eastAsia="仿宋"/>
          <w:b/>
          <w:bCs/>
          <w:color w:val="000000"/>
          <w:sz w:val="44"/>
          <w:szCs w:val="44"/>
        </w:rPr>
      </w:pPr>
      <w:r/>
      <w:bookmarkStart w:id="197" w:name="_Toc19958"/>
      <w:r/>
      <w:bookmarkStart w:id="198" w:name="OLE_LINK1"/>
      <w:r>
        <w:rPr>
          <w:rFonts w:hint="eastAsia" w:ascii="仿宋" w:hAnsi="仿宋" w:eastAsia="仿宋"/>
          <w:b/>
          <w:bCs/>
          <w:color w:val="000000"/>
          <w:sz w:val="44"/>
          <w:szCs w:val="44"/>
        </w:rPr>
        <w:t xml:space="preserve">项目建设</w:t>
      </w:r>
      <w:bookmarkEnd w:id="197"/>
      <w:r>
        <w:rPr>
          <w:rFonts w:hint="eastAsia" w:ascii="仿宋" w:hAnsi="仿宋" w:eastAsia="仿宋"/>
          <w:b/>
          <w:bCs/>
          <w:color w:val="000000"/>
          <w:sz w:val="44"/>
          <w:szCs w:val="44"/>
        </w:rPr>
        <w:t xml:space="preserve">要求</w:t>
      </w:r>
      <w:r>
        <w:rPr>
          <w:rFonts w:ascii="仿宋" w:hAnsi="仿宋" w:eastAsia="仿宋"/>
          <w:b/>
          <w:bCs/>
          <w:color w:val="000000"/>
          <w:sz w:val="44"/>
          <w:szCs w:val="44"/>
        </w:rPr>
      </w:r>
      <w:r/>
    </w:p>
    <w:p>
      <w:pPr>
        <w:pStyle w:val="700"/>
        <w:numPr>
          <w:ilvl w:val="1"/>
          <w:numId w:val="21"/>
        </w:numPr>
        <w:ind w:left="0"/>
        <w:jc w:val="left"/>
        <w:spacing w:before="0" w:after="0" w:line="360" w:lineRule="auto"/>
        <w:widowControl/>
        <w:tabs>
          <w:tab w:val="left" w:pos="425" w:leader="none"/>
          <w:tab w:val="left" w:pos="560" w:leader="none"/>
        </w:tabs>
        <w:rPr>
          <w:rFonts w:ascii="宋体" w:hAnsi="宋体" w:eastAsia="宋体"/>
          <w:color w:val="000000"/>
        </w:rPr>
      </w:pPr>
      <w:r/>
      <w:bookmarkEnd w:id="198"/>
      <w:r/>
      <w:bookmarkStart w:id="199" w:name="_Toc12251"/>
      <w:r/>
      <w:bookmarkStart w:id="200" w:name="_Toc7705"/>
      <w:r>
        <w:rPr>
          <w:rFonts w:hint="eastAsia" w:ascii="宋体" w:hAnsi="宋体" w:eastAsia="宋体"/>
          <w:color w:val="000000"/>
        </w:rPr>
        <w:t xml:space="preserve">信息资源规划和数据库建设</w:t>
      </w:r>
      <w:bookmarkEnd w:id="199"/>
      <w:r>
        <w:rPr>
          <w:rFonts w:ascii="宋体" w:hAnsi="宋体" w:eastAsia="宋体"/>
          <w:color w:val="000000"/>
        </w:rPr>
      </w:r>
      <w:r/>
    </w:p>
    <w:p>
      <w:pPr>
        <w:pStyle w:val="701"/>
        <w:numPr>
          <w:ilvl w:val="2"/>
          <w:numId w:val="21"/>
        </w:numPr>
        <w:ind w:left="720"/>
        <w:jc w:val="left"/>
        <w:spacing w:before="240" w:after="0" w:line="360" w:lineRule="auto"/>
        <w:widowControl/>
        <w:tabs>
          <w:tab w:val="left" w:pos="425" w:leader="none"/>
          <w:tab w:val="left" w:pos="560" w:leader="none"/>
        </w:tabs>
        <w:rPr>
          <w:color w:val="000000"/>
        </w:rPr>
      </w:pPr>
      <w:r/>
      <w:bookmarkStart w:id="201" w:name="_Toc28594"/>
      <w:r>
        <w:rPr>
          <w:rFonts w:hint="eastAsia"/>
          <w:color w:val="000000"/>
          <w:lang w:eastAsia="en-US"/>
        </w:rPr>
        <w:t xml:space="preserve">信息资源规划</w:t>
      </w:r>
      <w:bookmarkEnd w:id="201"/>
      <w:r>
        <w:rPr>
          <w:color w:val="000000"/>
        </w:rPr>
      </w:r>
      <w:r/>
    </w:p>
    <w:p>
      <w:pPr>
        <w:pStyle w:val="698"/>
        <w:rPr>
          <w:color w:val="000000"/>
          <w:sz w:val="24"/>
        </w:rPr>
      </w:pPr>
      <w:r>
        <w:rPr>
          <w:rFonts w:hint="eastAsia"/>
          <w:color w:val="000000"/>
          <w:sz w:val="24"/>
        </w:rPr>
        <w:t xml:space="preserve">构建统一的数据接入机制和数据资源分类体系，采集公共数据资源，建立从数据采集、数据存储、数据编目、数据挖掘分析的全生命周期的数据资源目录。建立数据统一资源分类体系，保证数据融合的可实施性，为数据的统一存储提供基础条件。建设数据模型和指标体系，通过持续的数据治理和统一标准化的接口，为业务应用提供高质量数据服务，形成数据资产管理和数据应用的可持续化格局。</w:t>
      </w:r>
      <w:r>
        <w:rPr>
          <w:color w:val="000000"/>
          <w:sz w:val="24"/>
        </w:rPr>
      </w:r>
      <w:r/>
    </w:p>
    <w:p>
      <w:pPr>
        <w:pStyle w:val="701"/>
        <w:numPr>
          <w:ilvl w:val="2"/>
          <w:numId w:val="21"/>
        </w:numPr>
        <w:ind w:left="720"/>
        <w:jc w:val="left"/>
        <w:spacing w:before="240" w:after="0" w:line="360" w:lineRule="auto"/>
        <w:widowControl/>
        <w:tabs>
          <w:tab w:val="left" w:pos="425" w:leader="none"/>
          <w:tab w:val="left" w:pos="560" w:leader="none"/>
        </w:tabs>
        <w:rPr>
          <w:color w:val="000000"/>
        </w:rPr>
      </w:pPr>
      <w:r/>
      <w:bookmarkStart w:id="202" w:name="_Toc6280"/>
      <w:r>
        <w:rPr>
          <w:rFonts w:hint="eastAsia"/>
          <w:color w:val="000000"/>
        </w:rPr>
        <w:t xml:space="preserve">数据资源范围</w:t>
      </w:r>
      <w:bookmarkEnd w:id="202"/>
      <w:r>
        <w:rPr>
          <w:color w:val="000000"/>
        </w:rPr>
      </w:r>
      <w:r/>
    </w:p>
    <w:p>
      <w:pPr>
        <w:pStyle w:val="698"/>
        <w:rPr>
          <w:color w:val="000000"/>
          <w:sz w:val="24"/>
        </w:rPr>
      </w:pPr>
      <w:r>
        <w:rPr>
          <w:rFonts w:hint="eastAsia"/>
          <w:color w:val="000000"/>
          <w:sz w:val="24"/>
        </w:rPr>
        <w:t xml:space="preserve">汇聚质量主体许可备案信息、监督检查信息、商标专利信息、质量基础设施数据、产品质量、质量监管、品牌与奖励、质量评价等数据。通过对结构及非结构化的采集、治理，融合，形成数据基础库、主题库、专题库，为长三角（无锡）质量大数据中心上层的应用服务提供数据支撑。</w:t>
      </w:r>
      <w:r>
        <w:rPr>
          <w:color w:val="000000"/>
          <w:sz w:val="24"/>
        </w:rPr>
      </w:r>
      <w:r/>
    </w:p>
    <w:p>
      <w:pPr>
        <w:pStyle w:val="701"/>
        <w:numPr>
          <w:ilvl w:val="2"/>
          <w:numId w:val="21"/>
        </w:numPr>
        <w:ind w:left="720"/>
        <w:jc w:val="left"/>
        <w:spacing w:before="240" w:after="0" w:line="360" w:lineRule="auto"/>
        <w:widowControl/>
        <w:tabs>
          <w:tab w:val="left" w:pos="425" w:leader="none"/>
          <w:tab w:val="left" w:pos="560" w:leader="none"/>
        </w:tabs>
        <w:rPr>
          <w:color w:val="000000"/>
        </w:rPr>
      </w:pPr>
      <w:r/>
      <w:bookmarkStart w:id="203" w:name="_Toc13731"/>
      <w:r>
        <w:rPr>
          <w:rFonts w:hint="eastAsia"/>
          <w:color w:val="000000"/>
          <w:lang w:eastAsia="en-US"/>
        </w:rPr>
        <w:t xml:space="preserve">数据库设计</w:t>
      </w:r>
      <w:bookmarkEnd w:id="203"/>
      <w:r>
        <w:rPr>
          <w:color w:val="000000"/>
        </w:rPr>
      </w:r>
      <w:r/>
    </w:p>
    <w:p>
      <w:pPr>
        <w:pStyle w:val="702"/>
        <w:numPr>
          <w:ilvl w:val="3"/>
          <w:numId w:val="21"/>
        </w:numPr>
        <w:ind w:left="0"/>
        <w:jc w:val="left"/>
        <w:spacing w:before="240" w:after="12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质量基础设施</w:t>
      </w:r>
      <w:r>
        <w:rPr>
          <w:rFonts w:hint="eastAsia" w:ascii="宋体" w:hAnsi="宋体" w:eastAsia="宋体"/>
          <w:color w:val="000000"/>
          <w:lang w:eastAsia="en-US"/>
        </w:rPr>
        <w:t xml:space="preserve">数据库</w:t>
      </w:r>
      <w:r>
        <w:rPr>
          <w:rFonts w:ascii="宋体" w:hAnsi="宋体" w:eastAsia="宋体"/>
          <w:color w:val="000000"/>
        </w:rPr>
      </w:r>
      <w:r/>
    </w:p>
    <w:p>
      <w:pPr>
        <w:pStyle w:val="698"/>
        <w:rPr>
          <w:color w:val="000000"/>
          <w:sz w:val="24"/>
        </w:rPr>
      </w:pPr>
      <w:r>
        <w:rPr>
          <w:rFonts w:hint="eastAsia"/>
          <w:color w:val="000000"/>
          <w:sz w:val="24"/>
          <w:lang w:eastAsia="en-US"/>
        </w:rPr>
        <w:t xml:space="preserve">归集</w:t>
      </w:r>
      <w:r>
        <w:rPr>
          <w:rFonts w:hint="eastAsia"/>
          <w:color w:val="000000"/>
          <w:sz w:val="24"/>
        </w:rPr>
        <w:t xml:space="preserve">质量基础设施</w:t>
      </w:r>
      <w:r>
        <w:rPr>
          <w:rFonts w:hint="eastAsia"/>
          <w:color w:val="000000"/>
          <w:sz w:val="24"/>
          <w:lang w:eastAsia="en-US"/>
        </w:rPr>
        <w:t xml:space="preserve">数据</w:t>
      </w:r>
      <w:r>
        <w:rPr>
          <w:color w:val="000000"/>
          <w:sz w:val="24"/>
          <w:lang w:eastAsia="en-US"/>
        </w:rPr>
        <w:t xml:space="preserve">。</w:t>
      </w:r>
      <w:r>
        <w:rPr>
          <w:color w:val="000000"/>
          <w:sz w:val="24"/>
        </w:rPr>
      </w:r>
      <w:r/>
    </w:p>
    <w:p>
      <w:pPr>
        <w:pStyle w:val="702"/>
        <w:numPr>
          <w:ilvl w:val="3"/>
          <w:numId w:val="21"/>
        </w:numPr>
        <w:ind w:left="0"/>
        <w:jc w:val="left"/>
        <w:spacing w:before="240" w:after="12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产品质量</w:t>
      </w:r>
      <w:r>
        <w:rPr>
          <w:rFonts w:hint="eastAsia" w:ascii="宋体" w:hAnsi="宋体" w:eastAsia="宋体"/>
          <w:color w:val="000000"/>
          <w:lang w:eastAsia="en-US"/>
        </w:rPr>
        <w:t xml:space="preserve">数据库</w:t>
      </w:r>
      <w:r>
        <w:rPr>
          <w:rFonts w:ascii="宋体" w:hAnsi="宋体" w:eastAsia="宋体"/>
          <w:color w:val="000000"/>
        </w:rPr>
      </w:r>
      <w:r/>
    </w:p>
    <w:p>
      <w:pPr>
        <w:pStyle w:val="698"/>
        <w:rPr>
          <w:color w:val="000000"/>
          <w:sz w:val="24"/>
        </w:rPr>
      </w:pPr>
      <w:r>
        <w:rPr>
          <w:rFonts w:hint="eastAsia"/>
          <w:color w:val="000000"/>
          <w:sz w:val="24"/>
          <w:lang w:eastAsia="en-US"/>
        </w:rPr>
        <w:t xml:space="preserve">归集</w:t>
      </w:r>
      <w:r>
        <w:rPr>
          <w:rFonts w:hint="eastAsia"/>
          <w:color w:val="000000"/>
          <w:sz w:val="24"/>
        </w:rPr>
        <w:t xml:space="preserve">产品质量信息</w:t>
      </w:r>
      <w:r>
        <w:rPr>
          <w:color w:val="000000"/>
          <w:sz w:val="24"/>
        </w:rPr>
        <w:t xml:space="preserve">。</w:t>
      </w:r>
      <w:r/>
    </w:p>
    <w:p>
      <w:pPr>
        <w:pStyle w:val="702"/>
        <w:numPr>
          <w:ilvl w:val="3"/>
          <w:numId w:val="21"/>
        </w:numPr>
        <w:ind w:left="0"/>
        <w:jc w:val="left"/>
        <w:spacing w:before="240" w:after="12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质量监管</w:t>
      </w:r>
      <w:r>
        <w:rPr>
          <w:rFonts w:hint="eastAsia" w:ascii="宋体" w:hAnsi="宋体" w:eastAsia="宋体"/>
          <w:color w:val="000000"/>
          <w:lang w:eastAsia="en-US"/>
        </w:rPr>
        <w:t xml:space="preserve">数据库</w:t>
      </w:r>
      <w:r>
        <w:rPr>
          <w:rFonts w:ascii="宋体" w:hAnsi="宋体" w:eastAsia="宋体"/>
          <w:color w:val="000000"/>
        </w:rPr>
      </w:r>
      <w:r/>
    </w:p>
    <w:p>
      <w:pPr>
        <w:pStyle w:val="698"/>
        <w:rPr>
          <w:color w:val="000000"/>
          <w:sz w:val="24"/>
          <w:lang w:eastAsia="en-US"/>
        </w:rPr>
      </w:pPr>
      <w:r>
        <w:rPr>
          <w:rFonts w:hint="eastAsia"/>
          <w:color w:val="000000"/>
          <w:sz w:val="24"/>
          <w:lang w:eastAsia="en-US"/>
        </w:rPr>
        <w:t xml:space="preserve">归集</w:t>
      </w:r>
      <w:r>
        <w:rPr>
          <w:rFonts w:hint="eastAsia"/>
          <w:color w:val="000000"/>
          <w:sz w:val="24"/>
        </w:rPr>
        <w:t xml:space="preserve">质量监管</w:t>
      </w:r>
      <w:r>
        <w:rPr>
          <w:rFonts w:hint="eastAsia"/>
          <w:color w:val="000000"/>
          <w:sz w:val="24"/>
          <w:lang w:eastAsia="en-US"/>
        </w:rPr>
        <w:t xml:space="preserve">信息</w:t>
      </w:r>
      <w:r>
        <w:rPr>
          <w:color w:val="000000"/>
          <w:sz w:val="24"/>
          <w:lang w:eastAsia="en-US"/>
        </w:rPr>
        <w:t xml:space="preserve">。</w:t>
      </w:r>
      <w:r/>
    </w:p>
    <w:p>
      <w:pPr>
        <w:pStyle w:val="702"/>
        <w:numPr>
          <w:ilvl w:val="3"/>
          <w:numId w:val="21"/>
        </w:numPr>
        <w:ind w:left="0"/>
        <w:jc w:val="left"/>
        <w:spacing w:before="240" w:after="12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品牌奖励数据</w:t>
      </w:r>
      <w:r>
        <w:rPr>
          <w:rFonts w:hint="eastAsia" w:ascii="宋体" w:hAnsi="宋体" w:eastAsia="宋体"/>
          <w:color w:val="000000"/>
          <w:lang w:eastAsia="en-US"/>
        </w:rPr>
        <w:t xml:space="preserve">库</w:t>
      </w:r>
      <w:r>
        <w:rPr>
          <w:rFonts w:ascii="宋体" w:hAnsi="宋体" w:eastAsia="宋体"/>
          <w:color w:val="000000"/>
        </w:rPr>
      </w:r>
      <w:r/>
    </w:p>
    <w:p>
      <w:pPr>
        <w:pStyle w:val="698"/>
        <w:rPr>
          <w:color w:val="000000"/>
          <w:sz w:val="24"/>
          <w:lang w:eastAsia="en-US"/>
        </w:rPr>
      </w:pPr>
      <w:r>
        <w:rPr>
          <w:rFonts w:hint="eastAsia"/>
          <w:color w:val="000000"/>
          <w:sz w:val="24"/>
          <w:lang w:eastAsia="en-US"/>
        </w:rPr>
        <w:t xml:space="preserve">归集</w:t>
      </w:r>
      <w:r>
        <w:rPr>
          <w:rFonts w:hint="eastAsia"/>
          <w:color w:val="000000"/>
          <w:sz w:val="24"/>
        </w:rPr>
        <w:t xml:space="preserve">品牌奖励信息</w:t>
      </w:r>
      <w:r>
        <w:rPr>
          <w:color w:val="000000"/>
          <w:sz w:val="24"/>
          <w:lang w:eastAsia="en-US"/>
        </w:rPr>
        <w:t xml:space="preserve">。</w:t>
      </w:r>
      <w:r/>
    </w:p>
    <w:p>
      <w:pPr>
        <w:pStyle w:val="702"/>
        <w:numPr>
          <w:ilvl w:val="3"/>
          <w:numId w:val="21"/>
        </w:numPr>
        <w:ind w:left="0"/>
        <w:jc w:val="left"/>
        <w:spacing w:before="240" w:after="12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质量评价数据库</w:t>
      </w:r>
      <w:r>
        <w:rPr>
          <w:rFonts w:ascii="宋体" w:hAnsi="宋体" w:eastAsia="宋体"/>
          <w:color w:val="000000"/>
        </w:rPr>
      </w:r>
      <w:r/>
    </w:p>
    <w:p>
      <w:pPr>
        <w:pStyle w:val="698"/>
        <w:ind w:firstLine="420"/>
        <w:rPr>
          <w:color w:val="000000"/>
          <w:sz w:val="24"/>
        </w:rPr>
      </w:pPr>
      <w:r>
        <w:rPr>
          <w:rFonts w:hint="eastAsia"/>
          <w:color w:val="000000"/>
          <w:sz w:val="24"/>
        </w:rPr>
        <w:t xml:space="preserve">归集质量评价信息，合格率等信息。</w:t>
      </w:r>
      <w:r>
        <w:rPr>
          <w:color w:val="000000"/>
          <w:sz w:val="24"/>
        </w:rPr>
      </w:r>
      <w:r/>
    </w:p>
    <w:p>
      <w:pPr>
        <w:pStyle w:val="700"/>
        <w:numPr>
          <w:ilvl w:val="1"/>
          <w:numId w:val="21"/>
        </w:numPr>
        <w:ind w:left="0"/>
        <w:jc w:val="left"/>
        <w:spacing w:before="0" w:after="0" w:line="360" w:lineRule="auto"/>
        <w:widowControl/>
        <w:tabs>
          <w:tab w:val="left" w:pos="425" w:leader="none"/>
          <w:tab w:val="left" w:pos="560" w:leader="none"/>
        </w:tabs>
        <w:rPr>
          <w:rFonts w:ascii="宋体" w:hAnsi="宋体" w:eastAsia="宋体"/>
          <w:color w:val="000000"/>
        </w:rPr>
      </w:pPr>
      <w:r/>
      <w:bookmarkStart w:id="204" w:name="_Toc32171"/>
      <w:r>
        <w:rPr>
          <w:rFonts w:hint="eastAsia" w:ascii="宋体" w:hAnsi="宋体" w:eastAsia="宋体"/>
          <w:color w:val="000000"/>
        </w:rPr>
        <w:t xml:space="preserve">应用支撑平台和应用系统建设</w:t>
      </w:r>
      <w:bookmarkEnd w:id="204"/>
      <w:r>
        <w:rPr>
          <w:rFonts w:hint="eastAsia" w:ascii="宋体" w:hAnsi="宋体" w:eastAsia="宋体"/>
          <w:color w:val="000000"/>
          <w:lang w:eastAsia="en-US"/>
        </w:rPr>
        <w:t xml:space="preserve">要求</w:t>
      </w:r>
      <w:r>
        <w:rPr>
          <w:rFonts w:ascii="宋体" w:hAnsi="宋体" w:eastAsia="宋体"/>
          <w:color w:val="000000"/>
        </w:rPr>
      </w:r>
      <w:r/>
    </w:p>
    <w:p>
      <w:pPr>
        <w:pStyle w:val="701"/>
        <w:numPr>
          <w:ilvl w:val="2"/>
          <w:numId w:val="21"/>
        </w:numPr>
        <w:ind w:left="720"/>
        <w:jc w:val="left"/>
        <w:spacing w:before="240" w:after="0" w:line="360" w:lineRule="auto"/>
        <w:widowControl/>
        <w:tabs>
          <w:tab w:val="left" w:pos="425" w:leader="none"/>
          <w:tab w:val="left" w:pos="560" w:leader="none"/>
        </w:tabs>
        <w:rPr>
          <w:color w:val="000000"/>
        </w:rPr>
      </w:pPr>
      <w:r/>
      <w:bookmarkStart w:id="205" w:name="_Toc24540"/>
      <w:r>
        <w:rPr>
          <w:rFonts w:hint="eastAsia"/>
          <w:color w:val="000000"/>
        </w:rPr>
        <w:t xml:space="preserve">质量数据管理</w:t>
      </w:r>
      <w:bookmarkEnd w:id="205"/>
      <w:r>
        <w:rPr>
          <w:color w:val="000000"/>
        </w:rPr>
      </w:r>
      <w:r/>
    </w:p>
    <w:p>
      <w:pPr>
        <w:pStyle w:val="698"/>
        <w:rPr>
          <w:color w:val="000000"/>
          <w:sz w:val="24"/>
        </w:rPr>
      </w:pPr>
      <w:r>
        <w:rPr>
          <w:rFonts w:hint="eastAsia"/>
          <w:color w:val="000000"/>
          <w:sz w:val="24"/>
        </w:rPr>
        <w:t xml:space="preserve">整合归集计量、标准、检验检测、认证、质量、质量监督、质量信用、知识产权等数据，形成质量数据库。梳理质量数据资源清单，形成质量数据资源目录，并通过无锡市市场监管数据中台的数据资源目录进行管理维护。对所有对接获取数据资源的定时计划任务调度进行监控，针对获取失败、数据差异较大等问题及时进行预警提醒。提供针对质量主体的个性化标签化管理应用，针对质量主体的独特的属性进行多维度的打标分类，方便用户通过标签查询、标签展示快速定位了解关键信息。</w:t>
      </w:r>
      <w:r>
        <w:rPr>
          <w:color w:val="000000"/>
          <w:sz w:val="24"/>
        </w:rPr>
      </w:r>
      <w:r/>
    </w:p>
    <w:p>
      <w:pPr>
        <w:pStyle w:val="702"/>
        <w:numPr>
          <w:ilvl w:val="3"/>
          <w:numId w:val="21"/>
        </w:numPr>
        <w:ind w:left="0"/>
        <w:jc w:val="left"/>
        <w:spacing w:before="60" w:after="6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数据归集</w:t>
      </w:r>
      <w:r>
        <w:rPr>
          <w:rFonts w:ascii="宋体" w:hAnsi="宋体" w:eastAsia="宋体"/>
          <w:color w:val="000000"/>
        </w:rPr>
      </w:r>
      <w:r/>
    </w:p>
    <w:p>
      <w:pPr>
        <w:pStyle w:val="703"/>
        <w:numPr>
          <w:ilvl w:val="4"/>
          <w:numId w:val="21"/>
        </w:numPr>
        <w:ind w:left="0"/>
        <w:jc w:val="left"/>
        <w:keepLines/>
        <w:spacing w:before="20" w:after="20" w:line="360" w:lineRule="auto"/>
        <w:widowControl/>
        <w:tabs>
          <w:tab w:val="left" w:pos="560" w:leader="none"/>
        </w:tabs>
        <w:rPr>
          <w:rFonts w:hAnsi="宋体"/>
        </w:rPr>
      </w:pPr>
      <w:r>
        <w:rPr>
          <w:rFonts w:hint="eastAsia" w:hAnsi="宋体"/>
        </w:rPr>
        <w:t xml:space="preserve">数据资源范围</w:t>
      </w:r>
      <w:r>
        <w:rPr>
          <w:rFonts w:hAnsi="宋体"/>
        </w:rPr>
      </w:r>
      <w:r/>
    </w:p>
    <w:tbl>
      <w:tblPr>
        <w:tblW w:w="6754"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4"/>
        <w:gridCol w:w="3382"/>
        <w:gridCol w:w="2168"/>
      </w:tblGrid>
      <w:tr>
        <w:trPr>
          <w:trHeight w:val="476"/>
        </w:trPr>
        <w:tc>
          <w:tcPr>
            <w:tcW w:w="1204" w:type="dxa"/>
            <w:vAlign w:val="center"/>
            <w:textDirection w:val="lrTb"/>
            <w:noWrap w:val="false"/>
          </w:tcPr>
          <w:p>
            <w:pPr>
              <w:pStyle w:val="698"/>
              <w:jc w:val="center"/>
              <w:rPr>
                <w:rFonts w:cs="方正仿宋简体"/>
                <w:b/>
                <w:bCs/>
                <w:color w:val="000000"/>
                <w:sz w:val="24"/>
              </w:rPr>
            </w:pPr>
            <w:r>
              <w:rPr>
                <w:rFonts w:hint="eastAsia" w:cs="方正仿宋简体"/>
                <w:b/>
                <w:bCs/>
                <w:color w:val="000000"/>
                <w:sz w:val="24"/>
              </w:rPr>
              <w:t xml:space="preserve">主题</w:t>
            </w:r>
            <w:r>
              <w:rPr>
                <w:rFonts w:cs="方正仿宋简体"/>
                <w:b/>
                <w:bCs/>
                <w:color w:val="000000"/>
                <w:sz w:val="24"/>
              </w:rPr>
            </w:r>
            <w:r/>
          </w:p>
        </w:tc>
        <w:tc>
          <w:tcPr>
            <w:tcW w:w="3382" w:type="dxa"/>
            <w:vAlign w:val="center"/>
            <w:textDirection w:val="lrTb"/>
            <w:noWrap w:val="false"/>
          </w:tcPr>
          <w:p>
            <w:pPr>
              <w:pStyle w:val="698"/>
              <w:jc w:val="center"/>
              <w:rPr>
                <w:rFonts w:cs="方正仿宋简体"/>
                <w:b/>
                <w:bCs/>
                <w:color w:val="000000"/>
                <w:sz w:val="24"/>
              </w:rPr>
            </w:pPr>
            <w:r>
              <w:rPr>
                <w:rFonts w:hint="eastAsia" w:cs="方正仿宋简体"/>
                <w:b/>
                <w:bCs/>
                <w:color w:val="000000"/>
                <w:sz w:val="24"/>
              </w:rPr>
              <w:t xml:space="preserve">数据名称（数据资源类型）</w:t>
            </w:r>
            <w:r>
              <w:rPr>
                <w:rFonts w:cs="方正仿宋简体"/>
                <w:b/>
                <w:bCs/>
                <w:color w:val="000000"/>
                <w:sz w:val="24"/>
              </w:rPr>
            </w:r>
            <w:r/>
          </w:p>
        </w:tc>
        <w:tc>
          <w:tcPr>
            <w:tcW w:w="2168" w:type="dxa"/>
            <w:vAlign w:val="center"/>
            <w:textDirection w:val="lrTb"/>
            <w:noWrap w:val="false"/>
          </w:tcPr>
          <w:p>
            <w:pPr>
              <w:pStyle w:val="698"/>
              <w:jc w:val="center"/>
              <w:rPr>
                <w:rFonts w:cs="方正仿宋简体"/>
                <w:b/>
                <w:bCs/>
                <w:color w:val="000000"/>
                <w:sz w:val="24"/>
              </w:rPr>
            </w:pPr>
            <w:r>
              <w:rPr>
                <w:rFonts w:hint="eastAsia" w:cs="方正仿宋简体"/>
                <w:b/>
                <w:bCs/>
                <w:color w:val="000000"/>
                <w:sz w:val="24"/>
              </w:rPr>
              <w:t xml:space="preserve">数据范围</w:t>
            </w:r>
            <w:r>
              <w:rPr>
                <w:rFonts w:cs="方正仿宋简体"/>
                <w:b/>
                <w:bCs/>
                <w:color w:val="000000"/>
                <w:sz w:val="24"/>
              </w:rPr>
            </w:r>
            <w:r/>
          </w:p>
        </w:tc>
      </w:tr>
      <w:tr>
        <w:trPr>
          <w:cantSplit/>
          <w:trHeight w:val="476"/>
        </w:trPr>
        <w:tc>
          <w:tcPr>
            <w:tcW w:w="1204"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质量基础设施数据</w:t>
            </w: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全国社会公用计量标准</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国家标准化技术委员会秘书处</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国家产业计量测试中心</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国家省技术标准创新基地</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cs="方正仿宋简体"/>
                <w:color w:val="000000"/>
                <w:sz w:val="24"/>
              </w:rPr>
              <w:t xml:space="preserve">ISO/IEC </w:t>
            </w:r>
            <w:r>
              <w:rPr>
                <w:rFonts w:hint="eastAsia" w:cs="方正仿宋简体"/>
                <w:color w:val="000000"/>
                <w:sz w:val="24"/>
              </w:rPr>
              <w:t xml:space="preserve">国际标准化组织的国内技术对口单位</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国家产品质量检验检测中心</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长三角三省一市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检验检测机构名录</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强制检定计量器具</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国际、全国、省专业标准化技术委员会</w:t>
            </w:r>
            <w:r>
              <w:rPr>
                <w:rFonts w:cs="方正仿宋简体"/>
                <w:color w:val="000000"/>
                <w:sz w:val="24"/>
              </w:rPr>
              <w:t xml:space="preserve">/分技术委员会/工作组</w:t>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rPr>
                <w:rFonts w:cs="方正仿宋简体"/>
                <w:color w:val="000000"/>
                <w:sz w:val="24"/>
              </w:rPr>
            </w:pP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主导、主持和参与国际、国家、行业标准的企事业单位</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国家、行业标准题录</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国家、省标准创新贡献奖（组织、个人、项目）</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省市地方标准及企事业单位</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w:t>
            </w:r>
            <w:r>
              <w:rPr>
                <w:rFonts w:cs="方正仿宋简体"/>
                <w:color w:val="000000"/>
                <w:sz w:val="24"/>
              </w:rPr>
            </w:r>
            <w:r/>
          </w:p>
        </w:tc>
      </w:tr>
      <w:tr>
        <w:trPr>
          <w:cantSplit/>
          <w:trHeight w:val="476"/>
        </w:trPr>
        <w:tc>
          <w:tcPr>
            <w:tcW w:w="1204"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产品质量</w:t>
            </w: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国家监督抽检信息</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无锡不合格数据</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省抽检信息</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市抽检信息</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国内产品召回</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质量监管</w:t>
            </w: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市场主体登记注册数据</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认证机构数</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检验检测机构证书</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检验检测机构能力</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工业产品生产许可证</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强制性产品认证</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质量管理体系认证企业</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绿色产品认证</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食用农产品认证</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不合格后处理数据</w:t>
            </w:r>
            <w:r>
              <w:rPr>
                <w:rFonts w:cs="方正仿宋简体"/>
                <w:color w:val="000000"/>
                <w:sz w:val="24"/>
              </w:rPr>
            </w:r>
            <w:r/>
          </w:p>
        </w:tc>
        <w:tc>
          <w:tcPr>
            <w:tcW w:w="2168" w:type="dxa"/>
            <w:vAlign w:val="center"/>
            <w:textDirection w:val="lrTb"/>
            <w:noWrap w:val="false"/>
          </w:tcPr>
          <w:p>
            <w:pPr>
              <w:pStyle w:val="698"/>
              <w:ind w:firstLine="960"/>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网络交易监测记录</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行政处罚信息</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质量</w:t>
            </w:r>
            <w:r>
              <w:rPr>
                <w:rFonts w:cs="方正仿宋简体"/>
                <w:color w:val="000000"/>
                <w:sz w:val="24"/>
              </w:rPr>
              <w:t xml:space="preserve">AA、AAA级信用企业</w:t>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社会公共信用</w:t>
            </w:r>
            <w:r>
              <w:rPr>
                <w:rFonts w:cs="方正仿宋简体"/>
                <w:color w:val="000000"/>
                <w:sz w:val="24"/>
              </w:rPr>
            </w:r>
            <w:r/>
          </w:p>
        </w:tc>
        <w:tc>
          <w:tcPr>
            <w:tcW w:w="2168" w:type="dxa"/>
            <w:vAlign w:val="center"/>
            <w:textDirection w:val="lrTb"/>
            <w:noWrap w:val="false"/>
          </w:tcPr>
          <w:p>
            <w:pPr>
              <w:pStyle w:val="698"/>
              <w:ind w:firstLine="960"/>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异常名录</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投诉举报</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严重违法失信</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204"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品牌与奖励</w:t>
            </w:r>
            <w:r>
              <w:rPr>
                <w:rFonts w:cs="方正仿宋简体"/>
                <w:color w:val="000000"/>
                <w:sz w:val="24"/>
              </w:rPr>
            </w:r>
            <w:r/>
          </w:p>
          <w:p>
            <w:pPr>
              <w:pStyle w:val="698"/>
              <w:jc w:val="center"/>
              <w:rPr>
                <w:rFonts w:cs="方正仿宋简体"/>
                <w:color w:val="000000"/>
                <w:sz w:val="24"/>
              </w:rPr>
            </w:pPr>
            <w:r>
              <w:rPr>
                <w:rFonts w:hint="eastAsia" w:cs="方正仿宋简体"/>
                <w:color w:val="000000"/>
                <w:sz w:val="24"/>
              </w:rPr>
              <w:t xml:space="preserve">    </w:t>
            </w: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中国质量奖</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省内各城市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全国质量奖</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省长质量奖</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省内各城市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品牌实验室中国</w:t>
            </w:r>
            <w:r>
              <w:rPr>
                <w:rFonts w:cs="方正仿宋简体"/>
                <w:color w:val="000000"/>
                <w:sz w:val="24"/>
              </w:rPr>
              <w:t xml:space="preserve">500强</w:t>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省内</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市长质量奖</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区长质量奖</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质量融资数据</w:t>
            </w:r>
            <w:r>
              <w:rPr>
                <w:rFonts w:cs="方正仿宋简体"/>
                <w:color w:val="000000"/>
                <w:sz w:val="24"/>
              </w:rPr>
            </w:r>
            <w:r/>
          </w:p>
        </w:tc>
        <w:tc>
          <w:tcPr>
            <w:tcW w:w="2168" w:type="dxa"/>
            <w:vAlign w:val="top"/>
            <w:textDirection w:val="lrTb"/>
            <w:noWrap w:val="false"/>
          </w:tcPr>
          <w:p>
            <w:pPr>
              <w:pStyle w:val="698"/>
              <w:ind w:firstLine="960"/>
              <w:rPr>
                <w:rFonts w:cs="方正仿宋简体"/>
                <w:color w:val="000000"/>
                <w:sz w:val="24"/>
              </w:rPr>
            </w:pPr>
            <w:r>
              <w:rPr>
                <w:rFonts w:hint="eastAsia" w:cs="方正仿宋简体"/>
                <w:color w:val="000000"/>
                <w:sz w:val="24"/>
              </w:rPr>
              <w:t xml:space="preserve">省内</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财富中国</w:t>
            </w:r>
            <w:r>
              <w:rPr>
                <w:rFonts w:cs="方正仿宋简体"/>
                <w:color w:val="000000"/>
                <w:sz w:val="24"/>
              </w:rPr>
              <w:t xml:space="preserve">500强企业</w:t>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江苏精品主体</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省内各城市</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独角兽、瞪羚企业、雏鹰企业目录</w:t>
            </w:r>
            <w:r>
              <w:rPr>
                <w:rFonts w:cs="方正仿宋简体"/>
                <w:color w:val="000000"/>
                <w:sz w:val="24"/>
              </w:rPr>
            </w:r>
            <w:r/>
          </w:p>
        </w:tc>
        <w:tc>
          <w:tcPr>
            <w:tcW w:w="2168" w:type="dxa"/>
            <w:vAlign w:val="center"/>
            <w:textDirection w:val="lrTb"/>
            <w:noWrap w:val="false"/>
          </w:tcPr>
          <w:p>
            <w:pPr>
              <w:pStyle w:val="698"/>
              <w:ind w:firstLine="960"/>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高新企业目录</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专精特新企业目录</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首席质量官</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规上企业</w:t>
            </w:r>
            <w:r>
              <w:rPr>
                <w:rFonts w:cs="方正仿宋简体"/>
                <w:color w:val="000000"/>
                <w:sz w:val="24"/>
              </w:rPr>
            </w:r>
            <w:r/>
          </w:p>
        </w:tc>
        <w:tc>
          <w:tcPr>
            <w:tcW w:w="2168" w:type="dxa"/>
            <w:vAlign w:val="top"/>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质量评价</w:t>
            </w: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制造合格率</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消费品合格率</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无锡</w:t>
            </w:r>
            <w:r>
              <w:rPr>
                <w:rFonts w:cs="方正仿宋简体"/>
                <w:color w:val="000000"/>
                <w:sz w:val="24"/>
              </w:rPr>
            </w:r>
            <w:r/>
          </w:p>
        </w:tc>
      </w:tr>
      <w:tr>
        <w:trPr>
          <w:cantSplit/>
          <w:trHeight w:val="476"/>
        </w:trPr>
        <w:tc>
          <w:tcPr>
            <w:tcW w:w="1204"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质量发展分析</w:t>
            </w: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国家标准化技术委员会秘书处比对</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长三角三省一市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国家级产品质量检验检测中心比对</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长三角三省一市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市场主体发布团体标准比对</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长三角各城市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市场主体获得认证证书比对</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长三角三省一市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消费品合格率比对</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长三角各城市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ISO/IEC国际标准组织对口单位 </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典型城市质量基础设施发展指数</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集成电路产业产量与产量占比情况</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ind w:firstLine="720"/>
              <w:rPr>
                <w:rFonts w:cs="方正仿宋简体"/>
                <w:color w:val="000000"/>
                <w:sz w:val="24"/>
              </w:rPr>
            </w:pPr>
            <w:r>
              <w:rPr>
                <w:rFonts w:hint="eastAsia" w:cs="方正仿宋简体"/>
                <w:color w:val="000000"/>
                <w:sz w:val="24"/>
              </w:rPr>
              <w:t xml:space="preserve">集成电路产业发展情况</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长三角三省一市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机动车安检与机械汽车领域检验检测机构比对</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长三角三省一市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检验检测机构数量</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经营主体参与I</w:t>
            </w:r>
            <w:r>
              <w:rPr>
                <w:rFonts w:cs="方正仿宋简体"/>
                <w:color w:val="000000"/>
                <w:sz w:val="24"/>
              </w:rPr>
              <w:t xml:space="preserve">SO</w:t>
            </w:r>
            <w:r>
              <w:rPr>
                <w:rFonts w:hint="eastAsia" w:cs="方正仿宋简体"/>
                <w:color w:val="000000"/>
                <w:sz w:val="24"/>
              </w:rPr>
              <w:t xml:space="preserve">/</w:t>
            </w:r>
            <w:r>
              <w:rPr>
                <w:rFonts w:cs="方正仿宋简体"/>
                <w:color w:val="000000"/>
                <w:sz w:val="24"/>
              </w:rPr>
              <w:t xml:space="preserve">IEC</w:t>
            </w:r>
            <w:r>
              <w:rPr>
                <w:rFonts w:hint="eastAsia" w:cs="方正仿宋简体"/>
                <w:color w:val="000000"/>
                <w:sz w:val="24"/>
              </w:rPr>
              <w:t xml:space="preserve">标准制修订企业数量</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长三角各城市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认证机构发放有效认证证书数量</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长三角核心城市</w:t>
            </w:r>
            <w:r>
              <w:rPr>
                <w:rFonts w:cs="方正仿宋简体"/>
                <w:color w:val="000000"/>
                <w:sz w:val="24"/>
              </w:rPr>
            </w:r>
            <w:r/>
          </w:p>
        </w:tc>
      </w:tr>
      <w:tr>
        <w:trPr>
          <w:cantSplit/>
          <w:trHeight w:val="476"/>
        </w:trPr>
        <w:tc>
          <w:tcPr>
            <w:tcW w:w="1204"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3382"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国家质检中心数量</w:t>
            </w:r>
            <w:r>
              <w:rPr>
                <w:rFonts w:cs="方正仿宋简体"/>
                <w:color w:val="000000"/>
                <w:sz w:val="24"/>
              </w:rPr>
            </w:r>
            <w:r/>
          </w:p>
        </w:tc>
        <w:tc>
          <w:tcPr>
            <w:tcW w:w="2168"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长三角各城市</w:t>
            </w:r>
            <w:r>
              <w:rPr>
                <w:rFonts w:cs="方正仿宋简体"/>
                <w:color w:val="000000"/>
                <w:sz w:val="24"/>
              </w:rPr>
            </w:r>
            <w:r/>
          </w:p>
        </w:tc>
      </w:tr>
    </w:tbl>
    <w:p>
      <w:pPr>
        <w:pStyle w:val="702"/>
        <w:numPr>
          <w:ilvl w:val="3"/>
          <w:numId w:val="21"/>
        </w:numPr>
        <w:ind w:left="0"/>
        <w:jc w:val="left"/>
        <w:spacing w:before="60" w:after="6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数据接入方式</w:t>
      </w:r>
      <w:r>
        <w:rPr>
          <w:rFonts w:ascii="宋体" w:hAnsi="宋体" w:eastAsia="宋体"/>
          <w:color w:val="000000"/>
        </w:rPr>
      </w:r>
      <w:r/>
    </w:p>
    <w:p>
      <w:pPr>
        <w:pStyle w:val="698"/>
        <w:rPr>
          <w:color w:val="000000"/>
          <w:sz w:val="24"/>
        </w:rPr>
      </w:pPr>
      <w:r>
        <w:rPr>
          <w:rFonts w:hint="eastAsia"/>
          <w:color w:val="000000"/>
          <w:sz w:val="24"/>
        </w:rPr>
        <w:t xml:space="preserve">质量大数据中心所需数据通过</w:t>
      </w:r>
      <w:r>
        <w:rPr>
          <w:color w:val="000000"/>
          <w:sz w:val="24"/>
        </w:rPr>
        <w:t xml:space="preserve">API</w:t>
      </w:r>
      <w:r>
        <w:rPr>
          <w:rFonts w:hint="eastAsia"/>
          <w:color w:val="000000"/>
          <w:sz w:val="24"/>
        </w:rPr>
        <w:t xml:space="preserve">接口、数据库视图、文件导入等方式实现对接。</w:t>
      </w:r>
      <w:r>
        <w:rPr>
          <w:color w:val="000000"/>
          <w:sz w:val="24"/>
        </w:rPr>
      </w:r>
      <w:r/>
    </w:p>
    <w:p>
      <w:pPr>
        <w:pStyle w:val="702"/>
        <w:numPr>
          <w:ilvl w:val="3"/>
          <w:numId w:val="21"/>
        </w:numPr>
        <w:ind w:left="0"/>
        <w:jc w:val="left"/>
        <w:spacing w:before="60" w:after="6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数据接入</w:t>
      </w:r>
      <w:r>
        <w:rPr>
          <w:rFonts w:hint="eastAsia" w:ascii="宋体" w:hAnsi="宋体" w:eastAsia="宋体"/>
          <w:color w:val="000000"/>
          <w:lang w:eastAsia="en-US"/>
        </w:rPr>
        <w:t xml:space="preserve">要求</w:t>
      </w:r>
      <w:r>
        <w:rPr>
          <w:rFonts w:ascii="宋体" w:hAnsi="宋体" w:eastAsia="宋体"/>
          <w:color w:val="000000"/>
        </w:rPr>
      </w:r>
      <w:r/>
    </w:p>
    <w:p>
      <w:pPr>
        <w:pStyle w:val="698"/>
        <w:rPr>
          <w:color w:val="000000"/>
          <w:sz w:val="24"/>
        </w:rPr>
      </w:pPr>
      <w:r>
        <w:rPr>
          <w:rFonts w:hint="eastAsia"/>
          <w:color w:val="000000"/>
          <w:sz w:val="24"/>
        </w:rPr>
        <w:t xml:space="preserve">本项目将与无锡市市场监管数据中台对接，通过数据库连接，每天定时通过数据表交换数据的方式实现相关数据的归集管理。专业机构的数据将以</w:t>
      </w:r>
      <w:r>
        <w:rPr>
          <w:color w:val="000000"/>
          <w:sz w:val="24"/>
        </w:rPr>
        <w:t xml:space="preserve">Excel的形式不定期导入到无锡市市场监管数据中台中进行清洗加工，每天定时与本项目进行交换。本项目产生的数据，每天定时交换给无锡市市场监管数据中台，实现双向互联互通。</w:t>
      </w:r>
      <w:r/>
    </w:p>
    <w:p>
      <w:pPr>
        <w:pStyle w:val="702"/>
        <w:numPr>
          <w:ilvl w:val="3"/>
          <w:numId w:val="21"/>
        </w:numPr>
        <w:ind w:left="0"/>
        <w:jc w:val="left"/>
        <w:spacing w:before="60" w:after="6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数据采集直报</w:t>
      </w:r>
      <w:r>
        <w:rPr>
          <w:rFonts w:ascii="宋体" w:hAnsi="宋体" w:eastAsia="宋体"/>
          <w:color w:val="000000"/>
        </w:rPr>
      </w:r>
      <w:r/>
    </w:p>
    <w:p>
      <w:pPr>
        <w:pStyle w:val="703"/>
        <w:numPr>
          <w:ilvl w:val="4"/>
          <w:numId w:val="21"/>
        </w:numPr>
        <w:ind w:left="0"/>
        <w:jc w:val="left"/>
        <w:keepLines/>
        <w:spacing w:before="20" w:after="20" w:line="360" w:lineRule="auto"/>
        <w:widowControl/>
        <w:tabs>
          <w:tab w:val="left" w:pos="560" w:leader="none"/>
        </w:tabs>
        <w:rPr>
          <w:rFonts w:hAnsi="宋体"/>
        </w:rPr>
      </w:pPr>
      <w:r>
        <w:rPr>
          <w:rFonts w:hint="eastAsia" w:hAnsi="宋体"/>
        </w:rPr>
        <w:t xml:space="preserve">采集资源范围</w:t>
      </w:r>
      <w:r>
        <w:rPr>
          <w:rFonts w:hAnsi="宋体"/>
        </w:rPr>
      </w:r>
      <w:r/>
    </w:p>
    <w:p>
      <w:pPr>
        <w:pStyle w:val="698"/>
        <w:rPr>
          <w:color w:val="000000"/>
          <w:sz w:val="24"/>
        </w:rPr>
      </w:pPr>
      <w:r>
        <w:rPr>
          <w:rFonts w:hint="eastAsia"/>
          <w:color w:val="000000"/>
          <w:sz w:val="24"/>
        </w:rPr>
        <w:t xml:space="preserve">质量大数据中心需要人工采集填报的资源目录为：产业计量测试中心机构和能力，国际、全国、省专业标准化技术委员会</w:t>
      </w:r>
      <w:r>
        <w:rPr>
          <w:color w:val="000000"/>
          <w:sz w:val="24"/>
        </w:rPr>
        <w:t xml:space="preserve">/分技术委员会/工作组</w:t>
      </w:r>
      <w:r>
        <w:rPr>
          <w:rFonts w:hint="eastAsia"/>
          <w:color w:val="000000"/>
          <w:sz w:val="24"/>
        </w:rPr>
        <w:t xml:space="preserve">，</w:t>
      </w:r>
      <w:r>
        <w:rPr>
          <w:color w:val="000000"/>
          <w:sz w:val="24"/>
        </w:rPr>
        <w:t xml:space="preserve">国家、省技术标准创新（基地）</w:t>
      </w:r>
      <w:r>
        <w:rPr>
          <w:rFonts w:hint="eastAsia"/>
          <w:color w:val="000000"/>
          <w:sz w:val="24"/>
        </w:rPr>
        <w:t xml:space="preserve">，</w:t>
      </w:r>
      <w:r>
        <w:rPr>
          <w:color w:val="000000"/>
          <w:sz w:val="24"/>
        </w:rPr>
        <w:t xml:space="preserve">主导、主持国际、国家、行业标准的企事业单位</w:t>
      </w:r>
      <w:r>
        <w:rPr>
          <w:rFonts w:hint="eastAsia"/>
          <w:color w:val="000000"/>
          <w:sz w:val="24"/>
        </w:rPr>
        <w:t xml:space="preserve">，</w:t>
      </w:r>
      <w:r>
        <w:rPr>
          <w:color w:val="000000"/>
          <w:sz w:val="24"/>
        </w:rPr>
        <w:t xml:space="preserve">国家、省标准创新贡献奖（组织、个人、项目）</w:t>
      </w:r>
      <w:r>
        <w:rPr>
          <w:rFonts w:hint="eastAsia"/>
          <w:color w:val="000000"/>
          <w:sz w:val="24"/>
        </w:rPr>
        <w:t xml:space="preserve">，</w:t>
      </w:r>
      <w:r>
        <w:rPr>
          <w:color w:val="000000"/>
          <w:sz w:val="24"/>
        </w:rPr>
        <w:t xml:space="preserve">省市地方标准企事业单位</w:t>
      </w:r>
      <w:r>
        <w:rPr>
          <w:rFonts w:hint="eastAsia"/>
          <w:color w:val="000000"/>
          <w:sz w:val="24"/>
        </w:rPr>
        <w:t xml:space="preserve">，</w:t>
      </w:r>
      <w:r>
        <w:rPr>
          <w:color w:val="000000"/>
          <w:sz w:val="24"/>
        </w:rPr>
        <w:t xml:space="preserve">国家、省标准试点项目</w:t>
      </w:r>
      <w:r>
        <w:rPr>
          <w:rFonts w:hint="eastAsia"/>
          <w:color w:val="000000"/>
          <w:sz w:val="24"/>
        </w:rPr>
        <w:t xml:space="preserve">，</w:t>
      </w:r>
      <w:r>
        <w:rPr>
          <w:color w:val="000000"/>
          <w:sz w:val="24"/>
        </w:rPr>
        <w:t xml:space="preserve">国家、省、市、区质量奖企业</w:t>
      </w:r>
      <w:r>
        <w:rPr>
          <w:rFonts w:hint="eastAsia"/>
          <w:color w:val="000000"/>
          <w:sz w:val="24"/>
        </w:rPr>
        <w:t xml:space="preserve">，</w:t>
      </w:r>
      <w:r>
        <w:rPr>
          <w:color w:val="000000"/>
          <w:sz w:val="24"/>
        </w:rPr>
        <w:t xml:space="preserve">江苏精品</w:t>
      </w:r>
      <w:r>
        <w:rPr>
          <w:rFonts w:hint="eastAsia"/>
          <w:color w:val="000000"/>
          <w:sz w:val="24"/>
        </w:rPr>
        <w:t xml:space="preserve">，</w:t>
      </w:r>
      <w:r>
        <w:rPr>
          <w:color w:val="000000"/>
          <w:sz w:val="24"/>
        </w:rPr>
        <w:t xml:space="preserve">首席质量官</w:t>
      </w:r>
      <w:r>
        <w:rPr>
          <w:rFonts w:hint="eastAsia"/>
          <w:color w:val="000000"/>
          <w:sz w:val="24"/>
        </w:rPr>
        <w:t xml:space="preserve">，</w:t>
      </w:r>
      <w:r>
        <w:rPr>
          <w:color w:val="000000"/>
          <w:sz w:val="24"/>
        </w:rPr>
        <w:t xml:space="preserve">知识产权服务机构</w:t>
      </w:r>
      <w:r>
        <w:rPr>
          <w:rFonts w:hint="eastAsia"/>
          <w:color w:val="000000"/>
          <w:sz w:val="24"/>
        </w:rPr>
        <w:t xml:space="preserve">，</w:t>
      </w:r>
      <w:r>
        <w:rPr>
          <w:color w:val="000000"/>
          <w:sz w:val="24"/>
        </w:rPr>
        <w:t xml:space="preserve">高价值专利中心</w:t>
      </w:r>
      <w:r>
        <w:rPr>
          <w:rFonts w:hint="eastAsia"/>
          <w:color w:val="000000"/>
          <w:sz w:val="24"/>
        </w:rPr>
        <w:t xml:space="preserve">，</w:t>
      </w:r>
      <w:r>
        <w:rPr>
          <w:color w:val="000000"/>
          <w:sz w:val="24"/>
        </w:rPr>
        <w:t xml:space="preserve">专利奖</w:t>
      </w:r>
      <w:r>
        <w:rPr>
          <w:rFonts w:hint="eastAsia"/>
          <w:color w:val="000000"/>
          <w:sz w:val="24"/>
        </w:rPr>
        <w:t xml:space="preserve">，</w:t>
      </w:r>
      <w:r>
        <w:rPr>
          <w:color w:val="000000"/>
          <w:sz w:val="24"/>
        </w:rPr>
        <w:t xml:space="preserve">知识产权贯标企业</w:t>
      </w:r>
      <w:r>
        <w:rPr>
          <w:rFonts w:hint="eastAsia"/>
          <w:color w:val="000000"/>
          <w:sz w:val="24"/>
        </w:rPr>
        <w:t xml:space="preserve">，</w:t>
      </w:r>
      <w:r>
        <w:rPr>
          <w:color w:val="000000"/>
          <w:sz w:val="24"/>
        </w:rPr>
        <w:t xml:space="preserve">地理标志</w:t>
      </w:r>
      <w:r>
        <w:rPr>
          <w:rFonts w:hint="eastAsia"/>
          <w:color w:val="000000"/>
          <w:sz w:val="24"/>
        </w:rPr>
        <w:t xml:space="preserve">，</w:t>
      </w:r>
      <w:r>
        <w:rPr>
          <w:color w:val="000000"/>
          <w:sz w:val="24"/>
        </w:rPr>
        <w:t xml:space="preserve">规上企业</w:t>
      </w:r>
      <w:r>
        <w:rPr>
          <w:rFonts w:hint="eastAsia"/>
          <w:color w:val="000000"/>
          <w:sz w:val="24"/>
        </w:rPr>
        <w:t xml:space="preserve">，</w:t>
      </w:r>
      <w:r>
        <w:rPr>
          <w:color w:val="000000"/>
          <w:sz w:val="24"/>
        </w:rPr>
        <w:t xml:space="preserve">高新技术企业</w:t>
      </w:r>
      <w:r>
        <w:rPr>
          <w:rFonts w:hint="eastAsia"/>
          <w:color w:val="000000"/>
          <w:sz w:val="24"/>
        </w:rPr>
        <w:t xml:space="preserve">，</w:t>
      </w:r>
      <w:r>
        <w:rPr>
          <w:color w:val="000000"/>
          <w:sz w:val="24"/>
        </w:rPr>
        <w:t xml:space="preserve">准独角兽、瞪羚企业</w:t>
      </w:r>
      <w:r>
        <w:rPr>
          <w:rFonts w:hint="eastAsia"/>
          <w:color w:val="000000"/>
          <w:sz w:val="24"/>
        </w:rPr>
        <w:t xml:space="preserve">，</w:t>
      </w:r>
      <w:r>
        <w:rPr>
          <w:color w:val="000000"/>
          <w:sz w:val="24"/>
        </w:rPr>
        <w:t xml:space="preserve">专精特新小巨人企业</w:t>
      </w:r>
      <w:r>
        <w:rPr>
          <w:rFonts w:hint="eastAsia"/>
          <w:color w:val="000000"/>
          <w:sz w:val="24"/>
        </w:rPr>
        <w:t xml:space="preserve">，</w:t>
      </w:r>
      <w:r>
        <w:rPr>
          <w:color w:val="000000"/>
          <w:sz w:val="24"/>
        </w:rPr>
        <w:t xml:space="preserve">国家标准题录</w:t>
      </w:r>
      <w:r>
        <w:rPr>
          <w:rFonts w:hint="eastAsia"/>
          <w:color w:val="000000"/>
          <w:sz w:val="24"/>
        </w:rPr>
        <w:t xml:space="preserve">，</w:t>
      </w:r>
      <w:r>
        <w:rPr>
          <w:color w:val="000000"/>
          <w:sz w:val="24"/>
        </w:rPr>
        <w:t xml:space="preserve">认证机构及发证情况</w:t>
      </w:r>
      <w:r>
        <w:rPr>
          <w:rFonts w:hint="eastAsia"/>
          <w:color w:val="000000"/>
          <w:sz w:val="24"/>
        </w:rPr>
        <w:t xml:space="preserve">，</w:t>
      </w:r>
      <w:r>
        <w:rPr>
          <w:color w:val="000000"/>
          <w:sz w:val="24"/>
        </w:rPr>
        <w:t xml:space="preserve">强制性产品认证</w:t>
      </w:r>
      <w:r>
        <w:rPr>
          <w:rFonts w:hint="eastAsia"/>
          <w:color w:val="000000"/>
          <w:sz w:val="24"/>
        </w:rPr>
        <w:t xml:space="preserve">，</w:t>
      </w:r>
      <w:r>
        <w:rPr>
          <w:color w:val="000000"/>
          <w:sz w:val="24"/>
        </w:rPr>
        <w:t xml:space="preserve">管理体系、产品、节能各类自愿</w:t>
      </w:r>
      <w:r>
        <w:rPr>
          <w:rFonts w:hint="eastAsia"/>
          <w:color w:val="000000"/>
          <w:sz w:val="24"/>
        </w:rPr>
        <w:t xml:space="preserve">性认证，制造业质量竞争力，消费品合格率，缺陷召回等。</w:t>
      </w:r>
      <w:r>
        <w:rPr>
          <w:color w:val="000000"/>
          <w:sz w:val="24"/>
        </w:rPr>
      </w:r>
      <w:r/>
    </w:p>
    <w:p>
      <w:pPr>
        <w:pStyle w:val="703"/>
        <w:numPr>
          <w:ilvl w:val="4"/>
          <w:numId w:val="21"/>
        </w:numPr>
        <w:ind w:left="0"/>
        <w:jc w:val="left"/>
        <w:keepLines/>
        <w:spacing w:before="20" w:after="20" w:line="360" w:lineRule="auto"/>
        <w:widowControl/>
        <w:tabs>
          <w:tab w:val="left" w:pos="560" w:leader="none"/>
        </w:tabs>
        <w:rPr>
          <w:rFonts w:hAnsi="宋体"/>
        </w:rPr>
      </w:pPr>
      <w:r>
        <w:rPr>
          <w:rFonts w:hint="eastAsia" w:hAnsi="宋体"/>
        </w:rPr>
        <w:t xml:space="preserve">表单在线填报</w:t>
      </w:r>
      <w:r>
        <w:rPr>
          <w:rFonts w:hAnsi="宋体"/>
        </w:rPr>
      </w:r>
      <w:r/>
    </w:p>
    <w:p>
      <w:pPr>
        <w:pStyle w:val="698"/>
        <w:rPr>
          <w:color w:val="000000"/>
          <w:sz w:val="24"/>
        </w:rPr>
      </w:pPr>
      <w:r>
        <w:rPr>
          <w:rFonts w:hint="eastAsia"/>
          <w:color w:val="000000"/>
          <w:sz w:val="24"/>
        </w:rPr>
        <w:t xml:space="preserve">通过提供灵活定制的填报表单，满足用户在线填报各类数据资源的需求。支持灵活定义填写指标、计算公式、表单填写样式、数据校验等功能。</w:t>
      </w:r>
      <w:r>
        <w:rPr>
          <w:color w:val="000000"/>
          <w:sz w:val="24"/>
        </w:rPr>
      </w:r>
      <w:r/>
    </w:p>
    <w:p>
      <w:pPr>
        <w:pStyle w:val="698"/>
        <w:rPr>
          <w:color w:val="000000"/>
          <w:sz w:val="24"/>
        </w:rPr>
      </w:pPr>
      <w:r>
        <w:rPr>
          <w:rFonts w:hint="eastAsia"/>
          <w:color w:val="000000"/>
          <w:sz w:val="24"/>
        </w:rPr>
        <w:t xml:space="preserve">通过指标填报的方式，可保证新增指标后，填报表单自动变化，且具有指标的相关属性，从而大幅提升业务维护指标、维护表单的便捷性。同时支持记录指标缓慢变化，可追溯指标历史变化。</w:t>
      </w:r>
      <w:r>
        <w:rPr>
          <w:color w:val="000000"/>
          <w:sz w:val="24"/>
        </w:rPr>
      </w:r>
      <w:r/>
    </w:p>
    <w:p>
      <w:pPr>
        <w:pStyle w:val="703"/>
        <w:numPr>
          <w:ilvl w:val="4"/>
          <w:numId w:val="21"/>
        </w:numPr>
        <w:ind w:left="0"/>
        <w:jc w:val="left"/>
        <w:keepLines/>
        <w:spacing w:before="20" w:after="20" w:line="360" w:lineRule="auto"/>
        <w:widowControl/>
        <w:tabs>
          <w:tab w:val="left" w:pos="560" w:leader="none"/>
        </w:tabs>
        <w:rPr>
          <w:rFonts w:hAnsi="宋体"/>
        </w:rPr>
      </w:pPr>
      <w:r>
        <w:rPr>
          <w:rFonts w:hint="eastAsia" w:hAnsi="宋体"/>
        </w:rPr>
        <w:t xml:space="preserve">Excel导入</w:t>
      </w:r>
      <w:r>
        <w:rPr>
          <w:rFonts w:hAnsi="宋体"/>
        </w:rPr>
      </w:r>
      <w:r/>
    </w:p>
    <w:p>
      <w:pPr>
        <w:pStyle w:val="698"/>
        <w:rPr>
          <w:color w:val="000000"/>
          <w:sz w:val="24"/>
        </w:rPr>
      </w:pPr>
      <w:r>
        <w:rPr>
          <w:rFonts w:hint="eastAsia"/>
          <w:color w:val="000000"/>
          <w:sz w:val="24"/>
        </w:rPr>
        <w:t xml:space="preserve">支持Excel数据的导入，即数据已经存在于Excel中，将采集的数据资源人工导入质量大数据平台并自动转换为符合规定的格式标准的数据，导入数据库中。</w:t>
      </w:r>
      <w:r>
        <w:rPr>
          <w:color w:val="000000"/>
          <w:sz w:val="24"/>
        </w:rPr>
      </w:r>
      <w:r/>
    </w:p>
    <w:p>
      <w:pPr>
        <w:pStyle w:val="702"/>
        <w:numPr>
          <w:ilvl w:val="3"/>
          <w:numId w:val="21"/>
        </w:numPr>
        <w:ind w:left="0"/>
        <w:jc w:val="left"/>
        <w:spacing w:before="60" w:after="6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年报，数据标签</w:t>
      </w:r>
      <w:r>
        <w:rPr>
          <w:rFonts w:ascii="宋体" w:hAnsi="宋体" w:eastAsia="宋体"/>
          <w:color w:val="000000"/>
        </w:rPr>
      </w:r>
      <w:r/>
    </w:p>
    <w:p>
      <w:pPr>
        <w:pStyle w:val="698"/>
        <w:rPr>
          <w:color w:val="000000"/>
          <w:sz w:val="24"/>
        </w:rPr>
      </w:pPr>
      <w:r>
        <w:rPr>
          <w:rFonts w:hint="eastAsia"/>
          <w:color w:val="000000"/>
          <w:sz w:val="24"/>
        </w:rPr>
        <w:t xml:space="preserve">通过多维度数据标签标识，满足个性化、标签化管理各类质量数据，以满足对质量主体等数据的分类要求等。</w:t>
      </w:r>
      <w:r>
        <w:rPr>
          <w:color w:val="000000"/>
          <w:sz w:val="24"/>
        </w:rPr>
      </w:r>
      <w:r/>
    </w:p>
    <w:p>
      <w:pPr>
        <w:pStyle w:val="702"/>
        <w:numPr>
          <w:ilvl w:val="3"/>
          <w:numId w:val="21"/>
        </w:numPr>
        <w:ind w:left="0"/>
        <w:jc w:val="left"/>
        <w:spacing w:before="60" w:after="60" w:line="360" w:lineRule="auto"/>
        <w:widowControl/>
        <w:tabs>
          <w:tab w:val="left" w:pos="560" w:leader="none"/>
        </w:tabs>
        <w:rPr>
          <w:rFonts w:ascii="宋体" w:hAnsi="宋体" w:eastAsia="宋体"/>
          <w:color w:val="000000"/>
        </w:rPr>
      </w:pPr>
      <w:r>
        <w:rPr>
          <w:rFonts w:hint="eastAsia" w:ascii="宋体" w:hAnsi="宋体" w:eastAsia="宋体"/>
          <w:color w:val="000000"/>
        </w:rPr>
        <w:t xml:space="preserve">数据资源目录</w:t>
      </w:r>
      <w:r>
        <w:rPr>
          <w:rFonts w:ascii="宋体" w:hAnsi="宋体" w:eastAsia="宋体"/>
          <w:color w:val="000000"/>
        </w:rPr>
      </w:r>
      <w:r/>
    </w:p>
    <w:p>
      <w:pPr>
        <w:pStyle w:val="698"/>
        <w:rPr>
          <w:color w:val="000000"/>
          <w:sz w:val="24"/>
        </w:rPr>
      </w:pPr>
      <w:r>
        <w:rPr>
          <w:rFonts w:hint="eastAsia"/>
          <w:color w:val="000000"/>
          <w:sz w:val="24"/>
        </w:rPr>
        <w:t xml:space="preserve">对无锡市市场监督管理局各类质量数据资源进行梳理后，通过数据资源的元数据描述，按照一定的业务分层分类方法进行的一种信息组织形式，用以描述各个数据资源的基本特征，以便于对各类数据资源进行检索、定位与获取。</w:t>
      </w:r>
      <w:r>
        <w:rPr>
          <w:color w:val="000000"/>
          <w:sz w:val="24"/>
        </w:rPr>
      </w:r>
      <w:r/>
    </w:p>
    <w:p>
      <w:pPr>
        <w:pStyle w:val="702"/>
        <w:numPr>
          <w:ilvl w:val="3"/>
          <w:numId w:val="21"/>
        </w:numPr>
        <w:ind w:left="0"/>
        <w:jc w:val="left"/>
        <w:spacing w:before="240" w:after="120" w:line="240" w:lineRule="auto"/>
        <w:widowControl/>
        <w:tabs>
          <w:tab w:val="left" w:pos="560" w:leader="none"/>
        </w:tabs>
        <w:rPr>
          <w:rFonts w:eastAsia="仿宋"/>
          <w:color w:val="000000"/>
        </w:rPr>
      </w:pPr>
      <w:r>
        <w:rPr>
          <w:rFonts w:hint="eastAsia"/>
          <w:color w:val="000000"/>
        </w:rPr>
        <w:t xml:space="preserve">数据应用方向</w:t>
      </w:r>
      <w:r>
        <w:rPr>
          <w:rFonts w:eastAsia="仿宋"/>
          <w:color w:val="000000"/>
        </w:rPr>
      </w:r>
      <w:r/>
    </w:p>
    <w:tbl>
      <w:tblPr>
        <w:tblW w:w="8208"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3"/>
        <w:gridCol w:w="4075"/>
        <w:gridCol w:w="2650"/>
      </w:tblGrid>
      <w:tr>
        <w:trPr>
          <w:trHeight w:val="476"/>
        </w:trPr>
        <w:tc>
          <w:tcPr>
            <w:tcW w:w="1483" w:type="dxa"/>
            <w:vAlign w:val="center"/>
            <w:textDirection w:val="lrTb"/>
            <w:noWrap w:val="false"/>
          </w:tcPr>
          <w:p>
            <w:pPr>
              <w:pStyle w:val="698"/>
              <w:jc w:val="center"/>
              <w:rPr>
                <w:rFonts w:cs="方正仿宋简体"/>
                <w:b/>
                <w:bCs/>
                <w:color w:val="000000"/>
                <w:sz w:val="24"/>
              </w:rPr>
            </w:pPr>
            <w:r>
              <w:rPr>
                <w:rFonts w:hint="eastAsia" w:cs="方正仿宋简体"/>
                <w:b/>
                <w:bCs/>
                <w:color w:val="000000"/>
                <w:sz w:val="24"/>
              </w:rPr>
              <w:t xml:space="preserve">主题</w:t>
            </w:r>
            <w:r>
              <w:rPr>
                <w:rFonts w:cs="方正仿宋简体"/>
                <w:b/>
                <w:bCs/>
                <w:color w:val="000000"/>
                <w:sz w:val="24"/>
              </w:rPr>
            </w:r>
            <w:r/>
          </w:p>
        </w:tc>
        <w:tc>
          <w:tcPr>
            <w:tcW w:w="4075" w:type="dxa"/>
            <w:vAlign w:val="center"/>
            <w:textDirection w:val="lrTb"/>
            <w:noWrap w:val="false"/>
          </w:tcPr>
          <w:p>
            <w:pPr>
              <w:pStyle w:val="698"/>
              <w:jc w:val="center"/>
              <w:rPr>
                <w:rFonts w:cs="方正仿宋简体"/>
                <w:b/>
                <w:bCs/>
                <w:color w:val="000000"/>
                <w:sz w:val="24"/>
              </w:rPr>
            </w:pPr>
            <w:r>
              <w:rPr>
                <w:rFonts w:hint="eastAsia" w:cs="方正仿宋简体"/>
                <w:b/>
                <w:bCs/>
                <w:color w:val="000000"/>
                <w:sz w:val="24"/>
              </w:rPr>
              <w:t xml:space="preserve">数据名称（数据资源类型）</w:t>
            </w:r>
            <w:r>
              <w:rPr>
                <w:rFonts w:cs="方正仿宋简体"/>
                <w:b/>
                <w:bCs/>
                <w:color w:val="000000"/>
                <w:sz w:val="24"/>
              </w:rPr>
            </w:r>
            <w:r/>
          </w:p>
        </w:tc>
        <w:tc>
          <w:tcPr>
            <w:tcW w:w="2650" w:type="dxa"/>
            <w:vAlign w:val="center"/>
            <w:textDirection w:val="lrTb"/>
            <w:noWrap w:val="false"/>
          </w:tcPr>
          <w:p>
            <w:pPr>
              <w:pStyle w:val="698"/>
              <w:jc w:val="center"/>
              <w:rPr>
                <w:rFonts w:cs="方正仿宋简体"/>
                <w:b/>
                <w:bCs/>
                <w:color w:val="000000"/>
                <w:sz w:val="24"/>
              </w:rPr>
            </w:pPr>
            <w:r>
              <w:rPr>
                <w:rFonts w:hint="eastAsia" w:cs="方正仿宋简体"/>
                <w:b/>
                <w:bCs/>
                <w:color w:val="000000"/>
                <w:sz w:val="24"/>
              </w:rPr>
              <w:t xml:space="preserve">数据应用方向</w:t>
            </w:r>
            <w:r>
              <w:rPr>
                <w:rFonts w:cs="方正仿宋简体"/>
                <w:b/>
                <w:bCs/>
                <w:color w:val="000000"/>
                <w:sz w:val="24"/>
              </w:rPr>
            </w:r>
            <w:r/>
          </w:p>
        </w:tc>
      </w:tr>
      <w:tr>
        <w:trPr>
          <w:cantSplit/>
          <w:trHeight w:val="476"/>
        </w:trPr>
        <w:tc>
          <w:tcPr>
            <w:tcW w:w="1483"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质量基础设施数据</w:t>
            </w: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全国社会公用计量标准</w:t>
            </w:r>
            <w:r>
              <w:rPr>
                <w:rFonts w:cs="方正仿宋简体"/>
                <w:color w:val="000000"/>
                <w:sz w:val="24"/>
              </w:rPr>
            </w:r>
            <w:r/>
          </w:p>
        </w:tc>
        <w:tc>
          <w:tcPr>
            <w:tcW w:w="2650"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掌握长三角各区域质量基础设施数据，分析各区域总体产能及体量。通过服务能力、创新能力、市场活力、服务效益等维度，综合评估各区域质量基础设施服务效能。找准无锡定位，进一步明确发展方向。</w:t>
            </w: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国家标准化技术委员会秘书处</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国家、省产业计量测试中心</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国家、省技术标准创新基地</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ISO/IEC 国际标准化组织的国内技术对口单位</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国家、省产品质量检验检测中心</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检验检测机构名录</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强制检定计量器具</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国际、全国、省专业标准化技术委员会/分技术委员会/工作组</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主导、主持和参与国际、国家、行业标准的企事业单位</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国家、行业标准题录</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国家、省标准创新贡献奖（组织、个人、项目）</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省市地方标准及企事业单位</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产品质量</w:t>
            </w: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国家监督抽检信息</w:t>
            </w:r>
            <w:r>
              <w:rPr>
                <w:rFonts w:cs="方正仿宋简体"/>
                <w:color w:val="000000"/>
                <w:sz w:val="24"/>
              </w:rPr>
            </w:r>
            <w:r/>
          </w:p>
        </w:tc>
        <w:tc>
          <w:tcPr>
            <w:tcW w:w="2650" w:type="dxa"/>
            <w:vAlign w:val="center"/>
            <w:vMerge w:val="restart"/>
            <w:textDirection w:val="lrTb"/>
            <w:noWrap w:val="false"/>
          </w:tcPr>
          <w:p>
            <w:pPr>
              <w:pStyle w:val="698"/>
              <w:jc w:val="left"/>
              <w:tabs>
                <w:tab w:val="center" w:pos="1277" w:leader="none"/>
                <w:tab w:val="right" w:pos="2434" w:leader="none"/>
              </w:tabs>
              <w:rPr>
                <w:rFonts w:cs="方正仿宋简体"/>
                <w:color w:val="000000"/>
                <w:sz w:val="24"/>
              </w:rPr>
            </w:pPr>
            <w:r>
              <w:rPr>
                <w:rFonts w:hint="eastAsia" w:cs="方正仿宋简体"/>
                <w:color w:val="000000"/>
                <w:sz w:val="24"/>
              </w:rPr>
              <w:t xml:space="preserve">比对各区域产品质量水平，揭示地区差异，研判行业质量趋势，侧面评估消费者满意度情况，分析重点监管领域，助力于产品质量的提升。</w:t>
            </w: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省抽检信息</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市抽检信息</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国内产品召回</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质量监管</w:t>
            </w: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市场主体登记注册数据</w:t>
            </w:r>
            <w:r>
              <w:rPr>
                <w:rFonts w:cs="方正仿宋简体"/>
                <w:color w:val="000000"/>
                <w:sz w:val="24"/>
              </w:rPr>
            </w:r>
            <w:r/>
          </w:p>
        </w:tc>
        <w:tc>
          <w:tcPr>
            <w:tcW w:w="2650" w:type="dxa"/>
            <w:vAlign w:val="center"/>
            <w:vMerge w:val="restart"/>
            <w:textDirection w:val="lrTb"/>
            <w:noWrap w:val="false"/>
          </w:tcPr>
          <w:p>
            <w:pPr>
              <w:pStyle w:val="698"/>
              <w:rPr>
                <w:rFonts w:cs="方正仿宋简体"/>
                <w:color w:val="000000"/>
                <w:sz w:val="24"/>
              </w:rPr>
            </w:pPr>
            <w:r>
              <w:rPr>
                <w:rFonts w:hint="eastAsia" w:cs="方正仿宋简体"/>
                <w:color w:val="000000"/>
                <w:sz w:val="24"/>
              </w:rPr>
              <w:t xml:space="preserve">形成长三角企业的质量“户口簿”,为监管工作提供信息化支撑，为信用分类分级监管工作提供基础，提高质量监管工作的精细度与靶向性。</w:t>
            </w: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认证机构证书</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检验检测机构证书</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检验检测机构能力</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工业产品生产许可证</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强制性产品认证</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质量管理体系认证企业</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绿色产品认证</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食用农产品认证</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认证从业人员</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不合格后处理数据</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网络交易监测记录</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行政处罚信息</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质量AA、AAA级信用企业</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社会公共信用</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异常名录</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投诉举报</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严重违法失信</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品牌与奖励</w:t>
            </w: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中国质量奖</w:t>
            </w:r>
            <w:r>
              <w:rPr>
                <w:rFonts w:cs="方正仿宋简体"/>
                <w:color w:val="000000"/>
                <w:sz w:val="24"/>
              </w:rPr>
            </w:r>
            <w:r/>
          </w:p>
        </w:tc>
        <w:tc>
          <w:tcPr>
            <w:tcW w:w="2650" w:type="dxa"/>
            <w:vAlign w:val="top"/>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以各类质量奖企业、龙头企业、质量人才信息为切入点，分析各区域具备竞争优势的产业、主体、人才，为优质主体的培育孵化工作提供目标，推动各行各业进步。</w:t>
            </w: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全国质量奖</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省长质量奖</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品牌实验室中国500强</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市长质量奖</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区长质量奖</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质量融资数据</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财富中国500强企业</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江苏精品主体</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独角兽、瞪羚企业、雏鹰企业目录</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高新企业目录</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专精特新企业目录</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首席质量官</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规上企业</w:t>
            </w:r>
            <w:r>
              <w:rPr>
                <w:rFonts w:cs="方正仿宋简体"/>
                <w:color w:val="000000"/>
                <w:sz w:val="24"/>
              </w:rPr>
            </w:r>
            <w:r/>
          </w:p>
        </w:tc>
        <w:tc>
          <w:tcPr>
            <w:tcW w:w="2650"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质量评价</w:t>
            </w: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制造合格率</w:t>
            </w:r>
            <w:r>
              <w:rPr>
                <w:rFonts w:cs="方正仿宋简体"/>
                <w:color w:val="000000"/>
                <w:sz w:val="24"/>
              </w:rPr>
            </w:r>
            <w:r/>
          </w:p>
        </w:tc>
        <w:tc>
          <w:tcPr>
            <w:tcW w:w="2650" w:type="dxa"/>
            <w:vAlign w:val="center"/>
            <w:vMerge w:val="restart"/>
            <w:textDirection w:val="lrTb"/>
            <w:noWrap w:val="false"/>
          </w:tcPr>
          <w:p>
            <w:pPr>
              <w:pStyle w:val="698"/>
              <w:jc w:val="left"/>
              <w:rPr>
                <w:rFonts w:cs="宋体"/>
                <w:color w:val="000000"/>
                <w:sz w:val="28"/>
              </w:rPr>
            </w:pPr>
            <w:r>
              <w:rPr>
                <w:rFonts w:hint="eastAsia"/>
                <w:color w:val="000000"/>
                <w:sz w:val="24"/>
              </w:rPr>
              <w:t xml:space="preserve">通过对</w:t>
            </w:r>
            <w:r>
              <w:rPr>
                <w:rFonts w:hint="eastAsia" w:ascii="宋体" w:hAnsi="宋体" w:cs="宋体"/>
                <w:color w:val="000000"/>
                <w:sz w:val="24"/>
              </w:rPr>
              <w:t xml:space="preserve">制造、</w:t>
            </w:r>
            <w:r>
              <w:rPr>
                <w:rFonts w:hint="eastAsia"/>
                <w:color w:val="000000"/>
                <w:sz w:val="24"/>
              </w:rPr>
              <w:t xml:space="preserve">消费品合格率的监测和分析，及时发现存在质量问题的产品和企业，采取相应的监管措施，防止不合格产品流入市场，保护消费者的权益</w:t>
            </w:r>
            <w:r>
              <w:rPr>
                <w:rFonts w:hint="eastAsia" w:ascii="宋体" w:hAnsi="宋体" w:cs="宋体"/>
                <w:color w:val="000000"/>
                <w:sz w:val="24"/>
              </w:rPr>
              <w:t xml:space="preserve">，</w:t>
            </w:r>
            <w:r>
              <w:rPr>
                <w:rFonts w:hint="eastAsia"/>
                <w:color w:val="000000"/>
                <w:sz w:val="24"/>
              </w:rPr>
              <w:t xml:space="preserve">减少消费者的投诉与</w:t>
            </w:r>
            <w:r>
              <w:rPr>
                <w:rFonts w:hint="eastAsia" w:ascii="宋体" w:hAnsi="宋体" w:cs="宋体"/>
                <w:color w:val="000000"/>
                <w:sz w:val="24"/>
              </w:rPr>
              <w:t xml:space="preserve">纠纷。</w:t>
            </w:r>
            <w:r>
              <w:rPr>
                <w:rFonts w:cs="宋体"/>
                <w:color w:val="000000"/>
                <w:sz w:val="28"/>
              </w:rPr>
            </w:r>
            <w:r/>
          </w:p>
        </w:tc>
      </w:tr>
      <w:tr>
        <w:trPr>
          <w:cantSplit/>
          <w:trHeight w:val="476"/>
        </w:trPr>
        <w:tc>
          <w:tcPr>
            <w:tcW w:w="1483"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消费品合格率</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center"/>
            <w:vMerge w:val="restart"/>
            <w:textDirection w:val="lrTb"/>
            <w:noWrap w:val="false"/>
          </w:tcPr>
          <w:p>
            <w:pPr>
              <w:pStyle w:val="698"/>
              <w:jc w:val="center"/>
              <w:rPr>
                <w:rFonts w:cs="方正仿宋简体"/>
                <w:color w:val="000000"/>
                <w:sz w:val="24"/>
              </w:rPr>
            </w:pPr>
            <w:r>
              <w:rPr>
                <w:rFonts w:hint="eastAsia" w:cs="方正仿宋简体"/>
                <w:color w:val="000000"/>
                <w:sz w:val="24"/>
              </w:rPr>
              <w:t xml:space="preserve">质量发展分析</w:t>
            </w:r>
            <w:r>
              <w:rPr>
                <w:rFonts w:cs="方正仿宋简体"/>
                <w:color w:val="000000"/>
                <w:sz w:val="24"/>
              </w:rPr>
            </w:r>
            <w:r/>
          </w:p>
        </w:tc>
        <w:tc>
          <w:tcPr>
            <w:tcW w:w="4075" w:type="dxa"/>
            <w:vAlign w:val="center"/>
            <w:textDirection w:val="lrTb"/>
            <w:noWrap w:val="false"/>
          </w:tcPr>
          <w:p>
            <w:pPr>
              <w:pStyle w:val="698"/>
              <w:jc w:val="center"/>
              <w:rPr>
                <w:rFonts w:ascii="宋体" w:hAnsi="宋体" w:cs="方正仿宋简体"/>
                <w:color w:val="000000"/>
                <w:sz w:val="24"/>
                <w:szCs w:val="24"/>
              </w:rPr>
            </w:pPr>
            <w:r>
              <w:rPr>
                <w:rFonts w:hint="eastAsia" w:cs="方正仿宋简体"/>
                <w:color w:val="000000"/>
                <w:sz w:val="24"/>
              </w:rPr>
              <w:t xml:space="preserve">三省一市拥有的国家标准化技术委员会秘书处比对</w:t>
            </w:r>
            <w:r>
              <w:rPr>
                <w:rFonts w:ascii="宋体" w:hAnsi="宋体" w:cs="方正仿宋简体"/>
                <w:color w:val="000000"/>
                <w:sz w:val="24"/>
                <w:szCs w:val="24"/>
              </w:rPr>
            </w:r>
            <w:r/>
          </w:p>
        </w:tc>
        <w:tc>
          <w:tcPr>
            <w:tcW w:w="2650" w:type="dxa"/>
            <w:vAlign w:val="center"/>
            <w:vMerge w:val="restart"/>
            <w:textDirection w:val="lrTb"/>
            <w:noWrap w:val="false"/>
          </w:tcPr>
          <w:p>
            <w:pPr>
              <w:pStyle w:val="698"/>
              <w:rPr>
                <w:rFonts w:cs="方正仿宋简体"/>
                <w:color w:val="000000"/>
                <w:sz w:val="24"/>
              </w:rPr>
            </w:pPr>
            <w:r>
              <w:rPr>
                <w:rFonts w:cs="方正仿宋简体"/>
                <w:color w:val="000000"/>
                <w:sz w:val="24"/>
              </w:rPr>
              <w:t xml:space="preserve">分析比对长三角三省一市质量基础设施的发展状况，深入了解各区域在质量保障、技术创新、标准化建设等方面的实力和水平，研判各区域质量发展的优势和短板，挖掘各区域质量发展的共同点和差异点，为加强区域间的合作与交流提供有益参考</w:t>
            </w:r>
            <w:r>
              <w:rPr>
                <w:rFonts w:hint="eastAsia" w:cs="方正仿宋简体"/>
                <w:color w:val="000000"/>
                <w:sz w:val="24"/>
              </w:rPr>
              <w:t xml:space="preserve">，推动区域间资源共享、优势互补，实现共同发展</w:t>
            </w:r>
            <w:r>
              <w:rPr>
                <w:rFonts w:cs="方正仿宋简体"/>
                <w:color w:val="000000"/>
                <w:sz w:val="24"/>
              </w:rPr>
              <w:t xml:space="preserve">。</w:t>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ascii="宋体" w:hAnsi="宋体" w:cs="方正仿宋简体"/>
                <w:color w:val="000000"/>
                <w:sz w:val="24"/>
                <w:szCs w:val="24"/>
              </w:rPr>
            </w:pPr>
            <w:r>
              <w:rPr>
                <w:rFonts w:hint="eastAsia" w:cs="方正仿宋简体"/>
                <w:color w:val="000000"/>
                <w:sz w:val="24"/>
              </w:rPr>
              <w:t xml:space="preserve">三省一市拥有的国家级产品质量检验检测中心比对</w:t>
            </w:r>
            <w:r>
              <w:rPr>
                <w:rFonts w:ascii="宋体" w:hAnsi="宋体" w:cs="方正仿宋简体"/>
                <w:color w:val="000000"/>
                <w:sz w:val="24"/>
                <w:szCs w:val="24"/>
              </w:rPr>
            </w:r>
            <w:r/>
          </w:p>
        </w:tc>
        <w:tc>
          <w:tcPr>
            <w:tcW w:w="2650" w:type="dxa"/>
            <w:vAlign w:val="center"/>
            <w:vMerge w:val="continue"/>
            <w:textDirection w:val="lrTb"/>
            <w:noWrap w:val="false"/>
          </w:tcPr>
          <w:p>
            <w:pPr>
              <w:pStyle w:val="698"/>
              <w:jc w:val="center"/>
              <w:rPr>
                <w:rFonts w:ascii="宋体" w:hAnsi="宋体" w:cs="方正仿宋简体"/>
                <w:color w:val="000000"/>
                <w:sz w:val="24"/>
                <w:szCs w:val="24"/>
              </w:rPr>
            </w:pPr>
            <w:r>
              <w:rPr>
                <w:rFonts w:ascii="宋体" w:hAnsi="宋体" w:cs="方正仿宋简体"/>
                <w:color w:val="000000"/>
                <w:sz w:val="24"/>
                <w:szCs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ascii="宋体" w:hAnsi="宋体" w:cs="方正仿宋简体"/>
                <w:color w:val="000000"/>
                <w:sz w:val="24"/>
                <w:szCs w:val="24"/>
              </w:rPr>
            </w:pPr>
            <w:r>
              <w:rPr>
                <w:rFonts w:hint="eastAsia" w:cs="方正仿宋简体"/>
                <w:color w:val="000000"/>
                <w:sz w:val="24"/>
              </w:rPr>
              <w:t xml:space="preserve">三省一市市场主体发布团体标准比对</w:t>
            </w:r>
            <w:r>
              <w:rPr>
                <w:rFonts w:ascii="宋体" w:hAnsi="宋体" w:cs="方正仿宋简体"/>
                <w:color w:val="000000"/>
                <w:sz w:val="24"/>
                <w:szCs w:val="24"/>
              </w:rPr>
            </w:r>
            <w:r/>
          </w:p>
        </w:tc>
        <w:tc>
          <w:tcPr>
            <w:tcW w:w="2650" w:type="dxa"/>
            <w:vAlign w:val="center"/>
            <w:vMerge w:val="continue"/>
            <w:textDirection w:val="lrTb"/>
            <w:noWrap w:val="false"/>
          </w:tcPr>
          <w:p>
            <w:pPr>
              <w:pStyle w:val="698"/>
              <w:jc w:val="center"/>
              <w:rPr>
                <w:rFonts w:ascii="宋体" w:hAnsi="宋体" w:cs="方正仿宋简体"/>
                <w:color w:val="000000"/>
                <w:sz w:val="24"/>
                <w:szCs w:val="24"/>
              </w:rPr>
            </w:pPr>
            <w:r>
              <w:rPr>
                <w:rFonts w:ascii="宋体" w:hAnsi="宋体" w:cs="方正仿宋简体"/>
                <w:color w:val="000000"/>
                <w:sz w:val="24"/>
                <w:szCs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ascii="宋体" w:hAnsi="宋体" w:cs="方正仿宋简体"/>
                <w:color w:val="000000"/>
                <w:sz w:val="24"/>
                <w:szCs w:val="24"/>
              </w:rPr>
            </w:pPr>
            <w:r>
              <w:rPr>
                <w:rFonts w:hint="eastAsia" w:cs="方正仿宋简体"/>
                <w:color w:val="000000"/>
                <w:sz w:val="24"/>
              </w:rPr>
              <w:t xml:space="preserve">三省一市市场主体获得认证证书比对</w:t>
            </w:r>
            <w:r>
              <w:rPr>
                <w:rFonts w:ascii="宋体" w:hAnsi="宋体" w:cs="方正仿宋简体"/>
                <w:color w:val="000000"/>
                <w:sz w:val="24"/>
                <w:szCs w:val="24"/>
              </w:rPr>
            </w:r>
            <w:r/>
          </w:p>
        </w:tc>
        <w:tc>
          <w:tcPr>
            <w:tcW w:w="2650" w:type="dxa"/>
            <w:vAlign w:val="center"/>
            <w:vMerge w:val="continue"/>
            <w:textDirection w:val="lrTb"/>
            <w:noWrap w:val="false"/>
          </w:tcPr>
          <w:p>
            <w:pPr>
              <w:pStyle w:val="698"/>
              <w:jc w:val="center"/>
              <w:rPr>
                <w:rFonts w:ascii="宋体" w:hAnsi="宋体" w:cs="方正仿宋简体"/>
                <w:color w:val="000000"/>
                <w:sz w:val="24"/>
                <w:szCs w:val="24"/>
              </w:rPr>
            </w:pPr>
            <w:r>
              <w:rPr>
                <w:rFonts w:ascii="宋体" w:hAnsi="宋体" w:cs="方正仿宋简体"/>
                <w:color w:val="000000"/>
                <w:sz w:val="24"/>
                <w:szCs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ascii="宋体" w:hAnsi="宋体" w:cs="方正仿宋简体"/>
                <w:color w:val="000000"/>
                <w:sz w:val="24"/>
                <w:szCs w:val="24"/>
              </w:rPr>
            </w:pPr>
            <w:r>
              <w:rPr>
                <w:rFonts w:hint="eastAsia" w:cs="方正仿宋简体"/>
                <w:color w:val="000000"/>
                <w:sz w:val="24"/>
              </w:rPr>
              <w:t xml:space="preserve">三省一市消费品合格率比对</w:t>
            </w:r>
            <w:r>
              <w:rPr>
                <w:rFonts w:ascii="宋体" w:hAnsi="宋体" w:cs="方正仿宋简体"/>
                <w:color w:val="000000"/>
                <w:sz w:val="24"/>
                <w:szCs w:val="24"/>
              </w:rPr>
            </w:r>
            <w:r/>
          </w:p>
        </w:tc>
        <w:tc>
          <w:tcPr>
            <w:tcW w:w="2650" w:type="dxa"/>
            <w:vAlign w:val="center"/>
            <w:vMerge w:val="continue"/>
            <w:textDirection w:val="lrTb"/>
            <w:noWrap w:val="false"/>
          </w:tcPr>
          <w:p>
            <w:pPr>
              <w:pStyle w:val="698"/>
              <w:jc w:val="center"/>
              <w:rPr>
                <w:rFonts w:ascii="宋体" w:hAnsi="宋体" w:cs="方正仿宋简体"/>
                <w:color w:val="000000"/>
                <w:sz w:val="24"/>
                <w:szCs w:val="24"/>
              </w:rPr>
            </w:pPr>
            <w:r>
              <w:rPr>
                <w:rFonts w:ascii="宋体" w:hAnsi="宋体" w:cs="方正仿宋简体"/>
                <w:color w:val="000000"/>
                <w:sz w:val="24"/>
                <w:szCs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ISO/IEC国际标准组织对口单位 </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典型城市质量基础设施发展指数</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集成电路产业产量与产量占比情况</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三省一市集成电路产业发展情况</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r>
        <w:trPr>
          <w:cantSplit/>
          <w:trHeight w:val="476"/>
        </w:trPr>
        <w:tc>
          <w:tcPr>
            <w:tcW w:w="1483" w:type="dxa"/>
            <w:vAlign w:val="top"/>
            <w:vMerge w:val="continue"/>
            <w:textDirection w:val="lrTb"/>
            <w:noWrap w:val="false"/>
          </w:tcPr>
          <w:p>
            <w:pPr>
              <w:pStyle w:val="698"/>
              <w:jc w:val="center"/>
              <w:rPr>
                <w:rFonts w:cs="方正仿宋简体"/>
                <w:color w:val="000000"/>
                <w:sz w:val="24"/>
              </w:rPr>
            </w:pPr>
            <w:r>
              <w:rPr>
                <w:rFonts w:cs="方正仿宋简体"/>
                <w:color w:val="000000"/>
                <w:sz w:val="24"/>
              </w:rPr>
            </w:r>
            <w:r/>
          </w:p>
        </w:tc>
        <w:tc>
          <w:tcPr>
            <w:tcW w:w="4075" w:type="dxa"/>
            <w:vAlign w:val="center"/>
            <w:textDirection w:val="lrTb"/>
            <w:noWrap w:val="false"/>
          </w:tcPr>
          <w:p>
            <w:pPr>
              <w:pStyle w:val="698"/>
              <w:jc w:val="center"/>
              <w:rPr>
                <w:rFonts w:cs="方正仿宋简体"/>
                <w:color w:val="000000"/>
                <w:sz w:val="24"/>
              </w:rPr>
            </w:pPr>
            <w:r>
              <w:rPr>
                <w:rFonts w:hint="eastAsia" w:cs="方正仿宋简体"/>
                <w:color w:val="000000"/>
                <w:sz w:val="24"/>
              </w:rPr>
              <w:t xml:space="preserve">三省一市机动车安检与机械汽车领域检验检测机构比对</w:t>
            </w:r>
            <w:r>
              <w:rPr>
                <w:rFonts w:cs="方正仿宋简体"/>
                <w:color w:val="000000"/>
                <w:sz w:val="24"/>
              </w:rPr>
            </w:r>
            <w:r/>
          </w:p>
        </w:tc>
        <w:tc>
          <w:tcPr>
            <w:tcW w:w="2650" w:type="dxa"/>
            <w:vAlign w:val="center"/>
            <w:vMerge w:val="continue"/>
            <w:textDirection w:val="lrTb"/>
            <w:noWrap w:val="false"/>
          </w:tcPr>
          <w:p>
            <w:pPr>
              <w:pStyle w:val="698"/>
              <w:jc w:val="center"/>
              <w:rPr>
                <w:rFonts w:cs="方正仿宋简体"/>
                <w:color w:val="000000"/>
                <w:sz w:val="24"/>
              </w:rPr>
            </w:pPr>
            <w:r>
              <w:rPr>
                <w:rFonts w:cs="方正仿宋简体"/>
                <w:color w:val="000000"/>
                <w:sz w:val="24"/>
              </w:rPr>
            </w:r>
            <w:r/>
          </w:p>
        </w:tc>
      </w:tr>
    </w:tbl>
    <w:p>
      <w:pPr>
        <w:pStyle w:val="698"/>
        <w:rPr>
          <w:color w:val="000000"/>
        </w:rPr>
      </w:pPr>
      <w:r>
        <w:rPr>
          <w:color w:val="000000"/>
        </w:rPr>
      </w:r>
      <w:r/>
    </w:p>
    <w:p>
      <w:pPr>
        <w:pStyle w:val="701"/>
        <w:numPr>
          <w:ilvl w:val="2"/>
          <w:numId w:val="21"/>
        </w:numPr>
        <w:ind w:left="720"/>
        <w:jc w:val="left"/>
        <w:spacing w:before="240" w:after="0" w:line="360" w:lineRule="auto"/>
        <w:widowControl/>
        <w:tabs>
          <w:tab w:val="left" w:pos="425" w:leader="none"/>
          <w:tab w:val="left" w:pos="560" w:leader="none"/>
        </w:tabs>
        <w:rPr>
          <w:rFonts w:ascii="仿宋" w:hAnsi="仿宋" w:eastAsia="仿宋"/>
          <w:color w:val="000000"/>
        </w:rPr>
      </w:pPr>
      <w:r>
        <w:rPr>
          <w:rFonts w:hint="eastAsia" w:ascii="仿宋" w:hAnsi="仿宋" w:eastAsia="仿宋"/>
          <w:color w:val="000000"/>
        </w:rPr>
        <w:t xml:space="preserve">一屏观质量</w:t>
      </w:r>
      <w:bookmarkEnd w:id="200"/>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汇集无锡市各地区各维度质量数据，构建质量指标体系，监测质量水平，对比评价区域质量状况。分为无锡市市域级和区域级两部分，每个版块包含核心指标和关键数据统计结果，并支持县区版块切换展示。</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无锡市质量一览</w:t>
      </w:r>
      <w:r>
        <w:rPr>
          <w:rFonts w:ascii="仿宋" w:hAnsi="仿宋" w:eastAsia="仿宋"/>
          <w:color w:val="000000"/>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业务内容</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结合无锡市特点构建核心指标，一张图反映市场监管所有业务的情况，覆盖质量发展、质量监管、质量基础、质量画像、质量标杆和质量惠企等板块，并支持进一步下钻展示各县区情况。</w:t>
      </w:r>
      <w:r>
        <w:rPr>
          <w:rFonts w:ascii="宋体"/>
          <w:bCs/>
          <w:color w:val="000000"/>
          <w:sz w:val="24"/>
          <w:szCs w:val="24"/>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数据模型开发</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建立无锡质量一览数据模型的开发与配置维护规范，基于无锡质量数据进行二次数据开发，建立无锡市质量模型，展示全无锡的质量基础设施数据、产品监管数据、质量监管、质量品牌和质量评价等质量情况，按照行政区划展示和对比无锡市各区县QI发展指数、消费品合格率、抽查情况、抽查合格率、品牌实验室中国500强、财富500强、专精特新企业、独角兽企业、高新企业等指标并对各区县进行排名，帮助各区县取长补短，增强无锡市各区县质量竞争力，提高无锡整体竞争力。</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需主要包含以下内容：</w:t>
      </w:r>
      <w:r>
        <w:rPr>
          <w:rFonts w:ascii="宋体"/>
          <w:bCs/>
          <w:color w:val="000000"/>
          <w:sz w:val="24"/>
          <w:szCs w:val="24"/>
        </w:rPr>
      </w:r>
      <w:r/>
    </w:p>
    <w:p>
      <w:pPr>
        <w:pStyle w:val="704"/>
        <w:numPr>
          <w:ilvl w:val="0"/>
          <w:numId w:val="23"/>
        </w:numPr>
        <w:jc w:val="left"/>
        <w:spacing w:before="0" w:after="0" w:line="360" w:lineRule="auto"/>
        <w:widowControl/>
        <w:rPr>
          <w:rFonts w:ascii="仿宋" w:hAnsi="仿宋" w:eastAsia="仿宋" w:cs="仿宋"/>
          <w:b w:val="0"/>
          <w:bCs w:val="0"/>
          <w:color w:val="000000"/>
          <w:sz w:val="28"/>
          <w:szCs w:val="28"/>
          <w:lang w:eastAsia="zh-TW"/>
        </w:rPr>
      </w:pPr>
      <w:r>
        <w:rPr>
          <w:rFonts w:hint="eastAsia" w:ascii="仿宋" w:hAnsi="仿宋" w:eastAsia="仿宋" w:cs="仿宋"/>
          <w:b w:val="0"/>
          <w:color w:val="000000"/>
          <w:sz w:val="28"/>
          <w:szCs w:val="28"/>
          <w:lang w:eastAsia="zh-TW"/>
        </w:rPr>
        <w:t xml:space="preserve">无锡市质量基础设施数据</w:t>
      </w:r>
      <w:r>
        <w:rPr>
          <w:rFonts w:ascii="仿宋" w:hAnsi="仿宋" w:eastAsia="仿宋" w:cs="仿宋"/>
          <w:b w:val="0"/>
          <w:bCs w:val="0"/>
          <w:color w:val="000000"/>
          <w:sz w:val="28"/>
          <w:szCs w:val="28"/>
          <w:lang w:eastAsia="zh-TW"/>
        </w:rPr>
      </w:r>
      <w:r/>
    </w:p>
    <w:p>
      <w:pPr>
        <w:pStyle w:val="704"/>
        <w:numPr>
          <w:ilvl w:val="0"/>
          <w:numId w:val="23"/>
        </w:numPr>
        <w:jc w:val="left"/>
        <w:spacing w:before="0" w:after="0" w:line="360" w:lineRule="auto"/>
        <w:widowControl/>
        <w:rPr>
          <w:rFonts w:ascii="仿宋" w:hAnsi="仿宋" w:eastAsia="仿宋" w:cs="仿宋"/>
          <w:b w:val="0"/>
          <w:bCs w:val="0"/>
          <w:color w:val="000000"/>
          <w:sz w:val="28"/>
          <w:szCs w:val="28"/>
          <w:lang w:eastAsia="zh-TW"/>
        </w:rPr>
      </w:pPr>
      <w:r>
        <w:rPr>
          <w:rFonts w:hint="eastAsia" w:ascii="仿宋" w:hAnsi="仿宋" w:eastAsia="仿宋" w:cs="仿宋"/>
          <w:b w:val="0"/>
          <w:color w:val="000000"/>
          <w:sz w:val="28"/>
          <w:szCs w:val="28"/>
          <w:lang w:eastAsia="zh-TW"/>
        </w:rPr>
        <w:t xml:space="preserve">无锡市产品监管数据</w:t>
      </w:r>
      <w:r>
        <w:rPr>
          <w:rFonts w:ascii="仿宋" w:hAnsi="仿宋" w:eastAsia="仿宋" w:cs="仿宋"/>
          <w:b w:val="0"/>
          <w:bCs w:val="0"/>
          <w:color w:val="000000"/>
          <w:sz w:val="28"/>
          <w:szCs w:val="28"/>
          <w:lang w:eastAsia="zh-TW"/>
        </w:rPr>
      </w:r>
      <w:r/>
    </w:p>
    <w:p>
      <w:pPr>
        <w:pStyle w:val="704"/>
        <w:numPr>
          <w:ilvl w:val="0"/>
          <w:numId w:val="23"/>
        </w:numPr>
        <w:jc w:val="left"/>
        <w:spacing w:before="0" w:after="0" w:line="360" w:lineRule="auto"/>
        <w:widowControl/>
        <w:rPr>
          <w:rFonts w:ascii="仿宋" w:hAnsi="仿宋" w:eastAsia="仿宋" w:cs="仿宋"/>
          <w:b w:val="0"/>
          <w:bCs w:val="0"/>
          <w:color w:val="000000"/>
          <w:sz w:val="28"/>
          <w:szCs w:val="28"/>
          <w:lang w:eastAsia="zh-TW"/>
        </w:rPr>
      </w:pPr>
      <w:r>
        <w:rPr>
          <w:rFonts w:hint="eastAsia" w:ascii="仿宋" w:hAnsi="仿宋" w:eastAsia="仿宋" w:cs="仿宋"/>
          <w:b w:val="0"/>
          <w:color w:val="000000"/>
          <w:sz w:val="28"/>
          <w:szCs w:val="28"/>
          <w:lang w:eastAsia="zh-TW"/>
        </w:rPr>
        <w:t xml:space="preserve">无锡市质量监管数据</w:t>
      </w:r>
      <w:r>
        <w:rPr>
          <w:rFonts w:ascii="仿宋" w:hAnsi="仿宋" w:eastAsia="仿宋" w:cs="仿宋"/>
          <w:b w:val="0"/>
          <w:bCs w:val="0"/>
          <w:color w:val="000000"/>
          <w:sz w:val="28"/>
          <w:szCs w:val="28"/>
          <w:lang w:eastAsia="zh-TW"/>
        </w:rPr>
      </w:r>
      <w:r/>
    </w:p>
    <w:p>
      <w:pPr>
        <w:pStyle w:val="704"/>
        <w:numPr>
          <w:ilvl w:val="0"/>
          <w:numId w:val="23"/>
        </w:numPr>
        <w:jc w:val="left"/>
        <w:spacing w:before="0" w:after="0" w:line="360" w:lineRule="auto"/>
        <w:widowControl/>
        <w:rPr>
          <w:rFonts w:ascii="仿宋" w:hAnsi="仿宋" w:eastAsia="仿宋" w:cs="仿宋"/>
          <w:b w:val="0"/>
          <w:bCs w:val="0"/>
          <w:color w:val="000000"/>
          <w:sz w:val="28"/>
          <w:szCs w:val="28"/>
          <w:lang w:eastAsia="zh-TW"/>
        </w:rPr>
      </w:pPr>
      <w:r>
        <w:rPr>
          <w:rFonts w:hint="eastAsia" w:ascii="仿宋" w:hAnsi="仿宋" w:eastAsia="仿宋" w:cs="仿宋"/>
          <w:b w:val="0"/>
          <w:color w:val="000000"/>
          <w:sz w:val="28"/>
          <w:szCs w:val="28"/>
          <w:lang w:eastAsia="zh-TW"/>
        </w:rPr>
        <w:t xml:space="preserve">无锡市质量品牌数据</w:t>
      </w:r>
      <w:r>
        <w:rPr>
          <w:rFonts w:ascii="仿宋" w:hAnsi="仿宋" w:eastAsia="仿宋" w:cs="仿宋"/>
          <w:b w:val="0"/>
          <w:bCs w:val="0"/>
          <w:color w:val="000000"/>
          <w:sz w:val="28"/>
          <w:szCs w:val="28"/>
          <w:lang w:eastAsia="zh-TW"/>
        </w:rPr>
      </w:r>
      <w:r/>
    </w:p>
    <w:p>
      <w:pPr>
        <w:pStyle w:val="704"/>
        <w:numPr>
          <w:ilvl w:val="0"/>
          <w:numId w:val="23"/>
        </w:numPr>
        <w:jc w:val="left"/>
        <w:spacing w:before="0" w:after="0" w:line="360" w:lineRule="auto"/>
        <w:widowControl/>
        <w:rPr>
          <w:rFonts w:ascii="仿宋" w:hAnsi="仿宋" w:eastAsia="仿宋" w:cs="仿宋"/>
          <w:b w:val="0"/>
          <w:bCs w:val="0"/>
          <w:color w:val="000000"/>
          <w:sz w:val="28"/>
          <w:szCs w:val="28"/>
          <w:lang w:eastAsia="zh-TW"/>
        </w:rPr>
      </w:pPr>
      <w:r>
        <w:rPr>
          <w:rFonts w:hint="eastAsia" w:ascii="仿宋" w:hAnsi="仿宋" w:eastAsia="仿宋" w:cs="仿宋"/>
          <w:b w:val="0"/>
          <w:color w:val="000000"/>
          <w:sz w:val="28"/>
          <w:szCs w:val="28"/>
          <w:lang w:eastAsia="zh-TW"/>
        </w:rPr>
        <w:t xml:space="preserve">无锡市质量评价</w:t>
      </w:r>
      <w:r>
        <w:rPr>
          <w:rFonts w:ascii="仿宋" w:hAnsi="仿宋" w:eastAsia="仿宋" w:cs="仿宋"/>
          <w:b w:val="0"/>
          <w:bCs w:val="0"/>
          <w:color w:val="000000"/>
          <w:sz w:val="28"/>
          <w:szCs w:val="28"/>
          <w:lang w:eastAsia="zh-TW"/>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功能开发</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需进行可视化展现，数据联动、数据清单、数据下钻、大屏导出、数据下钻、指标动效、大屏导出、地图等功能。</w:t>
      </w:r>
      <w:r>
        <w:rPr>
          <w:rFonts w:ascii="宋体"/>
          <w:bCs/>
          <w:color w:val="000000"/>
          <w:sz w:val="24"/>
          <w:szCs w:val="24"/>
        </w:rPr>
      </w:r>
      <w:r/>
    </w:p>
    <w:p>
      <w:pPr>
        <w:pStyle w:val="701"/>
        <w:numPr>
          <w:ilvl w:val="2"/>
          <w:numId w:val="21"/>
        </w:numPr>
        <w:ind w:left="720"/>
        <w:jc w:val="left"/>
        <w:spacing w:before="240" w:after="0" w:line="360" w:lineRule="auto"/>
        <w:widowControl/>
        <w:tabs>
          <w:tab w:val="left" w:pos="425" w:leader="none"/>
          <w:tab w:val="left" w:pos="560" w:leader="none"/>
        </w:tabs>
        <w:rPr>
          <w:rFonts w:ascii="仿宋" w:hAnsi="仿宋" w:eastAsia="仿宋"/>
          <w:color w:val="000000"/>
        </w:rPr>
      </w:pPr>
      <w:r/>
      <w:bookmarkStart w:id="206" w:name="_Toc31268"/>
      <w:r>
        <w:rPr>
          <w:rFonts w:hint="eastAsia" w:ascii="仿宋" w:hAnsi="仿宋" w:eastAsia="仿宋"/>
          <w:color w:val="000000"/>
        </w:rPr>
        <w:t xml:space="preserve">锡质安</w:t>
      </w:r>
      <w:bookmarkEnd w:id="206"/>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依托无锡城市APP“灵锡”和无锡市场监管法人服务门户网站提供面向企业的质量一站式服务应用，以服务企业质量基础业务需求为目标，归集市内外相关行业部门的质量基础设施和技术资源，构建跨部门、跨区域、跨体制、跨行业的基础质量技术服务综合体，从根本上解决企业质量技术服务资源信息不对称问题。</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电子营业执照身份认证</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与国家市场监督管理总局的企业电子营业执照应用进行对接，申请使用企业电子营业执照的统一身份认证服务，为无锡市企业主体登录访问提供身份认证服务，确保了法人主体身份的真实性、安全性。</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新闻资讯</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提供新闻资讯的发布、查阅服务，提供将一些质量领域相关的新闻资讯、工作动态发布到平台上，方便企业用户及时了解政府在质量领域最新的工作动态、工作方向，以及其他企业在质量领域的一些新的发展、突破，有助于指引企业提升自身质量水平，服务企业高质量发展。</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提供包括新闻资讯的新增、发布、下架、订阅、收藏等功能。</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政策法规</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面向企业，提供质量管理、检验检测、标准研制、质量方面的政策法规发布、查询、解读等功能服务，方便企业及时了解政府出台的质量领域最新的政策、法规。</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质量标杆</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质量标杆是以加快工业转型升级为导向，以企业为主体，由政府部门、行业协会、质量协会和有关质量机构共同开展的一项长期性质量活动。通过树立质量标杆，广泛开展学习交流活动，引导广大工业企业学习实践质量标杆的成功经验，持续提升企业管理和技术水平，增强竞争力。</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包含行业标杆动态、标杆名单、标杆案例、标杆视频等功能服务，发挥优秀企业的榜样带头作用，营造“树标杆、学标杆、超标杆”的质量改进氛围，持续提高无锡市工业企业的质量管理能力，提升产品和服务质量水平，加快工业企业转型升级。</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主体责任</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 主体责任安全联络员</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提供主体责任安全联络员设置功能，由主体自行上报信息，同时落实安全联络员的岗位职责。</w:t>
      </w:r>
      <w:r>
        <w:rPr>
          <w:rFonts w:ascii="宋体"/>
          <w:bCs/>
          <w:color w:val="000000"/>
          <w:sz w:val="24"/>
          <w:szCs w:val="24"/>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 质量自查</w:t>
      </w:r>
      <w:r>
        <w:rPr>
          <w:rFonts w:ascii="仿宋" w:hAnsi="仿宋" w:eastAsia="仿宋"/>
        </w:rPr>
      </w:r>
      <w:r/>
    </w:p>
    <w:p>
      <w:pPr>
        <w:pStyle w:val="704"/>
        <w:numPr>
          <w:ilvl w:val="5"/>
          <w:numId w:val="21"/>
        </w:numPr>
        <w:ind w:left="0" w:firstLine="0"/>
        <w:jc w:val="left"/>
        <w:spacing w:before="0" w:after="0" w:line="360" w:lineRule="auto"/>
        <w:widowControl/>
        <w:rPr>
          <w:rFonts w:ascii="仿宋" w:hAnsi="仿宋" w:eastAsia="仿宋"/>
          <w:color w:val="000000"/>
          <w:sz w:val="28"/>
          <w:szCs w:val="28"/>
          <w:lang w:eastAsia="zh-TW"/>
        </w:rPr>
      </w:pPr>
      <w:r>
        <w:rPr>
          <w:rFonts w:hint="eastAsia" w:ascii="仿宋" w:hAnsi="仿宋" w:eastAsia="仿宋"/>
          <w:color w:val="000000"/>
          <w:sz w:val="28"/>
          <w:szCs w:val="28"/>
          <w:lang w:eastAsia="zh-TW"/>
        </w:rPr>
        <w:t xml:space="preserve">日管控</w:t>
      </w:r>
      <w:r>
        <w:rPr>
          <w:rFonts w:ascii="仿宋" w:hAnsi="仿宋" w:eastAsia="仿宋"/>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提供企业日管控检查记录填报功能，由对应的主体责任安全联络员进行填报。</w:t>
      </w:r>
      <w:r>
        <w:rPr>
          <w:rFonts w:ascii="宋体"/>
          <w:bCs/>
          <w:color w:val="000000"/>
          <w:sz w:val="24"/>
          <w:szCs w:val="24"/>
        </w:rPr>
      </w:r>
      <w:r/>
    </w:p>
    <w:p>
      <w:pPr>
        <w:pStyle w:val="704"/>
        <w:numPr>
          <w:ilvl w:val="5"/>
          <w:numId w:val="21"/>
        </w:numPr>
        <w:ind w:left="0" w:firstLine="0"/>
        <w:jc w:val="left"/>
        <w:spacing w:before="0" w:after="0" w:line="360" w:lineRule="auto"/>
        <w:widowControl/>
        <w:rPr>
          <w:rFonts w:ascii="仿宋" w:hAnsi="仿宋" w:eastAsia="仿宋"/>
          <w:color w:val="000000"/>
          <w:sz w:val="28"/>
          <w:szCs w:val="28"/>
          <w:lang w:eastAsia="zh-TW"/>
        </w:rPr>
      </w:pPr>
      <w:r>
        <w:rPr>
          <w:rFonts w:hint="eastAsia" w:ascii="仿宋" w:hAnsi="仿宋" w:eastAsia="仿宋"/>
          <w:color w:val="000000"/>
          <w:sz w:val="28"/>
          <w:szCs w:val="28"/>
          <w:lang w:eastAsia="zh-TW"/>
        </w:rPr>
        <w:t xml:space="preserve">周排查</w:t>
      </w:r>
      <w:r>
        <w:rPr>
          <w:rFonts w:ascii="仿宋" w:hAnsi="仿宋" w:eastAsia="仿宋"/>
          <w:color w:val="000000"/>
          <w:sz w:val="28"/>
          <w:szCs w:val="28"/>
          <w:lang w:eastAsia="zh-TW"/>
        </w:rPr>
      </w:r>
      <w:r/>
    </w:p>
    <w:p>
      <w:pPr>
        <w:pStyle w:val="698"/>
        <w:ind w:firstLine="480"/>
        <w:rPr>
          <w:rFonts w:ascii="仿宋" w:hAnsi="仿宋" w:eastAsia="仿宋"/>
          <w:color w:val="000000"/>
          <w:sz w:val="28"/>
          <w:szCs w:val="28"/>
        </w:rPr>
      </w:pPr>
      <w:r>
        <w:rPr>
          <w:rFonts w:hint="eastAsia" w:ascii="宋体"/>
          <w:bCs/>
          <w:color w:val="000000"/>
          <w:sz w:val="24"/>
          <w:szCs w:val="24"/>
        </w:rPr>
        <w:t xml:space="preserve">由主体安全责任总监对每周的周排查工作进行整改汇报</w:t>
      </w:r>
      <w:r>
        <w:rPr>
          <w:rFonts w:hint="eastAsia" w:ascii="仿宋" w:hAnsi="仿宋"/>
          <w:color w:val="000000"/>
          <w:szCs w:val="28"/>
        </w:rPr>
        <w:t xml:space="preserve">。</w:t>
      </w:r>
      <w:r>
        <w:rPr>
          <w:rFonts w:ascii="仿宋" w:hAnsi="仿宋" w:eastAsia="仿宋"/>
          <w:color w:val="000000"/>
          <w:sz w:val="28"/>
          <w:szCs w:val="28"/>
        </w:rPr>
      </w:r>
      <w:r/>
    </w:p>
    <w:p>
      <w:pPr>
        <w:pStyle w:val="704"/>
        <w:numPr>
          <w:ilvl w:val="5"/>
          <w:numId w:val="21"/>
        </w:numPr>
        <w:ind w:left="0" w:firstLine="0"/>
        <w:jc w:val="left"/>
        <w:spacing w:before="0" w:after="0" w:line="360" w:lineRule="auto"/>
        <w:widowControl/>
        <w:rPr>
          <w:rFonts w:ascii="仿宋" w:hAnsi="仿宋" w:eastAsia="仿宋"/>
          <w:color w:val="000000"/>
          <w:sz w:val="28"/>
          <w:szCs w:val="28"/>
          <w:lang w:eastAsia="zh-TW"/>
        </w:rPr>
      </w:pPr>
      <w:r>
        <w:rPr>
          <w:rFonts w:hint="eastAsia" w:ascii="仿宋" w:hAnsi="仿宋" w:eastAsia="仿宋"/>
          <w:color w:val="000000"/>
          <w:sz w:val="28"/>
          <w:szCs w:val="28"/>
          <w:lang w:eastAsia="zh-TW"/>
        </w:rPr>
        <w:t xml:space="preserve">月调度</w:t>
      </w:r>
      <w:r>
        <w:rPr>
          <w:rFonts w:ascii="仿宋" w:hAnsi="仿宋" w:eastAsia="仿宋"/>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由主体安全责任总监召开月调度会议，并按照会议纪要对每月的月调度会议情况进行上报，同时制定下个月的工作安排。</w:t>
      </w:r>
      <w:r>
        <w:rPr>
          <w:rFonts w:ascii="宋体"/>
          <w:bCs/>
          <w:color w:val="000000"/>
          <w:sz w:val="24"/>
          <w:szCs w:val="24"/>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 质量培训</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提供主体进行质量安全培训的记录填报功能，主要记录培训主题、培训内容、参与人员等信息。</w:t>
      </w:r>
      <w:r>
        <w:rPr>
          <w:rFonts w:ascii="宋体"/>
          <w:bCs/>
          <w:color w:val="000000"/>
          <w:sz w:val="24"/>
          <w:szCs w:val="24"/>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 主体台账</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提供质量主体台账的填报功能，方便质量主体对自身台账的管理。</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质量画像</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提供移动端市场主体质量画像功能服务，以市场主体为中心，将各维度的数据进行归集汇总到市场主体名下，构建市场主体的质量画像，方便企业全面了解自身的相关信息。</w:t>
      </w:r>
      <w:r>
        <w:rPr>
          <w:rFonts w:ascii="宋体"/>
          <w:bCs/>
          <w:color w:val="000000"/>
          <w:sz w:val="24"/>
          <w:szCs w:val="24"/>
        </w:rPr>
      </w:r>
      <w:r/>
    </w:p>
    <w:p>
      <w:pPr>
        <w:pStyle w:val="702"/>
        <w:numPr>
          <w:ilvl w:val="3"/>
          <w:numId w:val="21"/>
        </w:numPr>
        <w:ind w:left="0"/>
        <w:jc w:val="left"/>
        <w:spacing w:before="240" w:after="12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智库课堂</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在无锡市场监管法人服务门户网站上建设“智库课堂”，为市场主体提供课程查看、课件学习观看、选课投票的服务，实现为主体提供线上学习途径的目的。</w:t>
      </w:r>
      <w:r>
        <w:rPr>
          <w:rFonts w:ascii="宋体"/>
          <w:bCs/>
          <w:color w:val="000000"/>
          <w:sz w:val="24"/>
          <w:szCs w:val="24"/>
        </w:rPr>
      </w:r>
      <w:r/>
    </w:p>
    <w:p>
      <w:pPr>
        <w:pStyle w:val="701"/>
        <w:numPr>
          <w:ilvl w:val="2"/>
          <w:numId w:val="21"/>
        </w:numPr>
        <w:ind w:left="720"/>
        <w:jc w:val="left"/>
        <w:spacing w:before="240" w:after="0" w:line="360" w:lineRule="auto"/>
        <w:widowControl/>
        <w:tabs>
          <w:tab w:val="left" w:pos="425" w:leader="none"/>
          <w:tab w:val="left" w:pos="560" w:leader="none"/>
        </w:tabs>
        <w:rPr>
          <w:rFonts w:ascii="仿宋" w:hAnsi="仿宋" w:eastAsia="仿宋"/>
          <w:color w:val="000000"/>
        </w:rPr>
      </w:pPr>
      <w:r/>
      <w:bookmarkStart w:id="207" w:name="_Toc4654"/>
      <w:r>
        <w:rPr>
          <w:rFonts w:hint="eastAsia" w:ascii="仿宋" w:hAnsi="仿宋" w:eastAsia="仿宋"/>
          <w:color w:val="000000"/>
        </w:rPr>
        <w:t xml:space="preserve">E链通</w:t>
      </w:r>
      <w:bookmarkEnd w:id="207"/>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依托无锡城市APP和无锡市场监管法人服务门户网站提供面向公众和企业的E链通服务，支持通过地图的形式将检验检测机构信息、认证机构信息、质量一站式服务站信息开放展示，同时支持多种查询方式搜索。</w:t>
      </w:r>
      <w:r>
        <w:rPr>
          <w:rFonts w:ascii="宋体"/>
          <w:bCs/>
          <w:color w:val="000000"/>
          <w:sz w:val="24"/>
          <w:szCs w:val="24"/>
        </w:rPr>
      </w:r>
      <w:r/>
    </w:p>
    <w:p>
      <w:pPr>
        <w:pStyle w:val="701"/>
        <w:numPr>
          <w:ilvl w:val="2"/>
          <w:numId w:val="21"/>
        </w:numPr>
        <w:ind w:left="720"/>
        <w:jc w:val="left"/>
        <w:spacing w:before="240" w:after="0" w:line="360" w:lineRule="auto"/>
        <w:widowControl/>
        <w:tabs>
          <w:tab w:val="left" w:pos="425" w:leader="none"/>
          <w:tab w:val="left" w:pos="560" w:leader="none"/>
        </w:tabs>
        <w:rPr>
          <w:rFonts w:ascii="仿宋" w:hAnsi="仿宋" w:eastAsia="仿宋"/>
          <w:color w:val="000000"/>
        </w:rPr>
      </w:pPr>
      <w:r/>
      <w:bookmarkStart w:id="208" w:name="_Toc13373"/>
      <w:r>
        <w:rPr>
          <w:rFonts w:hint="eastAsia" w:ascii="仿宋" w:hAnsi="仿宋" w:eastAsia="仿宋"/>
          <w:color w:val="000000"/>
        </w:rPr>
        <w:t xml:space="preserve">N应用</w:t>
      </w:r>
      <w:bookmarkEnd w:id="208"/>
      <w:r>
        <w:rPr>
          <w:rFonts w:ascii="仿宋" w:hAnsi="仿宋" w:eastAsia="仿宋"/>
          <w:color w:val="000000"/>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数字认证</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以数字证书为核心的加密技术可以对网络上传输的信息进行加密和解密、数字签名和签名验证，确保网上传递信息的安全性、完整性，保障网上交易的安全。</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提供自助查询、专题分析、风险预警、统计报表、分析报告等需求内容，投标人需详细阐述具体内容。</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数字计量</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数字计量的核心内涵是应用相应的数字化技术，实现测量数据和测试报告以及校准证书的数字化、检定校准规程规范机器可读、计量标准装置数字孪生、校准检定检测操作自动化和智能化，构建数字化量值传递溯源链，以数字方式传递测量信任和量值统一。</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提供自助查询、专题分析、风险预警、统计报表、分析报告等需求内容，投标人需详细阐述具体内容。</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数字标准</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数字标准是保障数据的内外部使用和交换的一致性和准确性的规范性约束，其目的就是消除数据之间的特征差异性。</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提供自助查询、专题分析、风险预警、统计报表、分析报告等需求内容，投标人需详细阐述具体内容。。</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数字检验检测</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检验检测是国家质量基础设施的重要组成部分，是国家重点支持发展的高技术服务业和生产性服务业，在提升产品质量、推动产业升级、保护生态环境、促进经济社会高质量发展等方面发挥着重要作用。</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提供自助查询、专题分析、风险预警、统计报表、分析报告等需求内容，投标人需详细阐述具体内容。</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质量基础设施</w:t>
      </w:r>
      <w:r>
        <w:rPr>
          <w:rFonts w:ascii="仿宋" w:hAnsi="仿宋" w:eastAsia="仿宋"/>
          <w:color w:val="000000"/>
        </w:rPr>
      </w:r>
      <w:r/>
    </w:p>
    <w:p>
      <w:pPr>
        <w:pStyle w:val="698"/>
        <w:ind w:firstLine="480"/>
        <w:rPr>
          <w:rFonts w:ascii="仿宋" w:hAnsi="仿宋" w:eastAsia="仿宋"/>
          <w:color w:val="000000"/>
        </w:rPr>
      </w:pPr>
      <w:r>
        <w:rPr>
          <w:rFonts w:hint="eastAsia" w:ascii="宋体"/>
          <w:bCs/>
          <w:color w:val="000000"/>
          <w:sz w:val="24"/>
          <w:szCs w:val="24"/>
        </w:rPr>
        <w:t xml:space="preserve">质量基础板块包括对无锡市质量基础设施发展状况分析，包括质量基础设施发展指数测算指标体系测算各地区QI发展指数综合评价质量基础情况</w:t>
      </w:r>
      <w:r>
        <w:rPr>
          <w:rFonts w:hint="eastAsia" w:ascii="仿宋" w:hAnsi="仿宋"/>
          <w:color w:val="000000"/>
        </w:rPr>
        <w:t xml:space="preserve">。</w:t>
      </w:r>
      <w:r>
        <w:rPr>
          <w:rFonts w:ascii="仿宋" w:hAnsi="仿宋" w:eastAsia="仿宋"/>
          <w:color w:val="000000"/>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无锡市NQI评价指标</w:t>
      </w:r>
      <w:r>
        <w:rPr>
          <w:rFonts w:ascii="仿宋" w:hAnsi="仿宋" w:eastAsia="仿宋"/>
        </w:rPr>
      </w:r>
      <w:r/>
    </w:p>
    <w:p>
      <w:pPr>
        <w:pStyle w:val="704"/>
        <w:numPr>
          <w:ilvl w:val="5"/>
          <w:numId w:val="21"/>
        </w:numPr>
        <w:ind w:left="0" w:firstLine="0"/>
        <w:jc w:val="left"/>
        <w:spacing w:before="0" w:after="0" w:line="360" w:lineRule="auto"/>
        <w:widowControl/>
        <w:rPr>
          <w:rFonts w:ascii="仿宋" w:hAnsi="仿宋" w:eastAsia="仿宋"/>
          <w:color w:val="000000"/>
          <w:sz w:val="28"/>
          <w:szCs w:val="28"/>
          <w:lang w:eastAsia="zh-TW"/>
        </w:rPr>
      </w:pPr>
      <w:r>
        <w:rPr>
          <w:rFonts w:hint="eastAsia" w:ascii="仿宋" w:hAnsi="仿宋" w:eastAsia="仿宋"/>
          <w:color w:val="000000"/>
          <w:sz w:val="28"/>
          <w:szCs w:val="28"/>
          <w:lang w:eastAsia="zh-TW"/>
        </w:rPr>
        <w:t xml:space="preserve">业务内容</w:t>
      </w:r>
      <w:r>
        <w:rPr>
          <w:rFonts w:ascii="仿宋" w:hAnsi="仿宋" w:eastAsia="仿宋"/>
          <w:color w:val="000000"/>
          <w:sz w:val="28"/>
          <w:szCs w:val="28"/>
          <w:lang w:eastAsia="zh-TW"/>
        </w:rPr>
      </w:r>
      <w:r/>
    </w:p>
    <w:p>
      <w:pPr>
        <w:pStyle w:val="698"/>
        <w:ind w:firstLine="480"/>
        <w:rPr>
          <w:rFonts w:ascii="宋体"/>
          <w:bCs/>
          <w:color w:val="000000"/>
          <w:sz w:val="24"/>
          <w:szCs w:val="24"/>
        </w:rPr>
      </w:pPr>
      <w:r/>
      <w:bookmarkStart w:id="209" w:name="_Hlk108014808"/>
      <w:r>
        <w:rPr>
          <w:rFonts w:hint="eastAsia" w:ascii="宋体"/>
          <w:bCs/>
          <w:color w:val="000000"/>
          <w:sz w:val="24"/>
          <w:szCs w:val="24"/>
        </w:rPr>
        <w:t xml:space="preserve">为凸显无锡市场监管和质量治理成效，全面展示质量基础设施建设取得成就，分析质量效益区域发展情况，更好促进无锡市一体化发展，制定了无锡市NQI评价指标，评价无锡市各地区质量基础设施情况。</w:t>
      </w:r>
      <w:r>
        <w:rPr>
          <w:rFonts w:ascii="宋体"/>
          <w:bCs/>
          <w:color w:val="000000"/>
          <w:sz w:val="24"/>
          <w:szCs w:val="24"/>
        </w:rPr>
      </w:r>
      <w:r/>
    </w:p>
    <w:p>
      <w:pPr>
        <w:pStyle w:val="704"/>
        <w:numPr>
          <w:ilvl w:val="5"/>
          <w:numId w:val="21"/>
        </w:numPr>
        <w:ind w:left="0" w:firstLine="0"/>
        <w:jc w:val="left"/>
        <w:spacing w:before="0" w:after="0" w:line="360" w:lineRule="auto"/>
        <w:widowControl/>
        <w:rPr>
          <w:rFonts w:ascii="仿宋" w:hAnsi="仿宋" w:eastAsia="仿宋"/>
          <w:color w:val="000000"/>
          <w:sz w:val="28"/>
          <w:szCs w:val="28"/>
          <w:lang w:eastAsia="zh-TW"/>
        </w:rPr>
      </w:pPr>
      <w:r/>
      <w:bookmarkEnd w:id="209"/>
      <w:r>
        <w:rPr>
          <w:rFonts w:hint="eastAsia" w:ascii="仿宋" w:hAnsi="仿宋" w:eastAsia="仿宋"/>
          <w:color w:val="000000"/>
          <w:sz w:val="28"/>
          <w:szCs w:val="28"/>
          <w:lang w:eastAsia="zh-TW"/>
        </w:rPr>
        <w:t xml:space="preserve">数据模型开发</w:t>
      </w:r>
      <w:r>
        <w:rPr>
          <w:rFonts w:ascii="仿宋" w:hAnsi="仿宋" w:eastAsia="仿宋"/>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建立无锡市NQI评价指标数据模型的开发与配置维护规范，基于无锡市质量数据进行二次数据开发。通过数据建模实现无锡市各区域QI发展指数、服务能力、创新能力、市场活力以及服务效益的对比，在无锡市各区域数据横向对比的同时支持无锡与长三角总体数据的对比，便于决策者能更清晰明了的了解无锡市在长三角三省一市中的现状，为政策出台和相关决策提供数据支撑和依据。</w:t>
      </w:r>
      <w:r>
        <w:rPr>
          <w:rFonts w:ascii="宋体"/>
          <w:bCs/>
          <w:color w:val="000000"/>
          <w:sz w:val="24"/>
          <w:szCs w:val="24"/>
        </w:rPr>
      </w:r>
      <w:r/>
    </w:p>
    <w:p>
      <w:pPr>
        <w:pStyle w:val="704"/>
        <w:numPr>
          <w:ilvl w:val="5"/>
          <w:numId w:val="21"/>
        </w:numPr>
        <w:ind w:left="0" w:firstLine="0"/>
        <w:jc w:val="left"/>
        <w:spacing w:before="0" w:after="0" w:line="360" w:lineRule="auto"/>
        <w:widowControl/>
        <w:rPr>
          <w:rFonts w:ascii="仿宋" w:hAnsi="仿宋" w:eastAsia="仿宋"/>
          <w:color w:val="000000"/>
          <w:sz w:val="28"/>
          <w:szCs w:val="28"/>
          <w:lang w:eastAsia="zh-TW"/>
        </w:rPr>
      </w:pPr>
      <w:r>
        <w:rPr>
          <w:rFonts w:hint="eastAsia" w:ascii="仿宋" w:hAnsi="仿宋" w:eastAsia="仿宋"/>
          <w:color w:val="000000"/>
          <w:sz w:val="28"/>
          <w:szCs w:val="28"/>
          <w:lang w:eastAsia="zh-TW"/>
        </w:rPr>
        <w:t xml:space="preserve">功能开发</w:t>
      </w:r>
      <w:r>
        <w:rPr>
          <w:rFonts w:ascii="仿宋" w:hAnsi="仿宋" w:eastAsia="仿宋"/>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使用KPI统计无锡市各区域QI发展指数TOP3</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使用雷达图对无锡市各区域服务能力、创新能力、市场活力、服务效益的差异进行对比</w:t>
      </w:r>
      <w:r>
        <w:rPr>
          <w:rFonts w:ascii="宋体"/>
          <w:bCs/>
          <w:color w:val="000000"/>
          <w:sz w:val="24"/>
          <w:szCs w:val="24"/>
        </w:rPr>
      </w:r>
      <w:r/>
    </w:p>
    <w:p>
      <w:pPr>
        <w:pStyle w:val="698"/>
        <w:ind w:firstLine="480"/>
      </w:pPr>
      <w:r>
        <w:rPr>
          <w:rFonts w:hint="eastAsia" w:ascii="宋体"/>
          <w:bCs/>
          <w:color w:val="000000"/>
          <w:sz w:val="24"/>
          <w:szCs w:val="24"/>
        </w:rPr>
        <w:t xml:space="preserve">使用柱状图展示近几年无锡市各区域NQI指数变化</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服务能力</w:t>
      </w:r>
      <w:r>
        <w:rPr>
          <w:rFonts w:ascii="仿宋" w:hAnsi="仿宋" w:eastAsia="仿宋" w:cs="黑体"/>
          <w:color w:val="000000"/>
          <w:sz w:val="28"/>
          <w:szCs w:val="28"/>
          <w:lang w:eastAsia="zh-TW"/>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可视化展现</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数据清单</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数据下钻</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指标动效</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大屏导出</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创新能力</w:t>
      </w:r>
      <w:r>
        <w:rPr>
          <w:rFonts w:ascii="仿宋" w:hAnsi="仿宋" w:eastAsia="仿宋" w:cs="黑体"/>
          <w:color w:val="000000"/>
          <w:sz w:val="28"/>
          <w:szCs w:val="28"/>
          <w:lang w:eastAsia="zh-TW"/>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可视化展现</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数据清单</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数据下钻</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指标动效</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大屏导出</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市场活力</w:t>
      </w:r>
      <w:r>
        <w:rPr>
          <w:rFonts w:ascii="仿宋" w:hAnsi="仿宋" w:eastAsia="仿宋" w:cs="黑体"/>
          <w:color w:val="000000"/>
          <w:sz w:val="28"/>
          <w:szCs w:val="28"/>
          <w:lang w:eastAsia="zh-TW"/>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可视化展现</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数据清单</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数据下钻</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指标动效</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大屏导出</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服务效益</w:t>
      </w:r>
      <w:r>
        <w:rPr>
          <w:rFonts w:ascii="仿宋" w:hAnsi="仿宋" w:eastAsia="仿宋" w:cs="黑体"/>
          <w:color w:val="000000"/>
          <w:sz w:val="28"/>
          <w:szCs w:val="28"/>
          <w:lang w:eastAsia="zh-TW"/>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可视化展现</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数据清单</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数据下钻</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指标动效</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大屏导出</w:t>
      </w:r>
      <w:r>
        <w:rPr>
          <w:rFonts w:ascii="仿宋" w:hAnsi="仿宋" w:eastAsia="仿宋"/>
          <w:color w:val="000000"/>
          <w:sz w:val="28"/>
          <w:szCs w:val="28"/>
        </w:rPr>
      </w:r>
      <w:r/>
    </w:p>
    <w:p>
      <w:pPr>
        <w:pStyle w:val="816"/>
        <w:numPr>
          <w:ilvl w:val="0"/>
          <w:numId w:val="24"/>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703"/>
        <w:numPr>
          <w:ilvl w:val="4"/>
          <w:numId w:val="21"/>
        </w:numPr>
        <w:ind w:left="0" w:firstLine="0"/>
        <w:jc w:val="left"/>
        <w:keepLines/>
        <w:spacing w:before="20" w:after="20" w:line="360" w:lineRule="auto"/>
        <w:widowControl/>
        <w:tabs>
          <w:tab w:val="left" w:pos="560" w:leader="none"/>
        </w:tabs>
        <w:rPr>
          <w:rFonts w:ascii="仿宋" w:hAnsi="仿宋" w:eastAsia="仿宋"/>
        </w:rPr>
      </w:pPr>
      <w:r>
        <w:rPr>
          <w:rFonts w:hint="eastAsia" w:ascii="仿宋" w:hAnsi="仿宋" w:eastAsia="仿宋"/>
        </w:rPr>
        <w:t xml:space="preserve">无锡市城市质量服务白皮书</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从概念、整体、区域、产业和展望五个层面对无锡市城市质量服务进行分析展示，并产出白皮书。</w:t>
      </w:r>
      <w:r>
        <w:rPr>
          <w:rFonts w:ascii="宋体"/>
          <w:bCs/>
          <w:color w:val="000000"/>
          <w:sz w:val="24"/>
          <w:szCs w:val="24"/>
        </w:rPr>
      </w:r>
      <w:r/>
    </w:p>
    <w:p>
      <w:pPr>
        <w:pStyle w:val="702"/>
        <w:numPr>
          <w:ilvl w:val="3"/>
          <w:numId w:val="21"/>
        </w:numPr>
        <w:ind w:left="0"/>
        <w:jc w:val="left"/>
        <w:spacing w:before="60" w:after="6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质量发展</w:t>
      </w:r>
      <w:r>
        <w:rPr>
          <w:rFonts w:ascii="仿宋" w:hAnsi="仿宋" w:eastAsia="仿宋"/>
          <w:color w:val="000000"/>
        </w:rPr>
      </w:r>
      <w:r/>
    </w:p>
    <w:p>
      <w:pPr>
        <w:pStyle w:val="698"/>
        <w:ind w:firstLine="480"/>
        <w:rPr>
          <w:rFonts w:ascii="仿宋" w:hAnsi="仿宋" w:eastAsia="仿宋"/>
          <w:color w:val="000000"/>
          <w:lang w:eastAsia="en-US"/>
        </w:rPr>
      </w:pPr>
      <w:r>
        <w:rPr>
          <w:rFonts w:hint="eastAsia" w:ascii="宋体"/>
          <w:bCs/>
          <w:color w:val="000000"/>
          <w:sz w:val="24"/>
          <w:szCs w:val="24"/>
        </w:rPr>
        <w:t xml:space="preserve">从宏观质量角度，综合反映无锡市的行业质量发展状况及在长三角中的排名，包括制造业质量竞争力、产品质量合格率、消费品合格率、品牌建设与质量奖励状、出口贸易、首席质量官、知识产权等内容，需专题分析的内容如下</w:t>
      </w:r>
      <w:r>
        <w:rPr>
          <w:rFonts w:hint="eastAsia" w:ascii="仿宋" w:hAnsi="仿宋"/>
          <w:color w:val="000000"/>
          <w:lang w:eastAsia="en-US"/>
        </w:rPr>
        <w:t xml:space="preserve">：</w:t>
      </w:r>
      <w:r>
        <w:rPr>
          <w:rFonts w:ascii="仿宋" w:hAnsi="仿宋" w:eastAsia="仿宋"/>
          <w:color w:val="000000"/>
          <w:lang w:eastAsia="en-US"/>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制造业竞争力专题分析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产品质量合格率专题分析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消费品合格率专题分析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品牌建设与质量奖励状况专题分析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首席质量官专题分析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通用型信用风险专题分析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专项信用风险专题分析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cs="仿宋"/>
          <w:b/>
        </w:rPr>
      </w:pPr>
      <w:r>
        <w:rPr>
          <w:rFonts w:hint="eastAsia" w:ascii="仿宋" w:hAnsi="仿宋" w:eastAsia="仿宋" w:cs="仿宋"/>
        </w:rPr>
        <w:t xml:space="preserve">行业画像专题分析</w:t>
      </w:r>
      <w:r>
        <w:rPr>
          <w:rFonts w:ascii="仿宋" w:hAnsi="仿宋" w:eastAsia="仿宋" w:cs="仿宋"/>
          <w:b/>
        </w:rPr>
      </w:r>
      <w:r/>
    </w:p>
    <w:p>
      <w:pPr>
        <w:pStyle w:val="703"/>
        <w:numPr>
          <w:ilvl w:val="0"/>
          <w:numId w:val="25"/>
        </w:numPr>
        <w:jc w:val="left"/>
        <w:keepLines/>
        <w:spacing w:before="20" w:after="20" w:line="360" w:lineRule="auto"/>
        <w:widowControl/>
        <w:tabs>
          <w:tab w:val="left" w:pos="560" w:leader="none"/>
        </w:tabs>
        <w:rPr>
          <w:rFonts w:ascii="仿宋" w:hAnsi="仿宋" w:eastAsia="仿宋"/>
        </w:rPr>
      </w:pPr>
      <w:r>
        <w:rPr>
          <w:rFonts w:hint="eastAsia" w:ascii="仿宋" w:hAnsi="仿宋" w:eastAsia="仿宋" w:cs="仿宋"/>
        </w:rPr>
        <w:t xml:space="preserve">区域画像专题分析</w:t>
      </w:r>
      <w:r>
        <w:rPr>
          <w:rFonts w:ascii="仿宋" w:hAnsi="仿宋" w:eastAsia="仿宋"/>
        </w:rPr>
      </w:r>
      <w:r/>
    </w:p>
    <w:p>
      <w:pPr>
        <w:pStyle w:val="698"/>
        <w:ind w:firstLine="420"/>
        <w:rPr>
          <w:rFonts w:ascii="仿宋" w:hAnsi="仿宋" w:eastAsia="仿宋"/>
          <w:color w:val="000000"/>
          <w:szCs w:val="24"/>
          <w:lang w:eastAsia="en-US"/>
        </w:rPr>
      </w:pPr>
      <w:r>
        <w:rPr>
          <w:rFonts w:hint="eastAsia" w:ascii="仿宋" w:hAnsi="仿宋"/>
          <w:color w:val="000000"/>
          <w:lang w:eastAsia="en-US"/>
        </w:rPr>
        <w:t xml:space="preserve">需从业务内容、数据模型开发、功能开发进行详细阐述。</w:t>
      </w:r>
      <w:r>
        <w:rPr>
          <w:rFonts w:ascii="仿宋" w:hAnsi="仿宋" w:eastAsia="仿宋"/>
          <w:color w:val="000000"/>
          <w:szCs w:val="24"/>
          <w:lang w:eastAsia="en-US"/>
        </w:rPr>
      </w:r>
      <w:r/>
    </w:p>
    <w:p>
      <w:pPr>
        <w:pStyle w:val="702"/>
        <w:numPr>
          <w:ilvl w:val="3"/>
          <w:numId w:val="21"/>
        </w:numPr>
        <w:ind w:left="0"/>
        <w:jc w:val="left"/>
        <w:spacing w:before="240" w:after="12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质量监督</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质量监督是为了确保满足规定的质量要求，对产品、过程或体系的状态进行连续的监视和验证，并对记录进行分析。</w:t>
      </w:r>
      <w:r>
        <w:rPr>
          <w:rFonts w:ascii="宋体"/>
          <w:bCs/>
          <w:color w:val="000000"/>
          <w:sz w:val="24"/>
          <w:szCs w:val="24"/>
        </w:rPr>
      </w:r>
      <w:r/>
    </w:p>
    <w:p>
      <w:pPr>
        <w:pStyle w:val="703"/>
        <w:numPr>
          <w:ilvl w:val="4"/>
          <w:numId w:val="21"/>
        </w:numPr>
        <w:jc w:val="left"/>
        <w:keepLines/>
        <w:spacing w:before="240" w:after="120" w:line="360" w:lineRule="auto"/>
        <w:widowControl/>
        <w:tabs>
          <w:tab w:val="left" w:pos="560" w:leader="none"/>
        </w:tabs>
        <w:rPr>
          <w:rFonts w:ascii="仿宋" w:hAnsi="仿宋" w:eastAsia="仿宋"/>
        </w:rPr>
      </w:pPr>
      <w:r>
        <w:rPr>
          <w:rFonts w:hint="eastAsia" w:ascii="仿宋" w:hAnsi="仿宋" w:eastAsia="仿宋"/>
        </w:rPr>
        <w:t xml:space="preserve">自助查询</w:t>
      </w:r>
      <w:r>
        <w:rPr>
          <w:rFonts w:ascii="仿宋" w:hAnsi="仿宋" w:eastAsia="仿宋"/>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工业产品许可证查询</w:t>
      </w:r>
      <w:r>
        <w:rPr>
          <w:rFonts w:ascii="仿宋" w:hAnsi="仿宋" w:eastAsia="仿宋"/>
          <w:color w:val="000000"/>
          <w:sz w:val="28"/>
          <w:szCs w:val="28"/>
        </w:rPr>
      </w:r>
      <w:r/>
    </w:p>
    <w:p>
      <w:pPr>
        <w:pStyle w:val="698"/>
        <w:ind w:firstLine="480"/>
        <w:rPr>
          <w:rFonts w:ascii="宋体"/>
          <w:bCs/>
          <w:color w:val="000000"/>
          <w:sz w:val="24"/>
          <w:szCs w:val="24"/>
        </w:rPr>
      </w:pPr>
      <w:r>
        <w:rPr>
          <w:rFonts w:hint="eastAsia" w:ascii="宋体"/>
          <w:bCs/>
          <w:color w:val="000000"/>
          <w:sz w:val="24"/>
          <w:szCs w:val="24"/>
        </w:rPr>
        <w:t xml:space="preserve">提供工业产品许可证查询功能、十大重点工业产品企业查询功能、行政处罚信息查询功能、监督抽查信息查询功能、不合格后处理信息查询功能、化肥生产企业档案查询功能、化肥销售企业档案、防爆电气生产企业信息查询功能、防爆电气销售企业信息查询功能、燃气具及配件生产企业档案查询功能、燃气具及配件销售企业档案查询功能、接种单位企业档案查询功能、疾控中心企业档案查询功能。</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精确搜索功能，同时提供多种条件组合搜索功能，查询出工业产品许可证信息，系统支持对查询出的记录导出成excel。</w:t>
      </w:r>
      <w:r>
        <w:rPr>
          <w:rFonts w:ascii="宋体"/>
          <w:bCs/>
          <w:color w:val="000000"/>
          <w:sz w:val="24"/>
          <w:szCs w:val="24"/>
        </w:rPr>
      </w:r>
      <w:r/>
    </w:p>
    <w:p>
      <w:pPr>
        <w:pStyle w:val="703"/>
        <w:numPr>
          <w:ilvl w:val="4"/>
          <w:numId w:val="21"/>
        </w:numPr>
        <w:jc w:val="left"/>
        <w:keepLines/>
        <w:spacing w:before="240" w:after="120" w:line="360" w:lineRule="auto"/>
        <w:widowControl/>
        <w:tabs>
          <w:tab w:val="left" w:pos="560" w:leader="none"/>
        </w:tabs>
        <w:rPr>
          <w:rFonts w:ascii="仿宋" w:hAnsi="仿宋" w:eastAsia="仿宋"/>
        </w:rPr>
      </w:pPr>
      <w:r>
        <w:rPr>
          <w:rFonts w:hint="eastAsia" w:ascii="仿宋" w:hAnsi="仿宋" w:eastAsia="仿宋"/>
        </w:rPr>
        <w:t xml:space="preserve">监督检查</w:t>
      </w:r>
      <w:r>
        <w:rPr>
          <w:rFonts w:ascii="仿宋" w:hAnsi="仿宋" w:eastAsia="仿宋"/>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化肥生产企业监督检查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化肥生产企业检查对象个性化抽取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检查任务新建完成后，不同层级的部门收到检查任务后，需要进行抽取化肥生产企业监管对象到检查任务中。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提供查询添加、随机抽取、excel导入三种方式添加化肥生产企业监管对象的方式，化肥生产企业的监管对象数据来源化肥生产企业档案基本信息库。</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化肥生产企业检查反馈填写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化肥生产企业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系统提供检查事项清单式的检查反馈页面，检查人员可针对每个检查事项录入检查情况。</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化肥生产企业电子检查文书</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为进一步方便监管人员开展检查工作，提高监管效能，提升监督检查全程电子化程度，根据化肥生产企业日常监督检查要求规范，针对化肥生产企业监督检查中需生成的各类检查文书，开发配置电子检查文书生成功能，并支持监管人员直接通过移动端对生成的电子检查文书进行电子签名、电子签章、批量下载。</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系统自动调取用户填写的检查记录，按照不同化肥生产企业监督检查不同类型文书模块格式内容不同，系统自动生成各类检查文书并填充相关记录内容。</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用户在系统生成检查文书后，可使用系统提供的电子手写签名，直接进行在线签名，系统将签名自动生成在检查文书中。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系统提供电子签章功能。配置化肥生产企业检查文书的盖章类型编码，用户可以在生成检查文书后，调用电子签章服务，系统将自动调用对应的电子签章对生成的检查文书进行盖章。</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系统提供文书2中文书下载功能。</w:t>
      </w:r>
      <w:r>
        <w:rPr>
          <w:rFonts w:ascii="宋体"/>
          <w:bCs/>
          <w:color w:val="000000"/>
          <w:sz w:val="24"/>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化肥销售企业监督检查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化肥销售企业检查对象个性化抽取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检查任务新建完成后，不同层级的部门收到检查任务后，需要进行抽取化肥销售企业监管对象到检查任务中。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提供查询添加、随机抽取、excel导入三种方式添加化肥销售企业监管对象的方式，化肥销售企业的监管对象数据来源化肥销售企业档案基本信息库。</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化肥销售企业检查反馈填写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化肥销售企业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化肥销售企业电子检查文书</w:t>
      </w:r>
      <w:r>
        <w:rPr>
          <w:rFonts w:ascii="仿宋" w:hAnsi="仿宋" w:eastAsia="仿宋" w:cs="黑体"/>
          <w:color w:val="000000"/>
          <w:sz w:val="28"/>
          <w:szCs w:val="28"/>
          <w:lang w:eastAsia="zh-TW"/>
        </w:rPr>
      </w:r>
      <w:r/>
    </w:p>
    <w:p>
      <w:pPr>
        <w:pStyle w:val="698"/>
        <w:ind w:firstLine="480"/>
        <w:rPr>
          <w:rFonts w:ascii="仿宋" w:hAnsi="仿宋" w:eastAsia="仿宋" w:cs="宋体"/>
          <w:color w:val="000000"/>
          <w:sz w:val="28"/>
          <w:szCs w:val="24"/>
        </w:rPr>
      </w:pPr>
      <w:r>
        <w:rPr>
          <w:rFonts w:hint="eastAsia" w:ascii="宋体"/>
          <w:bCs/>
          <w:color w:val="000000"/>
          <w:sz w:val="24"/>
          <w:szCs w:val="24"/>
        </w:rPr>
        <w:t xml:space="preserve">为进一步方便监管人员开展检查工作，提高监管效能，提升监督检查全程电子化程度，根据化肥销售企业日常监督检查要求规范，针对化肥销售企业监督检查中需生成的各类检查文书，开发配置电子检查文书生成功能，并支持监管人员直接通过移动端对生成的电子检查文书进行电子签名、电子签章、批量下载</w:t>
      </w:r>
      <w:r>
        <w:rPr>
          <w:rFonts w:hint="eastAsia" w:ascii="仿宋" w:hAnsi="仿宋"/>
          <w:color w:val="000000"/>
        </w:rPr>
        <w:t xml:space="preserve">。</w:t>
      </w:r>
      <w:r>
        <w:rPr>
          <w:rFonts w:ascii="仿宋" w:hAnsi="仿宋" w:eastAsia="仿宋" w:cs="宋体"/>
          <w:color w:val="000000"/>
          <w:sz w:val="28"/>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防爆电气生产企业监督检查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防爆电气生产企业检查对象个性化抽取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检查任务新建完成后，不同层级的部门收到检查任务后，需要进行抽取防爆电气生产企业监管对象到检查任务中。</w:t>
      </w:r>
      <w:r>
        <w:rPr>
          <w:rFonts w:ascii="宋体"/>
          <w:bCs/>
          <w:color w:val="000000"/>
          <w:sz w:val="24"/>
          <w:szCs w:val="24"/>
        </w:rPr>
      </w:r>
      <w:r/>
    </w:p>
    <w:p>
      <w:pPr>
        <w:pStyle w:val="698"/>
        <w:ind w:firstLine="480"/>
        <w:rPr>
          <w:rFonts w:ascii="仿宋" w:hAnsi="仿宋"/>
          <w:color w:val="000000"/>
        </w:rPr>
      </w:pPr>
      <w:r>
        <w:rPr>
          <w:rFonts w:hint="eastAsia" w:ascii="宋体"/>
          <w:bCs/>
          <w:color w:val="000000"/>
          <w:sz w:val="24"/>
          <w:szCs w:val="24"/>
        </w:rPr>
        <w:t xml:space="preserve">提供查询添加、随机抽取、excel导入三种方式添加防爆电气生产企业监管对象的方式，防爆电气生产企业的监管对象数据来源防爆电气生产企业档案基本信息库</w:t>
      </w:r>
      <w:r>
        <w:rPr>
          <w:rFonts w:hint="eastAsia" w:ascii="仿宋" w:hAnsi="仿宋"/>
          <w:color w:val="000000"/>
        </w:rPr>
        <w:t xml:space="preserve">。</w:t>
      </w:r>
      <w:r>
        <w:rPr>
          <w:rFonts w:ascii="仿宋" w:hAnsi="仿宋"/>
          <w:color w:val="000000"/>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防爆电气生产企业检查反馈填写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防爆电气生产企业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防爆电气生产企业电子检查文书</w:t>
      </w:r>
      <w:r>
        <w:rPr>
          <w:rFonts w:ascii="仿宋" w:hAnsi="仿宋" w:eastAsia="仿宋" w:cs="黑体"/>
          <w:color w:val="000000"/>
          <w:sz w:val="28"/>
          <w:szCs w:val="28"/>
          <w:lang w:eastAsia="zh-TW"/>
        </w:rPr>
      </w:r>
      <w:r/>
    </w:p>
    <w:p>
      <w:pPr>
        <w:pStyle w:val="698"/>
        <w:ind w:firstLine="480"/>
        <w:rPr>
          <w:rFonts w:ascii="仿宋" w:hAnsi="仿宋" w:eastAsia="仿宋" w:cs="宋体"/>
          <w:color w:val="000000"/>
          <w:sz w:val="28"/>
          <w:szCs w:val="24"/>
        </w:rPr>
      </w:pPr>
      <w:r>
        <w:rPr>
          <w:rFonts w:hint="eastAsia" w:ascii="宋体"/>
          <w:bCs/>
          <w:color w:val="000000"/>
          <w:sz w:val="24"/>
          <w:szCs w:val="24"/>
        </w:rPr>
        <w:t xml:space="preserve">为进一步方便监管人员开展检查工作，提高监管效能，提升监督检查全程电子化程度，根据防爆电气生产企业日常监督检查要求规范，针对防爆电气生产企业监督检查中需生成的各类检查文书，开发配置电子检查文书生成功能，并支持监管人员直接通过移动端对生成的电子检查文书进行电子签名、电子签章、批量下载</w:t>
      </w:r>
      <w:r>
        <w:rPr>
          <w:rFonts w:hint="eastAsia" w:ascii="仿宋" w:hAnsi="仿宋"/>
          <w:color w:val="000000"/>
        </w:rPr>
        <w:t xml:space="preserve">。</w:t>
      </w:r>
      <w:r>
        <w:rPr>
          <w:rFonts w:ascii="仿宋" w:hAnsi="仿宋" w:eastAsia="仿宋" w:cs="宋体"/>
          <w:color w:val="000000"/>
          <w:sz w:val="28"/>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防爆电气销售企业监督检查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防爆电气销售企业检查对象个性化抽取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检查任务新建完成后，不同层级的部门收到检查任务后，需要进行抽取防爆电气销售企业监管对象到检查任务中。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提供查询添加、随机抽取、excel导入三种方式添加防爆电气销售企业监管对象的方式，防爆电气销售企业的监管对象数据来源防爆电气销售企业档案基本信息库。</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防爆电气销售企业检查反馈填写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防爆电气销售企业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防爆电气销售企业电子检查文书</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为进一步方便监管人员开展检查工作，提高监管效能，提升监督检查全程电子化程度，根据防爆电气销售企业日常监督检查要求规范，针对防爆电气销售企业监督检查中需生成的各类检查文书，开发配置电子检查文书生成功能，并支持监管人员直接通过移动端对生成的电子检查文书进行电子签名、电子签章、批量下载。</w:t>
      </w:r>
      <w:r>
        <w:rPr>
          <w:rFonts w:ascii="宋体"/>
          <w:bCs/>
          <w:color w:val="000000"/>
          <w:sz w:val="24"/>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燃气具及配件生产企业监督检查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燃气具及配件生产企业检查对象个性化抽取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检查任务新建完成后，不同层级的部门收到检查任务后，需要进行抽取燃气具及配件生产企业监管对象到检查任务中。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提供查询添加、随机抽取、excel导入三种方式添加燃气具及配件生产企业监管对象的方式，燃气具及配件生产企业的监管对象数据来源燃气具及配件生产企业档案基本信息库。</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燃气具及配件生产企业检查反馈填写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燃气具及配件生产企业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燃气具及配件生产企业电子检查文书</w:t>
      </w:r>
      <w:r>
        <w:rPr>
          <w:rFonts w:ascii="仿宋" w:hAnsi="仿宋" w:eastAsia="仿宋" w:cs="黑体"/>
          <w:color w:val="000000"/>
          <w:sz w:val="28"/>
          <w:szCs w:val="28"/>
          <w:lang w:eastAsia="zh-TW"/>
        </w:rPr>
      </w:r>
      <w:r/>
    </w:p>
    <w:p>
      <w:pPr>
        <w:pStyle w:val="698"/>
        <w:ind w:firstLine="480"/>
        <w:rPr>
          <w:rFonts w:ascii="仿宋" w:hAnsi="仿宋" w:eastAsia="仿宋" w:cs="宋体"/>
          <w:color w:val="000000"/>
          <w:sz w:val="28"/>
          <w:szCs w:val="24"/>
        </w:rPr>
      </w:pPr>
      <w:r>
        <w:rPr>
          <w:rFonts w:hint="eastAsia" w:ascii="宋体"/>
          <w:bCs/>
          <w:color w:val="000000"/>
          <w:sz w:val="24"/>
          <w:szCs w:val="24"/>
        </w:rPr>
        <w:t xml:space="preserve">为进一步方便监管人员开展检查工作，提高监管效能，提升监督检查全程电子化程度，根据燃气具及配件生产企业日常监督检查要求规范，针对燃气具及配件生产企业监督检查中需生成的各类检查文书，开发配置电子检查文书生成功能，并支持监管人员直接通过移动端对生成的电子检查文书进行电子签名、电子签章、批量下载</w:t>
      </w:r>
      <w:r>
        <w:rPr>
          <w:rFonts w:hint="eastAsia" w:ascii="仿宋" w:hAnsi="仿宋"/>
          <w:color w:val="000000"/>
        </w:rPr>
        <w:t xml:space="preserve">。</w:t>
      </w:r>
      <w:r>
        <w:rPr>
          <w:rFonts w:ascii="仿宋" w:hAnsi="仿宋" w:eastAsia="仿宋" w:cs="宋体"/>
          <w:color w:val="000000"/>
          <w:sz w:val="28"/>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燃气具及配件销售企业监督检查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燃气具及配件销售企业检查对象个性化抽取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检查任务新建完成后，不同层级的部门收到检查任务后，需要进行抽取燃气具及配件销售企业监管对象到检查任务中。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提供查询添加、随机抽取、excel导入三种方式添加燃气具及配件销售企业监管对象的方式，燃气具及配件销售企业的监管对象数据来源燃气具及配件销售企业档案基本信息库。</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燃气具及配件销售企业检查反馈填写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燃气具及配件销售企业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系统提供检查事项清单式的检查反馈页面，检查人员可针对每个检查事项录入检查情况。</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燃气具及配件销售企业电子检查文书</w:t>
      </w:r>
      <w:r>
        <w:rPr>
          <w:rFonts w:ascii="仿宋" w:hAnsi="仿宋" w:eastAsia="仿宋" w:cs="黑体"/>
          <w:color w:val="000000"/>
          <w:sz w:val="28"/>
          <w:szCs w:val="28"/>
          <w:lang w:eastAsia="zh-TW"/>
        </w:rPr>
      </w:r>
      <w:r/>
    </w:p>
    <w:p>
      <w:pPr>
        <w:pStyle w:val="698"/>
        <w:ind w:firstLine="480"/>
        <w:rPr>
          <w:rFonts w:ascii="仿宋" w:hAnsi="仿宋" w:eastAsia="仿宋" w:cs="宋体"/>
          <w:color w:val="000000"/>
          <w:sz w:val="28"/>
          <w:szCs w:val="24"/>
        </w:rPr>
      </w:pPr>
      <w:r>
        <w:rPr>
          <w:rFonts w:hint="eastAsia" w:ascii="宋体"/>
          <w:bCs/>
          <w:color w:val="000000"/>
          <w:sz w:val="24"/>
          <w:szCs w:val="24"/>
        </w:rPr>
        <w:t xml:space="preserve">为进一步方便监管人员开展检查工作，提高监管效能，提升监督检查全程电子化程度，根据燃气具及配件销售企业日常监督检查要求规范，针对燃气具及配件销售企业监督检查中需生成的各类检查文书，开发配置电子检查文书生成功能，并支持监管人员直接通过移动端对生成的电子检查文书进行电子签名、电子签章、批量下载</w:t>
      </w:r>
      <w:r>
        <w:rPr>
          <w:rFonts w:hint="eastAsia" w:ascii="仿宋" w:hAnsi="仿宋"/>
          <w:color w:val="000000"/>
        </w:rPr>
        <w:t xml:space="preserve">。</w:t>
      </w:r>
      <w:r>
        <w:rPr>
          <w:rFonts w:ascii="仿宋" w:hAnsi="仿宋" w:eastAsia="仿宋" w:cs="宋体"/>
          <w:color w:val="000000"/>
          <w:sz w:val="28"/>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接种单位监督检查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接种单位检查对象个性化抽取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检查任务新建完成后，不同层级的部门收到检查任务后，需要进行抽取接种单位监管对象到检查任务中。</w:t>
      </w:r>
      <w:r>
        <w:rPr>
          <w:rFonts w:ascii="宋体"/>
          <w:bCs/>
          <w:color w:val="000000"/>
          <w:sz w:val="24"/>
          <w:szCs w:val="24"/>
        </w:rPr>
      </w:r>
      <w:r/>
    </w:p>
    <w:p>
      <w:pPr>
        <w:pStyle w:val="698"/>
        <w:ind w:firstLine="480"/>
        <w:rPr>
          <w:rFonts w:ascii="仿宋" w:hAnsi="仿宋"/>
          <w:color w:val="000000"/>
        </w:rPr>
      </w:pPr>
      <w:r>
        <w:rPr>
          <w:rFonts w:hint="eastAsia" w:ascii="宋体"/>
          <w:bCs/>
          <w:color w:val="000000"/>
          <w:sz w:val="24"/>
          <w:szCs w:val="24"/>
        </w:rPr>
        <w:t xml:space="preserve">提供查询添加、随机抽取、excel导入三种方式添加接种单位监管对象的方式，接种单位的监管对象数据来源接种单位档案基本信息库</w:t>
      </w:r>
      <w:r>
        <w:rPr>
          <w:rFonts w:hint="eastAsia" w:ascii="仿宋" w:hAnsi="仿宋"/>
          <w:color w:val="000000"/>
        </w:rPr>
        <w:t xml:space="preserve">。</w:t>
      </w:r>
      <w:r>
        <w:rPr>
          <w:rFonts w:ascii="仿宋" w:hAnsi="仿宋"/>
          <w:color w:val="000000"/>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接种单位检查反馈填写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接种单位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接种单位电子检查文书</w:t>
      </w:r>
      <w:r>
        <w:rPr>
          <w:rFonts w:ascii="仿宋" w:hAnsi="仿宋" w:eastAsia="仿宋" w:cs="黑体"/>
          <w:color w:val="000000"/>
          <w:sz w:val="28"/>
          <w:szCs w:val="28"/>
          <w:lang w:eastAsia="zh-TW"/>
        </w:rPr>
      </w:r>
      <w:r/>
    </w:p>
    <w:p>
      <w:pPr>
        <w:pStyle w:val="698"/>
        <w:ind w:firstLine="480"/>
        <w:rPr>
          <w:rFonts w:ascii="仿宋" w:hAnsi="仿宋" w:eastAsia="仿宋" w:cs="宋体"/>
          <w:color w:val="000000"/>
          <w:sz w:val="28"/>
          <w:szCs w:val="24"/>
        </w:rPr>
      </w:pPr>
      <w:r>
        <w:rPr>
          <w:rFonts w:hint="eastAsia" w:ascii="宋体"/>
          <w:bCs/>
          <w:color w:val="000000"/>
          <w:sz w:val="24"/>
          <w:szCs w:val="24"/>
        </w:rPr>
        <w:t xml:space="preserve">为进一步方便监管人员开展检查工作，提高监管效能，提升监督检查全程电子化程度，根据接种单位日常监督检查要求规范，针对接种单位监督检查中需生成的各类检查文书，开发配置电子检查文书生成功能，并支持监管人员直接通过移动端对生成的电子检查文书进行电子签名、电子签章、批量下载</w:t>
      </w:r>
      <w:r>
        <w:rPr>
          <w:rFonts w:hint="eastAsia" w:ascii="仿宋" w:hAnsi="仿宋"/>
          <w:color w:val="000000"/>
        </w:rPr>
        <w:t xml:space="preserve">。</w:t>
      </w:r>
      <w:r>
        <w:rPr>
          <w:rFonts w:ascii="仿宋" w:hAnsi="仿宋" w:eastAsia="仿宋" w:cs="宋体"/>
          <w:color w:val="000000"/>
          <w:sz w:val="28"/>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疾控中心监督检查</w:t>
      </w:r>
      <w:r>
        <w:rPr>
          <w:rFonts w:ascii="仿宋" w:hAnsi="仿宋" w:eastAsia="仿宋"/>
          <w:color w:val="000000"/>
          <w:sz w:val="28"/>
          <w:szCs w:val="28"/>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疾控中心检查对象个性化抽取</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检查任务新建完成后，不同层级的部门收到检查任务后，需要进行抽取疾控中心监管对象到检查任务中。</w:t>
      </w:r>
      <w:r>
        <w:rPr>
          <w:rFonts w:ascii="宋体"/>
          <w:bCs/>
          <w:color w:val="000000"/>
          <w:sz w:val="24"/>
          <w:szCs w:val="24"/>
        </w:rPr>
      </w:r>
      <w:r/>
    </w:p>
    <w:p>
      <w:pPr>
        <w:pStyle w:val="698"/>
        <w:ind w:firstLine="480"/>
        <w:rPr>
          <w:rFonts w:ascii="宋体"/>
          <w:bCs/>
          <w:color w:val="000000"/>
          <w:sz w:val="24"/>
          <w:szCs w:val="24"/>
        </w:rPr>
      </w:pPr>
      <w:r>
        <w:rPr>
          <w:rFonts w:hint="eastAsia" w:ascii="宋体"/>
          <w:bCs/>
          <w:color w:val="000000"/>
          <w:sz w:val="24"/>
          <w:szCs w:val="24"/>
        </w:rPr>
        <w:t xml:space="preserve">提供查询添加、随机抽取、excel导入三种方式添加疾控中心监管对象的方式，疾控中心的监管对象数据来源疾控中心档案基本信息库。</w:t>
      </w:r>
      <w:r>
        <w:rPr>
          <w:rFonts w:ascii="宋体"/>
          <w:bCs/>
          <w:color w:val="000000"/>
          <w:sz w:val="24"/>
          <w:szCs w:val="24"/>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疾控中心检查反馈填写</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根据疾控中心日常监督检查要求规范，开发配置PC及移动端检查结果反馈填写表单，方便不同文化程度、不同操作喜好的用户开展检查工作。用户可以自由选择方式完成检查。提供检查材料下载功能，可以下载当时检查上传的照片、检查文书等文件材料。</w:t>
      </w:r>
      <w:r>
        <w:rPr>
          <w:rFonts w:ascii="宋体"/>
          <w:bCs/>
          <w:color w:val="000000"/>
          <w:sz w:val="24"/>
          <w:szCs w:val="24"/>
        </w:rPr>
      </w:r>
      <w:r/>
    </w:p>
    <w:p>
      <w:pPr>
        <w:pStyle w:val="698"/>
        <w:ind w:firstLine="480"/>
        <w:rPr>
          <w:rFonts w:ascii="仿宋" w:hAnsi="仿宋"/>
          <w:color w:val="000000"/>
        </w:rPr>
      </w:pPr>
      <w:r>
        <w:rPr>
          <w:rFonts w:hint="eastAsia" w:ascii="宋体"/>
          <w:bCs/>
          <w:color w:val="000000"/>
          <w:sz w:val="24"/>
          <w:szCs w:val="24"/>
        </w:rPr>
        <w:t xml:space="preserve">系统提供检查事项清单式的检查反馈页面，检查人员可针对每个检查事项录入检查情况</w:t>
      </w:r>
      <w:r>
        <w:rPr>
          <w:rFonts w:hint="eastAsia" w:ascii="仿宋" w:hAnsi="仿宋"/>
          <w:color w:val="000000"/>
        </w:rPr>
        <w:t xml:space="preserve">。</w:t>
      </w:r>
      <w:r>
        <w:rPr>
          <w:rFonts w:ascii="仿宋" w:hAnsi="仿宋"/>
          <w:color w:val="000000"/>
        </w:rPr>
      </w:r>
      <w:r/>
    </w:p>
    <w:p>
      <w:pPr>
        <w:pStyle w:val="705"/>
        <w:numPr>
          <w:ilvl w:val="6"/>
          <w:numId w:val="21"/>
        </w:numPr>
        <w:ind w:left="0" w:firstLine="0"/>
        <w:jc w:val="left"/>
        <w:spacing w:before="0" w:after="0" w:line="360" w:lineRule="auto"/>
        <w:widowControl/>
        <w:tabs>
          <w:tab w:val="left" w:pos="425" w:leader="none"/>
        </w:tabs>
        <w:rPr>
          <w:rFonts w:ascii="仿宋" w:hAnsi="仿宋" w:eastAsia="仿宋" w:cs="黑体"/>
          <w:color w:val="000000"/>
          <w:sz w:val="28"/>
          <w:szCs w:val="28"/>
          <w:lang w:eastAsia="zh-TW"/>
        </w:rPr>
      </w:pPr>
      <w:r>
        <w:rPr>
          <w:rFonts w:hint="eastAsia" w:ascii="仿宋" w:hAnsi="仿宋" w:eastAsia="仿宋" w:cs="黑体"/>
          <w:color w:val="000000"/>
          <w:sz w:val="28"/>
          <w:szCs w:val="28"/>
          <w:lang w:eastAsia="zh-TW"/>
        </w:rPr>
        <w:t xml:space="preserve">疾控中心电子检查文书</w:t>
      </w:r>
      <w:r>
        <w:rPr>
          <w:rFonts w:ascii="仿宋" w:hAnsi="仿宋" w:eastAsia="仿宋" w:cs="黑体"/>
          <w:color w:val="000000"/>
          <w:sz w:val="28"/>
          <w:szCs w:val="28"/>
          <w:lang w:eastAsia="zh-TW"/>
        </w:rPr>
      </w:r>
      <w:r/>
    </w:p>
    <w:p>
      <w:pPr>
        <w:pStyle w:val="698"/>
        <w:ind w:firstLine="480"/>
        <w:rPr>
          <w:rFonts w:ascii="宋体"/>
          <w:bCs/>
          <w:color w:val="000000"/>
          <w:sz w:val="24"/>
          <w:szCs w:val="24"/>
        </w:rPr>
      </w:pPr>
      <w:r>
        <w:rPr>
          <w:rFonts w:hint="eastAsia" w:ascii="宋体"/>
          <w:bCs/>
          <w:color w:val="000000"/>
          <w:sz w:val="24"/>
          <w:szCs w:val="24"/>
        </w:rPr>
        <w:t xml:space="preserve">为进一步方便监管人员开展检查工作，提高监管效能，提升监督检查全程电子化程度，根据疾控中心日常监督检查要求规范，针对疾控中心监督检查中需生成的各类检查文书，开发配置电子检查文书生成功能，并支持监管人员直接通过移动端对生成的电子检查文书进行电子签名、电子签章、批量下载。</w:t>
      </w:r>
      <w:r>
        <w:rPr>
          <w:rFonts w:ascii="宋体"/>
          <w:bCs/>
          <w:color w:val="000000"/>
          <w:sz w:val="24"/>
          <w:szCs w:val="24"/>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rPr>
        <w:t xml:space="preserve">专题分析</w:t>
      </w:r>
      <w:r>
        <w:rPr>
          <w:rFonts w:ascii="仿宋" w:hAnsi="仿宋" w:eastAsia="仿宋"/>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业务内容</w:t>
      </w:r>
      <w:r>
        <w:rPr>
          <w:rFonts w:ascii="仿宋" w:hAnsi="仿宋" w:eastAsia="仿宋"/>
          <w:color w:val="000000"/>
          <w:sz w:val="28"/>
          <w:szCs w:val="28"/>
        </w:rPr>
      </w:r>
      <w:r/>
    </w:p>
    <w:p>
      <w:pPr>
        <w:pStyle w:val="698"/>
        <w:ind w:firstLine="480"/>
        <w:rPr>
          <w:rFonts w:ascii="宋体"/>
          <w:bCs/>
          <w:color w:val="000000"/>
          <w:sz w:val="24"/>
          <w:szCs w:val="24"/>
        </w:rPr>
      </w:pPr>
      <w:r>
        <w:rPr>
          <w:rFonts w:hint="eastAsia" w:ascii="宋体"/>
          <w:bCs/>
          <w:color w:val="000000"/>
          <w:sz w:val="24"/>
          <w:szCs w:val="24"/>
        </w:rPr>
        <w:t xml:space="preserve">对工业产品的数字化监管情况进行数据统计和可视化展示等，按照监督检查、监督抽查、行政处罚以及企业信用等维度进行分析展示。</w:t>
      </w:r>
      <w:r>
        <w:rPr>
          <w:rFonts w:ascii="宋体"/>
          <w:bCs/>
          <w:color w:val="000000"/>
          <w:sz w:val="24"/>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数据模型开发</w:t>
      </w:r>
      <w:r>
        <w:rPr>
          <w:rFonts w:ascii="仿宋" w:hAnsi="仿宋" w:eastAsia="仿宋"/>
          <w:color w:val="000000"/>
          <w:sz w:val="28"/>
          <w:szCs w:val="28"/>
        </w:rPr>
      </w:r>
      <w:r/>
    </w:p>
    <w:p>
      <w:pPr>
        <w:pStyle w:val="698"/>
        <w:ind w:firstLine="560"/>
        <w:rPr>
          <w:rFonts w:ascii="宋体"/>
          <w:bCs/>
          <w:color w:val="000000"/>
          <w:sz w:val="24"/>
          <w:szCs w:val="24"/>
        </w:rPr>
      </w:pPr>
      <w:r>
        <w:rPr>
          <w:rFonts w:hint="eastAsia" w:ascii="宋体"/>
          <w:bCs/>
          <w:color w:val="000000"/>
          <w:sz w:val="24"/>
          <w:szCs w:val="24"/>
        </w:rPr>
        <w:t xml:space="preserve">数字化监管数据建模需要根据监督检查、监督抽查、行政处罚、企业信用等数据融合建模生成。</w:t>
      </w:r>
      <w:r>
        <w:rPr>
          <w:rFonts w:ascii="宋体"/>
          <w:bCs/>
          <w:color w:val="000000"/>
          <w:sz w:val="24"/>
          <w:szCs w:val="24"/>
        </w:rPr>
      </w:r>
      <w:r/>
    </w:p>
    <w:p>
      <w:pPr>
        <w:pStyle w:val="704"/>
        <w:numPr>
          <w:ilvl w:val="5"/>
          <w:numId w:val="21"/>
        </w:numPr>
        <w:ind w:left="0" w:firstLine="0"/>
        <w:jc w:val="left"/>
        <w:spacing w:before="20" w:after="20" w:line="360" w:lineRule="auto"/>
        <w:widowControl/>
        <w:rPr>
          <w:rFonts w:ascii="仿宋" w:hAnsi="仿宋" w:eastAsia="仿宋"/>
          <w:color w:val="000000"/>
          <w:sz w:val="28"/>
          <w:szCs w:val="28"/>
        </w:rPr>
      </w:pPr>
      <w:r>
        <w:rPr>
          <w:rFonts w:hint="eastAsia" w:ascii="仿宋" w:hAnsi="仿宋" w:eastAsia="仿宋"/>
          <w:color w:val="000000"/>
          <w:sz w:val="28"/>
          <w:szCs w:val="28"/>
        </w:rPr>
        <w:t xml:space="preserve">功能开发</w:t>
      </w:r>
      <w:r>
        <w:rPr>
          <w:rFonts w:ascii="仿宋" w:hAnsi="仿宋" w:eastAsia="仿宋"/>
          <w:color w:val="000000"/>
          <w:sz w:val="28"/>
          <w:szCs w:val="28"/>
        </w:rPr>
      </w:r>
      <w:r/>
    </w:p>
    <w:p>
      <w:pPr>
        <w:pStyle w:val="816"/>
        <w:numPr>
          <w:ilvl w:val="0"/>
          <w:numId w:val="26"/>
        </w:numPr>
        <w:rPr>
          <w:rFonts w:ascii="仿宋" w:hAnsi="仿宋" w:eastAsia="仿宋"/>
          <w:color w:val="000000"/>
          <w:sz w:val="28"/>
          <w:szCs w:val="28"/>
        </w:rPr>
      </w:pPr>
      <w:r>
        <w:rPr>
          <w:rFonts w:hint="eastAsia" w:ascii="仿宋" w:hAnsi="仿宋" w:eastAsia="仿宋"/>
          <w:color w:val="000000"/>
          <w:sz w:val="28"/>
          <w:szCs w:val="28"/>
        </w:rPr>
        <w:t xml:space="preserve">可视化展现</w:t>
      </w:r>
      <w:r>
        <w:rPr>
          <w:rFonts w:ascii="仿宋" w:hAnsi="仿宋" w:eastAsia="仿宋"/>
          <w:color w:val="000000"/>
          <w:sz w:val="28"/>
          <w:szCs w:val="28"/>
        </w:rPr>
      </w:r>
      <w:r/>
    </w:p>
    <w:p>
      <w:pPr>
        <w:pStyle w:val="816"/>
        <w:numPr>
          <w:ilvl w:val="0"/>
          <w:numId w:val="26"/>
        </w:numPr>
        <w:rPr>
          <w:rFonts w:ascii="仿宋" w:hAnsi="仿宋" w:eastAsia="仿宋"/>
          <w:color w:val="000000"/>
          <w:sz w:val="28"/>
          <w:szCs w:val="28"/>
        </w:rPr>
      </w:pPr>
      <w:r>
        <w:rPr>
          <w:rFonts w:hint="eastAsia" w:ascii="仿宋" w:hAnsi="仿宋" w:eastAsia="仿宋"/>
          <w:color w:val="000000"/>
          <w:sz w:val="28"/>
          <w:szCs w:val="28"/>
        </w:rPr>
        <w:t xml:space="preserve">数据清单</w:t>
      </w:r>
      <w:r>
        <w:rPr>
          <w:rFonts w:ascii="仿宋" w:hAnsi="仿宋" w:eastAsia="仿宋"/>
          <w:color w:val="000000"/>
          <w:sz w:val="28"/>
          <w:szCs w:val="28"/>
        </w:rPr>
      </w:r>
      <w:r/>
    </w:p>
    <w:p>
      <w:pPr>
        <w:pStyle w:val="816"/>
        <w:numPr>
          <w:ilvl w:val="0"/>
          <w:numId w:val="26"/>
        </w:numPr>
        <w:rPr>
          <w:rFonts w:ascii="仿宋" w:hAnsi="仿宋" w:eastAsia="仿宋"/>
          <w:color w:val="000000"/>
          <w:sz w:val="28"/>
          <w:szCs w:val="28"/>
        </w:rPr>
      </w:pPr>
      <w:r>
        <w:rPr>
          <w:rFonts w:hint="eastAsia" w:ascii="仿宋" w:hAnsi="仿宋" w:eastAsia="仿宋"/>
          <w:color w:val="000000"/>
          <w:sz w:val="28"/>
          <w:szCs w:val="28"/>
        </w:rPr>
        <w:t xml:space="preserve">数据下钻</w:t>
      </w:r>
      <w:r>
        <w:rPr>
          <w:rFonts w:ascii="仿宋" w:hAnsi="仿宋" w:eastAsia="仿宋"/>
          <w:color w:val="000000"/>
          <w:sz w:val="28"/>
          <w:szCs w:val="28"/>
        </w:rPr>
      </w:r>
      <w:r/>
    </w:p>
    <w:p>
      <w:pPr>
        <w:pStyle w:val="816"/>
        <w:numPr>
          <w:ilvl w:val="0"/>
          <w:numId w:val="26"/>
        </w:numPr>
        <w:rPr>
          <w:rFonts w:ascii="仿宋" w:hAnsi="仿宋" w:eastAsia="仿宋"/>
          <w:color w:val="000000"/>
          <w:sz w:val="28"/>
          <w:szCs w:val="28"/>
        </w:rPr>
      </w:pPr>
      <w:r>
        <w:rPr>
          <w:rFonts w:hint="eastAsia" w:ascii="仿宋" w:hAnsi="仿宋" w:eastAsia="仿宋"/>
          <w:color w:val="000000"/>
          <w:sz w:val="28"/>
          <w:szCs w:val="28"/>
        </w:rPr>
        <w:t xml:space="preserve">指标动效</w:t>
      </w:r>
      <w:r>
        <w:rPr>
          <w:rFonts w:ascii="仿宋" w:hAnsi="仿宋" w:eastAsia="仿宋"/>
          <w:color w:val="000000"/>
          <w:sz w:val="28"/>
          <w:szCs w:val="28"/>
        </w:rPr>
      </w:r>
      <w:r/>
    </w:p>
    <w:p>
      <w:pPr>
        <w:pStyle w:val="816"/>
        <w:numPr>
          <w:ilvl w:val="0"/>
          <w:numId w:val="26"/>
        </w:numPr>
        <w:rPr>
          <w:rFonts w:ascii="仿宋" w:hAnsi="仿宋" w:eastAsia="仿宋"/>
          <w:color w:val="000000"/>
          <w:sz w:val="28"/>
          <w:szCs w:val="28"/>
        </w:rPr>
      </w:pPr>
      <w:r>
        <w:rPr>
          <w:rFonts w:hint="eastAsia" w:ascii="仿宋" w:hAnsi="仿宋" w:eastAsia="仿宋"/>
          <w:color w:val="000000"/>
          <w:sz w:val="28"/>
          <w:szCs w:val="28"/>
        </w:rPr>
        <w:t xml:space="preserve">大屏导出</w:t>
      </w:r>
      <w:r>
        <w:rPr>
          <w:rFonts w:ascii="仿宋" w:hAnsi="仿宋" w:eastAsia="仿宋"/>
          <w:color w:val="000000"/>
          <w:sz w:val="28"/>
          <w:szCs w:val="28"/>
        </w:rPr>
      </w:r>
      <w:r/>
    </w:p>
    <w:p>
      <w:pPr>
        <w:pStyle w:val="816"/>
        <w:numPr>
          <w:ilvl w:val="0"/>
          <w:numId w:val="26"/>
        </w:numPr>
        <w:rPr>
          <w:rFonts w:ascii="仿宋" w:hAnsi="仿宋" w:eastAsia="仿宋"/>
          <w:color w:val="000000"/>
          <w:sz w:val="28"/>
          <w:szCs w:val="28"/>
        </w:rPr>
      </w:pPr>
      <w:r>
        <w:rPr>
          <w:rFonts w:hint="eastAsia" w:ascii="仿宋" w:hAnsi="仿宋" w:eastAsia="仿宋"/>
          <w:color w:val="000000"/>
          <w:sz w:val="28"/>
          <w:szCs w:val="28"/>
        </w:rPr>
        <w:t xml:space="preserve">数据过滤</w:t>
      </w:r>
      <w:r>
        <w:rPr>
          <w:rFonts w:ascii="仿宋" w:hAnsi="仿宋" w:eastAsia="仿宋"/>
          <w:color w:val="000000"/>
          <w:sz w:val="28"/>
          <w:szCs w:val="28"/>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rPr>
        <w:t xml:space="preserve">统计报表、</w:t>
      </w:r>
      <w:r>
        <w:rPr>
          <w:rFonts w:hint="eastAsia" w:ascii="仿宋" w:hAnsi="仿宋" w:eastAsia="仿宋"/>
          <w:lang w:eastAsia="en-US"/>
        </w:rPr>
        <w:t xml:space="preserve">分析报告、风险预警</w:t>
      </w:r>
      <w:r>
        <w:rPr>
          <w:rFonts w:ascii="仿宋" w:hAnsi="仿宋" w:eastAsia="仿宋"/>
        </w:rPr>
      </w:r>
      <w:r/>
    </w:p>
    <w:p>
      <w:pPr>
        <w:pStyle w:val="698"/>
        <w:ind w:firstLine="560"/>
        <w:rPr>
          <w:rFonts w:ascii="宋体"/>
          <w:bCs/>
          <w:color w:val="000000"/>
          <w:sz w:val="24"/>
          <w:szCs w:val="24"/>
        </w:rPr>
      </w:pPr>
      <w:r>
        <w:rPr>
          <w:rFonts w:hint="eastAsia" w:ascii="宋体"/>
          <w:bCs/>
          <w:color w:val="000000"/>
          <w:sz w:val="24"/>
          <w:szCs w:val="24"/>
        </w:rPr>
        <w:t xml:space="preserve">对质量监督模块内容提供统计报表功能，依据需求定制无锡市产品质量监督抽查数字化分析报告，可通过底层数据自动进行更新。</w:t>
      </w:r>
      <w:r>
        <w:rPr>
          <w:rFonts w:ascii="宋体"/>
          <w:bCs/>
          <w:color w:val="000000"/>
          <w:sz w:val="24"/>
          <w:szCs w:val="24"/>
        </w:rPr>
      </w:r>
      <w:r/>
    </w:p>
    <w:p>
      <w:pPr>
        <w:pStyle w:val="702"/>
        <w:numPr>
          <w:ilvl w:val="3"/>
          <w:numId w:val="21"/>
        </w:numPr>
        <w:ind w:left="0"/>
        <w:jc w:val="left"/>
        <w:spacing w:before="240" w:after="120" w:line="360" w:lineRule="auto"/>
        <w:widowControl/>
        <w:tabs>
          <w:tab w:val="left" w:pos="560" w:leader="none"/>
        </w:tabs>
        <w:rPr>
          <w:rFonts w:ascii="仿宋" w:hAnsi="仿宋" w:eastAsia="仿宋"/>
          <w:color w:val="000000"/>
        </w:rPr>
      </w:pPr>
      <w:r>
        <w:rPr>
          <w:rFonts w:hint="eastAsia" w:ascii="仿宋" w:hAnsi="仿宋" w:eastAsia="仿宋"/>
          <w:color w:val="000000"/>
        </w:rPr>
        <w:t xml:space="preserve">质量稽查线索管理</w:t>
      </w:r>
      <w:r>
        <w:rPr>
          <w:rFonts w:ascii="仿宋" w:hAnsi="仿宋" w:eastAsia="仿宋"/>
          <w:color w:val="000000"/>
        </w:rPr>
      </w:r>
      <w:r/>
    </w:p>
    <w:p>
      <w:pPr>
        <w:pStyle w:val="698"/>
        <w:ind w:firstLine="480"/>
        <w:rPr>
          <w:rFonts w:ascii="仿宋" w:hAnsi="仿宋" w:eastAsia="仿宋"/>
          <w:color w:val="000000"/>
          <w:lang w:eastAsia="en-US"/>
        </w:rPr>
      </w:pPr>
      <w:r>
        <w:rPr>
          <w:rFonts w:hint="eastAsia" w:ascii="宋体"/>
          <w:bCs/>
          <w:color w:val="000000"/>
          <w:sz w:val="24"/>
          <w:szCs w:val="24"/>
        </w:rPr>
        <w:t xml:space="preserve">以主体的稽查线索为中心，由业务人员进行线索的登记、转交、催办等工作，并对稽查线索进行分析运用。内容包括：线索登记、线索查询、线索流转、线索办理、线索统计分析功能，投标人需详细阐述</w:t>
      </w:r>
      <w:r>
        <w:rPr>
          <w:rFonts w:hint="eastAsia" w:ascii="仿宋" w:hAnsi="仿宋"/>
          <w:color w:val="000000"/>
          <w:lang w:eastAsia="en-US"/>
        </w:rPr>
        <w:t xml:space="preserve">。</w:t>
      </w:r>
      <w:r>
        <w:rPr>
          <w:rFonts w:ascii="仿宋" w:hAnsi="仿宋" w:eastAsia="仿宋"/>
          <w:color w:val="000000"/>
          <w:lang w:eastAsia="en-US"/>
        </w:rPr>
      </w:r>
      <w:r/>
    </w:p>
    <w:p>
      <w:pPr>
        <w:pStyle w:val="702"/>
        <w:numPr>
          <w:ilvl w:val="3"/>
          <w:numId w:val="21"/>
        </w:numPr>
        <w:ind w:left="0"/>
        <w:jc w:val="left"/>
        <w:spacing w:before="240" w:after="120" w:line="360" w:lineRule="auto"/>
        <w:widowControl/>
        <w:tabs>
          <w:tab w:val="left" w:pos="560" w:leader="none"/>
        </w:tabs>
        <w:rPr>
          <w:rFonts w:ascii="仿宋" w:hAnsi="仿宋" w:eastAsia="仿宋"/>
          <w:color w:val="000000"/>
        </w:rPr>
      </w:pPr>
      <w:r>
        <w:rPr>
          <w:rFonts w:hint="eastAsia" w:ascii="仿宋" w:hAnsi="仿宋" w:eastAsia="仿宋"/>
          <w:color w:val="000000"/>
          <w:lang w:eastAsia="en-US"/>
        </w:rPr>
        <w:t xml:space="preserve">掌上质量管理</w:t>
      </w:r>
      <w:r>
        <w:rPr>
          <w:rFonts w:ascii="仿宋" w:hAnsi="仿宋" w:eastAsia="仿宋"/>
          <w:color w:val="000000"/>
        </w:rPr>
      </w:r>
      <w:r/>
    </w:p>
    <w:p>
      <w:pPr>
        <w:pStyle w:val="698"/>
        <w:ind w:firstLine="480"/>
        <w:rPr>
          <w:rFonts w:ascii="宋体"/>
          <w:bCs/>
          <w:color w:val="000000"/>
          <w:sz w:val="24"/>
          <w:szCs w:val="24"/>
        </w:rPr>
      </w:pPr>
      <w:r>
        <w:rPr>
          <w:rFonts w:hint="eastAsia" w:ascii="宋体"/>
          <w:bCs/>
          <w:color w:val="000000"/>
          <w:sz w:val="24"/>
          <w:szCs w:val="24"/>
        </w:rPr>
        <w:t xml:space="preserve">提供手机端质量信息统计、分析、查询渠道，让决策者和业务人员更简单快捷了解无锡全局质量发展情况。</w:t>
      </w:r>
      <w:r>
        <w:rPr>
          <w:rFonts w:ascii="宋体"/>
          <w:bCs/>
          <w:color w:val="000000"/>
          <w:sz w:val="24"/>
          <w:szCs w:val="24"/>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lang w:eastAsia="en-US"/>
        </w:rPr>
        <w:t xml:space="preserve">质量概览（首页）</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移动端监测无锡质量发展概况，对比评价区域质量状况，包括三省一市省域级和市域级两部分，每个板块包含核心指标和关键数据统计结果。</w:t>
      </w:r>
      <w:r>
        <w:rPr>
          <w:rFonts w:ascii="宋体"/>
          <w:bCs/>
          <w:color w:val="000000"/>
          <w:sz w:val="24"/>
          <w:szCs w:val="24"/>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lang w:eastAsia="en-US"/>
        </w:rPr>
        <w:t xml:space="preserve">质量发展</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移动端展示无锡市的行业质量发展状况，包括制造业质量竞争力、产品质量合格率、消费品合格率、品牌建设与质量奖励状、出口贸易、首席质量官、知识产权等关键指标。</w:t>
      </w:r>
      <w:r>
        <w:rPr>
          <w:rFonts w:ascii="宋体"/>
          <w:bCs/>
          <w:color w:val="000000"/>
          <w:sz w:val="24"/>
          <w:szCs w:val="24"/>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lang w:eastAsia="en-US"/>
        </w:rPr>
        <w:t xml:space="preserve">质量基础</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移动端展示无锡市质量基础设施发展状况，包括以定质量基础设施发展指数测算指标体系测算各地区QI发展指数综合评价质量基础情况，以及对标准、计量、认证认可、检验检测等情况具体分析。</w:t>
      </w:r>
      <w:r>
        <w:rPr>
          <w:rFonts w:ascii="宋体"/>
          <w:bCs/>
          <w:color w:val="000000"/>
          <w:sz w:val="24"/>
          <w:szCs w:val="24"/>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lang w:eastAsia="en-US"/>
        </w:rPr>
        <w:t xml:space="preserve">质量监督</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移动端展示产品安全、质量安全监管和质量信用情况。从政府监管角度对无锡市的质量安全风险信息、产品抽查信息、产品召回信息、行政检查、执法办案、信用分类等关键指标进行对比分析。</w:t>
      </w:r>
      <w:r>
        <w:rPr>
          <w:rFonts w:ascii="宋体"/>
          <w:bCs/>
          <w:color w:val="000000"/>
          <w:sz w:val="24"/>
          <w:szCs w:val="24"/>
        </w:rPr>
      </w:r>
      <w:r/>
    </w:p>
    <w:p>
      <w:pPr>
        <w:pStyle w:val="703"/>
        <w:numPr>
          <w:ilvl w:val="4"/>
          <w:numId w:val="21"/>
        </w:numPr>
        <w:ind w:left="0" w:firstLine="0"/>
        <w:jc w:val="left"/>
        <w:keepLines/>
        <w:spacing w:before="240" w:after="120" w:line="360" w:lineRule="auto"/>
        <w:widowControl/>
        <w:tabs>
          <w:tab w:val="left" w:pos="560" w:leader="none"/>
        </w:tabs>
        <w:rPr>
          <w:rFonts w:ascii="仿宋" w:hAnsi="仿宋" w:eastAsia="仿宋"/>
        </w:rPr>
      </w:pPr>
      <w:r>
        <w:rPr>
          <w:rFonts w:hint="eastAsia" w:ascii="仿宋" w:hAnsi="仿宋" w:eastAsia="仿宋"/>
          <w:lang w:eastAsia="en-US"/>
        </w:rPr>
        <w:t xml:space="preserve">质量画像</w:t>
      </w:r>
      <w:r>
        <w:rPr>
          <w:rFonts w:ascii="仿宋" w:hAnsi="仿宋" w:eastAsia="仿宋"/>
        </w:rPr>
      </w:r>
      <w:r/>
    </w:p>
    <w:p>
      <w:pPr>
        <w:pStyle w:val="698"/>
        <w:ind w:firstLine="480"/>
        <w:rPr>
          <w:rFonts w:ascii="宋体"/>
          <w:bCs/>
          <w:color w:val="000000"/>
          <w:sz w:val="24"/>
          <w:szCs w:val="24"/>
        </w:rPr>
      </w:pPr>
      <w:r>
        <w:rPr>
          <w:rFonts w:hint="eastAsia" w:ascii="宋体"/>
          <w:bCs/>
          <w:color w:val="000000"/>
          <w:sz w:val="24"/>
          <w:szCs w:val="24"/>
        </w:rPr>
        <w:t xml:space="preserve">在移动端构建市场主体的质量画像，对市场主体的质量发展、质量安全、质量监管等方面的全方位分析展示。方便业务人员全面掌握企业的质量相关信息。支持企业查询、质量画像展示。</w:t>
      </w:r>
      <w:r>
        <w:rPr>
          <w:rFonts w:ascii="宋体"/>
          <w:bCs/>
          <w:color w:val="000000"/>
          <w:sz w:val="24"/>
          <w:szCs w:val="24"/>
        </w:rPr>
      </w:r>
      <w:r/>
    </w:p>
    <w:p>
      <w:pPr>
        <w:pStyle w:val="700"/>
        <w:numPr>
          <w:ilvl w:val="1"/>
          <w:numId w:val="21"/>
        </w:numPr>
        <w:ind w:left="0" w:firstLine="0"/>
        <w:jc w:val="left"/>
        <w:spacing w:before="0" w:after="0" w:line="360" w:lineRule="auto"/>
        <w:widowControl/>
        <w:tabs>
          <w:tab w:val="left" w:pos="425" w:leader="none"/>
          <w:tab w:val="left" w:pos="560" w:leader="none"/>
        </w:tabs>
        <w:rPr>
          <w:rFonts w:ascii="仿宋" w:hAnsi="仿宋" w:eastAsia="仿宋"/>
          <w:color w:val="000000"/>
        </w:rPr>
      </w:pPr>
      <w:r/>
      <w:bookmarkStart w:id="210" w:name="_Toc16762"/>
      <w:r>
        <w:rPr>
          <w:rFonts w:hint="eastAsia" w:ascii="仿宋" w:hAnsi="仿宋" w:eastAsia="仿宋"/>
          <w:color w:val="000000"/>
        </w:rPr>
        <w:t xml:space="preserve">网络系统建设</w:t>
      </w:r>
      <w:bookmarkEnd w:id="210"/>
      <w:r>
        <w:rPr>
          <w:rFonts w:hint="eastAsia" w:ascii="仿宋" w:hAnsi="仿宋" w:eastAsia="仿宋"/>
          <w:color w:val="000000"/>
          <w:lang w:eastAsia="en-US"/>
        </w:rPr>
        <w:t xml:space="preserve">要求</w:t>
      </w:r>
      <w:r>
        <w:rPr>
          <w:rFonts w:ascii="仿宋" w:hAnsi="仿宋" w:eastAsia="仿宋"/>
          <w:color w:val="000000"/>
        </w:rPr>
      </w:r>
      <w:r/>
    </w:p>
    <w:p>
      <w:pPr>
        <w:pStyle w:val="698"/>
        <w:ind w:firstLine="560"/>
        <w:rPr>
          <w:rFonts w:ascii="宋体"/>
          <w:bCs/>
          <w:color w:val="000000"/>
          <w:sz w:val="24"/>
          <w:szCs w:val="24"/>
        </w:rPr>
      </w:pPr>
      <w:r>
        <w:rPr>
          <w:rFonts w:hint="eastAsia" w:ascii="宋体"/>
          <w:bCs/>
          <w:color w:val="000000"/>
          <w:sz w:val="24"/>
          <w:szCs w:val="24"/>
        </w:rPr>
        <w:t xml:space="preserve">本项目建设的系统将部署在无锡政务云的政务外网区域，依托政务云平台的网络系统对外提供访问服务。</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面向政府机构用户，目前无锡市各级市场监督管理局均已完成了政务外网的接入，机构内用户均可通过政务外网访问本系统。</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面向外部用户，主要是第三方机构和市场主体，通过政务云的DMZ区将部署在政务外网的系统的访问地址映射到互联网，从而满足外部用户访问使用本系统的需求。</w:t>
      </w:r>
      <w:r>
        <w:rPr>
          <w:rFonts w:ascii="宋体"/>
          <w:bCs/>
          <w:color w:val="000000"/>
          <w:sz w:val="24"/>
          <w:szCs w:val="24"/>
        </w:rPr>
      </w:r>
      <w:r/>
    </w:p>
    <w:p>
      <w:pPr>
        <w:pStyle w:val="701"/>
        <w:numPr>
          <w:ilvl w:val="2"/>
          <w:numId w:val="21"/>
        </w:numPr>
        <w:ind w:left="720" w:firstLine="0"/>
        <w:jc w:val="left"/>
        <w:spacing w:before="240" w:after="0" w:line="360" w:lineRule="auto"/>
        <w:widowControl/>
        <w:tabs>
          <w:tab w:val="left" w:pos="425" w:leader="none"/>
          <w:tab w:val="left" w:pos="560" w:leader="none"/>
        </w:tabs>
        <w:rPr>
          <w:rFonts w:ascii="仿宋" w:hAnsi="仿宋" w:eastAsia="仿宋"/>
          <w:color w:val="000000"/>
        </w:rPr>
      </w:pPr>
      <w:r>
        <w:rPr>
          <w:rFonts w:hint="eastAsia" w:ascii="仿宋" w:hAnsi="仿宋" w:eastAsia="仿宋"/>
          <w:color w:val="000000"/>
        </w:rPr>
        <w:t xml:space="preserve">网络安全要求</w:t>
      </w:r>
      <w:r>
        <w:rPr>
          <w:rFonts w:ascii="仿宋" w:hAnsi="仿宋" w:eastAsia="仿宋"/>
          <w:color w:val="000000"/>
        </w:rPr>
      </w:r>
      <w:r/>
    </w:p>
    <w:p>
      <w:pPr>
        <w:pStyle w:val="698"/>
        <w:ind w:firstLine="560"/>
        <w:rPr>
          <w:rFonts w:ascii="宋体"/>
          <w:bCs/>
          <w:color w:val="000000"/>
          <w:sz w:val="24"/>
          <w:szCs w:val="24"/>
        </w:rPr>
      </w:pPr>
      <w:r>
        <w:rPr>
          <w:rFonts w:hint="eastAsia" w:ascii="宋体"/>
          <w:bCs/>
          <w:color w:val="000000"/>
          <w:sz w:val="24"/>
          <w:szCs w:val="24"/>
        </w:rPr>
        <w:t xml:space="preserve">系统平台应符合网络安全保障体系相关标准规范和市场监管有关安全管理要求，系统应符合国家信息化系统相关标准规范和市场监管领域数据规范要求，保证系统数据的完整性。</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要求整体平台网络安全能通过网络安全二级以上等保要求，具体等保等级视等保备案审核后确定的安全等级来要求。投标人应协助采购人完成本项目涉及的信息系统安全等级保护测评认定工作。</w:t>
      </w:r>
      <w:r>
        <w:rPr>
          <w:rFonts w:ascii="宋体"/>
          <w:bCs/>
          <w:color w:val="000000"/>
          <w:sz w:val="24"/>
          <w:szCs w:val="24"/>
        </w:rPr>
      </w:r>
      <w:r/>
    </w:p>
    <w:p>
      <w:pPr>
        <w:pStyle w:val="701"/>
        <w:numPr>
          <w:ilvl w:val="2"/>
          <w:numId w:val="21"/>
        </w:numPr>
        <w:ind w:left="720" w:firstLine="0"/>
        <w:jc w:val="left"/>
        <w:spacing w:before="240" w:after="0" w:line="360" w:lineRule="auto"/>
        <w:widowControl/>
        <w:tabs>
          <w:tab w:val="left" w:pos="425" w:leader="none"/>
          <w:tab w:val="left" w:pos="560" w:leader="none"/>
        </w:tabs>
        <w:rPr>
          <w:rFonts w:ascii="仿宋" w:hAnsi="仿宋" w:eastAsia="仿宋"/>
          <w:color w:val="000000"/>
        </w:rPr>
      </w:pPr>
      <w:r>
        <w:rPr>
          <w:rFonts w:hint="eastAsia" w:ascii="仿宋" w:hAnsi="仿宋" w:eastAsia="仿宋"/>
          <w:color w:val="000000"/>
        </w:rPr>
        <w:t xml:space="preserve">系统安全要求</w:t>
      </w:r>
      <w:r>
        <w:rPr>
          <w:rFonts w:ascii="仿宋" w:hAnsi="仿宋" w:eastAsia="仿宋"/>
          <w:color w:val="000000"/>
        </w:rPr>
      </w:r>
      <w:r/>
    </w:p>
    <w:p>
      <w:pPr>
        <w:pStyle w:val="698"/>
        <w:ind w:firstLine="560"/>
        <w:rPr>
          <w:rFonts w:ascii="仿宋" w:hAnsi="仿宋" w:eastAsia="仿宋"/>
          <w:color w:val="000000"/>
        </w:rPr>
      </w:pPr>
      <w:r>
        <w:rPr>
          <w:rFonts w:hint="eastAsia" w:ascii="宋体"/>
          <w:bCs/>
          <w:color w:val="000000"/>
          <w:sz w:val="24"/>
          <w:szCs w:val="24"/>
        </w:rPr>
        <w:t xml:space="preserve">系统应具备完善的用户识别体系。通过对主客体进行正确的标识和标注，执行自主访问控制和强制访问控制混合的访问控制机制，保证授权访问的可控性</w:t>
      </w:r>
      <w:r>
        <w:rPr>
          <w:rFonts w:hint="eastAsia" w:ascii="仿宋" w:hAnsi="仿宋"/>
          <w:color w:val="000000"/>
        </w:rPr>
        <w:t xml:space="preserve">。</w:t>
      </w:r>
      <w:r>
        <w:rPr>
          <w:rFonts w:ascii="仿宋" w:hAnsi="仿宋" w:eastAsia="仿宋"/>
          <w:color w:val="000000"/>
        </w:rPr>
      </w:r>
      <w:r/>
    </w:p>
    <w:p>
      <w:pPr>
        <w:pStyle w:val="701"/>
        <w:numPr>
          <w:ilvl w:val="2"/>
          <w:numId w:val="21"/>
        </w:numPr>
        <w:ind w:left="720" w:firstLine="0"/>
        <w:jc w:val="left"/>
        <w:spacing w:before="240" w:after="0" w:line="360" w:lineRule="auto"/>
        <w:widowControl/>
        <w:tabs>
          <w:tab w:val="left" w:pos="425" w:leader="none"/>
          <w:tab w:val="left" w:pos="560" w:leader="none"/>
        </w:tabs>
        <w:rPr>
          <w:rFonts w:ascii="仿宋" w:hAnsi="仿宋" w:eastAsia="仿宋"/>
          <w:color w:val="000000"/>
        </w:rPr>
      </w:pPr>
      <w:r>
        <w:rPr>
          <w:rFonts w:hint="eastAsia" w:ascii="仿宋" w:hAnsi="仿宋" w:eastAsia="仿宋"/>
          <w:color w:val="000000"/>
        </w:rPr>
        <w:t xml:space="preserve">数据安全要求</w:t>
      </w:r>
      <w:r>
        <w:rPr>
          <w:rFonts w:ascii="仿宋" w:hAnsi="仿宋" w:eastAsia="仿宋"/>
          <w:color w:val="000000"/>
        </w:rPr>
      </w:r>
      <w:r/>
    </w:p>
    <w:p>
      <w:pPr>
        <w:pStyle w:val="698"/>
        <w:ind w:firstLine="560"/>
        <w:rPr>
          <w:rFonts w:ascii="宋体"/>
          <w:bCs/>
          <w:color w:val="000000"/>
          <w:sz w:val="24"/>
          <w:szCs w:val="24"/>
        </w:rPr>
      </w:pPr>
      <w:r>
        <w:rPr>
          <w:rFonts w:hint="eastAsia" w:ascii="宋体"/>
          <w:bCs/>
          <w:color w:val="000000"/>
          <w:sz w:val="24"/>
          <w:szCs w:val="24"/>
        </w:rPr>
        <w:t xml:space="preserve">分析结果数据是本项目的关键性数据，要保证数据的安全和隐私，因此系统的建设需考虑到：数据库应设置预定的备份策略、按照用户级别来授权用户对数据访问、关键数据的修改记录应记录详细的操作日志和以备追查、数据的传输与关键敏感的数据的存放需进行一定的加密处理。</w:t>
      </w:r>
      <w:r>
        <w:rPr>
          <w:rFonts w:ascii="宋体"/>
          <w:bCs/>
          <w:color w:val="000000"/>
          <w:sz w:val="24"/>
          <w:szCs w:val="24"/>
        </w:rPr>
      </w:r>
      <w:r/>
    </w:p>
    <w:p>
      <w:pPr>
        <w:pStyle w:val="701"/>
        <w:numPr>
          <w:ilvl w:val="2"/>
          <w:numId w:val="21"/>
        </w:numPr>
        <w:ind w:left="720" w:firstLine="0"/>
        <w:jc w:val="left"/>
        <w:spacing w:before="240" w:after="0" w:line="360" w:lineRule="auto"/>
        <w:widowControl/>
        <w:tabs>
          <w:tab w:val="left" w:pos="425" w:leader="none"/>
          <w:tab w:val="left" w:pos="560" w:leader="none"/>
        </w:tabs>
        <w:rPr>
          <w:rFonts w:ascii="仿宋" w:hAnsi="仿宋" w:eastAsia="仿宋"/>
          <w:color w:val="000000"/>
        </w:rPr>
      </w:pPr>
      <w:r>
        <w:rPr>
          <w:rFonts w:hint="eastAsia" w:ascii="仿宋" w:hAnsi="仿宋" w:eastAsia="仿宋"/>
          <w:color w:val="000000"/>
        </w:rPr>
        <w:t xml:space="preserve">应用安全要求</w:t>
      </w:r>
      <w:r>
        <w:rPr>
          <w:rFonts w:ascii="仿宋" w:hAnsi="仿宋" w:eastAsia="仿宋"/>
          <w:color w:val="000000"/>
        </w:rPr>
      </w:r>
      <w:r/>
    </w:p>
    <w:p>
      <w:pPr>
        <w:pStyle w:val="698"/>
        <w:ind w:firstLine="562"/>
        <w:rPr>
          <w:rFonts w:ascii="宋体"/>
          <w:bCs/>
          <w:color w:val="000000"/>
          <w:sz w:val="24"/>
          <w:szCs w:val="24"/>
        </w:rPr>
      </w:pPr>
      <w:r>
        <w:rPr>
          <w:rFonts w:hint="eastAsia" w:ascii="宋体"/>
          <w:bCs/>
          <w:color w:val="000000"/>
          <w:sz w:val="24"/>
          <w:szCs w:val="24"/>
        </w:rPr>
        <w:t xml:space="preserve">应用级安全包括统一身份认证,统一权限管理等,其包括系统软件和应用软件应具有访问控制功能，包括用户登录访问控制、角色权限控制、目录级安全控制、文件属性安全控制等。</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用户在使用开发的系统时应采用实名制方式注册；用户密码等关键信息应采用加密方式保存。</w:t>
      </w:r>
      <w:r>
        <w:rPr>
          <w:rFonts w:ascii="宋体"/>
          <w:bCs/>
          <w:color w:val="000000"/>
          <w:sz w:val="24"/>
          <w:szCs w:val="24"/>
        </w:rPr>
      </w:r>
      <w:r/>
    </w:p>
    <w:p>
      <w:pPr>
        <w:pStyle w:val="700"/>
        <w:numPr>
          <w:ilvl w:val="1"/>
          <w:numId w:val="21"/>
        </w:numPr>
        <w:ind w:left="0" w:firstLine="0"/>
        <w:jc w:val="left"/>
        <w:spacing w:before="0" w:after="0" w:line="360" w:lineRule="auto"/>
        <w:widowControl/>
        <w:tabs>
          <w:tab w:val="left" w:pos="425" w:leader="none"/>
          <w:tab w:val="left" w:pos="560" w:leader="none"/>
        </w:tabs>
        <w:rPr>
          <w:rFonts w:ascii="仿宋" w:hAnsi="仿宋" w:eastAsia="仿宋"/>
          <w:color w:val="000000"/>
        </w:rPr>
      </w:pPr>
      <w:r>
        <w:rPr>
          <w:rFonts w:hint="eastAsia" w:ascii="仿宋" w:hAnsi="仿宋" w:eastAsia="仿宋"/>
          <w:color w:val="000000"/>
        </w:rPr>
        <w:t xml:space="preserve">性能要求</w:t>
      </w:r>
      <w:r>
        <w:rPr>
          <w:rFonts w:ascii="仿宋" w:hAnsi="仿宋" w:eastAsia="仿宋"/>
          <w:color w:val="000000"/>
        </w:rPr>
      </w:r>
      <w:r/>
    </w:p>
    <w:p>
      <w:pPr>
        <w:pStyle w:val="698"/>
        <w:ind w:firstLine="562"/>
        <w:rPr>
          <w:rFonts w:ascii="宋体"/>
          <w:bCs/>
          <w:color w:val="000000"/>
          <w:sz w:val="24"/>
          <w:szCs w:val="24"/>
        </w:rPr>
      </w:pPr>
      <w:r>
        <w:rPr>
          <w:rFonts w:hint="eastAsia" w:ascii="宋体"/>
          <w:bCs/>
          <w:color w:val="000000"/>
          <w:sz w:val="24"/>
          <w:szCs w:val="24"/>
        </w:rPr>
        <w:t xml:space="preserve">考虑到系统的整体规范、方便易用、稳定可靠等特性，在项目建设上对系统提出如下需求：</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1.可用性</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系统能使用IE浏览器、360浏览器等当前国内用户常用浏览器。系统能够完成所要求的所有功能操作，同时具有良好的运行速度，有较高的数据承载能力，在网络稳定的环境下操作性界面单一操作（500用户）的系统响应时间小于2秒，复杂操作（500用户）的系统响应时间小于5秒；整个系统平均年故障时间应控制在8小时以内，即可用性达到99.9%，操作平均响应时间不超过3秒。</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2.稳定（可靠）性</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数据的定期安全备份，防止误操作，权限设置合理，网络、数据安全，有完善的灾难应急功能和恢复能力，系统应提供7×24小时的连续运行，平均故障修复时间：&lt;30分钟；各业务系统对用户的操作顺序、输入的数据进行正确性检查，并以显著方式提示错误信息。系统需有出错处理机制，当系统运行过程中发生错误时，系统将明确提示错误信息并指导用户按照系统错误处理手册进行处理。系统应提供运行监视和故障恢复机制，建立系统运行日志文件，能跟踪系统的所有操作。系统配备软件异常处理措施。</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3.易用性</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系统用户界面友好，主页满足个性化设置，功能模块可根据用户角色不同、用户的工作任务不同而实现自由定制。系统使用操作简便。操作人员对照使用说明书就可操作，或者略经培训就可方便操作；通过提供下拉菜单、弹出页面等多种展现方式的快捷方式，减少用户机械操作。对于常用不变的数据项、重复数据项、可枚举的数据项、自动产生的数据项，设置为缺省值或自动提供，以减少用户录入。</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4.可维护性</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易于管理，系统维护方便，能够方便快速的将数据转入系统，系统必须是构件化、面向对象的，可做到灵活扩展。提供服务器系统管理与维护、操作系统管理与维护、应用系统软件管理与维护、数据库管理与维护以及数据库备份、应用系统备份、灾难事件处理与解决实施方案等。为系统中多个功能平台提供可视化的管理界面，允许部分用户进行设置。</w:t>
      </w:r>
      <w:r>
        <w:rPr>
          <w:rFonts w:ascii="宋体"/>
          <w:bCs/>
          <w:color w:val="000000"/>
          <w:sz w:val="24"/>
          <w:szCs w:val="24"/>
        </w:rPr>
      </w:r>
      <w:r/>
    </w:p>
    <w:p>
      <w:pPr>
        <w:pStyle w:val="698"/>
        <w:ind w:firstLine="562"/>
        <w:rPr>
          <w:rFonts w:ascii="宋体"/>
          <w:bCs/>
          <w:color w:val="000000"/>
          <w:sz w:val="24"/>
          <w:szCs w:val="24"/>
        </w:rPr>
      </w:pPr>
      <w:r>
        <w:rPr>
          <w:rFonts w:hint="eastAsia" w:ascii="宋体"/>
          <w:bCs/>
          <w:color w:val="000000"/>
          <w:sz w:val="24"/>
          <w:szCs w:val="24"/>
        </w:rPr>
        <w:t xml:space="preserve">5.可扩展性</w:t>
      </w:r>
      <w:r>
        <w:rPr>
          <w:rFonts w:ascii="宋体"/>
          <w:bCs/>
          <w:color w:val="000000"/>
          <w:sz w:val="24"/>
          <w:szCs w:val="24"/>
        </w:rPr>
      </w:r>
      <w:r/>
    </w:p>
    <w:p>
      <w:pPr>
        <w:pStyle w:val="698"/>
        <w:ind w:firstLine="560"/>
        <w:rPr>
          <w:rFonts w:ascii="仿宋" w:hAnsi="仿宋"/>
          <w:color w:val="000000"/>
        </w:rPr>
      </w:pPr>
      <w:r>
        <w:rPr>
          <w:rFonts w:hint="eastAsia" w:ascii="仿宋" w:hAnsi="仿宋"/>
          <w:color w:val="000000"/>
        </w:rPr>
        <w:t xml:space="preserve">系统在设计过程中充分考虑可扩充性，能根据技术发展和业务需求增加不断升级扩展。系统充分考虑可能的扩展内容，为其提供接口。</w:t>
      </w:r>
      <w:r>
        <w:rPr>
          <w:rFonts w:ascii="仿宋" w:hAnsi="仿宋"/>
          <w:color w:val="000000"/>
        </w:rPr>
      </w:r>
      <w:r/>
    </w:p>
    <w:p>
      <w:pPr>
        <w:pStyle w:val="698"/>
        <w:rPr>
          <w:rFonts w:ascii="Calibri" w:hAnsi="Calibri"/>
          <w:color w:val="000000"/>
          <w:szCs w:val="24"/>
        </w:rPr>
      </w:pPr>
      <w:r>
        <w:rPr>
          <w:rFonts w:ascii="Calibri" w:hAnsi="Calibri"/>
          <w:color w:val="000000"/>
          <w:szCs w:val="24"/>
        </w:rPr>
      </w:r>
      <w:r/>
    </w:p>
    <w:p>
      <w:pPr>
        <w:pStyle w:val="700"/>
        <w:numPr>
          <w:ilvl w:val="1"/>
          <w:numId w:val="21"/>
        </w:numPr>
        <w:ind w:left="0" w:firstLine="0"/>
        <w:jc w:val="left"/>
        <w:spacing w:before="0" w:after="0" w:line="360" w:lineRule="auto"/>
        <w:widowControl/>
        <w:tabs>
          <w:tab w:val="left" w:pos="425" w:leader="none"/>
          <w:tab w:val="left" w:pos="560" w:leader="none"/>
        </w:tabs>
        <w:rPr>
          <w:rFonts w:ascii="仿宋" w:hAnsi="仿宋" w:eastAsia="仿宋"/>
          <w:color w:val="000000"/>
          <w:lang w:eastAsia="en-US"/>
        </w:rPr>
      </w:pPr>
      <w:r>
        <w:rPr>
          <w:rFonts w:hint="eastAsia" w:ascii="仿宋" w:hAnsi="仿宋" w:eastAsia="仿宋"/>
          <w:color w:val="000000"/>
          <w:lang w:eastAsia="en-US"/>
        </w:rPr>
        <w:t xml:space="preserve">服务期限、标准及要求</w:t>
      </w:r>
      <w:r>
        <w:rPr>
          <w:rFonts w:ascii="仿宋" w:hAnsi="仿宋" w:eastAsia="仿宋"/>
          <w:color w:val="000000"/>
          <w:lang w:eastAsia="en-US"/>
        </w:rPr>
      </w:r>
      <w:r/>
    </w:p>
    <w:p>
      <w:pPr>
        <w:pStyle w:val="698"/>
        <w:ind w:firstLine="562"/>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一</w:t>
      </w:r>
      <w:r>
        <w:rPr>
          <w:rFonts w:ascii="宋体"/>
          <w:bCs/>
          <w:color w:val="000000"/>
          <w:sz w:val="24"/>
          <w:szCs w:val="24"/>
        </w:rPr>
        <w:t xml:space="preserve">）</w:t>
      </w:r>
      <w:r>
        <w:rPr>
          <w:rFonts w:hint="eastAsia" w:ascii="宋体"/>
          <w:bCs/>
          <w:color w:val="000000"/>
          <w:sz w:val="24"/>
          <w:szCs w:val="24"/>
        </w:rPr>
        <w:t xml:space="preserve">项目实施要求</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整个项目软件质保期（免费运维服务期）为验收合格后三年，质保期间的维护服务不收取任何额外费用，由成交供应商提供免费的软件维护服务、技术服务支持，包括系统维护、性能提升、故障检测等，并保证系统正常运行，如果软件功能变更超出项目范围的百分之二十，按照工作量测算结果增加相应的服务费用。</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项目运维服务期内，需要不少于1名专业技术支撑人员提供驻场服务，由此产生的一切费用均由成交供应商承担。</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在项目验收后的服务期内，如因需要增加系统功能而产生的费用，双方另议；如果是软件设计漏洞或偏差，成交供应商必须及时修正，且不另收费用。</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成交供应商应提供实时在线的客户服务和现场服务。除驻场服务外，应具备灵活多样的通讯手段，提供7×24小时响应服务。实时解决常见问题。</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故障响应：成交供应商在接到系统故障报修要求时，半小时内做出明确响应和维护安排，在2小时内为建设单位提供维护服务，并做出故障诊断报告，3小时内恢复正常。</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热线服务：成交供应商应提供热线电话、E-mail、传真、网站等途径，随时接受建设单位提出的各种技术和使用问题，不能即时解决的问题要在1小时内提出解决方案。</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系统巡检：每月至少提供4次对系统进行巡检服务，及时发现和排除潜在问题或故障隐患，保证系统的稳定运行。</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系统升级：质保期内成交供应商应提供免费的系统软件升级服务。升级内容包括解决的BUG、采纳用户建议以及业务需求调整实现的功能和其他内容。</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供应商应具备相关的售后服务体系，在承诺服务期内提供完善、及时、无推诿的应用软件等项目实施范围内的服务保障。</w:t>
      </w:r>
      <w:r>
        <w:rPr>
          <w:rFonts w:ascii="宋体"/>
          <w:bCs/>
          <w:color w:val="000000"/>
          <w:sz w:val="24"/>
          <w:szCs w:val="24"/>
        </w:rPr>
      </w:r>
      <w:r/>
    </w:p>
    <w:p>
      <w:pPr>
        <w:pStyle w:val="698"/>
        <w:ind w:firstLine="562"/>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二</w:t>
      </w:r>
      <w:r>
        <w:rPr>
          <w:rFonts w:ascii="宋体"/>
          <w:bCs/>
          <w:color w:val="000000"/>
          <w:sz w:val="24"/>
          <w:szCs w:val="24"/>
        </w:rPr>
        <w:t xml:space="preserve">）</w:t>
      </w:r>
      <w:r>
        <w:rPr>
          <w:rFonts w:hint="eastAsia" w:ascii="宋体"/>
          <w:bCs/>
          <w:color w:val="000000"/>
          <w:sz w:val="24"/>
          <w:szCs w:val="24"/>
        </w:rPr>
        <w:t xml:space="preserve">培训要求</w:t>
      </w:r>
      <w:r>
        <w:rPr>
          <w:rFonts w:ascii="宋体"/>
          <w:bCs/>
          <w:color w:val="000000"/>
          <w:sz w:val="24"/>
          <w:szCs w:val="24"/>
        </w:rPr>
      </w:r>
      <w:r/>
    </w:p>
    <w:p>
      <w:pPr>
        <w:pStyle w:val="698"/>
        <w:rPr>
          <w:rFonts w:ascii="宋体"/>
          <w:bCs/>
          <w:color w:val="000000"/>
          <w:sz w:val="24"/>
          <w:szCs w:val="24"/>
        </w:rPr>
      </w:pPr>
      <w:r>
        <w:rPr>
          <w:rFonts w:hint="eastAsia" w:ascii="宋体"/>
          <w:bCs/>
          <w:color w:val="000000"/>
          <w:sz w:val="24"/>
          <w:szCs w:val="24"/>
        </w:rPr>
        <w:t xml:space="preserve">1、成交供应商必须提供相应的应用软件技术和系统操作等方面的培训内容。有关应用软件的操作培训课程，培训应该在本期项目验收完成前进行。</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2、成交供应商应提供面向系统管理员的应用软件系统结构、设计等方面的培训。项目实施入场，成交供应商将详细的培训课程以及时间表交给采购人，最后以采购人认可为准。</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3、成交供应商派出的培训教员应具有丰富的同类课程的教学经验和应用经验；所有的培训教员必须用中文授课；成交供应商必须为所有被培训人员提供培训用文字资料和讲义等相关材料。</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4、成交供应商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同时成交供应商应考虑到市县两级用户的相应培训方案。</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5、培训方式包括课堂讲解、上机操作和实际工作的参与。</w:t>
      </w:r>
      <w:r>
        <w:rPr>
          <w:rFonts w:ascii="宋体"/>
          <w:bCs/>
          <w:color w:val="000000"/>
          <w:sz w:val="24"/>
          <w:szCs w:val="24"/>
        </w:rPr>
      </w:r>
      <w:r/>
    </w:p>
    <w:p>
      <w:pPr>
        <w:pStyle w:val="698"/>
        <w:ind w:firstLine="562"/>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三</w:t>
      </w:r>
      <w:r>
        <w:rPr>
          <w:rFonts w:ascii="宋体"/>
          <w:bCs/>
          <w:color w:val="000000"/>
          <w:sz w:val="24"/>
          <w:szCs w:val="24"/>
        </w:rPr>
        <w:t xml:space="preserve">）</w:t>
      </w:r>
      <w:r>
        <w:rPr>
          <w:rFonts w:hint="eastAsia" w:ascii="宋体"/>
          <w:bCs/>
          <w:color w:val="000000"/>
          <w:sz w:val="24"/>
          <w:szCs w:val="24"/>
        </w:rPr>
        <w:t xml:space="preserve">知识产权和保密要求 </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本项目的最终用户为采购人，本项目所产生的知识产权归采购人独享，成交供应商必须提供项目的所有开发和技术文档。本项目中采购的商业软件（含自主品牌），最终许可用户名为采购人。</w:t>
      </w:r>
      <w:r>
        <w:rPr>
          <w:rFonts w:ascii="宋体"/>
          <w:bCs/>
          <w:color w:val="000000"/>
          <w:sz w:val="24"/>
          <w:szCs w:val="24"/>
        </w:rPr>
      </w:r>
      <w:r/>
    </w:p>
    <w:p>
      <w:pPr>
        <w:pStyle w:val="698"/>
        <w:ind w:firstLine="560"/>
        <w:rPr>
          <w:rFonts w:ascii="宋体"/>
          <w:bCs/>
          <w:color w:val="000000"/>
          <w:sz w:val="24"/>
          <w:szCs w:val="24"/>
        </w:rPr>
      </w:pPr>
      <w:r>
        <w:rPr>
          <w:rFonts w:hint="eastAsia" w:ascii="宋体"/>
          <w:bCs/>
          <w:color w:val="000000"/>
          <w:sz w:val="24"/>
          <w:szCs w:val="24"/>
        </w:rPr>
        <w:t xml:space="preserve">供应商须承诺所提供的系统（含平台）不依赖于任何第三方商业平台或商业收费软件的支持和环境。 </w:t>
      </w:r>
      <w:r>
        <w:rPr>
          <w:rFonts w:ascii="宋体"/>
          <w:bCs/>
          <w:color w:val="000000"/>
          <w:sz w:val="24"/>
          <w:szCs w:val="24"/>
        </w:rPr>
      </w:r>
      <w:r/>
    </w:p>
    <w:p>
      <w:pPr>
        <w:pStyle w:val="698"/>
        <w:rPr>
          <w:rFonts w:ascii="Calibri" w:hAnsi="Calibri"/>
          <w:color w:val="000000"/>
          <w:szCs w:val="24"/>
        </w:rPr>
      </w:pPr>
      <w:r>
        <w:rPr>
          <w:rFonts w:ascii="Calibri" w:hAnsi="Calibri"/>
          <w:color w:val="000000"/>
          <w:szCs w:val="24"/>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hint="eastAsia" w:ascii="宋体" w:hAnsi="宋体"/>
          <w:b/>
          <w:color w:val="000000"/>
          <w:sz w:val="30"/>
          <w:szCs w:val="30"/>
        </w:rPr>
      </w:pPr>
      <w:r>
        <w:rPr>
          <w:rFonts w:hint="eastAsia" w:ascii="宋体" w:hAnsi="宋体"/>
          <w:b/>
          <w:color w:val="000000"/>
          <w:sz w:val="30"/>
          <w:szCs w:val="30"/>
        </w:rPr>
      </w:r>
      <w:r/>
    </w:p>
    <w:p>
      <w:pPr>
        <w:pStyle w:val="698"/>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9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w:t>
      </w:r>
      <w:r>
        <w:rPr>
          <w:rFonts w:hint="eastAsia" w:ascii="宋体" w:hAnsi="宋体"/>
          <w:bCs/>
          <w:color w:val="000000"/>
          <w:sz w:val="24"/>
          <w:szCs w:val="24"/>
        </w:rPr>
        <w:t xml:space="preserve">务要求的从项目中标起到项目正式交付以及服务期内所发生的一切费用</w:t>
      </w:r>
      <w:r>
        <w:rPr>
          <w:rFonts w:hint="eastAsia" w:ascii="宋体" w:hAnsi="宋体"/>
          <w:bCs/>
          <w:color w:val="000000"/>
          <w:sz w:val="24"/>
          <w:szCs w:val="24"/>
        </w:rPr>
        <w:t xml:space="preserve">。</w:t>
      </w:r>
      <w:r>
        <w:rPr>
          <w:rFonts w:ascii="宋体"/>
          <w:bCs/>
          <w:color w:val="000000"/>
          <w:sz w:val="24"/>
          <w:szCs w:val="24"/>
        </w:rPr>
      </w:r>
      <w:r/>
    </w:p>
    <w:p>
      <w:pPr>
        <w:pStyle w:val="69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rPr>
          <w:rFonts w:ascii="宋体"/>
          <w:bCs/>
          <w:color w:val="000000"/>
          <w:sz w:val="24"/>
          <w:szCs w:val="24"/>
        </w:rPr>
      </w:r>
      <w:r/>
    </w:p>
    <w:p>
      <w:pPr>
        <w:pStyle w:val="698"/>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69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98"/>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免费运维服务期</w:t>
      </w:r>
      <w:r>
        <w:rPr>
          <w:rFonts w:hint="eastAsia" w:ascii="宋体"/>
          <w:bCs/>
          <w:color w:val="000000"/>
          <w:sz w:val="24"/>
          <w:szCs w:val="24"/>
        </w:rPr>
        <w:t xml:space="preserve">：</w:t>
      </w:r>
      <w:r>
        <w:rPr>
          <w:rFonts w:hint="eastAsia" w:ascii="宋体"/>
          <w:bCs/>
          <w:color w:val="000000"/>
          <w:sz w:val="24"/>
          <w:szCs w:val="24"/>
        </w:rPr>
        <w:t xml:space="preserve">三年</w:t>
      </w:r>
      <w:r>
        <w:rPr>
          <w:rFonts w:ascii="宋体"/>
          <w:bCs/>
          <w:color w:val="000000"/>
          <w:sz w:val="24"/>
          <w:szCs w:val="24"/>
        </w:rPr>
      </w:r>
      <w:r/>
    </w:p>
    <w:p>
      <w:pPr>
        <w:pStyle w:val="69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cs="宋体"/>
          <w:color w:val="000000"/>
          <w:sz w:val="24"/>
        </w:rPr>
        <w:t xml:space="preserve">自合同签订生效后一个月内支付2</w:t>
      </w:r>
      <w:r>
        <w:rPr>
          <w:rFonts w:ascii="宋体" w:hAnsi="宋体" w:cs="宋体"/>
          <w:color w:val="000000"/>
          <w:sz w:val="24"/>
        </w:rPr>
        <w:t xml:space="preserve">0%</w:t>
      </w:r>
      <w:r>
        <w:rPr>
          <w:rFonts w:hint="eastAsia" w:ascii="宋体" w:hAnsi="宋体" w:cs="宋体"/>
          <w:color w:val="000000"/>
          <w:sz w:val="24"/>
        </w:rPr>
        <w:t xml:space="preserve">合同款；项目验收合格后一个月内支付7</w:t>
      </w:r>
      <w:r>
        <w:rPr>
          <w:rFonts w:ascii="宋体" w:hAnsi="宋体" w:cs="宋体"/>
          <w:color w:val="000000"/>
          <w:sz w:val="24"/>
        </w:rPr>
        <w:t xml:space="preserve">0</w:t>
      </w:r>
      <w:r>
        <w:rPr>
          <w:rFonts w:hint="eastAsia" w:ascii="宋体" w:hAnsi="宋体" w:cs="宋体"/>
          <w:color w:val="000000"/>
          <w:sz w:val="24"/>
        </w:rPr>
        <w:t xml:space="preserve">%合同款；项目验收合格一年后支付1</w:t>
      </w:r>
      <w:r>
        <w:rPr>
          <w:rFonts w:ascii="宋体" w:hAnsi="宋体" w:cs="宋体"/>
          <w:color w:val="000000"/>
          <w:sz w:val="24"/>
        </w:rPr>
        <w:t xml:space="preserve">0</w:t>
      </w:r>
      <w:r>
        <w:rPr>
          <w:rFonts w:hint="eastAsia" w:ascii="宋体" w:hAnsi="宋体" w:cs="宋体"/>
          <w:color w:val="000000"/>
          <w:sz w:val="24"/>
        </w:rPr>
        <w:t xml:space="preserve">%合同款</w:t>
      </w:r>
      <w:r>
        <w:rPr>
          <w:rFonts w:ascii="宋体"/>
          <w:bCs/>
          <w:color w:val="000000"/>
          <w:sz w:val="24"/>
          <w:szCs w:val="24"/>
        </w:rPr>
      </w:r>
      <w:r/>
    </w:p>
    <w:p>
      <w:pPr>
        <w:pStyle w:val="69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 </w:t>
      </w:r>
      <w:r>
        <w:rPr>
          <w:rFonts w:hint="eastAsia" w:ascii="宋体" w:hAnsi="宋体"/>
          <w:bCs/>
          <w:color w:val="000000"/>
          <w:sz w:val="24"/>
          <w:szCs w:val="24"/>
        </w:rPr>
        <w:t xml:space="preserve">无锡</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9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69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color w:val="000000"/>
          <w:sz w:val="24"/>
          <w:szCs w:val="24"/>
        </w:rPr>
      </w:r>
      <w:r/>
    </w:p>
    <w:p>
      <w:pPr>
        <w:pStyle w:val="69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69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698"/>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698"/>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98"/>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98"/>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9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9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698"/>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98"/>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698"/>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698"/>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69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中标、成交供应商可以采用电子履约保函形式，具体操作可登陆江苏政府采购网的保险保函模块进行办理。</w:t>
      </w:r>
      <w:r/>
    </w:p>
    <w:p>
      <w:pPr>
        <w:pStyle w:val="698"/>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698"/>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69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9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698"/>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211"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86"/>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86"/>
        <w:spacing w:before="0" w:after="0" w:line="500" w:lineRule="exact"/>
        <w:rPr>
          <w:rFonts w:hint="eastAsia" w:cs="Arial"/>
          <w:color w:val="000000"/>
        </w:rPr>
      </w:pPr>
      <w:r>
        <w:rPr>
          <w:rFonts w:hint="eastAsia" w:cs="Arial"/>
          <w:color w:val="000000"/>
        </w:rPr>
        <w:t xml:space="preserve">比较与评价采用综合评分法。</w:t>
      </w:r>
      <w:r/>
    </w:p>
    <w:p>
      <w:pPr>
        <w:pStyle w:val="786"/>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786"/>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86"/>
        <w:spacing w:before="0" w:after="0" w:line="500" w:lineRule="exact"/>
        <w:rPr>
          <w:rFonts w:hint="eastAsia" w:ascii="宋体" w:hAnsi="宋体"/>
          <w:bCs/>
          <w:color w:val="000000"/>
        </w:rPr>
      </w:pPr>
      <w:r>
        <w:rPr>
          <w:rFonts w:hint="eastAsia" w:ascii="宋体" w:hAnsi="宋体"/>
          <w:bCs/>
          <w:color w:val="00000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6"/>
        <w:ind w:firstLine="602"/>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786"/>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98"/>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9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9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9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9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9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9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98"/>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86"/>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9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22</w:t>
      </w:r>
      <w:r>
        <w:rPr>
          <w:rFonts w:hint="eastAsia" w:ascii="宋体" w:hAnsi="宋体"/>
          <w:b/>
          <w:bCs/>
          <w:color w:val="000000"/>
          <w:sz w:val="24"/>
          <w:szCs w:val="24"/>
        </w:rPr>
        <w:t xml:space="preserve">分）：</w:t>
      </w:r>
      <w:r>
        <w:rPr>
          <w:rFonts w:ascii="宋体" w:hAnsi="宋体"/>
          <w:b/>
          <w:bCs/>
          <w:color w:val="000000"/>
          <w:sz w:val="24"/>
          <w:szCs w:val="24"/>
        </w:rPr>
      </w:r>
      <w:r/>
    </w:p>
    <w:p>
      <w:pPr>
        <w:pStyle w:val="69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9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9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9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98"/>
        <w:ind w:firstLine="480"/>
        <w:spacing w:line="500" w:lineRule="exact"/>
        <w:rPr>
          <w:rFonts w:ascii="宋体" w:hAnsi="宋体"/>
          <w:color w:val="000000"/>
          <w:sz w:val="24"/>
        </w:rPr>
      </w:pPr>
      <w:r>
        <w:rPr>
          <w:rFonts w:hint="eastAsia" w:ascii="宋体" w:hAnsi="宋体"/>
          <w:color w:val="000000"/>
          <w:sz w:val="24"/>
        </w:rPr>
        <w:t xml:space="preserve">2.1  </w:t>
      </w:r>
      <w:r>
        <w:rPr>
          <w:rFonts w:hint="eastAsia" w:ascii="宋体" w:hAnsi="宋体"/>
          <w:color w:val="000000"/>
          <w:sz w:val="24"/>
        </w:rPr>
        <w:t xml:space="preserve">项目团队成员具备：信息系统项目管理师，软件设计师，系统集成项目管理工程师。每具备其中一类证书得1分，最多得3分，单人多证仅算一证。</w:t>
      </w:r>
      <w:r>
        <w:rPr>
          <w:rFonts w:ascii="宋体" w:hAnsi="宋体"/>
          <w:color w:val="000000"/>
          <w:sz w:val="24"/>
        </w:rPr>
      </w:r>
      <w:r/>
    </w:p>
    <w:p>
      <w:pPr>
        <w:pStyle w:val="69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ascii="宋体" w:hAnsi="宋体"/>
          <w:b/>
          <w:bCs/>
          <w:color w:val="000000"/>
          <w:sz w:val="24"/>
          <w:szCs w:val="24"/>
        </w:rPr>
      </w:r>
      <w:r/>
    </w:p>
    <w:p>
      <w:pPr>
        <w:pStyle w:val="698"/>
        <w:ind w:firstLine="480"/>
        <w:spacing w:line="5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业绩（</w:t>
      </w:r>
      <w:r>
        <w:rPr>
          <w:rFonts w:hint="eastAsia" w:ascii="宋体" w:hAnsi="宋体"/>
          <w:color w:val="000000"/>
          <w:sz w:val="24"/>
        </w:rPr>
        <w:t xml:space="preserve">2</w:t>
      </w:r>
      <w:r>
        <w:rPr>
          <w:rFonts w:hint="eastAsia" w:ascii="宋体" w:hAnsi="宋体"/>
          <w:color w:val="000000"/>
          <w:sz w:val="24"/>
        </w:rPr>
        <w:t xml:space="preserve">分）投标人具有与本项目类似的成功案例，每提供一份有效合同复印件得1分，最高不超过</w:t>
      </w:r>
      <w:r>
        <w:rPr>
          <w:rFonts w:hint="eastAsia" w:ascii="宋体" w:hAnsi="宋体"/>
          <w:color w:val="000000"/>
          <w:sz w:val="24"/>
        </w:rPr>
        <w:t xml:space="preserve">2</w:t>
      </w:r>
      <w:r>
        <w:rPr>
          <w:rFonts w:hint="eastAsia" w:ascii="宋体" w:hAnsi="宋体"/>
          <w:color w:val="000000"/>
          <w:sz w:val="24"/>
        </w:rPr>
        <w:t xml:space="preserve">分；合同扫描件上传至投标系统中。</w:t>
      </w:r>
      <w:r>
        <w:rPr>
          <w:rFonts w:ascii="宋体" w:hAnsi="宋体"/>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3.2  </w:t>
      </w:r>
      <w:r>
        <w:rPr>
          <w:rFonts w:hint="eastAsia" w:ascii="宋体" w:hAnsi="宋体"/>
          <w:color w:val="000000"/>
          <w:sz w:val="24"/>
        </w:rPr>
        <w:t xml:space="preserve">荣誉（1分）投标人获得过与项目相关的市级及以上荣誉的，得1分。</w:t>
      </w:r>
      <w:r>
        <w:rPr>
          <w:rFonts w:hint="eastAsia" w:ascii="宋体" w:hAnsi="宋体"/>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3.3认证证书（5分）投标人具有质量管理体系认证证书、信息安全管理体系认证证书、职业健康安全管理体系认证证书、隐私信息安全管理体系认证证书、业务连续性管理体系认证证书，每一项得1分，合计最高得5分。上传证书扫描件至系统。同时还须提供该证书在“国家市场监督管理总局-全国认证认可信息公共服务平台”网站查询到的有效认证截图。</w:t>
      </w:r>
      <w:r/>
    </w:p>
    <w:p>
      <w:pPr>
        <w:pStyle w:val="698"/>
        <w:ind w:firstLine="480"/>
        <w:spacing w:line="500" w:lineRule="exact"/>
        <w:rPr>
          <w:rFonts w:ascii="宋体" w:hAnsi="宋体"/>
          <w:color w:val="000000"/>
          <w:sz w:val="24"/>
        </w:rPr>
      </w:pPr>
      <w:r>
        <w:rPr>
          <w:rFonts w:hint="eastAsia" w:ascii="宋体" w:hAnsi="宋体"/>
          <w:color w:val="000000"/>
          <w:sz w:val="24"/>
        </w:rPr>
        <w:t xml:space="preserve">3.4软著（</w:t>
      </w:r>
      <w:r>
        <w:rPr>
          <w:rFonts w:hint="eastAsia" w:ascii="宋体" w:hAnsi="宋体"/>
          <w:color w:val="000000"/>
          <w:sz w:val="24"/>
        </w:rPr>
        <w:t xml:space="preserve">2</w:t>
      </w:r>
      <w:r>
        <w:rPr>
          <w:rFonts w:hint="eastAsia" w:ascii="宋体" w:hAnsi="宋体"/>
          <w:color w:val="000000"/>
          <w:sz w:val="24"/>
        </w:rPr>
        <w:t xml:space="preserve">分）投标人拥有数据采集，可视化数据加工，</w:t>
      </w:r>
      <w:r>
        <w:rPr>
          <w:rFonts w:hint="eastAsia" w:ascii="宋体" w:hAnsi="宋体"/>
          <w:color w:val="000000"/>
          <w:sz w:val="24"/>
        </w:rPr>
        <w:t xml:space="preserve">数据资产管理，数据治理等相关软件著作权，每个证书得0.5分，最多得</w:t>
      </w:r>
      <w:r>
        <w:rPr>
          <w:rFonts w:hint="eastAsia" w:ascii="宋体" w:hAnsi="宋体"/>
          <w:color w:val="000000"/>
          <w:sz w:val="24"/>
        </w:rPr>
        <w:t xml:space="preserve">2</w:t>
      </w:r>
      <w:r>
        <w:rPr>
          <w:rFonts w:hint="eastAsia" w:ascii="宋体" w:hAnsi="宋体"/>
          <w:color w:val="000000"/>
          <w:sz w:val="24"/>
        </w:rPr>
        <w:t xml:space="preserve">分。</w:t>
      </w:r>
      <w:r>
        <w:rPr>
          <w:rFonts w:ascii="宋体" w:hAnsi="宋体"/>
          <w:color w:val="000000"/>
          <w:sz w:val="24"/>
        </w:rPr>
      </w:r>
      <w:r/>
    </w:p>
    <w:p>
      <w:pPr>
        <w:pStyle w:val="69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53</w:t>
      </w:r>
      <w:r>
        <w:rPr>
          <w:rFonts w:hint="eastAsia" w:ascii="宋体" w:hAnsi="宋体"/>
          <w:b/>
          <w:bCs/>
          <w:color w:val="000000"/>
          <w:sz w:val="24"/>
          <w:szCs w:val="24"/>
        </w:rPr>
        <w:t xml:space="preserve">分）</w:t>
      </w:r>
      <w:r>
        <w:rPr>
          <w:rFonts w:ascii="宋体" w:hAnsi="宋体"/>
          <w:b/>
          <w:bCs/>
          <w:color w:val="000000"/>
          <w:sz w:val="24"/>
          <w:szCs w:val="24"/>
        </w:rPr>
      </w:r>
      <w:r/>
    </w:p>
    <w:p>
      <w:pPr>
        <w:pStyle w:val="698"/>
        <w:ind w:firstLine="480"/>
        <w:spacing w:line="500" w:lineRule="exact"/>
        <w:rPr>
          <w:rFonts w:ascii="宋体" w:hAnsi="宋体"/>
          <w:color w:val="000000"/>
          <w:sz w:val="24"/>
        </w:rPr>
      </w:pPr>
      <w:r>
        <w:rPr>
          <w:rFonts w:hint="eastAsia" w:ascii="宋体" w:hAnsi="宋体"/>
          <w:color w:val="000000"/>
          <w:sz w:val="24"/>
        </w:rPr>
        <w:t xml:space="preserve">4.1  </w:t>
      </w:r>
      <w:r>
        <w:rPr>
          <w:rFonts w:hint="eastAsia" w:ascii="宋体" w:hAnsi="宋体"/>
          <w:color w:val="000000"/>
          <w:sz w:val="24"/>
        </w:rPr>
        <w:t xml:space="preserve">项目总体方案（</w:t>
      </w:r>
      <w:r>
        <w:rPr>
          <w:rFonts w:hint="eastAsia" w:ascii="宋体" w:hAnsi="宋体"/>
          <w:color w:val="000000"/>
          <w:sz w:val="24"/>
        </w:rPr>
        <w:t xml:space="preserve">7</w:t>
      </w:r>
      <w:r>
        <w:rPr>
          <w:rFonts w:hint="eastAsia" w:ascii="宋体" w:hAnsi="宋体"/>
          <w:color w:val="000000"/>
          <w:sz w:val="24"/>
        </w:rPr>
        <w:t xml:space="preserve">分）对项目整体方案进行评价，包括总体架构、技术路线、系统功能详细设计等。有具体、完整、可行的技术保障措施，且合理、先进、针对性好，完全满足且优于采购需求的，得</w:t>
      </w:r>
      <w:r>
        <w:rPr>
          <w:rFonts w:hint="eastAsia" w:ascii="宋体" w:hAnsi="宋体"/>
          <w:color w:val="000000"/>
          <w:sz w:val="24"/>
        </w:rPr>
        <w:t xml:space="preserve">7</w:t>
      </w:r>
      <w:r>
        <w:rPr>
          <w:rFonts w:hint="eastAsia" w:ascii="宋体" w:hAnsi="宋体"/>
          <w:color w:val="000000"/>
          <w:sz w:val="24"/>
        </w:rPr>
        <w:t xml:space="preserve">分；有较为具体、完整、可行的技术保障措施，且较为合理,但针对性一般，满足采购需求的，得</w:t>
      </w:r>
      <w:r>
        <w:rPr>
          <w:rFonts w:hint="eastAsia" w:ascii="宋体" w:hAnsi="宋体"/>
          <w:color w:val="000000"/>
          <w:sz w:val="24"/>
        </w:rPr>
        <w:t xml:space="preserve">5</w:t>
      </w:r>
      <w:r>
        <w:rPr>
          <w:rFonts w:hint="eastAsia" w:ascii="宋体" w:hAnsi="宋体"/>
          <w:color w:val="000000"/>
          <w:sz w:val="24"/>
        </w:rPr>
        <w:t xml:space="preserve">分；有具体、可行的技术保障措施，但针对性差，不完全满足采购需求的，得</w:t>
      </w:r>
      <w:r>
        <w:rPr>
          <w:rFonts w:hint="eastAsia" w:ascii="宋体" w:hAnsi="宋体"/>
          <w:color w:val="000000"/>
          <w:sz w:val="24"/>
        </w:rPr>
        <w:t xml:space="preserve">3</w:t>
      </w:r>
      <w:r>
        <w:rPr>
          <w:rFonts w:hint="eastAsia" w:ascii="宋体" w:hAnsi="宋体"/>
          <w:color w:val="000000"/>
          <w:sz w:val="24"/>
        </w:rPr>
        <w:t xml:space="preserve">分</w:t>
      </w:r>
      <w:r>
        <w:rPr>
          <w:rFonts w:ascii="宋体" w:hAnsi="宋体"/>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4.2 信息资源规划和数据库建设（</w:t>
      </w:r>
      <w:r>
        <w:rPr>
          <w:rFonts w:hint="eastAsia" w:ascii="宋体" w:hAnsi="宋体"/>
          <w:color w:val="000000"/>
          <w:sz w:val="24"/>
        </w:rPr>
        <w:t xml:space="preserve">7分</w:t>
      </w:r>
      <w:r>
        <w:rPr>
          <w:rFonts w:hint="eastAsia" w:ascii="宋体" w:hAnsi="宋体"/>
          <w:color w:val="000000"/>
          <w:sz w:val="24"/>
        </w:rPr>
        <w:t xml:space="preserve">）根据招标文件中对“信息资源规划和数据库”的建设要求，能详细说明所有模块的业务含义，技术思路合理、采用的技术先进、可操作性强，得7分；对所有模块的业务含义说明较为粗略，技术思路较为合理、采用的技术较为可行，得</w:t>
      </w:r>
      <w:r>
        <w:rPr>
          <w:rFonts w:hint="eastAsia" w:ascii="宋体" w:hAnsi="宋体"/>
          <w:color w:val="000000"/>
          <w:sz w:val="24"/>
        </w:rPr>
        <w:t xml:space="preserve">5</w:t>
      </w:r>
      <w:r>
        <w:rPr>
          <w:rFonts w:hint="eastAsia" w:ascii="宋体" w:hAnsi="宋体"/>
          <w:color w:val="000000"/>
          <w:sz w:val="24"/>
        </w:rPr>
        <w:t xml:space="preserve">分；只对关键模块的业务含义说进行了粗略说明，得</w:t>
      </w:r>
      <w:r>
        <w:rPr>
          <w:rFonts w:hint="eastAsia" w:ascii="宋体" w:hAnsi="宋体"/>
          <w:color w:val="000000"/>
          <w:sz w:val="24"/>
        </w:rPr>
        <w:t xml:space="preserve">3</w:t>
      </w:r>
      <w:r>
        <w:rPr>
          <w:rFonts w:hint="eastAsia" w:ascii="宋体" w:hAnsi="宋体"/>
          <w:color w:val="000000"/>
          <w:sz w:val="24"/>
        </w:rPr>
        <w:t xml:space="preserve">分；未对关键模块的业务含义说进行说明，得0分</w:t>
      </w:r>
      <w:r>
        <w:rPr>
          <w:rFonts w:hint="eastAsia" w:ascii="宋体" w:hAnsi="宋体"/>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4.3质量数据管理（</w:t>
      </w:r>
      <w:r>
        <w:rPr>
          <w:rFonts w:hint="eastAsia" w:ascii="宋体" w:hAnsi="宋体"/>
          <w:color w:val="000000"/>
          <w:sz w:val="24"/>
        </w:rPr>
        <w:t xml:space="preserve">7分</w:t>
      </w:r>
      <w:r>
        <w:rPr>
          <w:rFonts w:hint="eastAsia" w:ascii="宋体" w:hAnsi="宋体"/>
          <w:color w:val="000000"/>
          <w:sz w:val="24"/>
        </w:rPr>
        <w:t xml:space="preserve">）根据招标文件中对“质量数据管理”的建设要求，能详细说明所有模块的业务含义，技术思路合理、采用的技术先进、可操作性强，得7分；对所有模块的业务含义说明较为粗略，技术思路较为合理、采用的技术较为可行，得</w:t>
      </w:r>
      <w:r>
        <w:rPr>
          <w:rFonts w:hint="eastAsia" w:ascii="宋体" w:hAnsi="宋体"/>
          <w:color w:val="000000"/>
          <w:sz w:val="24"/>
        </w:rPr>
        <w:t xml:space="preserve">5</w:t>
      </w:r>
      <w:r>
        <w:rPr>
          <w:rFonts w:hint="eastAsia" w:ascii="宋体" w:hAnsi="宋体"/>
          <w:color w:val="000000"/>
          <w:sz w:val="24"/>
        </w:rPr>
        <w:t xml:space="preserve">分；只对关键模块的业务含义说进行了粗略说明，得</w:t>
      </w:r>
      <w:r>
        <w:rPr>
          <w:rFonts w:hint="eastAsia" w:ascii="宋体" w:hAnsi="宋体"/>
          <w:color w:val="000000"/>
          <w:sz w:val="24"/>
        </w:rPr>
        <w:t xml:space="preserve">3</w:t>
      </w:r>
      <w:r>
        <w:rPr>
          <w:rFonts w:hint="eastAsia" w:ascii="宋体" w:hAnsi="宋体"/>
          <w:color w:val="000000"/>
          <w:sz w:val="24"/>
        </w:rPr>
        <w:t xml:space="preserve">分；未对关键模块的业务含义说进行说明，得0分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4.4一屏观质量（</w:t>
      </w:r>
      <w:r>
        <w:rPr>
          <w:rFonts w:hint="eastAsia" w:ascii="宋体" w:hAnsi="宋体"/>
          <w:color w:val="000000"/>
          <w:sz w:val="24"/>
        </w:rPr>
        <w:t xml:space="preserve">7</w:t>
      </w:r>
      <w:r>
        <w:rPr>
          <w:rFonts w:hint="eastAsia" w:ascii="宋体" w:hAnsi="宋体"/>
          <w:color w:val="000000"/>
          <w:sz w:val="24"/>
        </w:rPr>
        <w:t xml:space="preserve">分</w:t>
      </w:r>
      <w:r>
        <w:rPr>
          <w:rFonts w:hint="eastAsia" w:ascii="宋体" w:hAnsi="宋体"/>
          <w:color w:val="000000"/>
          <w:sz w:val="24"/>
        </w:rPr>
        <w:t xml:space="preserve">）根据招标文件中对“一屏观质量”的建设要求，能详细说明所有模块的业务含义，技术思路合理、采用的技术先进、可操作性强，得</w:t>
      </w:r>
      <w:r>
        <w:rPr>
          <w:rFonts w:hint="eastAsia" w:ascii="宋体" w:hAnsi="宋体"/>
          <w:color w:val="000000"/>
          <w:sz w:val="24"/>
        </w:rPr>
        <w:t xml:space="preserve">7</w:t>
      </w:r>
      <w:r>
        <w:rPr>
          <w:rFonts w:hint="eastAsia" w:ascii="宋体" w:hAnsi="宋体"/>
          <w:color w:val="000000"/>
          <w:sz w:val="24"/>
        </w:rPr>
        <w:t xml:space="preserve">分；对所有模块的业务含义说明较为粗略，技术思路较为合理、采用的技术较为可行，得</w:t>
      </w:r>
      <w:r>
        <w:rPr>
          <w:rFonts w:hint="eastAsia" w:ascii="宋体" w:hAnsi="宋体"/>
          <w:color w:val="000000"/>
          <w:sz w:val="24"/>
        </w:rPr>
        <w:t xml:space="preserve">5</w:t>
      </w:r>
      <w:r>
        <w:rPr>
          <w:rFonts w:hint="eastAsia" w:ascii="宋体" w:hAnsi="宋体"/>
          <w:color w:val="000000"/>
          <w:sz w:val="24"/>
        </w:rPr>
        <w:t xml:space="preserve">分；只对关键模块的业务含义说进行了粗略说明，得</w:t>
      </w:r>
      <w:r>
        <w:rPr>
          <w:rFonts w:hint="eastAsia" w:ascii="宋体" w:hAnsi="宋体"/>
          <w:color w:val="000000"/>
          <w:sz w:val="24"/>
        </w:rPr>
        <w:t xml:space="preserve">3</w:t>
      </w:r>
      <w:r>
        <w:rPr>
          <w:rFonts w:hint="eastAsia" w:ascii="宋体" w:hAnsi="宋体"/>
          <w:color w:val="000000"/>
          <w:sz w:val="24"/>
        </w:rPr>
        <w:t xml:space="preserve">分；未对关键模块的业务含义说进行说明，得0分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4.5锡质安（</w:t>
      </w:r>
      <w:r>
        <w:rPr>
          <w:rFonts w:hint="eastAsia" w:ascii="宋体" w:hAnsi="宋体"/>
          <w:color w:val="000000"/>
          <w:sz w:val="24"/>
        </w:rPr>
        <w:t xml:space="preserve">7</w:t>
      </w:r>
      <w:r>
        <w:rPr>
          <w:rFonts w:hint="eastAsia" w:ascii="宋体" w:hAnsi="宋体"/>
          <w:color w:val="000000"/>
          <w:sz w:val="24"/>
        </w:rPr>
        <w:t xml:space="preserve">分</w:t>
      </w:r>
      <w:r>
        <w:rPr>
          <w:rFonts w:hint="eastAsia" w:ascii="宋体" w:hAnsi="宋体"/>
          <w:color w:val="000000"/>
          <w:sz w:val="24"/>
        </w:rPr>
        <w:t xml:space="preserve">）根据招标文件中对“锡质安”的建设要求，能详细说明所有模块的业务含义，技术思路合理、采用的技术先进、可操作性强，得</w:t>
      </w:r>
      <w:r>
        <w:rPr>
          <w:rFonts w:hint="eastAsia" w:ascii="宋体" w:hAnsi="宋体"/>
          <w:color w:val="000000"/>
          <w:sz w:val="24"/>
        </w:rPr>
        <w:t xml:space="preserve">7</w:t>
      </w:r>
      <w:r>
        <w:rPr>
          <w:rFonts w:hint="eastAsia" w:ascii="宋体" w:hAnsi="宋体"/>
          <w:color w:val="000000"/>
          <w:sz w:val="24"/>
        </w:rPr>
        <w:t xml:space="preserve">分；对所有模块的业务含义说明较为粗略，技术思路较为合理、采用的技术较为可行，得</w:t>
      </w:r>
      <w:r>
        <w:rPr>
          <w:rFonts w:hint="eastAsia" w:ascii="宋体" w:hAnsi="宋体"/>
          <w:color w:val="000000"/>
          <w:sz w:val="24"/>
        </w:rPr>
        <w:t xml:space="preserve">5</w:t>
      </w:r>
      <w:r>
        <w:rPr>
          <w:rFonts w:hint="eastAsia" w:ascii="宋体" w:hAnsi="宋体"/>
          <w:color w:val="000000"/>
          <w:sz w:val="24"/>
        </w:rPr>
        <w:t xml:space="preserve">分；只对关键模块的业务含义说进行了粗略说明，得</w:t>
      </w:r>
      <w:r>
        <w:rPr>
          <w:rFonts w:hint="eastAsia" w:ascii="宋体" w:hAnsi="宋体"/>
          <w:color w:val="000000"/>
          <w:sz w:val="24"/>
        </w:rPr>
        <w:t xml:space="preserve">3</w:t>
      </w:r>
      <w:r>
        <w:rPr>
          <w:rFonts w:hint="eastAsia" w:ascii="宋体" w:hAnsi="宋体"/>
          <w:color w:val="000000"/>
          <w:sz w:val="24"/>
        </w:rPr>
        <w:t xml:space="preserve">分；未对关键模块的业务含义说进行说明，得0分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4.6</w:t>
      </w:r>
      <w:r>
        <w:rPr>
          <w:rFonts w:hint="eastAsia"/>
          <w:color w:val="000000"/>
        </w:rPr>
        <w:t xml:space="preserve"> </w:t>
      </w:r>
      <w:r>
        <w:rPr>
          <w:rFonts w:hint="eastAsia" w:ascii="宋体" w:hAnsi="宋体"/>
          <w:color w:val="000000"/>
          <w:sz w:val="24"/>
        </w:rPr>
        <w:t xml:space="preserve">E链通（</w:t>
      </w:r>
      <w:r>
        <w:rPr>
          <w:rFonts w:hint="eastAsia" w:ascii="宋体" w:hAnsi="宋体"/>
          <w:color w:val="000000"/>
          <w:sz w:val="24"/>
        </w:rPr>
        <w:t xml:space="preserve">7</w:t>
      </w:r>
      <w:r>
        <w:rPr>
          <w:rFonts w:hint="eastAsia" w:ascii="宋体" w:hAnsi="宋体"/>
          <w:color w:val="000000"/>
          <w:sz w:val="24"/>
        </w:rPr>
        <w:t xml:space="preserve">分</w:t>
      </w:r>
      <w:r>
        <w:rPr>
          <w:rFonts w:hint="eastAsia" w:ascii="宋体" w:hAnsi="宋体"/>
          <w:color w:val="000000"/>
          <w:sz w:val="24"/>
        </w:rPr>
        <w:t xml:space="preserve">）根据招标文件中对“E链通”的建设要求，能详细说明所有模块的业务含义，技术思路合理、采用的技术先进、可操作性强，得</w:t>
      </w:r>
      <w:r>
        <w:rPr>
          <w:rFonts w:hint="eastAsia" w:ascii="宋体" w:hAnsi="宋体"/>
          <w:color w:val="000000"/>
          <w:sz w:val="24"/>
        </w:rPr>
        <w:t xml:space="preserve">7</w:t>
      </w:r>
      <w:r>
        <w:rPr>
          <w:rFonts w:hint="eastAsia" w:ascii="宋体" w:hAnsi="宋体"/>
          <w:color w:val="000000"/>
          <w:sz w:val="24"/>
        </w:rPr>
        <w:t xml:space="preserve">分；对所有模块的业务含义说明较为粗略，技术思路较为合理、采用的技术较为可行，得</w:t>
      </w:r>
      <w:r>
        <w:rPr>
          <w:rFonts w:hint="eastAsia" w:ascii="宋体" w:hAnsi="宋体"/>
          <w:color w:val="000000"/>
          <w:sz w:val="24"/>
        </w:rPr>
        <w:t xml:space="preserve">5</w:t>
      </w:r>
      <w:r>
        <w:rPr>
          <w:rFonts w:hint="eastAsia" w:ascii="宋体" w:hAnsi="宋体"/>
          <w:color w:val="000000"/>
          <w:sz w:val="24"/>
        </w:rPr>
        <w:t xml:space="preserve">分；只对关键模块的业务含义说进行了粗略说明，得</w:t>
      </w:r>
      <w:r>
        <w:rPr>
          <w:rFonts w:hint="eastAsia" w:ascii="宋体" w:hAnsi="宋体"/>
          <w:color w:val="000000"/>
          <w:sz w:val="24"/>
        </w:rPr>
        <w:t xml:space="preserve">3</w:t>
      </w:r>
      <w:r>
        <w:rPr>
          <w:rFonts w:hint="eastAsia" w:ascii="宋体" w:hAnsi="宋体"/>
          <w:color w:val="000000"/>
          <w:sz w:val="24"/>
        </w:rPr>
        <w:t xml:space="preserve">分；未对关键模块的业务含义说进行说明，得0分</w:t>
      </w:r>
      <w:r>
        <w:rPr>
          <w:rFonts w:hint="eastAsia" w:ascii="宋体" w:hAnsi="宋体"/>
          <w:color w:val="000000"/>
          <w:sz w:val="24"/>
        </w:rPr>
        <w:t xml:space="preserve">。</w:t>
      </w:r>
      <w:r>
        <w:rPr>
          <w:rFonts w:hint="eastAsia" w:ascii="宋体" w:hAnsi="宋体"/>
          <w:color w:val="000000"/>
          <w:sz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4.7</w:t>
      </w:r>
      <w:r>
        <w:rPr>
          <w:rFonts w:hint="eastAsia"/>
          <w:color w:val="000000"/>
        </w:rPr>
        <w:t xml:space="preserve"> </w:t>
      </w:r>
      <w:r>
        <w:rPr>
          <w:rFonts w:hint="eastAsia" w:ascii="宋体" w:hAnsi="宋体"/>
          <w:color w:val="000000"/>
          <w:sz w:val="24"/>
        </w:rPr>
        <w:t xml:space="preserve">N应用（</w:t>
      </w:r>
      <w:r>
        <w:rPr>
          <w:rFonts w:hint="eastAsia" w:ascii="宋体" w:hAnsi="宋体"/>
          <w:color w:val="000000"/>
          <w:sz w:val="24"/>
        </w:rPr>
        <w:t xml:space="preserve">7分</w:t>
      </w:r>
      <w:r>
        <w:rPr>
          <w:rFonts w:hint="eastAsia" w:ascii="宋体" w:hAnsi="宋体"/>
          <w:color w:val="000000"/>
          <w:sz w:val="24"/>
        </w:rPr>
        <w:t xml:space="preserve">）根据招标文件中对“N应用”的建设要求，能详细说明所有模块的业务含义，技术思路合理、采用的技术先进、可操作性强，得7分；对所有模块的业务含义说明较为粗略，技术思路较为合理、采用的技术较为可行，得</w:t>
      </w:r>
      <w:r>
        <w:rPr>
          <w:rFonts w:hint="eastAsia" w:ascii="宋体" w:hAnsi="宋体"/>
          <w:color w:val="000000"/>
          <w:sz w:val="24"/>
        </w:rPr>
        <w:t xml:space="preserve">5</w:t>
      </w:r>
      <w:r>
        <w:rPr>
          <w:rFonts w:hint="eastAsia" w:ascii="宋体" w:hAnsi="宋体"/>
          <w:color w:val="000000"/>
          <w:sz w:val="24"/>
        </w:rPr>
        <w:t xml:space="preserve">分；只对关键模块的业务含义说进行了粗略说明，得</w:t>
      </w:r>
      <w:r>
        <w:rPr>
          <w:rFonts w:hint="eastAsia" w:ascii="宋体" w:hAnsi="宋体"/>
          <w:color w:val="000000"/>
          <w:sz w:val="24"/>
        </w:rPr>
        <w:t xml:space="preserve">3</w:t>
      </w:r>
      <w:r>
        <w:rPr>
          <w:rFonts w:hint="eastAsia" w:ascii="宋体" w:hAnsi="宋体"/>
          <w:color w:val="000000"/>
          <w:sz w:val="24"/>
        </w:rPr>
        <w:t xml:space="preserve">分；未对关键模块的业务含义说进行说明，得0分</w:t>
      </w:r>
      <w:r/>
    </w:p>
    <w:p>
      <w:pPr>
        <w:pStyle w:val="698"/>
        <w:ind w:firstLine="480"/>
        <w:spacing w:line="500" w:lineRule="exact"/>
        <w:rPr>
          <w:rFonts w:ascii="宋体" w:hAnsi="宋体"/>
          <w:color w:val="000000"/>
          <w:sz w:val="24"/>
        </w:rPr>
      </w:pPr>
      <w:r>
        <w:rPr>
          <w:rFonts w:hint="eastAsia" w:ascii="宋体" w:hAnsi="宋体"/>
          <w:color w:val="000000"/>
          <w:sz w:val="24"/>
        </w:rPr>
        <w:t xml:space="preserve">4.8售后服务方案（</w:t>
      </w:r>
      <w:r>
        <w:rPr>
          <w:rFonts w:hint="eastAsia" w:ascii="宋体" w:hAnsi="宋体"/>
          <w:color w:val="000000"/>
          <w:sz w:val="24"/>
        </w:rPr>
        <w:t xml:space="preserve">4分</w:t>
      </w:r>
      <w:r>
        <w:rPr>
          <w:rFonts w:hint="eastAsia" w:ascii="宋体" w:hAnsi="宋体"/>
          <w:color w:val="000000"/>
          <w:sz w:val="24"/>
        </w:rPr>
        <w:t xml:space="preserve">）根据投标人提供的售后服务及项目实施方案进行评价，售后及实施方案全面、合理、切实可行的得</w:t>
      </w:r>
      <w:r>
        <w:rPr>
          <w:rFonts w:hint="eastAsia" w:ascii="宋体" w:hAnsi="宋体"/>
          <w:color w:val="000000"/>
          <w:sz w:val="24"/>
        </w:rPr>
        <w:t xml:space="preserve">4</w:t>
      </w:r>
      <w:r>
        <w:rPr>
          <w:rFonts w:hint="eastAsia" w:ascii="宋体" w:hAnsi="宋体"/>
          <w:color w:val="000000"/>
          <w:sz w:val="24"/>
        </w:rPr>
        <w:t xml:space="preserve">分；较为全面、合理、切实可行，得</w:t>
      </w:r>
      <w:r>
        <w:rPr>
          <w:rFonts w:hint="eastAsia" w:ascii="宋体" w:hAnsi="宋体"/>
          <w:color w:val="000000"/>
          <w:sz w:val="24"/>
        </w:rPr>
        <w:t xml:space="preserve">3</w:t>
      </w:r>
      <w:r>
        <w:rPr>
          <w:rFonts w:hint="eastAsia" w:ascii="宋体" w:hAnsi="宋体"/>
          <w:color w:val="000000"/>
          <w:sz w:val="24"/>
        </w:rPr>
        <w:t xml:space="preserve">分；不全面、不太合理，得</w:t>
      </w:r>
      <w:r>
        <w:rPr>
          <w:rFonts w:hint="eastAsia" w:ascii="宋体" w:hAnsi="宋体"/>
          <w:color w:val="000000"/>
          <w:sz w:val="24"/>
        </w:rPr>
        <w:t xml:space="preserve">2</w:t>
      </w:r>
      <w:r>
        <w:rPr>
          <w:rFonts w:hint="eastAsia" w:ascii="宋体" w:hAnsi="宋体"/>
          <w:color w:val="000000"/>
          <w:sz w:val="24"/>
        </w:rPr>
        <w:t xml:space="preserve">分</w:t>
      </w:r>
      <w:r>
        <w:rPr>
          <w:rFonts w:hint="eastAsia" w:ascii="宋体" w:hAnsi="宋体"/>
          <w:color w:val="000000"/>
          <w:sz w:val="24"/>
        </w:rPr>
        <w:t xml:space="preserve">。</w:t>
      </w:r>
      <w:r>
        <w:rPr>
          <w:rFonts w:ascii="宋体" w:hAnsi="宋体"/>
          <w:color w:val="000000"/>
          <w:sz w:val="24"/>
        </w:rPr>
      </w:r>
      <w:r/>
    </w:p>
    <w:p>
      <w:pPr>
        <w:pStyle w:val="698"/>
        <w:numPr>
          <w:ilvl w:val="4"/>
          <w:numId w:val="9"/>
        </w:numPr>
        <w:ind w:left="0" w:firstLine="482"/>
        <w:spacing w:line="500" w:lineRule="exact"/>
        <w:tabs>
          <w:tab w:val="left" w:pos="525" w:leader="none"/>
          <w:tab w:val="left" w:pos="945" w:leader="none"/>
          <w:tab w:val="left" w:pos="1155" w:leader="none"/>
          <w:tab w:val="clear" w:pos="2250" w:leader="none"/>
        </w:tabs>
        <w:rPr>
          <w:rFonts w:ascii="宋体"/>
          <w:b/>
          <w:bCs/>
          <w:color w:val="000000"/>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rPr>
        <w:t xml:space="preserve">1</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hint="eastAsia" w:ascii="宋体" w:hAnsi="宋体"/>
          <w:bCs/>
          <w:color w:val="000000"/>
          <w:sz w:val="24"/>
          <w:szCs w:val="24"/>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w:t>
      </w:r>
      <w:r>
        <w:rPr>
          <w:rFonts w:hint="eastAsia" w:ascii="宋体" w:hAnsi="宋体"/>
          <w:bCs/>
          <w:color w:val="000000"/>
          <w:sz w:val="24"/>
          <w:szCs w:val="24"/>
        </w:rPr>
        <w:t xml:space="preserve">《操作手册》</w:t>
      </w:r>
      <w:r>
        <w:rPr>
          <w:rFonts w:hint="eastAsia" w:ascii="宋体" w:hAnsi="宋体"/>
          <w:bCs/>
          <w:color w:val="000000"/>
          <w:sz w:val="24"/>
          <w:szCs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hint="eastAsia" w:ascii="宋体" w:hAnsi="宋体"/>
          <w:bCs/>
          <w:color w:val="000000"/>
          <w:sz w:val="24"/>
          <w:szCs w:val="24"/>
        </w:rPr>
        <w:t xml:space="preserve">。</w:t>
      </w:r>
      <w:r>
        <w:rPr>
          <w:rFonts w:ascii="宋体"/>
          <w:b/>
          <w:bCs/>
          <w:color w:val="000000"/>
          <w:sz w:val="24"/>
          <w:szCs w:val="24"/>
        </w:rPr>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5.1数据加工演示</w:t>
      </w:r>
      <w:r>
        <w:rPr>
          <w:rFonts w:hint="eastAsia" w:ascii="宋体" w:hAnsi="宋体"/>
          <w:color w:val="000000"/>
          <w:sz w:val="24"/>
        </w:rPr>
        <w:t xml:space="preserve">（3分）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演示通过图形化拖、拉、拽的操作方式实现质量奖企业与市场主体关联的数据加工流程。整个数据加工流程应至少包括跨库关联、文件和数据库表关联、行列转换、文字转换成id、显示隐藏字段、大小写转换、过滤、排序等操作，数据加工每一步操作都有对应节点进行记录，支持任意回退、重做操作。（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（2）演示对上述数据加工结果数据按任意维度进行聚合操作，数据加工结果数据点击任意字段，可在加工流程图上查看该字段的加工路径。（1分）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（3）演示根据数据加工前后依赖关系，系统自动生成任务调度作业计划，生成的作业计划中应智能确定串行或并行作业顺序。（1分）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5.2</w:t>
      </w:r>
      <w:r>
        <w:rPr>
          <w:rFonts w:hint="eastAsia" w:ascii="宋体" w:hAnsi="宋体"/>
          <w:color w:val="000000"/>
          <w:sz w:val="24"/>
        </w:rPr>
        <w:t xml:space="preserve">查</w:t>
      </w:r>
      <w:r>
        <w:rPr>
          <w:rFonts w:hint="eastAsia" w:ascii="宋体" w:hAnsi="宋体"/>
          <w:color w:val="000000"/>
          <w:sz w:val="24"/>
        </w:rPr>
        <w:t xml:space="preserve">询功能演示（</w:t>
      </w:r>
      <w:r>
        <w:rPr>
          <w:rFonts w:hint="eastAsia" w:ascii="宋体" w:hAnsi="宋体"/>
          <w:color w:val="000000"/>
          <w:sz w:val="24"/>
        </w:rPr>
        <w:t xml:space="preserve">2</w:t>
      </w:r>
      <w:r>
        <w:rPr>
          <w:rFonts w:hint="eastAsia" w:ascii="宋体" w:hAnsi="宋体"/>
          <w:color w:val="000000"/>
          <w:sz w:val="24"/>
        </w:rPr>
        <w:t xml:space="preserve">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（1）质量奖企业基础信息查询。通过统一社会信用代码等条件进行精确搜索功能，同时提供多种条件自由组合搜索功能。（1分）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（2）系统支持对查询出的检查记录导出成excel,支持在GIS上展示查询结果，并支持2种以上GIS展示方式。（</w:t>
      </w:r>
      <w:r>
        <w:rPr>
          <w:rFonts w:hint="eastAsia" w:ascii="宋体" w:hAnsi="宋体"/>
          <w:color w:val="000000"/>
          <w:sz w:val="24"/>
        </w:rPr>
        <w:t xml:space="preserve">1</w:t>
      </w:r>
      <w:r>
        <w:rPr>
          <w:rFonts w:hint="eastAsia" w:ascii="宋体" w:hAnsi="宋体"/>
          <w:color w:val="000000"/>
          <w:sz w:val="24"/>
        </w:rPr>
        <w:t xml:space="preserve">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5.3</w:t>
      </w:r>
      <w:r>
        <w:rPr>
          <w:rFonts w:hint="eastAsia" w:ascii="宋体" w:hAnsi="宋体"/>
          <w:color w:val="000000"/>
          <w:sz w:val="24"/>
        </w:rPr>
        <w:t xml:space="preserve">分</w:t>
      </w:r>
      <w:r>
        <w:rPr>
          <w:rFonts w:hint="eastAsia" w:ascii="宋体" w:hAnsi="宋体"/>
          <w:color w:val="000000"/>
          <w:sz w:val="24"/>
        </w:rPr>
        <w:t xml:space="preserve">析可视化功能演示（3分）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（1）通过拖、拉、拽的可视化操作方式制作一张反应数字经济主体发展情况的可视化图表，要求页面中包含柱状图、线状图、面积图、无锡市地图、表格等。（1分）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将上述制作完成的可视化图表支持一建切换风格（至少支持两种不同的页面风格切换），支持在不同浏览器窗口大小下自适应展示（图表、文字均能按比例缩放），支持一键无失真导出成非图片格式PPT，导出的PPT可以继续编辑（可移动文字位置、修改文字内容、调整图形颜色、编辑数据等）。（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（3）支持将上述图表在线可视化设计成适合移动端展示的页面（1分）。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5.4</w:t>
      </w:r>
      <w:r>
        <w:rPr>
          <w:rFonts w:hint="eastAsia" w:ascii="宋体" w:hAnsi="宋体"/>
          <w:color w:val="000000"/>
          <w:sz w:val="24"/>
        </w:rPr>
        <w:t xml:space="preserve">质量画像演示（</w:t>
      </w:r>
      <w:r>
        <w:rPr>
          <w:rFonts w:hint="eastAsia" w:ascii="宋体" w:hAnsi="宋体"/>
          <w:color w:val="000000"/>
          <w:sz w:val="24"/>
        </w:rPr>
        <w:t xml:space="preserve">2</w:t>
      </w:r>
      <w:r>
        <w:rPr>
          <w:rFonts w:hint="eastAsia" w:ascii="宋体" w:hAnsi="宋体"/>
          <w:color w:val="000000"/>
          <w:sz w:val="24"/>
        </w:rPr>
        <w:t xml:space="preserve">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（1）、支持通过统一社会信用代码或企业名称模糊搜索展示企业的质量画像。（1分）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（2）、支持以子页面的形式分别展示企业的行政许可信息、重点产品信息、质量基础设施信息。（1.</w:t>
      </w:r>
      <w:r>
        <w:rPr>
          <w:rFonts w:hint="eastAsia" w:ascii="宋体" w:hAnsi="宋体"/>
          <w:color w:val="000000"/>
          <w:sz w:val="24"/>
        </w:rPr>
        <w:t xml:space="preserve">分</w:t>
      </w:r>
      <w:r>
        <w:rPr>
          <w:rFonts w:hint="eastAsia" w:ascii="宋体" w:hAnsi="宋体"/>
          <w:color w:val="000000"/>
          <w:sz w:val="24"/>
        </w:rPr>
        <w:t xml:space="preserve">）</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5.5</w:t>
      </w:r>
      <w:r>
        <w:rPr>
          <w:rFonts w:hint="eastAsia" w:ascii="宋体" w:hAnsi="宋体"/>
          <w:color w:val="000000"/>
          <w:sz w:val="24"/>
        </w:rPr>
        <w:t xml:space="preserve">监督检查功能演示（</w:t>
      </w:r>
      <w:r>
        <w:rPr>
          <w:rFonts w:hint="eastAsia" w:ascii="宋体" w:hAnsi="宋体"/>
          <w:color w:val="000000"/>
          <w:sz w:val="24"/>
        </w:rPr>
        <w:t xml:space="preserve">2</w:t>
      </w:r>
      <w:r>
        <w:rPr>
          <w:rFonts w:hint="eastAsia" w:ascii="宋体" w:hAnsi="宋体"/>
          <w:color w:val="000000"/>
          <w:sz w:val="24"/>
        </w:rPr>
        <w:t xml:space="preserve">分）</w:t>
      </w:r>
      <w:r/>
    </w:p>
    <w:p>
      <w:pPr>
        <w:pStyle w:val="698"/>
        <w:ind w:firstLine="480"/>
        <w:spacing w:line="500" w:lineRule="exact"/>
        <w:rPr>
          <w:rFonts w:hint="eastAsia" w:ascii="宋体" w:hAnsi="宋体"/>
          <w:color w:val="000000"/>
          <w:sz w:val="24"/>
        </w:rPr>
      </w:pPr>
      <w:r>
        <w:rPr>
          <w:rFonts w:hint="eastAsia" w:ascii="宋体" w:hAnsi="宋体"/>
          <w:color w:val="000000"/>
          <w:sz w:val="24"/>
        </w:rPr>
        <w:t xml:space="preserve">（1）、演示对企业进行监督检查，检查完成后直接通过移动端录入检查反馈结果，支持同时录入多项检查事项的检查情况，支持上传视频、图片等检查证据。（1分）</w:t>
      </w:r>
      <w:r/>
    </w:p>
    <w:p>
      <w:pPr>
        <w:pStyle w:val="698"/>
        <w:ind w:firstLine="480"/>
        <w:spacing w:line="500" w:lineRule="exact"/>
        <w:rPr>
          <w:rFonts w:ascii="宋体" w:hAnsi="宋体"/>
          <w:color w:val="000000"/>
          <w:sz w:val="24"/>
        </w:rPr>
      </w:pPr>
      <w:r>
        <w:rPr>
          <w:rFonts w:hint="eastAsia" w:ascii="宋体" w:hAnsi="宋体"/>
          <w:color w:val="000000"/>
          <w:sz w:val="24"/>
        </w:rPr>
        <w:t xml:space="preserve">（2）、检查完毕后，生成电子版《检查结果记录表》，支持执法文书电子化送达。（1</w:t>
      </w:r>
      <w:r>
        <w:rPr>
          <w:rFonts w:hint="eastAsia" w:ascii="宋体" w:hAnsi="宋体"/>
          <w:color w:val="000000"/>
          <w:sz w:val="24"/>
        </w:rPr>
        <w:t xml:space="preserve">分</w:t>
      </w:r>
      <w:r>
        <w:rPr>
          <w:rFonts w:hint="eastAsia" w:ascii="宋体" w:hAnsi="宋体"/>
          <w:color w:val="000000"/>
          <w:sz w:val="24"/>
        </w:rPr>
        <w:t xml:space="preserve"> </w:t>
      </w:r>
      <w:r>
        <w:rPr>
          <w:rFonts w:hint="eastAsia" w:ascii="宋体" w:hAnsi="宋体"/>
          <w:color w:val="000000"/>
          <w:sz w:val="24"/>
        </w:rPr>
        <w:t xml:space="preserve">）</w:t>
      </w:r>
      <w:r>
        <w:rPr>
          <w:rFonts w:ascii="宋体" w:hAnsi="宋体"/>
          <w:color w:val="000000"/>
          <w:sz w:val="24"/>
        </w:rPr>
      </w:r>
      <w:r/>
    </w:p>
    <w:p>
      <w:pPr>
        <w:pStyle w:val="786"/>
        <w:spacing w:before="0" w:after="0" w:line="500" w:lineRule="exact"/>
        <w:rPr>
          <w:rFonts w:ascii="黑体" w:eastAsia="黑体"/>
          <w:bCs/>
          <w:color w:val="000000"/>
          <w:sz w:val="36"/>
          <w:szCs w:val="36"/>
        </w:rPr>
      </w:pPr>
      <w:r>
        <w:rPr>
          <w:rFonts w:ascii="宋体" w:hAnsi="宋体"/>
          <w:color w:val="000000"/>
        </w:rPr>
        <w:br w:type="page" w:clear="all"/>
      </w:r>
      <w:r>
        <w:rPr>
          <w:rFonts w:ascii="黑体" w:eastAsia="黑体"/>
          <w:bCs/>
          <w:color w:val="000000"/>
          <w:sz w:val="36"/>
          <w:szCs w:val="36"/>
        </w:rPr>
      </w:r>
      <w:r/>
    </w:p>
    <w:p>
      <w:pPr>
        <w:pStyle w:val="698"/>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211"/>
      <w:r>
        <w:rPr>
          <w:rFonts w:hint="eastAsia" w:ascii="黑体" w:eastAsia="黑体"/>
          <w:bCs/>
          <w:color w:val="000000"/>
          <w:sz w:val="36"/>
          <w:szCs w:val="36"/>
        </w:rPr>
        <w:t xml:space="preserve">投标文件内容与格式</w:t>
      </w:r>
      <w:r/>
    </w:p>
    <w:p>
      <w:pPr>
        <w:pStyle w:val="786"/>
        <w:ind w:firstLine="602"/>
        <w:spacing w:before="0" w:after="0" w:line="500" w:lineRule="exact"/>
        <w:rPr>
          <w:rFonts w:hint="eastAsia" w:cs="Arial"/>
          <w:b/>
          <w:color w:val="000000"/>
          <w:sz w:val="30"/>
          <w:szCs w:val="30"/>
        </w:rPr>
      </w:pPr>
      <w:r/>
      <w:bookmarkStart w:id="212" w:name="_Hlt26955039"/>
      <w:r/>
      <w:bookmarkEnd w:id="212"/>
      <w:r/>
      <w:bookmarkStart w:id="213" w:name="_Toc49090576"/>
      <w:r/>
      <w:bookmarkStart w:id="214" w:name="_Toc120614282"/>
      <w:r/>
      <w:bookmarkStart w:id="215" w:name="_Toc26554094"/>
      <w:r/>
      <w:bookmarkStart w:id="216" w:name="_Hlt26671244"/>
      <w:r/>
      <w:bookmarkEnd w:id="216"/>
      <w:r>
        <w:rPr>
          <w:rFonts w:hint="eastAsia" w:cs="Arial"/>
          <w:b/>
          <w:color w:val="000000"/>
          <w:sz w:val="30"/>
          <w:szCs w:val="30"/>
        </w:rPr>
        <w:t xml:space="preserve">第一部分  投标文件内容</w:t>
      </w:r>
      <w:r/>
    </w:p>
    <w:p>
      <w:pPr>
        <w:pStyle w:val="786"/>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86"/>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86"/>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786"/>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8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8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8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75"/>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8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8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8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8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786"/>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86"/>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786"/>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786"/>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86"/>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86"/>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98"/>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98"/>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698"/>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698"/>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698"/>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698"/>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698"/>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86"/>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86"/>
              <w:ind w:firstLine="0"/>
              <w:jc w:val="center"/>
              <w:spacing w:before="0" w:after="0" w:line="240" w:lineRule="auto"/>
              <w:rPr>
                <w:rFonts w:hint="eastAsia" w:cs="Arial"/>
                <w:b/>
                <w:color w:val="000000"/>
              </w:rPr>
            </w:pPr>
            <w:r>
              <w:rPr>
                <w:rFonts w:hint="eastAsia" w:ascii="宋体" w:hAnsi="宋体" w:cs="宋体"/>
                <w:b/>
                <w:color w:val="000000"/>
              </w:rPr>
              <w:t xml:space="preserve">评审项及评审要求</w:t>
            </w:r>
            <w:r>
              <w:rPr>
                <w:rFonts w:hint="eastAsia" w:cs="Arial"/>
                <w:b/>
                <w:color w:val="000000"/>
              </w:rPr>
            </w:r>
            <w:r/>
          </w:p>
        </w:tc>
        <w:tc>
          <w:tcPr>
            <w:tcW w:w="1979" w:type="dxa"/>
            <w:vAlign w:val="center"/>
            <w:textDirection w:val="lrTb"/>
            <w:noWrap w:val="false"/>
          </w:tcPr>
          <w:p>
            <w:pPr>
              <w:pStyle w:val="786"/>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86"/>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86"/>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86"/>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786"/>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86"/>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86"/>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86"/>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86"/>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restart"/>
            <w:textDirection w:val="lrTb"/>
            <w:noWrap w:val="false"/>
          </w:tcPr>
          <w:p>
            <w:pPr>
              <w:pStyle w:val="786"/>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786"/>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86"/>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86"/>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86"/>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86"/>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786"/>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786"/>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86"/>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786"/>
              <w:ind w:firstLine="0"/>
              <w:jc w:val="center"/>
              <w:spacing w:before="0" w:after="0" w:line="240" w:lineRule="auto"/>
              <w:rPr>
                <w:rFonts w:hint="eastAsia" w:cs="Arial"/>
                <w:color w:val="000000"/>
              </w:rPr>
            </w:pPr>
            <w:r>
              <w:rPr>
                <w:rFonts w:hint="eastAsia" w:cs="Arial"/>
                <w:color w:val="000000"/>
              </w:rPr>
            </w:r>
            <w:r/>
          </w:p>
        </w:tc>
      </w:tr>
    </w:tbl>
    <w:p>
      <w:pPr>
        <w:pStyle w:val="69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98"/>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698"/>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698"/>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698"/>
        <w:rPr>
          <w:rFonts w:hint="eastAsia"/>
          <w:b/>
          <w:color w:val="000000"/>
          <w:sz w:val="28"/>
          <w:szCs w:val="28"/>
        </w:rPr>
      </w:pPr>
      <w:r>
        <w:rPr>
          <w:rFonts w:hint="eastAsia"/>
          <w:b/>
          <w:color w:val="000000"/>
          <w:sz w:val="28"/>
          <w:szCs w:val="28"/>
        </w:rPr>
      </w:r>
      <w:r/>
    </w:p>
    <w:p>
      <w:pPr>
        <w:pStyle w:val="698"/>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698"/>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698"/>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698"/>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86"/>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69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8"/>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9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JSZC-320200-JZCG-G2024-0097</w:t>
      </w:r>
      <w:r>
        <w:rPr>
          <w:rFonts w:ascii="黑体" w:hAnsi="华文中宋" w:eastAsia="黑体"/>
          <w:bCs/>
          <w:color w:val="000000"/>
          <w:sz w:val="30"/>
          <w:szCs w:val="30"/>
        </w:rPr>
      </w:r>
      <w:r/>
    </w:p>
    <w:p>
      <w:pPr>
        <w:pStyle w:val="69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长三角（无锡）质量大数据中心定制软件开发项目</w:t>
      </w:r>
      <w:r>
        <w:rPr>
          <w:rFonts w:hint="eastAsia" w:ascii="黑体" w:hAnsi="华文中宋" w:eastAsia="黑体"/>
          <w:bCs/>
          <w:color w:val="000000"/>
          <w:sz w:val="30"/>
          <w:szCs w:val="30"/>
        </w:rPr>
      </w:r>
      <w:r/>
    </w:p>
    <w:p>
      <w:pPr>
        <w:pStyle w:val="69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9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98"/>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98"/>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84"/>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JSZC-320200-JZCG-G2024-0097</w:t>
      </w:r>
      <w:r>
        <w:rPr>
          <w:rFonts w:hint="eastAsia" w:ascii="宋体" w:hAnsi="宋体"/>
          <w:bCs/>
          <w:color w:val="000000"/>
          <w:sz w:val="24"/>
          <w:szCs w:val="24"/>
        </w:rPr>
        <w:t xml:space="preserve">项目，兹授权：</w:t>
      </w:r>
      <w:r>
        <w:rPr>
          <w:rFonts w:hint="eastAsia"/>
          <w:color w:val="000000"/>
          <w:sz w:val="24"/>
          <w:szCs w:val="24"/>
        </w:rPr>
      </w:r>
      <w:r/>
    </w:p>
    <w:p>
      <w:pPr>
        <w:pStyle w:val="784"/>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84"/>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84"/>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84"/>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84"/>
        <w:ind w:firstLine="480"/>
        <w:rPr>
          <w:rFonts w:hint="eastAsia"/>
          <w:color w:val="000000"/>
          <w:sz w:val="24"/>
          <w:szCs w:val="24"/>
        </w:rPr>
      </w:pPr>
      <w:r>
        <w:rPr>
          <w:rFonts w:hint="eastAsia"/>
          <w:color w:val="000000"/>
          <w:sz w:val="24"/>
          <w:szCs w:val="24"/>
        </w:rPr>
        <w:t xml:space="preserve">特此授权委托。</w:t>
      </w:r>
      <w:r/>
    </w:p>
    <w:p>
      <w:pPr>
        <w:pStyle w:val="784"/>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84"/>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784"/>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784"/>
        <w:ind w:firstLine="0"/>
        <w:rPr>
          <w:rFonts w:hint="eastAsia"/>
          <w:color w:val="000000"/>
          <w:sz w:val="24"/>
          <w:szCs w:val="24"/>
        </w:rPr>
      </w:pPr>
      <w:r>
        <w:rPr>
          <w:rFonts w:hint="eastAsia"/>
          <w:color w:val="000000"/>
          <w:sz w:val="24"/>
          <w:szCs w:val="24"/>
        </w:rPr>
        <w:t xml:space="preserve">说明：</w:t>
      </w:r>
      <w:r/>
    </w:p>
    <w:p>
      <w:pPr>
        <w:pStyle w:val="784"/>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784"/>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784"/>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784"/>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84"/>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98"/>
        <w:jc w:val="center"/>
        <w:rPr>
          <w:rFonts w:ascii="黑体" w:eastAsia="黑体"/>
          <w:bCs/>
          <w:color w:val="000000"/>
          <w:sz w:val="28"/>
          <w:szCs w:val="28"/>
        </w:rPr>
        <w:outlineLvl w:val="0"/>
      </w:pPr>
      <w:r/>
      <w:bookmarkStart w:id="217" w:name="报价方关于资格的声明函（格式）"/>
      <w:r/>
      <w:bookmarkEnd w:id="217"/>
      <w:r>
        <w:rPr>
          <w:rFonts w:hint="eastAsia" w:ascii="黑体" w:eastAsia="黑体"/>
          <w:bCs/>
          <w:color w:val="000000"/>
          <w:sz w:val="28"/>
          <w:szCs w:val="28"/>
        </w:rPr>
        <w:t xml:space="preserve">资格声明函</w:t>
      </w:r>
      <w:r>
        <w:rPr>
          <w:rFonts w:ascii="黑体" w:eastAsia="黑体"/>
          <w:bCs/>
          <w:color w:val="000000"/>
          <w:sz w:val="28"/>
          <w:szCs w:val="28"/>
        </w:rPr>
      </w:r>
      <w:r/>
    </w:p>
    <w:p>
      <w:pPr>
        <w:pStyle w:val="698"/>
        <w:jc w:val="center"/>
        <w:spacing w:line="480" w:lineRule="auto"/>
        <w:rPr>
          <w:rFonts w:ascii="宋体"/>
          <w:bCs/>
          <w:color w:val="000000"/>
          <w:sz w:val="24"/>
          <w:szCs w:val="24"/>
        </w:rPr>
      </w:pPr>
      <w:r>
        <w:rPr>
          <w:rFonts w:ascii="宋体"/>
          <w:bCs/>
          <w:color w:val="000000"/>
          <w:sz w:val="24"/>
          <w:szCs w:val="24"/>
        </w:rPr>
      </w:r>
      <w:r/>
    </w:p>
    <w:p>
      <w:pPr>
        <w:pStyle w:val="698"/>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9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JSZC-320200-JZCG-G2024-0097</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9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69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69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98"/>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698"/>
        <w:spacing w:line="480" w:lineRule="auto"/>
        <w:rPr>
          <w:rFonts w:ascii="宋体"/>
          <w:bCs/>
          <w:color w:val="000000"/>
          <w:sz w:val="24"/>
          <w:szCs w:val="24"/>
        </w:rPr>
      </w:pPr>
      <w:r>
        <w:rPr>
          <w:rFonts w:ascii="宋体"/>
          <w:bCs/>
          <w:color w:val="000000"/>
          <w:sz w:val="24"/>
          <w:szCs w:val="24"/>
        </w:rPr>
      </w:r>
      <w:r/>
    </w:p>
    <w:p>
      <w:pPr>
        <w:pStyle w:val="69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98"/>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69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p>
    <w:p>
      <w:pPr>
        <w:pStyle w:val="698"/>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98"/>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98"/>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98"/>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98"/>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98"/>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98"/>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98"/>
        <w:ind w:firstLine="420"/>
        <w:spacing w:line="360" w:lineRule="auto"/>
        <w:rPr>
          <w:rFonts w:hint="eastAsia"/>
          <w:color w:val="000000"/>
        </w:rPr>
      </w:pPr>
      <w:r>
        <w:rPr>
          <w:rFonts w:hint="eastAsia"/>
          <w:color w:val="000000"/>
        </w:rPr>
      </w:r>
      <w:r/>
    </w:p>
    <w:p>
      <w:pPr>
        <w:pStyle w:val="698"/>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98"/>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98"/>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698"/>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698"/>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98"/>
        <w:ind w:firstLine="482"/>
        <w:spacing w:line="440" w:lineRule="exact"/>
        <w:rPr>
          <w:rFonts w:ascii="Arial" w:hAnsi="Arial"/>
          <w:b/>
          <w:color w:val="000000"/>
          <w:sz w:val="24"/>
        </w:rPr>
      </w:pPr>
      <w:r>
        <w:rPr>
          <w:rFonts w:ascii="Arial" w:hAnsi="Arial"/>
          <w:b/>
          <w:color w:val="000000"/>
          <w:sz w:val="24"/>
        </w:rPr>
      </w:r>
      <w:r/>
    </w:p>
    <w:p>
      <w:pPr>
        <w:pStyle w:val="69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98"/>
        <w:jc w:val="center"/>
        <w:rPr>
          <w:rFonts w:ascii="黑体" w:eastAsia="黑体"/>
          <w:bCs/>
          <w:color w:val="000000"/>
          <w:sz w:val="28"/>
          <w:szCs w:val="28"/>
        </w:rPr>
      </w:pPr>
      <w:r>
        <w:rPr>
          <w:rFonts w:ascii="黑体" w:eastAsia="黑体"/>
          <w:bCs/>
          <w:color w:val="000000"/>
          <w:sz w:val="28"/>
          <w:szCs w:val="28"/>
        </w:rPr>
      </w:r>
      <w:r/>
    </w:p>
    <w:p>
      <w:pPr>
        <w:pStyle w:val="69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9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98"/>
        <w:ind w:firstLine="480"/>
        <w:spacing w:line="580" w:lineRule="exact"/>
        <w:rPr>
          <w:rFonts w:ascii="宋体" w:hAnsi="宋体"/>
          <w:bCs/>
          <w:color w:val="000000"/>
          <w:sz w:val="24"/>
          <w:szCs w:val="24"/>
        </w:rPr>
      </w:pPr>
      <w:r>
        <w:rPr>
          <w:rFonts w:ascii="宋体" w:hAnsi="宋体"/>
          <w:bCs/>
          <w:color w:val="000000"/>
          <w:sz w:val="24"/>
          <w:szCs w:val="24"/>
        </w:rPr>
      </w:r>
      <w:r/>
    </w:p>
    <w:p>
      <w:pPr>
        <w:pStyle w:val="698"/>
        <w:ind w:firstLine="480"/>
        <w:spacing w:line="580" w:lineRule="exact"/>
        <w:rPr>
          <w:rFonts w:ascii="宋体" w:hAnsi="宋体"/>
          <w:bCs/>
          <w:color w:val="000000"/>
          <w:sz w:val="24"/>
          <w:szCs w:val="24"/>
        </w:rPr>
      </w:pPr>
      <w:r>
        <w:rPr>
          <w:rFonts w:ascii="宋体" w:hAnsi="宋体"/>
          <w:bCs/>
          <w:color w:val="000000"/>
          <w:sz w:val="24"/>
          <w:szCs w:val="24"/>
        </w:rPr>
      </w:r>
      <w:r/>
    </w:p>
    <w:p>
      <w:pPr>
        <w:pStyle w:val="69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9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98"/>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98"/>
        <w:spacing w:line="360" w:lineRule="auto"/>
        <w:rPr>
          <w:rFonts w:hint="eastAsia"/>
          <w:b/>
          <w:color w:val="000000"/>
          <w:sz w:val="30"/>
          <w:szCs w:val="30"/>
        </w:rPr>
      </w:pPr>
      <w:r>
        <w:rPr>
          <w:rFonts w:hint="eastAsia"/>
          <w:b/>
          <w:color w:val="000000"/>
          <w:sz w:val="30"/>
          <w:szCs w:val="30"/>
        </w:rPr>
      </w:r>
      <w:r/>
    </w:p>
    <w:p>
      <w:pPr>
        <w:pStyle w:val="69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98"/>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98"/>
        <w:ind w:firstLine="480"/>
        <w:spacing w:line="400" w:lineRule="exact"/>
        <w:rPr>
          <w:rFonts w:ascii="宋体"/>
          <w:bCs/>
          <w:color w:val="000000"/>
          <w:sz w:val="24"/>
          <w:szCs w:val="24"/>
        </w:rPr>
      </w:pPr>
      <w:r>
        <w:rPr>
          <w:rFonts w:ascii="宋体"/>
          <w:bCs/>
          <w:color w:val="000000"/>
          <w:sz w:val="24"/>
          <w:szCs w:val="24"/>
        </w:rPr>
      </w:r>
      <w:r/>
    </w:p>
    <w:p>
      <w:pPr>
        <w:pStyle w:val="69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JSZC-320200-JZCG-G2024-0097</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98"/>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73"/>
          <w:bCs/>
          <w:color w:val="000000"/>
        </w:rPr>
      </w:pPr>
      <w:r>
        <w:rPr>
          <w:rFonts w:hint="eastAsia" w:ascii="宋体" w:hAnsi="宋体"/>
          <w:bCs/>
          <w:color w:val="000000"/>
          <w:sz w:val="24"/>
          <w:szCs w:val="24"/>
        </w:rPr>
        <w:t xml:space="preserve">我方愿意提供无锡市公共资源交易中心在招标文件中要求的文件、资料。</w:t>
      </w:r>
      <w:r>
        <w:rPr>
          <w:rStyle w:val="773"/>
          <w:bCs/>
          <w:color w:val="000000"/>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9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98"/>
        <w:ind w:firstLine="720"/>
        <w:spacing w:line="400" w:lineRule="exact"/>
        <w:rPr>
          <w:rFonts w:ascii="宋体"/>
          <w:bCs/>
          <w:color w:val="000000"/>
          <w:sz w:val="24"/>
          <w:szCs w:val="24"/>
        </w:rPr>
      </w:pPr>
      <w:r>
        <w:rPr>
          <w:rFonts w:ascii="宋体"/>
          <w:bCs/>
          <w:color w:val="000000"/>
          <w:sz w:val="24"/>
          <w:szCs w:val="24"/>
        </w:rPr>
      </w:r>
      <w:r/>
    </w:p>
    <w:p>
      <w:pPr>
        <w:pStyle w:val="69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9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9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98"/>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698"/>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698"/>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JSZC-320200-JZCG-G2024-0097</w:t>
      </w:r>
      <w:r>
        <w:rPr>
          <w:rFonts w:hint="eastAsia" w:ascii="宋体" w:hAnsi="宋体"/>
          <w:color w:val="000000"/>
          <w:sz w:val="24"/>
          <w:szCs w:val="24"/>
        </w:rPr>
        <w:t xml:space="preserve">在此承诺：</w:t>
      </w:r>
      <w:r>
        <w:rPr>
          <w:rFonts w:ascii="宋体" w:hAnsi="宋体"/>
          <w:color w:val="000000"/>
          <w:sz w:val="24"/>
          <w:szCs w:val="24"/>
        </w:rPr>
      </w:r>
      <w:r/>
    </w:p>
    <w:p>
      <w:pPr>
        <w:pStyle w:val="698"/>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698"/>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2.本项目中如有涉及到商品包装、快递包装要求的，本公司（单位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698"/>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698"/>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698"/>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698"/>
        <w:ind w:firstLine="480"/>
        <w:spacing w:line="480" w:lineRule="auto"/>
        <w:rPr>
          <w:rFonts w:hint="eastAsia" w:ascii="宋体"/>
          <w:bCs/>
          <w:color w:val="000000"/>
          <w:sz w:val="24"/>
          <w:szCs w:val="24"/>
        </w:rPr>
      </w:pPr>
      <w:r>
        <w:rPr>
          <w:rFonts w:hint="eastAsia" w:ascii="宋体"/>
          <w:bCs/>
          <w:color w:val="000000"/>
          <w:sz w:val="24"/>
          <w:szCs w:val="24"/>
        </w:rPr>
      </w:r>
      <w:r/>
    </w:p>
    <w:p>
      <w:pPr>
        <w:pStyle w:val="698"/>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698"/>
        <w:ind w:firstLine="480"/>
        <w:spacing w:line="480" w:lineRule="auto"/>
        <w:rPr>
          <w:rFonts w:hint="eastAsia" w:ascii="宋体"/>
          <w:bCs/>
          <w:color w:val="000000"/>
          <w:sz w:val="24"/>
          <w:szCs w:val="24"/>
        </w:rPr>
      </w:pPr>
      <w:r>
        <w:rPr>
          <w:rFonts w:hint="eastAsia" w:ascii="宋体"/>
          <w:bCs/>
          <w:color w:val="000000"/>
          <w:sz w:val="24"/>
          <w:szCs w:val="24"/>
        </w:rPr>
      </w:r>
      <w:r/>
    </w:p>
    <w:p>
      <w:pPr>
        <w:pStyle w:val="698"/>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698"/>
        <w:ind w:firstLine="5400"/>
        <w:spacing w:line="480" w:lineRule="auto"/>
        <w:rPr>
          <w:rFonts w:ascii="宋体" w:hAnsi="宋体"/>
          <w:bCs/>
          <w:color w:val="000000"/>
          <w:sz w:val="24"/>
          <w:szCs w:val="24"/>
        </w:rPr>
      </w:pPr>
      <w:r>
        <w:rPr>
          <w:rFonts w:ascii="宋体" w:hAnsi="宋体"/>
          <w:bCs/>
          <w:color w:val="000000"/>
          <w:sz w:val="24"/>
          <w:szCs w:val="24"/>
        </w:rPr>
      </w:r>
      <w:r/>
    </w:p>
    <w:p>
      <w:pPr>
        <w:pStyle w:val="698"/>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98"/>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698"/>
        <w:spacing w:line="360" w:lineRule="auto"/>
        <w:rPr>
          <w:rFonts w:hint="eastAsia"/>
          <w:b/>
          <w:color w:val="000000"/>
          <w:sz w:val="28"/>
          <w:szCs w:val="28"/>
        </w:rPr>
      </w:pPr>
      <w:r>
        <w:rPr>
          <w:rFonts w:hint="eastAsia"/>
          <w:b/>
          <w:color w:val="000000"/>
          <w:sz w:val="28"/>
          <w:szCs w:val="28"/>
        </w:rPr>
        <w:t xml:space="preserve">八、开标一览表（给定格式）：</w:t>
      </w:r>
      <w:r/>
    </w:p>
    <w:p>
      <w:pPr>
        <w:pStyle w:val="698"/>
        <w:ind w:firstLine="482"/>
        <w:spacing w:line="440" w:lineRule="exact"/>
        <w:rPr>
          <w:rFonts w:hint="eastAsia" w:ascii="Arial" w:hAnsi="Arial"/>
          <w:b/>
          <w:color w:val="000000"/>
          <w:sz w:val="24"/>
        </w:rPr>
      </w:pPr>
      <w:r>
        <w:rPr>
          <w:rFonts w:hint="eastAsia" w:ascii="Arial" w:hAnsi="Arial"/>
          <w:b/>
          <w:color w:val="000000"/>
          <w:sz w:val="24"/>
        </w:rPr>
      </w:r>
      <w:r/>
    </w:p>
    <w:p>
      <w:pPr>
        <w:pStyle w:val="69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98"/>
        <w:jc w:val="center"/>
        <w:rPr>
          <w:rFonts w:ascii="黑体" w:eastAsia="黑体"/>
          <w:bCs/>
          <w:color w:val="000000"/>
          <w:sz w:val="28"/>
          <w:szCs w:val="28"/>
        </w:rPr>
        <w:outlineLvl w:val="0"/>
      </w:pPr>
      <w:r>
        <w:rPr>
          <w:rFonts w:ascii="黑体" w:eastAsia="黑体"/>
          <w:bCs/>
          <w:color w:val="000000"/>
          <w:sz w:val="28"/>
          <w:szCs w:val="28"/>
        </w:rPr>
      </w:r>
      <w:r/>
    </w:p>
    <w:p>
      <w:pPr>
        <w:pStyle w:val="698"/>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JSZC-320200-JZCG-G2024-0097</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9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98"/>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12"/>
              <w:jc w:val="center"/>
              <w:spacing w:line="400" w:lineRule="exact"/>
              <w:rPr>
                <w:rFonts w:hAnsi="宋体"/>
                <w:bCs/>
                <w:color w:val="000000"/>
                <w:szCs w:val="24"/>
              </w:rPr>
            </w:pPr>
            <w:r>
              <w:rPr>
                <w:rFonts w:hint="eastAsia" w:hAnsi="宋体"/>
                <w:bCs/>
                <w:color w:val="000000"/>
                <w:szCs w:val="24"/>
              </w:rPr>
              <w:t xml:space="preserve">长三角（无锡）质量大数据中心定制软件开发项目</w:t>
            </w:r>
            <w:r>
              <w:rPr>
                <w:rFonts w:hAnsi="宋体"/>
                <w:bCs/>
                <w:color w:val="000000"/>
                <w:szCs w:val="24"/>
              </w:rPr>
            </w:r>
            <w:r/>
          </w:p>
        </w:tc>
        <w:tc>
          <w:tcPr>
            <w:tcW w:w="3188" w:type="dxa"/>
            <w:vAlign w:val="center"/>
            <w:textDirection w:val="lrTb"/>
            <w:noWrap w:val="false"/>
          </w:tcPr>
          <w:p>
            <w:pPr>
              <w:pStyle w:val="812"/>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98"/>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9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98"/>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98"/>
        <w:spacing w:line="360" w:lineRule="auto"/>
        <w:rPr>
          <w:rFonts w:hint="eastAsia"/>
          <w:b/>
          <w:color w:val="000000"/>
          <w:sz w:val="30"/>
          <w:szCs w:val="30"/>
        </w:rPr>
      </w:pPr>
      <w:r>
        <w:rPr>
          <w:rFonts w:hint="eastAsia"/>
          <w:b/>
          <w:color w:val="000000"/>
          <w:sz w:val="30"/>
          <w:szCs w:val="30"/>
        </w:rPr>
      </w:r>
      <w:r/>
    </w:p>
    <w:p>
      <w:pPr>
        <w:pStyle w:val="698"/>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9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JSZC-320200-JZCG-G2024-0097</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698"/>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698"/>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698"/>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698"/>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698"/>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698"/>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48"/>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6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98"/>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9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98"/>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98"/>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98"/>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98"/>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98"/>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98"/>
        <w:spacing w:line="400" w:lineRule="exact"/>
        <w:rPr>
          <w:rFonts w:hint="eastAsia" w:ascii="宋体" w:hAnsi="宋体"/>
          <w:b/>
          <w:color w:val="000000"/>
        </w:rPr>
        <w:outlineLvl w:val="0"/>
      </w:pPr>
      <w:r>
        <w:rPr>
          <w:rFonts w:hint="eastAsia" w:ascii="宋体" w:hAnsi="宋体"/>
          <w:b/>
          <w:color w:val="000000"/>
        </w:rPr>
      </w:r>
      <w:r/>
    </w:p>
    <w:p>
      <w:pPr>
        <w:pStyle w:val="698"/>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698"/>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698"/>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98"/>
        <w:jc w:val="center"/>
        <w:spacing w:line="400" w:lineRule="exact"/>
        <w:rPr>
          <w:b/>
          <w:color w:val="000000"/>
          <w:sz w:val="28"/>
          <w:szCs w:val="28"/>
        </w:rPr>
        <w:outlineLvl w:val="0"/>
      </w:pPr>
      <w:r>
        <w:rPr>
          <w:rFonts w:ascii="宋体" w:hAnsi="宋体"/>
          <w:bCs/>
          <w:color w:val="000000"/>
        </w:rPr>
        <w:br w:type="page" w:clear="all"/>
      </w:r>
      <w:bookmarkEnd w:id="213"/>
      <w:r/>
      <w:bookmarkEnd w:id="214"/>
      <w:r/>
      <w:bookmarkEnd w:id="215"/>
      <w:r/>
      <w:bookmarkStart w:id="218" w:name="_Toc120614284"/>
      <w:r>
        <w:rPr>
          <w:b/>
          <w:color w:val="000000"/>
          <w:sz w:val="28"/>
          <w:szCs w:val="28"/>
        </w:rPr>
      </w:r>
      <w:r/>
    </w:p>
    <w:p>
      <w:pPr>
        <w:pStyle w:val="698"/>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9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9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9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9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9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JSZC-320200-JZCG-G2024-0097</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9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9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98"/>
              <w:jc w:val="center"/>
              <w:rPr>
                <w:rFonts w:ascii="宋体"/>
                <w:bCs/>
                <w:color w:val="000000"/>
              </w:rPr>
            </w:pPr>
            <w:r>
              <w:rPr>
                <w:rFonts w:ascii="宋体"/>
                <w:bCs/>
                <w:color w:val="000000"/>
              </w:rPr>
            </w:r>
            <w:r/>
          </w:p>
        </w:tc>
      </w:tr>
    </w:tbl>
    <w:p>
      <w:pPr>
        <w:pStyle w:val="69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98"/>
        <w:rPr>
          <w:rFonts w:ascii="宋体"/>
          <w:bCs/>
          <w:color w:val="000000"/>
          <w:sz w:val="30"/>
        </w:rPr>
      </w:pPr>
      <w:r>
        <w:rPr>
          <w:rFonts w:ascii="宋体"/>
          <w:bCs/>
          <w:color w:val="000000"/>
          <w:sz w:val="30"/>
        </w:rPr>
      </w:r>
      <w:r/>
    </w:p>
    <w:p>
      <w:pPr>
        <w:pStyle w:val="698"/>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9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98"/>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18"/>
      <w:r/>
      <w:bookmarkStart w:id="219" w:name="_Hlt26671374"/>
      <w:r/>
      <w:bookmarkEnd w:id="219"/>
      <w:r/>
      <w:bookmarkStart w:id="220" w:name="_格式2__法定代表人授权书"/>
      <w:r/>
      <w:bookmarkEnd w:id="220"/>
      <w:r/>
      <w:bookmarkStart w:id="221" w:name="_Hlt26955066"/>
      <w:r/>
      <w:bookmarkEnd w:id="221"/>
      <w:r/>
      <w:bookmarkStart w:id="222" w:name="_Hlt26609389"/>
      <w:r/>
      <w:bookmarkEnd w:id="222"/>
      <w:r>
        <w:rPr>
          <w:rFonts w:hint="eastAsia" w:ascii="宋体" w:hAnsi="宋体"/>
          <w:bCs/>
          <w:color w:val="000000"/>
          <w:sz w:val="24"/>
          <w:szCs w:val="24"/>
        </w:rPr>
      </w:r>
      <w:r/>
    </w:p>
    <w:p>
      <w:pPr>
        <w:pStyle w:val="698"/>
        <w:ind w:firstLine="420"/>
        <w:rPr>
          <w:rFonts w:ascii="宋体" w:hAnsi="宋体"/>
          <w:bCs/>
          <w:color w:val="000000"/>
          <w:sz w:val="24"/>
          <w:szCs w:val="24"/>
        </w:rPr>
        <w:outlineLvl w:val="0"/>
      </w:pPr>
      <w:r>
        <w:rPr>
          <w:rFonts w:ascii="宋体" w:hAnsi="宋体"/>
          <w:bCs/>
          <w:color w:val="000000"/>
          <w:sz w:val="24"/>
          <w:szCs w:val="24"/>
        </w:rPr>
      </w:r>
      <w:r/>
    </w:p>
    <w:p>
      <w:pPr>
        <w:pStyle w:val="698"/>
        <w:spacing w:line="360" w:lineRule="auto"/>
        <w:rPr>
          <w:rFonts w:ascii="黑体" w:eastAsia="黑体"/>
          <w:bCs/>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rFonts w:ascii="黑体" w:eastAsia="黑体"/>
          <w:bCs/>
          <w:color w:val="000000"/>
          <w:sz w:val="28"/>
          <w:szCs w:val="28"/>
        </w:rPr>
      </w:r>
      <w:r/>
    </w:p>
    <w:p>
      <w:pPr>
        <w:pStyle w:val="698"/>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698"/>
        <w:jc w:val="center"/>
        <w:spacing w:line="400" w:lineRule="exact"/>
        <w:rPr>
          <w:rFonts w:ascii="黑体" w:eastAsia="黑体"/>
          <w:bCs/>
          <w:color w:val="000000"/>
          <w:sz w:val="28"/>
          <w:szCs w:val="28"/>
        </w:rPr>
      </w:pPr>
      <w:r>
        <w:rPr>
          <w:rFonts w:ascii="黑体" w:eastAsia="黑体"/>
          <w:bCs/>
          <w:color w:val="000000"/>
          <w:sz w:val="28"/>
          <w:szCs w:val="28"/>
        </w:rPr>
      </w:r>
      <w:r/>
    </w:p>
    <w:p>
      <w:pPr>
        <w:pStyle w:val="698"/>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JSZC-320200-JZCG-G2024-0097</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98"/>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98"/>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98"/>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98"/>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98"/>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8"/>
              <w:rPr>
                <w:rFonts w:ascii="黑体" w:eastAsia="黑体"/>
                <w:bCs/>
                <w:color w:val="000000"/>
                <w:sz w:val="24"/>
                <w:szCs w:val="24"/>
              </w:rPr>
              <w:outlineLvl w:val="0"/>
            </w:pPr>
            <w:r>
              <w:rPr>
                <w:rFonts w:ascii="黑体" w:eastAsia="黑体"/>
                <w:bCs/>
                <w:color w:val="000000"/>
                <w:sz w:val="24"/>
                <w:szCs w:val="24"/>
              </w:rPr>
            </w:r>
            <w:r/>
          </w:p>
        </w:tc>
      </w:tr>
    </w:tbl>
    <w:p>
      <w:pPr>
        <w:pStyle w:val="698"/>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698"/>
        <w:rPr>
          <w:rFonts w:hint="eastAsia" w:ascii="宋体" w:hAnsi="宋体"/>
          <w:bCs/>
          <w:color w:val="000000"/>
        </w:rPr>
      </w:pPr>
      <w:r>
        <w:rPr>
          <w:rFonts w:hint="eastAsia" w:ascii="宋体" w:hAnsi="宋体"/>
          <w:bCs/>
          <w:color w:val="000000"/>
        </w:rPr>
      </w:r>
      <w:r/>
    </w:p>
    <w:p>
      <w:pPr>
        <w:pStyle w:val="698"/>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98"/>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698"/>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方正仿宋简体">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1"/>
        <w:rFonts w:ascii="宋体" w:hAnsi="宋体"/>
      </w:rPr>
      <w:framePr w:wrap="around" w:vAnchor="text" w:hAnchor="margin" w:xAlign="center" w:y="1"/>
    </w:pPr>
    <w:r>
      <w:rPr>
        <w:rFonts w:ascii="宋体" w:hAnsi="宋体"/>
      </w:rPr>
      <w:fldChar w:fldCharType="begin"/>
    </w:r>
    <w:r>
      <w:rPr>
        <w:rStyle w:val="771"/>
        <w:rFonts w:ascii="宋体" w:hAnsi="宋体"/>
      </w:rPr>
      <w:instrText xml:space="preserve">PAGE  </w:instrText>
    </w:r>
    <w:r>
      <w:rPr>
        <w:rFonts w:ascii="宋体" w:hAnsi="宋体"/>
      </w:rPr>
      <w:fldChar w:fldCharType="separate"/>
    </w:r>
    <w:r>
      <w:rPr>
        <w:rStyle w:val="771"/>
        <w:rFonts w:ascii="宋体" w:hAnsi="宋体"/>
      </w:rPr>
      <w:t xml:space="preserve">２</w:t>
    </w:r>
    <w:r>
      <w:rPr>
        <w:rFonts w:ascii="宋体" w:hAnsi="宋体"/>
      </w:rPr>
      <w:fldChar w:fldCharType="end"/>
    </w:r>
    <w:r>
      <w:rPr>
        <w:rStyle w:val="771"/>
        <w:rFonts w:ascii="宋体" w:hAnsi="宋体"/>
      </w:rPr>
    </w:r>
    <w:r/>
  </w:p>
  <w:p>
    <w:pPr>
      <w:pStyle w:val="746"/>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rPr>
        <w:rStyle w:val="771"/>
      </w:rPr>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98"/>
        <w:ind w:left="1080" w:hanging="1080"/>
        <w:tabs>
          <w:tab w:val="num" w:pos="1080" w:leader="none"/>
        </w:tabs>
      </w:pPr>
      <w:rPr>
        <w:rFonts w:hint="eastAsia" w:cs="Times New Roman"/>
      </w:rPr>
    </w:lvl>
    <w:lvl w:ilvl="1">
      <w:start w:val="1"/>
      <w:numFmt w:val="decimal"/>
      <w:isLgl w:val="false"/>
      <w:suff w:val="tab"/>
      <w:lvlText w:val="%2."/>
      <w:lvlJc w:val="left"/>
      <w:pPr>
        <w:pStyle w:val="69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98"/>
        <w:ind w:left="1260" w:hanging="420"/>
        <w:tabs>
          <w:tab w:val="num" w:pos="1260" w:leader="none"/>
        </w:tabs>
      </w:pPr>
      <w:rPr>
        <w:rFonts w:cs="Times New Roman"/>
      </w:rPr>
    </w:lvl>
    <w:lvl w:ilvl="3">
      <w:start w:val="1"/>
      <w:numFmt w:val="decimal"/>
      <w:isLgl w:val="false"/>
      <w:suff w:val="tab"/>
      <w:lvlText w:val="%4."/>
      <w:lvlJc w:val="left"/>
      <w:pPr>
        <w:pStyle w:val="698"/>
        <w:ind w:left="1680" w:hanging="420"/>
        <w:tabs>
          <w:tab w:val="num" w:pos="1680" w:leader="none"/>
        </w:tabs>
      </w:pPr>
      <w:rPr>
        <w:rFonts w:cs="Times New Roman"/>
      </w:rPr>
    </w:lvl>
    <w:lvl w:ilvl="4">
      <w:start w:val="1"/>
      <w:numFmt w:val="lowerLetter"/>
      <w:isLgl w:val="false"/>
      <w:suff w:val="tab"/>
      <w:lvlText w:val="%5)"/>
      <w:lvlJc w:val="left"/>
      <w:pPr>
        <w:pStyle w:val="698"/>
        <w:ind w:left="2100" w:hanging="420"/>
        <w:tabs>
          <w:tab w:val="num" w:pos="2100" w:leader="none"/>
        </w:tabs>
      </w:pPr>
      <w:rPr>
        <w:rFonts w:cs="Times New Roman"/>
      </w:rPr>
    </w:lvl>
    <w:lvl w:ilvl="5">
      <w:start w:val="1"/>
      <w:numFmt w:val="lowerRoman"/>
      <w:isLgl w:val="false"/>
      <w:suff w:val="tab"/>
      <w:lvlText w:val="%6."/>
      <w:lvlJc w:val="right"/>
      <w:pPr>
        <w:pStyle w:val="698"/>
        <w:ind w:left="2520" w:hanging="420"/>
        <w:tabs>
          <w:tab w:val="num" w:pos="2520" w:leader="none"/>
        </w:tabs>
      </w:pPr>
      <w:rPr>
        <w:rFonts w:cs="Times New Roman"/>
      </w:rPr>
    </w:lvl>
    <w:lvl w:ilvl="6">
      <w:start w:val="1"/>
      <w:numFmt w:val="decimal"/>
      <w:isLgl w:val="false"/>
      <w:suff w:val="tab"/>
      <w:lvlText w:val="%7."/>
      <w:lvlJc w:val="left"/>
      <w:pPr>
        <w:pStyle w:val="698"/>
        <w:ind w:left="2940" w:hanging="420"/>
        <w:tabs>
          <w:tab w:val="num" w:pos="2940" w:leader="none"/>
        </w:tabs>
      </w:pPr>
      <w:rPr>
        <w:rFonts w:cs="Times New Roman"/>
      </w:rPr>
    </w:lvl>
    <w:lvl w:ilvl="7">
      <w:start w:val="1"/>
      <w:numFmt w:val="lowerLetter"/>
      <w:isLgl w:val="false"/>
      <w:suff w:val="tab"/>
      <w:lvlText w:val="%8)"/>
      <w:lvlJc w:val="left"/>
      <w:pPr>
        <w:pStyle w:val="698"/>
        <w:ind w:left="3360" w:hanging="420"/>
        <w:tabs>
          <w:tab w:val="num" w:pos="3360" w:leader="none"/>
        </w:tabs>
      </w:pPr>
      <w:rPr>
        <w:rFonts w:cs="Times New Roman"/>
      </w:rPr>
    </w:lvl>
    <w:lvl w:ilvl="8">
      <w:start w:val="1"/>
      <w:numFmt w:val="lowerRoman"/>
      <w:isLgl w:val="false"/>
      <w:suff w:val="tab"/>
      <w:lvlText w:val="%9."/>
      <w:lvlJc w:val="right"/>
      <w:pPr>
        <w:pStyle w:val="698"/>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第%1章"/>
      <w:lvlJc w:val="left"/>
      <w:pPr>
        <w:pStyle w:val="698"/>
        <w:ind w:left="2841" w:hanging="431"/>
      </w:pPr>
    </w:lvl>
    <w:lvl w:ilvl="1">
      <w:start w:val="1"/>
      <w:numFmt w:val="decimal"/>
      <w:pStyle w:val="700"/>
      <w:isLgl w:val="false"/>
      <w:suff w:val="tab"/>
      <w:lvlText w:val="%1.%2"/>
      <w:lvlJc w:val="left"/>
      <w:pPr>
        <w:pStyle w:val="698"/>
        <w:ind w:left="6530" w:hanging="576"/>
      </w:pPr>
    </w:lvl>
    <w:lvl w:ilvl="2">
      <w:start w:val="1"/>
      <w:numFmt w:val="decimal"/>
      <w:pStyle w:val="701"/>
      <w:isLgl w:val="false"/>
      <w:suff w:val="tab"/>
      <w:lvlText w:val="%1.%2.%3"/>
      <w:lvlJc w:val="left"/>
      <w:pPr>
        <w:pStyle w:val="698"/>
        <w:ind w:left="3130" w:hanging="720"/>
      </w:pPr>
      <w:rPr>
        <w:rFonts w:hint="eastAsia" w:ascii="仿宋" w:hAnsi="仿宋" w:eastAsia="仿宋" w:cs="仿宋"/>
        <w:sz w:val="28"/>
        <w:szCs w:val="28"/>
      </w:rPr>
    </w:lvl>
    <w:lvl w:ilvl="3">
      <w:start w:val="1"/>
      <w:numFmt w:val="decimal"/>
      <w:pStyle w:val="702"/>
      <w:isLgl w:val="false"/>
      <w:suff w:val="tab"/>
      <w:lvlText w:val="%1.%2.%3.%4"/>
      <w:lvlJc w:val="left"/>
      <w:pPr>
        <w:pStyle w:val="698"/>
        <w:ind w:left="2410" w:firstLine="0"/>
      </w:pPr>
      <w:rPr>
        <w:rFonts w:hint="eastAsia" w:ascii="仿宋" w:hAnsi="仿宋" w:eastAsia="仿宋" w:cs="仿宋"/>
        <w:sz w:val="28"/>
        <w:szCs w:val="28"/>
      </w:rPr>
    </w:lvl>
    <w:lvl w:ilvl="4">
      <w:start w:val="1"/>
      <w:numFmt w:val="decimal"/>
      <w:pStyle w:val="703"/>
      <w:isLgl w:val="false"/>
      <w:suff w:val="tab"/>
      <w:lvlText w:val="%1.%2.%3.%4.%5"/>
      <w:lvlJc w:val="left"/>
      <w:pPr>
        <w:pStyle w:val="698"/>
        <w:ind w:left="1008" w:hanging="1008"/>
      </w:pPr>
      <w:rPr>
        <w:rFonts w:hint="eastAsia" w:ascii="仿宋" w:hAnsi="仿宋" w:eastAsia="仿宋" w:cs="仿宋"/>
        <w:sz w:val="28"/>
        <w:szCs w:val="28"/>
      </w:rPr>
    </w:lvl>
    <w:lvl w:ilvl="5">
      <w:start w:val="1"/>
      <w:numFmt w:val="decimal"/>
      <w:pStyle w:val="704"/>
      <w:isLgl w:val="false"/>
      <w:suff w:val="tab"/>
      <w:lvlText w:val="%1.%2.%3.%4.%5.%6"/>
      <w:lvlJc w:val="left"/>
      <w:pPr>
        <w:pStyle w:val="698"/>
        <w:ind w:left="3562" w:hanging="1152"/>
      </w:pPr>
      <w:rPr>
        <w:rFonts w:hint="eastAsia" w:ascii="仿宋" w:hAnsi="仿宋" w:eastAsia="仿宋" w:cs="仿宋"/>
        <w:sz w:val="28"/>
        <w:szCs w:val="28"/>
      </w:rPr>
    </w:lvl>
    <w:lvl w:ilvl="6">
      <w:start w:val="1"/>
      <w:numFmt w:val="decimal"/>
      <w:pStyle w:val="705"/>
      <w:isLgl w:val="false"/>
      <w:suff w:val="tab"/>
      <w:lvlText w:val="%1.%2.%3.%4.%5.%6.%7"/>
      <w:lvlJc w:val="left"/>
      <w:pPr>
        <w:pStyle w:val="698"/>
        <w:ind w:left="3706" w:hanging="1296"/>
      </w:pPr>
      <w:rPr>
        <w:rFonts w:hint="eastAsia" w:ascii="仿宋" w:hAnsi="仿宋" w:eastAsia="仿宋" w:cs="仿宋"/>
        <w:sz w:val="28"/>
        <w:szCs w:val="28"/>
      </w:rPr>
    </w:lvl>
    <w:lvl w:ilvl="7">
      <w:start w:val="1"/>
      <w:numFmt w:val="decimal"/>
      <w:isLgl w:val="false"/>
      <w:suff w:val="tab"/>
      <w:lvlText w:val="%1.%2.%3.%4.%5.%6.%7.%8"/>
      <w:lvlJc w:val="left"/>
      <w:pPr>
        <w:pStyle w:val="698"/>
        <w:ind w:left="3850" w:hanging="1440"/>
      </w:pPr>
    </w:lvl>
    <w:lvl w:ilvl="8">
      <w:start w:val="1"/>
      <w:numFmt w:val="decimal"/>
      <w:isLgl w:val="false"/>
      <w:suff w:val="tab"/>
      <w:lvlText w:val="%1.%2.%3.%4.%5.%6.%7.%8.%9"/>
      <w:lvlJc w:val="left"/>
      <w:pPr>
        <w:pStyle w:val="698"/>
        <w:ind w:left="3994" w:hanging="1584"/>
      </w:pPr>
    </w:lvl>
  </w:abstractNum>
  <w:abstractNum w:abstractNumId="3">
    <w:multiLevelType w:val="hybridMultilevel"/>
    <w:lvl w:ilvl="0">
      <w:start w:val="1"/>
      <w:numFmt w:val="bullet"/>
      <w:isLgl w:val="false"/>
      <w:suff w:val="tab"/>
      <w:lvlText w:val=""/>
      <w:lvlJc w:val="left"/>
      <w:pPr>
        <w:pStyle w:val="698"/>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698"/>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698"/>
        <w:ind w:left="840" w:hanging="420"/>
        <w:tabs>
          <w:tab w:val="left"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8"/>
      <w:isLgl w:val="false"/>
      <w:suff w:val="tab"/>
      <w:lvlText w:val="附录%1."/>
      <w:lvlJc w:val="left"/>
      <w:pPr>
        <w:pStyle w:val="6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698"/>
        <w:ind w:left="1080" w:hanging="1080"/>
        <w:tabs>
          <w:tab w:val="num" w:pos="1080" w:leader="none"/>
        </w:tabs>
      </w:pPr>
      <w:rPr>
        <w:rFonts w:hint="eastAsia" w:cs="Times New Roman"/>
      </w:rPr>
    </w:lvl>
    <w:lvl w:ilvl="1">
      <w:start w:val="1"/>
      <w:numFmt w:val="decimal"/>
      <w:isLgl w:val="false"/>
      <w:suff w:val="tab"/>
      <w:lvlText w:val="%2."/>
      <w:lvlJc w:val="left"/>
      <w:pPr>
        <w:pStyle w:val="69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98"/>
        <w:ind w:left="1260" w:hanging="420"/>
        <w:tabs>
          <w:tab w:val="num" w:pos="1260" w:leader="none"/>
        </w:tabs>
      </w:pPr>
      <w:rPr>
        <w:rFonts w:cs="Times New Roman"/>
      </w:rPr>
    </w:lvl>
    <w:lvl w:ilvl="3">
      <w:start w:val="1"/>
      <w:numFmt w:val="decimal"/>
      <w:isLgl w:val="false"/>
      <w:suff w:val="tab"/>
      <w:lvlText w:val="%4."/>
      <w:lvlJc w:val="left"/>
      <w:pPr>
        <w:pStyle w:val="698"/>
        <w:ind w:left="1680" w:hanging="420"/>
        <w:tabs>
          <w:tab w:val="num" w:pos="1680" w:leader="none"/>
        </w:tabs>
      </w:pPr>
      <w:rPr>
        <w:rFonts w:cs="Times New Roman"/>
      </w:rPr>
    </w:lvl>
    <w:lvl w:ilvl="4">
      <w:start w:val="1"/>
      <w:numFmt w:val="lowerLetter"/>
      <w:isLgl w:val="false"/>
      <w:suff w:val="tab"/>
      <w:lvlText w:val="%5)"/>
      <w:lvlJc w:val="left"/>
      <w:pPr>
        <w:pStyle w:val="698"/>
        <w:ind w:left="2100" w:hanging="420"/>
        <w:tabs>
          <w:tab w:val="num" w:pos="2100" w:leader="none"/>
        </w:tabs>
      </w:pPr>
      <w:rPr>
        <w:rFonts w:cs="Times New Roman"/>
      </w:rPr>
    </w:lvl>
    <w:lvl w:ilvl="5">
      <w:start w:val="1"/>
      <w:numFmt w:val="lowerRoman"/>
      <w:isLgl w:val="false"/>
      <w:suff w:val="tab"/>
      <w:lvlText w:val="%6."/>
      <w:lvlJc w:val="right"/>
      <w:pPr>
        <w:pStyle w:val="698"/>
        <w:ind w:left="2520" w:hanging="420"/>
        <w:tabs>
          <w:tab w:val="num" w:pos="2520" w:leader="none"/>
        </w:tabs>
      </w:pPr>
      <w:rPr>
        <w:rFonts w:cs="Times New Roman"/>
      </w:rPr>
    </w:lvl>
    <w:lvl w:ilvl="6">
      <w:start w:val="1"/>
      <w:numFmt w:val="decimal"/>
      <w:isLgl w:val="false"/>
      <w:suff w:val="tab"/>
      <w:lvlText w:val="%7."/>
      <w:lvlJc w:val="left"/>
      <w:pPr>
        <w:pStyle w:val="698"/>
        <w:ind w:left="2940" w:hanging="420"/>
        <w:tabs>
          <w:tab w:val="num" w:pos="2940" w:leader="none"/>
        </w:tabs>
      </w:pPr>
      <w:rPr>
        <w:rFonts w:cs="Times New Roman"/>
      </w:rPr>
    </w:lvl>
    <w:lvl w:ilvl="7">
      <w:start w:val="1"/>
      <w:numFmt w:val="lowerLetter"/>
      <w:isLgl w:val="false"/>
      <w:suff w:val="tab"/>
      <w:lvlText w:val="%8)"/>
      <w:lvlJc w:val="left"/>
      <w:pPr>
        <w:pStyle w:val="698"/>
        <w:ind w:left="3360" w:hanging="420"/>
        <w:tabs>
          <w:tab w:val="num" w:pos="3360" w:leader="none"/>
        </w:tabs>
      </w:pPr>
      <w:rPr>
        <w:rFonts w:cs="Times New Roman"/>
      </w:rPr>
    </w:lvl>
    <w:lvl w:ilvl="8">
      <w:start w:val="1"/>
      <w:numFmt w:val="lowerRoman"/>
      <w:isLgl w:val="false"/>
      <w:suff w:val="tab"/>
      <w:lvlText w:val="%9."/>
      <w:lvlJc w:val="right"/>
      <w:pPr>
        <w:pStyle w:val="698"/>
        <w:ind w:left="3780" w:hanging="420"/>
        <w:tabs>
          <w:tab w:val="num" w:pos="3780" w:leader="none"/>
        </w:tabs>
      </w:pPr>
      <w:rPr>
        <w:rFonts w:cs="Times New Roman"/>
      </w:rPr>
    </w:lvl>
  </w:abstractNum>
  <w:abstractNum w:abstractNumId="9">
    <w:multiLevelType w:val="hybridMultilevel"/>
    <w:lvl w:ilvl="0">
      <w:start w:val="1"/>
      <w:numFmt w:val="decimal"/>
      <w:isLgl w:val="false"/>
      <w:suff w:val="tab"/>
      <w:lvlText w:val="%1."/>
      <w:lvlJc w:val="left"/>
      <w:pPr>
        <w:pStyle w:val="698"/>
        <w:ind w:left="510" w:hanging="360"/>
        <w:tabs>
          <w:tab w:val="num" w:pos="510" w:leader="none"/>
        </w:tabs>
      </w:pPr>
      <w:rPr>
        <w:rFonts w:hint="eastAsia" w:cs="Times New Roman"/>
      </w:rPr>
    </w:lvl>
    <w:lvl w:ilvl="1">
      <w:start w:val="1"/>
      <w:numFmt w:val="decimal"/>
      <w:isLgl w:val="false"/>
      <w:suff w:val="tab"/>
      <w:lvlText w:val="%2．"/>
      <w:lvlJc w:val="left"/>
      <w:pPr>
        <w:pStyle w:val="698"/>
        <w:ind w:left="1290" w:hanging="720"/>
        <w:tabs>
          <w:tab w:val="num" w:pos="1290" w:leader="none"/>
        </w:tabs>
      </w:pPr>
      <w:rPr>
        <w:rFonts w:hint="eastAsia" w:cs="Times New Roman"/>
      </w:rPr>
    </w:lvl>
    <w:lvl w:ilvl="2">
      <w:start w:val="3"/>
      <w:numFmt w:val="decimal"/>
      <w:isLgl w:val="false"/>
      <w:suff w:val="tab"/>
      <w:lvlText w:val="（%3）"/>
      <w:lvlJc w:val="left"/>
      <w:pPr>
        <w:pStyle w:val="698"/>
        <w:ind w:left="1140" w:hanging="720"/>
        <w:tabs>
          <w:tab w:val="num" w:pos="1140" w:leader="none"/>
        </w:tabs>
      </w:pPr>
      <w:rPr>
        <w:rFonts w:hint="eastAsia" w:cs="Times New Roman"/>
      </w:rPr>
    </w:lvl>
    <w:lvl w:ilvl="3">
      <w:start w:val="1"/>
      <w:numFmt w:val="decimal"/>
      <w:isLgl w:val="false"/>
      <w:suff w:val="tab"/>
      <w:lvlText w:val="（%4）"/>
      <w:lvlJc w:val="left"/>
      <w:pPr>
        <w:pStyle w:val="69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8"/>
        <w:ind w:left="2250" w:hanging="420"/>
        <w:tabs>
          <w:tab w:val="num" w:pos="2250" w:leader="none"/>
        </w:tabs>
      </w:pPr>
      <w:rPr>
        <w:rFonts w:hint="eastAsia"/>
        <w:b/>
        <w:lang w:val="en-US"/>
      </w:rPr>
    </w:lvl>
    <w:lvl w:ilvl="5">
      <w:start w:val="10"/>
      <w:numFmt w:val="japaneseCounting"/>
      <w:isLgl w:val="false"/>
      <w:suff w:val="tab"/>
      <w:lvlText w:val="（%6）"/>
      <w:lvlJc w:val="left"/>
      <w:pPr>
        <w:pStyle w:val="698"/>
        <w:ind w:left="2970" w:hanging="720"/>
      </w:pPr>
      <w:rPr>
        <w:rFonts w:cs="Times New Roman"/>
      </w:rPr>
    </w:lvl>
    <w:lvl w:ilvl="6">
      <w:start w:val="1"/>
      <w:numFmt w:val="decimal"/>
      <w:isLgl w:val="false"/>
      <w:suff w:val="tab"/>
      <w:lvlText w:val="（%7）"/>
      <w:lvlJc w:val="left"/>
      <w:pPr>
        <w:pStyle w:val="69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8"/>
        <w:ind w:left="3510" w:hanging="420"/>
        <w:tabs>
          <w:tab w:val="num" w:pos="3510" w:leader="none"/>
        </w:tabs>
      </w:pPr>
      <w:rPr>
        <w:rFonts w:cs="Times New Roman"/>
      </w:rPr>
    </w:lvl>
    <w:lvl w:ilvl="8">
      <w:start w:val="1"/>
      <w:numFmt w:val="lowerRoman"/>
      <w:isLgl w:val="false"/>
      <w:suff w:val="tab"/>
      <w:lvlText w:val="%9."/>
      <w:lvlJc w:val="right"/>
      <w:pPr>
        <w:pStyle w:val="698"/>
        <w:ind w:left="3930" w:hanging="420"/>
        <w:tabs>
          <w:tab w:val="num" w:pos="3930" w:leader="none"/>
        </w:tabs>
      </w:pPr>
      <w:rPr>
        <w:rFonts w:cs="Times New Roman"/>
      </w:rPr>
    </w:lvl>
  </w:abstractNum>
  <w:abstractNum w:abstractNumId="10">
    <w:multiLevelType w:val="hybridMultilevel"/>
    <w:lvl w:ilvl="0">
      <w:start w:val="1"/>
      <w:numFmt w:val="bullet"/>
      <w:isLgl w:val="false"/>
      <w:suff w:val="tab"/>
      <w:lvlText w:val=""/>
      <w:lvlJc w:val="left"/>
      <w:pPr>
        <w:pStyle w:val="698"/>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698"/>
      </w:pPr>
      <w:rPr>
        <w:rFonts w:hint="eastAsia"/>
      </w:rPr>
    </w:lvl>
    <w:lvl w:ilvl="1">
      <w:start w:val="1"/>
      <w:numFmt w:val="bullet"/>
      <w:isLgl w:val="false"/>
      <w:suff w:val="tab"/>
      <w:lvlText w:val="o"/>
      <w:lvlJc w:val="left"/>
      <w:pPr>
        <w:pStyle w:val="698"/>
        <w:ind w:left="1440" w:hanging="360"/>
      </w:pPr>
      <w:rPr>
        <w:rFonts w:ascii="Courier New" w:hAnsi="Courier New" w:eastAsia="Courier New" w:cs="Courier New"/>
      </w:rPr>
    </w:lvl>
    <w:lvl w:ilvl="2">
      <w:start w:val="1"/>
      <w:numFmt w:val="bullet"/>
      <w:isLgl w:val="false"/>
      <w:suff w:val="tab"/>
      <w:lvlText w:val="§"/>
      <w:lvlJc w:val="left"/>
      <w:pPr>
        <w:pStyle w:val="698"/>
        <w:ind w:left="2160" w:hanging="360"/>
      </w:pPr>
      <w:rPr>
        <w:rFonts w:ascii="Wingdings" w:hAnsi="Wingdings" w:eastAsia="Wingdings" w:cs="Wingdings"/>
      </w:rPr>
    </w:lvl>
    <w:lvl w:ilvl="3">
      <w:start w:val="1"/>
      <w:numFmt w:val="bullet"/>
      <w:isLgl w:val="false"/>
      <w:suff w:val="tab"/>
      <w:lvlText w:val="·"/>
      <w:lvlJc w:val="left"/>
      <w:pPr>
        <w:pStyle w:val="698"/>
        <w:ind w:left="2880" w:hanging="360"/>
      </w:pPr>
      <w:rPr>
        <w:rFonts w:ascii="Symbol" w:hAnsi="Symbol" w:eastAsia="Symbol" w:cs="Symbol"/>
      </w:rPr>
    </w:lvl>
    <w:lvl w:ilvl="4">
      <w:start w:val="1"/>
      <w:numFmt w:val="bullet"/>
      <w:isLgl w:val="false"/>
      <w:suff w:val="tab"/>
      <w:lvlText w:val="o"/>
      <w:lvlJc w:val="left"/>
      <w:pPr>
        <w:pStyle w:val="698"/>
        <w:ind w:left="3600" w:hanging="360"/>
      </w:pPr>
      <w:rPr>
        <w:rFonts w:ascii="Courier New" w:hAnsi="Courier New" w:eastAsia="Courier New" w:cs="Courier New"/>
      </w:rPr>
    </w:lvl>
    <w:lvl w:ilvl="5">
      <w:start w:val="1"/>
      <w:numFmt w:val="bullet"/>
      <w:isLgl w:val="false"/>
      <w:suff w:val="tab"/>
      <w:lvlText w:val="§"/>
      <w:lvlJc w:val="left"/>
      <w:pPr>
        <w:pStyle w:val="698"/>
        <w:ind w:left="4320" w:hanging="360"/>
      </w:pPr>
      <w:rPr>
        <w:rFonts w:ascii="Wingdings" w:hAnsi="Wingdings" w:eastAsia="Wingdings" w:cs="Wingdings"/>
      </w:rPr>
    </w:lvl>
    <w:lvl w:ilvl="6">
      <w:start w:val="1"/>
      <w:numFmt w:val="bullet"/>
      <w:isLgl w:val="false"/>
      <w:suff w:val="tab"/>
      <w:lvlText w:val="·"/>
      <w:lvlJc w:val="left"/>
      <w:pPr>
        <w:pStyle w:val="698"/>
        <w:ind w:left="5040" w:hanging="360"/>
      </w:pPr>
      <w:rPr>
        <w:rFonts w:ascii="Symbol" w:hAnsi="Symbol" w:eastAsia="Symbol" w:cs="Symbol"/>
      </w:rPr>
    </w:lvl>
    <w:lvl w:ilvl="7">
      <w:start w:val="1"/>
      <w:numFmt w:val="bullet"/>
      <w:isLgl w:val="false"/>
      <w:suff w:val="tab"/>
      <w:lvlText w:val="o"/>
      <w:lvlJc w:val="left"/>
      <w:pPr>
        <w:pStyle w:val="698"/>
        <w:ind w:left="5760" w:hanging="360"/>
      </w:pPr>
      <w:rPr>
        <w:rFonts w:ascii="Courier New" w:hAnsi="Courier New" w:eastAsia="Courier New" w:cs="Courier New"/>
      </w:rPr>
    </w:lvl>
    <w:lvl w:ilvl="8">
      <w:start w:val="1"/>
      <w:numFmt w:val="bullet"/>
      <w:isLgl w:val="false"/>
      <w:suff w:val="tab"/>
      <w:lvlText w:val="§"/>
      <w:lvlJc w:val="left"/>
      <w:pPr>
        <w:pStyle w:val="698"/>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98"/>
        <w:ind w:left="510" w:hanging="360"/>
        <w:tabs>
          <w:tab w:val="num" w:pos="510" w:leader="none"/>
        </w:tabs>
      </w:pPr>
      <w:rPr>
        <w:rFonts w:hint="eastAsia" w:cs="Times New Roman"/>
      </w:rPr>
    </w:lvl>
    <w:lvl w:ilvl="1">
      <w:start w:val="1"/>
      <w:numFmt w:val="decimal"/>
      <w:isLgl w:val="false"/>
      <w:suff w:val="tab"/>
      <w:lvlText w:val="%2．"/>
      <w:lvlJc w:val="left"/>
      <w:pPr>
        <w:pStyle w:val="698"/>
        <w:ind w:left="1290" w:hanging="720"/>
        <w:tabs>
          <w:tab w:val="num" w:pos="1290" w:leader="none"/>
        </w:tabs>
      </w:pPr>
      <w:rPr>
        <w:rFonts w:hint="eastAsia" w:cs="Times New Roman"/>
      </w:rPr>
    </w:lvl>
    <w:lvl w:ilvl="2">
      <w:start w:val="3"/>
      <w:numFmt w:val="decimal"/>
      <w:isLgl w:val="false"/>
      <w:suff w:val="tab"/>
      <w:lvlText w:val="（%3）"/>
      <w:lvlJc w:val="left"/>
      <w:pPr>
        <w:pStyle w:val="698"/>
        <w:ind w:left="1140" w:hanging="720"/>
        <w:tabs>
          <w:tab w:val="num" w:pos="1140" w:leader="none"/>
        </w:tabs>
      </w:pPr>
      <w:rPr>
        <w:rFonts w:hint="eastAsia" w:cs="Times New Roman"/>
      </w:rPr>
    </w:lvl>
    <w:lvl w:ilvl="3">
      <w:start w:val="1"/>
      <w:numFmt w:val="decimal"/>
      <w:isLgl w:val="false"/>
      <w:suff w:val="tab"/>
      <w:lvlText w:val="（%4）"/>
      <w:lvlJc w:val="left"/>
      <w:pPr>
        <w:pStyle w:val="69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8"/>
        <w:ind w:left="2250" w:hanging="420"/>
        <w:tabs>
          <w:tab w:val="num" w:pos="2250" w:leader="none"/>
        </w:tabs>
      </w:pPr>
      <w:rPr>
        <w:rFonts w:hint="eastAsia"/>
        <w:b/>
        <w:lang w:val="en-US"/>
      </w:rPr>
    </w:lvl>
    <w:lvl w:ilvl="5">
      <w:start w:val="10"/>
      <w:numFmt w:val="japaneseCounting"/>
      <w:isLgl w:val="false"/>
      <w:suff w:val="tab"/>
      <w:lvlText w:val="（%6）"/>
      <w:lvlJc w:val="left"/>
      <w:pPr>
        <w:pStyle w:val="698"/>
        <w:ind w:left="2970" w:hanging="720"/>
      </w:pPr>
      <w:rPr>
        <w:rFonts w:cs="Times New Roman"/>
      </w:rPr>
    </w:lvl>
    <w:lvl w:ilvl="6">
      <w:start w:val="1"/>
      <w:numFmt w:val="decimal"/>
      <w:isLgl w:val="false"/>
      <w:suff w:val="tab"/>
      <w:lvlText w:val="（%7）"/>
      <w:lvlJc w:val="left"/>
      <w:pPr>
        <w:pStyle w:val="69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8"/>
        <w:ind w:left="3510" w:hanging="420"/>
        <w:tabs>
          <w:tab w:val="num" w:pos="3510" w:leader="none"/>
        </w:tabs>
      </w:pPr>
      <w:rPr>
        <w:rFonts w:cs="Times New Roman"/>
      </w:rPr>
    </w:lvl>
    <w:lvl w:ilvl="8">
      <w:start w:val="1"/>
      <w:numFmt w:val="lowerRoman"/>
      <w:isLgl w:val="false"/>
      <w:suff w:val="tab"/>
      <w:lvlText w:val="%9."/>
      <w:lvlJc w:val="right"/>
      <w:pPr>
        <w:pStyle w:val="698"/>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第%1条"/>
      <w:lvlJc w:val="left"/>
      <w:pPr>
        <w:pStyle w:val="698"/>
        <w:ind w:left="1505" w:hanging="945"/>
        <w:tabs>
          <w:tab w:val="num" w:pos="1505" w:leader="none"/>
        </w:tabs>
      </w:pPr>
      <w:rPr>
        <w:rFonts w:hint="eastAsia"/>
      </w:rPr>
    </w:lvl>
    <w:lvl w:ilvl="1">
      <w:start w:val="1"/>
      <w:numFmt w:val="decimal"/>
      <w:isLgl w:val="false"/>
      <w:suff w:val="tab"/>
      <w:lvlText w:val="%2、"/>
      <w:lvlJc w:val="left"/>
      <w:pPr>
        <w:pStyle w:val="698"/>
        <w:ind w:left="1340" w:hanging="360"/>
        <w:tabs>
          <w:tab w:val="num" w:pos="1340" w:leader="none"/>
        </w:tabs>
      </w:pPr>
      <w:rPr>
        <w:rFonts w:hint="eastAsia"/>
      </w:rPr>
    </w:lvl>
    <w:lvl w:ilvl="2">
      <w:start w:val="1"/>
      <w:numFmt w:val="japaneseCounting"/>
      <w:isLgl w:val="false"/>
      <w:suff w:val="tab"/>
      <w:lvlText w:val="%3、"/>
      <w:lvlJc w:val="left"/>
      <w:pPr>
        <w:pStyle w:val="698"/>
        <w:ind w:left="1820" w:hanging="420"/>
        <w:tabs>
          <w:tab w:val="num" w:pos="1820" w:leader="none"/>
        </w:tabs>
      </w:pPr>
      <w:rPr>
        <w:rFonts w:hint="eastAsia"/>
      </w:rPr>
    </w:lvl>
    <w:lvl w:ilvl="3">
      <w:start w:val="1"/>
      <w:numFmt w:val="decimal"/>
      <w:isLgl w:val="false"/>
      <w:suff w:val="tab"/>
      <w:lvlText w:val="%4."/>
      <w:lvlJc w:val="left"/>
      <w:pPr>
        <w:pStyle w:val="698"/>
        <w:ind w:left="2240" w:hanging="420"/>
        <w:tabs>
          <w:tab w:val="num" w:pos="2240" w:leader="none"/>
        </w:tabs>
      </w:pPr>
    </w:lvl>
    <w:lvl w:ilvl="4">
      <w:start w:val="1"/>
      <w:numFmt w:val="lowerLetter"/>
      <w:isLgl w:val="false"/>
      <w:suff w:val="tab"/>
      <w:lvlText w:val="%5)"/>
      <w:lvlJc w:val="left"/>
      <w:pPr>
        <w:pStyle w:val="698"/>
        <w:ind w:left="2660" w:hanging="420"/>
        <w:tabs>
          <w:tab w:val="num" w:pos="2660" w:leader="none"/>
        </w:tabs>
      </w:pPr>
    </w:lvl>
    <w:lvl w:ilvl="5">
      <w:start w:val="1"/>
      <w:numFmt w:val="lowerRoman"/>
      <w:isLgl w:val="false"/>
      <w:suff w:val="tab"/>
      <w:lvlText w:val="%6."/>
      <w:lvlJc w:val="right"/>
      <w:pPr>
        <w:pStyle w:val="698"/>
        <w:ind w:left="3080" w:hanging="420"/>
        <w:tabs>
          <w:tab w:val="num" w:pos="3080" w:leader="none"/>
        </w:tabs>
      </w:pPr>
    </w:lvl>
    <w:lvl w:ilvl="6">
      <w:start w:val="1"/>
      <w:numFmt w:val="decimal"/>
      <w:isLgl w:val="false"/>
      <w:suff w:val="tab"/>
      <w:lvlText w:val="%7."/>
      <w:lvlJc w:val="left"/>
      <w:pPr>
        <w:pStyle w:val="698"/>
        <w:ind w:left="3500" w:hanging="420"/>
        <w:tabs>
          <w:tab w:val="num" w:pos="3500" w:leader="none"/>
        </w:tabs>
      </w:pPr>
    </w:lvl>
    <w:lvl w:ilvl="7">
      <w:start w:val="1"/>
      <w:numFmt w:val="lowerLetter"/>
      <w:isLgl w:val="false"/>
      <w:suff w:val="tab"/>
      <w:lvlText w:val="%8)"/>
      <w:lvlJc w:val="left"/>
      <w:pPr>
        <w:pStyle w:val="698"/>
        <w:ind w:left="3920" w:hanging="420"/>
        <w:tabs>
          <w:tab w:val="num" w:pos="3920" w:leader="none"/>
        </w:tabs>
      </w:pPr>
    </w:lvl>
    <w:lvl w:ilvl="8">
      <w:start w:val="1"/>
      <w:numFmt w:val="lowerRoman"/>
      <w:isLgl w:val="false"/>
      <w:suff w:val="tab"/>
      <w:lvlText w:val="%9."/>
      <w:lvlJc w:val="right"/>
      <w:pPr>
        <w:pStyle w:val="698"/>
        <w:ind w:left="4340" w:hanging="420"/>
        <w:tabs>
          <w:tab w:val="num" w:pos="4340" w:leader="none"/>
        </w:tabs>
      </w:pPr>
    </w:lvl>
  </w:abstractNum>
  <w:abstractNum w:abstractNumId="14">
    <w:multiLevelType w:val="hybridMultilevel"/>
    <w:lvl w:ilvl="0">
      <w:start w:val="1"/>
      <w:numFmt w:val="decimal"/>
      <w:isLgl w:val="false"/>
      <w:suff w:val="tab"/>
      <w:lvlText w:val="%1."/>
      <w:lvlJc w:val="left"/>
      <w:pPr>
        <w:pStyle w:val="698"/>
        <w:ind w:left="510" w:hanging="360"/>
        <w:tabs>
          <w:tab w:val="num" w:pos="510" w:leader="none"/>
        </w:tabs>
      </w:pPr>
      <w:rPr>
        <w:rFonts w:hint="eastAsia" w:cs="Times New Roman"/>
      </w:rPr>
    </w:lvl>
    <w:lvl w:ilvl="1">
      <w:start w:val="1"/>
      <w:numFmt w:val="decimal"/>
      <w:isLgl w:val="false"/>
      <w:suff w:val="tab"/>
      <w:lvlText w:val="%2．"/>
      <w:lvlJc w:val="left"/>
      <w:pPr>
        <w:pStyle w:val="698"/>
        <w:ind w:left="1290" w:hanging="720"/>
        <w:tabs>
          <w:tab w:val="num" w:pos="1290" w:leader="none"/>
        </w:tabs>
      </w:pPr>
      <w:rPr>
        <w:rFonts w:hint="eastAsia" w:cs="Times New Roman"/>
      </w:rPr>
    </w:lvl>
    <w:lvl w:ilvl="2">
      <w:start w:val="3"/>
      <w:numFmt w:val="decimal"/>
      <w:isLgl w:val="false"/>
      <w:suff w:val="tab"/>
      <w:lvlText w:val="（%3）"/>
      <w:lvlJc w:val="left"/>
      <w:pPr>
        <w:pStyle w:val="698"/>
        <w:ind w:left="1140" w:hanging="720"/>
        <w:tabs>
          <w:tab w:val="num" w:pos="1140" w:leader="none"/>
        </w:tabs>
      </w:pPr>
      <w:rPr>
        <w:rFonts w:hint="eastAsia" w:cs="Times New Roman"/>
      </w:rPr>
    </w:lvl>
    <w:lvl w:ilvl="3">
      <w:start w:val="1"/>
      <w:numFmt w:val="decimal"/>
      <w:isLgl w:val="false"/>
      <w:suff w:val="tab"/>
      <w:lvlText w:val="（%4）"/>
      <w:lvlJc w:val="left"/>
      <w:pPr>
        <w:pStyle w:val="69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8"/>
        <w:ind w:left="2250" w:hanging="420"/>
        <w:tabs>
          <w:tab w:val="num" w:pos="2250" w:leader="none"/>
        </w:tabs>
      </w:pPr>
      <w:rPr>
        <w:rFonts w:hint="eastAsia"/>
        <w:b/>
        <w:lang w:val="en-US"/>
      </w:rPr>
    </w:lvl>
    <w:lvl w:ilvl="5">
      <w:start w:val="10"/>
      <w:numFmt w:val="japaneseCounting"/>
      <w:isLgl w:val="false"/>
      <w:suff w:val="tab"/>
      <w:lvlText w:val="（%6）"/>
      <w:lvlJc w:val="left"/>
      <w:pPr>
        <w:pStyle w:val="698"/>
        <w:ind w:left="2970" w:hanging="720"/>
      </w:pPr>
      <w:rPr>
        <w:rFonts w:cs="Times New Roman"/>
      </w:rPr>
    </w:lvl>
    <w:lvl w:ilvl="6">
      <w:start w:val="1"/>
      <w:numFmt w:val="decimal"/>
      <w:isLgl w:val="false"/>
      <w:suff w:val="tab"/>
      <w:lvlText w:val="（%7）"/>
      <w:lvlJc w:val="left"/>
      <w:pPr>
        <w:pStyle w:val="69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8"/>
        <w:ind w:left="3510" w:hanging="420"/>
        <w:tabs>
          <w:tab w:val="num" w:pos="3510" w:leader="none"/>
        </w:tabs>
      </w:pPr>
      <w:rPr>
        <w:rFonts w:cs="Times New Roman"/>
      </w:rPr>
    </w:lvl>
    <w:lvl w:ilvl="8">
      <w:start w:val="1"/>
      <w:numFmt w:val="lowerRoman"/>
      <w:isLgl w:val="false"/>
      <w:suff w:val="tab"/>
      <w:lvlText w:val="%9."/>
      <w:lvlJc w:val="right"/>
      <w:pPr>
        <w:pStyle w:val="698"/>
        <w:ind w:left="3930" w:hanging="420"/>
        <w:tabs>
          <w:tab w:val="num" w:pos="3930" w:leader="none"/>
        </w:tabs>
      </w:pPr>
      <w:rPr>
        <w:rFonts w:cs="Times New Roman"/>
      </w:rPr>
    </w:lvl>
  </w:abstractNum>
  <w:abstractNum w:abstractNumId="15">
    <w:multiLevelType w:val="hybridMultilevel"/>
    <w:lvl w:ilvl="0">
      <w:start w:val="8"/>
      <w:numFmt w:val="japaneseCounting"/>
      <w:isLgl w:val="false"/>
      <w:suff w:val="tab"/>
      <w:lvlText w:val="（%1）"/>
      <w:lvlJc w:val="left"/>
      <w:pPr>
        <w:pStyle w:val="698"/>
        <w:ind w:left="1239" w:hanging="720"/>
      </w:pPr>
      <w:rPr>
        <w:rFonts w:hAnsi="宋体"/>
      </w:rPr>
    </w:lvl>
    <w:lvl w:ilvl="1">
      <w:start w:val="1"/>
      <w:numFmt w:val="lowerLetter"/>
      <w:isLgl w:val="false"/>
      <w:suff w:val="tab"/>
      <w:lvlText w:val="%2)"/>
      <w:lvlJc w:val="left"/>
      <w:pPr>
        <w:pStyle w:val="698"/>
        <w:ind w:left="1359" w:hanging="420"/>
      </w:pPr>
    </w:lvl>
    <w:lvl w:ilvl="2">
      <w:start w:val="1"/>
      <w:numFmt w:val="lowerRoman"/>
      <w:isLgl w:val="false"/>
      <w:suff w:val="tab"/>
      <w:lvlText w:val="%3."/>
      <w:lvlJc w:val="right"/>
      <w:pPr>
        <w:pStyle w:val="698"/>
        <w:ind w:left="1779" w:hanging="420"/>
      </w:pPr>
    </w:lvl>
    <w:lvl w:ilvl="3">
      <w:start w:val="1"/>
      <w:numFmt w:val="decimal"/>
      <w:isLgl w:val="false"/>
      <w:suff w:val="tab"/>
      <w:lvlText w:val="%4."/>
      <w:lvlJc w:val="left"/>
      <w:pPr>
        <w:pStyle w:val="698"/>
        <w:ind w:left="2199" w:hanging="420"/>
      </w:pPr>
    </w:lvl>
    <w:lvl w:ilvl="4">
      <w:start w:val="1"/>
      <w:numFmt w:val="lowerLetter"/>
      <w:isLgl w:val="false"/>
      <w:suff w:val="tab"/>
      <w:lvlText w:val="%5)"/>
      <w:lvlJc w:val="left"/>
      <w:pPr>
        <w:pStyle w:val="698"/>
        <w:ind w:left="2619" w:hanging="420"/>
      </w:pPr>
    </w:lvl>
    <w:lvl w:ilvl="5">
      <w:start w:val="1"/>
      <w:numFmt w:val="lowerRoman"/>
      <w:isLgl w:val="false"/>
      <w:suff w:val="tab"/>
      <w:lvlText w:val="%6."/>
      <w:lvlJc w:val="right"/>
      <w:pPr>
        <w:pStyle w:val="698"/>
        <w:ind w:left="3039" w:hanging="420"/>
      </w:pPr>
    </w:lvl>
    <w:lvl w:ilvl="6">
      <w:start w:val="1"/>
      <w:numFmt w:val="decimal"/>
      <w:isLgl w:val="false"/>
      <w:suff w:val="tab"/>
      <w:lvlText w:val="%7."/>
      <w:lvlJc w:val="left"/>
      <w:pPr>
        <w:pStyle w:val="698"/>
        <w:ind w:left="3459" w:hanging="420"/>
      </w:pPr>
    </w:lvl>
    <w:lvl w:ilvl="7">
      <w:start w:val="1"/>
      <w:numFmt w:val="lowerLetter"/>
      <w:isLgl w:val="false"/>
      <w:suff w:val="tab"/>
      <w:lvlText w:val="%8)"/>
      <w:lvlJc w:val="left"/>
      <w:pPr>
        <w:pStyle w:val="698"/>
        <w:ind w:left="3879" w:hanging="420"/>
      </w:pPr>
    </w:lvl>
    <w:lvl w:ilvl="8">
      <w:start w:val="1"/>
      <w:numFmt w:val="lowerRoman"/>
      <w:isLgl w:val="false"/>
      <w:suff w:val="tab"/>
      <w:lvlText w:val="%9."/>
      <w:lvlJc w:val="right"/>
      <w:pPr>
        <w:pStyle w:val="698"/>
        <w:ind w:left="4299" w:hanging="420"/>
      </w:pPr>
    </w:lvl>
  </w:abstractNum>
  <w:abstractNum w:abstractNumId="16">
    <w:multiLevelType w:val="hybridMultilevel"/>
    <w:lvl w:ilvl="0">
      <w:start w:val="1"/>
      <w:numFmt w:val="decimal"/>
      <w:pStyle w:val="795"/>
      <w:isLgl w:val="false"/>
      <w:suff w:val="tab"/>
      <w:lvlText w:val="%1."/>
      <w:lvlJc w:val="left"/>
      <w:pPr>
        <w:pStyle w:val="698"/>
        <w:ind w:left="709" w:hanging="709"/>
        <w:tabs>
          <w:tab w:val="num" w:pos="709" w:leader="none"/>
        </w:tabs>
      </w:pPr>
      <w:rPr>
        <w:rFonts w:hint="eastAsia"/>
      </w:rPr>
    </w:lvl>
    <w:lvl w:ilvl="1">
      <w:start w:val="1"/>
      <w:numFmt w:val="decimal"/>
      <w:isLgl w:val="false"/>
      <w:suff w:val="tab"/>
      <w:lvlText w:val="%1.%2"/>
      <w:lvlJc w:val="left"/>
      <w:pPr>
        <w:pStyle w:val="698"/>
        <w:ind w:left="709" w:hanging="709"/>
        <w:tabs>
          <w:tab w:val="num" w:pos="709" w:leader="none"/>
        </w:tabs>
      </w:pPr>
      <w:rPr>
        <w:rFonts w:hint="eastAsia"/>
      </w:rPr>
    </w:lvl>
    <w:lvl w:ilvl="2">
      <w:start w:val="1"/>
      <w:numFmt w:val="decimal"/>
      <w:isLgl w:val="false"/>
      <w:suff w:val="tab"/>
      <w:lvlText w:val="%1.%2.%3."/>
      <w:lvlJc w:val="left"/>
      <w:pPr>
        <w:pStyle w:val="698"/>
        <w:ind w:left="425" w:hanging="425"/>
        <w:tabs>
          <w:tab w:val="num" w:pos="425" w:leader="none"/>
        </w:tabs>
      </w:pPr>
      <w:rPr>
        <w:rFonts w:hint="eastAsia"/>
      </w:rPr>
    </w:lvl>
    <w:lvl w:ilvl="3">
      <w:start w:val="1"/>
      <w:numFmt w:val="decimal"/>
      <w:isLgl w:val="false"/>
      <w:suff w:val="tab"/>
      <w:lvlText w:val="%1.%2.%3.%4."/>
      <w:lvlJc w:val="left"/>
      <w:pPr>
        <w:pStyle w:val="698"/>
        <w:ind w:left="851" w:hanging="851"/>
        <w:tabs>
          <w:tab w:val="num" w:pos="851" w:leader="none"/>
        </w:tabs>
      </w:pPr>
      <w:rPr>
        <w:rFonts w:hint="eastAsia"/>
      </w:rPr>
    </w:lvl>
    <w:lvl w:ilvl="4">
      <w:start w:val="1"/>
      <w:numFmt w:val="decimal"/>
      <w:isLgl w:val="false"/>
      <w:suff w:val="tab"/>
      <w:lvlText w:val="%1.%2.%3.%4.%5."/>
      <w:lvlJc w:val="left"/>
      <w:pPr>
        <w:pStyle w:val="698"/>
        <w:ind w:left="992" w:hanging="992"/>
        <w:tabs>
          <w:tab w:val="num" w:pos="992" w:leader="none"/>
        </w:tabs>
      </w:pPr>
      <w:rPr>
        <w:rFonts w:hint="eastAsia"/>
      </w:rPr>
    </w:lvl>
    <w:lvl w:ilvl="5">
      <w:start w:val="1"/>
      <w:numFmt w:val="decimal"/>
      <w:isLgl w:val="false"/>
      <w:suff w:val="tab"/>
      <w:lvlText w:val="%1.%2.%3.%4.%5.%6."/>
      <w:lvlJc w:val="left"/>
      <w:pPr>
        <w:pStyle w:val="698"/>
        <w:ind w:left="1134" w:hanging="1134"/>
        <w:tabs>
          <w:tab w:val="num" w:pos="1134" w:leader="none"/>
        </w:tabs>
      </w:pPr>
      <w:rPr>
        <w:rFonts w:hint="eastAsia"/>
      </w:rPr>
    </w:lvl>
    <w:lvl w:ilvl="6">
      <w:start w:val="1"/>
      <w:numFmt w:val="decimal"/>
      <w:isLgl w:val="false"/>
      <w:suff w:val="tab"/>
      <w:lvlText w:val="%1.%2.%3.%4.%5.%6.%7."/>
      <w:lvlJc w:val="left"/>
      <w:pPr>
        <w:pStyle w:val="698"/>
        <w:ind w:left="1276" w:hanging="1276"/>
        <w:tabs>
          <w:tab w:val="num" w:pos="1276" w:leader="none"/>
        </w:tabs>
      </w:pPr>
      <w:rPr>
        <w:rFonts w:hint="eastAsia"/>
      </w:rPr>
    </w:lvl>
    <w:lvl w:ilvl="7">
      <w:start w:val="1"/>
      <w:numFmt w:val="decimal"/>
      <w:isLgl w:val="false"/>
      <w:suff w:val="tab"/>
      <w:lvlText w:val="%1.%2.%3.%4.%5.%6.%7.%8."/>
      <w:lvlJc w:val="left"/>
      <w:pPr>
        <w:pStyle w:val="698"/>
        <w:ind w:left="1418" w:hanging="1418"/>
        <w:tabs>
          <w:tab w:val="num" w:pos="1418" w:leader="none"/>
        </w:tabs>
      </w:pPr>
      <w:rPr>
        <w:rFonts w:hint="eastAsia"/>
      </w:rPr>
    </w:lvl>
    <w:lvl w:ilvl="8">
      <w:start w:val="1"/>
      <w:numFmt w:val="decimal"/>
      <w:isLgl w:val="false"/>
      <w:suff w:val="tab"/>
      <w:lvlText w:val="%1.%2.%3.%4.%5.%6.%7.%8.%9."/>
      <w:lvlJc w:val="left"/>
      <w:pPr>
        <w:pStyle w:val="698"/>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698"/>
        <w:ind w:left="510" w:hanging="360"/>
        <w:tabs>
          <w:tab w:val="num" w:pos="510" w:leader="none"/>
        </w:tabs>
      </w:pPr>
      <w:rPr>
        <w:rFonts w:hint="eastAsia" w:cs="Times New Roman"/>
      </w:rPr>
    </w:lvl>
    <w:lvl w:ilvl="1">
      <w:start w:val="1"/>
      <w:numFmt w:val="decimal"/>
      <w:isLgl w:val="false"/>
      <w:suff w:val="tab"/>
      <w:lvlText w:val="%2．"/>
      <w:lvlJc w:val="left"/>
      <w:pPr>
        <w:pStyle w:val="698"/>
        <w:ind w:left="1290" w:hanging="720"/>
        <w:tabs>
          <w:tab w:val="num" w:pos="1290" w:leader="none"/>
        </w:tabs>
      </w:pPr>
      <w:rPr>
        <w:rFonts w:hint="eastAsia" w:cs="Times New Roman"/>
      </w:rPr>
    </w:lvl>
    <w:lvl w:ilvl="2">
      <w:start w:val="3"/>
      <w:numFmt w:val="decimal"/>
      <w:isLgl w:val="false"/>
      <w:suff w:val="tab"/>
      <w:lvlText w:val="（%3）"/>
      <w:lvlJc w:val="left"/>
      <w:pPr>
        <w:pStyle w:val="698"/>
        <w:ind w:left="1140" w:hanging="720"/>
        <w:tabs>
          <w:tab w:val="num" w:pos="1140" w:leader="none"/>
        </w:tabs>
      </w:pPr>
      <w:rPr>
        <w:rFonts w:hint="eastAsia" w:cs="Times New Roman"/>
      </w:rPr>
    </w:lvl>
    <w:lvl w:ilvl="3">
      <w:start w:val="1"/>
      <w:numFmt w:val="decimal"/>
      <w:isLgl w:val="false"/>
      <w:suff w:val="tab"/>
      <w:lvlText w:val="（%4）"/>
      <w:lvlJc w:val="left"/>
      <w:pPr>
        <w:pStyle w:val="69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8"/>
        <w:ind w:left="2250" w:hanging="420"/>
        <w:tabs>
          <w:tab w:val="num" w:pos="2250" w:leader="none"/>
        </w:tabs>
      </w:pPr>
      <w:rPr>
        <w:rFonts w:hint="eastAsia"/>
        <w:b/>
        <w:lang w:val="en-US"/>
      </w:rPr>
    </w:lvl>
    <w:lvl w:ilvl="5">
      <w:start w:val="10"/>
      <w:numFmt w:val="japaneseCounting"/>
      <w:isLgl w:val="false"/>
      <w:suff w:val="tab"/>
      <w:lvlText w:val="（%6）"/>
      <w:lvlJc w:val="left"/>
      <w:pPr>
        <w:pStyle w:val="698"/>
        <w:ind w:left="2970" w:hanging="720"/>
      </w:pPr>
      <w:rPr>
        <w:rFonts w:cs="Times New Roman"/>
      </w:rPr>
    </w:lvl>
    <w:lvl w:ilvl="6">
      <w:start w:val="1"/>
      <w:numFmt w:val="decimal"/>
      <w:isLgl w:val="false"/>
      <w:suff w:val="tab"/>
      <w:lvlText w:val="（%7）"/>
      <w:lvlJc w:val="left"/>
      <w:pPr>
        <w:pStyle w:val="69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8"/>
        <w:ind w:left="3510" w:hanging="420"/>
        <w:tabs>
          <w:tab w:val="num" w:pos="3510" w:leader="none"/>
        </w:tabs>
      </w:pPr>
      <w:rPr>
        <w:rFonts w:cs="Times New Roman"/>
      </w:rPr>
    </w:lvl>
    <w:lvl w:ilvl="8">
      <w:start w:val="1"/>
      <w:numFmt w:val="lowerRoman"/>
      <w:isLgl w:val="false"/>
      <w:suff w:val="tab"/>
      <w:lvlText w:val="%9."/>
      <w:lvlJc w:val="right"/>
      <w:pPr>
        <w:pStyle w:val="698"/>
        <w:ind w:left="3930" w:hanging="420"/>
        <w:tabs>
          <w:tab w:val="num" w:pos="3930" w:leader="none"/>
        </w:tabs>
      </w:pPr>
      <w:rPr>
        <w:rFonts w:cs="Times New Roman"/>
      </w:rPr>
    </w:lvl>
  </w:abstractNum>
  <w:abstractNum w:abstractNumId="18">
    <w:multiLevelType w:val="hybridMultilevel"/>
    <w:lvl w:ilvl="0">
      <w:start w:val="1"/>
      <w:numFmt w:val="japaneseCounting"/>
      <w:isLgl w:val="false"/>
      <w:suff w:val="tab"/>
      <w:lvlText w:val="（%1）"/>
      <w:lvlJc w:val="left"/>
      <w:pPr>
        <w:pStyle w:val="698"/>
        <w:ind w:left="1080" w:hanging="1080"/>
        <w:tabs>
          <w:tab w:val="num" w:pos="1080" w:leader="none"/>
        </w:tabs>
      </w:pPr>
      <w:rPr>
        <w:rFonts w:hint="eastAsia" w:cs="Times New Roman"/>
      </w:rPr>
    </w:lvl>
    <w:lvl w:ilvl="1">
      <w:start w:val="1"/>
      <w:numFmt w:val="decimal"/>
      <w:isLgl w:val="false"/>
      <w:suff w:val="tab"/>
      <w:lvlText w:val="%2."/>
      <w:lvlJc w:val="left"/>
      <w:pPr>
        <w:pStyle w:val="69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98"/>
        <w:ind w:left="1260" w:hanging="420"/>
        <w:tabs>
          <w:tab w:val="num" w:pos="1260" w:leader="none"/>
        </w:tabs>
      </w:pPr>
      <w:rPr>
        <w:rFonts w:cs="Times New Roman"/>
      </w:rPr>
    </w:lvl>
    <w:lvl w:ilvl="3">
      <w:start w:val="1"/>
      <w:numFmt w:val="decimal"/>
      <w:isLgl w:val="false"/>
      <w:suff w:val="tab"/>
      <w:lvlText w:val="%4."/>
      <w:lvlJc w:val="left"/>
      <w:pPr>
        <w:pStyle w:val="698"/>
        <w:ind w:left="1680" w:hanging="420"/>
        <w:tabs>
          <w:tab w:val="num" w:pos="1680" w:leader="none"/>
        </w:tabs>
      </w:pPr>
      <w:rPr>
        <w:rFonts w:cs="Times New Roman"/>
      </w:rPr>
    </w:lvl>
    <w:lvl w:ilvl="4">
      <w:start w:val="1"/>
      <w:numFmt w:val="lowerLetter"/>
      <w:isLgl w:val="false"/>
      <w:suff w:val="tab"/>
      <w:lvlText w:val="%5)"/>
      <w:lvlJc w:val="left"/>
      <w:pPr>
        <w:pStyle w:val="698"/>
        <w:ind w:left="2100" w:hanging="420"/>
        <w:tabs>
          <w:tab w:val="num" w:pos="2100" w:leader="none"/>
        </w:tabs>
      </w:pPr>
      <w:rPr>
        <w:rFonts w:cs="Times New Roman"/>
      </w:rPr>
    </w:lvl>
    <w:lvl w:ilvl="5">
      <w:start w:val="1"/>
      <w:numFmt w:val="lowerRoman"/>
      <w:isLgl w:val="false"/>
      <w:suff w:val="tab"/>
      <w:lvlText w:val="%6."/>
      <w:lvlJc w:val="right"/>
      <w:pPr>
        <w:pStyle w:val="698"/>
        <w:ind w:left="2520" w:hanging="420"/>
        <w:tabs>
          <w:tab w:val="num" w:pos="2520" w:leader="none"/>
        </w:tabs>
      </w:pPr>
      <w:rPr>
        <w:rFonts w:cs="Times New Roman"/>
      </w:rPr>
    </w:lvl>
    <w:lvl w:ilvl="6">
      <w:start w:val="1"/>
      <w:numFmt w:val="decimal"/>
      <w:isLgl w:val="false"/>
      <w:suff w:val="tab"/>
      <w:lvlText w:val="%7."/>
      <w:lvlJc w:val="left"/>
      <w:pPr>
        <w:pStyle w:val="698"/>
        <w:ind w:left="2940" w:hanging="420"/>
        <w:tabs>
          <w:tab w:val="num" w:pos="2940" w:leader="none"/>
        </w:tabs>
      </w:pPr>
      <w:rPr>
        <w:rFonts w:cs="Times New Roman"/>
      </w:rPr>
    </w:lvl>
    <w:lvl w:ilvl="7">
      <w:start w:val="1"/>
      <w:numFmt w:val="lowerLetter"/>
      <w:isLgl w:val="false"/>
      <w:suff w:val="tab"/>
      <w:lvlText w:val="%8)"/>
      <w:lvlJc w:val="left"/>
      <w:pPr>
        <w:pStyle w:val="698"/>
        <w:ind w:left="3360" w:hanging="420"/>
        <w:tabs>
          <w:tab w:val="num" w:pos="3360" w:leader="none"/>
        </w:tabs>
      </w:pPr>
      <w:rPr>
        <w:rFonts w:cs="Times New Roman"/>
      </w:rPr>
    </w:lvl>
    <w:lvl w:ilvl="8">
      <w:start w:val="1"/>
      <w:numFmt w:val="lowerRoman"/>
      <w:isLgl w:val="false"/>
      <w:suff w:val="tab"/>
      <w:lvlText w:val="%9."/>
      <w:lvlJc w:val="right"/>
      <w:pPr>
        <w:pStyle w:val="698"/>
        <w:ind w:left="3780" w:hanging="420"/>
        <w:tabs>
          <w:tab w:val="num" w:pos="3780" w:leader="none"/>
        </w:tabs>
      </w:pPr>
      <w:rPr>
        <w:rFonts w:cs="Times New Roman"/>
      </w:rPr>
    </w:lvl>
  </w:abstractNum>
  <w:abstractNum w:abstractNumId="19">
    <w:multiLevelType w:val="hybridMultilevel"/>
    <w:lvl w:ilvl="0">
      <w:start w:val="1"/>
      <w:numFmt w:val="chineseCountingThousand"/>
      <w:isLgl w:val="false"/>
      <w:suff w:val="nothing"/>
      <w:lvlText w:val="第%1章 "/>
      <w:lvlJc w:val="left"/>
      <w:pPr>
        <w:pStyle w:val="698"/>
        <w:ind w:left="0" w:firstLine="0"/>
      </w:pPr>
      <w:rPr>
        <w:rFonts w:hint="eastAsia"/>
      </w:rPr>
    </w:lvl>
    <w:lvl w:ilvl="1">
      <w:start w:val="1"/>
      <w:numFmt w:val="decimal"/>
      <w:isLgl w:val="false"/>
      <w:suff w:val="nothing"/>
      <w:lvlText w:val="%2、"/>
      <w:lvlJc w:val="left"/>
      <w:pPr>
        <w:pStyle w:val="698"/>
        <w:ind w:left="0" w:firstLine="0"/>
      </w:pPr>
      <w:rPr>
        <w:rFonts w:hint="eastAsia"/>
      </w:rPr>
    </w:lvl>
    <w:lvl w:ilvl="2">
      <w:start w:val="1"/>
      <w:numFmt w:val="decimal"/>
      <w:isLgl w:val="false"/>
      <w:suff w:val="nothing"/>
      <w:lvlText w:val="%2.%3 "/>
      <w:lvlJc w:val="left"/>
      <w:pPr>
        <w:pStyle w:val="698"/>
        <w:ind w:left="0" w:firstLine="0"/>
      </w:pPr>
      <w:rPr>
        <w:rFonts w:hint="eastAsia"/>
      </w:rPr>
    </w:lvl>
    <w:lvl w:ilvl="3">
      <w:start w:val="1"/>
      <w:numFmt w:val="decimal"/>
      <w:isLgl w:val="false"/>
      <w:suff w:val="nothing"/>
      <w:lvlText w:val="%2.%3.%4 "/>
      <w:lvlJc w:val="left"/>
      <w:pPr>
        <w:pStyle w:val="698"/>
        <w:ind w:left="0" w:firstLine="0"/>
      </w:pPr>
      <w:rPr>
        <w:rFonts w:hint="eastAsia"/>
      </w:rPr>
    </w:lvl>
    <w:lvl w:ilvl="4">
      <w:start w:val="1"/>
      <w:numFmt w:val="decimal"/>
      <w:isLgl w:val="false"/>
      <w:suff w:val="nothing"/>
      <w:lvlText w:val="%2.%3.%4.%5 "/>
      <w:lvlJc w:val="left"/>
      <w:pPr>
        <w:pStyle w:val="698"/>
        <w:ind w:left="0" w:firstLine="0"/>
      </w:pPr>
      <w:rPr>
        <w:rFonts w:hint="eastAsia"/>
      </w:rPr>
    </w:lvl>
    <w:lvl w:ilvl="5">
      <w:start w:val="1"/>
      <w:numFmt w:val="decimal"/>
      <w:pStyle w:val="704"/>
      <w:isLgl w:val="false"/>
      <w:suff w:val="nothing"/>
      <w:lvlText w:val=""/>
      <w:lvlJc w:val="left"/>
      <w:pPr>
        <w:pStyle w:val="698"/>
        <w:ind w:left="0" w:firstLine="0"/>
      </w:pPr>
      <w:rPr>
        <w:rFonts w:hint="eastAsia"/>
      </w:rPr>
    </w:lvl>
    <w:lvl w:ilvl="6">
      <w:start w:val="1"/>
      <w:numFmt w:val="decimal"/>
      <w:pStyle w:val="705"/>
      <w:isLgl w:val="false"/>
      <w:suff w:val="nothing"/>
      <w:lvlText w:val=""/>
      <w:lvlJc w:val="left"/>
      <w:pPr>
        <w:pStyle w:val="698"/>
        <w:ind w:left="0" w:firstLine="0"/>
      </w:pPr>
      <w:rPr>
        <w:rFonts w:hint="eastAsia"/>
      </w:rPr>
    </w:lvl>
    <w:lvl w:ilvl="7">
      <w:start w:val="1"/>
      <w:numFmt w:val="decimal"/>
      <w:pStyle w:val="706"/>
      <w:isLgl w:val="false"/>
      <w:suff w:val="nothing"/>
      <w:lvlText w:val=""/>
      <w:lvlJc w:val="left"/>
      <w:pPr>
        <w:pStyle w:val="698"/>
        <w:ind w:left="0" w:firstLine="0"/>
      </w:pPr>
      <w:rPr>
        <w:rFonts w:hint="eastAsia"/>
      </w:rPr>
    </w:lvl>
    <w:lvl w:ilvl="8">
      <w:start w:val="1"/>
      <w:numFmt w:val="decimal"/>
      <w:pStyle w:val="707"/>
      <w:isLgl w:val="false"/>
      <w:suff w:val="nothing"/>
      <w:lvlText w:val=""/>
      <w:lvlJc w:val="left"/>
      <w:pPr>
        <w:pStyle w:val="698"/>
        <w:ind w:left="0" w:firstLine="0"/>
      </w:pPr>
      <w:rPr>
        <w:rFonts w:hint="eastAsia"/>
      </w:rPr>
    </w:lvl>
  </w:abstractNum>
  <w:abstractNum w:abstractNumId="20">
    <w:multiLevelType w:val="hybridMultilevel"/>
    <w:lvl w:ilvl="0">
      <w:start w:val="1"/>
      <w:numFmt w:val="decimal"/>
      <w:isLgl w:val="false"/>
      <w:suff w:val="tab"/>
      <w:lvlText w:val="%1."/>
      <w:lvlJc w:val="left"/>
      <w:pPr>
        <w:pStyle w:val="698"/>
        <w:ind w:left="510" w:hanging="360"/>
        <w:tabs>
          <w:tab w:val="num" w:pos="510" w:leader="none"/>
        </w:tabs>
      </w:pPr>
      <w:rPr>
        <w:rFonts w:hint="eastAsia" w:cs="Times New Roman"/>
      </w:rPr>
    </w:lvl>
    <w:lvl w:ilvl="1">
      <w:start w:val="1"/>
      <w:numFmt w:val="decimal"/>
      <w:isLgl w:val="false"/>
      <w:suff w:val="tab"/>
      <w:lvlText w:val="%2．"/>
      <w:lvlJc w:val="left"/>
      <w:pPr>
        <w:pStyle w:val="698"/>
        <w:ind w:left="1290" w:hanging="720"/>
        <w:tabs>
          <w:tab w:val="num" w:pos="1290" w:leader="none"/>
        </w:tabs>
      </w:pPr>
      <w:rPr>
        <w:rFonts w:hint="eastAsia" w:cs="Times New Roman"/>
      </w:rPr>
    </w:lvl>
    <w:lvl w:ilvl="2">
      <w:start w:val="3"/>
      <w:numFmt w:val="decimal"/>
      <w:isLgl w:val="false"/>
      <w:suff w:val="tab"/>
      <w:lvlText w:val="（%3）"/>
      <w:lvlJc w:val="left"/>
      <w:pPr>
        <w:pStyle w:val="698"/>
        <w:ind w:left="1140" w:hanging="720"/>
        <w:tabs>
          <w:tab w:val="num" w:pos="1140" w:leader="none"/>
        </w:tabs>
      </w:pPr>
      <w:rPr>
        <w:rFonts w:hint="eastAsia" w:cs="Times New Roman"/>
      </w:rPr>
    </w:lvl>
    <w:lvl w:ilvl="3">
      <w:start w:val="1"/>
      <w:numFmt w:val="decimal"/>
      <w:isLgl w:val="false"/>
      <w:suff w:val="tab"/>
      <w:lvlText w:val="（%4）"/>
      <w:lvlJc w:val="left"/>
      <w:pPr>
        <w:pStyle w:val="69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8"/>
        <w:ind w:left="2250" w:hanging="420"/>
        <w:tabs>
          <w:tab w:val="num" w:pos="2250" w:leader="none"/>
        </w:tabs>
      </w:pPr>
      <w:rPr>
        <w:rFonts w:hint="eastAsia"/>
        <w:b/>
        <w:lang w:val="en-US"/>
      </w:rPr>
    </w:lvl>
    <w:lvl w:ilvl="5">
      <w:start w:val="10"/>
      <w:numFmt w:val="japaneseCounting"/>
      <w:isLgl w:val="false"/>
      <w:suff w:val="tab"/>
      <w:lvlText w:val="（%6）"/>
      <w:lvlJc w:val="left"/>
      <w:pPr>
        <w:pStyle w:val="698"/>
        <w:ind w:left="2970" w:hanging="720"/>
      </w:pPr>
      <w:rPr>
        <w:rFonts w:cs="Times New Roman"/>
      </w:rPr>
    </w:lvl>
    <w:lvl w:ilvl="6">
      <w:start w:val="1"/>
      <w:numFmt w:val="decimal"/>
      <w:isLgl w:val="false"/>
      <w:suff w:val="tab"/>
      <w:lvlText w:val="（%7）"/>
      <w:lvlJc w:val="left"/>
      <w:pPr>
        <w:pStyle w:val="69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8"/>
        <w:ind w:left="3510" w:hanging="420"/>
        <w:tabs>
          <w:tab w:val="num" w:pos="3510" w:leader="none"/>
        </w:tabs>
      </w:pPr>
      <w:rPr>
        <w:rFonts w:cs="Times New Roman"/>
      </w:rPr>
    </w:lvl>
    <w:lvl w:ilvl="8">
      <w:start w:val="1"/>
      <w:numFmt w:val="lowerRoman"/>
      <w:isLgl w:val="false"/>
      <w:suff w:val="tab"/>
      <w:lvlText w:val="%9."/>
      <w:lvlJc w:val="right"/>
      <w:pPr>
        <w:pStyle w:val="698"/>
        <w:ind w:left="3930" w:hanging="420"/>
        <w:tabs>
          <w:tab w:val="num" w:pos="393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69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98"/>
        <w:ind w:left="840" w:hanging="420"/>
        <w:tabs>
          <w:tab w:val="num" w:pos="840" w:leader="none"/>
        </w:tabs>
      </w:pPr>
      <w:rPr>
        <w:rFonts w:cs="Times New Roman"/>
      </w:rPr>
    </w:lvl>
    <w:lvl w:ilvl="2">
      <w:start w:val="10"/>
      <w:numFmt w:val="decimal"/>
      <w:isLgl w:val="false"/>
      <w:suff w:val="tab"/>
      <w:lvlText w:val="%3."/>
      <w:lvlJc w:val="left"/>
      <w:pPr>
        <w:pStyle w:val="698"/>
        <w:ind w:left="1200" w:hanging="360"/>
        <w:tabs>
          <w:tab w:val="num" w:pos="1200" w:leader="none"/>
        </w:tabs>
      </w:pPr>
      <w:rPr>
        <w:rFonts w:cs="Times New Roman"/>
      </w:rPr>
    </w:lvl>
    <w:lvl w:ilvl="3">
      <w:start w:val="1"/>
      <w:numFmt w:val="decimal"/>
      <w:isLgl w:val="false"/>
      <w:suff w:val="tab"/>
      <w:lvlText w:val="%4."/>
      <w:lvlJc w:val="left"/>
      <w:pPr>
        <w:pStyle w:val="698"/>
        <w:ind w:left="1680" w:hanging="420"/>
        <w:tabs>
          <w:tab w:val="num" w:pos="1680" w:leader="none"/>
        </w:tabs>
      </w:pPr>
      <w:rPr>
        <w:rFonts w:cs="Times New Roman"/>
      </w:rPr>
    </w:lvl>
    <w:lvl w:ilvl="4">
      <w:start w:val="1"/>
      <w:numFmt w:val="lowerLetter"/>
      <w:isLgl w:val="false"/>
      <w:suff w:val="tab"/>
      <w:lvlText w:val="%5)"/>
      <w:lvlJc w:val="left"/>
      <w:pPr>
        <w:pStyle w:val="698"/>
        <w:ind w:left="2100" w:hanging="420"/>
        <w:tabs>
          <w:tab w:val="num" w:pos="2100" w:leader="none"/>
        </w:tabs>
      </w:pPr>
      <w:rPr>
        <w:rFonts w:cs="Times New Roman"/>
      </w:rPr>
    </w:lvl>
    <w:lvl w:ilvl="5">
      <w:start w:val="1"/>
      <w:numFmt w:val="lowerRoman"/>
      <w:isLgl w:val="false"/>
      <w:suff w:val="tab"/>
      <w:lvlText w:val="%6."/>
      <w:lvlJc w:val="right"/>
      <w:pPr>
        <w:pStyle w:val="698"/>
        <w:ind w:left="2520" w:hanging="420"/>
        <w:tabs>
          <w:tab w:val="num" w:pos="2520" w:leader="none"/>
        </w:tabs>
      </w:pPr>
      <w:rPr>
        <w:rFonts w:cs="Times New Roman"/>
      </w:rPr>
    </w:lvl>
    <w:lvl w:ilvl="6">
      <w:start w:val="1"/>
      <w:numFmt w:val="decimal"/>
      <w:isLgl w:val="false"/>
      <w:suff w:val="tab"/>
      <w:lvlText w:val="%7."/>
      <w:lvlJc w:val="left"/>
      <w:pPr>
        <w:pStyle w:val="698"/>
        <w:ind w:left="2940" w:hanging="420"/>
        <w:tabs>
          <w:tab w:val="num" w:pos="2940" w:leader="none"/>
        </w:tabs>
      </w:pPr>
      <w:rPr>
        <w:rFonts w:cs="Times New Roman"/>
      </w:rPr>
    </w:lvl>
    <w:lvl w:ilvl="7">
      <w:start w:val="1"/>
      <w:numFmt w:val="lowerLetter"/>
      <w:isLgl w:val="false"/>
      <w:suff w:val="tab"/>
      <w:lvlText w:val="%8)"/>
      <w:lvlJc w:val="left"/>
      <w:pPr>
        <w:pStyle w:val="698"/>
        <w:ind w:left="3360" w:hanging="420"/>
        <w:tabs>
          <w:tab w:val="num" w:pos="3360" w:leader="none"/>
        </w:tabs>
      </w:pPr>
      <w:rPr>
        <w:rFonts w:cs="Times New Roman"/>
      </w:rPr>
    </w:lvl>
    <w:lvl w:ilvl="8">
      <w:start w:val="1"/>
      <w:numFmt w:val="lowerRoman"/>
      <w:isLgl w:val="false"/>
      <w:suff w:val="tab"/>
      <w:lvlText w:val="%9."/>
      <w:lvlJc w:val="right"/>
      <w:pPr>
        <w:pStyle w:val="698"/>
        <w:ind w:left="3780" w:hanging="420"/>
        <w:tabs>
          <w:tab w:val="num" w:pos="3780" w:leader="none"/>
        </w:tabs>
      </w:pPr>
      <w:rPr>
        <w:rFonts w:cs="Times New Roman"/>
      </w:rPr>
    </w:lvl>
  </w:abstractNum>
  <w:abstractNum w:abstractNumId="22">
    <w:multiLevelType w:val="hybridMultilevel"/>
    <w:lvl w:ilvl="0">
      <w:start w:val="1"/>
      <w:numFmt w:val="decimal"/>
      <w:isLgl w:val="false"/>
      <w:suff w:val="tab"/>
      <w:lvlText w:val="（%1）"/>
      <w:lvlJc w:val="left"/>
      <w:pPr>
        <w:pStyle w:val="698"/>
        <w:ind w:left="720" w:hanging="720"/>
        <w:tabs>
          <w:tab w:val="num" w:pos="720" w:leader="none"/>
        </w:tabs>
      </w:pPr>
      <w:rPr>
        <w:rFonts w:hint="eastAsia" w:cs="Times New Roman"/>
      </w:rPr>
    </w:lvl>
    <w:lvl w:ilvl="1">
      <w:start w:val="2"/>
      <w:numFmt w:val="decimal"/>
      <w:isLgl w:val="false"/>
      <w:suff w:val="tab"/>
      <w:lvlText w:val="%2."/>
      <w:lvlJc w:val="left"/>
      <w:pPr>
        <w:pStyle w:val="698"/>
        <w:ind w:left="1770" w:hanging="360"/>
        <w:tabs>
          <w:tab w:val="num" w:pos="1770" w:leader="none"/>
        </w:tabs>
      </w:pPr>
      <w:rPr>
        <w:rFonts w:cs="Times New Roman"/>
      </w:rPr>
    </w:lvl>
    <w:lvl w:ilvl="2">
      <w:start w:val="1"/>
      <w:numFmt w:val="lowerRoman"/>
      <w:isLgl w:val="false"/>
      <w:suff w:val="tab"/>
      <w:lvlText w:val="%3."/>
      <w:lvlJc w:val="right"/>
      <w:pPr>
        <w:pStyle w:val="698"/>
        <w:ind w:left="2250" w:hanging="420"/>
        <w:tabs>
          <w:tab w:val="num" w:pos="2250" w:leader="none"/>
        </w:tabs>
      </w:pPr>
      <w:rPr>
        <w:rFonts w:cs="Times New Roman"/>
      </w:rPr>
    </w:lvl>
    <w:lvl w:ilvl="3">
      <w:start w:val="1"/>
      <w:numFmt w:val="decimal"/>
      <w:isLgl w:val="false"/>
      <w:suff w:val="tab"/>
      <w:lvlText w:val="%4."/>
      <w:lvlJc w:val="left"/>
      <w:pPr>
        <w:pStyle w:val="698"/>
        <w:ind w:left="2670" w:hanging="420"/>
        <w:tabs>
          <w:tab w:val="num" w:pos="2670" w:leader="none"/>
        </w:tabs>
      </w:pPr>
      <w:rPr>
        <w:rFonts w:cs="Times New Roman"/>
      </w:rPr>
    </w:lvl>
    <w:lvl w:ilvl="4">
      <w:start w:val="1"/>
      <w:numFmt w:val="lowerLetter"/>
      <w:isLgl w:val="false"/>
      <w:suff w:val="tab"/>
      <w:lvlText w:val="%5)"/>
      <w:lvlJc w:val="left"/>
      <w:pPr>
        <w:pStyle w:val="698"/>
        <w:ind w:left="3090" w:hanging="420"/>
        <w:tabs>
          <w:tab w:val="num" w:pos="3090" w:leader="none"/>
        </w:tabs>
      </w:pPr>
      <w:rPr>
        <w:rFonts w:cs="Times New Roman"/>
      </w:rPr>
    </w:lvl>
    <w:lvl w:ilvl="5">
      <w:start w:val="1"/>
      <w:numFmt w:val="lowerRoman"/>
      <w:isLgl w:val="false"/>
      <w:suff w:val="tab"/>
      <w:lvlText w:val="%6."/>
      <w:lvlJc w:val="right"/>
      <w:pPr>
        <w:pStyle w:val="698"/>
        <w:ind w:left="3510" w:hanging="420"/>
        <w:tabs>
          <w:tab w:val="num" w:pos="3510" w:leader="none"/>
        </w:tabs>
      </w:pPr>
      <w:rPr>
        <w:rFonts w:cs="Times New Roman"/>
      </w:rPr>
    </w:lvl>
    <w:lvl w:ilvl="6">
      <w:start w:val="1"/>
      <w:numFmt w:val="decimal"/>
      <w:isLgl w:val="false"/>
      <w:suff w:val="tab"/>
      <w:lvlText w:val="%7."/>
      <w:lvlJc w:val="left"/>
      <w:pPr>
        <w:pStyle w:val="698"/>
        <w:ind w:left="3930" w:hanging="420"/>
        <w:tabs>
          <w:tab w:val="num" w:pos="3930" w:leader="none"/>
        </w:tabs>
      </w:pPr>
      <w:rPr>
        <w:rFonts w:cs="Times New Roman"/>
      </w:rPr>
    </w:lvl>
    <w:lvl w:ilvl="7">
      <w:start w:val="1"/>
      <w:numFmt w:val="lowerLetter"/>
      <w:isLgl w:val="false"/>
      <w:suff w:val="tab"/>
      <w:lvlText w:val="%8)"/>
      <w:lvlJc w:val="left"/>
      <w:pPr>
        <w:pStyle w:val="698"/>
        <w:ind w:left="4350" w:hanging="420"/>
        <w:tabs>
          <w:tab w:val="num" w:pos="4350" w:leader="none"/>
        </w:tabs>
      </w:pPr>
      <w:rPr>
        <w:rFonts w:cs="Times New Roman"/>
      </w:rPr>
    </w:lvl>
    <w:lvl w:ilvl="8">
      <w:start w:val="1"/>
      <w:numFmt w:val="lowerRoman"/>
      <w:isLgl w:val="false"/>
      <w:suff w:val="tab"/>
      <w:lvlText w:val="%9."/>
      <w:lvlJc w:val="right"/>
      <w:pPr>
        <w:pStyle w:val="698"/>
        <w:ind w:left="4770" w:hanging="420"/>
        <w:tabs>
          <w:tab w:val="num" w:pos="4770" w:leader="none"/>
        </w:tabs>
      </w:pPr>
      <w:rPr>
        <w:rFonts w:cs="Times New Roman"/>
      </w:rPr>
    </w:lvl>
  </w:abstractNum>
  <w:abstractNum w:abstractNumId="23">
    <w:multiLevelType w:val="hybridMultilevel"/>
    <w:lvl w:ilvl="0">
      <w:start w:val="1"/>
      <w:numFmt w:val="decimal"/>
      <w:isLgl w:val="false"/>
      <w:suff w:val="tab"/>
      <w:lvlText w:val="%1."/>
      <w:lvlJc w:val="left"/>
      <w:pPr>
        <w:pStyle w:val="698"/>
        <w:ind w:left="510" w:hanging="360"/>
        <w:tabs>
          <w:tab w:val="num" w:pos="510" w:leader="none"/>
        </w:tabs>
      </w:pPr>
      <w:rPr>
        <w:rFonts w:hint="eastAsia" w:cs="Times New Roman"/>
      </w:rPr>
    </w:lvl>
    <w:lvl w:ilvl="1">
      <w:start w:val="1"/>
      <w:numFmt w:val="decimal"/>
      <w:isLgl w:val="false"/>
      <w:suff w:val="tab"/>
      <w:lvlText w:val="%2．"/>
      <w:lvlJc w:val="left"/>
      <w:pPr>
        <w:pStyle w:val="698"/>
        <w:ind w:left="1290" w:hanging="720"/>
        <w:tabs>
          <w:tab w:val="num" w:pos="1290" w:leader="none"/>
        </w:tabs>
      </w:pPr>
      <w:rPr>
        <w:rFonts w:hint="eastAsia" w:cs="Times New Roman"/>
      </w:rPr>
    </w:lvl>
    <w:lvl w:ilvl="2">
      <w:start w:val="3"/>
      <w:numFmt w:val="decimal"/>
      <w:isLgl w:val="false"/>
      <w:suff w:val="tab"/>
      <w:lvlText w:val="（%3）"/>
      <w:lvlJc w:val="left"/>
      <w:pPr>
        <w:pStyle w:val="698"/>
        <w:ind w:left="1140" w:hanging="720"/>
        <w:tabs>
          <w:tab w:val="num" w:pos="1140" w:leader="none"/>
        </w:tabs>
      </w:pPr>
      <w:rPr>
        <w:rFonts w:hint="eastAsia" w:cs="Times New Roman"/>
      </w:rPr>
    </w:lvl>
    <w:lvl w:ilvl="3">
      <w:start w:val="1"/>
      <w:numFmt w:val="decimal"/>
      <w:isLgl w:val="false"/>
      <w:suff w:val="tab"/>
      <w:lvlText w:val="（%4）"/>
      <w:lvlJc w:val="left"/>
      <w:pPr>
        <w:pStyle w:val="69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8"/>
        <w:ind w:left="2250" w:hanging="420"/>
        <w:tabs>
          <w:tab w:val="num" w:pos="2250" w:leader="none"/>
        </w:tabs>
      </w:pPr>
      <w:rPr>
        <w:rFonts w:hint="eastAsia"/>
        <w:b/>
        <w:lang w:val="en-US"/>
      </w:rPr>
    </w:lvl>
    <w:lvl w:ilvl="5">
      <w:start w:val="10"/>
      <w:numFmt w:val="japaneseCounting"/>
      <w:isLgl w:val="false"/>
      <w:suff w:val="tab"/>
      <w:lvlText w:val="（%6）"/>
      <w:lvlJc w:val="left"/>
      <w:pPr>
        <w:pStyle w:val="698"/>
        <w:ind w:left="2970" w:hanging="720"/>
      </w:pPr>
      <w:rPr>
        <w:rFonts w:cs="Times New Roman"/>
      </w:rPr>
    </w:lvl>
    <w:lvl w:ilvl="6">
      <w:start w:val="1"/>
      <w:numFmt w:val="decimal"/>
      <w:isLgl w:val="false"/>
      <w:suff w:val="tab"/>
      <w:lvlText w:val="（%7）"/>
      <w:lvlJc w:val="left"/>
      <w:pPr>
        <w:pStyle w:val="69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8"/>
        <w:ind w:left="3510" w:hanging="420"/>
        <w:tabs>
          <w:tab w:val="num" w:pos="3510" w:leader="none"/>
        </w:tabs>
      </w:pPr>
      <w:rPr>
        <w:rFonts w:cs="Times New Roman"/>
      </w:rPr>
    </w:lvl>
    <w:lvl w:ilvl="8">
      <w:start w:val="1"/>
      <w:numFmt w:val="lowerRoman"/>
      <w:isLgl w:val="false"/>
      <w:suff w:val="tab"/>
      <w:lvlText w:val="%9."/>
      <w:lvlJc w:val="right"/>
      <w:pPr>
        <w:pStyle w:val="698"/>
        <w:ind w:left="3930" w:hanging="420"/>
        <w:tabs>
          <w:tab w:val="num" w:pos="3930" w:leader="none"/>
        </w:tabs>
      </w:pPr>
      <w:rPr>
        <w:rFonts w:cs="Times New Roman"/>
      </w:rPr>
    </w:lvl>
  </w:abstractNum>
  <w:abstractNum w:abstractNumId="24">
    <w:multiLevelType w:val="hybridMultilevel"/>
    <w:lvl w:ilvl="0">
      <w:start w:val="1"/>
      <w:numFmt w:val="decimal"/>
      <w:isLgl w:val="false"/>
      <w:suff w:val="nothing"/>
      <w:lvlText w:val="（%1）"/>
      <w:lvlJc w:val="left"/>
      <w:pPr>
        <w:pStyle w:val="6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第%1章"/>
      <w:lvlJc w:val="left"/>
      <w:pPr>
        <w:pStyle w:val="69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7"/>
  </w:num>
  <w:num w:numId="3">
    <w:abstractNumId w:val="16"/>
  </w:num>
  <w:num w:numId="4">
    <w:abstractNumId w:val="25"/>
  </w:num>
  <w:num w:numId="5">
    <w:abstractNumId w:val="22"/>
  </w:num>
  <w:num w:numId="6">
    <w:abstractNumId w:val="15"/>
  </w:num>
  <w:num w:numId="7">
    <w:abstractNumId w:val="8"/>
  </w:num>
  <w:num w:numId="8">
    <w:abstractNumId w:val="1"/>
  </w:num>
  <w:num w:numId="9">
    <w:abstractNumId w:val="20"/>
  </w:num>
  <w:num w:numId="10">
    <w:abstractNumId w:val="6"/>
  </w:num>
  <w:num w:numId="11">
    <w:abstractNumId w:val="24"/>
  </w:num>
  <w:num w:numId="12">
    <w:abstractNumId w:val="0"/>
  </w:num>
  <w:num w:numId="13">
    <w:abstractNumId w:val="21"/>
  </w:num>
  <w:num w:numId="14">
    <w:abstractNumId w:val="13"/>
  </w:num>
  <w:num w:numId="15">
    <w:abstractNumId w:val="18"/>
  </w:num>
  <w:num w:numId="16">
    <w:abstractNumId w:val="9"/>
  </w:num>
  <w:num w:numId="17">
    <w:abstractNumId w:val="12"/>
  </w:num>
  <w:num w:numId="18">
    <w:abstractNumId w:val="14"/>
  </w:num>
  <w:num w:numId="19">
    <w:abstractNumId w:val="23"/>
  </w:num>
  <w:num w:numId="20">
    <w:abstractNumId w:val="17"/>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5"/>
  </w:num>
  <w:num w:numId="24">
    <w:abstractNumId w:val="10"/>
  </w:num>
  <w:num w:numId="25">
    <w:abstractNumId w:val="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8"/>
    <w:next w:val="6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8"/>
    <w:next w:val="6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8"/>
    <w:next w:val="698"/>
    <w:uiPriority w:val="39"/>
    <w:unhideWhenUsed/>
    <w:pPr>
      <w:ind w:left="0" w:right="0" w:firstLine="0"/>
      <w:spacing w:after="57"/>
    </w:p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rFonts w:ascii="Times New Roman" w:hAnsi="Times New Roman"/>
      <w:sz w:val="21"/>
      <w:szCs w:val="21"/>
      <w:lang w:val="en-US" w:eastAsia="zh-CN" w:bidi="ar-SA"/>
    </w:rPr>
  </w:style>
  <w:style w:type="paragraph" w:styleId="699">
    <w:name w:val="标题 1"/>
    <w:basedOn w:val="698"/>
    <w:next w:val="698"/>
    <w:link w:val="711"/>
    <w:qFormat/>
    <w:pPr>
      <w:jc w:val="center"/>
      <w:keepNext/>
      <w:outlineLvl w:val="0"/>
    </w:pPr>
    <w:rPr>
      <w:rFonts w:ascii="楷体_GB2312" w:eastAsia="楷体_GB2312"/>
      <w:sz w:val="28"/>
      <w:szCs w:val="28"/>
      <w:lang w:val="en-US" w:eastAsia="en-US"/>
    </w:rPr>
  </w:style>
  <w:style w:type="paragraph" w:styleId="700">
    <w:name w:val="标题 2"/>
    <w:basedOn w:val="698"/>
    <w:next w:val="712"/>
    <w:link w:val="714"/>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01">
    <w:name w:val="标题 3"/>
    <w:basedOn w:val="698"/>
    <w:next w:val="712"/>
    <w:link w:val="715"/>
    <w:qFormat/>
    <w:pPr>
      <w:keepLines/>
      <w:keepNext/>
      <w:spacing w:before="260" w:after="260" w:line="416" w:lineRule="auto"/>
      <w:outlineLvl w:val="2"/>
    </w:pPr>
    <w:rPr>
      <w:b/>
      <w:bCs/>
      <w:sz w:val="32"/>
      <w:szCs w:val="32"/>
      <w:lang w:val="en-US" w:eastAsia="en-US"/>
    </w:rPr>
  </w:style>
  <w:style w:type="paragraph" w:styleId="702">
    <w:name w:val="标题 4"/>
    <w:basedOn w:val="698"/>
    <w:next w:val="712"/>
    <w:link w:val="716"/>
    <w:qFormat/>
    <w:pPr>
      <w:keepLines/>
      <w:keepNext/>
      <w:spacing w:before="280" w:after="290" w:line="376" w:lineRule="auto"/>
      <w:outlineLvl w:val="3"/>
    </w:pPr>
    <w:rPr>
      <w:rFonts w:ascii="Arial" w:hAnsi="Arial" w:eastAsia="黑体"/>
      <w:b/>
      <w:bCs/>
      <w:sz w:val="28"/>
      <w:szCs w:val="28"/>
      <w:lang w:val="en-US" w:eastAsia="en-US"/>
    </w:rPr>
  </w:style>
  <w:style w:type="paragraph" w:styleId="703">
    <w:name w:val="标题 5"/>
    <w:basedOn w:val="698"/>
    <w:next w:val="712"/>
    <w:link w:val="717"/>
    <w:uiPriority w:val="9"/>
    <w:qFormat/>
    <w:pPr>
      <w:keepNext/>
      <w:outlineLvl w:val="4"/>
    </w:pPr>
    <w:rPr>
      <w:rFonts w:ascii="宋体"/>
      <w:color w:val="000000"/>
      <w:sz w:val="28"/>
      <w:szCs w:val="28"/>
      <w:lang w:val="en-US" w:eastAsia="en-US"/>
    </w:rPr>
  </w:style>
  <w:style w:type="paragraph" w:styleId="704">
    <w:name w:val="标题 6"/>
    <w:basedOn w:val="698"/>
    <w:next w:val="698"/>
    <w:link w:val="718"/>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05">
    <w:name w:val="标题 7"/>
    <w:basedOn w:val="698"/>
    <w:next w:val="698"/>
    <w:link w:val="719"/>
    <w:uiPriority w:val="9"/>
    <w:qFormat/>
    <w:pPr>
      <w:numPr>
        <w:ilvl w:val="6"/>
        <w:numId w:val="1"/>
      </w:numPr>
      <w:keepLines/>
      <w:keepNext/>
      <w:spacing w:before="240" w:after="64" w:line="320" w:lineRule="auto"/>
      <w:outlineLvl w:val="6"/>
    </w:pPr>
    <w:rPr>
      <w:b/>
      <w:bCs/>
      <w:sz w:val="24"/>
      <w:szCs w:val="24"/>
      <w:lang w:val="en-US" w:eastAsia="en-US"/>
    </w:rPr>
  </w:style>
  <w:style w:type="paragraph" w:styleId="706">
    <w:name w:val="标题 8"/>
    <w:basedOn w:val="698"/>
    <w:next w:val="698"/>
    <w:link w:val="72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07">
    <w:name w:val="标题 9"/>
    <w:basedOn w:val="698"/>
    <w:next w:val="698"/>
    <w:link w:val="721"/>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08">
    <w:name w:val="默认段落字体"/>
    <w:next w:val="708"/>
    <w:link w:val="698"/>
    <w:uiPriority w:val="1"/>
    <w:unhideWhenUsed/>
  </w:style>
  <w:style w:type="table" w:styleId="709">
    <w:name w:val="普通表格"/>
    <w:next w:val="709"/>
    <w:link w:val="698"/>
    <w:uiPriority w:val="99"/>
    <w:unhideWhenUsed/>
    <w:tblPr/>
  </w:style>
  <w:style w:type="numbering" w:styleId="710">
    <w:name w:val="无列表"/>
    <w:next w:val="710"/>
    <w:link w:val="698"/>
    <w:uiPriority w:val="99"/>
    <w:semiHidden/>
    <w:unhideWhenUsed/>
  </w:style>
  <w:style w:type="character" w:styleId="711">
    <w:name w:val="标题 1 Char"/>
    <w:next w:val="711"/>
    <w:link w:val="699"/>
    <w:qFormat/>
    <w:rPr>
      <w:rFonts w:ascii="楷体_GB2312" w:hAnsi="Times New Roman" w:eastAsia="楷体_GB2312" w:cs="Times New Roman"/>
      <w:sz w:val="28"/>
      <w:szCs w:val="28"/>
    </w:rPr>
  </w:style>
  <w:style w:type="paragraph" w:styleId="712">
    <w:name w:val="正文缩进"/>
    <w:basedOn w:val="698"/>
    <w:next w:val="712"/>
    <w:link w:val="713"/>
    <w:uiPriority w:val="99"/>
    <w:qFormat/>
    <w:pPr>
      <w:ind w:firstLine="420"/>
    </w:pPr>
    <w:rPr>
      <w:sz w:val="20"/>
      <w:lang w:val="en-US" w:eastAsia="en-US"/>
    </w:rPr>
  </w:style>
  <w:style w:type="character" w:styleId="713">
    <w:name w:val="正文缩进 Char"/>
    <w:next w:val="713"/>
    <w:link w:val="712"/>
    <w:rPr>
      <w:rFonts w:ascii="Times New Roman" w:hAnsi="Times New Roman" w:eastAsia="宋体" w:cs="Times New Roman"/>
      <w:szCs w:val="21"/>
    </w:rPr>
  </w:style>
  <w:style w:type="character" w:styleId="714">
    <w:name w:val="标题 2 Char"/>
    <w:next w:val="714"/>
    <w:link w:val="700"/>
    <w:uiPriority w:val="9"/>
    <w:qFormat/>
    <w:rPr>
      <w:rFonts w:ascii="Arial" w:hAnsi="Arial" w:eastAsia="幼圆" w:cs="Arial"/>
      <w:b/>
      <w:bCs/>
      <w:sz w:val="44"/>
      <w:szCs w:val="44"/>
    </w:rPr>
  </w:style>
  <w:style w:type="character" w:styleId="715">
    <w:name w:val="标题 3 Char"/>
    <w:next w:val="715"/>
    <w:link w:val="701"/>
    <w:qFormat/>
    <w:rPr>
      <w:rFonts w:ascii="Times New Roman" w:hAnsi="Times New Roman" w:eastAsia="宋体" w:cs="Times New Roman"/>
      <w:b/>
      <w:bCs/>
      <w:sz w:val="32"/>
      <w:szCs w:val="32"/>
    </w:rPr>
  </w:style>
  <w:style w:type="character" w:styleId="716">
    <w:name w:val="标题 4 Char"/>
    <w:next w:val="716"/>
    <w:link w:val="702"/>
    <w:qFormat/>
    <w:rPr>
      <w:rFonts w:ascii="Arial" w:hAnsi="Arial" w:eastAsia="黑体" w:cs="Arial"/>
      <w:b/>
      <w:bCs/>
      <w:sz w:val="28"/>
      <w:szCs w:val="28"/>
    </w:rPr>
  </w:style>
  <w:style w:type="character" w:styleId="717">
    <w:name w:val="标题 5 Char"/>
    <w:next w:val="717"/>
    <w:link w:val="703"/>
    <w:uiPriority w:val="9"/>
    <w:qFormat/>
    <w:rPr>
      <w:rFonts w:ascii="宋体" w:hAnsi="Times New Roman" w:eastAsia="宋体" w:cs="Times New Roman"/>
      <w:color w:val="000000"/>
      <w:sz w:val="28"/>
      <w:szCs w:val="28"/>
    </w:rPr>
  </w:style>
  <w:style w:type="character" w:styleId="718">
    <w:name w:val="标题 6 Char"/>
    <w:next w:val="718"/>
    <w:link w:val="704"/>
    <w:uiPriority w:val="9"/>
    <w:qFormat/>
    <w:rPr>
      <w:rFonts w:ascii="Arial" w:hAnsi="Arial" w:eastAsia="黑体" w:cs="Times New Roman"/>
      <w:b/>
      <w:bCs/>
      <w:sz w:val="24"/>
      <w:szCs w:val="24"/>
    </w:rPr>
  </w:style>
  <w:style w:type="character" w:styleId="719">
    <w:name w:val="标题 7 Char"/>
    <w:next w:val="719"/>
    <w:link w:val="705"/>
    <w:uiPriority w:val="9"/>
    <w:qFormat/>
    <w:rPr>
      <w:rFonts w:ascii="Times New Roman" w:hAnsi="Times New Roman" w:eastAsia="宋体" w:cs="Times New Roman"/>
      <w:b/>
      <w:bCs/>
      <w:sz w:val="24"/>
      <w:szCs w:val="24"/>
    </w:rPr>
  </w:style>
  <w:style w:type="character" w:styleId="720">
    <w:name w:val="标题 8 Char"/>
    <w:next w:val="720"/>
    <w:link w:val="706"/>
    <w:rPr>
      <w:rFonts w:ascii="Arial" w:hAnsi="Arial" w:eastAsia="黑体" w:cs="Times New Roman"/>
      <w:sz w:val="24"/>
      <w:szCs w:val="24"/>
    </w:rPr>
  </w:style>
  <w:style w:type="character" w:styleId="721">
    <w:name w:val="标题 9 Char"/>
    <w:next w:val="721"/>
    <w:link w:val="707"/>
    <w:rPr>
      <w:rFonts w:ascii="Arial" w:hAnsi="Arial" w:eastAsia="黑体" w:cs="Times New Roman"/>
      <w:szCs w:val="21"/>
    </w:rPr>
  </w:style>
  <w:style w:type="paragraph" w:styleId="722">
    <w:name w:val="列表 3"/>
    <w:basedOn w:val="698"/>
    <w:next w:val="722"/>
    <w:link w:val="698"/>
    <w:pPr>
      <w:ind w:left="100" w:hanging="200"/>
    </w:pPr>
  </w:style>
  <w:style w:type="paragraph" w:styleId="723">
    <w:name w:val="目录 7"/>
    <w:basedOn w:val="698"/>
    <w:next w:val="698"/>
    <w:link w:val="698"/>
    <w:semiHidden/>
    <w:pPr>
      <w:ind w:left="1260"/>
      <w:jc w:val="left"/>
    </w:pPr>
  </w:style>
  <w:style w:type="paragraph" w:styleId="724">
    <w:name w:val="文档结构图"/>
    <w:basedOn w:val="698"/>
    <w:next w:val="724"/>
    <w:link w:val="725"/>
    <w:semiHidden/>
    <w:pPr>
      <w:shd w:val="clear" w:color="auto" w:fill="000080"/>
    </w:pPr>
    <w:rPr>
      <w:sz w:val="20"/>
      <w:lang w:val="en-US" w:eastAsia="en-US"/>
    </w:rPr>
  </w:style>
  <w:style w:type="character" w:styleId="725">
    <w:name w:val="文档结构图 Char"/>
    <w:next w:val="725"/>
    <w:link w:val="724"/>
    <w:semiHidden/>
    <w:rPr>
      <w:rFonts w:ascii="Times New Roman" w:hAnsi="Times New Roman" w:eastAsia="宋体" w:cs="Times New Roman"/>
      <w:szCs w:val="21"/>
      <w:shd w:val="clear" w:color="auto" w:fill="000080"/>
    </w:rPr>
  </w:style>
  <w:style w:type="paragraph" w:styleId="726">
    <w:name w:val="批注文字"/>
    <w:basedOn w:val="698"/>
    <w:next w:val="726"/>
    <w:link w:val="727"/>
    <w:semiHidden/>
    <w:pPr>
      <w:jc w:val="left"/>
    </w:pPr>
    <w:rPr>
      <w:sz w:val="20"/>
      <w:lang w:val="en-US" w:eastAsia="en-US"/>
    </w:rPr>
  </w:style>
  <w:style w:type="character" w:styleId="727">
    <w:name w:val="批注文字 Char"/>
    <w:next w:val="727"/>
    <w:link w:val="726"/>
    <w:semiHidden/>
    <w:rPr>
      <w:rFonts w:ascii="Times New Roman" w:hAnsi="Times New Roman" w:eastAsia="宋体" w:cs="Times New Roman"/>
      <w:szCs w:val="21"/>
    </w:rPr>
  </w:style>
  <w:style w:type="paragraph" w:styleId="728">
    <w:name w:val="正文文本 3"/>
    <w:basedOn w:val="698"/>
    <w:next w:val="728"/>
    <w:link w:val="729"/>
    <w:rPr>
      <w:rFonts w:ascii="仿宋_GB2312" w:hAnsi="Arial" w:eastAsia="仿宋_GB2312"/>
      <w:sz w:val="32"/>
      <w:szCs w:val="32"/>
      <w:lang w:val="en-US" w:eastAsia="en-US"/>
    </w:rPr>
  </w:style>
  <w:style w:type="character" w:styleId="729">
    <w:name w:val="正文文本 3 Char"/>
    <w:next w:val="729"/>
    <w:link w:val="728"/>
    <w:rPr>
      <w:rFonts w:ascii="仿宋_GB2312" w:hAnsi="Arial" w:eastAsia="仿宋_GB2312" w:cs="Times New Roman"/>
      <w:sz w:val="32"/>
      <w:szCs w:val="32"/>
    </w:rPr>
  </w:style>
  <w:style w:type="paragraph" w:styleId="730">
    <w:name w:val="正文文本"/>
    <w:basedOn w:val="698"/>
    <w:next w:val="730"/>
    <w:link w:val="731"/>
    <w:rPr>
      <w:rFonts w:ascii="楷体_GB2312" w:hAnsi="Arial" w:eastAsia="楷体_GB2312"/>
      <w:sz w:val="28"/>
      <w:szCs w:val="28"/>
      <w:lang w:val="en-US" w:eastAsia="en-US"/>
    </w:rPr>
  </w:style>
  <w:style w:type="character" w:styleId="731">
    <w:name w:val="正文文本 Char"/>
    <w:next w:val="731"/>
    <w:link w:val="730"/>
    <w:rPr>
      <w:rFonts w:ascii="楷体_GB2312" w:hAnsi="Arial" w:eastAsia="楷体_GB2312" w:cs="Times New Roman"/>
      <w:sz w:val="28"/>
      <w:szCs w:val="28"/>
    </w:rPr>
  </w:style>
  <w:style w:type="paragraph" w:styleId="732">
    <w:name w:val="正文文本缩进"/>
    <w:basedOn w:val="698"/>
    <w:next w:val="732"/>
    <w:link w:val="733"/>
    <w:pPr>
      <w:ind w:firstLine="645"/>
    </w:pPr>
    <w:rPr>
      <w:rFonts w:ascii="楷体_GB2312" w:eastAsia="楷体_GB2312"/>
      <w:sz w:val="32"/>
      <w:szCs w:val="32"/>
      <w:lang w:val="en-US" w:eastAsia="en-US"/>
    </w:rPr>
  </w:style>
  <w:style w:type="character" w:styleId="733">
    <w:name w:val="正文文本缩进 Char"/>
    <w:next w:val="733"/>
    <w:link w:val="732"/>
    <w:rPr>
      <w:rFonts w:ascii="楷体_GB2312" w:hAnsi="Times New Roman" w:eastAsia="楷体_GB2312" w:cs="Times New Roman"/>
      <w:sz w:val="32"/>
      <w:szCs w:val="32"/>
    </w:rPr>
  </w:style>
  <w:style w:type="paragraph" w:styleId="734">
    <w:name w:val="列表 2"/>
    <w:basedOn w:val="698"/>
    <w:next w:val="734"/>
    <w:link w:val="698"/>
    <w:pPr>
      <w:ind w:left="100" w:hanging="200"/>
    </w:pPr>
  </w:style>
  <w:style w:type="paragraph" w:styleId="735">
    <w:name w:val="目录 5"/>
    <w:basedOn w:val="698"/>
    <w:next w:val="698"/>
    <w:link w:val="698"/>
    <w:semiHidden/>
    <w:pPr>
      <w:ind w:left="840"/>
      <w:jc w:val="left"/>
    </w:pPr>
  </w:style>
  <w:style w:type="paragraph" w:styleId="736">
    <w:name w:val="目录 3"/>
    <w:basedOn w:val="698"/>
    <w:next w:val="698"/>
    <w:link w:val="698"/>
    <w:semiHidden/>
    <w:pPr>
      <w:ind w:left="420"/>
      <w:jc w:val="left"/>
    </w:pPr>
    <w:rPr>
      <w:i/>
      <w:iCs/>
      <w:szCs w:val="24"/>
    </w:rPr>
  </w:style>
  <w:style w:type="paragraph" w:styleId="737">
    <w:name w:val="纯文本"/>
    <w:basedOn w:val="698"/>
    <w:next w:val="737"/>
    <w:link w:val="738"/>
    <w:rPr>
      <w:rFonts w:ascii="宋体" w:hAnsi="Courier New"/>
      <w:sz w:val="20"/>
      <w:lang w:val="en-US" w:eastAsia="en-US"/>
    </w:rPr>
  </w:style>
  <w:style w:type="character" w:styleId="738">
    <w:name w:val="纯文本 Char"/>
    <w:next w:val="738"/>
    <w:link w:val="737"/>
    <w:rPr>
      <w:rFonts w:ascii="宋体" w:hAnsi="Courier New" w:eastAsia="宋体" w:cs="Courier New"/>
      <w:szCs w:val="21"/>
    </w:rPr>
  </w:style>
  <w:style w:type="paragraph" w:styleId="739">
    <w:name w:val="目录 8"/>
    <w:basedOn w:val="698"/>
    <w:next w:val="698"/>
    <w:link w:val="698"/>
    <w:semiHidden/>
    <w:pPr>
      <w:ind w:left="1470"/>
      <w:jc w:val="left"/>
    </w:pPr>
  </w:style>
  <w:style w:type="paragraph" w:styleId="740">
    <w:name w:val="日期"/>
    <w:basedOn w:val="698"/>
    <w:next w:val="698"/>
    <w:link w:val="741"/>
    <w:rPr>
      <w:sz w:val="24"/>
      <w:szCs w:val="24"/>
      <w:lang w:val="en-US" w:eastAsia="en-US"/>
    </w:rPr>
  </w:style>
  <w:style w:type="character" w:styleId="741">
    <w:name w:val="日期 Char"/>
    <w:next w:val="741"/>
    <w:link w:val="740"/>
    <w:rPr>
      <w:rFonts w:ascii="Times New Roman" w:hAnsi="Times New Roman" w:eastAsia="宋体" w:cs="Times New Roman"/>
      <w:sz w:val="24"/>
      <w:szCs w:val="24"/>
    </w:rPr>
  </w:style>
  <w:style w:type="paragraph" w:styleId="742">
    <w:name w:val="正文文本缩进 2"/>
    <w:basedOn w:val="698"/>
    <w:next w:val="742"/>
    <w:link w:val="743"/>
    <w:pPr>
      <w:ind w:left="630" w:firstLine="645"/>
    </w:pPr>
    <w:rPr>
      <w:rFonts w:ascii="Arial" w:hAnsi="Arial" w:eastAsia="仿宋_GB2312"/>
      <w:sz w:val="32"/>
      <w:szCs w:val="32"/>
      <w:lang w:val="en-US" w:eastAsia="en-US"/>
    </w:rPr>
  </w:style>
  <w:style w:type="character" w:styleId="743">
    <w:name w:val="正文文本缩进 2 Char"/>
    <w:next w:val="743"/>
    <w:link w:val="742"/>
    <w:rPr>
      <w:rFonts w:ascii="Arial" w:hAnsi="Arial" w:eastAsia="仿宋_GB2312" w:cs="Arial"/>
      <w:sz w:val="32"/>
      <w:szCs w:val="32"/>
    </w:rPr>
  </w:style>
  <w:style w:type="paragraph" w:styleId="744">
    <w:name w:val="批注框文本"/>
    <w:basedOn w:val="698"/>
    <w:next w:val="744"/>
    <w:link w:val="745"/>
    <w:uiPriority w:val="99"/>
    <w:semiHidden/>
    <w:rPr>
      <w:sz w:val="18"/>
      <w:szCs w:val="18"/>
      <w:lang w:val="en-US" w:eastAsia="en-US"/>
    </w:rPr>
  </w:style>
  <w:style w:type="character" w:styleId="745">
    <w:name w:val="批注框文本 Char"/>
    <w:next w:val="745"/>
    <w:link w:val="744"/>
    <w:uiPriority w:val="99"/>
    <w:semiHidden/>
    <w:rPr>
      <w:rFonts w:ascii="Times New Roman" w:hAnsi="Times New Roman" w:eastAsia="宋体" w:cs="Times New Roman"/>
      <w:sz w:val="18"/>
      <w:szCs w:val="18"/>
    </w:rPr>
  </w:style>
  <w:style w:type="paragraph" w:styleId="746">
    <w:name w:val="页脚"/>
    <w:basedOn w:val="698"/>
    <w:next w:val="746"/>
    <w:link w:val="747"/>
    <w:uiPriority w:val="99"/>
    <w:qFormat/>
    <w:pPr>
      <w:jc w:val="left"/>
      <w:tabs>
        <w:tab w:val="center" w:pos="4153" w:leader="none"/>
        <w:tab w:val="right" w:pos="8306" w:leader="none"/>
      </w:tabs>
    </w:pPr>
    <w:rPr>
      <w:sz w:val="18"/>
      <w:szCs w:val="18"/>
      <w:lang w:val="en-US" w:eastAsia="en-US"/>
    </w:rPr>
  </w:style>
  <w:style w:type="character" w:styleId="747">
    <w:name w:val="页脚 Char"/>
    <w:next w:val="747"/>
    <w:link w:val="746"/>
    <w:uiPriority w:val="99"/>
    <w:qFormat/>
    <w:rPr>
      <w:rFonts w:ascii="Times New Roman" w:hAnsi="Times New Roman" w:eastAsia="宋体" w:cs="Times New Roman"/>
      <w:sz w:val="18"/>
      <w:szCs w:val="18"/>
    </w:rPr>
  </w:style>
  <w:style w:type="paragraph" w:styleId="748">
    <w:name w:val="页眉"/>
    <w:basedOn w:val="698"/>
    <w:next w:val="748"/>
    <w:link w:val="74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49">
    <w:name w:val="页眉 Char"/>
    <w:next w:val="749"/>
    <w:link w:val="748"/>
    <w:uiPriority w:val="99"/>
    <w:qFormat/>
    <w:rPr>
      <w:rFonts w:ascii="Times New Roman" w:hAnsi="Times New Roman" w:eastAsia="宋体" w:cs="Times New Roman"/>
      <w:sz w:val="18"/>
      <w:szCs w:val="18"/>
    </w:rPr>
  </w:style>
  <w:style w:type="paragraph" w:styleId="750">
    <w:name w:val="目录 1"/>
    <w:basedOn w:val="698"/>
    <w:next w:val="698"/>
    <w:link w:val="698"/>
    <w:semiHidden/>
    <w:pPr>
      <w:jc w:val="left"/>
      <w:spacing w:before="120" w:after="120" w:line="400" w:lineRule="exact"/>
      <w:tabs>
        <w:tab w:val="right" w:pos="8720" w:leader="dot"/>
      </w:tabs>
    </w:pPr>
    <w:rPr>
      <w:rFonts w:ascii="宋体" w:hAnsi="宋体"/>
      <w:caps/>
      <w:sz w:val="24"/>
      <w:szCs w:val="24"/>
    </w:rPr>
  </w:style>
  <w:style w:type="paragraph" w:styleId="751">
    <w:name w:val="目录 4"/>
    <w:basedOn w:val="698"/>
    <w:next w:val="698"/>
    <w:link w:val="698"/>
    <w:semiHidden/>
    <w:pPr>
      <w:ind w:left="630"/>
      <w:jc w:val="left"/>
    </w:pPr>
  </w:style>
  <w:style w:type="paragraph" w:styleId="752">
    <w:name w:val="列表"/>
    <w:basedOn w:val="698"/>
    <w:next w:val="752"/>
    <w:link w:val="698"/>
    <w:pPr>
      <w:ind w:left="200" w:hanging="200"/>
    </w:pPr>
  </w:style>
  <w:style w:type="paragraph" w:styleId="753">
    <w:name w:val="目录 6"/>
    <w:basedOn w:val="698"/>
    <w:next w:val="698"/>
    <w:link w:val="698"/>
    <w:semiHidden/>
    <w:pPr>
      <w:ind w:left="1050"/>
      <w:jc w:val="left"/>
    </w:pPr>
  </w:style>
  <w:style w:type="paragraph" w:styleId="754">
    <w:name w:val="正文文本缩进 3"/>
    <w:basedOn w:val="698"/>
    <w:next w:val="754"/>
    <w:link w:val="755"/>
    <w:pPr>
      <w:ind w:left="645" w:firstLine="645"/>
    </w:pPr>
    <w:rPr>
      <w:rFonts w:ascii="Arial" w:hAnsi="Arial" w:eastAsia="仿宋_GB2312"/>
      <w:color w:val="ffff00"/>
      <w:sz w:val="32"/>
      <w:szCs w:val="32"/>
      <w:lang w:val="en-US" w:eastAsia="en-US"/>
    </w:rPr>
  </w:style>
  <w:style w:type="character" w:styleId="755">
    <w:name w:val="正文文本缩进 3 Char"/>
    <w:next w:val="755"/>
    <w:link w:val="754"/>
    <w:rPr>
      <w:rFonts w:ascii="Arial" w:hAnsi="Arial" w:eastAsia="仿宋_GB2312" w:cs="Arial"/>
      <w:color w:val="ffff00"/>
      <w:sz w:val="32"/>
      <w:szCs w:val="32"/>
    </w:rPr>
  </w:style>
  <w:style w:type="paragraph" w:styleId="756">
    <w:name w:val="图表目录"/>
    <w:basedOn w:val="698"/>
    <w:next w:val="698"/>
    <w:link w:val="698"/>
    <w:semiHidden/>
    <w:pPr>
      <w:ind w:left="840" w:hanging="420"/>
    </w:pPr>
  </w:style>
  <w:style w:type="paragraph" w:styleId="757">
    <w:name w:val="目录 2"/>
    <w:basedOn w:val="698"/>
    <w:next w:val="698"/>
    <w:link w:val="698"/>
    <w:semiHidden/>
    <w:pPr>
      <w:ind w:left="210"/>
      <w:jc w:val="left"/>
    </w:pPr>
    <w:rPr>
      <w:smallCaps/>
      <w:szCs w:val="24"/>
    </w:rPr>
  </w:style>
  <w:style w:type="paragraph" w:styleId="758">
    <w:name w:val="目录 9"/>
    <w:basedOn w:val="698"/>
    <w:next w:val="698"/>
    <w:link w:val="698"/>
    <w:semiHidden/>
    <w:pPr>
      <w:ind w:left="1680"/>
      <w:jc w:val="left"/>
    </w:pPr>
  </w:style>
  <w:style w:type="paragraph" w:styleId="759">
    <w:name w:val="正文文本 2"/>
    <w:basedOn w:val="698"/>
    <w:next w:val="759"/>
    <w:link w:val="760"/>
    <w:pPr>
      <w:jc w:val="center"/>
      <w:widowControl/>
    </w:pPr>
    <w:rPr>
      <w:rFonts w:ascii="楷体_GB2312" w:eastAsia="楷体_GB2312"/>
      <w:sz w:val="28"/>
      <w:szCs w:val="28"/>
      <w:lang w:val="en-US" w:eastAsia="en-US"/>
    </w:rPr>
  </w:style>
  <w:style w:type="character" w:styleId="760">
    <w:name w:val="正文文本 2 Char"/>
    <w:next w:val="760"/>
    <w:link w:val="759"/>
    <w:rPr>
      <w:rFonts w:ascii="楷体_GB2312" w:hAnsi="Times New Roman" w:eastAsia="楷体_GB2312" w:cs="Times New Roman"/>
      <w:sz w:val="28"/>
      <w:szCs w:val="28"/>
    </w:rPr>
  </w:style>
  <w:style w:type="paragraph" w:styleId="761">
    <w:name w:val="普通(网站)"/>
    <w:basedOn w:val="698"/>
    <w:next w:val="761"/>
    <w:link w:val="698"/>
    <w:uiPriority w:val="99"/>
    <w:pPr>
      <w:jc w:val="left"/>
      <w:spacing w:before="100" w:beforeAutospacing="1" w:after="100" w:afterAutospacing="1"/>
      <w:widowControl/>
    </w:pPr>
    <w:rPr>
      <w:rFonts w:ascii="宋体" w:hAnsi="宋体" w:cs="宋体"/>
      <w:sz w:val="24"/>
      <w:szCs w:val="24"/>
    </w:rPr>
  </w:style>
  <w:style w:type="paragraph" w:styleId="762">
    <w:name w:val="索引 1"/>
    <w:basedOn w:val="698"/>
    <w:next w:val="698"/>
    <w:link w:val="698"/>
    <w:semiHidden/>
    <w:pPr>
      <w:spacing w:line="240" w:lineRule="atLeast"/>
    </w:pPr>
    <w:rPr>
      <w:b/>
      <w:bCs/>
    </w:rPr>
  </w:style>
  <w:style w:type="paragraph" w:styleId="763">
    <w:name w:val="批注主题"/>
    <w:basedOn w:val="726"/>
    <w:next w:val="726"/>
    <w:link w:val="764"/>
    <w:semiHidden/>
    <w:rPr>
      <w:b/>
      <w:bCs/>
    </w:rPr>
  </w:style>
  <w:style w:type="character" w:styleId="764">
    <w:name w:val="批注主题 Char"/>
    <w:next w:val="764"/>
    <w:link w:val="763"/>
    <w:semiHidden/>
    <w:rPr>
      <w:rFonts w:ascii="Times New Roman" w:hAnsi="Times New Roman" w:eastAsia="宋体" w:cs="Times New Roman"/>
      <w:b/>
      <w:bCs/>
      <w:szCs w:val="21"/>
    </w:rPr>
  </w:style>
  <w:style w:type="paragraph" w:styleId="765">
    <w:name w:val="正文首行缩进"/>
    <w:basedOn w:val="698"/>
    <w:next w:val="765"/>
    <w:link w:val="766"/>
    <w:pPr>
      <w:ind w:firstLine="200"/>
      <w:spacing w:line="360" w:lineRule="auto"/>
    </w:pPr>
    <w:rPr>
      <w:rFonts w:ascii="仿宋_GB2312" w:eastAsia="仿宋_GB2312"/>
      <w:sz w:val="30"/>
      <w:szCs w:val="30"/>
      <w:lang w:val="en-US" w:eastAsia="en-US"/>
    </w:rPr>
  </w:style>
  <w:style w:type="character" w:styleId="766">
    <w:name w:val="正文首行缩进 Char"/>
    <w:next w:val="766"/>
    <w:link w:val="765"/>
    <w:rPr>
      <w:rFonts w:ascii="仿宋_GB2312" w:hAnsi="Times New Roman" w:eastAsia="仿宋_GB2312" w:cs="Times New Roman"/>
      <w:sz w:val="30"/>
      <w:szCs w:val="30"/>
    </w:rPr>
  </w:style>
  <w:style w:type="paragraph" w:styleId="767">
    <w:name w:val="正文首行缩进 2"/>
    <w:basedOn w:val="732"/>
    <w:next w:val="767"/>
    <w:link w:val="768"/>
    <w:pPr>
      <w:ind w:firstLine="420"/>
      <w:spacing w:line="360" w:lineRule="auto"/>
    </w:pPr>
    <w:rPr>
      <w:rFonts w:ascii="宋体" w:hAnsi="宋体" w:eastAsia="宋体"/>
      <w:szCs w:val="20"/>
    </w:rPr>
  </w:style>
  <w:style w:type="character" w:styleId="768">
    <w:name w:val="正文首行缩进 2 Char"/>
    <w:next w:val="768"/>
    <w:link w:val="767"/>
    <w:rPr>
      <w:rFonts w:ascii="宋体" w:hAnsi="宋体" w:eastAsia="宋体" w:cs="Times New Roman"/>
      <w:sz w:val="32"/>
      <w:szCs w:val="20"/>
    </w:rPr>
  </w:style>
  <w:style w:type="table" w:styleId="769">
    <w:name w:val="网格型"/>
    <w:basedOn w:val="709"/>
    <w:next w:val="769"/>
    <w:link w:val="698"/>
    <w:pPr>
      <w:jc w:val="both"/>
      <w:widowControl w:val="off"/>
    </w:pPr>
    <w:rPr>
      <w:rFonts w:ascii="Times New Roman" w:hAnsi="Times New Roman" w:eastAsia="宋体" w:cs="Times New Roman"/>
      <w:sz w:val="20"/>
      <w:szCs w:val="20"/>
    </w:rPr>
    <w:tblPr/>
  </w:style>
  <w:style w:type="character" w:styleId="770">
    <w:name w:val="要点"/>
    <w:next w:val="770"/>
    <w:link w:val="698"/>
    <w:qFormat/>
    <w:rPr>
      <w:b/>
      <w:bCs/>
    </w:rPr>
  </w:style>
  <w:style w:type="character" w:styleId="771">
    <w:name w:val="页码"/>
    <w:next w:val="771"/>
    <w:link w:val="698"/>
  </w:style>
  <w:style w:type="character" w:styleId="772">
    <w:name w:val="已访问的超链接"/>
    <w:next w:val="772"/>
    <w:link w:val="698"/>
    <w:rPr>
      <w:color w:val="800080"/>
      <w:u w:val="single"/>
    </w:rPr>
  </w:style>
  <w:style w:type="character" w:styleId="773">
    <w:name w:val="HTML 打字机"/>
    <w:next w:val="773"/>
    <w:link w:val="698"/>
    <w:uiPriority w:val="99"/>
    <w:rPr>
      <w:rFonts w:ascii="宋体" w:hAnsi="宋体" w:eastAsia="宋体" w:cs="宋体"/>
      <w:sz w:val="24"/>
      <w:szCs w:val="24"/>
    </w:rPr>
  </w:style>
  <w:style w:type="character" w:styleId="774">
    <w:name w:val="超链接"/>
    <w:next w:val="774"/>
    <w:link w:val="698"/>
    <w:rPr>
      <w:color w:val="0000ff"/>
      <w:u w:val="single"/>
    </w:rPr>
  </w:style>
  <w:style w:type="character" w:styleId="775">
    <w:name w:val="批注引用"/>
    <w:next w:val="775"/>
    <w:link w:val="698"/>
    <w:semiHidden/>
    <w:rPr>
      <w:sz w:val="21"/>
      <w:szCs w:val="21"/>
    </w:rPr>
  </w:style>
  <w:style w:type="character" w:styleId="776">
    <w:name w:val="font5 Char"/>
    <w:next w:val="776"/>
    <w:link w:val="698"/>
    <w:rPr>
      <w:rFonts w:ascii="宋体" w:hAnsi="宋体" w:eastAsia="宋体"/>
      <w:sz w:val="28"/>
      <w:szCs w:val="28"/>
      <w:lang w:val="en-US" w:eastAsia="zh-CN" w:bidi="ar-SA"/>
    </w:rPr>
  </w:style>
  <w:style w:type="character" w:styleId="777">
    <w:name w:val="二级目录 Char"/>
    <w:next w:val="777"/>
    <w:link w:val="778"/>
    <w:rPr>
      <w:b/>
      <w:sz w:val="30"/>
      <w:szCs w:val="28"/>
      <w:lang w:val="en-US" w:eastAsia="zh-CN" w:bidi="ar-SA"/>
    </w:rPr>
  </w:style>
  <w:style w:type="paragraph" w:styleId="778">
    <w:name w:val="二级目录"/>
    <w:next w:val="698"/>
    <w:link w:val="777"/>
    <w:pPr>
      <w:numPr>
        <w:ilvl w:val="0"/>
        <w:numId w:val="2"/>
      </w:numPr>
      <w:tabs>
        <w:tab w:val="left" w:pos="907" w:leader="none"/>
        <w:tab w:val="left" w:pos="1145" w:leader="none"/>
      </w:tabs>
      <w:outlineLvl w:val="1"/>
    </w:pPr>
    <w:rPr>
      <w:b/>
      <w:sz w:val="30"/>
      <w:szCs w:val="28"/>
      <w:lang w:val="en-US" w:eastAsia="zh-CN" w:bidi="ar-SA"/>
    </w:rPr>
  </w:style>
  <w:style w:type="character" w:styleId="779">
    <w:name w:val="列出段落 Char,Bullet List Char,numbered Char,FooterText Char,List Paragraph1 Char,Paragraphe de liste1 Char"/>
    <w:next w:val="779"/>
    <w:link w:val="780"/>
    <w:rPr>
      <w:rFonts w:ascii="Calibri" w:hAnsi="Calibri"/>
      <w:sz w:val="24"/>
      <w:szCs w:val="24"/>
      <w:lang w:eastAsia="en-US" w:bidi="en-US"/>
    </w:rPr>
  </w:style>
  <w:style w:type="paragraph" w:styleId="780">
    <w:name w:val="列出段落1"/>
    <w:basedOn w:val="698"/>
    <w:next w:val="780"/>
    <w:link w:val="779"/>
    <w:qFormat/>
    <w:pPr>
      <w:contextualSpacing/>
      <w:ind w:left="720"/>
      <w:jc w:val="left"/>
      <w:widowControl/>
    </w:pPr>
    <w:rPr>
      <w:rFonts w:ascii="Calibri" w:hAnsi="Calibri"/>
      <w:sz w:val="24"/>
      <w:szCs w:val="24"/>
      <w:lang w:val="en-US" w:eastAsia="en-US" w:bidi="en-US"/>
    </w:rPr>
  </w:style>
  <w:style w:type="paragraph" w:styleId="781">
    <w:name w:val="Body Text(ch)"/>
    <w:basedOn w:val="698"/>
    <w:next w:val="730"/>
    <w:link w:val="698"/>
    <w:pPr>
      <w:spacing w:after="120"/>
    </w:pPr>
    <w:rPr>
      <w:rFonts w:ascii="宋体" w:hAnsi="Arial"/>
      <w:bCs/>
      <w:iCs/>
      <w:szCs w:val="24"/>
    </w:rPr>
  </w:style>
  <w:style w:type="paragraph" w:styleId="782">
    <w:name w:val="xl27"/>
    <w:basedOn w:val="698"/>
    <w:next w:val="782"/>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3">
    <w:name w:val="xl26"/>
    <w:basedOn w:val="698"/>
    <w:next w:val="783"/>
    <w:link w:val="6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4">
    <w:name w:val="Char"/>
    <w:basedOn w:val="698"/>
    <w:next w:val="784"/>
    <w:link w:val="698"/>
    <w:pPr>
      <w:ind w:firstLine="200"/>
      <w:tabs>
        <w:tab w:val="left" w:pos="360" w:leader="none"/>
      </w:tabs>
    </w:pPr>
    <w:rPr>
      <w:sz w:val="28"/>
      <w:szCs w:val="30"/>
    </w:rPr>
  </w:style>
  <w:style w:type="paragraph" w:styleId="785">
    <w:name w:val=" Char"/>
    <w:basedOn w:val="724"/>
    <w:next w:val="785"/>
    <w:link w:val="698"/>
    <w:rPr>
      <w:rFonts w:ascii="Tahoma" w:hAnsi="Tahoma"/>
      <w:sz w:val="24"/>
      <w:szCs w:val="24"/>
    </w:rPr>
  </w:style>
  <w:style w:type="paragraph" w:styleId="786">
    <w:name w:val="普通正文"/>
    <w:basedOn w:val="698"/>
    <w:next w:val="786"/>
    <w:link w:val="698"/>
    <w:pPr>
      <w:ind w:firstLine="480"/>
      <w:jc w:val="left"/>
      <w:spacing w:before="120" w:after="120" w:line="360" w:lineRule="auto"/>
    </w:pPr>
    <w:rPr>
      <w:rFonts w:ascii="Arial" w:hAnsi="Arial"/>
      <w:sz w:val="24"/>
      <w:szCs w:val="24"/>
    </w:rPr>
  </w:style>
  <w:style w:type="paragraph" w:styleId="787">
    <w:name w:val="table_lines"/>
    <w:basedOn w:val="698"/>
    <w:next w:val="787"/>
    <w:link w:val="698"/>
    <w:pPr>
      <w:jc w:val="left"/>
      <w:widowControl/>
    </w:pPr>
    <w:rPr>
      <w:sz w:val="20"/>
      <w:szCs w:val="20"/>
      <w:lang w:val="de-DE" w:eastAsia="de-DE"/>
    </w:rPr>
  </w:style>
  <w:style w:type="paragraph" w:styleId="788">
    <w:name w:val="附录1"/>
    <w:next w:val="788"/>
    <w:link w:val="6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9">
    <w:name w:val="font7"/>
    <w:basedOn w:val="698"/>
    <w:next w:val="789"/>
    <w:link w:val="698"/>
    <w:pPr>
      <w:jc w:val="left"/>
      <w:spacing w:before="100" w:beforeAutospacing="1" w:after="100" w:afterAutospacing="1"/>
      <w:widowControl/>
    </w:pPr>
    <w:rPr>
      <w:rFonts w:hint="eastAsia" w:ascii="宋体" w:hAnsi="宋体"/>
      <w:sz w:val="18"/>
      <w:szCs w:val="18"/>
    </w:rPr>
  </w:style>
  <w:style w:type="paragraph" w:styleId="790">
    <w:name w:val=" Char Char Char Char"/>
    <w:basedOn w:val="724"/>
    <w:next w:val="790"/>
    <w:link w:val="698"/>
    <w:pPr>
      <w:spacing w:line="360" w:lineRule="auto"/>
    </w:pPr>
    <w:rPr>
      <w:rFonts w:ascii="Tahoma" w:hAnsi="Tahoma"/>
      <w:sz w:val="24"/>
      <w:szCs w:val="24"/>
    </w:rPr>
  </w:style>
  <w:style w:type="paragraph" w:styleId="791">
    <w:name w:val="列出段落"/>
    <w:basedOn w:val="698"/>
    <w:next w:val="791"/>
    <w:link w:val="698"/>
    <w:uiPriority w:val="99"/>
    <w:qFormat/>
    <w:pPr>
      <w:contextualSpacing/>
      <w:ind w:left="720"/>
      <w:jc w:val="left"/>
      <w:widowControl/>
    </w:pPr>
    <w:rPr>
      <w:rFonts w:ascii="Calibri" w:hAnsi="Calibri"/>
      <w:sz w:val="24"/>
      <w:szCs w:val="24"/>
      <w:lang w:eastAsia="en-US" w:bidi="en-US"/>
    </w:rPr>
  </w:style>
  <w:style w:type="paragraph" w:styleId="792">
    <w:name w:val="4"/>
    <w:basedOn w:val="698"/>
    <w:next w:val="754"/>
    <w:link w:val="698"/>
    <w:pPr>
      <w:ind w:firstLine="420"/>
      <w:spacing w:line="360" w:lineRule="auto"/>
    </w:pPr>
    <w:rPr>
      <w:color w:val="ff0000"/>
      <w:sz w:val="24"/>
      <w:szCs w:val="24"/>
    </w:rPr>
  </w:style>
  <w:style w:type="paragraph" w:styleId="793">
    <w:name w:val="普通 (Web)"/>
    <w:basedOn w:val="698"/>
    <w:next w:val="793"/>
    <w:link w:val="698"/>
    <w:pPr>
      <w:jc w:val="left"/>
      <w:spacing w:before="100" w:beforeAutospacing="1" w:after="100" w:afterAutospacing="1"/>
      <w:widowControl/>
    </w:pPr>
    <w:rPr>
      <w:rFonts w:ascii="宋体" w:hAnsi="宋体"/>
      <w:sz w:val="24"/>
      <w:szCs w:val="24"/>
    </w:rPr>
  </w:style>
  <w:style w:type="paragraph" w:styleId="794">
    <w:name w:val=" Char Char Char Char Char Char Char Char Char Char"/>
    <w:basedOn w:val="698"/>
    <w:next w:val="794"/>
    <w:link w:val="698"/>
    <w:pPr>
      <w:spacing w:line="360" w:lineRule="auto"/>
    </w:pPr>
    <w:rPr>
      <w:sz w:val="24"/>
      <w:szCs w:val="20"/>
    </w:rPr>
  </w:style>
  <w:style w:type="paragraph" w:styleId="795">
    <w:name w:val="样式1"/>
    <w:basedOn w:val="698"/>
    <w:next w:val="795"/>
    <w:link w:val="698"/>
    <w:pPr>
      <w:numPr>
        <w:ilvl w:val="0"/>
        <w:numId w:val="3"/>
      </w:numPr>
      <w:tabs>
        <w:tab w:val="left" w:pos="709" w:leader="none"/>
      </w:tabs>
    </w:pPr>
    <w:rPr>
      <w:rFonts w:ascii="宋体" w:hAnsi="宋体"/>
    </w:rPr>
  </w:style>
  <w:style w:type="paragraph" w:styleId="796">
    <w:name w:val="font6"/>
    <w:basedOn w:val="698"/>
    <w:next w:val="796"/>
    <w:link w:val="698"/>
    <w:pPr>
      <w:jc w:val="left"/>
      <w:spacing w:before="100" w:beforeAutospacing="1" w:after="100" w:afterAutospacing="1"/>
      <w:widowControl/>
    </w:pPr>
    <w:rPr>
      <w:rFonts w:hint="eastAsia" w:ascii="宋体" w:hAnsi="宋体"/>
      <w:sz w:val="28"/>
      <w:szCs w:val="28"/>
      <w:u w:val="single"/>
    </w:rPr>
  </w:style>
  <w:style w:type="paragraph" w:styleId="797">
    <w:name w:val="xl25"/>
    <w:basedOn w:val="698"/>
    <w:next w:val="797"/>
    <w:link w:val="6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8">
    <w:name w:val="图标"/>
    <w:basedOn w:val="698"/>
    <w:next w:val="698"/>
    <w:link w:val="6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9">
    <w:name w:val="标题3"/>
    <w:basedOn w:val="698"/>
    <w:next w:val="698"/>
    <w:link w:val="698"/>
    <w:pPr>
      <w:ind w:firstLine="624"/>
      <w:spacing w:line="590" w:lineRule="atLeast"/>
    </w:pPr>
    <w:rPr>
      <w:rFonts w:ascii="方正黑体_GBK" w:eastAsia="方正黑体_GBK"/>
      <w:sz w:val="32"/>
      <w:szCs w:val="32"/>
    </w:rPr>
  </w:style>
  <w:style w:type="paragraph" w:styleId="800">
    <w:name w:val="xl24"/>
    <w:basedOn w:val="698"/>
    <w:next w:val="800"/>
    <w:link w:val="6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name w:val="xl29"/>
    <w:basedOn w:val="698"/>
    <w:next w:val="801"/>
    <w:link w:val="6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2">
    <w:name w:val="Char Char Char Char Char Char Char Char"/>
    <w:basedOn w:val="698"/>
    <w:next w:val="802"/>
    <w:link w:val="698"/>
    <w:pPr>
      <w:jc w:val="left"/>
      <w:spacing w:after="160" w:line="240" w:lineRule="exact"/>
      <w:widowControl/>
    </w:pPr>
    <w:rPr>
      <w:rFonts w:ascii="Verdana" w:hAnsi="Verdana"/>
      <w:sz w:val="20"/>
      <w:szCs w:val="20"/>
      <w:lang w:eastAsia="en-US"/>
    </w:rPr>
  </w:style>
  <w:style w:type="paragraph" w:styleId="803">
    <w:name w:val="xl28"/>
    <w:basedOn w:val="698"/>
    <w:next w:val="803"/>
    <w:link w:val="6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4">
    <w:name w:val=" Char Char Char Char Char Char Char Char"/>
    <w:basedOn w:val="698"/>
    <w:next w:val="804"/>
    <w:link w:val="698"/>
    <w:pPr>
      <w:jc w:val="left"/>
      <w:spacing w:after="160" w:line="240" w:lineRule="exact"/>
      <w:widowControl/>
    </w:pPr>
    <w:rPr>
      <w:rFonts w:ascii="Verdana" w:hAnsi="Verdana"/>
      <w:sz w:val="20"/>
      <w:szCs w:val="20"/>
      <w:lang w:eastAsia="en-US"/>
    </w:rPr>
  </w:style>
  <w:style w:type="paragraph" w:styleId="805">
    <w:name w:val="xl30"/>
    <w:basedOn w:val="698"/>
    <w:next w:val="805"/>
    <w:link w:val="698"/>
    <w:pPr>
      <w:jc w:val="center"/>
      <w:spacing w:before="100" w:beforeAutospacing="1" w:after="100" w:afterAutospacing="1"/>
      <w:widowControl/>
    </w:pPr>
    <w:rPr>
      <w:rFonts w:ascii="宋体" w:hAnsi="宋体"/>
      <w:b/>
      <w:bCs/>
      <w:sz w:val="36"/>
      <w:szCs w:val="36"/>
    </w:rPr>
  </w:style>
  <w:style w:type="paragraph" w:styleId="806">
    <w:name w:val="Char Char Char Char"/>
    <w:basedOn w:val="724"/>
    <w:next w:val="806"/>
    <w:link w:val="698"/>
    <w:pPr>
      <w:spacing w:line="360" w:lineRule="auto"/>
    </w:pPr>
    <w:rPr>
      <w:rFonts w:ascii="Tahoma" w:hAnsi="Tahoma"/>
      <w:sz w:val="24"/>
      <w:szCs w:val="24"/>
    </w:rPr>
  </w:style>
  <w:style w:type="paragraph" w:styleId="807">
    <w:name w:val="table_1stline"/>
    <w:basedOn w:val="698"/>
    <w:next w:val="807"/>
    <w:link w:val="698"/>
    <w:pPr>
      <w:jc w:val="left"/>
      <w:spacing w:before="120"/>
      <w:widowControl/>
    </w:pPr>
    <w:rPr>
      <w:bCs/>
      <w:sz w:val="20"/>
      <w:szCs w:val="20"/>
      <w:lang w:val="de-DE" w:eastAsia="de-DE"/>
    </w:rPr>
  </w:style>
  <w:style w:type="paragraph" w:styleId="808">
    <w:name w:val="font5"/>
    <w:basedOn w:val="698"/>
    <w:next w:val="808"/>
    <w:link w:val="698"/>
    <w:pPr>
      <w:jc w:val="left"/>
      <w:spacing w:before="100" w:beforeAutospacing="1" w:after="100" w:afterAutospacing="1"/>
      <w:widowControl/>
    </w:pPr>
    <w:rPr>
      <w:rFonts w:hint="eastAsia" w:ascii="宋体" w:hAnsi="宋体"/>
      <w:sz w:val="28"/>
      <w:szCs w:val="28"/>
    </w:rPr>
  </w:style>
  <w:style w:type="paragraph" w:styleId="809">
    <w:name w:val="标题1"/>
    <w:basedOn w:val="698"/>
    <w:next w:val="698"/>
    <w:link w:val="698"/>
    <w:pPr>
      <w:jc w:val="center"/>
      <w:spacing w:line="700" w:lineRule="atLeast"/>
      <w:tabs>
        <w:tab w:val="left" w:pos="9193" w:leader="none"/>
        <w:tab w:val="left" w:pos="9827" w:leader="none"/>
      </w:tabs>
    </w:pPr>
    <w:rPr>
      <w:rFonts w:ascii="方正小标宋_GBK" w:eastAsia="方正小标宋_GBK"/>
      <w:sz w:val="44"/>
      <w:szCs w:val="20"/>
    </w:rPr>
  </w:style>
  <w:style w:type="paragraph" w:styleId="810">
    <w:name w:val="修订"/>
    <w:next w:val="810"/>
    <w:link w:val="698"/>
    <w:uiPriority w:val="99"/>
    <w:semiHidden/>
    <w:rPr>
      <w:rFonts w:ascii="Times New Roman" w:hAnsi="Times New Roman"/>
      <w:sz w:val="21"/>
      <w:szCs w:val="21"/>
      <w:lang w:val="en-US" w:eastAsia="zh-CN" w:bidi="ar-SA"/>
    </w:rPr>
  </w:style>
  <w:style w:type="paragraph" w:styleId="811">
    <w:name w:val="无间隔"/>
    <w:next w:val="811"/>
    <w:link w:val="698"/>
    <w:uiPriority w:val="99"/>
    <w:qFormat/>
    <w:pPr>
      <w:jc w:val="both"/>
      <w:widowControl w:val="off"/>
    </w:pPr>
    <w:rPr>
      <w:rFonts w:ascii="Times New Roman" w:hAnsi="Times New Roman"/>
      <w:sz w:val="21"/>
      <w:szCs w:val="21"/>
      <w:lang w:val="en-US" w:eastAsia="zh-CN" w:bidi="ar-SA"/>
    </w:rPr>
  </w:style>
  <w:style w:type="paragraph" w:styleId="812">
    <w:name w:val="普通文字"/>
    <w:basedOn w:val="698"/>
    <w:next w:val="698"/>
    <w:link w:val="698"/>
    <w:uiPriority w:val="99"/>
    <w:rPr>
      <w:rFonts w:ascii="宋体" w:hAnsi="Times New Roman" w:eastAsia="宋体" w:cs="Times New Roman"/>
      <w:sz w:val="24"/>
      <w:szCs w:val="20"/>
      <w:u w:val="none"/>
    </w:rPr>
  </w:style>
  <w:style w:type="paragraph" w:styleId="813">
    <w:name w:val="目录 111"/>
    <w:basedOn w:val="698"/>
    <w:next w:val="698"/>
    <w:link w:val="698"/>
    <w:uiPriority w:val="39"/>
    <w:unhideWhenUsed/>
    <w:qFormat/>
    <w:pPr>
      <w:jc w:val="left"/>
      <w:spacing w:after="100" w:line="259" w:lineRule="auto"/>
      <w:widowControl/>
    </w:pPr>
    <w:rPr>
      <w:rFonts w:ascii="Calibri" w:hAnsi="Calibri" w:eastAsia="宋体"/>
      <w:sz w:val="22"/>
      <w:szCs w:val="22"/>
    </w:rPr>
  </w:style>
  <w:style w:type="paragraph" w:styleId="814">
    <w:name w:val="正文（段落）"/>
    <w:basedOn w:val="698"/>
    <w:next w:val="814"/>
    <w:link w:val="698"/>
    <w:qFormat/>
    <w:pPr>
      <w:spacing w:line="360" w:lineRule="atLeast"/>
    </w:pPr>
    <w:rPr>
      <w:rFonts w:ascii="等线" w:hAnsi="等线" w:eastAsia="等线" w:cs="Times New Roman"/>
      <w:szCs w:val="22"/>
    </w:rPr>
  </w:style>
  <w:style w:type="character" w:styleId="815">
    <w:name w:val="！正文 Char"/>
    <w:next w:val="815"/>
    <w:link w:val="816"/>
    <w:qFormat/>
    <w:rPr>
      <w:rFonts w:ascii="宋体" w:hAnsi="宋体" w:cs="宋体"/>
      <w:sz w:val="24"/>
    </w:rPr>
  </w:style>
  <w:style w:type="paragraph" w:styleId="816">
    <w:name w:val="！正文"/>
    <w:basedOn w:val="698"/>
    <w:next w:val="816"/>
    <w:link w:val="815"/>
    <w:qFormat/>
    <w:pPr>
      <w:ind w:firstLine="420"/>
      <w:jc w:val="left"/>
      <w:spacing w:line="360" w:lineRule="auto"/>
      <w:widowControl/>
    </w:pPr>
    <w:rPr>
      <w:rFonts w:ascii="宋体" w:hAnsi="宋体" w:cs="宋体"/>
      <w:sz w:val="24"/>
      <w:szCs w:val="20"/>
    </w:rPr>
  </w:style>
  <w:style w:type="character" w:styleId="817">
    <w:name w:val="标题 2 字符"/>
    <w:next w:val="817"/>
    <w:link w:val="698"/>
    <w:uiPriority w:val="9"/>
    <w:semiHidden/>
    <w:qFormat/>
    <w:rPr>
      <w:rFonts w:ascii="等线 Light" w:hAnsi="等线 Light" w:eastAsia="等线 Light" w:cs="Times New Roman"/>
      <w:b/>
      <w:bCs/>
      <w:sz w:val="32"/>
      <w:szCs w:val="32"/>
    </w:rPr>
  </w:style>
  <w:style w:type="character" w:styleId="818">
    <w:name w:val="标题 3 字符"/>
    <w:next w:val="818"/>
    <w:link w:val="698"/>
    <w:uiPriority w:val="9"/>
    <w:semiHidden/>
    <w:qFormat/>
    <w:rPr>
      <w:b/>
      <w:bCs/>
      <w:sz w:val="32"/>
      <w:szCs w:val="32"/>
    </w:rPr>
  </w:style>
  <w:style w:type="character" w:styleId="819">
    <w:name w:val="标题 4 字符"/>
    <w:next w:val="819"/>
    <w:link w:val="698"/>
    <w:uiPriority w:val="9"/>
    <w:semiHidden/>
    <w:qFormat/>
    <w:rPr>
      <w:rFonts w:ascii="等线 Light" w:hAnsi="等线 Light" w:eastAsia="等线 Light" w:cs="Times New Roman"/>
      <w:b/>
      <w:bCs/>
      <w:sz w:val="28"/>
      <w:szCs w:val="28"/>
    </w:rPr>
  </w:style>
  <w:style w:type="character" w:styleId="820">
    <w:name w:val="标题 5 字符"/>
    <w:next w:val="820"/>
    <w:link w:val="698"/>
    <w:uiPriority w:val="9"/>
    <w:semiHidden/>
    <w:qFormat/>
    <w:rPr>
      <w:b/>
      <w:bCs/>
      <w:sz w:val="28"/>
      <w:szCs w:val="28"/>
    </w:rPr>
  </w:style>
  <w:style w:type="character" w:styleId="821">
    <w:name w:val="标题 6 字符"/>
    <w:next w:val="821"/>
    <w:link w:val="698"/>
    <w:uiPriority w:val="9"/>
    <w:semiHidden/>
    <w:qFormat/>
    <w:rPr>
      <w:rFonts w:ascii="等线 Light" w:hAnsi="等线 Light" w:eastAsia="等线 Light" w:cs="Times New Roman"/>
      <w:b/>
      <w:bCs/>
      <w:sz w:val="24"/>
      <w:szCs w:val="24"/>
    </w:rPr>
  </w:style>
  <w:style w:type="character" w:styleId="822">
    <w:name w:val="标题 7 字符"/>
    <w:next w:val="822"/>
    <w:link w:val="698"/>
    <w:uiPriority w:val="9"/>
    <w:semiHidden/>
    <w:qFormat/>
    <w:rPr>
      <w:b/>
      <w:bCs/>
      <w:sz w:val="24"/>
      <w:szCs w:val="24"/>
    </w:rPr>
  </w:style>
  <w:style w:type="character" w:styleId="12604" w:default="1">
    <w:name w:val="Default Paragraph Font"/>
    <w:uiPriority w:val="1"/>
    <w:semiHidden/>
    <w:unhideWhenUsed/>
  </w:style>
  <w:style w:type="numbering" w:styleId="12605" w:default="1">
    <w:name w:val="No List"/>
    <w:uiPriority w:val="99"/>
    <w:semiHidden/>
    <w:unhideWhenUsed/>
  </w:style>
  <w:style w:type="table" w:styleId="126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534</cp:revision>
  <dcterms:created xsi:type="dcterms:W3CDTF">2023-03-16T02:16:00Z</dcterms:created>
  <dcterms:modified xsi:type="dcterms:W3CDTF">2024-06-13T05:04:39Z</dcterms:modified>
  <cp:version>917504</cp:version>
</cp:coreProperties>
</file>