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4B05A">
      <w:pPr>
        <w:ind w:firstLine="420" w:firstLineChars="0"/>
        <w:jc w:val="center"/>
        <w:rPr>
          <w:rFonts w:hint="eastAsia" w:ascii="仿宋" w:hAnsi="仿宋" w:eastAsia="仿宋" w:cs="仿宋"/>
          <w:spacing w:val="76"/>
          <w:w w:val="80"/>
          <w:kern w:val="2"/>
          <w:sz w:val="144"/>
          <w:szCs w:val="144"/>
        </w:rPr>
      </w:pPr>
      <w:bookmarkStart w:id="0" w:name="_Toc55204177"/>
      <w:bookmarkStart w:id="1" w:name="_Toc55204178"/>
      <w:bookmarkStart w:id="2" w:name="_Toc55204179"/>
      <w:bookmarkStart w:id="3" w:name="_Toc55204181"/>
      <w:r>
        <w:rPr>
          <w:rFonts w:hint="eastAsia" w:ascii="仿宋" w:hAnsi="仿宋" w:eastAsia="仿宋" w:cs="仿宋"/>
          <w:spacing w:val="76"/>
          <w:w w:val="80"/>
          <w:kern w:val="2"/>
          <w:sz w:val="144"/>
          <w:szCs w:val="144"/>
        </w:rPr>
        <w:t>征集</w:t>
      </w:r>
      <w:r>
        <w:rPr>
          <w:rFonts w:hint="eastAsia" w:ascii="仿宋" w:hAnsi="仿宋" w:eastAsia="仿宋" w:cs="仿宋"/>
          <w:spacing w:val="76"/>
          <w:w w:val="80"/>
          <w:kern w:val="2"/>
          <w:sz w:val="144"/>
          <w:szCs w:val="144"/>
          <w:lang w:val="en-US" w:eastAsia="zh-CN"/>
        </w:rPr>
        <w:t>邀请</w:t>
      </w:r>
      <w:r>
        <w:rPr>
          <w:rFonts w:hint="eastAsia" w:ascii="仿宋" w:hAnsi="仿宋" w:eastAsia="仿宋" w:cs="仿宋"/>
          <w:spacing w:val="76"/>
          <w:w w:val="80"/>
          <w:kern w:val="2"/>
          <w:sz w:val="144"/>
          <w:szCs w:val="144"/>
        </w:rPr>
        <w:t>文件</w:t>
      </w:r>
    </w:p>
    <w:p w14:paraId="494DFD13">
      <w:pPr>
        <w:pStyle w:val="238"/>
        <w:ind w:firstLine="0"/>
        <w:jc w:val="center"/>
        <w:rPr>
          <w:rFonts w:hint="eastAsia" w:ascii="仿宋" w:hAnsi="仿宋" w:eastAsia="仿宋" w:cs="仿宋"/>
          <w:b/>
          <w:bCs/>
          <w:sz w:val="72"/>
          <w:szCs w:val="72"/>
          <w:highlight w:val="none"/>
        </w:rPr>
      </w:pPr>
    </w:p>
    <w:p w14:paraId="696F60EC">
      <w:pPr>
        <w:pStyle w:val="238"/>
        <w:ind w:firstLine="0"/>
        <w:jc w:val="center"/>
        <w:rPr>
          <w:rFonts w:hint="eastAsia" w:ascii="仿宋" w:hAnsi="仿宋" w:eastAsia="仿宋" w:cs="仿宋"/>
          <w:b/>
          <w:bCs/>
          <w:sz w:val="72"/>
          <w:szCs w:val="72"/>
          <w:highlight w:val="none"/>
        </w:rPr>
      </w:pPr>
    </w:p>
    <w:p w14:paraId="71DE5205">
      <w:pPr>
        <w:spacing w:line="360" w:lineRule="auto"/>
        <w:ind w:left="1325" w:hanging="1325" w:hangingChars="300"/>
        <w:jc w:val="left"/>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项目名称：2026-2027年南京市高淳区残疾</w:t>
      </w:r>
    </w:p>
    <w:p w14:paraId="15CBDE7D">
      <w:pPr>
        <w:spacing w:line="360" w:lineRule="auto"/>
        <w:ind w:left="1322" w:leftChars="419" w:hanging="442" w:hangingChars="100"/>
        <w:jc w:val="left"/>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儿童基本康复服务框架协议采购</w:t>
      </w:r>
      <w:r>
        <w:rPr>
          <w:rFonts w:hint="eastAsia" w:ascii="仿宋" w:hAnsi="仿宋" w:eastAsia="仿宋" w:cs="仿宋"/>
          <w:b/>
          <w:bCs/>
          <w:sz w:val="44"/>
          <w:szCs w:val="44"/>
          <w:highlight w:val="none"/>
        </w:rPr>
        <w:t>项目</w:t>
      </w:r>
    </w:p>
    <w:p w14:paraId="1E6919C7">
      <w:pPr>
        <w:jc w:val="left"/>
        <w:rPr>
          <w:rFonts w:hint="eastAsia" w:ascii="仿宋" w:hAnsi="仿宋" w:eastAsia="仿宋" w:cs="仿宋"/>
          <w:sz w:val="32"/>
          <w:highlight w:val="none"/>
          <w:lang w:val="en-US" w:eastAsia="zh-CN"/>
        </w:rPr>
      </w:pPr>
      <w:r>
        <w:rPr>
          <w:rFonts w:hint="eastAsia" w:ascii="仿宋" w:hAnsi="仿宋" w:eastAsia="仿宋" w:cs="仿宋"/>
          <w:b/>
          <w:bCs/>
          <w:sz w:val="44"/>
          <w:szCs w:val="44"/>
          <w:highlight w:val="none"/>
          <w:lang w:val="en-US" w:eastAsia="zh-CN"/>
        </w:rPr>
        <w:t>项目编号：</w:t>
      </w:r>
      <w:r>
        <w:rPr>
          <w:rFonts w:hint="eastAsia" w:ascii="仿宋" w:hAnsi="仿宋" w:eastAsia="仿宋" w:cs="仿宋"/>
          <w:sz w:val="36"/>
          <w:szCs w:val="36"/>
          <w:highlight w:val="none"/>
          <w:lang w:eastAsia="zh-CN"/>
        </w:rPr>
        <w:t>JSZC-320118-LJKJ-K2025-0005</w:t>
      </w:r>
    </w:p>
    <w:p w14:paraId="3B5CAE4A">
      <w:pPr>
        <w:spacing w:line="360" w:lineRule="auto"/>
        <w:jc w:val="both"/>
        <w:rPr>
          <w:rFonts w:hint="eastAsia" w:ascii="仿宋" w:hAnsi="仿宋" w:eastAsia="仿宋" w:cs="仿宋"/>
          <w:b/>
          <w:bCs/>
          <w:sz w:val="44"/>
          <w:szCs w:val="44"/>
          <w:highlight w:val="none"/>
          <w:lang w:val="en-US" w:eastAsia="zh-CN"/>
        </w:rPr>
      </w:pPr>
    </w:p>
    <w:p w14:paraId="15401B72">
      <w:pPr>
        <w:ind w:firstLine="600"/>
        <w:rPr>
          <w:rFonts w:hint="eastAsia" w:ascii="仿宋" w:hAnsi="仿宋" w:eastAsia="仿宋" w:cs="仿宋"/>
          <w:sz w:val="30"/>
          <w:szCs w:val="30"/>
          <w:highlight w:val="none"/>
        </w:rPr>
      </w:pPr>
    </w:p>
    <w:p w14:paraId="2A8F8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sz w:val="30"/>
          <w:szCs w:val="30"/>
          <w:highlight w:val="none"/>
        </w:rPr>
      </w:pPr>
    </w:p>
    <w:p w14:paraId="6E8D2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sz w:val="30"/>
          <w:szCs w:val="30"/>
          <w:highlight w:val="none"/>
        </w:rPr>
      </w:pPr>
    </w:p>
    <w:p w14:paraId="07C8B7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sz w:val="30"/>
          <w:szCs w:val="30"/>
          <w:highlight w:val="none"/>
        </w:rPr>
      </w:pPr>
    </w:p>
    <w:p w14:paraId="110664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sz w:val="44"/>
          <w:szCs w:val="44"/>
          <w:highlight w:val="none"/>
        </w:rPr>
      </w:pPr>
    </w:p>
    <w:p w14:paraId="4C61D73C">
      <w:pPr>
        <w:spacing w:line="360" w:lineRule="auto"/>
        <w:jc w:val="both"/>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 xml:space="preserve">采 购 人：南京市高淳区残疾人联合会 </w:t>
      </w:r>
    </w:p>
    <w:p w14:paraId="7EA45BDB">
      <w:pPr>
        <w:spacing w:line="360" w:lineRule="auto"/>
        <w:jc w:val="both"/>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招标代理机构：江苏领界科技有限公司</w:t>
      </w:r>
    </w:p>
    <w:p w14:paraId="0268E9C0">
      <w:pPr>
        <w:spacing w:line="360" w:lineRule="auto"/>
        <w:jc w:val="both"/>
        <w:rPr>
          <w:rFonts w:hint="eastAsia" w:ascii="仿宋" w:hAnsi="仿宋" w:eastAsia="仿宋" w:cs="仿宋"/>
          <w:b/>
          <w:bCs/>
          <w:sz w:val="44"/>
          <w:szCs w:val="44"/>
          <w:highlight w:val="none"/>
          <w:lang w:val="en-US" w:eastAsia="zh-CN"/>
        </w:rPr>
      </w:pPr>
    </w:p>
    <w:p w14:paraId="40563073">
      <w:pPr>
        <w:spacing w:line="360" w:lineRule="auto"/>
        <w:ind w:firstLine="2650" w:firstLineChars="600"/>
        <w:jc w:val="both"/>
        <w:rPr>
          <w:rFonts w:hint="eastAsia" w:ascii="仿宋" w:hAnsi="仿宋" w:eastAsia="仿宋" w:cs="仿宋"/>
        </w:rPr>
      </w:pPr>
      <w:r>
        <w:rPr>
          <w:rFonts w:hint="eastAsia" w:ascii="仿宋" w:hAnsi="仿宋" w:eastAsia="仿宋" w:cs="仿宋"/>
          <w:b/>
          <w:bCs/>
          <w:sz w:val="44"/>
          <w:szCs w:val="44"/>
          <w:highlight w:val="none"/>
          <w:lang w:val="en-US" w:eastAsia="zh-CN"/>
        </w:rPr>
        <w:t>二0二五年十一月</w:t>
      </w:r>
    </w:p>
    <w:p w14:paraId="6FFA60F7">
      <w:pPr>
        <w:jc w:val="center"/>
        <w:rPr>
          <w:rFonts w:hint="eastAsia" w:ascii="仿宋" w:hAnsi="仿宋" w:eastAsia="仿宋" w:cs="仿宋"/>
          <w:color w:val="000000"/>
          <w:sz w:val="32"/>
        </w:rPr>
        <w:sectPr>
          <w:pgSz w:w="11906" w:h="16838"/>
          <w:pgMar w:top="1440" w:right="1800" w:bottom="1440" w:left="1800" w:header="851" w:footer="992" w:gutter="0"/>
          <w:pgNumType w:fmt="decimal" w:start="1"/>
          <w:cols w:space="720" w:num="1"/>
          <w:docGrid w:linePitch="360" w:charSpace="0"/>
        </w:sectPr>
      </w:pPr>
    </w:p>
    <w:p w14:paraId="2CDF21EC">
      <w:pPr>
        <w:jc w:val="center"/>
        <w:rPr>
          <w:rFonts w:hint="eastAsia" w:ascii="仿宋" w:hAnsi="仿宋" w:eastAsia="仿宋" w:cs="仿宋"/>
          <w:b/>
          <w:bCs/>
          <w:color w:val="000000"/>
          <w:sz w:val="32"/>
        </w:rPr>
      </w:pPr>
    </w:p>
    <w:p w14:paraId="4A8244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32"/>
        </w:rPr>
      </w:pPr>
      <w:r>
        <w:rPr>
          <w:rFonts w:hint="eastAsia" w:ascii="仿宋" w:hAnsi="仿宋" w:eastAsia="仿宋" w:cs="仿宋"/>
          <w:b/>
          <w:bCs/>
          <w:color w:val="000000"/>
          <w:sz w:val="32"/>
        </w:rPr>
        <w:t>目</w:t>
      </w:r>
      <w:r>
        <w:rPr>
          <w:rFonts w:hint="eastAsia" w:ascii="仿宋" w:hAnsi="仿宋" w:eastAsia="仿宋" w:cs="仿宋"/>
          <w:b/>
          <w:bCs/>
          <w:color w:val="000000"/>
          <w:sz w:val="32"/>
          <w:lang w:val="en-US" w:eastAsia="zh-CN"/>
        </w:rPr>
        <w:t xml:space="preserve">  </w:t>
      </w:r>
      <w:r>
        <w:rPr>
          <w:rFonts w:hint="eastAsia" w:ascii="仿宋" w:hAnsi="仿宋" w:eastAsia="仿宋" w:cs="仿宋"/>
          <w:b/>
          <w:bCs/>
          <w:color w:val="000000"/>
          <w:sz w:val="32"/>
        </w:rPr>
        <w:t xml:space="preserve"> 录</w:t>
      </w:r>
    </w:p>
    <w:p w14:paraId="6CAF91E7">
      <w:pPr>
        <w:bidi w:val="0"/>
        <w:rPr>
          <w:rFonts w:hint="eastAsia"/>
        </w:rPr>
      </w:pPr>
    </w:p>
    <w:p w14:paraId="10E783C5">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rPr>
      </w:pPr>
    </w:p>
    <w:p w14:paraId="3B2E5423">
      <w:pPr>
        <w:pStyle w:val="29"/>
        <w:tabs>
          <w:tab w:val="right" w:leader="dot" w:pos="8306"/>
        </w:tabs>
        <w:rPr>
          <w:sz w:val="28"/>
          <w:szCs w:val="32"/>
        </w:rPr>
      </w:pPr>
      <w:r>
        <w:rPr>
          <w:rFonts w:hint="eastAsia" w:ascii="仿宋" w:hAnsi="仿宋" w:eastAsia="仿宋" w:cs="仿宋"/>
          <w:b/>
          <w:bCs/>
          <w:color w:val="000000"/>
          <w:sz w:val="36"/>
          <w:szCs w:val="36"/>
        </w:rPr>
        <w:fldChar w:fldCharType="begin"/>
      </w:r>
      <w:r>
        <w:rPr>
          <w:rFonts w:hint="eastAsia" w:ascii="仿宋" w:hAnsi="仿宋" w:eastAsia="仿宋" w:cs="仿宋"/>
          <w:b/>
          <w:bCs/>
          <w:color w:val="000000"/>
          <w:sz w:val="36"/>
          <w:szCs w:val="36"/>
        </w:rPr>
        <w:instrText xml:space="preserve"> TOC \o "1-3" \f </w:instrText>
      </w:r>
      <w:r>
        <w:rPr>
          <w:rFonts w:hint="eastAsia" w:ascii="仿宋" w:hAnsi="仿宋" w:eastAsia="仿宋" w:cs="仿宋"/>
          <w:b/>
          <w:bCs/>
          <w:color w:val="000000"/>
          <w:sz w:val="36"/>
          <w:szCs w:val="36"/>
        </w:rPr>
        <w:fldChar w:fldCharType="separate"/>
      </w:r>
      <w:r>
        <w:rPr>
          <w:rFonts w:hint="eastAsia" w:ascii="仿宋" w:hAnsi="仿宋" w:eastAsia="仿宋" w:cs="仿宋"/>
          <w:sz w:val="28"/>
          <w:szCs w:val="48"/>
        </w:rPr>
        <w:t>第一章 参加征集活动的邀请</w:t>
      </w:r>
      <w:r>
        <w:rPr>
          <w:sz w:val="28"/>
          <w:szCs w:val="32"/>
        </w:rPr>
        <w:tab/>
      </w:r>
      <w:r>
        <w:rPr>
          <w:sz w:val="28"/>
          <w:szCs w:val="32"/>
        </w:rPr>
        <w:fldChar w:fldCharType="begin"/>
      </w:r>
      <w:r>
        <w:rPr>
          <w:sz w:val="28"/>
          <w:szCs w:val="32"/>
        </w:rPr>
        <w:instrText xml:space="preserve"> PAGEREF _Toc8801 \h </w:instrText>
      </w:r>
      <w:r>
        <w:rPr>
          <w:sz w:val="28"/>
          <w:szCs w:val="32"/>
        </w:rPr>
        <w:fldChar w:fldCharType="separate"/>
      </w:r>
      <w:r>
        <w:rPr>
          <w:sz w:val="28"/>
          <w:szCs w:val="32"/>
        </w:rPr>
        <w:t>2</w:t>
      </w:r>
      <w:r>
        <w:rPr>
          <w:sz w:val="28"/>
          <w:szCs w:val="32"/>
        </w:rPr>
        <w:fldChar w:fldCharType="end"/>
      </w:r>
    </w:p>
    <w:p w14:paraId="5C8A1906">
      <w:pPr>
        <w:pStyle w:val="29"/>
        <w:tabs>
          <w:tab w:val="right" w:leader="dot" w:pos="8306"/>
        </w:tabs>
        <w:rPr>
          <w:sz w:val="28"/>
          <w:szCs w:val="32"/>
        </w:rPr>
      </w:pPr>
      <w:r>
        <w:rPr>
          <w:rFonts w:hint="eastAsia" w:ascii="仿宋" w:hAnsi="仿宋" w:eastAsia="仿宋" w:cs="仿宋"/>
          <w:sz w:val="28"/>
          <w:szCs w:val="32"/>
        </w:rPr>
        <w:t>第二章 供应商须知</w:t>
      </w:r>
      <w:r>
        <w:rPr>
          <w:sz w:val="28"/>
          <w:szCs w:val="32"/>
        </w:rPr>
        <w:tab/>
      </w:r>
      <w:r>
        <w:rPr>
          <w:sz w:val="28"/>
          <w:szCs w:val="32"/>
        </w:rPr>
        <w:fldChar w:fldCharType="begin"/>
      </w:r>
      <w:r>
        <w:rPr>
          <w:sz w:val="28"/>
          <w:szCs w:val="32"/>
        </w:rPr>
        <w:instrText xml:space="preserve"> PAGEREF _Toc20972 \h </w:instrText>
      </w:r>
      <w:r>
        <w:rPr>
          <w:sz w:val="28"/>
          <w:szCs w:val="32"/>
        </w:rPr>
        <w:fldChar w:fldCharType="separate"/>
      </w:r>
      <w:r>
        <w:rPr>
          <w:sz w:val="28"/>
          <w:szCs w:val="32"/>
        </w:rPr>
        <w:t>7</w:t>
      </w:r>
      <w:r>
        <w:rPr>
          <w:sz w:val="28"/>
          <w:szCs w:val="32"/>
        </w:rPr>
        <w:fldChar w:fldCharType="end"/>
      </w:r>
    </w:p>
    <w:p w14:paraId="0A576053">
      <w:pPr>
        <w:pStyle w:val="23"/>
        <w:tabs>
          <w:tab w:val="right" w:leader="dot" w:pos="8306"/>
        </w:tabs>
        <w:rPr>
          <w:sz w:val="28"/>
          <w:szCs w:val="32"/>
        </w:rPr>
      </w:pPr>
      <w:r>
        <w:rPr>
          <w:rFonts w:hint="eastAsia" w:ascii="仿宋" w:hAnsi="仿宋" w:eastAsia="仿宋" w:cs="仿宋"/>
          <w:sz w:val="28"/>
          <w:szCs w:val="36"/>
        </w:rPr>
        <w:t>一、总则</w:t>
      </w:r>
      <w:r>
        <w:rPr>
          <w:sz w:val="28"/>
          <w:szCs w:val="32"/>
        </w:rPr>
        <w:tab/>
      </w:r>
      <w:r>
        <w:rPr>
          <w:sz w:val="28"/>
          <w:szCs w:val="32"/>
        </w:rPr>
        <w:fldChar w:fldCharType="begin"/>
      </w:r>
      <w:r>
        <w:rPr>
          <w:sz w:val="28"/>
          <w:szCs w:val="32"/>
        </w:rPr>
        <w:instrText xml:space="preserve"> PAGEREF _Toc31830 \h </w:instrText>
      </w:r>
      <w:r>
        <w:rPr>
          <w:sz w:val="28"/>
          <w:szCs w:val="32"/>
        </w:rPr>
        <w:fldChar w:fldCharType="separate"/>
      </w:r>
      <w:r>
        <w:rPr>
          <w:sz w:val="28"/>
          <w:szCs w:val="32"/>
        </w:rPr>
        <w:t>7</w:t>
      </w:r>
      <w:r>
        <w:rPr>
          <w:sz w:val="28"/>
          <w:szCs w:val="32"/>
        </w:rPr>
        <w:fldChar w:fldCharType="end"/>
      </w:r>
    </w:p>
    <w:p w14:paraId="72442B57">
      <w:pPr>
        <w:pStyle w:val="23"/>
        <w:tabs>
          <w:tab w:val="right" w:leader="dot" w:pos="8306"/>
        </w:tabs>
        <w:rPr>
          <w:sz w:val="28"/>
          <w:szCs w:val="32"/>
        </w:rPr>
      </w:pPr>
      <w:r>
        <w:rPr>
          <w:rFonts w:hint="eastAsia" w:ascii="仿宋" w:hAnsi="仿宋" w:eastAsia="仿宋" w:cs="仿宋"/>
          <w:sz w:val="28"/>
          <w:szCs w:val="36"/>
        </w:rPr>
        <w:t>二、征集文件</w:t>
      </w:r>
      <w:r>
        <w:rPr>
          <w:sz w:val="28"/>
          <w:szCs w:val="32"/>
        </w:rPr>
        <w:tab/>
      </w:r>
      <w:r>
        <w:rPr>
          <w:sz w:val="28"/>
          <w:szCs w:val="32"/>
        </w:rPr>
        <w:fldChar w:fldCharType="begin"/>
      </w:r>
      <w:r>
        <w:rPr>
          <w:sz w:val="28"/>
          <w:szCs w:val="32"/>
        </w:rPr>
        <w:instrText xml:space="preserve"> PAGEREF _Toc17192 \h </w:instrText>
      </w:r>
      <w:r>
        <w:rPr>
          <w:sz w:val="28"/>
          <w:szCs w:val="32"/>
        </w:rPr>
        <w:fldChar w:fldCharType="separate"/>
      </w:r>
      <w:r>
        <w:rPr>
          <w:sz w:val="28"/>
          <w:szCs w:val="32"/>
        </w:rPr>
        <w:t>7</w:t>
      </w:r>
      <w:r>
        <w:rPr>
          <w:sz w:val="28"/>
          <w:szCs w:val="32"/>
        </w:rPr>
        <w:fldChar w:fldCharType="end"/>
      </w:r>
    </w:p>
    <w:p w14:paraId="37FD0A10">
      <w:pPr>
        <w:pStyle w:val="23"/>
        <w:tabs>
          <w:tab w:val="right" w:leader="dot" w:pos="8306"/>
        </w:tabs>
        <w:rPr>
          <w:sz w:val="28"/>
          <w:szCs w:val="32"/>
        </w:rPr>
      </w:pPr>
      <w:r>
        <w:rPr>
          <w:rFonts w:hint="eastAsia" w:ascii="仿宋" w:hAnsi="仿宋" w:eastAsia="仿宋" w:cs="仿宋"/>
          <w:sz w:val="28"/>
          <w:szCs w:val="36"/>
        </w:rPr>
        <w:t>三、</w:t>
      </w:r>
      <w:r>
        <w:rPr>
          <w:rFonts w:hint="eastAsia" w:ascii="仿宋" w:hAnsi="仿宋" w:eastAsia="仿宋" w:cs="仿宋"/>
          <w:sz w:val="28"/>
          <w:szCs w:val="36"/>
          <w:lang w:eastAsia="zh-CN"/>
        </w:rPr>
        <w:t>申请文件</w:t>
      </w:r>
      <w:r>
        <w:rPr>
          <w:rFonts w:hint="eastAsia" w:ascii="仿宋" w:hAnsi="仿宋" w:eastAsia="仿宋" w:cs="仿宋"/>
          <w:sz w:val="28"/>
          <w:szCs w:val="36"/>
        </w:rPr>
        <w:t>的编制</w:t>
      </w:r>
      <w:r>
        <w:rPr>
          <w:sz w:val="28"/>
          <w:szCs w:val="32"/>
        </w:rPr>
        <w:tab/>
      </w:r>
      <w:r>
        <w:rPr>
          <w:sz w:val="28"/>
          <w:szCs w:val="32"/>
        </w:rPr>
        <w:fldChar w:fldCharType="begin"/>
      </w:r>
      <w:r>
        <w:rPr>
          <w:sz w:val="28"/>
          <w:szCs w:val="32"/>
        </w:rPr>
        <w:instrText xml:space="preserve"> PAGEREF _Toc2289 \h </w:instrText>
      </w:r>
      <w:r>
        <w:rPr>
          <w:sz w:val="28"/>
          <w:szCs w:val="32"/>
        </w:rPr>
        <w:fldChar w:fldCharType="separate"/>
      </w:r>
      <w:r>
        <w:rPr>
          <w:sz w:val="28"/>
          <w:szCs w:val="32"/>
        </w:rPr>
        <w:t>8</w:t>
      </w:r>
      <w:r>
        <w:rPr>
          <w:sz w:val="28"/>
          <w:szCs w:val="32"/>
        </w:rPr>
        <w:fldChar w:fldCharType="end"/>
      </w:r>
    </w:p>
    <w:p w14:paraId="5EA3E645">
      <w:pPr>
        <w:pStyle w:val="23"/>
        <w:tabs>
          <w:tab w:val="right" w:leader="dot" w:pos="8306"/>
        </w:tabs>
        <w:rPr>
          <w:sz w:val="28"/>
          <w:szCs w:val="32"/>
        </w:rPr>
      </w:pPr>
      <w:r>
        <w:rPr>
          <w:rFonts w:hint="eastAsia" w:ascii="仿宋" w:hAnsi="仿宋" w:eastAsia="仿宋" w:cs="仿宋"/>
          <w:sz w:val="28"/>
          <w:szCs w:val="36"/>
        </w:rPr>
        <w:t>四、</w:t>
      </w:r>
      <w:r>
        <w:rPr>
          <w:rFonts w:hint="eastAsia" w:ascii="仿宋" w:hAnsi="仿宋" w:eastAsia="仿宋" w:cs="仿宋"/>
          <w:sz w:val="28"/>
          <w:szCs w:val="36"/>
          <w:lang w:eastAsia="zh-CN"/>
        </w:rPr>
        <w:t>申请文件</w:t>
      </w:r>
      <w:r>
        <w:rPr>
          <w:rFonts w:hint="eastAsia" w:ascii="仿宋" w:hAnsi="仿宋" w:eastAsia="仿宋" w:cs="仿宋"/>
          <w:sz w:val="28"/>
          <w:szCs w:val="36"/>
        </w:rPr>
        <w:t>的递交</w:t>
      </w:r>
      <w:r>
        <w:rPr>
          <w:sz w:val="28"/>
          <w:szCs w:val="32"/>
        </w:rPr>
        <w:tab/>
      </w:r>
      <w:r>
        <w:rPr>
          <w:sz w:val="28"/>
          <w:szCs w:val="32"/>
        </w:rPr>
        <w:fldChar w:fldCharType="begin"/>
      </w:r>
      <w:r>
        <w:rPr>
          <w:sz w:val="28"/>
          <w:szCs w:val="32"/>
        </w:rPr>
        <w:instrText xml:space="preserve"> PAGEREF _Toc25480 \h </w:instrText>
      </w:r>
      <w:r>
        <w:rPr>
          <w:sz w:val="28"/>
          <w:szCs w:val="32"/>
        </w:rPr>
        <w:fldChar w:fldCharType="separate"/>
      </w:r>
      <w:r>
        <w:rPr>
          <w:sz w:val="28"/>
          <w:szCs w:val="32"/>
        </w:rPr>
        <w:t>9</w:t>
      </w:r>
      <w:r>
        <w:rPr>
          <w:sz w:val="28"/>
          <w:szCs w:val="32"/>
        </w:rPr>
        <w:fldChar w:fldCharType="end"/>
      </w:r>
    </w:p>
    <w:p w14:paraId="1BF568C2">
      <w:pPr>
        <w:pStyle w:val="23"/>
        <w:tabs>
          <w:tab w:val="right" w:leader="dot" w:pos="8306"/>
        </w:tabs>
        <w:rPr>
          <w:sz w:val="28"/>
          <w:szCs w:val="32"/>
        </w:rPr>
      </w:pPr>
      <w:r>
        <w:rPr>
          <w:rFonts w:hint="eastAsia" w:ascii="仿宋" w:hAnsi="仿宋" w:eastAsia="仿宋" w:cs="仿宋"/>
          <w:sz w:val="28"/>
          <w:szCs w:val="36"/>
        </w:rPr>
        <w:t>五、</w:t>
      </w:r>
      <w:r>
        <w:rPr>
          <w:rFonts w:hint="eastAsia" w:ascii="仿宋" w:hAnsi="仿宋" w:eastAsia="仿宋" w:cs="仿宋"/>
          <w:sz w:val="28"/>
          <w:szCs w:val="36"/>
          <w:lang w:eastAsia="zh-CN"/>
        </w:rPr>
        <w:t>申请文件</w:t>
      </w:r>
      <w:r>
        <w:rPr>
          <w:rFonts w:hint="eastAsia" w:ascii="仿宋" w:hAnsi="仿宋" w:eastAsia="仿宋" w:cs="仿宋"/>
          <w:sz w:val="28"/>
          <w:szCs w:val="36"/>
        </w:rPr>
        <w:t>的开启与评审</w:t>
      </w:r>
      <w:r>
        <w:rPr>
          <w:sz w:val="28"/>
          <w:szCs w:val="32"/>
        </w:rPr>
        <w:tab/>
      </w:r>
      <w:r>
        <w:rPr>
          <w:sz w:val="28"/>
          <w:szCs w:val="32"/>
        </w:rPr>
        <w:fldChar w:fldCharType="begin"/>
      </w:r>
      <w:r>
        <w:rPr>
          <w:sz w:val="28"/>
          <w:szCs w:val="32"/>
        </w:rPr>
        <w:instrText xml:space="preserve"> PAGEREF _Toc8155 \h </w:instrText>
      </w:r>
      <w:r>
        <w:rPr>
          <w:sz w:val="28"/>
          <w:szCs w:val="32"/>
        </w:rPr>
        <w:fldChar w:fldCharType="separate"/>
      </w:r>
      <w:r>
        <w:rPr>
          <w:sz w:val="28"/>
          <w:szCs w:val="32"/>
        </w:rPr>
        <w:t>10</w:t>
      </w:r>
      <w:r>
        <w:rPr>
          <w:sz w:val="28"/>
          <w:szCs w:val="32"/>
        </w:rPr>
        <w:fldChar w:fldCharType="end"/>
      </w:r>
    </w:p>
    <w:p w14:paraId="5D532434">
      <w:pPr>
        <w:pStyle w:val="23"/>
        <w:tabs>
          <w:tab w:val="right" w:leader="dot" w:pos="8306"/>
        </w:tabs>
        <w:rPr>
          <w:sz w:val="28"/>
          <w:szCs w:val="32"/>
        </w:rPr>
      </w:pPr>
      <w:r>
        <w:rPr>
          <w:rFonts w:hint="eastAsia" w:ascii="仿宋" w:hAnsi="仿宋" w:eastAsia="仿宋" w:cs="仿宋"/>
          <w:sz w:val="28"/>
          <w:szCs w:val="36"/>
        </w:rPr>
        <w:t>六、入围</w:t>
      </w:r>
      <w:r>
        <w:rPr>
          <w:rFonts w:hint="eastAsia" w:ascii="仿宋" w:hAnsi="仿宋" w:eastAsia="仿宋" w:cs="仿宋"/>
          <w:sz w:val="28"/>
          <w:szCs w:val="36"/>
          <w:lang w:val="en-US" w:eastAsia="zh-CN"/>
        </w:rPr>
        <w:t>及退出</w:t>
      </w:r>
      <w:r>
        <w:rPr>
          <w:sz w:val="28"/>
          <w:szCs w:val="32"/>
        </w:rPr>
        <w:tab/>
      </w:r>
      <w:r>
        <w:rPr>
          <w:sz w:val="28"/>
          <w:szCs w:val="32"/>
        </w:rPr>
        <w:fldChar w:fldCharType="begin"/>
      </w:r>
      <w:r>
        <w:rPr>
          <w:sz w:val="28"/>
          <w:szCs w:val="32"/>
        </w:rPr>
        <w:instrText xml:space="preserve"> PAGEREF _Toc22224 \h </w:instrText>
      </w:r>
      <w:r>
        <w:rPr>
          <w:sz w:val="28"/>
          <w:szCs w:val="32"/>
        </w:rPr>
        <w:fldChar w:fldCharType="separate"/>
      </w:r>
      <w:r>
        <w:rPr>
          <w:sz w:val="28"/>
          <w:szCs w:val="32"/>
        </w:rPr>
        <w:t>13</w:t>
      </w:r>
      <w:r>
        <w:rPr>
          <w:sz w:val="28"/>
          <w:szCs w:val="32"/>
        </w:rPr>
        <w:fldChar w:fldCharType="end"/>
      </w:r>
    </w:p>
    <w:p w14:paraId="415B8358">
      <w:pPr>
        <w:pStyle w:val="23"/>
        <w:tabs>
          <w:tab w:val="right" w:leader="dot" w:pos="8306"/>
        </w:tabs>
        <w:rPr>
          <w:sz w:val="28"/>
          <w:szCs w:val="32"/>
        </w:rPr>
      </w:pPr>
      <w:r>
        <w:rPr>
          <w:rFonts w:hint="eastAsia" w:ascii="仿宋" w:hAnsi="仿宋" w:eastAsia="仿宋" w:cs="仿宋"/>
          <w:sz w:val="28"/>
          <w:szCs w:val="36"/>
          <w:lang w:val="en-US" w:eastAsia="zh-CN"/>
        </w:rPr>
        <w:t>七</w:t>
      </w:r>
      <w:r>
        <w:rPr>
          <w:rFonts w:hint="eastAsia" w:ascii="仿宋" w:hAnsi="仿宋" w:eastAsia="仿宋" w:cs="仿宋"/>
          <w:sz w:val="28"/>
          <w:szCs w:val="36"/>
        </w:rPr>
        <w:t>、入围供应商的清退</w:t>
      </w:r>
      <w:r>
        <w:rPr>
          <w:sz w:val="28"/>
          <w:szCs w:val="32"/>
        </w:rPr>
        <w:tab/>
      </w:r>
      <w:r>
        <w:rPr>
          <w:sz w:val="28"/>
          <w:szCs w:val="32"/>
        </w:rPr>
        <w:fldChar w:fldCharType="begin"/>
      </w:r>
      <w:r>
        <w:rPr>
          <w:sz w:val="28"/>
          <w:szCs w:val="32"/>
        </w:rPr>
        <w:instrText xml:space="preserve"> PAGEREF _Toc15768 \h </w:instrText>
      </w:r>
      <w:r>
        <w:rPr>
          <w:sz w:val="28"/>
          <w:szCs w:val="32"/>
        </w:rPr>
        <w:fldChar w:fldCharType="separate"/>
      </w:r>
      <w:r>
        <w:rPr>
          <w:sz w:val="28"/>
          <w:szCs w:val="32"/>
        </w:rPr>
        <w:t>15</w:t>
      </w:r>
      <w:r>
        <w:rPr>
          <w:sz w:val="28"/>
          <w:szCs w:val="32"/>
        </w:rPr>
        <w:fldChar w:fldCharType="end"/>
      </w:r>
    </w:p>
    <w:p w14:paraId="085D6D21">
      <w:pPr>
        <w:pStyle w:val="23"/>
        <w:tabs>
          <w:tab w:val="right" w:leader="dot" w:pos="8306"/>
        </w:tabs>
        <w:rPr>
          <w:sz w:val="28"/>
          <w:szCs w:val="32"/>
        </w:rPr>
      </w:pPr>
      <w:r>
        <w:rPr>
          <w:rFonts w:hint="eastAsia" w:ascii="仿宋" w:hAnsi="仿宋" w:eastAsia="仿宋" w:cs="仿宋"/>
          <w:sz w:val="28"/>
          <w:szCs w:val="36"/>
          <w:lang w:val="en-US" w:eastAsia="zh-CN"/>
        </w:rPr>
        <w:t>八</w:t>
      </w:r>
      <w:r>
        <w:rPr>
          <w:rFonts w:hint="eastAsia" w:ascii="仿宋" w:hAnsi="仿宋" w:eastAsia="仿宋" w:cs="仿宋"/>
          <w:sz w:val="28"/>
          <w:szCs w:val="36"/>
        </w:rPr>
        <w:t>、签订框架协议</w:t>
      </w:r>
      <w:r>
        <w:rPr>
          <w:sz w:val="28"/>
          <w:szCs w:val="32"/>
        </w:rPr>
        <w:tab/>
      </w:r>
      <w:r>
        <w:rPr>
          <w:sz w:val="28"/>
          <w:szCs w:val="32"/>
        </w:rPr>
        <w:fldChar w:fldCharType="begin"/>
      </w:r>
      <w:r>
        <w:rPr>
          <w:sz w:val="28"/>
          <w:szCs w:val="32"/>
        </w:rPr>
        <w:instrText xml:space="preserve"> PAGEREF _Toc14326 \h </w:instrText>
      </w:r>
      <w:r>
        <w:rPr>
          <w:sz w:val="28"/>
          <w:szCs w:val="32"/>
        </w:rPr>
        <w:fldChar w:fldCharType="separate"/>
      </w:r>
      <w:r>
        <w:rPr>
          <w:sz w:val="28"/>
          <w:szCs w:val="32"/>
        </w:rPr>
        <w:t>15</w:t>
      </w:r>
      <w:r>
        <w:rPr>
          <w:sz w:val="28"/>
          <w:szCs w:val="32"/>
        </w:rPr>
        <w:fldChar w:fldCharType="end"/>
      </w:r>
    </w:p>
    <w:p w14:paraId="109ABA7F">
      <w:pPr>
        <w:pStyle w:val="23"/>
        <w:tabs>
          <w:tab w:val="right" w:leader="dot" w:pos="8306"/>
        </w:tabs>
        <w:rPr>
          <w:sz w:val="28"/>
          <w:szCs w:val="32"/>
        </w:rPr>
      </w:pPr>
      <w:r>
        <w:rPr>
          <w:rFonts w:hint="eastAsia" w:ascii="仿宋" w:hAnsi="仿宋" w:eastAsia="仿宋" w:cs="仿宋"/>
          <w:sz w:val="28"/>
          <w:szCs w:val="36"/>
          <w:highlight w:val="none"/>
          <w:lang w:val="en-US" w:eastAsia="zh-CN"/>
        </w:rPr>
        <w:t>九</w:t>
      </w:r>
      <w:r>
        <w:rPr>
          <w:rFonts w:hint="eastAsia" w:ascii="仿宋" w:hAnsi="仿宋" w:eastAsia="仿宋" w:cs="仿宋"/>
          <w:sz w:val="28"/>
          <w:szCs w:val="36"/>
          <w:highlight w:val="none"/>
        </w:rPr>
        <w:t>、代理服务费</w:t>
      </w:r>
      <w:r>
        <w:rPr>
          <w:sz w:val="28"/>
          <w:szCs w:val="32"/>
        </w:rPr>
        <w:tab/>
      </w:r>
      <w:r>
        <w:rPr>
          <w:sz w:val="28"/>
          <w:szCs w:val="32"/>
        </w:rPr>
        <w:fldChar w:fldCharType="begin"/>
      </w:r>
      <w:r>
        <w:rPr>
          <w:sz w:val="28"/>
          <w:szCs w:val="32"/>
        </w:rPr>
        <w:instrText xml:space="preserve"> PAGEREF _Toc1961 \h </w:instrText>
      </w:r>
      <w:r>
        <w:rPr>
          <w:sz w:val="28"/>
          <w:szCs w:val="32"/>
        </w:rPr>
        <w:fldChar w:fldCharType="separate"/>
      </w:r>
      <w:r>
        <w:rPr>
          <w:sz w:val="28"/>
          <w:szCs w:val="32"/>
        </w:rPr>
        <w:t>16</w:t>
      </w:r>
      <w:r>
        <w:rPr>
          <w:sz w:val="28"/>
          <w:szCs w:val="32"/>
        </w:rPr>
        <w:fldChar w:fldCharType="end"/>
      </w:r>
    </w:p>
    <w:p w14:paraId="7ACCB981">
      <w:pPr>
        <w:pStyle w:val="29"/>
        <w:tabs>
          <w:tab w:val="right" w:leader="dot" w:pos="8306"/>
        </w:tabs>
        <w:rPr>
          <w:sz w:val="28"/>
          <w:szCs w:val="32"/>
        </w:rPr>
      </w:pPr>
      <w:r>
        <w:rPr>
          <w:rFonts w:hint="eastAsia" w:ascii="仿宋" w:hAnsi="仿宋" w:eastAsia="仿宋" w:cs="仿宋"/>
          <w:color w:val="000000"/>
          <w:sz w:val="28"/>
          <w:szCs w:val="48"/>
        </w:rPr>
        <w:t>第三章 框架协议文本</w:t>
      </w:r>
      <w:r>
        <w:rPr>
          <w:sz w:val="28"/>
          <w:szCs w:val="32"/>
        </w:rPr>
        <w:tab/>
      </w:r>
      <w:r>
        <w:rPr>
          <w:sz w:val="28"/>
          <w:szCs w:val="32"/>
        </w:rPr>
        <w:fldChar w:fldCharType="begin"/>
      </w:r>
      <w:r>
        <w:rPr>
          <w:sz w:val="28"/>
          <w:szCs w:val="32"/>
        </w:rPr>
        <w:instrText xml:space="preserve"> PAGEREF _Toc15190 \h </w:instrText>
      </w:r>
      <w:r>
        <w:rPr>
          <w:sz w:val="28"/>
          <w:szCs w:val="32"/>
        </w:rPr>
        <w:fldChar w:fldCharType="separate"/>
      </w:r>
      <w:r>
        <w:rPr>
          <w:sz w:val="28"/>
          <w:szCs w:val="32"/>
        </w:rPr>
        <w:t>17</w:t>
      </w:r>
      <w:r>
        <w:rPr>
          <w:sz w:val="28"/>
          <w:szCs w:val="32"/>
        </w:rPr>
        <w:fldChar w:fldCharType="end"/>
      </w:r>
    </w:p>
    <w:p w14:paraId="3C465709">
      <w:pPr>
        <w:pStyle w:val="29"/>
        <w:tabs>
          <w:tab w:val="right" w:leader="dot" w:pos="8306"/>
        </w:tabs>
        <w:rPr>
          <w:sz w:val="28"/>
          <w:szCs w:val="32"/>
        </w:rPr>
      </w:pPr>
      <w:r>
        <w:rPr>
          <w:rFonts w:hint="eastAsia" w:ascii="仿宋" w:hAnsi="仿宋" w:eastAsia="仿宋" w:cs="仿宋"/>
          <w:sz w:val="28"/>
          <w:szCs w:val="32"/>
        </w:rPr>
        <w:t>第四章 采购需求</w:t>
      </w:r>
      <w:r>
        <w:rPr>
          <w:sz w:val="28"/>
          <w:szCs w:val="32"/>
        </w:rPr>
        <w:tab/>
      </w:r>
      <w:r>
        <w:rPr>
          <w:sz w:val="28"/>
          <w:szCs w:val="32"/>
        </w:rPr>
        <w:fldChar w:fldCharType="begin"/>
      </w:r>
      <w:r>
        <w:rPr>
          <w:sz w:val="28"/>
          <w:szCs w:val="32"/>
        </w:rPr>
        <w:instrText xml:space="preserve"> PAGEREF _Toc23149 \h </w:instrText>
      </w:r>
      <w:r>
        <w:rPr>
          <w:sz w:val="28"/>
          <w:szCs w:val="32"/>
        </w:rPr>
        <w:fldChar w:fldCharType="separate"/>
      </w:r>
      <w:r>
        <w:rPr>
          <w:sz w:val="28"/>
          <w:szCs w:val="32"/>
        </w:rPr>
        <w:t>26</w:t>
      </w:r>
      <w:r>
        <w:rPr>
          <w:sz w:val="28"/>
          <w:szCs w:val="32"/>
        </w:rPr>
        <w:fldChar w:fldCharType="end"/>
      </w:r>
    </w:p>
    <w:p w14:paraId="2F8319BF">
      <w:pPr>
        <w:pStyle w:val="29"/>
        <w:tabs>
          <w:tab w:val="right" w:leader="dot" w:pos="8306"/>
        </w:tabs>
        <w:rPr>
          <w:sz w:val="28"/>
          <w:szCs w:val="32"/>
        </w:rPr>
      </w:pPr>
      <w:r>
        <w:rPr>
          <w:rFonts w:hint="eastAsia" w:ascii="仿宋" w:hAnsi="仿宋" w:eastAsia="仿宋" w:cs="仿宋"/>
          <w:sz w:val="28"/>
          <w:szCs w:val="32"/>
          <w:lang w:val="en-US" w:eastAsia="zh-CN"/>
        </w:rPr>
        <w:t>第五章 确定入围供应商</w:t>
      </w:r>
      <w:r>
        <w:rPr>
          <w:sz w:val="28"/>
          <w:szCs w:val="32"/>
        </w:rPr>
        <w:tab/>
      </w:r>
      <w:r>
        <w:rPr>
          <w:sz w:val="28"/>
          <w:szCs w:val="32"/>
        </w:rPr>
        <w:fldChar w:fldCharType="begin"/>
      </w:r>
      <w:r>
        <w:rPr>
          <w:sz w:val="28"/>
          <w:szCs w:val="32"/>
        </w:rPr>
        <w:instrText xml:space="preserve"> PAGEREF _Toc10110 \h </w:instrText>
      </w:r>
      <w:r>
        <w:rPr>
          <w:sz w:val="28"/>
          <w:szCs w:val="32"/>
        </w:rPr>
        <w:fldChar w:fldCharType="separate"/>
      </w:r>
      <w:r>
        <w:rPr>
          <w:sz w:val="28"/>
          <w:szCs w:val="32"/>
        </w:rPr>
        <w:t>44</w:t>
      </w:r>
      <w:r>
        <w:rPr>
          <w:sz w:val="28"/>
          <w:szCs w:val="32"/>
        </w:rPr>
        <w:fldChar w:fldCharType="end"/>
      </w:r>
    </w:p>
    <w:p w14:paraId="2C4571BA">
      <w:pPr>
        <w:pStyle w:val="29"/>
        <w:tabs>
          <w:tab w:val="right" w:leader="dot" w:pos="8306"/>
        </w:tabs>
        <w:rPr>
          <w:sz w:val="28"/>
          <w:szCs w:val="32"/>
        </w:rPr>
      </w:pPr>
      <w:r>
        <w:rPr>
          <w:rFonts w:hint="eastAsia" w:ascii="仿宋" w:hAnsi="仿宋" w:eastAsia="仿宋" w:cs="仿宋"/>
          <w:sz w:val="28"/>
          <w:szCs w:val="32"/>
        </w:rPr>
        <w:t xml:space="preserve">六章 </w:t>
      </w:r>
      <w:r>
        <w:rPr>
          <w:rFonts w:hint="eastAsia" w:ascii="仿宋" w:hAnsi="仿宋" w:eastAsia="仿宋" w:cs="仿宋"/>
          <w:bCs/>
          <w:sz w:val="28"/>
          <w:szCs w:val="32"/>
          <w:highlight w:val="none"/>
        </w:rPr>
        <w:t>申请文件格式</w:t>
      </w:r>
      <w:r>
        <w:rPr>
          <w:sz w:val="28"/>
          <w:szCs w:val="32"/>
        </w:rPr>
        <w:tab/>
      </w:r>
      <w:r>
        <w:rPr>
          <w:sz w:val="28"/>
          <w:szCs w:val="32"/>
        </w:rPr>
        <w:fldChar w:fldCharType="begin"/>
      </w:r>
      <w:r>
        <w:rPr>
          <w:sz w:val="28"/>
          <w:szCs w:val="32"/>
        </w:rPr>
        <w:instrText xml:space="preserve"> PAGEREF _Toc30526 \h </w:instrText>
      </w:r>
      <w:r>
        <w:rPr>
          <w:sz w:val="28"/>
          <w:szCs w:val="32"/>
        </w:rPr>
        <w:fldChar w:fldCharType="separate"/>
      </w:r>
      <w:r>
        <w:rPr>
          <w:sz w:val="28"/>
          <w:szCs w:val="32"/>
        </w:rPr>
        <w:t>58</w:t>
      </w:r>
      <w:r>
        <w:rPr>
          <w:sz w:val="28"/>
          <w:szCs w:val="32"/>
        </w:rPr>
        <w:fldChar w:fldCharType="end"/>
      </w:r>
    </w:p>
    <w:p w14:paraId="6752E504">
      <w:pPr>
        <w:pStyle w:val="35"/>
        <w:tabs>
          <w:tab w:val="right" w:leader="dot" w:pos="8306"/>
        </w:tabs>
        <w:rPr>
          <w:sz w:val="28"/>
          <w:szCs w:val="32"/>
        </w:rPr>
      </w:pPr>
      <w:r>
        <w:rPr>
          <w:rFonts w:hint="eastAsia" w:ascii="仿宋" w:hAnsi="仿宋" w:eastAsia="仿宋" w:cs="仿宋"/>
          <w:sz w:val="28"/>
          <w:szCs w:val="44"/>
          <w:lang w:val="en-US" w:eastAsia="zh-CN"/>
        </w:rPr>
        <w:t>一、供应商信用承诺函</w:t>
      </w:r>
      <w:r>
        <w:rPr>
          <w:sz w:val="28"/>
          <w:szCs w:val="32"/>
        </w:rPr>
        <w:tab/>
      </w:r>
      <w:r>
        <w:rPr>
          <w:sz w:val="28"/>
          <w:szCs w:val="32"/>
        </w:rPr>
        <w:fldChar w:fldCharType="begin"/>
      </w:r>
      <w:r>
        <w:rPr>
          <w:sz w:val="28"/>
          <w:szCs w:val="32"/>
        </w:rPr>
        <w:instrText xml:space="preserve"> PAGEREF _Toc344 \h </w:instrText>
      </w:r>
      <w:r>
        <w:rPr>
          <w:sz w:val="28"/>
          <w:szCs w:val="32"/>
        </w:rPr>
        <w:fldChar w:fldCharType="separate"/>
      </w:r>
      <w:r>
        <w:rPr>
          <w:sz w:val="28"/>
          <w:szCs w:val="32"/>
        </w:rPr>
        <w:t>60</w:t>
      </w:r>
      <w:r>
        <w:rPr>
          <w:sz w:val="28"/>
          <w:szCs w:val="32"/>
        </w:rPr>
        <w:fldChar w:fldCharType="end"/>
      </w:r>
    </w:p>
    <w:p w14:paraId="59879359">
      <w:pPr>
        <w:pStyle w:val="35"/>
        <w:tabs>
          <w:tab w:val="right" w:leader="dot" w:pos="8306"/>
        </w:tabs>
        <w:rPr>
          <w:sz w:val="28"/>
          <w:szCs w:val="32"/>
        </w:rPr>
      </w:pPr>
      <w:r>
        <w:rPr>
          <w:rFonts w:hint="eastAsia" w:ascii="仿宋" w:hAnsi="仿宋" w:eastAsia="仿宋" w:cs="仿宋"/>
          <w:sz w:val="28"/>
          <w:szCs w:val="44"/>
          <w:lang w:val="en-US" w:eastAsia="zh-CN"/>
        </w:rPr>
        <w:t>二、满足特定资格要求的证明文件</w:t>
      </w:r>
      <w:r>
        <w:rPr>
          <w:sz w:val="28"/>
          <w:szCs w:val="32"/>
        </w:rPr>
        <w:tab/>
      </w:r>
      <w:r>
        <w:rPr>
          <w:sz w:val="28"/>
          <w:szCs w:val="32"/>
        </w:rPr>
        <w:fldChar w:fldCharType="begin"/>
      </w:r>
      <w:r>
        <w:rPr>
          <w:sz w:val="28"/>
          <w:szCs w:val="32"/>
        </w:rPr>
        <w:instrText xml:space="preserve"> PAGEREF _Toc23657 \h </w:instrText>
      </w:r>
      <w:r>
        <w:rPr>
          <w:sz w:val="28"/>
          <w:szCs w:val="32"/>
        </w:rPr>
        <w:fldChar w:fldCharType="separate"/>
      </w:r>
      <w:r>
        <w:rPr>
          <w:sz w:val="28"/>
          <w:szCs w:val="32"/>
        </w:rPr>
        <w:t>61</w:t>
      </w:r>
      <w:r>
        <w:rPr>
          <w:sz w:val="28"/>
          <w:szCs w:val="32"/>
        </w:rPr>
        <w:fldChar w:fldCharType="end"/>
      </w:r>
    </w:p>
    <w:p w14:paraId="4E94FB58">
      <w:pPr>
        <w:pStyle w:val="35"/>
        <w:tabs>
          <w:tab w:val="right" w:leader="dot" w:pos="8306"/>
        </w:tabs>
        <w:rPr>
          <w:sz w:val="28"/>
          <w:szCs w:val="32"/>
        </w:rPr>
      </w:pPr>
      <w:r>
        <w:rPr>
          <w:rFonts w:hint="eastAsia" w:ascii="仿宋" w:hAnsi="仿宋" w:eastAsia="仿宋" w:cs="仿宋"/>
          <w:sz w:val="28"/>
          <w:szCs w:val="44"/>
          <w:lang w:val="en-US" w:eastAsia="zh-CN"/>
        </w:rPr>
        <w:t>三、供应商业绩要求的证明文件</w:t>
      </w:r>
      <w:r>
        <w:rPr>
          <w:sz w:val="28"/>
          <w:szCs w:val="32"/>
        </w:rPr>
        <w:tab/>
      </w:r>
      <w:r>
        <w:rPr>
          <w:sz w:val="28"/>
          <w:szCs w:val="32"/>
        </w:rPr>
        <w:fldChar w:fldCharType="begin"/>
      </w:r>
      <w:r>
        <w:rPr>
          <w:sz w:val="28"/>
          <w:szCs w:val="32"/>
        </w:rPr>
        <w:instrText xml:space="preserve"> PAGEREF _Toc28359 \h </w:instrText>
      </w:r>
      <w:r>
        <w:rPr>
          <w:sz w:val="28"/>
          <w:szCs w:val="32"/>
        </w:rPr>
        <w:fldChar w:fldCharType="separate"/>
      </w:r>
      <w:r>
        <w:rPr>
          <w:sz w:val="28"/>
          <w:szCs w:val="32"/>
        </w:rPr>
        <w:t>61</w:t>
      </w:r>
      <w:r>
        <w:rPr>
          <w:sz w:val="28"/>
          <w:szCs w:val="32"/>
        </w:rPr>
        <w:fldChar w:fldCharType="end"/>
      </w:r>
    </w:p>
    <w:p w14:paraId="288938AE">
      <w:pPr>
        <w:pStyle w:val="35"/>
        <w:tabs>
          <w:tab w:val="right" w:leader="dot" w:pos="8306"/>
        </w:tabs>
        <w:rPr>
          <w:sz w:val="28"/>
          <w:szCs w:val="32"/>
        </w:rPr>
      </w:pPr>
      <w:r>
        <w:rPr>
          <w:rFonts w:hint="eastAsia" w:ascii="仿宋" w:hAnsi="仿宋" w:eastAsia="仿宋" w:cs="仿宋"/>
          <w:sz w:val="28"/>
          <w:szCs w:val="44"/>
          <w:lang w:val="en-US" w:eastAsia="zh-CN"/>
        </w:rPr>
        <w:t>四、法人授权书</w:t>
      </w:r>
      <w:r>
        <w:rPr>
          <w:sz w:val="28"/>
          <w:szCs w:val="32"/>
        </w:rPr>
        <w:tab/>
      </w:r>
      <w:r>
        <w:rPr>
          <w:sz w:val="28"/>
          <w:szCs w:val="32"/>
        </w:rPr>
        <w:fldChar w:fldCharType="begin"/>
      </w:r>
      <w:r>
        <w:rPr>
          <w:sz w:val="28"/>
          <w:szCs w:val="32"/>
        </w:rPr>
        <w:instrText xml:space="preserve"> PAGEREF _Toc24045 \h </w:instrText>
      </w:r>
      <w:r>
        <w:rPr>
          <w:sz w:val="28"/>
          <w:szCs w:val="32"/>
        </w:rPr>
        <w:fldChar w:fldCharType="separate"/>
      </w:r>
      <w:r>
        <w:rPr>
          <w:sz w:val="28"/>
          <w:szCs w:val="32"/>
        </w:rPr>
        <w:t>62</w:t>
      </w:r>
      <w:r>
        <w:rPr>
          <w:sz w:val="28"/>
          <w:szCs w:val="32"/>
        </w:rPr>
        <w:fldChar w:fldCharType="end"/>
      </w:r>
    </w:p>
    <w:p w14:paraId="5113A3AA">
      <w:pPr>
        <w:pStyle w:val="35"/>
        <w:tabs>
          <w:tab w:val="right" w:leader="dot" w:pos="8306"/>
        </w:tabs>
        <w:rPr>
          <w:sz w:val="28"/>
          <w:szCs w:val="32"/>
        </w:rPr>
      </w:pPr>
      <w:r>
        <w:rPr>
          <w:rFonts w:hint="eastAsia" w:ascii="仿宋" w:hAnsi="仿宋" w:eastAsia="仿宋" w:cs="仿宋"/>
          <w:sz w:val="28"/>
          <w:szCs w:val="48"/>
          <w:lang w:val="en-US" w:eastAsia="zh-CN"/>
        </w:rPr>
        <w:t>五、响应函</w:t>
      </w:r>
      <w:r>
        <w:rPr>
          <w:sz w:val="28"/>
          <w:szCs w:val="32"/>
        </w:rPr>
        <w:tab/>
      </w:r>
      <w:r>
        <w:rPr>
          <w:sz w:val="28"/>
          <w:szCs w:val="32"/>
        </w:rPr>
        <w:fldChar w:fldCharType="begin"/>
      </w:r>
      <w:r>
        <w:rPr>
          <w:sz w:val="28"/>
          <w:szCs w:val="32"/>
        </w:rPr>
        <w:instrText xml:space="preserve"> PAGEREF _Toc10984 \h </w:instrText>
      </w:r>
      <w:r>
        <w:rPr>
          <w:sz w:val="28"/>
          <w:szCs w:val="32"/>
        </w:rPr>
        <w:fldChar w:fldCharType="separate"/>
      </w:r>
      <w:r>
        <w:rPr>
          <w:sz w:val="28"/>
          <w:szCs w:val="32"/>
        </w:rPr>
        <w:t>63</w:t>
      </w:r>
      <w:r>
        <w:rPr>
          <w:sz w:val="28"/>
          <w:szCs w:val="32"/>
        </w:rPr>
        <w:fldChar w:fldCharType="end"/>
      </w:r>
    </w:p>
    <w:p w14:paraId="3B5A2673">
      <w:pPr>
        <w:pStyle w:val="35"/>
        <w:tabs>
          <w:tab w:val="right" w:leader="dot" w:pos="8306"/>
        </w:tabs>
        <w:rPr>
          <w:sz w:val="28"/>
          <w:szCs w:val="32"/>
        </w:rPr>
      </w:pPr>
      <w:r>
        <w:rPr>
          <w:rFonts w:hint="eastAsia" w:ascii="仿宋" w:hAnsi="仿宋" w:eastAsia="仿宋" w:cs="仿宋"/>
          <w:sz w:val="28"/>
          <w:szCs w:val="48"/>
          <w:lang w:val="en-US" w:eastAsia="zh-CN"/>
        </w:rPr>
        <w:t>六、报价一览表</w:t>
      </w:r>
      <w:r>
        <w:rPr>
          <w:sz w:val="28"/>
          <w:szCs w:val="32"/>
        </w:rPr>
        <w:tab/>
      </w:r>
      <w:r>
        <w:rPr>
          <w:sz w:val="28"/>
          <w:szCs w:val="32"/>
        </w:rPr>
        <w:fldChar w:fldCharType="begin"/>
      </w:r>
      <w:r>
        <w:rPr>
          <w:sz w:val="28"/>
          <w:szCs w:val="32"/>
        </w:rPr>
        <w:instrText xml:space="preserve"> PAGEREF _Toc3365 \h </w:instrText>
      </w:r>
      <w:r>
        <w:rPr>
          <w:sz w:val="28"/>
          <w:szCs w:val="32"/>
        </w:rPr>
        <w:fldChar w:fldCharType="separate"/>
      </w:r>
      <w:r>
        <w:rPr>
          <w:sz w:val="28"/>
          <w:szCs w:val="32"/>
        </w:rPr>
        <w:t>64</w:t>
      </w:r>
      <w:r>
        <w:rPr>
          <w:sz w:val="28"/>
          <w:szCs w:val="32"/>
        </w:rPr>
        <w:fldChar w:fldCharType="end"/>
      </w:r>
    </w:p>
    <w:p w14:paraId="1889E4FC">
      <w:pPr>
        <w:pStyle w:val="35"/>
        <w:tabs>
          <w:tab w:val="right" w:leader="dot" w:pos="8306"/>
        </w:tabs>
        <w:rPr>
          <w:sz w:val="28"/>
          <w:szCs w:val="32"/>
        </w:rPr>
      </w:pPr>
      <w:r>
        <w:rPr>
          <w:rFonts w:hint="eastAsia" w:ascii="仿宋" w:hAnsi="仿宋" w:eastAsia="仿宋" w:cs="仿宋"/>
          <w:sz w:val="28"/>
          <w:szCs w:val="48"/>
          <w:lang w:val="en-US" w:eastAsia="zh-CN"/>
        </w:rPr>
        <w:t>七、响应服务报价明细表</w:t>
      </w:r>
      <w:r>
        <w:rPr>
          <w:sz w:val="28"/>
          <w:szCs w:val="32"/>
        </w:rPr>
        <w:tab/>
      </w:r>
      <w:r>
        <w:rPr>
          <w:sz w:val="28"/>
          <w:szCs w:val="32"/>
        </w:rPr>
        <w:fldChar w:fldCharType="begin"/>
      </w:r>
      <w:r>
        <w:rPr>
          <w:sz w:val="28"/>
          <w:szCs w:val="32"/>
        </w:rPr>
        <w:instrText xml:space="preserve"> PAGEREF _Toc402 \h </w:instrText>
      </w:r>
      <w:r>
        <w:rPr>
          <w:sz w:val="28"/>
          <w:szCs w:val="32"/>
        </w:rPr>
        <w:fldChar w:fldCharType="separate"/>
      </w:r>
      <w:r>
        <w:rPr>
          <w:sz w:val="28"/>
          <w:szCs w:val="32"/>
        </w:rPr>
        <w:t>65</w:t>
      </w:r>
      <w:r>
        <w:rPr>
          <w:sz w:val="28"/>
          <w:szCs w:val="32"/>
        </w:rPr>
        <w:fldChar w:fldCharType="end"/>
      </w:r>
    </w:p>
    <w:p w14:paraId="18093B97">
      <w:pPr>
        <w:pStyle w:val="35"/>
        <w:tabs>
          <w:tab w:val="right" w:leader="dot" w:pos="8306"/>
        </w:tabs>
        <w:rPr>
          <w:sz w:val="28"/>
          <w:szCs w:val="32"/>
        </w:rPr>
      </w:pPr>
      <w:r>
        <w:rPr>
          <w:rFonts w:hint="eastAsia" w:ascii="仿宋" w:hAnsi="仿宋" w:eastAsia="仿宋" w:cs="仿宋"/>
          <w:sz w:val="28"/>
          <w:szCs w:val="48"/>
          <w:lang w:val="en-US" w:eastAsia="zh-CN"/>
        </w:rPr>
        <w:t>八、评审标准中需要提供的证明文件</w:t>
      </w:r>
      <w:r>
        <w:rPr>
          <w:sz w:val="28"/>
          <w:szCs w:val="32"/>
        </w:rPr>
        <w:tab/>
      </w:r>
      <w:r>
        <w:rPr>
          <w:sz w:val="28"/>
          <w:szCs w:val="32"/>
        </w:rPr>
        <w:fldChar w:fldCharType="begin"/>
      </w:r>
      <w:r>
        <w:rPr>
          <w:sz w:val="28"/>
          <w:szCs w:val="32"/>
        </w:rPr>
        <w:instrText xml:space="preserve"> PAGEREF _Toc11977 \h </w:instrText>
      </w:r>
      <w:r>
        <w:rPr>
          <w:sz w:val="28"/>
          <w:szCs w:val="32"/>
        </w:rPr>
        <w:fldChar w:fldCharType="separate"/>
      </w:r>
      <w:r>
        <w:rPr>
          <w:sz w:val="28"/>
          <w:szCs w:val="32"/>
        </w:rPr>
        <w:t>66</w:t>
      </w:r>
      <w:r>
        <w:rPr>
          <w:sz w:val="28"/>
          <w:szCs w:val="32"/>
        </w:rPr>
        <w:fldChar w:fldCharType="end"/>
      </w:r>
    </w:p>
    <w:p w14:paraId="0910D781">
      <w:pPr>
        <w:pStyle w:val="35"/>
        <w:tabs>
          <w:tab w:val="right" w:leader="dot" w:pos="8306"/>
        </w:tabs>
        <w:rPr>
          <w:sz w:val="28"/>
          <w:szCs w:val="32"/>
        </w:rPr>
      </w:pPr>
      <w:r>
        <w:rPr>
          <w:rFonts w:hint="eastAsia" w:ascii="仿宋" w:hAnsi="仿宋" w:eastAsia="仿宋" w:cs="仿宋"/>
          <w:sz w:val="28"/>
          <w:szCs w:val="48"/>
          <w:lang w:val="en-US" w:eastAsia="zh-CN"/>
        </w:rPr>
        <w:t>九、商务要求响应及偏离表</w:t>
      </w:r>
      <w:r>
        <w:rPr>
          <w:sz w:val="28"/>
          <w:szCs w:val="32"/>
        </w:rPr>
        <w:tab/>
      </w:r>
      <w:r>
        <w:rPr>
          <w:sz w:val="28"/>
          <w:szCs w:val="32"/>
        </w:rPr>
        <w:fldChar w:fldCharType="begin"/>
      </w:r>
      <w:r>
        <w:rPr>
          <w:sz w:val="28"/>
          <w:szCs w:val="32"/>
        </w:rPr>
        <w:instrText xml:space="preserve"> PAGEREF _Toc13278 \h </w:instrText>
      </w:r>
      <w:r>
        <w:rPr>
          <w:sz w:val="28"/>
          <w:szCs w:val="32"/>
        </w:rPr>
        <w:fldChar w:fldCharType="separate"/>
      </w:r>
      <w:r>
        <w:rPr>
          <w:sz w:val="28"/>
          <w:szCs w:val="32"/>
        </w:rPr>
        <w:t>67</w:t>
      </w:r>
      <w:r>
        <w:rPr>
          <w:sz w:val="28"/>
          <w:szCs w:val="32"/>
        </w:rPr>
        <w:fldChar w:fldCharType="end"/>
      </w:r>
    </w:p>
    <w:p w14:paraId="6B9E54E7">
      <w:pPr>
        <w:pStyle w:val="35"/>
        <w:tabs>
          <w:tab w:val="right" w:leader="dot" w:pos="8306"/>
        </w:tabs>
        <w:rPr>
          <w:sz w:val="28"/>
          <w:szCs w:val="32"/>
        </w:rPr>
      </w:pPr>
      <w:r>
        <w:rPr>
          <w:rFonts w:hint="eastAsia" w:ascii="仿宋" w:hAnsi="仿宋" w:eastAsia="仿宋" w:cs="仿宋"/>
          <w:sz w:val="28"/>
          <w:szCs w:val="48"/>
          <w:lang w:val="en-US" w:eastAsia="zh-CN"/>
        </w:rPr>
        <w:t>十、中小企业声明函</w:t>
      </w:r>
      <w:r>
        <w:rPr>
          <w:sz w:val="28"/>
          <w:szCs w:val="32"/>
        </w:rPr>
        <w:tab/>
      </w:r>
      <w:r>
        <w:rPr>
          <w:sz w:val="28"/>
          <w:szCs w:val="32"/>
        </w:rPr>
        <w:fldChar w:fldCharType="begin"/>
      </w:r>
      <w:r>
        <w:rPr>
          <w:sz w:val="28"/>
          <w:szCs w:val="32"/>
        </w:rPr>
        <w:instrText xml:space="preserve"> PAGEREF _Toc14821 \h </w:instrText>
      </w:r>
      <w:r>
        <w:rPr>
          <w:sz w:val="28"/>
          <w:szCs w:val="32"/>
        </w:rPr>
        <w:fldChar w:fldCharType="separate"/>
      </w:r>
      <w:r>
        <w:rPr>
          <w:sz w:val="28"/>
          <w:szCs w:val="32"/>
        </w:rPr>
        <w:t>68</w:t>
      </w:r>
      <w:r>
        <w:rPr>
          <w:sz w:val="28"/>
          <w:szCs w:val="32"/>
        </w:rPr>
        <w:fldChar w:fldCharType="end"/>
      </w:r>
    </w:p>
    <w:p w14:paraId="46F092C3">
      <w:pPr>
        <w:pStyle w:val="35"/>
        <w:tabs>
          <w:tab w:val="right" w:leader="dot" w:pos="8306"/>
        </w:tabs>
        <w:rPr>
          <w:sz w:val="28"/>
          <w:szCs w:val="32"/>
        </w:rPr>
      </w:pPr>
      <w:r>
        <w:rPr>
          <w:rFonts w:hint="eastAsia" w:ascii="仿宋" w:hAnsi="仿宋" w:eastAsia="仿宋" w:cs="仿宋"/>
          <w:sz w:val="28"/>
          <w:szCs w:val="48"/>
          <w:lang w:val="en-US" w:eastAsia="zh-CN"/>
        </w:rPr>
        <w:t>十一、残疾人福利性单位声明函</w:t>
      </w:r>
      <w:r>
        <w:rPr>
          <w:sz w:val="28"/>
          <w:szCs w:val="32"/>
        </w:rPr>
        <w:tab/>
      </w:r>
      <w:r>
        <w:rPr>
          <w:sz w:val="28"/>
          <w:szCs w:val="32"/>
        </w:rPr>
        <w:fldChar w:fldCharType="begin"/>
      </w:r>
      <w:r>
        <w:rPr>
          <w:sz w:val="28"/>
          <w:szCs w:val="32"/>
        </w:rPr>
        <w:instrText xml:space="preserve"> PAGEREF _Toc30120 \h </w:instrText>
      </w:r>
      <w:r>
        <w:rPr>
          <w:sz w:val="28"/>
          <w:szCs w:val="32"/>
        </w:rPr>
        <w:fldChar w:fldCharType="separate"/>
      </w:r>
      <w:r>
        <w:rPr>
          <w:sz w:val="28"/>
          <w:szCs w:val="32"/>
        </w:rPr>
        <w:t>69</w:t>
      </w:r>
      <w:r>
        <w:rPr>
          <w:sz w:val="28"/>
          <w:szCs w:val="32"/>
        </w:rPr>
        <w:fldChar w:fldCharType="end"/>
      </w:r>
    </w:p>
    <w:p w14:paraId="50FEE624">
      <w:pPr>
        <w:pStyle w:val="35"/>
        <w:tabs>
          <w:tab w:val="right" w:leader="dot" w:pos="8306"/>
        </w:tabs>
        <w:rPr>
          <w:sz w:val="28"/>
          <w:szCs w:val="32"/>
        </w:rPr>
      </w:pPr>
      <w:r>
        <w:rPr>
          <w:rFonts w:hint="eastAsia" w:ascii="仿宋" w:hAnsi="仿宋" w:eastAsia="仿宋" w:cs="仿宋"/>
          <w:sz w:val="28"/>
          <w:szCs w:val="48"/>
          <w:lang w:val="en-US" w:eastAsia="zh-CN"/>
        </w:rPr>
        <w:t>十二、实质性要求完全响应承诺书</w:t>
      </w:r>
      <w:r>
        <w:rPr>
          <w:sz w:val="28"/>
          <w:szCs w:val="32"/>
        </w:rPr>
        <w:tab/>
      </w:r>
      <w:r>
        <w:rPr>
          <w:sz w:val="28"/>
          <w:szCs w:val="32"/>
        </w:rPr>
        <w:fldChar w:fldCharType="begin"/>
      </w:r>
      <w:r>
        <w:rPr>
          <w:sz w:val="28"/>
          <w:szCs w:val="32"/>
        </w:rPr>
        <w:instrText xml:space="preserve"> PAGEREF _Toc28612 \h </w:instrText>
      </w:r>
      <w:r>
        <w:rPr>
          <w:sz w:val="28"/>
          <w:szCs w:val="32"/>
        </w:rPr>
        <w:fldChar w:fldCharType="separate"/>
      </w:r>
      <w:r>
        <w:rPr>
          <w:sz w:val="28"/>
          <w:szCs w:val="32"/>
        </w:rPr>
        <w:t>70</w:t>
      </w:r>
      <w:r>
        <w:rPr>
          <w:sz w:val="28"/>
          <w:szCs w:val="32"/>
        </w:rPr>
        <w:fldChar w:fldCharType="end"/>
      </w:r>
    </w:p>
    <w:p w14:paraId="36775F7C">
      <w:pPr>
        <w:pStyle w:val="35"/>
        <w:tabs>
          <w:tab w:val="right" w:leader="dot" w:pos="8306"/>
        </w:tabs>
        <w:rPr>
          <w:sz w:val="28"/>
          <w:szCs w:val="32"/>
        </w:rPr>
      </w:pPr>
      <w:r>
        <w:rPr>
          <w:rFonts w:hint="eastAsia" w:ascii="仿宋" w:hAnsi="仿宋" w:eastAsia="仿宋" w:cs="仿宋"/>
          <w:sz w:val="28"/>
          <w:szCs w:val="48"/>
          <w:lang w:val="en-US" w:eastAsia="zh-CN"/>
        </w:rPr>
        <w:t>十三、 其他需要提供的资料（格式自拟）</w:t>
      </w:r>
      <w:r>
        <w:rPr>
          <w:sz w:val="28"/>
          <w:szCs w:val="32"/>
        </w:rPr>
        <w:tab/>
      </w:r>
      <w:r>
        <w:rPr>
          <w:sz w:val="28"/>
          <w:szCs w:val="32"/>
        </w:rPr>
        <w:fldChar w:fldCharType="begin"/>
      </w:r>
      <w:r>
        <w:rPr>
          <w:sz w:val="28"/>
          <w:szCs w:val="32"/>
        </w:rPr>
        <w:instrText xml:space="preserve"> PAGEREF _Toc29810 \h </w:instrText>
      </w:r>
      <w:r>
        <w:rPr>
          <w:sz w:val="28"/>
          <w:szCs w:val="32"/>
        </w:rPr>
        <w:fldChar w:fldCharType="separate"/>
      </w:r>
      <w:r>
        <w:rPr>
          <w:sz w:val="28"/>
          <w:szCs w:val="32"/>
        </w:rPr>
        <w:t>71</w:t>
      </w:r>
      <w:r>
        <w:rPr>
          <w:sz w:val="28"/>
          <w:szCs w:val="32"/>
        </w:rPr>
        <w:fldChar w:fldCharType="end"/>
      </w:r>
    </w:p>
    <w:p w14:paraId="69910221">
      <w:pPr>
        <w:pStyle w:val="35"/>
        <w:tabs>
          <w:tab w:val="right" w:leader="dot" w:pos="8306"/>
        </w:tabs>
        <w:rPr>
          <w:sz w:val="28"/>
          <w:szCs w:val="32"/>
        </w:rPr>
      </w:pPr>
      <w:r>
        <w:rPr>
          <w:rFonts w:hint="eastAsia" w:ascii="仿宋" w:hAnsi="仿宋" w:eastAsia="仿宋" w:cs="仿宋"/>
          <w:sz w:val="28"/>
          <w:szCs w:val="48"/>
          <w:lang w:val="en-US" w:eastAsia="zh-CN"/>
        </w:rPr>
        <w:t>十四、质疑函范本</w:t>
      </w:r>
      <w:r>
        <w:rPr>
          <w:sz w:val="28"/>
          <w:szCs w:val="32"/>
        </w:rPr>
        <w:tab/>
      </w:r>
      <w:r>
        <w:rPr>
          <w:sz w:val="28"/>
          <w:szCs w:val="32"/>
        </w:rPr>
        <w:fldChar w:fldCharType="begin"/>
      </w:r>
      <w:r>
        <w:rPr>
          <w:sz w:val="28"/>
          <w:szCs w:val="32"/>
        </w:rPr>
        <w:instrText xml:space="preserve"> PAGEREF _Toc23510 \h </w:instrText>
      </w:r>
      <w:r>
        <w:rPr>
          <w:sz w:val="28"/>
          <w:szCs w:val="32"/>
        </w:rPr>
        <w:fldChar w:fldCharType="separate"/>
      </w:r>
      <w:r>
        <w:rPr>
          <w:sz w:val="28"/>
          <w:szCs w:val="32"/>
        </w:rPr>
        <w:t>72</w:t>
      </w:r>
      <w:r>
        <w:rPr>
          <w:sz w:val="28"/>
          <w:szCs w:val="32"/>
        </w:rPr>
        <w:fldChar w:fldCharType="end"/>
      </w:r>
    </w:p>
    <w:p w14:paraId="416A279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color w:val="000000"/>
          <w:sz w:val="36"/>
          <w:szCs w:val="36"/>
        </w:rPr>
      </w:pPr>
      <w:r>
        <w:rPr>
          <w:rFonts w:hint="eastAsia" w:ascii="仿宋" w:hAnsi="仿宋" w:eastAsia="仿宋" w:cs="仿宋"/>
          <w:bCs/>
          <w:color w:val="000000"/>
          <w:sz w:val="28"/>
          <w:szCs w:val="36"/>
        </w:rPr>
        <w:fldChar w:fldCharType="end"/>
      </w:r>
    </w:p>
    <w:p w14:paraId="269B1AEA">
      <w:pPr>
        <w:rPr>
          <w:rFonts w:hint="eastAsia" w:ascii="仿宋" w:hAnsi="仿宋" w:eastAsia="仿宋" w:cs="仿宋"/>
        </w:rPr>
      </w:pPr>
      <w:r>
        <w:rPr>
          <w:rFonts w:hint="eastAsia" w:ascii="仿宋" w:hAnsi="仿宋" w:eastAsia="仿宋" w:cs="仿宋"/>
          <w:color w:val="000000"/>
          <w:sz w:val="28"/>
        </w:rPr>
        <w:br w:type="page" w:clear="all"/>
      </w:r>
    </w:p>
    <w:p w14:paraId="24B7D153">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rPr>
      </w:pPr>
      <w:bookmarkStart w:id="4" w:name="_Toc8801"/>
      <w:r>
        <w:rPr>
          <w:rFonts w:hint="eastAsia" w:ascii="仿宋" w:hAnsi="仿宋" w:eastAsia="仿宋" w:cs="仿宋"/>
          <w:sz w:val="36"/>
          <w:szCs w:val="36"/>
        </w:rPr>
        <w:t xml:space="preserve">第一章 </w:t>
      </w:r>
      <w:bookmarkEnd w:id="0"/>
      <w:r>
        <w:rPr>
          <w:rFonts w:hint="eastAsia" w:ascii="仿宋" w:hAnsi="仿宋" w:eastAsia="仿宋" w:cs="仿宋"/>
          <w:sz w:val="36"/>
          <w:szCs w:val="36"/>
        </w:rPr>
        <w:t>参加征集活动的邀请</w:t>
      </w:r>
      <w:bookmarkEnd w:id="4"/>
    </w:p>
    <w:p w14:paraId="4630EF5A">
      <w:pPr>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lang w:eastAsia="zh-CN"/>
        </w:rPr>
        <w:t>江苏领界科技有限公司</w:t>
      </w:r>
      <w:r>
        <w:rPr>
          <w:rFonts w:hint="eastAsia" w:ascii="仿宋" w:hAnsi="仿宋" w:eastAsia="仿宋" w:cs="仿宋"/>
          <w:sz w:val="24"/>
          <w:szCs w:val="24"/>
        </w:rPr>
        <w:t>受</w:t>
      </w:r>
      <w:r>
        <w:rPr>
          <w:rFonts w:hint="eastAsia" w:ascii="仿宋" w:hAnsi="仿宋" w:eastAsia="仿宋" w:cs="仿宋"/>
          <w:sz w:val="24"/>
          <w:szCs w:val="24"/>
          <w:lang w:eastAsia="zh-CN"/>
        </w:rPr>
        <w:t>南京市高淳区残疾人联合会</w:t>
      </w:r>
      <w:r>
        <w:rPr>
          <w:rFonts w:hint="eastAsia" w:ascii="仿宋" w:hAnsi="仿宋" w:eastAsia="仿宋" w:cs="仿宋"/>
          <w:sz w:val="24"/>
          <w:szCs w:val="24"/>
        </w:rPr>
        <w:t>的委托，现就2026-2027年南京市</w:t>
      </w:r>
      <w:r>
        <w:rPr>
          <w:rFonts w:hint="eastAsia" w:ascii="仿宋" w:hAnsi="仿宋" w:eastAsia="仿宋" w:cs="仿宋"/>
          <w:sz w:val="24"/>
          <w:szCs w:val="24"/>
          <w:lang w:eastAsia="zh-CN"/>
        </w:rPr>
        <w:t>高淳区</w:t>
      </w:r>
      <w:r>
        <w:rPr>
          <w:rFonts w:hint="eastAsia" w:ascii="仿宋" w:hAnsi="仿宋" w:eastAsia="仿宋" w:cs="仿宋"/>
          <w:sz w:val="24"/>
          <w:szCs w:val="24"/>
        </w:rPr>
        <w:t>残疾儿童基本康复服务框架协议采购项目征集供应商，欢迎符合条件的供应商参加本次</w:t>
      </w:r>
      <w:r>
        <w:rPr>
          <w:rFonts w:hint="eastAsia" w:ascii="仿宋" w:hAnsi="仿宋" w:eastAsia="仿宋" w:cs="仿宋"/>
          <w:sz w:val="24"/>
          <w:szCs w:val="24"/>
          <w:lang w:val="en-US" w:eastAsia="zh-CN"/>
        </w:rPr>
        <w:t>封闭式</w:t>
      </w:r>
      <w:r>
        <w:rPr>
          <w:rFonts w:hint="eastAsia" w:ascii="仿宋" w:hAnsi="仿宋" w:eastAsia="仿宋" w:cs="仿宋"/>
          <w:sz w:val="24"/>
          <w:szCs w:val="24"/>
        </w:rPr>
        <w:t>框架协议采购活动。</w:t>
      </w:r>
    </w:p>
    <w:p w14:paraId="7E85A938">
      <w:pPr>
        <w:bidi w:val="0"/>
        <w:rPr>
          <w:rFonts w:hint="eastAsia" w:ascii="仿宋" w:hAnsi="仿宋" w:eastAsia="仿宋" w:cs="仿宋"/>
          <w:b/>
          <w:bCs/>
          <w:sz w:val="24"/>
          <w:szCs w:val="28"/>
        </w:rPr>
      </w:pPr>
      <w:bookmarkStart w:id="5" w:name="_Toc35393621"/>
      <w:bookmarkStart w:id="6" w:name="_Toc38985263"/>
      <w:bookmarkStart w:id="7" w:name="_Toc28359079"/>
      <w:bookmarkStart w:id="8" w:name="_Toc35393790"/>
      <w:bookmarkStart w:id="9" w:name="_Toc28359002"/>
      <w:bookmarkStart w:id="10" w:name="_Hlk24379207"/>
      <w:r>
        <w:rPr>
          <w:rFonts w:hint="eastAsia" w:ascii="仿宋" w:hAnsi="仿宋" w:eastAsia="仿宋" w:cs="仿宋"/>
          <w:b/>
          <w:bCs/>
          <w:sz w:val="24"/>
          <w:szCs w:val="28"/>
        </w:rPr>
        <w:t>一、项目基本情况</w:t>
      </w:r>
      <w:bookmarkEnd w:id="5"/>
      <w:bookmarkEnd w:id="6"/>
      <w:bookmarkEnd w:id="7"/>
      <w:bookmarkEnd w:id="8"/>
      <w:bookmarkEnd w:id="9"/>
      <w:bookmarkEnd w:id="10"/>
    </w:p>
    <w:p w14:paraId="208D2C47">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highlight w:val="none"/>
          <w:lang w:val="en-US" w:eastAsia="zh-CN"/>
        </w:rPr>
      </w:pPr>
      <w:bookmarkStart w:id="11" w:name="_Toc28359080"/>
      <w:bookmarkStart w:id="12" w:name="_Toc35393791"/>
      <w:bookmarkStart w:id="13" w:name="_Toc38985264"/>
      <w:bookmarkStart w:id="14" w:name="_Toc35393622"/>
      <w:bookmarkStart w:id="15" w:name="_Toc28359003"/>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lang w:eastAsia="zh-CN"/>
        </w:rPr>
        <w:t>JSZC-320118-LJKJ-K2025-0005</w:t>
      </w:r>
    </w:p>
    <w:p w14:paraId="5170B08F">
      <w:pPr>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2.项目名称：2026-2027年南京市</w:t>
      </w:r>
      <w:r>
        <w:rPr>
          <w:rFonts w:hint="eastAsia" w:ascii="仿宋" w:hAnsi="仿宋" w:eastAsia="仿宋" w:cs="仿宋"/>
          <w:sz w:val="24"/>
          <w:szCs w:val="24"/>
          <w:highlight w:val="none"/>
          <w:lang w:eastAsia="zh-CN"/>
        </w:rPr>
        <w:t>高淳区</w:t>
      </w:r>
      <w:r>
        <w:rPr>
          <w:rFonts w:hint="eastAsia" w:ascii="仿宋" w:hAnsi="仿宋" w:eastAsia="仿宋" w:cs="仿宋"/>
          <w:sz w:val="24"/>
          <w:szCs w:val="24"/>
          <w:highlight w:val="none"/>
        </w:rPr>
        <w:t>残疾儿童基本康复服务框架协议采购项目</w:t>
      </w:r>
    </w:p>
    <w:p w14:paraId="0BED587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rPr>
        <w:t>3.</w:t>
      </w:r>
      <w:r>
        <w:rPr>
          <w:rFonts w:hint="eastAsia" w:ascii="仿宋" w:hAnsi="仿宋" w:eastAsia="仿宋" w:cs="仿宋"/>
          <w:color w:val="000000"/>
          <w:sz w:val="24"/>
          <w:szCs w:val="24"/>
          <w:highlight w:val="none"/>
        </w:rPr>
        <w:t>预算金额：预算金额</w:t>
      </w:r>
      <w:r>
        <w:rPr>
          <w:rFonts w:hint="eastAsia" w:ascii="仿宋" w:hAnsi="仿宋" w:eastAsia="仿宋" w:cs="仿宋"/>
          <w:color w:val="000000"/>
          <w:sz w:val="24"/>
          <w:szCs w:val="24"/>
          <w:highlight w:val="none"/>
          <w:lang w:val="en-US" w:eastAsia="zh-CN"/>
        </w:rPr>
        <w:t>398</w:t>
      </w:r>
      <w:r>
        <w:rPr>
          <w:rFonts w:hint="eastAsia" w:ascii="仿宋" w:hAnsi="仿宋" w:eastAsia="仿宋" w:cs="仿宋"/>
          <w:color w:val="000000"/>
          <w:sz w:val="24"/>
          <w:szCs w:val="24"/>
          <w:highlight w:val="none"/>
        </w:rPr>
        <w:t>万元</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rPr>
        <w:t>。</w:t>
      </w:r>
    </w:p>
    <w:p w14:paraId="12A201B0">
      <w:pPr>
        <w:ind w:firstLine="480"/>
        <w:rPr>
          <w:rFonts w:hint="eastAsia" w:ascii="仿宋" w:hAnsi="仿宋" w:eastAsia="仿宋" w:cs="仿宋"/>
          <w:sz w:val="24"/>
          <w:szCs w:val="24"/>
        </w:rPr>
      </w:pPr>
      <w:r>
        <w:rPr>
          <w:rFonts w:hint="eastAsia" w:ascii="仿宋" w:hAnsi="仿宋" w:eastAsia="仿宋" w:cs="仿宋"/>
          <w:sz w:val="24"/>
          <w:szCs w:val="24"/>
        </w:rPr>
        <w:t>本项目分设五个分包，供应商可根据自身情况选择一个或几个采购包参与，可兼投</w:t>
      </w:r>
      <w:r>
        <w:rPr>
          <w:rFonts w:hint="eastAsia" w:ascii="仿宋" w:hAnsi="仿宋" w:eastAsia="仿宋" w:cs="仿宋"/>
          <w:sz w:val="24"/>
          <w:szCs w:val="24"/>
          <w:lang w:val="en-US" w:eastAsia="zh-CN"/>
        </w:rPr>
        <w:t>和</w:t>
      </w:r>
      <w:r>
        <w:rPr>
          <w:rFonts w:hint="eastAsia" w:ascii="仿宋" w:hAnsi="仿宋" w:eastAsia="仿宋" w:cs="仿宋"/>
          <w:sz w:val="24"/>
          <w:szCs w:val="24"/>
        </w:rPr>
        <w:t>兼中。</w:t>
      </w:r>
    </w:p>
    <w:p w14:paraId="4407A57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供应商可兼投和兼中。</w:t>
      </w:r>
    </w:p>
    <w:p w14:paraId="3167068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分包一：</w:t>
      </w:r>
      <w:r>
        <w:rPr>
          <w:rFonts w:hint="eastAsia" w:ascii="仿宋" w:hAnsi="仿宋" w:eastAsia="仿宋" w:cs="仿宋"/>
          <w:color w:val="000000"/>
          <w:sz w:val="24"/>
          <w:szCs w:val="24"/>
          <w:highlight w:val="none"/>
        </w:rPr>
        <w:t>视力康复服务机构</w:t>
      </w:r>
      <w:r>
        <w:rPr>
          <w:rFonts w:hint="eastAsia" w:ascii="仿宋" w:hAnsi="仿宋" w:eastAsia="仿宋" w:cs="仿宋"/>
          <w:color w:val="000000"/>
          <w:sz w:val="24"/>
          <w:szCs w:val="24"/>
          <w:highlight w:val="none"/>
          <w:lang w:eastAsia="zh-CN"/>
        </w:rPr>
        <w:t>；</w:t>
      </w:r>
    </w:p>
    <w:p w14:paraId="778BC4E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分包二：</w:t>
      </w:r>
      <w:r>
        <w:rPr>
          <w:rFonts w:hint="eastAsia" w:ascii="仿宋" w:hAnsi="仿宋" w:eastAsia="仿宋" w:cs="仿宋"/>
          <w:color w:val="000000"/>
          <w:sz w:val="24"/>
          <w:szCs w:val="24"/>
          <w:highlight w:val="none"/>
        </w:rPr>
        <w:t>听力语言康复服务机构</w:t>
      </w:r>
      <w:r>
        <w:rPr>
          <w:rFonts w:hint="eastAsia" w:ascii="仿宋" w:hAnsi="仿宋" w:eastAsia="仿宋" w:cs="仿宋"/>
          <w:color w:val="000000"/>
          <w:sz w:val="24"/>
          <w:szCs w:val="24"/>
          <w:highlight w:val="none"/>
          <w:lang w:eastAsia="zh-CN"/>
        </w:rPr>
        <w:t>；</w:t>
      </w:r>
    </w:p>
    <w:p w14:paraId="1E6130A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分包三：</w:t>
      </w:r>
      <w:r>
        <w:rPr>
          <w:rFonts w:hint="eastAsia" w:ascii="仿宋" w:hAnsi="仿宋" w:eastAsia="仿宋" w:cs="仿宋"/>
          <w:color w:val="000000"/>
          <w:sz w:val="24"/>
          <w:szCs w:val="24"/>
          <w:highlight w:val="none"/>
        </w:rPr>
        <w:t>肢体康复服务机构</w:t>
      </w:r>
      <w:r>
        <w:rPr>
          <w:rFonts w:hint="eastAsia" w:ascii="仿宋" w:hAnsi="仿宋" w:eastAsia="仿宋" w:cs="仿宋"/>
          <w:color w:val="000000"/>
          <w:sz w:val="24"/>
          <w:szCs w:val="24"/>
          <w:highlight w:val="none"/>
          <w:lang w:eastAsia="zh-CN"/>
        </w:rPr>
        <w:t>；</w:t>
      </w:r>
    </w:p>
    <w:p w14:paraId="7F8F308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分包四：</w:t>
      </w:r>
      <w:r>
        <w:rPr>
          <w:rFonts w:hint="eastAsia" w:ascii="仿宋" w:hAnsi="仿宋" w:eastAsia="仿宋" w:cs="仿宋"/>
          <w:color w:val="000000"/>
          <w:sz w:val="24"/>
          <w:szCs w:val="24"/>
          <w:highlight w:val="none"/>
        </w:rPr>
        <w:t>智力康复服务机构</w:t>
      </w:r>
      <w:r>
        <w:rPr>
          <w:rFonts w:hint="eastAsia" w:ascii="仿宋" w:hAnsi="仿宋" w:eastAsia="仿宋" w:cs="仿宋"/>
          <w:color w:val="000000"/>
          <w:sz w:val="24"/>
          <w:szCs w:val="24"/>
          <w:highlight w:val="none"/>
          <w:lang w:eastAsia="zh-CN"/>
        </w:rPr>
        <w:t>；</w:t>
      </w:r>
    </w:p>
    <w:p w14:paraId="2E517D4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分包五：</w:t>
      </w:r>
      <w:r>
        <w:rPr>
          <w:rFonts w:hint="eastAsia" w:ascii="仿宋" w:hAnsi="仿宋" w:eastAsia="仿宋" w:cs="仿宋"/>
          <w:color w:val="000000"/>
          <w:sz w:val="24"/>
          <w:szCs w:val="24"/>
          <w:highlight w:val="none"/>
        </w:rPr>
        <w:t>孤独症康复服务机构</w:t>
      </w:r>
      <w:r>
        <w:rPr>
          <w:rFonts w:hint="eastAsia" w:ascii="仿宋" w:hAnsi="仿宋" w:eastAsia="仿宋" w:cs="仿宋"/>
          <w:color w:val="000000"/>
          <w:sz w:val="24"/>
          <w:szCs w:val="24"/>
          <w:highlight w:val="none"/>
          <w:lang w:eastAsia="zh-CN"/>
        </w:rPr>
        <w:t>。</w:t>
      </w:r>
    </w:p>
    <w:p w14:paraId="22625F77">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4.本项目最高单价限制依据：按照《关于调整南京市残疾儿童基本康复服务救助标准和结算方式的通知》（宁残字〔2024〕20号）文件规定的救助标准执行：</w:t>
      </w:r>
    </w:p>
    <w:p w14:paraId="25773B19">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全日制：</w:t>
      </w:r>
    </w:p>
    <w:p w14:paraId="2AE4631C">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（1）0-6周岁残疾儿童</w:t>
      </w:r>
    </w:p>
    <w:tbl>
      <w:tblPr>
        <w:tblStyle w:val="40"/>
        <w:tblW w:w="8840" w:type="dxa"/>
        <w:tblInd w:w="-108" w:type="dxa"/>
        <w:tblLayout w:type="autofit"/>
        <w:tblCellMar>
          <w:top w:w="0" w:type="dxa"/>
          <w:left w:w="108" w:type="dxa"/>
          <w:bottom w:w="0" w:type="dxa"/>
          <w:right w:w="108" w:type="dxa"/>
        </w:tblCellMar>
      </w:tblPr>
      <w:tblGrid>
        <w:gridCol w:w="1880"/>
        <w:gridCol w:w="3790"/>
        <w:gridCol w:w="3170"/>
      </w:tblGrid>
      <w:tr w14:paraId="169EB02D">
        <w:tblPrEx>
          <w:tblCellMar>
            <w:top w:w="0" w:type="dxa"/>
            <w:left w:w="108" w:type="dxa"/>
            <w:bottom w:w="0" w:type="dxa"/>
            <w:right w:w="108" w:type="dxa"/>
          </w:tblCellMar>
        </w:tblPrEx>
        <w:trPr>
          <w:trHeight w:val="468" w:hRule="atLeast"/>
        </w:trPr>
        <w:tc>
          <w:tcPr>
            <w:tcW w:w="18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A099BD3">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残疾类别</w:t>
            </w:r>
          </w:p>
        </w:tc>
        <w:tc>
          <w:tcPr>
            <w:tcW w:w="6960" w:type="dxa"/>
            <w:gridSpan w:val="2"/>
            <w:tcBorders>
              <w:top w:val="single" w:color="000000" w:sz="8" w:space="0"/>
              <w:left w:val="nil"/>
              <w:bottom w:val="single" w:color="000000" w:sz="8" w:space="0"/>
              <w:right w:val="single" w:color="000000" w:sz="8" w:space="0"/>
            </w:tcBorders>
            <w:noWrap w:val="0"/>
            <w:vAlign w:val="center"/>
          </w:tcPr>
          <w:p w14:paraId="5F36CE8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标准（万元/人·年）</w:t>
            </w:r>
          </w:p>
        </w:tc>
      </w:tr>
      <w:tr w14:paraId="4FC78DB8">
        <w:tblPrEx>
          <w:tblCellMar>
            <w:top w:w="0" w:type="dxa"/>
            <w:left w:w="108" w:type="dxa"/>
            <w:bottom w:w="0" w:type="dxa"/>
            <w:right w:w="108" w:type="dxa"/>
          </w:tblCellMar>
        </w:tblPrEx>
        <w:trPr>
          <w:trHeight w:val="360" w:hRule="atLeast"/>
        </w:trPr>
        <w:tc>
          <w:tcPr>
            <w:tcW w:w="18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A962A1">
            <w:pPr>
              <w:bidi w:val="0"/>
              <w:jc w:val="center"/>
              <w:rPr>
                <w:rFonts w:hint="eastAsia" w:ascii="仿宋" w:hAnsi="仿宋" w:eastAsia="仿宋" w:cs="仿宋"/>
                <w:sz w:val="24"/>
                <w:szCs w:val="24"/>
                <w:lang w:val="en-US" w:eastAsia="zh-CN"/>
              </w:rPr>
            </w:pPr>
          </w:p>
        </w:tc>
        <w:tc>
          <w:tcPr>
            <w:tcW w:w="3790" w:type="dxa"/>
            <w:tcBorders>
              <w:top w:val="nil"/>
              <w:left w:val="nil"/>
              <w:bottom w:val="single" w:color="000000" w:sz="8" w:space="0"/>
              <w:right w:val="single" w:color="000000" w:sz="8" w:space="0"/>
            </w:tcBorders>
            <w:noWrap w:val="0"/>
            <w:vAlign w:val="center"/>
          </w:tcPr>
          <w:p w14:paraId="4CD07838">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困难残疾儿童</w:t>
            </w:r>
          </w:p>
        </w:tc>
        <w:tc>
          <w:tcPr>
            <w:tcW w:w="3170" w:type="dxa"/>
            <w:tcBorders>
              <w:top w:val="nil"/>
              <w:left w:val="nil"/>
              <w:bottom w:val="single" w:color="000000" w:sz="8" w:space="0"/>
              <w:right w:val="single" w:color="000000" w:sz="8" w:space="0"/>
            </w:tcBorders>
            <w:noWrap w:val="0"/>
            <w:vAlign w:val="center"/>
          </w:tcPr>
          <w:p w14:paraId="27181688">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其他残疾儿童</w:t>
            </w:r>
          </w:p>
        </w:tc>
      </w:tr>
      <w:tr w14:paraId="3562584D">
        <w:tblPrEx>
          <w:tblCellMar>
            <w:top w:w="0" w:type="dxa"/>
            <w:left w:w="108" w:type="dxa"/>
            <w:bottom w:w="0" w:type="dxa"/>
            <w:right w:w="108" w:type="dxa"/>
          </w:tblCellMar>
        </w:tblPrEx>
        <w:trPr>
          <w:trHeight w:val="360" w:hRule="atLeast"/>
        </w:trPr>
        <w:tc>
          <w:tcPr>
            <w:tcW w:w="1880" w:type="dxa"/>
            <w:tcBorders>
              <w:top w:val="nil"/>
              <w:left w:val="single" w:color="000000" w:sz="8" w:space="0"/>
              <w:bottom w:val="single" w:color="000000" w:sz="8" w:space="0"/>
              <w:right w:val="single" w:color="000000" w:sz="8" w:space="0"/>
            </w:tcBorders>
            <w:noWrap w:val="0"/>
            <w:vAlign w:val="center"/>
          </w:tcPr>
          <w:p w14:paraId="12DE9A17">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视力</w:t>
            </w:r>
          </w:p>
        </w:tc>
        <w:tc>
          <w:tcPr>
            <w:tcW w:w="3790" w:type="dxa"/>
            <w:tcBorders>
              <w:top w:val="nil"/>
              <w:left w:val="nil"/>
              <w:bottom w:val="single" w:color="000000" w:sz="8" w:space="0"/>
              <w:right w:val="single" w:color="000000" w:sz="8" w:space="0"/>
            </w:tcBorders>
            <w:noWrap w:val="0"/>
            <w:vAlign w:val="center"/>
          </w:tcPr>
          <w:p w14:paraId="0214363F">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0.82</w:t>
            </w:r>
          </w:p>
        </w:tc>
        <w:tc>
          <w:tcPr>
            <w:tcW w:w="3170" w:type="dxa"/>
            <w:tcBorders>
              <w:top w:val="nil"/>
              <w:left w:val="nil"/>
              <w:bottom w:val="single" w:color="000000" w:sz="8" w:space="0"/>
              <w:right w:val="single" w:color="000000" w:sz="8" w:space="0"/>
            </w:tcBorders>
            <w:noWrap w:val="0"/>
            <w:vAlign w:val="center"/>
          </w:tcPr>
          <w:p w14:paraId="32F455F7">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0.82</w:t>
            </w:r>
          </w:p>
        </w:tc>
      </w:tr>
      <w:tr w14:paraId="11F2D763">
        <w:tblPrEx>
          <w:tblCellMar>
            <w:top w:w="0" w:type="dxa"/>
            <w:left w:w="108" w:type="dxa"/>
            <w:bottom w:w="0" w:type="dxa"/>
            <w:right w:w="108" w:type="dxa"/>
          </w:tblCellMar>
        </w:tblPrEx>
        <w:trPr>
          <w:trHeight w:val="360" w:hRule="atLeast"/>
        </w:trPr>
        <w:tc>
          <w:tcPr>
            <w:tcW w:w="1880" w:type="dxa"/>
            <w:tcBorders>
              <w:top w:val="nil"/>
              <w:left w:val="single" w:color="000000" w:sz="8" w:space="0"/>
              <w:bottom w:val="single" w:color="000000" w:sz="8" w:space="0"/>
              <w:right w:val="single" w:color="000000" w:sz="8" w:space="0"/>
            </w:tcBorders>
            <w:noWrap w:val="0"/>
            <w:vAlign w:val="center"/>
          </w:tcPr>
          <w:p w14:paraId="76AD231D">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听力语言</w:t>
            </w:r>
          </w:p>
        </w:tc>
        <w:tc>
          <w:tcPr>
            <w:tcW w:w="3790" w:type="dxa"/>
            <w:tcBorders>
              <w:top w:val="nil"/>
              <w:left w:val="nil"/>
              <w:bottom w:val="single" w:color="000000" w:sz="8" w:space="0"/>
              <w:right w:val="single" w:color="000000" w:sz="8" w:space="0"/>
            </w:tcBorders>
            <w:noWrap w:val="0"/>
            <w:vAlign w:val="center"/>
          </w:tcPr>
          <w:p w14:paraId="06E6020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170" w:type="dxa"/>
            <w:tcBorders>
              <w:top w:val="nil"/>
              <w:left w:val="nil"/>
              <w:bottom w:val="single" w:color="000000" w:sz="8" w:space="0"/>
              <w:right w:val="single" w:color="000000" w:sz="8" w:space="0"/>
            </w:tcBorders>
            <w:noWrap w:val="0"/>
            <w:vAlign w:val="center"/>
          </w:tcPr>
          <w:p w14:paraId="63253933">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2.05</w:t>
            </w:r>
          </w:p>
        </w:tc>
      </w:tr>
      <w:tr w14:paraId="1840F1F4">
        <w:tblPrEx>
          <w:tblCellMar>
            <w:top w:w="0" w:type="dxa"/>
            <w:left w:w="108" w:type="dxa"/>
            <w:bottom w:w="0" w:type="dxa"/>
            <w:right w:w="108" w:type="dxa"/>
          </w:tblCellMar>
        </w:tblPrEx>
        <w:trPr>
          <w:trHeight w:val="90" w:hRule="atLeast"/>
        </w:trPr>
        <w:tc>
          <w:tcPr>
            <w:tcW w:w="1880" w:type="dxa"/>
            <w:tcBorders>
              <w:top w:val="nil"/>
              <w:left w:val="single" w:color="000000" w:sz="8" w:space="0"/>
              <w:bottom w:val="single" w:color="000000" w:sz="8" w:space="0"/>
              <w:right w:val="single" w:color="000000" w:sz="8" w:space="0"/>
            </w:tcBorders>
            <w:noWrap w:val="0"/>
            <w:vAlign w:val="center"/>
          </w:tcPr>
          <w:p w14:paraId="7BCF209D">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智力</w:t>
            </w:r>
          </w:p>
        </w:tc>
        <w:tc>
          <w:tcPr>
            <w:tcW w:w="3790" w:type="dxa"/>
            <w:tcBorders>
              <w:top w:val="nil"/>
              <w:left w:val="nil"/>
              <w:bottom w:val="single" w:color="000000" w:sz="8" w:space="0"/>
              <w:right w:val="single" w:color="000000" w:sz="8" w:space="0"/>
            </w:tcBorders>
            <w:noWrap w:val="0"/>
            <w:vAlign w:val="center"/>
          </w:tcPr>
          <w:p w14:paraId="0B836E95">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170" w:type="dxa"/>
            <w:tcBorders>
              <w:top w:val="nil"/>
              <w:left w:val="nil"/>
              <w:bottom w:val="single" w:color="000000" w:sz="8" w:space="0"/>
              <w:right w:val="single" w:color="000000" w:sz="8" w:space="0"/>
            </w:tcBorders>
            <w:noWrap w:val="0"/>
            <w:vAlign w:val="center"/>
          </w:tcPr>
          <w:p w14:paraId="7690CB3E">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2.05</w:t>
            </w:r>
          </w:p>
        </w:tc>
      </w:tr>
      <w:tr w14:paraId="13475459">
        <w:tblPrEx>
          <w:tblCellMar>
            <w:top w:w="0" w:type="dxa"/>
            <w:left w:w="108" w:type="dxa"/>
            <w:bottom w:w="0" w:type="dxa"/>
            <w:right w:w="108" w:type="dxa"/>
          </w:tblCellMar>
        </w:tblPrEx>
        <w:trPr>
          <w:trHeight w:val="37" w:hRule="atLeast"/>
        </w:trPr>
        <w:tc>
          <w:tcPr>
            <w:tcW w:w="1880" w:type="dxa"/>
            <w:tcBorders>
              <w:top w:val="nil"/>
              <w:left w:val="single" w:color="000000" w:sz="8" w:space="0"/>
              <w:bottom w:val="single" w:color="000000" w:sz="8" w:space="0"/>
              <w:right w:val="single" w:color="000000" w:sz="8" w:space="0"/>
            </w:tcBorders>
            <w:noWrap w:val="0"/>
            <w:vAlign w:val="center"/>
          </w:tcPr>
          <w:p w14:paraId="05DD4B1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肢体</w:t>
            </w:r>
          </w:p>
        </w:tc>
        <w:tc>
          <w:tcPr>
            <w:tcW w:w="3790" w:type="dxa"/>
            <w:tcBorders>
              <w:top w:val="nil"/>
              <w:left w:val="nil"/>
              <w:bottom w:val="single" w:color="000000" w:sz="8" w:space="0"/>
              <w:right w:val="single" w:color="000000" w:sz="8" w:space="0"/>
            </w:tcBorders>
            <w:noWrap w:val="0"/>
            <w:vAlign w:val="center"/>
          </w:tcPr>
          <w:p w14:paraId="120677D2">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170" w:type="dxa"/>
            <w:tcBorders>
              <w:top w:val="nil"/>
              <w:left w:val="nil"/>
              <w:bottom w:val="single" w:color="000000" w:sz="8" w:space="0"/>
              <w:right w:val="single" w:color="000000" w:sz="8" w:space="0"/>
            </w:tcBorders>
            <w:noWrap w:val="0"/>
            <w:vAlign w:val="center"/>
          </w:tcPr>
          <w:p w14:paraId="7A7F4F47">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r>
      <w:tr w14:paraId="4B7F4A2C">
        <w:tblPrEx>
          <w:tblCellMar>
            <w:top w:w="0" w:type="dxa"/>
            <w:left w:w="108" w:type="dxa"/>
            <w:bottom w:w="0" w:type="dxa"/>
            <w:right w:w="108" w:type="dxa"/>
          </w:tblCellMar>
        </w:tblPrEx>
        <w:trPr>
          <w:trHeight w:val="360" w:hRule="atLeast"/>
        </w:trPr>
        <w:tc>
          <w:tcPr>
            <w:tcW w:w="1880" w:type="dxa"/>
            <w:tcBorders>
              <w:top w:val="nil"/>
              <w:left w:val="single" w:color="000000" w:sz="8" w:space="0"/>
              <w:bottom w:val="single" w:color="000000" w:sz="8" w:space="0"/>
              <w:right w:val="single" w:color="000000" w:sz="8" w:space="0"/>
            </w:tcBorders>
            <w:noWrap w:val="0"/>
            <w:vAlign w:val="center"/>
          </w:tcPr>
          <w:p w14:paraId="4D3CD501">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孤独症</w:t>
            </w:r>
          </w:p>
        </w:tc>
        <w:tc>
          <w:tcPr>
            <w:tcW w:w="3790" w:type="dxa"/>
            <w:tcBorders>
              <w:top w:val="nil"/>
              <w:left w:val="nil"/>
              <w:bottom w:val="single" w:color="000000" w:sz="8" w:space="0"/>
              <w:right w:val="single" w:color="000000" w:sz="8" w:space="0"/>
            </w:tcBorders>
            <w:noWrap w:val="0"/>
            <w:vAlign w:val="center"/>
          </w:tcPr>
          <w:p w14:paraId="6C1AD599">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170" w:type="dxa"/>
            <w:tcBorders>
              <w:top w:val="nil"/>
              <w:left w:val="nil"/>
              <w:bottom w:val="single" w:color="000000" w:sz="8" w:space="0"/>
              <w:right w:val="single" w:color="000000" w:sz="8" w:space="0"/>
            </w:tcBorders>
            <w:noWrap w:val="0"/>
            <w:vAlign w:val="center"/>
          </w:tcPr>
          <w:p w14:paraId="59ECFD74">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r>
      <w:tr w14:paraId="00700A00">
        <w:tblPrEx>
          <w:tblCellMar>
            <w:top w:w="0" w:type="dxa"/>
            <w:left w:w="108" w:type="dxa"/>
            <w:bottom w:w="0" w:type="dxa"/>
            <w:right w:w="108" w:type="dxa"/>
          </w:tblCellMar>
        </w:tblPrEx>
        <w:trPr>
          <w:trHeight w:val="360" w:hRule="atLeast"/>
        </w:trPr>
        <w:tc>
          <w:tcPr>
            <w:tcW w:w="1880" w:type="dxa"/>
            <w:tcBorders>
              <w:top w:val="nil"/>
              <w:left w:val="single" w:color="000000" w:sz="8" w:space="0"/>
              <w:bottom w:val="single" w:color="000000" w:sz="8" w:space="0"/>
              <w:right w:val="single" w:color="000000" w:sz="8" w:space="0"/>
            </w:tcBorders>
            <w:noWrap w:val="0"/>
            <w:vAlign w:val="center"/>
          </w:tcPr>
          <w:p w14:paraId="11D78D2C">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多重</w:t>
            </w:r>
          </w:p>
        </w:tc>
        <w:tc>
          <w:tcPr>
            <w:tcW w:w="3790" w:type="dxa"/>
            <w:tcBorders>
              <w:top w:val="nil"/>
              <w:left w:val="nil"/>
              <w:bottom w:val="single" w:color="000000" w:sz="8" w:space="0"/>
              <w:right w:val="single" w:color="000000" w:sz="8" w:space="0"/>
            </w:tcBorders>
            <w:noWrap w:val="0"/>
            <w:vAlign w:val="center"/>
          </w:tcPr>
          <w:p w14:paraId="412DD0A4">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3170" w:type="dxa"/>
            <w:tcBorders>
              <w:top w:val="nil"/>
              <w:left w:val="nil"/>
              <w:bottom w:val="single" w:color="000000" w:sz="8" w:space="0"/>
              <w:right w:val="single" w:color="000000" w:sz="8" w:space="0"/>
            </w:tcBorders>
            <w:noWrap w:val="0"/>
            <w:vAlign w:val="center"/>
          </w:tcPr>
          <w:p w14:paraId="5C7178A5">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r>
    </w:tbl>
    <w:p w14:paraId="0C17E983">
      <w:pPr>
        <w:bidi w:val="0"/>
        <w:rPr>
          <w:rFonts w:hint="eastAsia" w:ascii="仿宋" w:hAnsi="仿宋" w:eastAsia="仿宋" w:cs="仿宋"/>
          <w:lang w:val="en-US" w:eastAsia="zh-CN"/>
        </w:rPr>
      </w:pPr>
    </w:p>
    <w:p w14:paraId="3BF0F334">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（2）7-17周岁视力、听力语言、肢体、智力残疾和孤独症儿童以0-6周岁同类康复项目标准的85%执行。</w:t>
      </w:r>
    </w:p>
    <w:p w14:paraId="38163BCF">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非全日制：非全日制康复救助标准为全日制康复救助标准的90%。</w:t>
      </w:r>
    </w:p>
    <w:p w14:paraId="0BE75DF5">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w:t>
      </w:r>
      <w:r>
        <w:rPr>
          <w:rFonts w:hint="eastAsia" w:ascii="仿宋" w:hAnsi="仿宋" w:eastAsia="仿宋" w:cs="仿宋"/>
          <w:sz w:val="24"/>
          <w:szCs w:val="24"/>
          <w:u w:val="none"/>
          <w:lang w:val="en-US" w:eastAsia="zh-CN"/>
        </w:rPr>
        <w:t>框架协议期内，如出台新政策，则按最新政策执行。</w:t>
      </w:r>
    </w:p>
    <w:p w14:paraId="6A9D8A11">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5.适用本</w:t>
      </w:r>
      <w:r>
        <w:rPr>
          <w:rFonts w:hint="eastAsia" w:ascii="仿宋" w:hAnsi="仿宋" w:eastAsia="仿宋" w:cs="仿宋"/>
          <w:sz w:val="24"/>
          <w:szCs w:val="24"/>
          <w:highlight w:val="none"/>
          <w:lang w:val="en-US" w:eastAsia="zh-CN"/>
        </w:rPr>
        <w:t>次框架协议的征集人或服务对象范围：详见第四章采购需求。</w:t>
      </w:r>
    </w:p>
    <w:p w14:paraId="7819C553">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b/>
          <w:bCs/>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6.框架协议的期限：</w:t>
      </w:r>
      <w:r>
        <w:rPr>
          <w:rFonts w:hint="eastAsia" w:ascii="仿宋" w:hAnsi="仿宋" w:eastAsia="仿宋" w:cs="仿宋"/>
          <w:b/>
          <w:bCs/>
          <w:sz w:val="24"/>
          <w:szCs w:val="24"/>
          <w:highlight w:val="none"/>
          <w:u w:val="single"/>
          <w:lang w:val="en-US" w:eastAsia="zh-CN"/>
        </w:rPr>
        <w:t>两年，2026年1月1日至2027年12月31日。</w:t>
      </w:r>
    </w:p>
    <w:p w14:paraId="43F994F0">
      <w:pPr>
        <w:keepNext w:val="0"/>
        <w:keepLines w:val="0"/>
        <w:pageBreakBefore w:val="0"/>
        <w:kinsoku/>
        <w:wordWrap/>
        <w:overflowPunct/>
        <w:topLinePunct w:val="0"/>
        <w:autoSpaceDE/>
        <w:autoSpaceDN/>
        <w:bidi w:val="0"/>
        <w:adjustRightInd/>
        <w:snapToGrid/>
        <w:spacing w:line="341" w:lineRule="auto"/>
        <w:ind w:firstLine="793" w:firstLineChars="329"/>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bCs/>
          <w:sz w:val="24"/>
          <w:szCs w:val="24"/>
          <w:highlight w:val="none"/>
          <w:u w:val="none"/>
          <w:lang w:val="en-US" w:eastAsia="zh-CN"/>
        </w:rPr>
        <w:t>特别说明：</w:t>
      </w:r>
      <w:r>
        <w:rPr>
          <w:rFonts w:hint="eastAsia" w:ascii="仿宋" w:hAnsi="仿宋" w:eastAsia="仿宋" w:cs="仿宋"/>
          <w:b w:val="0"/>
          <w:bCs w:val="0"/>
          <w:sz w:val="24"/>
          <w:szCs w:val="24"/>
          <w:highlight w:val="none"/>
          <w:u w:val="none"/>
          <w:lang w:val="en-US" w:eastAsia="zh-CN"/>
        </w:rPr>
        <w:t>框架协议一年一签，按照</w:t>
      </w:r>
      <w:r>
        <w:rPr>
          <w:rFonts w:hint="default" w:ascii="仿宋" w:hAnsi="仿宋" w:eastAsia="仿宋" w:cs="仿宋"/>
          <w:b w:val="0"/>
          <w:bCs w:val="0"/>
          <w:sz w:val="24"/>
          <w:szCs w:val="24"/>
          <w:highlight w:val="none"/>
          <w:u w:val="none"/>
          <w:lang w:val="en-US" w:eastAsia="zh-CN"/>
        </w:rPr>
        <w:t>苏残规〔2023〕1号</w:t>
      </w:r>
      <w:r>
        <w:rPr>
          <w:rFonts w:hint="eastAsia" w:ascii="仿宋" w:hAnsi="仿宋" w:eastAsia="仿宋" w:cs="仿宋"/>
          <w:b w:val="0"/>
          <w:bCs w:val="0"/>
          <w:sz w:val="24"/>
          <w:szCs w:val="24"/>
          <w:highlight w:val="none"/>
          <w:u w:val="none"/>
          <w:lang w:val="en-US" w:eastAsia="zh-CN"/>
        </w:rPr>
        <w:t>进行考核，考核合格，续签1年；考核不合格则终止协议；第二年采购活动的执行标的以</w:t>
      </w:r>
      <w:r>
        <w:rPr>
          <w:rFonts w:hint="eastAsia" w:ascii="仿宋" w:hAnsi="仿宋" w:eastAsia="仿宋" w:cs="仿宋"/>
          <w:b/>
          <w:bCs/>
          <w:sz w:val="24"/>
          <w:szCs w:val="24"/>
          <w:highlight w:val="none"/>
          <w:u w:val="none"/>
          <w:lang w:val="en-US" w:eastAsia="zh-CN"/>
        </w:rPr>
        <w:t>上级部门下达的补助资金和</w:t>
      </w:r>
      <w:r>
        <w:rPr>
          <w:rFonts w:hint="eastAsia" w:ascii="仿宋" w:hAnsi="仿宋" w:eastAsia="仿宋" w:cs="仿宋"/>
          <w:b w:val="0"/>
          <w:bCs w:val="0"/>
          <w:sz w:val="24"/>
          <w:szCs w:val="24"/>
          <w:highlight w:val="none"/>
          <w:u w:val="none"/>
          <w:lang w:val="en-US" w:eastAsia="zh-CN"/>
        </w:rPr>
        <w:t>本级财政年度预算为准。</w:t>
      </w:r>
    </w:p>
    <w:p w14:paraId="43B9532D">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highlight w:val="none"/>
          <w:u w:val="none"/>
          <w:lang w:val="en-US" w:eastAsia="zh-CN"/>
        </w:rPr>
        <w:t>7.本次征集活动不收取保证金，不接受联合体</w:t>
      </w:r>
      <w:r>
        <w:rPr>
          <w:rFonts w:hint="eastAsia" w:ascii="仿宋" w:hAnsi="仿宋" w:eastAsia="仿宋" w:cs="仿宋"/>
          <w:sz w:val="24"/>
          <w:szCs w:val="24"/>
          <w:u w:val="none"/>
          <w:lang w:val="en-US" w:eastAsia="zh-CN"/>
        </w:rPr>
        <w:t>加入本次封闭式框架协议。</w:t>
      </w:r>
    </w:p>
    <w:p w14:paraId="043B2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8"/>
        </w:rPr>
      </w:pPr>
      <w:r>
        <w:rPr>
          <w:rFonts w:hint="eastAsia" w:ascii="仿宋" w:hAnsi="仿宋" w:eastAsia="仿宋" w:cs="仿宋"/>
          <w:b/>
          <w:bCs/>
          <w:sz w:val="24"/>
          <w:szCs w:val="28"/>
        </w:rPr>
        <w:t>二、供应商资格要求</w:t>
      </w:r>
      <w:bookmarkEnd w:id="11"/>
      <w:bookmarkEnd w:id="12"/>
      <w:bookmarkEnd w:id="13"/>
      <w:bookmarkEnd w:id="14"/>
      <w:bookmarkEnd w:id="15"/>
    </w:p>
    <w:p w14:paraId="3B8C64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lang w:eastAsia="zh-CN"/>
        </w:rPr>
      </w:pPr>
      <w:bookmarkStart w:id="16" w:name="_Toc28359004"/>
      <w:bookmarkStart w:id="17" w:name="_Toc28359081"/>
      <w:bookmarkStart w:id="18" w:name="_Toc38985265"/>
      <w:bookmarkStart w:id="19" w:name="_Toc35393623"/>
      <w:bookmarkStart w:id="20" w:name="_Toc35393792"/>
      <w:r>
        <w:rPr>
          <w:rFonts w:hint="eastAsia" w:ascii="仿宋" w:hAnsi="仿宋" w:eastAsia="仿宋" w:cs="仿宋"/>
          <w:b/>
          <w:bCs/>
          <w:color w:val="000000"/>
          <w:sz w:val="24"/>
          <w:szCs w:val="24"/>
          <w:lang w:eastAsia="zh-CN"/>
        </w:rPr>
        <w:t>（一）通用资格要求</w:t>
      </w:r>
    </w:p>
    <w:p w14:paraId="0B43A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1.满足《中华人民共和国政府采购法》第二十二条规定，并提供下列材料：</w:t>
      </w:r>
    </w:p>
    <w:p w14:paraId="4331E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（1）具有独立承担民事责任的能力（提供法人或者其他组织的营业执照；供应商为自然人的提供其身份证）； </w:t>
      </w:r>
    </w:p>
    <w:p w14:paraId="29F6E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（2）具有良好的商业信誉和健全的财务会计制度（提供参加本次政府采购活动前半年内任一个月的财报或上一年度财务审计报告）；</w:t>
      </w:r>
    </w:p>
    <w:p w14:paraId="0788A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（3）具有履行合同所必需的设备和专业技术能力（供应商根据履行采购项目合同需要，提供履行合同所必需的设备和专业技术能力的证明材料或承诺书）；</w:t>
      </w:r>
    </w:p>
    <w:p w14:paraId="126A5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（4）有依法缴纳税收和社会保障资金的良好记录（提供参加本次政府采购活动前半年内至少一个月：①缴纳税收的凭证；②缴纳社会保险的凭据），依法享受免缴、缓缴的，提供证明材料；</w:t>
      </w:r>
    </w:p>
    <w:p w14:paraId="433D2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（5）参加政府采购活动前三年内，在经营活动中没有重大违法记录（提供承诺书）；</w:t>
      </w:r>
    </w:p>
    <w:p w14:paraId="303C2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（6）法律、行政法规规定的其他条件：无</w:t>
      </w:r>
    </w:p>
    <w:p w14:paraId="045BC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 落实政府采购政策需满足的资格要求：无</w:t>
      </w:r>
    </w:p>
    <w:p w14:paraId="640721A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（二）</w:t>
      </w:r>
      <w:r>
        <w:rPr>
          <w:rFonts w:hint="eastAsia" w:ascii="仿宋" w:hAnsi="仿宋" w:eastAsia="仿宋" w:cs="仿宋"/>
          <w:b/>
          <w:bCs/>
          <w:i w:val="0"/>
          <w:iCs w:val="0"/>
          <w:color w:val="auto"/>
          <w:sz w:val="24"/>
          <w:szCs w:val="24"/>
          <w:highlight w:val="none"/>
        </w:rPr>
        <w:t>本项目特定资格要求</w:t>
      </w:r>
    </w:p>
    <w:p w14:paraId="7E122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1．供应商业务范围须包括所投采购包康复服务等相关内容（供应商提供营业执照或法人证书），同时符合以下要求：</w:t>
      </w:r>
    </w:p>
    <w:p w14:paraId="34D3C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（1）采购包1（视力康复服务机构）：</w:t>
      </w:r>
    </w:p>
    <w:p w14:paraId="163F3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从事医疗康复的视力康复服务机构应取得《医疗机构执业许可证》或《诊所备案证》。从事教育康复的视力康复服务机构应取得所属地教育行政部门颁发的办学许可证或有当地特殊教育指导中心确定的公办学校合作开展康教融合服务的协议。</w:t>
      </w:r>
    </w:p>
    <w:p w14:paraId="4E885C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（2）采购包2（听力语言康复服务机构）：</w:t>
      </w:r>
    </w:p>
    <w:p w14:paraId="6053F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应有所属地教育行政部门颁发的办学许可证或有当地特殊教育指导中心确定的公办学校合作开展康教融合服务的协议。</w:t>
      </w:r>
    </w:p>
    <w:p w14:paraId="6D275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（3）采购包3（肢体康复服务机构）：</w:t>
      </w:r>
    </w:p>
    <w:p w14:paraId="2675E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从事医疗康复应取得《医疗机构执业许可证》或《诊所备案证》。从事引导式教育服务的肢体康复机构应取得所属地教育行政部门颁发的办学许可证或有当地特殊教育指导中心确定的公办学校合作开展康教融合服务的协议。</w:t>
      </w:r>
    </w:p>
    <w:p w14:paraId="58DEF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（4）采购包4（智力康复服务机构）：</w:t>
      </w:r>
    </w:p>
    <w:p w14:paraId="0DAE3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应有所属地教育行政部门颁发的办学许可证或有当地特殊教育指导中心确定的公办学校合作开展康教融合服务的协议。</w:t>
      </w:r>
    </w:p>
    <w:p w14:paraId="06FAA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（5）采购包5（孤独症康复服务机构）：</w:t>
      </w:r>
    </w:p>
    <w:p w14:paraId="720B9E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从事教育康复应有所属地教育行政部门颁发的办学许可证或有当地特殊教育指导中心确定的公办学校合作开展康教融合服务的协议，从事医疗康复应取得《医疗机构执业许可证》或《诊所备案证》。</w:t>
      </w:r>
    </w:p>
    <w:p w14:paraId="689393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SA"/>
        </w:rPr>
        <w:t>2.</w:t>
      </w:r>
      <w:r>
        <w:rPr>
          <w:rFonts w:hint="eastAsia" w:ascii="仿宋" w:hAnsi="仿宋" w:eastAsia="仿宋" w:cs="仿宋"/>
          <w:b w:val="0"/>
          <w:bCs w:val="0"/>
          <w:color w:val="000000"/>
          <w:sz w:val="24"/>
          <w:szCs w:val="24"/>
          <w:highlight w:val="none"/>
          <w:lang w:val="en-US" w:eastAsia="zh-CN"/>
        </w:rPr>
        <w:t>消防要求：</w:t>
      </w:r>
    </w:p>
    <w:p w14:paraId="5A977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儿童室内活动场所总建筑面积大于 1000 平方米以上的机构，建设前应取得建设工程消防设计审查合格意见书，竣工后应取得建设工程消防验收合格意见书；</w:t>
      </w:r>
    </w:p>
    <w:p w14:paraId="111C3EB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儿童室内活动场所总建筑面积 1000 平方米以下的机构，应在建设工程竣工验收合格之日起五个工作日内，向消防设计审查验收主管部门备案，并取得备案合格凭证</w:t>
      </w:r>
      <w:r>
        <w:rPr>
          <w:rFonts w:hint="eastAsia" w:ascii="仿宋" w:hAnsi="仿宋" w:eastAsia="仿宋" w:cs="仿宋"/>
          <w:b/>
          <w:bCs/>
          <w:color w:val="000000"/>
          <w:sz w:val="24"/>
          <w:szCs w:val="24"/>
          <w:highlight w:val="none"/>
        </w:rPr>
        <w:t>。</w:t>
      </w:r>
    </w:p>
    <w:p w14:paraId="75BFC3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highlight w:val="none"/>
          <w:lang w:val="en-US" w:eastAsia="zh-CN"/>
        </w:rPr>
        <w:t>注：上述证明材料</w:t>
      </w:r>
      <w:r>
        <w:rPr>
          <w:rFonts w:hint="eastAsia" w:ascii="仿宋" w:hAnsi="仿宋" w:eastAsia="仿宋" w:cs="仿宋"/>
          <w:b/>
          <w:bCs/>
          <w:sz w:val="24"/>
          <w:szCs w:val="24"/>
          <w:lang w:val="en-US" w:eastAsia="zh-CN"/>
        </w:rPr>
        <w:t>（包括但不限于证书、协议等）均需加盖公章。</w:t>
      </w:r>
    </w:p>
    <w:p w14:paraId="78D57A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lang w:eastAsia="zh-CN"/>
        </w:rPr>
        <w:t xml:space="preserve">拒绝下述供应商参加本次采购活动： </w:t>
      </w:r>
    </w:p>
    <w:p w14:paraId="3FFCAAE3">
      <w:pPr>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1.供应商单位负责人为同一人或者存在直接控股、管理关系的不同供应商，不得参加同一合同项下的政府采购活动。 </w:t>
      </w:r>
    </w:p>
    <w:p w14:paraId="08A1EB56">
      <w:pPr>
        <w:spacing w:line="360" w:lineRule="auto"/>
        <w:ind w:firstLine="42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2.凡为采购项目提供整体设计、规范编制或者项目管理、监理、检测等服务的供应商，不得再参加本项目的采购活动。 </w:t>
      </w:r>
    </w:p>
    <w:p w14:paraId="7ED83113">
      <w:pPr>
        <w:spacing w:line="360" w:lineRule="auto"/>
        <w:ind w:firstLine="42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lang w:eastAsia="zh-CN"/>
        </w:rPr>
        <w:t>3.</w:t>
      </w:r>
      <w:r>
        <w:rPr>
          <w:rFonts w:hint="eastAsia" w:ascii="仿宋" w:hAnsi="仿宋" w:eastAsia="仿宋" w:cs="仿宋"/>
          <w:sz w:val="24"/>
          <w:szCs w:val="24"/>
        </w:rPr>
        <w:t>供应商被“信用中国”网站（www.creditchina.gov.cn）、“中国政府采购网”(www.ccgp.gov.cn)列入失信被执行人、重大税收违法案件当事人名单、政</w:t>
      </w:r>
      <w:r>
        <w:rPr>
          <w:rFonts w:hint="eastAsia" w:ascii="仿宋" w:hAnsi="仿宋" w:eastAsia="仿宋" w:cs="仿宋"/>
          <w:sz w:val="24"/>
          <w:szCs w:val="24"/>
          <w:highlight w:val="none"/>
        </w:rPr>
        <w:t>府采购严重违法失信行为记录名单。</w:t>
      </w:r>
    </w:p>
    <w:p w14:paraId="0375A2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四、获取征集文件</w:t>
      </w:r>
    </w:p>
    <w:p w14:paraId="63D98503">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1.时间：2025年11月05日至2025年11月11日，上午09:00-11:30，下午14:00-17:30（北京时间，双休日及法定节假日除外)；</w:t>
      </w:r>
    </w:p>
    <w:p w14:paraId="3F69C8DD">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2.地点：江苏政府采购网</w:t>
      </w:r>
    </w:p>
    <w:p w14:paraId="71EB2D03">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3.获取方式：网上下载</w:t>
      </w:r>
    </w:p>
    <w:p w14:paraId="7FA7DADF">
      <w:pPr>
        <w:spacing w:line="360" w:lineRule="auto"/>
        <w:ind w:firstLine="42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4.售价：免费</w:t>
      </w:r>
    </w:p>
    <w:p w14:paraId="4892C5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五、提交申请文件截止时间、开标时间和地点</w:t>
      </w:r>
    </w:p>
    <w:p w14:paraId="598DF0DA">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1.提交投标文件截止及开标时间：2025年11月25日09点30分（北京时间）</w:t>
      </w:r>
    </w:p>
    <w:p w14:paraId="4369CFA6">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highlight w:val="none"/>
          <w:lang w:val="en-US" w:eastAsia="zh-CN"/>
        </w:rPr>
        <w:t>2.提交投标文件地点：江苏省政府采购管理交易系统（苏采云）（以下简称“苏采云”）（网址：</w:t>
      </w:r>
      <w:r>
        <w:rPr>
          <w:rFonts w:hint="eastAsia" w:ascii="仿宋" w:hAnsi="仿宋" w:eastAsia="仿宋" w:cs="仿宋"/>
          <w:color w:val="000000"/>
          <w:sz w:val="24"/>
          <w:szCs w:val="24"/>
          <w:highlight w:val="none"/>
          <w:lang w:val="en-US" w:eastAsia="zh-CN"/>
        </w:rPr>
        <w:fldChar w:fldCharType="begin"/>
      </w:r>
      <w:r>
        <w:rPr>
          <w:rFonts w:hint="eastAsia" w:ascii="仿宋" w:hAnsi="仿宋" w:eastAsia="仿宋" w:cs="仿宋"/>
          <w:color w:val="000000"/>
          <w:sz w:val="24"/>
          <w:szCs w:val="24"/>
          <w:highlight w:val="none"/>
          <w:lang w:val="en-US" w:eastAsia="zh-CN"/>
        </w:rPr>
        <w:instrText xml:space="preserve"> HYPERLINK "http://jszfcg.jsczt.cn/）" </w:instrText>
      </w:r>
      <w:r>
        <w:rPr>
          <w:rFonts w:hint="eastAsia" w:ascii="仿宋" w:hAnsi="仿宋" w:eastAsia="仿宋" w:cs="仿宋"/>
          <w:color w:val="000000"/>
          <w:sz w:val="24"/>
          <w:szCs w:val="24"/>
          <w:highlight w:val="none"/>
          <w:lang w:val="en-US" w:eastAsia="zh-CN"/>
        </w:rPr>
        <w:fldChar w:fldCharType="separate"/>
      </w:r>
      <w:r>
        <w:rPr>
          <w:rFonts w:hint="eastAsia" w:ascii="仿宋" w:hAnsi="仿宋" w:eastAsia="仿宋" w:cs="仿宋"/>
          <w:color w:val="000000"/>
          <w:sz w:val="24"/>
          <w:szCs w:val="24"/>
          <w:highlight w:val="none"/>
          <w:lang w:val="en-US" w:eastAsia="zh-CN"/>
        </w:rPr>
        <w:t>http://jszfcg.jsczt.cn/）</w:t>
      </w:r>
      <w:r>
        <w:rPr>
          <w:rFonts w:hint="eastAsia" w:ascii="仿宋" w:hAnsi="仿宋" w:eastAsia="仿宋" w:cs="仿宋"/>
          <w:color w:val="000000"/>
          <w:sz w:val="24"/>
          <w:szCs w:val="24"/>
          <w:highlight w:val="none"/>
          <w:lang w:val="en-US" w:eastAsia="zh-CN"/>
        </w:rPr>
        <w:fldChar w:fldCharType="end"/>
      </w:r>
    </w:p>
    <w:p w14:paraId="7C911AC0">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3.开标地点：“苏采云”开标大厅</w:t>
      </w:r>
    </w:p>
    <w:p w14:paraId="22448773">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4.申请文件的提交方式、开启方式和地点：</w:t>
      </w:r>
    </w:p>
    <w:p w14:paraId="209985B3">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供应商应当通过电子招标投标交易平台（即“苏采云”系统）提交数据电文形式的申请文件（即电子投标）。详见本章“七、其他补充事宜”规定。</w:t>
      </w:r>
    </w:p>
    <w:p w14:paraId="46CEDA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六、公告期限</w:t>
      </w:r>
    </w:p>
    <w:p w14:paraId="23B95E0D">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公告期限为自本公告发布之日起5个工作日。</w:t>
      </w:r>
    </w:p>
    <w:p w14:paraId="4C6DC1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七、其他补充事宜</w:t>
      </w:r>
    </w:p>
    <w:p w14:paraId="7B8253C1">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 采购人组织集中现场答疑，供应商代表携带营业执照复印件、法定代表人授权委托书、法定代表人和授权人身份证（加盖单位公章）参加集中答疑，答疑内容将以邮件或信函方式告知所有参加答疑的供应商；未参加答疑的供应商视为放弃这项权利，采购人或代理机构对此不承担任何责任。签到开始时间：2025年11月12日下午14:10分，签到截止时间2025年11月12日下午14:30分，过时不候，地点：南京市高淳区淳溪街道汶溪路193-2号高淳区残疾人联合会，联系人：赵老师，联系电话：025-57338379/18951008846。</w:t>
      </w:r>
    </w:p>
    <w:p w14:paraId="4AE9D2E1">
      <w:pPr>
        <w:widowControl w:val="0"/>
        <w:tabs>
          <w:tab w:val="left" w:pos="900"/>
        </w:tabs>
        <w:spacing w:line="264" w:lineRule="auto"/>
        <w:rPr>
          <w:rFonts w:hint="eastAsia" w:ascii="宋体" w:hAnsi="宋体" w:cs="宋体"/>
          <w:sz w:val="21"/>
          <w:szCs w:val="21"/>
        </w:rPr>
      </w:pPr>
      <w:r>
        <w:rPr>
          <w:rFonts w:hint="eastAsia" w:ascii="仿宋" w:hAnsi="仿宋" w:eastAsia="仿宋" w:cs="仿宋"/>
          <w:color w:val="000000"/>
          <w:sz w:val="24"/>
          <w:szCs w:val="24"/>
          <w:highlight w:val="none"/>
          <w:lang w:val="en-US" w:eastAsia="zh-CN"/>
        </w:rPr>
        <w:t>2. 供应商应通过苏采云系统参与政府采购项目，需要办理江苏省政府采购数</w:t>
      </w:r>
      <w:r>
        <w:rPr>
          <w:rFonts w:hint="eastAsia" w:ascii="仿宋" w:hAnsi="仿宋" w:eastAsia="仿宋" w:cs="仿宋"/>
          <w:color w:val="000000"/>
          <w:sz w:val="24"/>
          <w:szCs w:val="24"/>
          <w:lang w:val="en-US" w:eastAsia="zh-CN"/>
        </w:rPr>
        <w:t>字证书及电子签章，具体详见苏采云系统登录页“新CA办理指南”。供应商按《苏采云系统供应商操作手册》（以下简称“操作手册”）进行注册，并制作上传电子投标文件。《操作手册》</w:t>
      </w:r>
      <w:r>
        <w:rPr>
          <w:rFonts w:hint="eastAsia" w:ascii="仿宋" w:hAnsi="仿宋" w:eastAsia="仿宋" w:cs="仿宋"/>
          <w:color w:val="000000"/>
          <w:sz w:val="24"/>
          <w:szCs w:val="24"/>
          <w:lang w:val="en-US" w:eastAsia="zh-CN"/>
        </w:rPr>
        <w:fldChar w:fldCharType="begin"/>
      </w:r>
      <w:r>
        <w:rPr>
          <w:rFonts w:hint="eastAsia" w:ascii="仿宋" w:hAnsi="仿宋" w:eastAsia="仿宋" w:cs="仿宋"/>
          <w:color w:val="000000"/>
          <w:sz w:val="24"/>
          <w:szCs w:val="24"/>
          <w:lang w:val="en-US" w:eastAsia="zh-CN"/>
        </w:rPr>
        <w:instrText xml:space="preserve"> HYPERLINK "http://www.ccgp-jiangsu.gov.cn/jiangsu/zlxz/ee/ee3a4bc5a3454aa2b0d9312230633ce9.html" </w:instrText>
      </w:r>
      <w:r>
        <w:rPr>
          <w:rFonts w:hint="eastAsia" w:ascii="仿宋" w:hAnsi="仿宋" w:eastAsia="仿宋" w:cs="仿宋"/>
          <w:color w:val="000000"/>
          <w:sz w:val="24"/>
          <w:szCs w:val="24"/>
          <w:lang w:val="en-US" w:eastAsia="zh-CN"/>
        </w:rPr>
        <w:fldChar w:fldCharType="separate"/>
      </w:r>
      <w:r>
        <w:rPr>
          <w:rFonts w:hint="eastAsia" w:ascii="仿宋" w:hAnsi="仿宋" w:eastAsia="仿宋" w:cs="仿宋"/>
          <w:color w:val="000000"/>
          <w:sz w:val="24"/>
          <w:szCs w:val="24"/>
          <w:lang w:val="en-US" w:eastAsia="zh-CN"/>
        </w:rPr>
        <w:t>下载地址</w:t>
      </w:r>
      <w:r>
        <w:rPr>
          <w:rFonts w:hint="eastAsia" w:ascii="仿宋" w:hAnsi="仿宋" w:eastAsia="仿宋" w:cs="仿宋"/>
          <w:color w:val="000000"/>
          <w:sz w:val="24"/>
          <w:szCs w:val="24"/>
          <w:lang w:val="en-US" w:eastAsia="zh-CN"/>
        </w:rPr>
        <w:fldChar w:fldCharType="end"/>
      </w:r>
      <w:r>
        <w:rPr>
          <w:rFonts w:hint="eastAsia" w:ascii="仿宋" w:hAnsi="仿宋" w:eastAsia="仿宋" w:cs="仿宋"/>
          <w:color w:val="000000"/>
          <w:sz w:val="24"/>
          <w:szCs w:val="24"/>
          <w:lang w:val="en-US" w:eastAsia="zh-CN"/>
        </w:rPr>
        <w:t>：</w:t>
      </w:r>
      <w:r>
        <w:rPr>
          <w:rFonts w:hint="eastAsia" w:ascii="宋体" w:hAnsi="宋体" w:cs="宋体"/>
          <w:sz w:val="21"/>
          <w:szCs w:val="21"/>
        </w:rPr>
        <w:t>http://www.ccgp-jiangsu.gov.cn/jiangsu/zlxz/ee/ee3a4bc5a3454aa2b0d9312230633ce9.html</w:t>
      </w:r>
    </w:p>
    <w:p w14:paraId="536B14C3">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3.有关本次框架协议采购的事项若存在变动或修改，敬请及时关注“江苏政府采购网”、“南京公共采购信息网”发布的信息更正公告。</w:t>
      </w:r>
    </w:p>
    <w:p w14:paraId="01BDAFC7">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八、凡对本次采购提出询问，请按以下方式联系</w:t>
      </w:r>
    </w:p>
    <w:p w14:paraId="4D3D4BCF">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1.采购人信息</w:t>
      </w:r>
    </w:p>
    <w:p w14:paraId="2A3DE311">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名    称：南京市高淳区残疾人联合会    </w:t>
      </w:r>
    </w:p>
    <w:p w14:paraId="0D0C3AAB">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    址：南京市高淳区淳溪街道汶溪路193-2号</w:t>
      </w:r>
    </w:p>
    <w:p w14:paraId="5584F140">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 系 人：赵老师</w:t>
      </w:r>
    </w:p>
    <w:p w14:paraId="6A213E96">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联系电话：025-57338379/18951008846  </w:t>
      </w:r>
    </w:p>
    <w:p w14:paraId="191CA604">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2.采购代理机构信息</w:t>
      </w:r>
    </w:p>
    <w:p w14:paraId="66D14DE8">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名    称：江苏领界科技有限公司    </w:t>
      </w:r>
    </w:p>
    <w:p w14:paraId="15064312">
      <w:pPr>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    址：南京市建邺区白龙江东街19号舜禹大厦17层A室</w:t>
      </w:r>
    </w:p>
    <w:p w14:paraId="15525E7D">
      <w:pPr>
        <w:spacing w:line="360" w:lineRule="auto"/>
        <w:ind w:firstLine="42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 系 人：曹工</w:t>
      </w:r>
    </w:p>
    <w:p w14:paraId="7DF3A526">
      <w:pPr>
        <w:spacing w:line="360" w:lineRule="auto"/>
        <w:ind w:firstLine="42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联系电话：025-57792985-803、18761476364</w:t>
      </w:r>
    </w:p>
    <w:p w14:paraId="5350B7DB">
      <w:pPr>
        <w:bidi w:val="0"/>
        <w:rPr>
          <w:rFonts w:hint="eastAsia" w:ascii="仿宋" w:hAnsi="仿宋" w:eastAsia="仿宋" w:cs="仿宋"/>
        </w:rPr>
      </w:pPr>
    </w:p>
    <w:bookmarkEnd w:id="16"/>
    <w:bookmarkEnd w:id="17"/>
    <w:bookmarkEnd w:id="18"/>
    <w:bookmarkEnd w:id="19"/>
    <w:bookmarkEnd w:id="20"/>
    <w:p w14:paraId="01818EC5">
      <w:pPr>
        <w:rPr>
          <w:rFonts w:hint="eastAsia" w:ascii="仿宋" w:hAnsi="仿宋" w:eastAsia="仿宋" w:cs="仿宋"/>
        </w:rPr>
        <w:sectPr>
          <w:footerReference r:id="rId3" w:type="default"/>
          <w:pgSz w:w="11906" w:h="16838"/>
          <w:pgMar w:top="1440" w:right="1800" w:bottom="1440" w:left="1800" w:header="851" w:footer="992" w:gutter="0"/>
          <w:pgNumType w:fmt="decimal" w:start="1"/>
          <w:cols w:space="720" w:num="1"/>
          <w:docGrid w:linePitch="360" w:charSpace="0"/>
        </w:sectPr>
      </w:pPr>
    </w:p>
    <w:p w14:paraId="6C6063FB">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bookmarkStart w:id="21" w:name="_Toc20972"/>
      <w:r>
        <w:rPr>
          <w:rFonts w:hint="eastAsia" w:ascii="仿宋" w:hAnsi="仿宋" w:eastAsia="仿宋" w:cs="仿宋"/>
        </w:rPr>
        <w:t>第二章 供应商须知</w:t>
      </w:r>
      <w:bookmarkEnd w:id="1"/>
      <w:bookmarkEnd w:id="21"/>
    </w:p>
    <w:p w14:paraId="17A449F4">
      <w:pPr>
        <w:pStyle w:val="5"/>
        <w:keepNext/>
        <w:keepLines/>
        <w:pageBreakBefore w:val="0"/>
        <w:widowControl w:val="0"/>
        <w:kinsoku/>
        <w:wordWrap/>
        <w:overflowPunct/>
        <w:topLinePunct w:val="0"/>
        <w:autoSpaceDE/>
        <w:autoSpaceDN/>
        <w:bidi w:val="0"/>
        <w:adjustRightInd/>
        <w:snapToGrid/>
        <w:spacing w:before="0" w:after="0" w:line="360" w:lineRule="auto"/>
        <w:ind w:firstLine="373"/>
        <w:textAlignment w:val="auto"/>
        <w:rPr>
          <w:rFonts w:hint="eastAsia" w:ascii="仿宋" w:hAnsi="仿宋" w:eastAsia="仿宋" w:cs="仿宋"/>
          <w:sz w:val="24"/>
          <w:szCs w:val="24"/>
        </w:rPr>
      </w:pPr>
      <w:bookmarkStart w:id="22" w:name="_Toc20823275"/>
      <w:bookmarkStart w:id="23" w:name="_Toc513029203"/>
      <w:bookmarkStart w:id="24" w:name="_Toc120614214"/>
      <w:bookmarkStart w:id="25" w:name="_Toc31830"/>
      <w:bookmarkStart w:id="26" w:name="_Toc16938519"/>
      <w:r>
        <w:rPr>
          <w:rFonts w:hint="eastAsia" w:ascii="仿宋" w:hAnsi="仿宋" w:eastAsia="仿宋" w:cs="仿宋"/>
          <w:sz w:val="24"/>
          <w:szCs w:val="24"/>
        </w:rPr>
        <w:t>一、总则</w:t>
      </w:r>
      <w:bookmarkEnd w:id="22"/>
      <w:bookmarkEnd w:id="23"/>
      <w:bookmarkEnd w:id="24"/>
      <w:bookmarkEnd w:id="25"/>
      <w:bookmarkEnd w:id="26"/>
    </w:p>
    <w:p w14:paraId="3A4A786B">
      <w:pPr>
        <w:pStyle w:val="7"/>
        <w:spacing w:before="0" w:after="0" w:line="500" w:lineRule="exact"/>
        <w:ind w:firstLine="600"/>
        <w:rPr>
          <w:rFonts w:hint="eastAsia" w:ascii="仿宋" w:hAnsi="仿宋" w:eastAsia="仿宋" w:cs="仿宋"/>
          <w:b/>
          <w:bCs/>
          <w:sz w:val="24"/>
          <w:szCs w:val="24"/>
        </w:rPr>
      </w:pPr>
      <w:bookmarkStart w:id="27" w:name="_Hlt16619475"/>
      <w:bookmarkEnd w:id="27"/>
      <w:bookmarkStart w:id="28" w:name="_Toc458694821"/>
      <w:bookmarkStart w:id="29" w:name="_Toc20823276"/>
      <w:bookmarkStart w:id="30" w:name="_Toc513029204"/>
      <w:bookmarkStart w:id="31" w:name="_Toc16938520"/>
      <w:r>
        <w:rPr>
          <w:rFonts w:hint="eastAsia" w:ascii="仿宋" w:hAnsi="仿宋" w:eastAsia="仿宋" w:cs="仿宋"/>
          <w:b/>
          <w:bCs/>
          <w:sz w:val="24"/>
          <w:szCs w:val="24"/>
        </w:rPr>
        <w:t>1</w:t>
      </w:r>
      <w:bookmarkEnd w:id="28"/>
      <w:r>
        <w:rPr>
          <w:rFonts w:hint="eastAsia" w:ascii="仿宋" w:hAnsi="仿宋" w:eastAsia="仿宋" w:cs="仿宋"/>
          <w:b/>
          <w:bCs/>
          <w:sz w:val="24"/>
          <w:szCs w:val="24"/>
        </w:rPr>
        <w:t>、采购方式</w:t>
      </w:r>
      <w:bookmarkEnd w:id="29"/>
      <w:bookmarkEnd w:id="30"/>
      <w:bookmarkEnd w:id="31"/>
    </w:p>
    <w:p w14:paraId="3BC4818E">
      <w:pPr>
        <w:spacing w:line="50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1.1 本项目采用</w:t>
      </w:r>
      <w:r>
        <w:rPr>
          <w:rFonts w:hint="eastAsia" w:ascii="仿宋" w:hAnsi="仿宋" w:eastAsia="仿宋" w:cs="仿宋"/>
          <w:color w:val="auto"/>
          <w:sz w:val="24"/>
          <w:szCs w:val="24"/>
          <w:lang w:eastAsia="zh-CN"/>
        </w:rPr>
        <w:t>封闭式</w:t>
      </w:r>
      <w:r>
        <w:rPr>
          <w:rFonts w:hint="eastAsia" w:ascii="仿宋" w:hAnsi="仿宋" w:eastAsia="仿宋" w:cs="仿宋"/>
          <w:color w:val="auto"/>
          <w:sz w:val="24"/>
          <w:szCs w:val="24"/>
        </w:rPr>
        <w:t>框架协议采购方式，本征集文件仅适用于征集公告中所述项目。</w:t>
      </w:r>
      <w:bookmarkStart w:id="32" w:name="_Toc20823277"/>
      <w:bookmarkStart w:id="33" w:name="_Toc513029205"/>
      <w:bookmarkStart w:id="34" w:name="_Toc16938521"/>
    </w:p>
    <w:p w14:paraId="1DA38CB9">
      <w:pPr>
        <w:spacing w:line="500" w:lineRule="exact"/>
        <w:ind w:firstLine="480"/>
        <w:rPr>
          <w:rFonts w:hint="eastAsia" w:ascii="仿宋" w:hAnsi="仿宋" w:eastAsia="仿宋" w:cs="仿宋"/>
          <w:b/>
          <w:bCs/>
          <w:sz w:val="24"/>
          <w:szCs w:val="24"/>
        </w:rPr>
      </w:pPr>
      <w:r>
        <w:rPr>
          <w:rFonts w:hint="eastAsia" w:ascii="仿宋" w:hAnsi="仿宋" w:eastAsia="仿宋" w:cs="仿宋"/>
          <w:b/>
          <w:bCs/>
          <w:sz w:val="24"/>
          <w:szCs w:val="24"/>
        </w:rPr>
        <w:t>2、合格的</w:t>
      </w:r>
      <w:bookmarkEnd w:id="32"/>
      <w:bookmarkEnd w:id="33"/>
      <w:bookmarkEnd w:id="34"/>
      <w:r>
        <w:rPr>
          <w:rFonts w:hint="eastAsia" w:ascii="仿宋" w:hAnsi="仿宋" w:eastAsia="仿宋" w:cs="仿宋"/>
          <w:b/>
          <w:bCs/>
          <w:sz w:val="24"/>
          <w:szCs w:val="24"/>
        </w:rPr>
        <w:t>供应商</w:t>
      </w:r>
    </w:p>
    <w:p w14:paraId="271A3CFC">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2.1满足征集公告中供应商资格要求的规定。</w:t>
      </w:r>
    </w:p>
    <w:p w14:paraId="5997684E">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2.2 满足本征集文件实质性条款的规定。</w:t>
      </w:r>
      <w:bookmarkStart w:id="35" w:name="_Toc513029206"/>
      <w:bookmarkStart w:id="36" w:name="_Toc20823278"/>
      <w:bookmarkStart w:id="37" w:name="_Toc16938522"/>
    </w:p>
    <w:p w14:paraId="17E44B91">
      <w:pPr>
        <w:spacing w:line="500" w:lineRule="exact"/>
        <w:ind w:firstLine="480"/>
        <w:rPr>
          <w:rFonts w:hint="eastAsia" w:ascii="仿宋" w:hAnsi="仿宋" w:eastAsia="仿宋" w:cs="仿宋"/>
          <w:b/>
          <w:bCs/>
          <w:sz w:val="24"/>
          <w:szCs w:val="24"/>
        </w:rPr>
      </w:pPr>
      <w:r>
        <w:rPr>
          <w:rFonts w:hint="eastAsia" w:ascii="仿宋" w:hAnsi="仿宋" w:eastAsia="仿宋" w:cs="仿宋"/>
          <w:b/>
          <w:bCs/>
          <w:sz w:val="24"/>
          <w:szCs w:val="24"/>
        </w:rPr>
        <w:t>3、适用法律</w:t>
      </w:r>
      <w:bookmarkEnd w:id="35"/>
      <w:bookmarkEnd w:id="36"/>
      <w:bookmarkEnd w:id="37"/>
    </w:p>
    <w:p w14:paraId="060EF013">
      <w:pPr>
        <w:spacing w:line="500" w:lineRule="exact"/>
        <w:ind w:firstLine="420"/>
        <w:rPr>
          <w:rFonts w:hint="eastAsia" w:ascii="仿宋" w:hAnsi="仿宋" w:eastAsia="仿宋" w:cs="仿宋"/>
          <w:sz w:val="24"/>
          <w:szCs w:val="24"/>
        </w:rPr>
      </w:pPr>
      <w:r>
        <w:rPr>
          <w:rFonts w:hint="eastAsia" w:ascii="仿宋" w:hAnsi="仿宋" w:eastAsia="仿宋" w:cs="仿宋"/>
          <w:sz w:val="24"/>
          <w:szCs w:val="24"/>
        </w:rPr>
        <w:t>3.1 本次</w:t>
      </w:r>
      <w:r>
        <w:rPr>
          <w:rFonts w:hint="eastAsia" w:ascii="仿宋" w:hAnsi="仿宋" w:eastAsia="仿宋" w:cs="仿宋"/>
          <w:sz w:val="24"/>
          <w:szCs w:val="24"/>
          <w:lang w:val="en-US" w:eastAsia="zh-CN"/>
        </w:rPr>
        <w:t>封闭式</w:t>
      </w:r>
      <w:r>
        <w:rPr>
          <w:rFonts w:hint="eastAsia" w:ascii="仿宋" w:hAnsi="仿宋" w:eastAsia="仿宋" w:cs="仿宋"/>
          <w:sz w:val="24"/>
          <w:szCs w:val="24"/>
        </w:rPr>
        <w:t>框架协议采购活动（以下简称采购活动）及由此产生的框架协议文本和采购合同文本受中华人民共和国有关的法律法规制约和保护。</w:t>
      </w:r>
    </w:p>
    <w:p w14:paraId="147EA718">
      <w:pPr>
        <w:pStyle w:val="7"/>
        <w:spacing w:before="0" w:after="0" w:line="500" w:lineRule="exact"/>
        <w:ind w:firstLine="360"/>
        <w:rPr>
          <w:rFonts w:hint="eastAsia" w:ascii="仿宋" w:hAnsi="仿宋" w:eastAsia="仿宋" w:cs="仿宋"/>
          <w:b/>
          <w:bCs/>
          <w:sz w:val="24"/>
          <w:szCs w:val="24"/>
        </w:rPr>
      </w:pPr>
      <w:bookmarkStart w:id="38" w:name="_Toc20823279"/>
      <w:bookmarkStart w:id="39" w:name="_Toc462564067"/>
      <w:bookmarkStart w:id="40" w:name="_Toc16938523"/>
      <w:bookmarkStart w:id="41" w:name="_Toc513029207"/>
      <w:r>
        <w:rPr>
          <w:rFonts w:hint="eastAsia" w:ascii="仿宋" w:hAnsi="仿宋" w:eastAsia="仿宋" w:cs="仿宋"/>
          <w:b/>
          <w:bCs/>
          <w:sz w:val="24"/>
          <w:szCs w:val="24"/>
        </w:rPr>
        <w:t>4、参加采购活动的费用</w:t>
      </w:r>
      <w:bookmarkEnd w:id="38"/>
      <w:bookmarkEnd w:id="39"/>
      <w:bookmarkEnd w:id="40"/>
      <w:bookmarkEnd w:id="41"/>
    </w:p>
    <w:p w14:paraId="2F7CDD37">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4.1</w:t>
      </w:r>
      <w:r>
        <w:rPr>
          <w:rFonts w:hint="eastAsia" w:ascii="仿宋" w:hAnsi="仿宋" w:eastAsia="仿宋" w:cs="仿宋"/>
          <w:sz w:val="24"/>
          <w:szCs w:val="24"/>
        </w:rPr>
        <w:t xml:space="preserve"> 供应商应自行承担所有与参加采购活动有关的费用，无论采购活动过程中的做法和结果如何，</w:t>
      </w:r>
      <w:r>
        <w:rPr>
          <w:rFonts w:hint="eastAsia" w:ascii="仿宋" w:hAnsi="仿宋" w:eastAsia="仿宋" w:cs="仿宋"/>
          <w:sz w:val="24"/>
          <w:szCs w:val="24"/>
          <w:highlight w:val="none"/>
          <w:lang w:val="en-US" w:eastAsia="zh-CN"/>
        </w:rPr>
        <w:t>采购人或代理机构</w:t>
      </w:r>
      <w:r>
        <w:rPr>
          <w:rFonts w:hint="eastAsia" w:ascii="仿宋" w:hAnsi="仿宋" w:eastAsia="仿宋" w:cs="仿宋"/>
          <w:sz w:val="24"/>
          <w:szCs w:val="24"/>
        </w:rPr>
        <w:t>在任何情况下均无义务和责任承担这些费用。</w:t>
      </w:r>
    </w:p>
    <w:p w14:paraId="13D3FCC7">
      <w:pPr>
        <w:pStyle w:val="7"/>
        <w:spacing w:before="0" w:after="0" w:line="500" w:lineRule="exact"/>
        <w:ind w:firstLine="602"/>
        <w:rPr>
          <w:rFonts w:hint="eastAsia" w:ascii="仿宋" w:hAnsi="仿宋" w:eastAsia="仿宋" w:cs="仿宋"/>
          <w:b/>
          <w:bCs/>
          <w:sz w:val="24"/>
          <w:szCs w:val="24"/>
        </w:rPr>
      </w:pPr>
      <w:r>
        <w:rPr>
          <w:rFonts w:hint="eastAsia" w:ascii="仿宋" w:hAnsi="仿宋" w:eastAsia="仿宋" w:cs="仿宋"/>
          <w:b/>
          <w:bCs/>
          <w:sz w:val="24"/>
          <w:szCs w:val="24"/>
        </w:rPr>
        <w:t>5、征集文件的约束力</w:t>
      </w:r>
    </w:p>
    <w:p w14:paraId="2B277CF7">
      <w:pPr>
        <w:spacing w:line="500" w:lineRule="exact"/>
        <w:ind w:firstLine="600"/>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 xml:space="preserve"> 供应商一旦参加本项目采购活动，即被认为接受了本征集文件的规定和约束。</w:t>
      </w:r>
    </w:p>
    <w:p w14:paraId="00F46730">
      <w:pPr>
        <w:pStyle w:val="5"/>
        <w:spacing w:before="0" w:after="0" w:line="500" w:lineRule="exact"/>
        <w:ind w:firstLine="241"/>
        <w:rPr>
          <w:rFonts w:hint="eastAsia" w:ascii="仿宋" w:hAnsi="仿宋" w:eastAsia="仿宋" w:cs="仿宋"/>
          <w:sz w:val="24"/>
          <w:szCs w:val="24"/>
        </w:rPr>
      </w:pPr>
      <w:bookmarkStart w:id="42" w:name="_Toc120614215"/>
      <w:bookmarkStart w:id="43" w:name="_Toc513029209"/>
      <w:bookmarkStart w:id="44" w:name="_Toc20823281"/>
      <w:bookmarkStart w:id="45" w:name="_Toc16938525"/>
      <w:bookmarkStart w:id="46" w:name="_Toc17192"/>
      <w:r>
        <w:rPr>
          <w:rFonts w:hint="eastAsia" w:ascii="仿宋" w:hAnsi="仿宋" w:eastAsia="仿宋" w:cs="仿宋"/>
          <w:sz w:val="24"/>
          <w:szCs w:val="24"/>
        </w:rPr>
        <w:t>二、征集文件</w:t>
      </w:r>
      <w:bookmarkEnd w:id="42"/>
      <w:bookmarkEnd w:id="43"/>
      <w:bookmarkEnd w:id="44"/>
      <w:bookmarkEnd w:id="45"/>
      <w:bookmarkEnd w:id="46"/>
    </w:p>
    <w:p w14:paraId="41B3A7EC">
      <w:pPr>
        <w:pStyle w:val="7"/>
        <w:spacing w:before="0" w:after="0" w:line="500" w:lineRule="exact"/>
        <w:ind w:firstLine="360"/>
        <w:rPr>
          <w:rFonts w:hint="eastAsia" w:ascii="仿宋" w:hAnsi="仿宋" w:eastAsia="仿宋" w:cs="仿宋"/>
          <w:b/>
          <w:bCs/>
          <w:sz w:val="24"/>
          <w:szCs w:val="24"/>
        </w:rPr>
      </w:pPr>
      <w:bookmarkStart w:id="47" w:name="_Toc20823282"/>
      <w:bookmarkStart w:id="48" w:name="_Toc513029210"/>
      <w:bookmarkStart w:id="49" w:name="_Toc16938526"/>
      <w:r>
        <w:rPr>
          <w:rFonts w:hint="eastAsia" w:ascii="仿宋" w:hAnsi="仿宋" w:eastAsia="仿宋" w:cs="仿宋"/>
          <w:b/>
          <w:bCs/>
          <w:sz w:val="24"/>
          <w:szCs w:val="24"/>
        </w:rPr>
        <w:t>6、征集文件构成</w:t>
      </w:r>
      <w:bookmarkEnd w:id="47"/>
      <w:bookmarkEnd w:id="48"/>
      <w:bookmarkEnd w:id="49"/>
    </w:p>
    <w:p w14:paraId="6237E39C">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6.1</w:t>
      </w:r>
      <w:r>
        <w:rPr>
          <w:rFonts w:hint="eastAsia" w:ascii="仿宋" w:hAnsi="仿宋" w:eastAsia="仿宋" w:cs="仿宋"/>
          <w:sz w:val="24"/>
          <w:szCs w:val="24"/>
        </w:rPr>
        <w:t xml:space="preserve"> 征集文件由以下部分组成：</w:t>
      </w:r>
    </w:p>
    <w:p w14:paraId="0EE19C2D">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6.1.1参加征集活动的邀请</w:t>
      </w:r>
    </w:p>
    <w:p w14:paraId="28BB390E">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6.1.2供应商须知</w:t>
      </w:r>
    </w:p>
    <w:p w14:paraId="22895163">
      <w:pPr>
        <w:spacing w:line="500" w:lineRule="exact"/>
        <w:ind w:firstLine="480"/>
        <w:rPr>
          <w:rFonts w:hint="eastAsia" w:ascii="仿宋" w:hAnsi="仿宋" w:eastAsia="仿宋" w:cs="仿宋"/>
          <w:sz w:val="24"/>
          <w:szCs w:val="24"/>
          <w:lang w:val="en-US" w:eastAsia="zh-CN"/>
        </w:rPr>
      </w:pPr>
      <w:r>
        <w:rPr>
          <w:rFonts w:hint="eastAsia" w:ascii="仿宋" w:hAnsi="仿宋" w:eastAsia="仿宋" w:cs="仿宋"/>
          <w:sz w:val="24"/>
          <w:szCs w:val="24"/>
        </w:rPr>
        <w:t>6.1.3框架协议文本</w:t>
      </w:r>
      <w:r>
        <w:rPr>
          <w:rFonts w:hint="eastAsia" w:ascii="仿宋" w:hAnsi="仿宋" w:eastAsia="仿宋" w:cs="仿宋"/>
          <w:sz w:val="24"/>
          <w:szCs w:val="24"/>
          <w:lang w:val="en-US" w:eastAsia="zh-CN"/>
        </w:rPr>
        <w:t>及合同文本</w:t>
      </w:r>
    </w:p>
    <w:p w14:paraId="4A1A8740">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6.1.4采购需求</w:t>
      </w:r>
    </w:p>
    <w:p w14:paraId="5C7290D1">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6.1.5确定入围及成交供应商</w:t>
      </w:r>
    </w:p>
    <w:p w14:paraId="0A33CB34">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6.1.6</w:t>
      </w:r>
      <w:r>
        <w:rPr>
          <w:rFonts w:hint="eastAsia" w:ascii="仿宋" w:hAnsi="仿宋" w:eastAsia="仿宋" w:cs="仿宋"/>
          <w:sz w:val="24"/>
          <w:szCs w:val="24"/>
          <w:lang w:eastAsia="zh-CN"/>
        </w:rPr>
        <w:t>申请文件</w:t>
      </w:r>
      <w:r>
        <w:rPr>
          <w:rFonts w:hint="eastAsia" w:ascii="仿宋" w:hAnsi="仿宋" w:eastAsia="仿宋" w:cs="仿宋"/>
          <w:sz w:val="24"/>
          <w:szCs w:val="24"/>
        </w:rPr>
        <w:t>格式</w:t>
      </w:r>
    </w:p>
    <w:p w14:paraId="165AA933">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请仔细检查征集文件是否齐全，如有缺漏请立即与</w:t>
      </w:r>
      <w:r>
        <w:rPr>
          <w:rFonts w:hint="eastAsia" w:ascii="仿宋" w:hAnsi="仿宋" w:eastAsia="仿宋" w:cs="仿宋"/>
          <w:sz w:val="24"/>
          <w:szCs w:val="24"/>
          <w:lang w:eastAsia="zh-CN"/>
        </w:rPr>
        <w:t>代理机构</w:t>
      </w:r>
      <w:r>
        <w:rPr>
          <w:rFonts w:hint="eastAsia" w:ascii="仿宋" w:hAnsi="仿宋" w:eastAsia="仿宋" w:cs="仿宋"/>
          <w:sz w:val="24"/>
          <w:szCs w:val="24"/>
        </w:rPr>
        <w:t>联系解决。</w:t>
      </w:r>
    </w:p>
    <w:p w14:paraId="490F5B95">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6.2</w:t>
      </w:r>
      <w:r>
        <w:rPr>
          <w:rFonts w:hint="eastAsia" w:ascii="仿宋" w:hAnsi="仿宋" w:eastAsia="仿宋" w:cs="仿宋"/>
          <w:sz w:val="24"/>
          <w:szCs w:val="24"/>
        </w:rPr>
        <w:t xml:space="preserve"> 供应商应认真阅读征集文件中所有的事项、格式、条款和规范等要求。按征集文件的要求和规定编制</w:t>
      </w:r>
      <w:r>
        <w:rPr>
          <w:rFonts w:hint="eastAsia" w:ascii="仿宋" w:hAnsi="仿宋" w:eastAsia="仿宋" w:cs="仿宋"/>
          <w:sz w:val="24"/>
          <w:szCs w:val="24"/>
          <w:lang w:eastAsia="zh-CN"/>
        </w:rPr>
        <w:t>申请文件</w:t>
      </w:r>
      <w:r>
        <w:rPr>
          <w:rFonts w:hint="eastAsia" w:ascii="仿宋" w:hAnsi="仿宋" w:eastAsia="仿宋" w:cs="仿宋"/>
          <w:sz w:val="24"/>
          <w:szCs w:val="24"/>
        </w:rPr>
        <w:t>，并保证所提供的全部资料的真实性，以使其</w:t>
      </w:r>
      <w:r>
        <w:rPr>
          <w:rFonts w:hint="eastAsia" w:ascii="仿宋" w:hAnsi="仿宋" w:eastAsia="仿宋" w:cs="仿宋"/>
          <w:sz w:val="24"/>
          <w:szCs w:val="24"/>
          <w:lang w:eastAsia="zh-CN"/>
        </w:rPr>
        <w:t>申请文件</w:t>
      </w:r>
      <w:r>
        <w:rPr>
          <w:rFonts w:hint="eastAsia" w:ascii="仿宋" w:hAnsi="仿宋" w:eastAsia="仿宋" w:cs="仿宋"/>
          <w:sz w:val="24"/>
          <w:szCs w:val="24"/>
        </w:rPr>
        <w:t>对征集文件作出实质性响应，否则其风险由供应商自行承担。</w:t>
      </w:r>
    </w:p>
    <w:p w14:paraId="2F222F17">
      <w:pPr>
        <w:pStyle w:val="7"/>
        <w:spacing w:before="0" w:after="0" w:line="500" w:lineRule="exact"/>
        <w:ind w:firstLine="480"/>
        <w:rPr>
          <w:rFonts w:hint="eastAsia" w:ascii="仿宋" w:hAnsi="仿宋" w:eastAsia="仿宋" w:cs="仿宋"/>
          <w:b/>
          <w:bCs/>
          <w:sz w:val="24"/>
          <w:szCs w:val="24"/>
        </w:rPr>
      </w:pPr>
      <w:bookmarkStart w:id="50" w:name="_Toc462564070"/>
      <w:bookmarkStart w:id="51" w:name="_Toc513029211"/>
      <w:bookmarkStart w:id="52" w:name="_Toc20823283"/>
      <w:bookmarkStart w:id="53" w:name="_Toc16938527"/>
      <w:r>
        <w:rPr>
          <w:rFonts w:hint="eastAsia" w:ascii="仿宋" w:hAnsi="仿宋" w:eastAsia="仿宋" w:cs="仿宋"/>
          <w:b/>
          <w:bCs/>
          <w:sz w:val="24"/>
          <w:szCs w:val="24"/>
        </w:rPr>
        <w:t>7、征集文件的澄清</w:t>
      </w:r>
      <w:bookmarkEnd w:id="50"/>
      <w:bookmarkEnd w:id="51"/>
      <w:bookmarkEnd w:id="52"/>
      <w:bookmarkEnd w:id="53"/>
    </w:p>
    <w:p w14:paraId="7F31D390">
      <w:pPr>
        <w:spacing w:line="5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7.1</w:t>
      </w:r>
      <w:r>
        <w:rPr>
          <w:rFonts w:hint="eastAsia" w:ascii="仿宋" w:hAnsi="仿宋" w:eastAsia="仿宋" w:cs="仿宋"/>
          <w:sz w:val="24"/>
          <w:szCs w:val="24"/>
        </w:rPr>
        <w:t xml:space="preserve"> 任何要求对征集文件进行澄清的供应商，应在</w:t>
      </w:r>
      <w:r>
        <w:rPr>
          <w:rFonts w:hint="eastAsia" w:ascii="仿宋" w:hAnsi="仿宋" w:eastAsia="仿宋" w:cs="仿宋"/>
          <w:sz w:val="24"/>
          <w:szCs w:val="24"/>
          <w:lang w:eastAsia="zh-CN"/>
        </w:rPr>
        <w:t>申请文件</w:t>
      </w:r>
      <w:r>
        <w:rPr>
          <w:rFonts w:hint="eastAsia" w:ascii="仿宋" w:hAnsi="仿宋" w:eastAsia="仿宋" w:cs="仿宋"/>
          <w:sz w:val="24"/>
          <w:szCs w:val="24"/>
        </w:rPr>
        <w:t>提交截止期前</w:t>
      </w:r>
      <w:r>
        <w:rPr>
          <w:rFonts w:hint="eastAsia" w:ascii="仿宋" w:hAnsi="仿宋" w:eastAsia="仿宋" w:cs="仿宋"/>
          <w:b/>
          <w:sz w:val="24"/>
          <w:szCs w:val="24"/>
          <w:u w:val="single"/>
        </w:rPr>
        <w:t>十日</w:t>
      </w:r>
      <w:r>
        <w:rPr>
          <w:rFonts w:hint="eastAsia" w:ascii="仿宋" w:hAnsi="仿宋" w:eastAsia="仿宋" w:cs="仿宋"/>
          <w:b/>
          <w:sz w:val="24"/>
          <w:szCs w:val="24"/>
          <w:u w:val="single"/>
          <w:lang w:val="en-US" w:eastAsia="zh-CN"/>
        </w:rPr>
        <w:t xml:space="preserve">内 </w:t>
      </w:r>
      <w:r>
        <w:rPr>
          <w:rFonts w:hint="eastAsia" w:ascii="仿宋" w:hAnsi="仿宋" w:eastAsia="仿宋" w:cs="仿宋"/>
          <w:sz w:val="24"/>
          <w:szCs w:val="24"/>
        </w:rPr>
        <w:t>按征集公告中的通讯地址，以书面形式通知</w:t>
      </w:r>
      <w:r>
        <w:rPr>
          <w:rFonts w:hint="eastAsia" w:ascii="仿宋" w:hAnsi="仿宋" w:eastAsia="仿宋" w:cs="仿宋"/>
          <w:sz w:val="24"/>
          <w:szCs w:val="24"/>
          <w:lang w:eastAsia="zh-CN"/>
        </w:rPr>
        <w:t>代理机构</w:t>
      </w:r>
      <w:r>
        <w:rPr>
          <w:rFonts w:hint="eastAsia" w:ascii="仿宋" w:hAnsi="仿宋" w:eastAsia="仿宋" w:cs="仿宋"/>
          <w:sz w:val="24"/>
          <w:szCs w:val="24"/>
        </w:rPr>
        <w:t>。</w:t>
      </w:r>
    </w:p>
    <w:p w14:paraId="08E5F418">
      <w:pPr>
        <w:pStyle w:val="7"/>
        <w:spacing w:before="0" w:after="0" w:line="500" w:lineRule="exact"/>
        <w:ind w:firstLine="480"/>
        <w:rPr>
          <w:rFonts w:hint="eastAsia" w:ascii="仿宋" w:hAnsi="仿宋" w:eastAsia="仿宋" w:cs="仿宋"/>
          <w:b/>
          <w:bCs/>
          <w:sz w:val="24"/>
          <w:szCs w:val="24"/>
        </w:rPr>
      </w:pPr>
      <w:bookmarkStart w:id="54" w:name="_Toc513029212"/>
      <w:bookmarkStart w:id="55" w:name="_Toc16938528"/>
      <w:bookmarkStart w:id="56" w:name="_Toc462564071"/>
      <w:bookmarkStart w:id="57" w:name="_Toc20823284"/>
      <w:r>
        <w:rPr>
          <w:rFonts w:hint="eastAsia" w:ascii="仿宋" w:hAnsi="仿宋" w:eastAsia="仿宋" w:cs="仿宋"/>
          <w:b/>
          <w:bCs/>
          <w:sz w:val="24"/>
          <w:szCs w:val="24"/>
        </w:rPr>
        <w:t>8、征集文件的修改</w:t>
      </w:r>
      <w:bookmarkEnd w:id="54"/>
      <w:bookmarkEnd w:id="55"/>
      <w:bookmarkEnd w:id="56"/>
      <w:bookmarkEnd w:id="57"/>
    </w:p>
    <w:p w14:paraId="6AEB015C">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 xml:space="preserve"> 在</w:t>
      </w:r>
      <w:r>
        <w:rPr>
          <w:rFonts w:hint="eastAsia" w:ascii="仿宋" w:hAnsi="仿宋" w:eastAsia="仿宋" w:cs="仿宋"/>
          <w:sz w:val="24"/>
          <w:szCs w:val="24"/>
          <w:lang w:eastAsia="zh-CN"/>
        </w:rPr>
        <w:t>申请文件</w:t>
      </w:r>
      <w:r>
        <w:rPr>
          <w:rFonts w:hint="eastAsia" w:ascii="仿宋" w:hAnsi="仿宋" w:eastAsia="仿宋" w:cs="仿宋"/>
          <w:sz w:val="24"/>
          <w:szCs w:val="24"/>
        </w:rPr>
        <w:t>提交截止时间前，</w:t>
      </w:r>
      <w:r>
        <w:rPr>
          <w:rFonts w:hint="eastAsia" w:ascii="仿宋" w:hAnsi="仿宋" w:eastAsia="仿宋" w:cs="仿宋"/>
          <w:sz w:val="24"/>
          <w:szCs w:val="24"/>
          <w:lang w:eastAsia="zh-CN"/>
        </w:rPr>
        <w:t>代理机构</w:t>
      </w:r>
      <w:r>
        <w:rPr>
          <w:rFonts w:hint="eastAsia" w:ascii="仿宋" w:hAnsi="仿宋" w:eastAsia="仿宋" w:cs="仿宋"/>
          <w:sz w:val="24"/>
          <w:szCs w:val="24"/>
        </w:rPr>
        <w:t>可以对征集文件进行修改。</w:t>
      </w:r>
    </w:p>
    <w:p w14:paraId="256456D3">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8.2</w:t>
      </w:r>
      <w:r>
        <w:rPr>
          <w:rFonts w:hint="eastAsia" w:ascii="仿宋" w:hAnsi="仿宋" w:eastAsia="仿宋" w:cs="仿宋"/>
          <w:sz w:val="24"/>
          <w:szCs w:val="24"/>
          <w:lang w:eastAsia="zh-CN"/>
        </w:rPr>
        <w:t>代理机构</w:t>
      </w:r>
      <w:r>
        <w:rPr>
          <w:rFonts w:hint="eastAsia" w:ascii="仿宋" w:hAnsi="仿宋" w:eastAsia="仿宋" w:cs="仿宋"/>
          <w:sz w:val="24"/>
          <w:szCs w:val="24"/>
        </w:rPr>
        <w:t>有权按照法定的要求推迟</w:t>
      </w:r>
      <w:r>
        <w:rPr>
          <w:rFonts w:hint="eastAsia" w:ascii="仿宋" w:hAnsi="仿宋" w:eastAsia="仿宋" w:cs="仿宋"/>
          <w:sz w:val="24"/>
          <w:szCs w:val="24"/>
          <w:lang w:eastAsia="zh-CN"/>
        </w:rPr>
        <w:t>申请文件</w:t>
      </w:r>
      <w:r>
        <w:rPr>
          <w:rFonts w:hint="eastAsia" w:ascii="仿宋" w:hAnsi="仿宋" w:eastAsia="仿宋" w:cs="仿宋"/>
          <w:sz w:val="24"/>
          <w:szCs w:val="24"/>
        </w:rPr>
        <w:t>提交截止日期和开启日期。</w:t>
      </w:r>
    </w:p>
    <w:p w14:paraId="1782BE4F">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8.3</w:t>
      </w:r>
      <w:r>
        <w:rPr>
          <w:rFonts w:hint="eastAsia" w:ascii="仿宋" w:hAnsi="仿宋" w:eastAsia="仿宋" w:cs="仿宋"/>
          <w:sz w:val="24"/>
          <w:szCs w:val="24"/>
        </w:rPr>
        <w:t>征集文件的修改将在“江苏省政府采购网”</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南京公共信息采购网</w:t>
      </w:r>
      <w:r>
        <w:rPr>
          <w:rFonts w:hint="eastAsia" w:ascii="仿宋" w:hAnsi="仿宋" w:eastAsia="仿宋" w:cs="仿宋"/>
          <w:sz w:val="24"/>
          <w:szCs w:val="24"/>
        </w:rPr>
        <w:t>”公布，补充文件将作为征集文件的组成部分，并对供应商具有约束力。</w:t>
      </w:r>
    </w:p>
    <w:p w14:paraId="16F897F0">
      <w:pPr>
        <w:pStyle w:val="5"/>
        <w:spacing w:before="0" w:after="0" w:line="500" w:lineRule="exact"/>
        <w:rPr>
          <w:rFonts w:hint="eastAsia" w:ascii="仿宋" w:hAnsi="仿宋" w:eastAsia="仿宋" w:cs="仿宋"/>
          <w:sz w:val="24"/>
          <w:szCs w:val="24"/>
        </w:rPr>
      </w:pPr>
      <w:bookmarkStart w:id="58" w:name="_Toc16938529"/>
      <w:bookmarkStart w:id="59" w:name="_Toc20823285"/>
      <w:bookmarkStart w:id="60" w:name="_Toc462564072"/>
      <w:bookmarkStart w:id="61" w:name="_Toc120614216"/>
      <w:bookmarkStart w:id="62" w:name="_Toc513029213"/>
      <w:bookmarkStart w:id="63" w:name="_Toc2289"/>
      <w:r>
        <w:rPr>
          <w:rFonts w:hint="eastAsia" w:ascii="仿宋" w:hAnsi="仿宋" w:eastAsia="仿宋" w:cs="仿宋"/>
          <w:sz w:val="24"/>
          <w:szCs w:val="24"/>
        </w:rPr>
        <w:t>三、</w:t>
      </w:r>
      <w:r>
        <w:rPr>
          <w:rFonts w:hint="eastAsia" w:ascii="仿宋" w:hAnsi="仿宋" w:eastAsia="仿宋" w:cs="仿宋"/>
          <w:sz w:val="24"/>
          <w:szCs w:val="24"/>
          <w:lang w:eastAsia="zh-CN"/>
        </w:rPr>
        <w:t>申请文件</w:t>
      </w:r>
      <w:r>
        <w:rPr>
          <w:rFonts w:hint="eastAsia" w:ascii="仿宋" w:hAnsi="仿宋" w:eastAsia="仿宋" w:cs="仿宋"/>
          <w:sz w:val="24"/>
          <w:szCs w:val="24"/>
        </w:rPr>
        <w:t>的编制</w:t>
      </w:r>
      <w:bookmarkEnd w:id="58"/>
      <w:bookmarkEnd w:id="59"/>
      <w:bookmarkEnd w:id="60"/>
      <w:bookmarkEnd w:id="61"/>
      <w:bookmarkEnd w:id="62"/>
      <w:bookmarkEnd w:id="63"/>
    </w:p>
    <w:p w14:paraId="23105E64">
      <w:pPr>
        <w:pStyle w:val="7"/>
        <w:spacing w:before="0" w:after="0" w:line="500" w:lineRule="exact"/>
        <w:ind w:firstLine="480"/>
        <w:rPr>
          <w:rFonts w:hint="eastAsia" w:ascii="仿宋" w:hAnsi="仿宋" w:eastAsia="仿宋" w:cs="仿宋"/>
          <w:b/>
          <w:bCs/>
          <w:sz w:val="24"/>
          <w:szCs w:val="24"/>
        </w:rPr>
      </w:pPr>
      <w:bookmarkStart w:id="64" w:name="_Toc462564073"/>
      <w:bookmarkStart w:id="65" w:name="_Toc513029214"/>
      <w:bookmarkStart w:id="66" w:name="_Toc20823286"/>
      <w:bookmarkStart w:id="67" w:name="_Toc16938530"/>
      <w:r>
        <w:rPr>
          <w:rFonts w:hint="eastAsia" w:ascii="仿宋" w:hAnsi="仿宋" w:eastAsia="仿宋" w:cs="仿宋"/>
          <w:b/>
          <w:bCs/>
          <w:sz w:val="24"/>
          <w:szCs w:val="24"/>
        </w:rPr>
        <w:t>9、</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的语言及度量衡单位</w:t>
      </w:r>
      <w:bookmarkEnd w:id="64"/>
      <w:bookmarkEnd w:id="65"/>
      <w:bookmarkEnd w:id="66"/>
      <w:bookmarkEnd w:id="67"/>
    </w:p>
    <w:p w14:paraId="4B6B8EBD">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9.1</w:t>
      </w:r>
      <w:r>
        <w:rPr>
          <w:rFonts w:hint="eastAsia" w:ascii="仿宋" w:hAnsi="仿宋" w:eastAsia="仿宋" w:cs="仿宋"/>
          <w:sz w:val="24"/>
          <w:szCs w:val="24"/>
        </w:rPr>
        <w:t xml:space="preserve"> 供应商提交的</w:t>
      </w:r>
      <w:r>
        <w:rPr>
          <w:rFonts w:hint="eastAsia" w:ascii="仿宋" w:hAnsi="仿宋" w:eastAsia="仿宋" w:cs="仿宋"/>
          <w:sz w:val="24"/>
          <w:szCs w:val="24"/>
          <w:lang w:eastAsia="zh-CN"/>
        </w:rPr>
        <w:t>申请文件</w:t>
      </w:r>
      <w:r>
        <w:rPr>
          <w:rFonts w:hint="eastAsia" w:ascii="仿宋" w:hAnsi="仿宋" w:eastAsia="仿宋" w:cs="仿宋"/>
          <w:sz w:val="24"/>
          <w:szCs w:val="24"/>
        </w:rPr>
        <w:t>以及供应商与</w:t>
      </w:r>
      <w:r>
        <w:rPr>
          <w:rFonts w:hint="eastAsia" w:ascii="仿宋" w:hAnsi="仿宋" w:eastAsia="仿宋" w:cs="仿宋"/>
          <w:sz w:val="24"/>
          <w:szCs w:val="24"/>
          <w:lang w:eastAsia="zh-CN"/>
        </w:rPr>
        <w:t>代理机构</w:t>
      </w:r>
      <w:r>
        <w:rPr>
          <w:rFonts w:hint="eastAsia" w:ascii="仿宋" w:hAnsi="仿宋" w:eastAsia="仿宋" w:cs="仿宋"/>
          <w:sz w:val="24"/>
          <w:szCs w:val="24"/>
        </w:rPr>
        <w:t>就采购活动的所有来往通知、函件和文件均应使用</w:t>
      </w:r>
      <w:r>
        <w:rPr>
          <w:rFonts w:hint="eastAsia" w:ascii="仿宋" w:hAnsi="仿宋" w:eastAsia="仿宋" w:cs="仿宋"/>
          <w:b/>
          <w:bCs/>
          <w:sz w:val="24"/>
          <w:szCs w:val="24"/>
        </w:rPr>
        <w:t>简体中文</w:t>
      </w:r>
      <w:r>
        <w:rPr>
          <w:rFonts w:hint="eastAsia" w:ascii="仿宋" w:hAnsi="仿宋" w:eastAsia="仿宋" w:cs="仿宋"/>
          <w:sz w:val="24"/>
          <w:szCs w:val="24"/>
        </w:rPr>
        <w:t>。</w:t>
      </w:r>
    </w:p>
    <w:p w14:paraId="377C9632">
      <w:pPr>
        <w:spacing w:line="500" w:lineRule="exact"/>
        <w:ind w:firstLine="480"/>
        <w:rPr>
          <w:rFonts w:hint="eastAsia" w:ascii="仿宋" w:hAnsi="仿宋" w:eastAsia="仿宋" w:cs="仿宋"/>
          <w:sz w:val="24"/>
          <w:szCs w:val="24"/>
        </w:rPr>
      </w:pPr>
      <w:r>
        <w:rPr>
          <w:rFonts w:hint="eastAsia" w:ascii="仿宋" w:hAnsi="仿宋" w:eastAsia="仿宋" w:cs="仿宋"/>
          <w:bCs/>
          <w:sz w:val="24"/>
          <w:szCs w:val="24"/>
        </w:rPr>
        <w:t>9.2</w:t>
      </w:r>
      <w:r>
        <w:rPr>
          <w:rFonts w:hint="eastAsia" w:ascii="仿宋" w:hAnsi="仿宋" w:eastAsia="仿宋" w:cs="仿宋"/>
          <w:sz w:val="24"/>
          <w:szCs w:val="24"/>
        </w:rPr>
        <w:t xml:space="preserve"> 除技术性能另有规定外，</w:t>
      </w:r>
      <w:r>
        <w:rPr>
          <w:rFonts w:hint="eastAsia" w:ascii="仿宋" w:hAnsi="仿宋" w:eastAsia="仿宋" w:cs="仿宋"/>
          <w:sz w:val="24"/>
          <w:szCs w:val="24"/>
          <w:lang w:eastAsia="zh-CN"/>
        </w:rPr>
        <w:t>申请文件</w:t>
      </w:r>
      <w:r>
        <w:rPr>
          <w:rFonts w:hint="eastAsia" w:ascii="仿宋" w:hAnsi="仿宋" w:eastAsia="仿宋" w:cs="仿宋"/>
          <w:sz w:val="24"/>
          <w:szCs w:val="24"/>
        </w:rPr>
        <w:t>所使用的度量衡单位，均须采用国家法定计量单位。</w:t>
      </w:r>
    </w:p>
    <w:p w14:paraId="51063148">
      <w:pPr>
        <w:pStyle w:val="7"/>
        <w:spacing w:before="0" w:after="0" w:line="500" w:lineRule="exact"/>
        <w:ind w:firstLine="360"/>
        <w:rPr>
          <w:rFonts w:hint="eastAsia" w:ascii="仿宋" w:hAnsi="仿宋" w:eastAsia="仿宋" w:cs="仿宋"/>
          <w:b/>
          <w:bCs/>
          <w:sz w:val="24"/>
          <w:szCs w:val="24"/>
          <w:highlight w:val="none"/>
        </w:rPr>
      </w:pPr>
      <w:bookmarkStart w:id="68" w:name="_Toc513029215"/>
      <w:bookmarkStart w:id="69" w:name="_Toc16938531"/>
      <w:bookmarkStart w:id="70" w:name="_Toc462564074"/>
      <w:bookmarkStart w:id="71" w:name="_Toc20823287"/>
      <w:r>
        <w:rPr>
          <w:rFonts w:hint="eastAsia" w:ascii="仿宋" w:hAnsi="仿宋" w:eastAsia="仿宋" w:cs="仿宋"/>
          <w:b/>
          <w:bCs/>
          <w:sz w:val="24"/>
          <w:szCs w:val="24"/>
        </w:rPr>
        <w:t>10、</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构成</w:t>
      </w:r>
      <w:bookmarkEnd w:id="68"/>
      <w:bookmarkEnd w:id="69"/>
      <w:bookmarkEnd w:id="70"/>
      <w:bookmarkEnd w:id="71"/>
    </w:p>
    <w:p w14:paraId="74E93AE9">
      <w:pPr>
        <w:spacing w:line="500" w:lineRule="exact"/>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10.1 供应商编写的</w:t>
      </w:r>
      <w:r>
        <w:rPr>
          <w:rFonts w:hint="eastAsia" w:ascii="仿宋" w:hAnsi="仿宋" w:eastAsia="仿宋" w:cs="仿宋"/>
          <w:bCs/>
          <w:sz w:val="24"/>
          <w:szCs w:val="24"/>
          <w:highlight w:val="none"/>
          <w:lang w:eastAsia="zh-CN"/>
        </w:rPr>
        <w:t>申请文件</w:t>
      </w:r>
      <w:r>
        <w:rPr>
          <w:rFonts w:hint="eastAsia" w:ascii="仿宋" w:hAnsi="仿宋" w:eastAsia="仿宋" w:cs="仿宋"/>
          <w:bCs/>
          <w:sz w:val="24"/>
          <w:szCs w:val="24"/>
          <w:highlight w:val="none"/>
        </w:rPr>
        <w:t>应包括资格证明文件、符合性证明文件、报价明细表、响应及偏离表、其他证明文件、响应函、报价一览表等部分。</w:t>
      </w:r>
    </w:p>
    <w:p w14:paraId="71AD59F8">
      <w:pPr>
        <w:spacing w:line="500" w:lineRule="exact"/>
        <w:ind w:firstLine="480"/>
        <w:rPr>
          <w:rFonts w:hint="eastAsia" w:ascii="仿宋" w:hAnsi="仿宋" w:eastAsia="仿宋" w:cs="仿宋"/>
          <w:bCs/>
          <w:sz w:val="24"/>
          <w:szCs w:val="24"/>
        </w:rPr>
      </w:pPr>
      <w:r>
        <w:rPr>
          <w:rFonts w:hint="eastAsia" w:ascii="仿宋" w:hAnsi="仿宋" w:eastAsia="仿宋" w:cs="仿宋"/>
          <w:bCs/>
          <w:sz w:val="24"/>
          <w:szCs w:val="24"/>
          <w:highlight w:val="none"/>
        </w:rPr>
        <w:t>10.2 如标书制作工具中格式和内容与“江苏政府采购网”发布的征</w:t>
      </w:r>
      <w:r>
        <w:rPr>
          <w:rFonts w:hint="eastAsia" w:ascii="仿宋" w:hAnsi="仿宋" w:eastAsia="仿宋" w:cs="仿宋"/>
          <w:bCs/>
          <w:sz w:val="24"/>
          <w:szCs w:val="24"/>
        </w:rPr>
        <w:t>集文件不一致，</w:t>
      </w:r>
      <w:r>
        <w:rPr>
          <w:rFonts w:hint="eastAsia" w:ascii="仿宋" w:hAnsi="仿宋" w:eastAsia="仿宋" w:cs="仿宋"/>
          <w:b/>
          <w:bCs w:val="0"/>
          <w:sz w:val="24"/>
          <w:szCs w:val="24"/>
          <w:u w:val="single"/>
        </w:rPr>
        <w:t>以“江苏政府采购网”发布的征集文件为准</w:t>
      </w:r>
      <w:r>
        <w:rPr>
          <w:rFonts w:hint="eastAsia" w:ascii="仿宋" w:hAnsi="仿宋" w:eastAsia="仿宋" w:cs="仿宋"/>
          <w:bCs/>
          <w:sz w:val="24"/>
          <w:szCs w:val="24"/>
        </w:rPr>
        <w:t>。</w:t>
      </w:r>
    </w:p>
    <w:p w14:paraId="35D7D460">
      <w:pPr>
        <w:pStyle w:val="7"/>
        <w:spacing w:before="0" w:after="0" w:line="500" w:lineRule="exact"/>
        <w:ind w:firstLine="360"/>
        <w:rPr>
          <w:rFonts w:hint="eastAsia" w:ascii="仿宋" w:hAnsi="仿宋" w:eastAsia="仿宋" w:cs="仿宋"/>
          <w:b/>
          <w:bCs/>
          <w:sz w:val="24"/>
          <w:szCs w:val="24"/>
        </w:rPr>
      </w:pPr>
      <w:bookmarkStart w:id="72" w:name="_Hlt26670360"/>
      <w:bookmarkEnd w:id="72"/>
      <w:bookmarkStart w:id="73" w:name="_Hlt26668975"/>
      <w:bookmarkEnd w:id="73"/>
      <w:bookmarkStart w:id="74" w:name="_Hlt26954848"/>
      <w:bookmarkEnd w:id="74"/>
      <w:bookmarkStart w:id="75" w:name="_Hlt26670486"/>
      <w:bookmarkEnd w:id="75"/>
      <w:bookmarkStart w:id="76" w:name="_Hlt26954731"/>
      <w:bookmarkEnd w:id="76"/>
      <w:bookmarkStart w:id="77" w:name="_Hlt26670482"/>
      <w:bookmarkEnd w:id="77"/>
      <w:bookmarkStart w:id="78" w:name="_Hlt26954846"/>
      <w:bookmarkEnd w:id="78"/>
      <w:bookmarkStart w:id="79" w:name="_Hlt26954838"/>
      <w:bookmarkEnd w:id="79"/>
      <w:r>
        <w:rPr>
          <w:rFonts w:hint="eastAsia" w:ascii="仿宋" w:hAnsi="仿宋" w:eastAsia="仿宋" w:cs="仿宋"/>
          <w:b/>
          <w:bCs/>
          <w:sz w:val="24"/>
          <w:szCs w:val="24"/>
        </w:rPr>
        <w:t>11.报价明细表（如有）</w:t>
      </w:r>
    </w:p>
    <w:p w14:paraId="37D371BA">
      <w:pPr>
        <w:pStyle w:val="7"/>
        <w:spacing w:before="0" w:after="0" w:line="500" w:lineRule="exact"/>
        <w:ind w:firstLine="360"/>
        <w:rPr>
          <w:rFonts w:hint="eastAsia" w:ascii="仿宋" w:hAnsi="仿宋" w:eastAsia="仿宋" w:cs="仿宋"/>
          <w:b w:val="0"/>
          <w:bCs w:val="0"/>
          <w:sz w:val="24"/>
          <w:szCs w:val="24"/>
        </w:rPr>
      </w:pPr>
      <w:r>
        <w:rPr>
          <w:rFonts w:hint="eastAsia" w:ascii="仿宋" w:hAnsi="仿宋" w:eastAsia="仿宋" w:cs="仿宋"/>
          <w:b w:val="0"/>
          <w:bCs w:val="0"/>
          <w:sz w:val="24"/>
          <w:szCs w:val="24"/>
        </w:rPr>
        <w:t>11.1 供应商应按照征集文件规定格式填报报价明细表。</w:t>
      </w:r>
      <w:bookmarkStart w:id="80" w:name="_Hlt26954739"/>
      <w:bookmarkEnd w:id="80"/>
      <w:bookmarkStart w:id="81" w:name="_Hlt26954852"/>
      <w:bookmarkEnd w:id="81"/>
      <w:bookmarkStart w:id="82" w:name="_Toc513029224"/>
      <w:bookmarkStart w:id="83" w:name="_Toc16938540"/>
      <w:bookmarkStart w:id="84" w:name="_Toc20823296"/>
      <w:bookmarkStart w:id="85" w:name="_Toc120614217"/>
    </w:p>
    <w:p w14:paraId="34718CEC">
      <w:pPr>
        <w:pStyle w:val="7"/>
        <w:spacing w:before="0" w:after="0" w:line="500" w:lineRule="exact"/>
        <w:ind w:firstLine="360"/>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12.技术与商务要求响应</w:t>
      </w:r>
    </w:p>
    <w:p w14:paraId="6D2029D6">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12.1 供应商需对征集文件中的技术与商务要求逐项作出响应。供应商响应的技术与商务要求不得低于征集文件要求。</w:t>
      </w:r>
    </w:p>
    <w:p w14:paraId="5DD96209">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12.2 供应商可在申请文件中提供认为需要的其他技术文件或说明。</w:t>
      </w:r>
    </w:p>
    <w:p w14:paraId="419113E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13.服务承诺</w:t>
      </w:r>
    </w:p>
    <w:p w14:paraId="195FDC24">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 供应商需根据征集文件要求提供服务管理制度，服务人员的数量、素质、技术水平及服务的反应能力等材料。</w:t>
      </w:r>
    </w:p>
    <w:p w14:paraId="555ED95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14.响应函和报价一览表（如有）</w:t>
      </w:r>
    </w:p>
    <w:p w14:paraId="42691A22">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14.1 供应商应按照征集文件中提供的格式完整、正确填写响应函、报价一览表。</w:t>
      </w:r>
    </w:p>
    <w:p w14:paraId="668FC3AE">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14.2 申请文件中的单价和总价无特殊规定的采用人民币报价，以元为单位标注。征集文件另有规定的按规定执行。</w:t>
      </w:r>
    </w:p>
    <w:p w14:paraId="04A6540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15.申请文件有效期</w:t>
      </w:r>
    </w:p>
    <w:p w14:paraId="36E3C1F4">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 申请文件有效期为申请文件提交截止时间之日后九十天。申请文件有效期比规定短的将被视为未实质性响应征集文件而予以拒绝。</w:t>
      </w:r>
    </w:p>
    <w:p w14:paraId="7C9DF52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16.申请文件有效期的延长</w:t>
      </w:r>
    </w:p>
    <w:p w14:paraId="38744D2D">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 在特殊情况下，征集人于原申请文件有效期满之前，可向供应商提出延长申请文件有效期的要求。这种要求与答复均应采用书面形式。供应商可以拒绝这一要求而放弃参加采购活动，同意延长申请文件有效期的供应商既不能要求也不允许修改其申请文件，同时受申请文件有效期约束的所有权利与义务均延长至新的有效期满。</w:t>
      </w:r>
    </w:p>
    <w:p w14:paraId="5045EE52">
      <w:pPr>
        <w:pStyle w:val="5"/>
        <w:spacing w:before="0" w:after="0" w:line="500" w:lineRule="exact"/>
        <w:rPr>
          <w:rFonts w:hint="eastAsia" w:ascii="仿宋" w:hAnsi="仿宋" w:eastAsia="仿宋" w:cs="仿宋"/>
          <w:sz w:val="24"/>
          <w:szCs w:val="24"/>
        </w:rPr>
      </w:pPr>
      <w:bookmarkStart w:id="86" w:name="_Toc25480"/>
      <w:r>
        <w:rPr>
          <w:rFonts w:hint="eastAsia" w:ascii="仿宋" w:hAnsi="仿宋" w:eastAsia="仿宋" w:cs="仿宋"/>
          <w:sz w:val="24"/>
          <w:szCs w:val="24"/>
        </w:rPr>
        <w:t>四、</w:t>
      </w:r>
      <w:r>
        <w:rPr>
          <w:rFonts w:hint="eastAsia" w:ascii="仿宋" w:hAnsi="仿宋" w:eastAsia="仿宋" w:cs="仿宋"/>
          <w:sz w:val="24"/>
          <w:szCs w:val="24"/>
          <w:lang w:eastAsia="zh-CN"/>
        </w:rPr>
        <w:t>申请文件</w:t>
      </w:r>
      <w:r>
        <w:rPr>
          <w:rFonts w:hint="eastAsia" w:ascii="仿宋" w:hAnsi="仿宋" w:eastAsia="仿宋" w:cs="仿宋"/>
          <w:sz w:val="24"/>
          <w:szCs w:val="24"/>
        </w:rPr>
        <w:t>的递交</w:t>
      </w:r>
      <w:bookmarkEnd w:id="82"/>
      <w:bookmarkEnd w:id="83"/>
      <w:bookmarkEnd w:id="84"/>
      <w:bookmarkEnd w:id="85"/>
      <w:bookmarkEnd w:id="86"/>
    </w:p>
    <w:p w14:paraId="6A13301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szCs w:val="28"/>
          <w:lang w:val="en-US" w:eastAsia="zh-CN"/>
        </w:rPr>
      </w:pPr>
      <w:bookmarkStart w:id="87" w:name="_Toc20823307"/>
      <w:bookmarkStart w:id="88" w:name="_Toc16938551"/>
      <w:bookmarkStart w:id="89" w:name="_Toc513029235"/>
      <w:r>
        <w:rPr>
          <w:rFonts w:hint="eastAsia" w:ascii="仿宋" w:hAnsi="仿宋" w:eastAsia="仿宋" w:cs="仿宋"/>
          <w:b/>
          <w:bCs/>
          <w:sz w:val="24"/>
          <w:szCs w:val="28"/>
          <w:lang w:val="en-US" w:eastAsia="zh-CN"/>
        </w:rPr>
        <w:t>17.申请文件的递交</w:t>
      </w:r>
    </w:p>
    <w:p w14:paraId="03F978A6">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17.1 供应商应当按照《操作手册》规定，在申请文件提交截止时间前制作并上传电子申请文件。</w:t>
      </w:r>
    </w:p>
    <w:p w14:paraId="4D93E48F">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17.2 供应商应充分考虑到网络环境、网络带宽等风险因素可能产生的影响，如因供应商自身原因造成的电子申请文件上传不成功的，按照本征集文件第二章第25.1条规定做无效响应处理。</w:t>
      </w:r>
    </w:p>
    <w:p w14:paraId="507CA4CB">
      <w:pPr>
        <w:pStyle w:val="7"/>
        <w:spacing w:before="0" w:after="0" w:line="500" w:lineRule="exact"/>
        <w:ind w:firstLine="36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17.3 征集人可以按照规定，通过修改征集文件酌情延长截止日期，在此情况下，供应商的所有权利和义务均以延长后新的截止日期为准。</w:t>
      </w:r>
    </w:p>
    <w:p w14:paraId="328C843C">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18.</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的拒收</w:t>
      </w:r>
    </w:p>
    <w:p w14:paraId="576CA7FF">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18.1 </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提交截止时间后上传的任何</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将被拒绝。</w:t>
      </w:r>
    </w:p>
    <w:p w14:paraId="75968FBA">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19.</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的撤回和修改</w:t>
      </w:r>
    </w:p>
    <w:p w14:paraId="6CB125C0">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19.1 </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的撤回</w:t>
      </w:r>
    </w:p>
    <w:p w14:paraId="71FE5BD2">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19.1.1供应商可在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提交截止时间前撤回其电子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，具体操作方法见《操作手册》。</w:t>
      </w:r>
    </w:p>
    <w:p w14:paraId="72A61F3A">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19.1.2供应商撤回电子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，则认为其不再参与本项采购活动。</w:t>
      </w:r>
    </w:p>
    <w:p w14:paraId="6D896243">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19.2 </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的修改</w:t>
      </w:r>
    </w:p>
    <w:p w14:paraId="1722C581">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19.2.1供应商可在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提交截止时间前，对其电子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进行修改，具体操作方法见《操作手册》。</w:t>
      </w:r>
    </w:p>
    <w:p w14:paraId="78F4E87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19.2.2在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提交截止时间之后，供应商不得对其电子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作任何修改。</w:t>
      </w:r>
    </w:p>
    <w:p w14:paraId="398D929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19.3 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提交截止时间至征集文件中规定的</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有效期满之间的这段时间内，供应商不得撤回其电子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w:t>
      </w:r>
    </w:p>
    <w:p w14:paraId="044A914E">
      <w:pPr>
        <w:pStyle w:val="5"/>
        <w:spacing w:before="0" w:after="0" w:line="500" w:lineRule="exact"/>
        <w:rPr>
          <w:rFonts w:hint="eastAsia" w:ascii="仿宋" w:hAnsi="仿宋" w:eastAsia="仿宋" w:cs="仿宋"/>
          <w:sz w:val="24"/>
          <w:szCs w:val="24"/>
        </w:rPr>
      </w:pPr>
      <w:bookmarkStart w:id="90" w:name="_Toc8155"/>
      <w:r>
        <w:rPr>
          <w:rFonts w:hint="eastAsia" w:ascii="仿宋" w:hAnsi="仿宋" w:eastAsia="仿宋" w:cs="仿宋"/>
          <w:sz w:val="24"/>
          <w:szCs w:val="24"/>
        </w:rPr>
        <w:t>五、</w:t>
      </w:r>
      <w:r>
        <w:rPr>
          <w:rFonts w:hint="eastAsia" w:ascii="仿宋" w:hAnsi="仿宋" w:eastAsia="仿宋" w:cs="仿宋"/>
          <w:sz w:val="24"/>
          <w:szCs w:val="24"/>
          <w:lang w:eastAsia="zh-CN"/>
        </w:rPr>
        <w:t>申请文件</w:t>
      </w:r>
      <w:r>
        <w:rPr>
          <w:rFonts w:hint="eastAsia" w:ascii="仿宋" w:hAnsi="仿宋" w:eastAsia="仿宋" w:cs="仿宋"/>
          <w:sz w:val="24"/>
          <w:szCs w:val="24"/>
        </w:rPr>
        <w:t>的开启与评审</w:t>
      </w:r>
      <w:bookmarkEnd w:id="90"/>
    </w:p>
    <w:p w14:paraId="15FB7FB3">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20.</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的开启</w:t>
      </w:r>
    </w:p>
    <w:p w14:paraId="2AF8D1FB">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20.1 征集人将在征集公告中规定的时间和地点组织开启</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。供应商应当按照《操作手册》规定，参加</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开启并在苏采云系统规定的时间内对电子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进行解密。苏采云系统公布各供应商名称和报价。</w:t>
      </w:r>
    </w:p>
    <w:p w14:paraId="2ACEED6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20.2 供应商在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开启过程中涉及到的</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解密、结果确认等工作，应按照《操作手册》规定执行。</w:t>
      </w:r>
    </w:p>
    <w:p w14:paraId="0340EFE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20.3 供应商如果对</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开启过程和开启记录有疑义，应当根据《操作手册》规定提出，苏采云系统中《报价记录表》公布后5分钟内未提出的，视同认可开启结果。</w:t>
      </w:r>
    </w:p>
    <w:p w14:paraId="6A1B7A51">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21.评审</w:t>
      </w:r>
    </w:p>
    <w:p w14:paraId="3E49B944">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21.1 依法组建的评审小组进行项目评审。</w:t>
      </w:r>
    </w:p>
    <w:p w14:paraId="3885F971">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21.2 评审小组独立工作，负责评审所有</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并确定入围供应商。</w:t>
      </w:r>
    </w:p>
    <w:p w14:paraId="67AA9DC0">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22.评审过程的保密与公正</w:t>
      </w:r>
    </w:p>
    <w:p w14:paraId="4986CB81">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22.1 凡是与审查、澄清、评价和比较的有关资料以及授标建议等，评审小组成员、</w:t>
      </w:r>
      <w:r>
        <w:rPr>
          <w:rFonts w:hint="eastAsia" w:ascii="仿宋" w:hAnsi="仿宋" w:eastAsia="仿宋" w:cs="仿宋"/>
          <w:b w:val="0"/>
          <w:bCs w:val="0"/>
          <w:sz w:val="24"/>
          <w:szCs w:val="24"/>
          <w:lang w:val="en-US" w:eastAsia="zh-CN"/>
        </w:rPr>
        <w:t>代理机构</w:t>
      </w:r>
      <w:r>
        <w:rPr>
          <w:rFonts w:hint="eastAsia" w:ascii="仿宋" w:hAnsi="仿宋" w:eastAsia="仿宋" w:cs="仿宋"/>
          <w:b w:val="0"/>
          <w:bCs w:val="0"/>
          <w:sz w:val="24"/>
          <w:szCs w:val="24"/>
        </w:rPr>
        <w:t>均不得向供应商或与评审工作无关的其他人员透露。</w:t>
      </w:r>
    </w:p>
    <w:p w14:paraId="7D540972">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22.2 供应商不得以任何方式影响评审工作，否则其</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将被作为无效</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w:t>
      </w:r>
    </w:p>
    <w:p w14:paraId="199A4505">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22.3 </w:t>
      </w:r>
      <w:r>
        <w:rPr>
          <w:rFonts w:hint="eastAsia" w:ascii="仿宋" w:hAnsi="仿宋" w:eastAsia="仿宋" w:cs="仿宋"/>
          <w:b w:val="0"/>
          <w:bCs w:val="0"/>
          <w:sz w:val="24"/>
          <w:szCs w:val="24"/>
          <w:lang w:val="en-US" w:eastAsia="zh-CN"/>
        </w:rPr>
        <w:t>代理机构</w:t>
      </w:r>
      <w:r>
        <w:rPr>
          <w:rFonts w:hint="eastAsia" w:ascii="仿宋" w:hAnsi="仿宋" w:eastAsia="仿宋" w:cs="仿宋"/>
          <w:b w:val="0"/>
          <w:bCs w:val="0"/>
          <w:sz w:val="24"/>
          <w:szCs w:val="24"/>
        </w:rPr>
        <w:t>和评审小组不向未入围的供应商解释未入围原因，也不公布评审过程中的相关细节。</w:t>
      </w:r>
    </w:p>
    <w:p w14:paraId="453C563D">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23.</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的澄清</w:t>
      </w:r>
    </w:p>
    <w:p w14:paraId="7FE545BE">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23.1 评审期间，评审小组对</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中含义不明确、同类问题表述不一致或者有明显文字和计算错误的内容，有权要求供应商作出必要的澄清、说明和补正。</w:t>
      </w:r>
    </w:p>
    <w:p w14:paraId="68DFFC5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供应商的澄清、说明或者补正不得超出</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的范围或者改变</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的实质性内容。</w:t>
      </w:r>
    </w:p>
    <w:p w14:paraId="1925C5D0">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评审小组并非对每个供应商都做澄清要求。</w:t>
      </w:r>
    </w:p>
    <w:p w14:paraId="53C002E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23.2 需要供应商进行澄清、说明和补正的，评审小组将通过苏采云系统向供应商发出《澄清要求函》，接到《澄清要求函》的供应商应当按照要求在苏采云系统中提交《澄清响应函》并加盖电子公章。澄清、说明和补正的内容作为</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的补充部分，具体操作方式见《操作手册》。</w:t>
      </w:r>
    </w:p>
    <w:p w14:paraId="07E37A9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23.3 接到评审小组澄清、说明和补正要求的，供应商如未按规定作出澄清、说明和补正，其风险由供应商自行承担。</w:t>
      </w:r>
    </w:p>
    <w:p w14:paraId="3AA1D948">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24.</w:t>
      </w:r>
      <w:r>
        <w:rPr>
          <w:rFonts w:hint="eastAsia" w:ascii="仿宋" w:hAnsi="仿宋" w:eastAsia="仿宋" w:cs="仿宋"/>
          <w:b/>
          <w:bCs/>
          <w:sz w:val="24"/>
          <w:szCs w:val="24"/>
          <w:lang w:eastAsia="zh-CN"/>
        </w:rPr>
        <w:t>申请文件</w:t>
      </w:r>
      <w:r>
        <w:rPr>
          <w:rFonts w:hint="eastAsia" w:ascii="仿宋" w:hAnsi="仿宋" w:eastAsia="仿宋" w:cs="仿宋"/>
          <w:b/>
          <w:bCs/>
          <w:sz w:val="24"/>
          <w:szCs w:val="24"/>
        </w:rPr>
        <w:t>审</w:t>
      </w:r>
      <w:r>
        <w:rPr>
          <w:rFonts w:hint="eastAsia" w:ascii="仿宋" w:hAnsi="仿宋" w:eastAsia="仿宋" w:cs="仿宋"/>
          <w:b/>
          <w:bCs/>
          <w:sz w:val="24"/>
          <w:szCs w:val="24"/>
          <w:lang w:val="en-US" w:eastAsia="zh-CN"/>
        </w:rPr>
        <w:t>核</w:t>
      </w:r>
    </w:p>
    <w:p w14:paraId="6715C55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24.1 </w:t>
      </w:r>
      <w:r>
        <w:rPr>
          <w:rFonts w:hint="eastAsia" w:ascii="仿宋" w:hAnsi="仿宋" w:eastAsia="仿宋" w:cs="仿宋"/>
          <w:b w:val="0"/>
          <w:bCs w:val="0"/>
          <w:sz w:val="24"/>
          <w:szCs w:val="24"/>
          <w:lang w:eastAsia="zh-CN"/>
        </w:rPr>
        <w:t>申请文件审查</w:t>
      </w:r>
      <w:r>
        <w:rPr>
          <w:rFonts w:hint="eastAsia" w:ascii="仿宋" w:hAnsi="仿宋" w:eastAsia="仿宋" w:cs="仿宋"/>
          <w:b w:val="0"/>
          <w:bCs w:val="0"/>
          <w:sz w:val="24"/>
          <w:szCs w:val="24"/>
        </w:rPr>
        <w:t>分为资格审查和符合性审查。</w:t>
      </w:r>
    </w:p>
    <w:p w14:paraId="185731A7">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24.1.1资格审查。依据法律法规和征集文件规定的资格要求对供应商的资格证明文件进行审查。</w:t>
      </w:r>
    </w:p>
    <w:p w14:paraId="21220B44">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资格审查时，征集人将在“信用中国”网站（www.creditchina.gov.cn）查询供应商的信用记录，以确定供应商是否具备参加本次采购活动的资格。查询结果留存并归档。</w:t>
      </w:r>
    </w:p>
    <w:p w14:paraId="6003022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24.1.2符合性审查。依据征集文件的规定，由评审小组从</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的有效性、完整性和对征集文件的响应程度进行审查，以确定是否对征集文件的实质性要求作出响应。</w:t>
      </w:r>
    </w:p>
    <w:p w14:paraId="2E90E418">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24.1.3未通过资格审查或符合性审查的供应商，征集人将通过苏采云系统告知具体原因，评审结束后不再接受有关询问。</w:t>
      </w:r>
    </w:p>
    <w:p w14:paraId="313AA8E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24.2 在详细评审之前，评审小组将首先审查每份</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是否实质性响应了征集文件的要求。实质性响应是与征集文件要求的全部条款、条件和规格相符，没有重大偏离或保留的响应。</w:t>
      </w:r>
    </w:p>
    <w:p w14:paraId="560A983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产生不公正的影响。重大偏离的认定需经过评审小组以少数服从多数的原则作出结论。评审小组决定</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的响应性只根据</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本身的内容，而不寻求外部的证据。</w:t>
      </w:r>
    </w:p>
    <w:p w14:paraId="772B69FB">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24.3 如果</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实质上没有响应征集文件的要求，评审小组将予以拒绝，供应商不得通过修改或撤销不合要求的偏离或保留而使其</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成为实质性</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w:t>
      </w:r>
    </w:p>
    <w:p w14:paraId="4FC174A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24.4 评审小组将允许修正</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中不构成重大偏离的、微小的、非正规的、不一致的或不规则的地方，但这些修改不能影响任何供应商相应的名次排列。</w:t>
      </w:r>
    </w:p>
    <w:p w14:paraId="16E4EC0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24.5 供应商在</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开启及项目评审全过程中应保持通讯畅通，及时登录苏采云系统查阅、答复相关信息，并安排专人与征集人及评审小组联系。</w:t>
      </w:r>
    </w:p>
    <w:p w14:paraId="26F17489">
      <w:pPr>
        <w:keepNext w:val="0"/>
        <w:keepLines w:val="0"/>
        <w:pageBreakBefore w:val="0"/>
        <w:widowControl w:val="0"/>
        <w:kinsoku/>
        <w:wordWrap/>
        <w:overflowPunct/>
        <w:topLinePunct w:val="0"/>
        <w:autoSpaceDE/>
        <w:autoSpaceDN/>
        <w:bidi w:val="0"/>
        <w:adjustRightInd/>
        <w:snapToGrid/>
        <w:spacing w:line="500" w:lineRule="exact"/>
        <w:ind w:firstLine="195" w:firstLineChars="81"/>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25.无效响应和采购活动终止</w:t>
      </w:r>
    </w:p>
    <w:p w14:paraId="2D7DCF5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 无效响应情形</w:t>
      </w:r>
    </w:p>
    <w:p w14:paraId="23695A23">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25.1.1供应商在“苏采云”系统规定的时间内未成功解密电子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w:t>
      </w:r>
    </w:p>
    <w:p w14:paraId="0C9FFE9E">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25.1.2供应商未按照征集文件要求上传电子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w:t>
      </w:r>
    </w:p>
    <w:p w14:paraId="1E8AC228">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25.1.3供应商同一项服务提交两个（含两个）以上不同的报价。</w:t>
      </w:r>
    </w:p>
    <w:p w14:paraId="6B42F761">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25.1.4供应商不具备征集文件中规定资格要求。</w:t>
      </w:r>
    </w:p>
    <w:p w14:paraId="6C6FF508">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25.1.5供应商所报服务单价超过了最高限制单价。</w:t>
      </w:r>
    </w:p>
    <w:p w14:paraId="76DB69B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25.1.6供应商未通过符合性审查。</w:t>
      </w:r>
    </w:p>
    <w:p w14:paraId="07AA7205">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25.1.7不符合征集文件中规定的实质性要求和条件（</w:t>
      </w:r>
      <w:r>
        <w:rPr>
          <w:rFonts w:hint="eastAsia" w:ascii="仿宋" w:hAnsi="仿宋" w:eastAsia="仿宋" w:cs="仿宋"/>
          <w:b/>
          <w:bCs/>
          <w:sz w:val="24"/>
          <w:szCs w:val="24"/>
        </w:rPr>
        <w:t>本文件中</w:t>
      </w:r>
      <w:r>
        <w:rPr>
          <w:rFonts w:hint="eastAsia" w:ascii="仿宋" w:hAnsi="仿宋" w:eastAsia="仿宋" w:cs="仿宋"/>
          <w:b/>
          <w:bCs/>
          <w:sz w:val="24"/>
          <w:szCs w:val="24"/>
          <w:lang w:val="en-US" w:eastAsia="zh-CN"/>
        </w:rPr>
        <w:t>斜体且有</w:t>
      </w:r>
      <w:r>
        <w:rPr>
          <w:rFonts w:hint="eastAsia" w:ascii="仿宋" w:hAnsi="仿宋" w:eastAsia="仿宋" w:cs="仿宋"/>
          <w:b/>
          <w:bCs/>
          <w:sz w:val="24"/>
          <w:szCs w:val="24"/>
        </w:rPr>
        <w:t>下划线部分，或者打“★”内容为实质性要求和条件</w:t>
      </w:r>
      <w:r>
        <w:rPr>
          <w:rFonts w:hint="eastAsia" w:ascii="仿宋" w:hAnsi="仿宋" w:eastAsia="仿宋" w:cs="仿宋"/>
          <w:b w:val="0"/>
          <w:bCs w:val="0"/>
          <w:sz w:val="24"/>
          <w:szCs w:val="24"/>
        </w:rPr>
        <w:t>）。</w:t>
      </w:r>
    </w:p>
    <w:p w14:paraId="035F97EB">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25.1.8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9A497C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25.1.9</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含有征集人不能接受的附加条件。</w:t>
      </w:r>
    </w:p>
    <w:p w14:paraId="41C2BB48">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25.1.10评审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评审小组应当将其作为无效响应处理。</w:t>
      </w:r>
    </w:p>
    <w:p w14:paraId="1D3786A7">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25.1.11</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未按照征集文件加盖电子公章。</w:t>
      </w:r>
    </w:p>
    <w:p w14:paraId="186264C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25.1.12法律法规及本征集文件规定的其他无效响应情形。</w:t>
      </w:r>
    </w:p>
    <w:p w14:paraId="19D73EE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25.2 采购活动终止情形</w:t>
      </w:r>
    </w:p>
    <w:p w14:paraId="3D42167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25.2.1出现影响采购公正的违法、违规行为。</w:t>
      </w:r>
    </w:p>
    <w:p w14:paraId="1AFF4A43">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25.2.2因重大变故，采购任务取消。</w:t>
      </w:r>
    </w:p>
    <w:p w14:paraId="7978535F">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25.2.3评审小组认定征集文件存在歧义、重大缺陷导致评审工作无法进行。</w:t>
      </w:r>
    </w:p>
    <w:p w14:paraId="248DCC15">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25.2.4因苏采云系统故障原因造成</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开启不成功。</w:t>
      </w:r>
    </w:p>
    <w:p w14:paraId="79FF2E4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bCs/>
          <w:color w:val="auto"/>
          <w:sz w:val="24"/>
          <w:szCs w:val="24"/>
        </w:rPr>
      </w:pPr>
      <w:r>
        <w:rPr>
          <w:rFonts w:hint="eastAsia" w:ascii="仿宋" w:hAnsi="仿宋" w:eastAsia="仿宋" w:cs="仿宋"/>
          <w:b w:val="0"/>
          <w:bCs w:val="0"/>
          <w:sz w:val="24"/>
          <w:szCs w:val="24"/>
        </w:rPr>
        <w:t>25.2.5提交</w:t>
      </w:r>
      <w:r>
        <w:rPr>
          <w:rFonts w:hint="eastAsia" w:ascii="仿宋" w:hAnsi="仿宋" w:eastAsia="仿宋" w:cs="仿宋"/>
          <w:b w:val="0"/>
          <w:bCs w:val="0"/>
          <w:sz w:val="24"/>
          <w:szCs w:val="24"/>
          <w:lang w:eastAsia="zh-CN"/>
        </w:rPr>
        <w:t>申请文件</w:t>
      </w:r>
      <w:r>
        <w:rPr>
          <w:rFonts w:hint="eastAsia" w:ascii="仿宋" w:hAnsi="仿宋" w:eastAsia="仿宋" w:cs="仿宋"/>
          <w:b w:val="0"/>
          <w:bCs w:val="0"/>
          <w:sz w:val="24"/>
          <w:szCs w:val="24"/>
        </w:rPr>
        <w:t>和通过资格审查、符合性审查的供应商数量符合征集文件第五章规定的采购活动终止情形</w:t>
      </w:r>
      <w:r>
        <w:rPr>
          <w:rFonts w:hint="eastAsia" w:ascii="仿宋" w:hAnsi="仿宋" w:eastAsia="仿宋" w:cs="仿宋"/>
          <w:bCs/>
          <w:color w:val="auto"/>
          <w:sz w:val="24"/>
          <w:szCs w:val="24"/>
          <w:highlight w:val="none"/>
        </w:rPr>
        <w:t>。</w:t>
      </w:r>
    </w:p>
    <w:p w14:paraId="4081B488">
      <w:pPr>
        <w:pStyle w:val="5"/>
        <w:spacing w:before="0" w:after="0" w:line="500" w:lineRule="exact"/>
        <w:rPr>
          <w:rFonts w:hint="eastAsia" w:ascii="仿宋" w:hAnsi="仿宋" w:eastAsia="仿宋" w:cs="仿宋"/>
          <w:sz w:val="24"/>
          <w:szCs w:val="24"/>
          <w:lang w:val="en-US" w:eastAsia="zh-CN"/>
        </w:rPr>
      </w:pPr>
      <w:bookmarkStart w:id="91" w:name="_Toc120614219"/>
      <w:bookmarkStart w:id="92" w:name="_Toc22224"/>
      <w:r>
        <w:rPr>
          <w:rFonts w:hint="eastAsia" w:ascii="仿宋" w:hAnsi="仿宋" w:eastAsia="仿宋" w:cs="仿宋"/>
          <w:sz w:val="24"/>
          <w:szCs w:val="24"/>
        </w:rPr>
        <w:t>六、</w:t>
      </w:r>
      <w:bookmarkEnd w:id="87"/>
      <w:bookmarkEnd w:id="88"/>
      <w:bookmarkEnd w:id="89"/>
      <w:bookmarkEnd w:id="91"/>
      <w:r>
        <w:rPr>
          <w:rFonts w:hint="eastAsia" w:ascii="仿宋" w:hAnsi="仿宋" w:eastAsia="仿宋" w:cs="仿宋"/>
          <w:sz w:val="24"/>
          <w:szCs w:val="24"/>
        </w:rPr>
        <w:t>入围</w:t>
      </w:r>
      <w:r>
        <w:rPr>
          <w:rFonts w:hint="eastAsia" w:ascii="仿宋" w:hAnsi="仿宋" w:eastAsia="仿宋" w:cs="仿宋"/>
          <w:sz w:val="24"/>
          <w:szCs w:val="24"/>
          <w:lang w:val="en-US" w:eastAsia="zh-CN"/>
        </w:rPr>
        <w:t>及退出</w:t>
      </w:r>
      <w:bookmarkEnd w:id="92"/>
    </w:p>
    <w:p w14:paraId="06B9DD46">
      <w:pPr>
        <w:pStyle w:val="7"/>
        <w:keepNext w:val="0"/>
        <w:keepLines w:val="0"/>
        <w:pageBreakBefore w:val="0"/>
        <w:widowControl w:val="0"/>
        <w:kinsoku/>
        <w:wordWrap/>
        <w:overflowPunct/>
        <w:topLinePunct w:val="0"/>
        <w:autoSpaceDE/>
        <w:autoSpaceDN/>
        <w:bidi w:val="0"/>
        <w:adjustRightInd/>
        <w:snapToGrid/>
        <w:spacing w:before="0" w:after="0" w:line="500" w:lineRule="exact"/>
        <w:ind w:firstLine="195" w:firstLineChars="81"/>
        <w:textAlignment w:val="auto"/>
        <w:rPr>
          <w:rFonts w:hint="eastAsia" w:ascii="仿宋" w:hAnsi="仿宋" w:eastAsia="仿宋" w:cs="仿宋"/>
          <w:b/>
          <w:bCs w:val="0"/>
          <w:sz w:val="24"/>
          <w:szCs w:val="24"/>
        </w:rPr>
      </w:pPr>
      <w:bookmarkStart w:id="93" w:name="_Toc513029238"/>
      <w:bookmarkStart w:id="94" w:name="_Toc20823310"/>
      <w:bookmarkStart w:id="95" w:name="_Toc16938554"/>
      <w:r>
        <w:rPr>
          <w:rFonts w:hint="eastAsia" w:ascii="仿宋" w:hAnsi="仿宋" w:eastAsia="仿宋" w:cs="仿宋"/>
          <w:b/>
          <w:bCs w:val="0"/>
          <w:sz w:val="24"/>
          <w:szCs w:val="24"/>
        </w:rPr>
        <w:t>26、</w:t>
      </w:r>
      <w:bookmarkEnd w:id="93"/>
      <w:r>
        <w:rPr>
          <w:rFonts w:hint="eastAsia" w:ascii="仿宋" w:hAnsi="仿宋" w:eastAsia="仿宋" w:cs="仿宋"/>
          <w:b/>
          <w:bCs w:val="0"/>
          <w:sz w:val="24"/>
          <w:szCs w:val="24"/>
        </w:rPr>
        <w:t>确定</w:t>
      </w:r>
      <w:bookmarkEnd w:id="94"/>
      <w:bookmarkEnd w:id="95"/>
      <w:r>
        <w:rPr>
          <w:rFonts w:hint="eastAsia" w:ascii="仿宋" w:hAnsi="仿宋" w:eastAsia="仿宋" w:cs="仿宋"/>
          <w:b/>
          <w:bCs w:val="0"/>
          <w:sz w:val="24"/>
          <w:szCs w:val="24"/>
        </w:rPr>
        <w:t>入围供应商</w:t>
      </w:r>
    </w:p>
    <w:p w14:paraId="2EFAFFA3">
      <w:pPr>
        <w:keepNext w:val="0"/>
        <w:keepLines w:val="0"/>
        <w:pageBreakBefore w:val="0"/>
        <w:widowControl w:val="0"/>
        <w:kinsoku/>
        <w:wordWrap/>
        <w:overflowPunct/>
        <w:topLinePunct w:val="0"/>
        <w:autoSpaceDE/>
        <w:autoSpaceDN/>
        <w:bidi w:val="0"/>
        <w:adjustRightInd/>
        <w:snapToGrid/>
        <w:spacing w:line="500" w:lineRule="exact"/>
        <w:ind w:firstLine="432" w:firstLineChars="180"/>
        <w:textAlignment w:val="auto"/>
        <w:rPr>
          <w:rFonts w:hint="eastAsia" w:ascii="仿宋" w:hAnsi="仿宋" w:eastAsia="仿宋" w:cs="仿宋"/>
          <w:sz w:val="24"/>
          <w:szCs w:val="24"/>
          <w:highlight w:val="none"/>
          <w:lang w:eastAsia="zh-CN"/>
        </w:rPr>
      </w:pPr>
      <w:r>
        <w:rPr>
          <w:rFonts w:hint="eastAsia" w:ascii="仿宋" w:hAnsi="仿宋" w:eastAsia="仿宋" w:cs="仿宋"/>
          <w:bCs/>
          <w:sz w:val="24"/>
          <w:szCs w:val="24"/>
          <w:highlight w:val="none"/>
        </w:rPr>
        <w:t>26.1</w:t>
      </w:r>
      <w:r>
        <w:rPr>
          <w:rFonts w:hint="eastAsia" w:ascii="仿宋" w:hAnsi="仿宋" w:eastAsia="仿宋" w:cs="仿宋"/>
          <w:bCs/>
          <w:sz w:val="24"/>
          <w:szCs w:val="24"/>
          <w:highlight w:val="none"/>
          <w:lang w:val="en-US" w:eastAsia="zh-CN"/>
        </w:rPr>
        <w:t>入围供应商的选取原则和数量见征集文件第五章规定。</w:t>
      </w:r>
    </w:p>
    <w:p w14:paraId="5D0AC408">
      <w:pPr>
        <w:keepNext w:val="0"/>
        <w:keepLines w:val="0"/>
        <w:pageBreakBefore w:val="0"/>
        <w:widowControl w:val="0"/>
        <w:kinsoku/>
        <w:wordWrap/>
        <w:overflowPunct/>
        <w:topLinePunct w:val="0"/>
        <w:autoSpaceDE/>
        <w:autoSpaceDN/>
        <w:bidi w:val="0"/>
        <w:adjustRightInd/>
        <w:snapToGrid/>
        <w:spacing w:line="500" w:lineRule="exact"/>
        <w:ind w:firstLine="432" w:firstLineChars="180"/>
        <w:textAlignment w:val="auto"/>
        <w:rPr>
          <w:rFonts w:hint="eastAsia" w:ascii="仿宋" w:hAnsi="仿宋" w:eastAsia="仿宋" w:cs="仿宋"/>
          <w:sz w:val="24"/>
          <w:szCs w:val="24"/>
        </w:rPr>
      </w:pPr>
      <w:r>
        <w:rPr>
          <w:rFonts w:hint="eastAsia" w:ascii="仿宋" w:hAnsi="仿宋" w:eastAsia="仿宋" w:cs="仿宋"/>
          <w:bCs/>
          <w:sz w:val="24"/>
          <w:szCs w:val="24"/>
        </w:rPr>
        <w:t>26.2</w:t>
      </w:r>
      <w:r>
        <w:rPr>
          <w:rFonts w:hint="eastAsia" w:ascii="仿宋" w:hAnsi="仿宋" w:eastAsia="仿宋" w:cs="仿宋"/>
          <w:sz w:val="24"/>
          <w:szCs w:val="24"/>
          <w:lang w:eastAsia="zh-CN"/>
        </w:rPr>
        <w:t>代理机构</w:t>
      </w:r>
      <w:r>
        <w:rPr>
          <w:rFonts w:hint="eastAsia" w:ascii="仿宋" w:hAnsi="仿宋" w:eastAsia="仿宋" w:cs="仿宋"/>
          <w:sz w:val="24"/>
          <w:szCs w:val="24"/>
        </w:rPr>
        <w:t>将在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江苏省政府采购网</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南京公共采购信息网</w:t>
      </w:r>
      <w:r>
        <w:rPr>
          <w:rFonts w:hint="eastAsia" w:ascii="仿宋" w:hAnsi="仿宋" w:eastAsia="仿宋" w:cs="仿宋"/>
          <w:sz w:val="24"/>
          <w:szCs w:val="24"/>
        </w:rPr>
        <w:t>”发布“入围结果公告”，</w:t>
      </w:r>
      <w:r>
        <w:rPr>
          <w:rFonts w:hint="eastAsia" w:ascii="仿宋" w:hAnsi="仿宋" w:eastAsia="仿宋" w:cs="仿宋"/>
          <w:sz w:val="24"/>
          <w:szCs w:val="24"/>
          <w:highlight w:val="none"/>
        </w:rPr>
        <w:t>公告期限为1个工作日。</w:t>
      </w:r>
    </w:p>
    <w:p w14:paraId="5868D8B5">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27、入围供应商的退出</w:t>
      </w:r>
    </w:p>
    <w:p w14:paraId="52B27FB5">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27.1 封闭式框架协议入围供应商无正当理由，不得主动放弃入围资格或者退</w:t>
      </w:r>
      <w:r>
        <w:rPr>
          <w:rFonts w:hint="eastAsia" w:ascii="仿宋" w:hAnsi="仿宋" w:eastAsia="仿宋" w:cs="仿宋"/>
          <w:sz w:val="24"/>
          <w:szCs w:val="24"/>
          <w:highlight w:val="none"/>
          <w:lang w:val="en-US" w:eastAsia="zh-CN"/>
        </w:rPr>
        <w:t>出框架协议。</w:t>
      </w:r>
    </w:p>
    <w:p w14:paraId="558E3DBA">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.2 入围供应商申请退出框架协议时，如有采购合同正在履约，必须将采购合同履约完成后才能申请退出。</w:t>
      </w:r>
    </w:p>
    <w:p w14:paraId="6960AA4A">
      <w:pPr>
        <w:pStyle w:val="7"/>
        <w:keepNext w:val="0"/>
        <w:keepLines w:val="0"/>
        <w:pageBreakBefore w:val="0"/>
        <w:widowControl w:val="0"/>
        <w:kinsoku/>
        <w:wordWrap/>
        <w:overflowPunct/>
        <w:topLinePunct w:val="0"/>
        <w:autoSpaceDE/>
        <w:autoSpaceDN/>
        <w:bidi w:val="0"/>
        <w:adjustRightInd/>
        <w:snapToGrid/>
        <w:spacing w:before="0" w:after="0" w:line="500" w:lineRule="exact"/>
        <w:ind w:firstLine="195" w:firstLineChars="81"/>
        <w:jc w:val="left"/>
        <w:textAlignment w:val="auto"/>
        <w:rPr>
          <w:rFonts w:hint="eastAsia" w:ascii="仿宋" w:hAnsi="仿宋" w:eastAsia="仿宋" w:cs="仿宋"/>
          <w:b/>
          <w:bCs w:val="0"/>
          <w:sz w:val="24"/>
          <w:szCs w:val="24"/>
        </w:rPr>
      </w:pPr>
      <w:bookmarkStart w:id="96" w:name="_Toc200451960"/>
      <w:r>
        <w:rPr>
          <w:rFonts w:hint="eastAsia" w:ascii="仿宋" w:hAnsi="仿宋" w:eastAsia="仿宋" w:cs="仿宋"/>
          <w:b/>
          <w:bCs w:val="0"/>
          <w:sz w:val="24"/>
          <w:szCs w:val="24"/>
        </w:rPr>
        <w:t>2</w:t>
      </w:r>
      <w:r>
        <w:rPr>
          <w:rFonts w:hint="eastAsia" w:ascii="仿宋" w:hAnsi="仿宋" w:eastAsia="仿宋" w:cs="仿宋"/>
          <w:b/>
          <w:bCs w:val="0"/>
          <w:sz w:val="24"/>
          <w:szCs w:val="24"/>
          <w:lang w:val="en-US" w:eastAsia="zh-CN"/>
        </w:rPr>
        <w:t>8</w:t>
      </w:r>
      <w:r>
        <w:rPr>
          <w:rFonts w:hint="eastAsia" w:ascii="仿宋" w:hAnsi="仿宋" w:eastAsia="仿宋" w:cs="仿宋"/>
          <w:b/>
          <w:bCs w:val="0"/>
          <w:sz w:val="24"/>
          <w:szCs w:val="24"/>
        </w:rPr>
        <w:t>、质疑处理</w:t>
      </w:r>
      <w:bookmarkEnd w:id="96"/>
    </w:p>
    <w:p w14:paraId="2C391A4F">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.1 提出质疑的供应商应当是参与所质疑框架协议采购项目采购活动的供应商。潜在供应商依法获取其可质疑的征集文件的，可以对征集文件提出质疑。</w:t>
      </w:r>
    </w:p>
    <w:p w14:paraId="7CA8E600">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.2供应商认为征集文件、采购过程、入围结果使自己的权益受到损害的，可以在知道或应知其权益受到损害之日起七个工作日内，以书面形式向</w:t>
      </w:r>
      <w:r>
        <w:rPr>
          <w:rFonts w:hint="eastAsia" w:ascii="仿宋" w:hAnsi="仿宋" w:eastAsia="仿宋" w:cs="仿宋"/>
          <w:sz w:val="24"/>
          <w:szCs w:val="24"/>
          <w:lang w:eastAsia="zh-CN"/>
        </w:rPr>
        <w:t>代理机构</w:t>
      </w:r>
      <w:r>
        <w:rPr>
          <w:rFonts w:hint="eastAsia" w:ascii="仿宋" w:hAnsi="仿宋" w:eastAsia="仿宋" w:cs="仿宋"/>
          <w:sz w:val="24"/>
          <w:szCs w:val="24"/>
        </w:rPr>
        <w:t>提出质疑。上述应知其权益受到损害之日，是指：</w:t>
      </w:r>
    </w:p>
    <w:p w14:paraId="01DF0D8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.2.1对可以质疑的征集文件提出质疑的，为收到征集文件之日或者征集公告期限届满之日；</w:t>
      </w:r>
    </w:p>
    <w:p w14:paraId="66007480">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.2.2对采购过程提出质疑的，为各采购程序环节结束之日；</w:t>
      </w:r>
    </w:p>
    <w:p w14:paraId="16AC6A3A">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.2.3对入围结果提出质疑的，为入围结果公告期限届满之日。</w:t>
      </w:r>
    </w:p>
    <w:p w14:paraId="521E5E6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供应商应当在法定质疑期内一次性提出针对同一采购程序环节的质疑。供应商如在法定期限内对同一采购程序环节提出多次质疑的，</w:t>
      </w:r>
      <w:r>
        <w:rPr>
          <w:rFonts w:hint="eastAsia" w:ascii="仿宋" w:hAnsi="仿宋" w:eastAsia="仿宋" w:cs="仿宋"/>
          <w:sz w:val="24"/>
          <w:szCs w:val="24"/>
          <w:lang w:eastAsia="zh-CN"/>
        </w:rPr>
        <w:t>代理机构</w:t>
      </w:r>
      <w:r>
        <w:rPr>
          <w:rFonts w:hint="eastAsia" w:ascii="仿宋" w:hAnsi="仿宋" w:eastAsia="仿宋" w:cs="仿宋"/>
          <w:sz w:val="24"/>
          <w:szCs w:val="24"/>
        </w:rPr>
        <w:t>只对供应商最后一次质疑作出答复。</w:t>
      </w:r>
    </w:p>
    <w:p w14:paraId="44C2A01B">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.3质疑函必须按照本征集文件中《质疑函范本》要求的格式和内容进行填写，并按《质疑函范本》中要求签字、盖章、加盖公章。</w:t>
      </w:r>
    </w:p>
    <w:p w14:paraId="396CA6B6">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.4只接收以纸质原件形式送达的质疑。联系地址：南京市建邺区白龙江东街19号舜禹大厦17层A室，联系电话：025-57792985 。</w:t>
      </w:r>
    </w:p>
    <w:p w14:paraId="5AE8910E">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.5 以下情形的质疑不予受理</w:t>
      </w:r>
    </w:p>
    <w:p w14:paraId="2FA1836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.5.1 内容不符合《政府采购质疑和投诉办法》第十二条规定的质疑。</w:t>
      </w:r>
    </w:p>
    <w:p w14:paraId="6B0B1F12">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.5.2 超出政府采购法定期限的质疑。</w:t>
      </w:r>
    </w:p>
    <w:p w14:paraId="3912612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.5.3 以传真、电子邮件等方式递交的非原件形式的质疑。</w:t>
      </w:r>
    </w:p>
    <w:p w14:paraId="51DAA14D">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.5.4 未参加采购活动的供应商或在采购活动中自身权益未受到损害的供应商所提出的质疑。</w:t>
      </w:r>
    </w:p>
    <w:p w14:paraId="7B49CEB7">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.6 供应商提出书面质疑必须有理、有据，不得捏造事实、提供虚假材料进行恶意质疑。否则，一经查实，</w:t>
      </w:r>
      <w:r>
        <w:rPr>
          <w:rFonts w:hint="eastAsia" w:ascii="仿宋" w:hAnsi="仿宋" w:eastAsia="仿宋" w:cs="仿宋"/>
          <w:sz w:val="24"/>
          <w:szCs w:val="24"/>
          <w:lang w:eastAsia="zh-CN"/>
        </w:rPr>
        <w:t>代理机构</w:t>
      </w:r>
      <w:r>
        <w:rPr>
          <w:rFonts w:hint="eastAsia" w:ascii="仿宋" w:hAnsi="仿宋" w:eastAsia="仿宋" w:cs="仿宋"/>
          <w:sz w:val="24"/>
          <w:szCs w:val="24"/>
        </w:rPr>
        <w:t>有权依据政府采购的有关规定，报请政府采购监管部门对该供应商进行相应的行政处罚和记录该供应商的失信信息。</w:t>
      </w:r>
    </w:p>
    <w:p w14:paraId="3DCEA438">
      <w:pPr>
        <w:pStyle w:val="7"/>
        <w:keepNext w:val="0"/>
        <w:keepLines w:val="0"/>
        <w:pageBreakBefore w:val="0"/>
        <w:widowControl w:val="0"/>
        <w:kinsoku/>
        <w:wordWrap/>
        <w:overflowPunct/>
        <w:topLinePunct w:val="0"/>
        <w:autoSpaceDE/>
        <w:autoSpaceDN/>
        <w:bidi w:val="0"/>
        <w:adjustRightInd/>
        <w:snapToGrid/>
        <w:spacing w:before="0" w:after="0" w:line="500" w:lineRule="exact"/>
        <w:ind w:firstLine="195" w:firstLineChars="81"/>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w:t>
      </w:r>
      <w:r>
        <w:rPr>
          <w:rFonts w:hint="eastAsia" w:ascii="仿宋" w:hAnsi="仿宋" w:eastAsia="仿宋" w:cs="仿宋"/>
          <w:b/>
          <w:bCs w:val="0"/>
          <w:sz w:val="24"/>
          <w:szCs w:val="24"/>
          <w:lang w:val="en-US" w:eastAsia="zh-CN"/>
        </w:rPr>
        <w:t>9</w:t>
      </w:r>
      <w:r>
        <w:rPr>
          <w:rFonts w:hint="eastAsia" w:ascii="仿宋" w:hAnsi="仿宋" w:eastAsia="仿宋" w:cs="仿宋"/>
          <w:b/>
          <w:bCs w:val="0"/>
          <w:sz w:val="24"/>
          <w:szCs w:val="24"/>
        </w:rPr>
        <w:t>、入围通知书</w:t>
      </w:r>
    </w:p>
    <w:p w14:paraId="5DC9B561">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highlight w:val="cyan"/>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t>.1入围结果确定后，</w:t>
      </w:r>
      <w:r>
        <w:rPr>
          <w:rFonts w:hint="eastAsia" w:ascii="仿宋" w:hAnsi="仿宋" w:eastAsia="仿宋" w:cs="仿宋"/>
          <w:sz w:val="24"/>
          <w:szCs w:val="24"/>
          <w:lang w:val="en-US" w:eastAsia="zh-CN"/>
        </w:rPr>
        <w:t>征集人或</w:t>
      </w:r>
      <w:r>
        <w:rPr>
          <w:rFonts w:hint="eastAsia" w:ascii="仿宋" w:hAnsi="仿宋" w:eastAsia="仿宋" w:cs="仿宋"/>
          <w:sz w:val="24"/>
          <w:szCs w:val="24"/>
          <w:lang w:eastAsia="zh-CN"/>
        </w:rPr>
        <w:t>代理机构</w:t>
      </w:r>
      <w:r>
        <w:rPr>
          <w:rFonts w:hint="eastAsia" w:ascii="仿宋" w:hAnsi="仿宋" w:eastAsia="仿宋" w:cs="仿宋"/>
          <w:sz w:val="24"/>
          <w:szCs w:val="24"/>
        </w:rPr>
        <w:t>将向入围供应商发出入围通知书</w:t>
      </w:r>
      <w:r>
        <w:rPr>
          <w:rFonts w:hint="eastAsia" w:ascii="仿宋" w:hAnsi="仿宋" w:eastAsia="仿宋" w:cs="仿宋"/>
          <w:sz w:val="24"/>
          <w:szCs w:val="24"/>
          <w:highlight w:val="none"/>
          <w:lang w:eastAsia="zh-CN"/>
        </w:rPr>
        <w:t>。</w:t>
      </w:r>
    </w:p>
    <w:p w14:paraId="406526F0">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t>.2入围通知书将是框架协议的一个组成部分。对征集人和入围供应商均具有法律效力</w:t>
      </w:r>
      <w:r>
        <w:rPr>
          <w:rFonts w:hint="eastAsia" w:ascii="仿宋" w:hAnsi="仿宋" w:eastAsia="仿宋" w:cs="仿宋"/>
          <w:sz w:val="24"/>
          <w:szCs w:val="24"/>
          <w:lang w:eastAsia="zh-CN"/>
        </w:rPr>
        <w:t>。</w:t>
      </w:r>
    </w:p>
    <w:p w14:paraId="25DFC934">
      <w:pPr>
        <w:pStyle w:val="5"/>
        <w:spacing w:before="0" w:after="0" w:line="500" w:lineRule="exact"/>
        <w:rPr>
          <w:rFonts w:hint="eastAsia" w:ascii="仿宋" w:hAnsi="仿宋" w:eastAsia="仿宋" w:cs="仿宋"/>
          <w:sz w:val="24"/>
          <w:szCs w:val="24"/>
        </w:rPr>
      </w:pPr>
      <w:bookmarkStart w:id="97" w:name="_Toc15768"/>
      <w:r>
        <w:rPr>
          <w:rFonts w:hint="eastAsia" w:ascii="仿宋" w:hAnsi="仿宋" w:eastAsia="仿宋" w:cs="仿宋"/>
          <w:sz w:val="24"/>
          <w:szCs w:val="24"/>
          <w:lang w:val="en-US" w:eastAsia="zh-CN"/>
        </w:rPr>
        <w:t>七</w:t>
      </w:r>
      <w:r>
        <w:rPr>
          <w:rFonts w:hint="eastAsia" w:ascii="仿宋" w:hAnsi="仿宋" w:eastAsia="仿宋" w:cs="仿宋"/>
          <w:sz w:val="24"/>
          <w:szCs w:val="24"/>
        </w:rPr>
        <w:t>、入围供应商的清退</w:t>
      </w:r>
      <w:bookmarkEnd w:id="97"/>
    </w:p>
    <w:p w14:paraId="0EC3E153">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b w:val="0"/>
          <w:bCs/>
          <w:sz w:val="24"/>
          <w:szCs w:val="24"/>
          <w:lang w:val="en-US" w:eastAsia="zh-CN"/>
        </w:rPr>
        <w:t>30.1</w:t>
      </w:r>
      <w:r>
        <w:rPr>
          <w:rFonts w:hint="eastAsia" w:ascii="仿宋" w:hAnsi="仿宋" w:eastAsia="仿宋" w:cs="仿宋"/>
          <w:sz w:val="24"/>
          <w:szCs w:val="24"/>
        </w:rPr>
        <w:t>入围供应商有下列情形之一，尚未签订框架协议的，取消其入围资格；已经签订框架协议的，解除与其签订的框架协议：</w:t>
      </w:r>
    </w:p>
    <w:p w14:paraId="0E292545">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.1恶意串通谋取入围或者合同成交的。</w:t>
      </w:r>
    </w:p>
    <w:p w14:paraId="3C44E8ED">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30.1</w:t>
      </w:r>
      <w:r>
        <w:rPr>
          <w:rFonts w:hint="eastAsia" w:ascii="仿宋" w:hAnsi="仿宋" w:eastAsia="仿宋" w:cs="仿宋"/>
          <w:sz w:val="24"/>
          <w:szCs w:val="24"/>
        </w:rPr>
        <w:t>.2提供虚假材料谋取入围或者合同成交的。 </w:t>
      </w:r>
    </w:p>
    <w:p w14:paraId="447B0FF3">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30.1</w:t>
      </w:r>
      <w:r>
        <w:rPr>
          <w:rFonts w:hint="eastAsia" w:ascii="仿宋" w:hAnsi="仿宋" w:eastAsia="仿宋" w:cs="仿宋"/>
          <w:sz w:val="24"/>
          <w:szCs w:val="24"/>
        </w:rPr>
        <w:t>.3无正当理由拒不接受合同授予的。</w:t>
      </w:r>
    </w:p>
    <w:p w14:paraId="1D0C9A7E">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30.1</w:t>
      </w:r>
      <w:r>
        <w:rPr>
          <w:rFonts w:hint="eastAsia" w:ascii="仿宋" w:hAnsi="仿宋" w:eastAsia="仿宋" w:cs="仿宋"/>
          <w:sz w:val="24"/>
          <w:szCs w:val="24"/>
        </w:rPr>
        <w:t>.4不履行合同义务或者履行合同义务不符合约定，经征集人请求履行后仍不履行或者仍未按约定履行的。</w:t>
      </w:r>
    </w:p>
    <w:p w14:paraId="27A6C305">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30.1</w:t>
      </w:r>
      <w:r>
        <w:rPr>
          <w:rFonts w:hint="eastAsia" w:ascii="仿宋" w:hAnsi="仿宋" w:eastAsia="仿宋" w:cs="仿宋"/>
          <w:sz w:val="24"/>
          <w:szCs w:val="24"/>
        </w:rPr>
        <w:t>.5框架协议有效期内，因违法行为被禁止或限制参加政府采购活动的。</w:t>
      </w:r>
    </w:p>
    <w:p w14:paraId="0F8801E0">
      <w:pPr>
        <w:keepNext w:val="0"/>
        <w:keepLines w:val="0"/>
        <w:pageBreakBefore w:val="0"/>
        <w:widowControl w:val="0"/>
        <w:kinsoku/>
        <w:wordWrap/>
        <w:overflowPunct/>
        <w:topLinePunct w:val="0"/>
        <w:autoSpaceDE/>
        <w:autoSpaceDN/>
        <w:bidi w:val="0"/>
        <w:adjustRightInd/>
        <w:snapToGrid/>
        <w:spacing w:line="500" w:lineRule="exact"/>
        <w:ind w:firstLine="194" w:firstLineChars="81"/>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30.1</w:t>
      </w:r>
      <w:r>
        <w:rPr>
          <w:rFonts w:hint="eastAsia" w:ascii="仿宋" w:hAnsi="仿宋" w:eastAsia="仿宋" w:cs="仿宋"/>
          <w:sz w:val="24"/>
          <w:szCs w:val="24"/>
        </w:rPr>
        <w:t>.6 框架协议约定的其他情形。 </w:t>
      </w:r>
    </w:p>
    <w:p w14:paraId="1D23AECB">
      <w:pPr>
        <w:keepNext w:val="0"/>
        <w:keepLines w:val="0"/>
        <w:pageBreakBefore w:val="0"/>
        <w:widowControl w:val="0"/>
        <w:kinsoku/>
        <w:wordWrap/>
        <w:overflowPunct/>
        <w:topLinePunct w:val="0"/>
        <w:autoSpaceDE/>
        <w:autoSpaceDN/>
        <w:bidi w:val="0"/>
        <w:adjustRightInd/>
        <w:snapToGrid/>
        <w:spacing w:line="360" w:lineRule="auto"/>
        <w:ind w:firstLine="432" w:firstLineChars="18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被取消入围资格或者被解除框架协议的供应商不得参加同一封闭式框架协议补充征集，或者重新申请加入同一开放式框架协议。</w:t>
      </w:r>
    </w:p>
    <w:p w14:paraId="0C272D8C">
      <w:pPr>
        <w:pStyle w:val="5"/>
        <w:spacing w:before="0" w:after="0" w:line="500" w:lineRule="exact"/>
        <w:rPr>
          <w:rFonts w:hint="eastAsia" w:ascii="仿宋" w:hAnsi="仿宋" w:eastAsia="仿宋" w:cs="仿宋"/>
          <w:sz w:val="24"/>
          <w:szCs w:val="24"/>
        </w:rPr>
      </w:pPr>
      <w:bookmarkStart w:id="98" w:name="_Toc120614220"/>
      <w:bookmarkStart w:id="99" w:name="_Toc513029236"/>
      <w:bookmarkStart w:id="100" w:name="_Toc20823308"/>
      <w:bookmarkStart w:id="101" w:name="_Toc16938552"/>
      <w:bookmarkStart w:id="102" w:name="_Toc14326"/>
      <w:r>
        <w:rPr>
          <w:rFonts w:hint="eastAsia" w:ascii="仿宋" w:hAnsi="仿宋" w:eastAsia="仿宋" w:cs="仿宋"/>
          <w:sz w:val="24"/>
          <w:szCs w:val="24"/>
          <w:lang w:val="en-US" w:eastAsia="zh-CN"/>
        </w:rPr>
        <w:t>八</w:t>
      </w:r>
      <w:r>
        <w:rPr>
          <w:rFonts w:hint="eastAsia" w:ascii="仿宋" w:hAnsi="仿宋" w:eastAsia="仿宋" w:cs="仿宋"/>
          <w:sz w:val="24"/>
          <w:szCs w:val="24"/>
        </w:rPr>
        <w:t>、</w:t>
      </w:r>
      <w:bookmarkEnd w:id="98"/>
      <w:r>
        <w:rPr>
          <w:rFonts w:hint="eastAsia" w:ascii="仿宋" w:hAnsi="仿宋" w:eastAsia="仿宋" w:cs="仿宋"/>
          <w:sz w:val="24"/>
          <w:szCs w:val="24"/>
        </w:rPr>
        <w:t>签订框架协议</w:t>
      </w:r>
      <w:bookmarkEnd w:id="99"/>
      <w:bookmarkEnd w:id="100"/>
      <w:bookmarkEnd w:id="101"/>
      <w:bookmarkEnd w:id="102"/>
    </w:p>
    <w:p w14:paraId="31F45C0C">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highlight w:val="cyan"/>
        </w:rPr>
      </w:pPr>
      <w:bookmarkStart w:id="103" w:name="_Toc513029237"/>
      <w:bookmarkStart w:id="104" w:name="_Toc20823309"/>
      <w:bookmarkStart w:id="105" w:name="_Toc16938553"/>
      <w:r>
        <w:rPr>
          <w:rFonts w:hint="eastAsia" w:ascii="仿宋" w:hAnsi="仿宋" w:eastAsia="仿宋" w:cs="仿宋"/>
          <w:bCs/>
          <w:sz w:val="24"/>
          <w:szCs w:val="24"/>
          <w:highlight w:val="none"/>
          <w:lang w:val="en-US" w:eastAsia="zh-CN"/>
        </w:rPr>
        <w:t>31</w:t>
      </w:r>
      <w:r>
        <w:rPr>
          <w:rFonts w:hint="eastAsia" w:ascii="仿宋" w:hAnsi="仿宋" w:eastAsia="仿宋" w:cs="仿宋"/>
          <w:sz w:val="24"/>
          <w:szCs w:val="24"/>
          <w:highlight w:val="none"/>
        </w:rPr>
        <w:t>.l 征集人在入围通知书发出之日起30日内和入围供应商签订框架协议，框架协议不得对征集文件确定的事项以及入围供应商的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作实质性修改。入围供应商如无正当理由不及时签订框架协议的，应承担《中华人民共和国政府采购法实施条例》第七十二条第一款第（二）项规定的法律责任。</w:t>
      </w:r>
    </w:p>
    <w:p w14:paraId="21E389F9">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.2</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征集文件、入围供应商的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及评审过程中有关澄清、承诺文件均应作为框架协议的附件。</w:t>
      </w:r>
    </w:p>
    <w:p w14:paraId="6C5A5783">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.3签订框架协议后，</w:t>
      </w:r>
      <w:r>
        <w:rPr>
          <w:rFonts w:hint="eastAsia" w:ascii="仿宋" w:hAnsi="仿宋" w:eastAsia="仿宋" w:cs="仿宋"/>
          <w:i/>
          <w:iCs w:val="0"/>
          <w:sz w:val="24"/>
          <w:szCs w:val="24"/>
          <w:highlight w:val="none"/>
          <w:u w:val="single"/>
        </w:rPr>
        <w:t>入围供应商不得将产品及其他相关服务进行转包</w:t>
      </w:r>
      <w:r>
        <w:rPr>
          <w:rFonts w:hint="eastAsia" w:ascii="仿宋" w:hAnsi="仿宋" w:eastAsia="仿宋" w:cs="仿宋"/>
          <w:i w:val="0"/>
          <w:iCs/>
          <w:sz w:val="24"/>
          <w:szCs w:val="24"/>
          <w:highlight w:val="none"/>
        </w:rPr>
        <w:t>。</w:t>
      </w:r>
      <w:r>
        <w:rPr>
          <w:rFonts w:hint="eastAsia" w:ascii="仿宋" w:hAnsi="仿宋" w:eastAsia="仿宋" w:cs="仿宋"/>
          <w:sz w:val="24"/>
          <w:szCs w:val="24"/>
          <w:highlight w:val="none"/>
        </w:rPr>
        <w:t>未经征集人同意，入围供应商也不得采用分包的形式履行合同，否则</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有权终止框架协议</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采购合同。转包或分包造成</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损失的，入围供应商及其授权分支机构应承担相应赔偿责任。</w:t>
      </w:r>
      <w:bookmarkEnd w:id="103"/>
      <w:bookmarkEnd w:id="104"/>
      <w:bookmarkEnd w:id="105"/>
    </w:p>
    <w:p w14:paraId="6E0AD15D">
      <w:pPr>
        <w:pStyle w:val="5"/>
        <w:spacing w:before="0" w:after="0" w:line="500" w:lineRule="exact"/>
        <w:rPr>
          <w:rFonts w:hint="eastAsia" w:ascii="仿宋" w:hAnsi="仿宋" w:eastAsia="仿宋" w:cs="仿宋"/>
          <w:sz w:val="24"/>
          <w:szCs w:val="24"/>
          <w:highlight w:val="none"/>
        </w:rPr>
      </w:pPr>
      <w:bookmarkStart w:id="106" w:name="_Toc1961"/>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、代理服务费</w:t>
      </w:r>
      <w:bookmarkEnd w:id="106"/>
    </w:p>
    <w:p w14:paraId="7F570338">
      <w:pPr>
        <w:keepNext w:val="0"/>
        <w:keepLines w:val="0"/>
        <w:pageBreakBefore w:val="0"/>
        <w:widowControl w:val="0"/>
        <w:kinsoku/>
        <w:wordWrap/>
        <w:overflowPunct/>
        <w:topLinePunct w:val="0"/>
        <w:autoSpaceDE/>
        <w:autoSpaceDN/>
        <w:bidi w:val="0"/>
        <w:adjustRightInd/>
        <w:snapToGrid/>
        <w:spacing w:line="500" w:lineRule="exact"/>
        <w:ind w:firstLine="194" w:firstLineChars="81"/>
        <w:jc w:val="left"/>
        <w:textAlignment w:val="auto"/>
        <w:rPr>
          <w:rFonts w:hint="eastAsia" w:ascii="仿宋" w:hAnsi="仿宋" w:eastAsia="仿宋" w:cs="仿宋"/>
          <w:sz w:val="24"/>
          <w:szCs w:val="24"/>
          <w:highlight w:val="cyan"/>
        </w:rPr>
      </w:pPr>
      <w:r>
        <w:rPr>
          <w:rFonts w:hint="eastAsia" w:ascii="仿宋" w:hAnsi="仿宋" w:eastAsia="仿宋" w:cs="仿宋"/>
          <w:sz w:val="24"/>
          <w:szCs w:val="24"/>
          <w:highlight w:val="none"/>
        </w:rPr>
        <w:t xml:space="preserve"> 本次采购的代理服务费：参照《招标代理服务收费管理暂行办法》（国家发展计划委员会计价格【2002】1980号）文件</w:t>
      </w:r>
      <w:r>
        <w:rPr>
          <w:rFonts w:hint="eastAsia" w:ascii="仿宋" w:hAnsi="仿宋" w:eastAsia="仿宋" w:cs="仿宋"/>
          <w:sz w:val="24"/>
          <w:szCs w:val="24"/>
          <w:highlight w:val="none"/>
          <w:lang w:val="en-US" w:eastAsia="zh-CN"/>
        </w:rPr>
        <w:t>基准计费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每家</w:t>
      </w:r>
      <w:r>
        <w:rPr>
          <w:rFonts w:hint="eastAsia" w:ascii="仿宋" w:hAnsi="仿宋" w:eastAsia="仿宋" w:cs="仿宋"/>
          <w:sz w:val="24"/>
          <w:szCs w:val="24"/>
          <w:highlight w:val="none"/>
        </w:rPr>
        <w:t>入围供应商</w:t>
      </w:r>
      <w:r>
        <w:rPr>
          <w:rFonts w:hint="eastAsia" w:ascii="仿宋" w:hAnsi="仿宋" w:eastAsia="仿宋" w:cs="仿宋"/>
          <w:sz w:val="24"/>
          <w:szCs w:val="24"/>
          <w:highlight w:val="none"/>
          <w:lang w:val="en-US" w:eastAsia="zh-CN"/>
        </w:rPr>
        <w:t>按3</w:t>
      </w:r>
      <w:r>
        <w:rPr>
          <w:rFonts w:hint="eastAsia" w:ascii="仿宋" w:hAnsi="仿宋" w:eastAsia="仿宋" w:cs="仿宋"/>
          <w:sz w:val="24"/>
          <w:szCs w:val="24"/>
          <w:highlight w:val="none"/>
        </w:rPr>
        <w:t>000元</w:t>
      </w:r>
      <w:r>
        <w:rPr>
          <w:rFonts w:hint="eastAsia" w:ascii="仿宋" w:hAnsi="仿宋" w:eastAsia="仿宋" w:cs="仿宋"/>
          <w:sz w:val="24"/>
          <w:szCs w:val="24"/>
          <w:highlight w:val="none"/>
          <w:lang w:val="en-US" w:eastAsia="zh-CN"/>
        </w:rPr>
        <w:t>支付</w:t>
      </w:r>
      <w:r>
        <w:rPr>
          <w:rFonts w:hint="eastAsia" w:ascii="仿宋" w:hAnsi="仿宋" w:eastAsia="仿宋" w:cs="仿宋"/>
          <w:sz w:val="24"/>
          <w:szCs w:val="24"/>
          <w:highlight w:val="none"/>
        </w:rPr>
        <w:t>招标代理服务费，在领取入围通知书时一次性支付</w:t>
      </w:r>
      <w:r>
        <w:rPr>
          <w:rFonts w:hint="eastAsia" w:ascii="仿宋" w:hAnsi="仿宋" w:eastAsia="仿宋" w:cs="仿宋"/>
          <w:sz w:val="24"/>
          <w:szCs w:val="24"/>
          <w:highlight w:val="none"/>
          <w:lang w:val="en-US" w:eastAsia="zh-CN"/>
        </w:rPr>
        <w:t>给代理机构</w:t>
      </w:r>
      <w:r>
        <w:rPr>
          <w:rFonts w:hint="eastAsia" w:ascii="仿宋" w:hAnsi="仿宋" w:eastAsia="仿宋" w:cs="仿宋"/>
          <w:sz w:val="24"/>
          <w:szCs w:val="24"/>
          <w:highlight w:val="none"/>
        </w:rPr>
        <w:t>。</w:t>
      </w:r>
    </w:p>
    <w:p w14:paraId="2932547E">
      <w:pPr>
        <w:ind w:left="420"/>
        <w:rPr>
          <w:rFonts w:hint="eastAsia" w:ascii="仿宋" w:hAnsi="仿宋" w:eastAsia="仿宋" w:cs="仿宋"/>
          <w:highlight w:val="cyan"/>
        </w:rPr>
      </w:pPr>
    </w:p>
    <w:p w14:paraId="271F9B9C">
      <w:pPr>
        <w:pStyle w:val="3"/>
        <w:jc w:val="center"/>
        <w:rPr>
          <w:rFonts w:hint="eastAsia" w:ascii="仿宋" w:hAnsi="仿宋" w:eastAsia="仿宋" w:cs="仿宋"/>
          <w:color w:val="000000"/>
          <w:sz w:val="36"/>
          <w:szCs w:val="36"/>
        </w:rPr>
        <w:sectPr>
          <w:pgSz w:w="11906" w:h="16838"/>
          <w:pgMar w:top="1440" w:right="1800" w:bottom="1440" w:left="1800" w:header="851" w:footer="992" w:gutter="0"/>
          <w:pgNumType w:fmt="decimal"/>
          <w:cols w:space="720" w:num="1"/>
          <w:docGrid w:linePitch="360" w:charSpace="0"/>
        </w:sectPr>
      </w:pPr>
    </w:p>
    <w:p w14:paraId="74A75EA9">
      <w:pPr>
        <w:pStyle w:val="3"/>
        <w:pageBreakBefore w:val="0"/>
        <w:widowControl w:val="0"/>
        <w:kinsoku/>
        <w:wordWrap/>
        <w:overflowPunct/>
        <w:topLinePunct w:val="0"/>
        <w:autoSpaceDE/>
        <w:autoSpaceDN/>
        <w:bidi w:val="0"/>
        <w:adjustRightInd/>
        <w:snapToGrid/>
        <w:spacing w:before="0" w:after="0" w:line="348" w:lineRule="auto"/>
        <w:jc w:val="center"/>
        <w:textAlignment w:val="auto"/>
        <w:rPr>
          <w:rFonts w:hint="eastAsia" w:ascii="仿宋" w:hAnsi="仿宋" w:eastAsia="仿宋" w:cs="仿宋"/>
          <w:color w:val="000000"/>
          <w:sz w:val="36"/>
          <w:szCs w:val="36"/>
        </w:rPr>
      </w:pPr>
      <w:bookmarkStart w:id="107" w:name="_Toc15190"/>
      <w:r>
        <w:rPr>
          <w:rFonts w:hint="eastAsia" w:ascii="仿宋" w:hAnsi="仿宋" w:eastAsia="仿宋" w:cs="仿宋"/>
          <w:color w:val="000000"/>
          <w:sz w:val="36"/>
          <w:szCs w:val="36"/>
        </w:rPr>
        <w:t>第三章 框架协议文本</w:t>
      </w:r>
      <w:bookmarkEnd w:id="2"/>
      <w:bookmarkEnd w:id="107"/>
    </w:p>
    <w:p w14:paraId="41B411F2">
      <w:pPr>
        <w:pageBreakBefore w:val="0"/>
        <w:widowControl/>
        <w:kinsoku/>
        <w:wordWrap/>
        <w:overflowPunct/>
        <w:topLinePunct w:val="0"/>
        <w:autoSpaceDE/>
        <w:autoSpaceDN/>
        <w:bidi w:val="0"/>
        <w:adjustRightInd w:val="0"/>
        <w:snapToGrid w:val="0"/>
        <w:spacing w:line="348" w:lineRule="auto"/>
        <w:ind w:firstLine="602" w:firstLineChars="200"/>
        <w:jc w:val="center"/>
        <w:textAlignment w:val="auto"/>
        <w:rPr>
          <w:rFonts w:hint="eastAsia" w:ascii="仿宋" w:hAnsi="仿宋" w:eastAsia="仿宋" w:cs="仿宋"/>
          <w:b/>
          <w:kern w:val="2"/>
          <w:sz w:val="30"/>
          <w:szCs w:val="30"/>
        </w:rPr>
      </w:pPr>
      <w:r>
        <w:rPr>
          <w:rFonts w:hint="eastAsia" w:ascii="仿宋" w:hAnsi="仿宋" w:eastAsia="仿宋" w:cs="仿宋"/>
          <w:b/>
          <w:kern w:val="2"/>
          <w:sz w:val="30"/>
          <w:szCs w:val="30"/>
        </w:rPr>
        <w:t>一、拟签订的框架协议文本</w:t>
      </w:r>
    </w:p>
    <w:p w14:paraId="0540FD86">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项目名称：                                </w:t>
      </w:r>
    </w:p>
    <w:p w14:paraId="1BD66651">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项目编号：</w:t>
      </w:r>
    </w:p>
    <w:p w14:paraId="11365CB7">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采购人</w:t>
      </w:r>
      <w:r>
        <w:rPr>
          <w:rFonts w:hint="eastAsia" w:ascii="仿宋" w:hAnsi="仿宋" w:eastAsia="仿宋" w:cs="仿宋"/>
          <w:sz w:val="24"/>
          <w:szCs w:val="24"/>
        </w:rPr>
        <w:t>）____________________</w:t>
      </w:r>
    </w:p>
    <w:p w14:paraId="2011BA64">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乙方：（入围供应商）__________________</w:t>
      </w:r>
    </w:p>
    <w:p w14:paraId="476D8216">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480" w:firstLineChars="200"/>
        <w:jc w:val="left"/>
        <w:textAlignment w:val="auto"/>
        <w:rPr>
          <w:rFonts w:hint="eastAsia" w:ascii="仿宋" w:hAnsi="仿宋" w:eastAsia="仿宋" w:cs="仿宋"/>
          <w:b/>
          <w:sz w:val="24"/>
          <w:szCs w:val="24"/>
        </w:rPr>
      </w:pPr>
      <w:r>
        <w:rPr>
          <w:rFonts w:hint="eastAsia" w:ascii="仿宋" w:hAnsi="仿宋" w:eastAsia="仿宋" w:cs="仿宋"/>
          <w:sz w:val="24"/>
          <w:szCs w:val="24"/>
        </w:rPr>
        <w:t>甲、乙双方根据</w:t>
      </w:r>
      <w:r>
        <w:rPr>
          <w:rFonts w:hint="eastAsia" w:ascii="仿宋" w:hAnsi="仿宋" w:eastAsia="仿宋" w:cs="仿宋"/>
          <w:sz w:val="24"/>
          <w:szCs w:val="24"/>
          <w:u w:val="single"/>
        </w:rPr>
        <w:t>2026-2027年南京市</w:t>
      </w:r>
      <w:r>
        <w:rPr>
          <w:rFonts w:hint="eastAsia" w:ascii="仿宋" w:hAnsi="仿宋" w:eastAsia="仿宋" w:cs="仿宋"/>
          <w:sz w:val="24"/>
          <w:szCs w:val="24"/>
          <w:u w:val="single"/>
          <w:lang w:eastAsia="zh-CN"/>
        </w:rPr>
        <w:t>高淳区</w:t>
      </w:r>
      <w:r>
        <w:rPr>
          <w:rFonts w:hint="eastAsia" w:ascii="仿宋" w:hAnsi="仿宋" w:eastAsia="仿宋" w:cs="仿宋"/>
          <w:sz w:val="24"/>
          <w:szCs w:val="24"/>
          <w:u w:val="single"/>
        </w:rPr>
        <w:t>残疾儿童基本康复服务框架协议采购项目</w:t>
      </w:r>
      <w:r>
        <w:rPr>
          <w:rFonts w:hint="eastAsia" w:ascii="仿宋" w:hAnsi="仿宋" w:eastAsia="仿宋" w:cs="仿宋"/>
          <w:sz w:val="24"/>
          <w:szCs w:val="24"/>
        </w:rPr>
        <w:t>的结果项目框架协议采购的结果，签署本文本。</w:t>
      </w:r>
    </w:p>
    <w:p w14:paraId="60465036">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sz w:val="24"/>
          <w:szCs w:val="24"/>
        </w:rPr>
      </w:pPr>
      <w:r>
        <w:rPr>
          <w:rFonts w:hint="eastAsia" w:ascii="仿宋" w:hAnsi="仿宋" w:eastAsia="仿宋" w:cs="仿宋"/>
          <w:b/>
          <w:sz w:val="24"/>
          <w:szCs w:val="24"/>
        </w:rPr>
        <w:t>一、项目基本情况</w:t>
      </w:r>
    </w:p>
    <w:p w14:paraId="7B2948CC">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u w:val="single"/>
        </w:rPr>
      </w:pPr>
      <w:r>
        <w:rPr>
          <w:rFonts w:hint="eastAsia" w:ascii="仿宋" w:hAnsi="仿宋" w:eastAsia="仿宋" w:cs="仿宋"/>
          <w:sz w:val="24"/>
          <w:szCs w:val="24"/>
        </w:rPr>
        <w:t>1.1 采购需求：</w:t>
      </w:r>
      <w:r>
        <w:rPr>
          <w:rFonts w:hint="eastAsia" w:ascii="仿宋" w:hAnsi="仿宋" w:eastAsia="仿宋" w:cs="仿宋"/>
          <w:sz w:val="24"/>
          <w:szCs w:val="24"/>
          <w:u w:val="single"/>
        </w:rPr>
        <w:t>见征集文件</w:t>
      </w:r>
    </w:p>
    <w:p w14:paraId="6CB4DFD4">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rPr>
        <w:t>1.2 最高限制单价：</w:t>
      </w:r>
      <w:r>
        <w:rPr>
          <w:rFonts w:hint="eastAsia" w:ascii="仿宋" w:hAnsi="仿宋" w:eastAsia="仿宋" w:cs="仿宋"/>
          <w:sz w:val="24"/>
          <w:szCs w:val="24"/>
          <w:u w:val="single"/>
        </w:rPr>
        <w:t>见征集文件</w:t>
      </w:r>
    </w:p>
    <w:p w14:paraId="1A25C84A">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u w:val="single"/>
        </w:rPr>
      </w:pPr>
      <w:r>
        <w:rPr>
          <w:rFonts w:hint="eastAsia" w:ascii="仿宋" w:hAnsi="仿宋" w:eastAsia="仿宋" w:cs="仿宋"/>
          <w:sz w:val="24"/>
          <w:szCs w:val="24"/>
        </w:rPr>
        <w:t>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适用本次框架协议的采购人范围：</w:t>
      </w:r>
      <w:r>
        <w:rPr>
          <w:rFonts w:hint="eastAsia" w:ascii="仿宋" w:hAnsi="仿宋" w:eastAsia="仿宋" w:cs="仿宋"/>
          <w:sz w:val="24"/>
          <w:szCs w:val="24"/>
          <w:u w:val="single"/>
          <w:lang w:val="en-US" w:eastAsia="zh-CN"/>
        </w:rPr>
        <w:t>南京市高淳区残疾人联合会</w:t>
      </w:r>
    </w:p>
    <w:p w14:paraId="1767DD63">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rPr>
        <w:t>1.4 履行合同的地域范围：</w:t>
      </w:r>
      <w:r>
        <w:rPr>
          <w:rFonts w:hint="eastAsia" w:ascii="仿宋" w:hAnsi="仿宋" w:eastAsia="仿宋" w:cs="仿宋"/>
          <w:sz w:val="24"/>
          <w:szCs w:val="24"/>
          <w:highlight w:val="none"/>
          <w:u w:val="single"/>
          <w:lang w:val="en-US" w:eastAsia="zh-CN"/>
        </w:rPr>
        <w:t>由采购人指定（南京市高淳区）。</w:t>
      </w:r>
    </w:p>
    <w:p w14:paraId="6857EA60">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sz w:val="24"/>
          <w:szCs w:val="24"/>
        </w:rPr>
      </w:pPr>
      <w:r>
        <w:rPr>
          <w:rFonts w:hint="eastAsia" w:ascii="仿宋" w:hAnsi="仿宋" w:eastAsia="仿宋" w:cs="仿宋"/>
          <w:b/>
          <w:sz w:val="24"/>
          <w:szCs w:val="24"/>
        </w:rPr>
        <w:t>二、第一阶段入围</w:t>
      </w:r>
      <w:r>
        <w:rPr>
          <w:rFonts w:hint="eastAsia" w:ascii="仿宋" w:hAnsi="仿宋" w:eastAsia="仿宋" w:cs="仿宋"/>
          <w:b/>
          <w:sz w:val="24"/>
          <w:szCs w:val="24"/>
          <w:lang w:eastAsia="zh-CN"/>
        </w:rPr>
        <w:t>服务</w:t>
      </w:r>
      <w:r>
        <w:rPr>
          <w:rFonts w:hint="eastAsia" w:ascii="仿宋" w:hAnsi="仿宋" w:eastAsia="仿宋" w:cs="仿宋"/>
          <w:b/>
          <w:sz w:val="24"/>
          <w:szCs w:val="24"/>
        </w:rPr>
        <w:t>的相关信息</w:t>
      </w:r>
    </w:p>
    <w:p w14:paraId="740E4D47">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2.1 入围</w:t>
      </w:r>
      <w:r>
        <w:rPr>
          <w:rFonts w:hint="eastAsia" w:ascii="仿宋" w:hAnsi="仿宋" w:eastAsia="仿宋" w:cs="仿宋"/>
          <w:sz w:val="24"/>
          <w:szCs w:val="24"/>
          <w:lang w:eastAsia="zh-CN"/>
        </w:rPr>
        <w:t>服务</w:t>
      </w:r>
      <w:r>
        <w:rPr>
          <w:rFonts w:hint="eastAsia" w:ascii="仿宋" w:hAnsi="仿宋" w:eastAsia="仿宋" w:cs="仿宋"/>
          <w:sz w:val="24"/>
          <w:szCs w:val="24"/>
        </w:rPr>
        <w:t>详细技术规格：</w:t>
      </w:r>
      <w:r>
        <w:rPr>
          <w:rFonts w:hint="eastAsia" w:ascii="仿宋" w:hAnsi="仿宋" w:eastAsia="仿宋" w:cs="仿宋"/>
          <w:sz w:val="24"/>
          <w:szCs w:val="24"/>
          <w:u w:val="single"/>
        </w:rPr>
        <w:t>见</w:t>
      </w:r>
      <w:r>
        <w:rPr>
          <w:rFonts w:hint="eastAsia" w:ascii="仿宋" w:hAnsi="仿宋" w:eastAsia="仿宋" w:cs="仿宋"/>
          <w:sz w:val="24"/>
          <w:szCs w:val="24"/>
          <w:u w:val="single"/>
          <w:lang w:eastAsia="zh-CN"/>
        </w:rPr>
        <w:t>申请文件</w:t>
      </w:r>
    </w:p>
    <w:p w14:paraId="73FA688C">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2.2 服务标准：</w:t>
      </w:r>
      <w:r>
        <w:rPr>
          <w:rFonts w:hint="eastAsia" w:ascii="仿宋" w:hAnsi="仿宋" w:eastAsia="仿宋" w:cs="仿宋"/>
          <w:sz w:val="24"/>
          <w:szCs w:val="24"/>
          <w:u w:val="single"/>
        </w:rPr>
        <w:t>见</w:t>
      </w:r>
      <w:r>
        <w:rPr>
          <w:rFonts w:hint="eastAsia" w:ascii="仿宋" w:hAnsi="仿宋" w:eastAsia="仿宋" w:cs="仿宋"/>
          <w:sz w:val="24"/>
          <w:szCs w:val="24"/>
          <w:u w:val="single"/>
          <w:lang w:eastAsia="zh-CN"/>
        </w:rPr>
        <w:t>申请文件</w:t>
      </w:r>
    </w:p>
    <w:p w14:paraId="1A67A929">
      <w:pPr>
        <w:pStyle w:val="24"/>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2.3 </w:t>
      </w:r>
      <w:r>
        <w:rPr>
          <w:rFonts w:hint="eastAsia" w:ascii="仿宋" w:hAnsi="仿宋" w:eastAsia="仿宋" w:cs="仿宋"/>
          <w:sz w:val="24"/>
          <w:szCs w:val="24"/>
          <w:lang w:eastAsia="zh-CN"/>
        </w:rPr>
        <w:t>服务</w:t>
      </w:r>
      <w:r>
        <w:rPr>
          <w:rFonts w:hint="eastAsia" w:ascii="仿宋" w:hAnsi="仿宋" w:eastAsia="仿宋" w:cs="仿宋"/>
          <w:sz w:val="24"/>
          <w:szCs w:val="24"/>
        </w:rPr>
        <w:t>协议价格：</w:t>
      </w:r>
      <w:r>
        <w:rPr>
          <w:rFonts w:hint="eastAsia" w:ascii="仿宋" w:hAnsi="仿宋" w:eastAsia="仿宋" w:cs="仿宋"/>
          <w:sz w:val="24"/>
          <w:szCs w:val="24"/>
          <w:u w:val="single"/>
        </w:rPr>
        <w:t xml:space="preserve"> 见征集文件  </w:t>
      </w:r>
    </w:p>
    <w:p w14:paraId="6221AA93">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三、入围</w:t>
      </w:r>
      <w:r>
        <w:rPr>
          <w:rFonts w:hint="eastAsia" w:ascii="仿宋" w:hAnsi="仿宋" w:eastAsia="仿宋" w:cs="仿宋"/>
          <w:b/>
          <w:color w:val="auto"/>
          <w:sz w:val="24"/>
          <w:szCs w:val="24"/>
          <w:lang w:eastAsia="zh-CN"/>
        </w:rPr>
        <w:t>服务</w:t>
      </w:r>
      <w:r>
        <w:rPr>
          <w:rFonts w:hint="eastAsia" w:ascii="仿宋" w:hAnsi="仿宋" w:eastAsia="仿宋" w:cs="仿宋"/>
          <w:b/>
          <w:color w:val="auto"/>
          <w:sz w:val="24"/>
          <w:szCs w:val="24"/>
        </w:rPr>
        <w:t>升级换代规则</w:t>
      </w:r>
    </w:p>
    <w:p w14:paraId="29719741">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仿宋" w:hAnsi="仿宋" w:eastAsia="仿宋" w:cs="仿宋"/>
          <w:color w:val="auto"/>
          <w:kern w:val="2"/>
          <w:sz w:val="24"/>
          <w:szCs w:val="22"/>
          <w:highlight w:val="none"/>
          <w:lang w:val="zh-CN" w:eastAsia="zh-CN" w:bidi="ar-SA"/>
        </w:rPr>
      </w:pPr>
      <w:r>
        <w:rPr>
          <w:rFonts w:hint="eastAsia" w:ascii="仿宋" w:hAnsi="仿宋" w:eastAsia="仿宋" w:cs="仿宋"/>
          <w:color w:val="auto"/>
          <w:kern w:val="2"/>
          <w:sz w:val="24"/>
          <w:szCs w:val="22"/>
          <w:highlight w:val="none"/>
          <w:lang w:val="en-US" w:eastAsia="zh-CN" w:bidi="ar-SA"/>
        </w:rPr>
        <w:t>3.1</w:t>
      </w:r>
      <w:r>
        <w:rPr>
          <w:rFonts w:hint="eastAsia" w:ascii="仿宋" w:hAnsi="仿宋" w:eastAsia="仿宋" w:cs="仿宋"/>
          <w:color w:val="auto"/>
          <w:kern w:val="2"/>
          <w:sz w:val="24"/>
          <w:szCs w:val="22"/>
          <w:highlight w:val="none"/>
          <w:lang w:val="zh-CN" w:eastAsia="zh-CN" w:bidi="ar-SA"/>
        </w:rPr>
        <w:t>本项目框架协议期内，不对入围服务进行升级换代。</w:t>
      </w:r>
    </w:p>
    <w:p w14:paraId="3EB8F95D">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2"/>
          <w:highlight w:val="none"/>
          <w:lang w:val="en-US" w:eastAsia="zh-CN" w:bidi="ar-SA"/>
        </w:rPr>
        <w:t>3.2</w:t>
      </w:r>
      <w:r>
        <w:rPr>
          <w:rFonts w:hint="eastAsia" w:ascii="仿宋" w:hAnsi="仿宋" w:eastAsia="仿宋" w:cs="仿宋"/>
          <w:sz w:val="24"/>
          <w:szCs w:val="24"/>
          <w:highlight w:val="none"/>
          <w:lang w:val="en-US" w:eastAsia="zh-CN"/>
        </w:rPr>
        <w:t>若供应商</w:t>
      </w:r>
      <w:r>
        <w:rPr>
          <w:rFonts w:hint="eastAsia" w:ascii="仿宋" w:hAnsi="仿宋" w:eastAsia="仿宋" w:cs="仿宋"/>
          <w:sz w:val="24"/>
          <w:szCs w:val="24"/>
          <w:highlight w:val="none"/>
        </w:rPr>
        <w:t>在质量不降低、价格不提高的前提下，出现因服务升级换代，需用新服务替代原入围服务情形时，</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向甲方提出申请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审核</w:t>
      </w:r>
      <w:r>
        <w:rPr>
          <w:rFonts w:hint="eastAsia" w:ascii="仿宋" w:hAnsi="仿宋" w:eastAsia="仿宋" w:cs="仿宋"/>
          <w:sz w:val="24"/>
          <w:szCs w:val="24"/>
          <w:highlight w:val="none"/>
          <w:lang w:val="en-US" w:eastAsia="zh-CN"/>
        </w:rPr>
        <w:t>同意后方可实施。</w:t>
      </w:r>
      <w:r>
        <w:rPr>
          <w:rFonts w:hint="eastAsia" w:ascii="仿宋" w:hAnsi="仿宋" w:eastAsia="仿宋" w:cs="仿宋"/>
          <w:sz w:val="24"/>
          <w:szCs w:val="24"/>
          <w:highlight w:val="none"/>
        </w:rPr>
        <w:t> </w:t>
      </w:r>
    </w:p>
    <w:p w14:paraId="2818B231">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四、确定第二阶段成交供应商的方式</w:t>
      </w:r>
    </w:p>
    <w:p w14:paraId="64E96950">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color w:val="auto"/>
          <w:kern w:val="2"/>
          <w:sz w:val="24"/>
          <w:szCs w:val="22"/>
          <w:lang w:val="zh-CN" w:eastAsia="zh-CN" w:bidi="ar-SA"/>
        </w:rPr>
      </w:pPr>
      <w:r>
        <w:rPr>
          <w:rFonts w:hint="eastAsia" w:ascii="仿宋" w:hAnsi="仿宋" w:eastAsia="仿宋" w:cs="仿宋"/>
          <w:color w:val="auto"/>
          <w:kern w:val="2"/>
          <w:sz w:val="24"/>
          <w:szCs w:val="22"/>
          <w:lang w:val="en-US" w:eastAsia="zh-CN" w:bidi="ar-SA"/>
        </w:rPr>
        <w:t>4.1.</w:t>
      </w:r>
      <w:r>
        <w:rPr>
          <w:rFonts w:hint="eastAsia" w:ascii="仿宋" w:hAnsi="仿宋" w:eastAsia="仿宋" w:cs="仿宋"/>
          <w:color w:val="auto"/>
          <w:kern w:val="2"/>
          <w:sz w:val="24"/>
          <w:szCs w:val="22"/>
          <w:lang w:val="zh-CN" w:eastAsia="zh-CN" w:bidi="ar-SA"/>
        </w:rPr>
        <w:t>确定第二阶段成交供应商的方式为</w:t>
      </w:r>
      <w:r>
        <w:rPr>
          <w:rFonts w:hint="eastAsia" w:ascii="仿宋" w:hAnsi="仿宋" w:eastAsia="仿宋" w:cs="仿宋"/>
          <w:b/>
          <w:bCs/>
          <w:color w:val="auto"/>
          <w:kern w:val="2"/>
          <w:sz w:val="24"/>
          <w:szCs w:val="22"/>
          <w:highlight w:val="none"/>
          <w:lang w:val="zh-CN" w:eastAsia="zh-CN" w:bidi="ar-SA"/>
        </w:rPr>
        <w:t>直接选定</w:t>
      </w:r>
      <w:r>
        <w:rPr>
          <w:rFonts w:hint="eastAsia" w:ascii="仿宋" w:hAnsi="仿宋" w:eastAsia="仿宋" w:cs="仿宋"/>
          <w:color w:val="auto"/>
          <w:kern w:val="2"/>
          <w:sz w:val="24"/>
          <w:szCs w:val="22"/>
          <w:lang w:val="zh-CN" w:eastAsia="zh-CN" w:bidi="ar-SA"/>
        </w:rPr>
        <w:t>。由征集人或者服务对象依据入围产品价格、质量以及服务便利性、用户评价等因素，从第一阶段入围供应商中直接选定。</w:t>
      </w:r>
    </w:p>
    <w:p w14:paraId="6895EFE8">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color w:val="auto"/>
          <w:kern w:val="2"/>
          <w:sz w:val="24"/>
          <w:szCs w:val="22"/>
          <w:highlight w:val="red"/>
          <w:lang w:val="en-US" w:eastAsia="zh-CN" w:bidi="ar-SA"/>
        </w:rPr>
      </w:pPr>
      <w:r>
        <w:rPr>
          <w:rFonts w:hint="eastAsia" w:ascii="仿宋" w:hAnsi="仿宋" w:eastAsia="仿宋" w:cs="仿宋"/>
          <w:color w:val="auto"/>
          <w:kern w:val="2"/>
          <w:sz w:val="24"/>
          <w:szCs w:val="22"/>
          <w:lang w:val="en-US" w:eastAsia="zh-CN" w:bidi="ar-SA"/>
        </w:rPr>
        <w:t>4.2</w:t>
      </w:r>
      <w:r>
        <w:rPr>
          <w:rFonts w:hint="eastAsia" w:ascii="仿宋" w:hAnsi="仿宋" w:eastAsia="仿宋" w:cs="仿宋"/>
          <w:color w:val="auto"/>
          <w:kern w:val="2"/>
          <w:sz w:val="24"/>
          <w:szCs w:val="22"/>
          <w:lang w:val="zh-CN" w:eastAsia="zh-CN" w:bidi="ar-SA"/>
        </w:rPr>
        <w:t>采购人在确定第二阶段成交供应商后，双方应当按照框架协议中规定的“采购合同文本”格式（见采购合同文本）签订采购合同，不得擅自改变采购合同实质性条款。</w:t>
      </w:r>
    </w:p>
    <w:p w14:paraId="2F60991F">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、资金支付方式、时间和条件</w:t>
      </w:r>
    </w:p>
    <w:p w14:paraId="5A8CE820">
      <w:pPr>
        <w:pStyle w:val="24"/>
        <w:keepNext w:val="0"/>
        <w:keepLines w:val="0"/>
        <w:pageBreakBefore w:val="0"/>
        <w:widowControl/>
        <w:kinsoku/>
        <w:wordWrap/>
        <w:overflowPunct/>
        <w:topLinePunct w:val="0"/>
        <w:autoSpaceDE/>
        <w:autoSpaceDN/>
        <w:bidi w:val="0"/>
        <w:adjustRightInd w:val="0"/>
        <w:snapToGrid w:val="0"/>
        <w:spacing w:line="348"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 xml:space="preserve">5.1 </w:t>
      </w:r>
      <w:r>
        <w:rPr>
          <w:rFonts w:hint="eastAsia" w:ascii="仿宋" w:hAnsi="仿宋" w:eastAsia="仿宋" w:cs="仿宋"/>
          <w:sz w:val="24"/>
          <w:szCs w:val="24"/>
          <w:highlight w:val="none"/>
          <w:lang w:eastAsia="zh-CN"/>
        </w:rPr>
        <w:t>本项目合同履约期间分两次付款：</w:t>
      </w:r>
    </w:p>
    <w:p w14:paraId="35DDE91A">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第一次为预付款，根据中国残联儿童康复救助系统实际在训儿童康复人数，按照各类别康复儿童应享受救助标准的</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lang w:eastAsia="zh-CN"/>
        </w:rPr>
        <w:t>支付，付款时间为每年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月底前，采购人在收到供应商发票后 10 个工作日内，按双方确认的预付金额预付。</w:t>
      </w:r>
    </w:p>
    <w:p w14:paraId="724D92A6">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次为清算，年度任务完成后，采购人根据儿童康复救助系统实际在训儿童康复人数，供应商提供的儿童实际康复训练时间和救助类别等台账资料审核后付尾款，付款为每年11月底前，采购人在收到供应商发票后 10 个工作日内支付。除此以外采购人不再支付其他任何费用。</w:t>
      </w:r>
    </w:p>
    <w:p w14:paraId="2660D0DE">
      <w:pPr>
        <w:pStyle w:val="24"/>
        <w:keepNext w:val="0"/>
        <w:keepLines w:val="0"/>
        <w:pageBreakBefore w:val="0"/>
        <w:widowControl/>
        <w:kinsoku/>
        <w:wordWrap/>
        <w:overflowPunct/>
        <w:topLinePunct w:val="0"/>
        <w:autoSpaceDE/>
        <w:autoSpaceDN/>
        <w:bidi w:val="0"/>
        <w:adjustRightInd w:val="0"/>
        <w:snapToGrid w:val="0"/>
        <w:spacing w:line="348"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5.2</w:t>
      </w:r>
      <w:r>
        <w:rPr>
          <w:rFonts w:hint="eastAsia" w:ascii="仿宋" w:hAnsi="仿宋" w:eastAsia="仿宋" w:cs="仿宋"/>
          <w:sz w:val="24"/>
          <w:szCs w:val="24"/>
          <w:highlight w:val="none"/>
          <w:lang w:eastAsia="zh-CN"/>
        </w:rPr>
        <w:t xml:space="preserve"> 供应商结账时需开具正式发票并附相关清单，发票上标注的名称、账号、开户行应与收款人一致。</w:t>
      </w:r>
    </w:p>
    <w:p w14:paraId="1551B49B">
      <w:pPr>
        <w:pStyle w:val="24"/>
        <w:keepNext w:val="0"/>
        <w:keepLines w:val="0"/>
        <w:pageBreakBefore w:val="0"/>
        <w:widowControl/>
        <w:kinsoku/>
        <w:wordWrap/>
        <w:overflowPunct/>
        <w:topLinePunct w:val="0"/>
        <w:autoSpaceDE/>
        <w:autoSpaceDN/>
        <w:bidi w:val="0"/>
        <w:adjustRightInd w:val="0"/>
        <w:snapToGrid w:val="0"/>
        <w:spacing w:line="348"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5.3</w:t>
      </w:r>
      <w:r>
        <w:rPr>
          <w:rFonts w:hint="eastAsia" w:ascii="仿宋" w:hAnsi="仿宋" w:eastAsia="仿宋" w:cs="仿宋"/>
          <w:sz w:val="24"/>
          <w:szCs w:val="24"/>
          <w:highlight w:val="none"/>
          <w:lang w:eastAsia="zh-CN"/>
        </w:rPr>
        <w:t xml:space="preserve"> 服务费用原则上每半年结算支付一次，采购人在供应商上半年康复服务工作完成后1个月内将半年康复服务费用支付给供应商。</w:t>
      </w:r>
    </w:p>
    <w:p w14:paraId="6BD1890A">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提供的收款专户须与供应商名称-致。付款方式为:银行划拨支付。每个任务周期结束后，采购人根据供应商提供的残疾儿童康复训练台账等资料，审核确认康复训练费用，供应商在确认无误后一周内将盖章的付款确认函及发票寄送采购人。付款确认函应载明开户名、开户行、账号，并与合同注明的保持一致。</w:t>
      </w:r>
    </w:p>
    <w:p w14:paraId="54EFF295">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、框架协议期限</w:t>
      </w:r>
    </w:p>
    <w:p w14:paraId="0DAB1428">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b w:val="0"/>
          <w:bCs w:val="0"/>
          <w:sz w:val="24"/>
          <w:szCs w:val="24"/>
          <w:highlight w:val="none"/>
          <w:lang w:val="en-US" w:eastAsia="zh-CN"/>
        </w:rPr>
        <w:t>本项目服务期限：</w:t>
      </w:r>
      <w:r>
        <w:rPr>
          <w:rFonts w:hint="eastAsia" w:ascii="仿宋" w:hAnsi="仿宋" w:eastAsia="仿宋" w:cs="仿宋"/>
          <w:b/>
          <w:bCs/>
          <w:sz w:val="24"/>
          <w:szCs w:val="24"/>
          <w:highlight w:val="none"/>
          <w:u w:val="single"/>
        </w:rPr>
        <w:t>两年</w:t>
      </w: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rPr>
        <w:t>202</w:t>
      </w:r>
      <w:r>
        <w:rPr>
          <w:rFonts w:hint="eastAsia" w:ascii="仿宋" w:hAnsi="仿宋" w:eastAsia="仿宋" w:cs="仿宋"/>
          <w:b/>
          <w:bCs/>
          <w:sz w:val="24"/>
          <w:szCs w:val="24"/>
          <w:highlight w:val="none"/>
          <w:u w:val="single"/>
          <w:lang w:val="en-US" w:eastAsia="zh-CN"/>
        </w:rPr>
        <w:t>6</w:t>
      </w:r>
      <w:r>
        <w:rPr>
          <w:rFonts w:hint="eastAsia" w:ascii="仿宋" w:hAnsi="仿宋" w:eastAsia="仿宋" w:cs="仿宋"/>
          <w:b/>
          <w:bCs/>
          <w:sz w:val="24"/>
          <w:szCs w:val="24"/>
          <w:highlight w:val="none"/>
          <w:u w:val="single"/>
        </w:rPr>
        <w:t>年1月1日至2027年</w:t>
      </w:r>
      <w:r>
        <w:rPr>
          <w:rFonts w:hint="eastAsia" w:ascii="仿宋" w:hAnsi="仿宋" w:eastAsia="仿宋" w:cs="仿宋"/>
          <w:b/>
          <w:bCs/>
          <w:sz w:val="24"/>
          <w:szCs w:val="24"/>
          <w:highlight w:val="none"/>
          <w:u w:val="single"/>
          <w:lang w:val="en-US" w:eastAsia="zh-CN"/>
        </w:rPr>
        <w:t>12</w:t>
      </w:r>
      <w:r>
        <w:rPr>
          <w:rFonts w:hint="eastAsia" w:ascii="仿宋" w:hAnsi="仿宋" w:eastAsia="仿宋" w:cs="仿宋"/>
          <w:b/>
          <w:bCs/>
          <w:sz w:val="24"/>
          <w:szCs w:val="24"/>
          <w:highlight w:val="none"/>
          <w:u w:val="single"/>
        </w:rPr>
        <w:t>月31日。</w:t>
      </w:r>
    </w:p>
    <w:p w14:paraId="79F5D2DE">
      <w:pPr>
        <w:keepNext w:val="0"/>
        <w:keepLines w:val="0"/>
        <w:pageBreakBefore w:val="0"/>
        <w:kinsoku/>
        <w:wordWrap/>
        <w:overflowPunct/>
        <w:topLinePunct w:val="0"/>
        <w:autoSpaceDE/>
        <w:autoSpaceDN/>
        <w:bidi w:val="0"/>
        <w:adjustRightInd/>
        <w:snapToGrid/>
        <w:spacing w:line="348" w:lineRule="auto"/>
        <w:ind w:firstLine="793" w:firstLineChars="329"/>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bCs/>
          <w:sz w:val="24"/>
          <w:szCs w:val="24"/>
          <w:highlight w:val="none"/>
          <w:u w:val="none"/>
          <w:lang w:val="en-US" w:eastAsia="zh-CN"/>
        </w:rPr>
        <w:t>特别说明：</w:t>
      </w:r>
      <w:r>
        <w:rPr>
          <w:rFonts w:hint="eastAsia" w:ascii="仿宋" w:hAnsi="仿宋" w:eastAsia="仿宋" w:cs="仿宋"/>
          <w:b w:val="0"/>
          <w:bCs w:val="0"/>
          <w:sz w:val="24"/>
          <w:szCs w:val="24"/>
          <w:highlight w:val="none"/>
          <w:u w:val="none"/>
          <w:lang w:val="en-US" w:eastAsia="zh-CN"/>
        </w:rPr>
        <w:t>框架协议一年一签，按照</w:t>
      </w:r>
      <w:r>
        <w:rPr>
          <w:rFonts w:hint="default" w:ascii="仿宋" w:hAnsi="仿宋" w:eastAsia="仿宋" w:cs="仿宋"/>
          <w:b w:val="0"/>
          <w:bCs w:val="0"/>
          <w:sz w:val="24"/>
          <w:szCs w:val="24"/>
          <w:highlight w:val="none"/>
          <w:u w:val="none"/>
          <w:lang w:val="en-US" w:eastAsia="zh-CN"/>
        </w:rPr>
        <w:t>苏残规〔2023〕1号</w:t>
      </w:r>
      <w:r>
        <w:rPr>
          <w:rFonts w:hint="eastAsia" w:ascii="仿宋" w:hAnsi="仿宋" w:eastAsia="仿宋" w:cs="仿宋"/>
          <w:b w:val="0"/>
          <w:bCs w:val="0"/>
          <w:sz w:val="24"/>
          <w:szCs w:val="24"/>
          <w:highlight w:val="none"/>
          <w:u w:val="none"/>
          <w:lang w:val="en-US" w:eastAsia="zh-CN"/>
        </w:rPr>
        <w:t>进行考核，考核合格，续签1年；考核不合格则终止协议；第二年采购活动的执行标的以</w:t>
      </w:r>
      <w:r>
        <w:rPr>
          <w:rFonts w:hint="eastAsia" w:ascii="仿宋" w:hAnsi="仿宋" w:eastAsia="仿宋" w:cs="仿宋"/>
          <w:b/>
          <w:bCs/>
          <w:sz w:val="24"/>
          <w:szCs w:val="24"/>
          <w:highlight w:val="none"/>
          <w:u w:val="none"/>
          <w:lang w:val="en-US" w:eastAsia="zh-CN"/>
        </w:rPr>
        <w:t>上级部门下达的补助资金和</w:t>
      </w:r>
      <w:r>
        <w:rPr>
          <w:rFonts w:hint="eastAsia" w:ascii="仿宋" w:hAnsi="仿宋" w:eastAsia="仿宋" w:cs="仿宋"/>
          <w:b w:val="0"/>
          <w:bCs w:val="0"/>
          <w:sz w:val="24"/>
          <w:szCs w:val="24"/>
          <w:highlight w:val="none"/>
          <w:u w:val="none"/>
          <w:lang w:val="en-US" w:eastAsia="zh-CN"/>
        </w:rPr>
        <w:t>本级财政年度预算为准。</w:t>
      </w:r>
    </w:p>
    <w:p w14:paraId="0F89899F">
      <w:pPr>
        <w:pStyle w:val="24"/>
        <w:keepNext w:val="0"/>
        <w:keepLines w:val="0"/>
        <w:pageBreakBefore w:val="0"/>
        <w:widowControl/>
        <w:kinsoku/>
        <w:wordWrap/>
        <w:overflowPunct/>
        <w:topLinePunct w:val="0"/>
        <w:autoSpaceDE/>
        <w:autoSpaceDN/>
        <w:bidi w:val="0"/>
        <w:adjustRightInd w:val="0"/>
        <w:snapToGrid w:val="0"/>
        <w:spacing w:before="120" w:after="120" w:line="348" w:lineRule="auto"/>
        <w:ind w:firstLine="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、入围供应商的清退</w:t>
      </w:r>
    </w:p>
    <w:p w14:paraId="384D9AFE">
      <w:pPr>
        <w:keepNext w:val="0"/>
        <w:keepLines w:val="0"/>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入围供应商有下列情形之一，尚未签订框架协议的，取消其入围资格；已经签订框架协议的，解除与其签订的框架协议：</w:t>
      </w:r>
    </w:p>
    <w:p w14:paraId="66085775">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7.1</w:t>
      </w:r>
      <w:r>
        <w:rPr>
          <w:rFonts w:hint="eastAsia" w:ascii="仿宋" w:hAnsi="仿宋" w:eastAsia="仿宋" w:cs="仿宋"/>
          <w:sz w:val="24"/>
          <w:szCs w:val="24"/>
          <w:highlight w:val="none"/>
        </w:rPr>
        <w:t>恶意串通谋取入围或者合同成交的； </w:t>
      </w:r>
    </w:p>
    <w:p w14:paraId="4FC8041F">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7.2</w:t>
      </w:r>
      <w:r>
        <w:rPr>
          <w:rFonts w:hint="eastAsia" w:ascii="仿宋" w:hAnsi="仿宋" w:eastAsia="仿宋" w:cs="仿宋"/>
          <w:sz w:val="24"/>
          <w:szCs w:val="24"/>
          <w:highlight w:val="none"/>
        </w:rPr>
        <w:t>提供虚假材料谋取入围或者合同成交的； </w:t>
      </w:r>
    </w:p>
    <w:p w14:paraId="539E4A6E">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7.3</w:t>
      </w:r>
      <w:r>
        <w:rPr>
          <w:rFonts w:hint="eastAsia" w:ascii="仿宋" w:hAnsi="仿宋" w:eastAsia="仿宋" w:cs="仿宋"/>
          <w:sz w:val="24"/>
          <w:szCs w:val="24"/>
          <w:highlight w:val="none"/>
        </w:rPr>
        <w:t>无正当理由拒不接受合同授予的； </w:t>
      </w:r>
    </w:p>
    <w:p w14:paraId="05151410">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7.4</w:t>
      </w:r>
      <w:r>
        <w:rPr>
          <w:rFonts w:hint="eastAsia" w:ascii="仿宋" w:hAnsi="仿宋" w:eastAsia="仿宋" w:cs="仿宋"/>
          <w:sz w:val="24"/>
          <w:szCs w:val="24"/>
          <w:highlight w:val="none"/>
        </w:rPr>
        <w:t>不履行合同义务或者履行合同义务不符合约定，经采购人请求履行后仍不履行或者仍未按约定履行的； </w:t>
      </w:r>
    </w:p>
    <w:p w14:paraId="0CF2D7F0">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7.5</w:t>
      </w:r>
      <w:r>
        <w:rPr>
          <w:rFonts w:hint="eastAsia" w:ascii="仿宋" w:hAnsi="仿宋" w:eastAsia="仿宋" w:cs="仿宋"/>
          <w:sz w:val="24"/>
          <w:szCs w:val="24"/>
          <w:highlight w:val="none"/>
        </w:rPr>
        <w:t>框架协议有效期内，因违法行为被禁止或限制参加政府采购活动的； </w:t>
      </w:r>
    </w:p>
    <w:p w14:paraId="01583D66">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7.6</w:t>
      </w:r>
      <w:r>
        <w:rPr>
          <w:rFonts w:hint="eastAsia" w:ascii="仿宋" w:hAnsi="仿宋" w:eastAsia="仿宋" w:cs="仿宋"/>
          <w:sz w:val="24"/>
          <w:szCs w:val="24"/>
          <w:highlight w:val="none"/>
        </w:rPr>
        <w:t>框架协议约定的其他情形及违反《南京市残疾儿童基本康复服务管理实施细则》（宁残规〔202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〕2号）等相关规定</w:t>
      </w:r>
      <w:r>
        <w:rPr>
          <w:rFonts w:hint="eastAsia" w:ascii="仿宋" w:hAnsi="仿宋" w:eastAsia="仿宋" w:cs="仿宋"/>
          <w:sz w:val="24"/>
          <w:szCs w:val="24"/>
        </w:rPr>
        <w:t>的情形。 </w:t>
      </w:r>
    </w:p>
    <w:p w14:paraId="349DD64C">
      <w:pPr>
        <w:keepNext w:val="0"/>
        <w:keepLines w:val="0"/>
        <w:pageBreakBefore w:val="0"/>
        <w:widowControl/>
        <w:kinsoku/>
        <w:wordWrap/>
        <w:overflowPunct/>
        <w:topLinePunct w:val="0"/>
        <w:autoSpaceDE/>
        <w:autoSpaceDN/>
        <w:bidi w:val="0"/>
        <w:adjustRightInd/>
        <w:snapToGrid/>
        <w:spacing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7.7</w:t>
      </w:r>
      <w:r>
        <w:rPr>
          <w:rFonts w:hint="eastAsia" w:ascii="仿宋" w:hAnsi="仿宋" w:eastAsia="仿宋" w:cs="仿宋"/>
          <w:sz w:val="24"/>
          <w:szCs w:val="24"/>
        </w:rPr>
        <w:t>首次入围的供应商，经南京市</w:t>
      </w:r>
      <w:r>
        <w:rPr>
          <w:rFonts w:hint="eastAsia" w:ascii="仿宋" w:hAnsi="仿宋" w:eastAsia="仿宋" w:cs="仿宋"/>
          <w:sz w:val="24"/>
          <w:szCs w:val="24"/>
          <w:lang w:eastAsia="zh-CN"/>
        </w:rPr>
        <w:t>高淳区</w:t>
      </w:r>
      <w:r>
        <w:rPr>
          <w:rFonts w:hint="eastAsia" w:ascii="仿宋" w:hAnsi="仿宋" w:eastAsia="仿宋" w:cs="仿宋"/>
          <w:sz w:val="24"/>
          <w:szCs w:val="24"/>
        </w:rPr>
        <w:t>残疾人联合会核实未响应招标文件要求的，由南京市</w:t>
      </w:r>
      <w:r>
        <w:rPr>
          <w:rFonts w:hint="eastAsia" w:ascii="仿宋" w:hAnsi="仿宋" w:eastAsia="仿宋" w:cs="仿宋"/>
          <w:sz w:val="24"/>
          <w:szCs w:val="24"/>
          <w:lang w:eastAsia="zh-CN"/>
        </w:rPr>
        <w:t>高淳区</w:t>
      </w:r>
      <w:r>
        <w:rPr>
          <w:rFonts w:hint="eastAsia" w:ascii="仿宋" w:hAnsi="仿宋" w:eastAsia="仿宋" w:cs="仿宋"/>
          <w:sz w:val="24"/>
          <w:szCs w:val="24"/>
        </w:rPr>
        <w:t>残疾人联合会上报监管部门并取消其入围资格。</w:t>
      </w:r>
    </w:p>
    <w:p w14:paraId="7B51EBC3">
      <w:pPr>
        <w:keepNext w:val="0"/>
        <w:keepLines w:val="0"/>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供应商有上述第1至3项情形之一的，依照政府采购法等有关法律、行政法规处理，其他按相关规定处理。</w:t>
      </w:r>
    </w:p>
    <w:p w14:paraId="0C5FD44F">
      <w:pPr>
        <w:keepNext w:val="0"/>
        <w:keepLines w:val="0"/>
        <w:pageBreakBefore w:val="0"/>
        <w:widowControl w:val="0"/>
        <w:kinsoku/>
        <w:wordWrap/>
        <w:overflowPunct/>
        <w:topLinePunct w:val="0"/>
        <w:autoSpaceDE/>
        <w:autoSpaceDN/>
        <w:bidi w:val="0"/>
        <w:adjustRightInd/>
        <w:snapToGrid/>
        <w:spacing w:line="348" w:lineRule="auto"/>
        <w:ind w:firstLine="434" w:firstLineChars="180"/>
        <w:textAlignment w:val="auto"/>
        <w:rPr>
          <w:rFonts w:hint="eastAsia" w:ascii="仿宋" w:hAnsi="仿宋" w:eastAsia="仿宋" w:cs="仿宋"/>
          <w:b/>
          <w:bCs/>
          <w:sz w:val="24"/>
          <w:szCs w:val="24"/>
          <w:highlight w:val="cyan"/>
        </w:rPr>
      </w:pPr>
      <w:r>
        <w:rPr>
          <w:rFonts w:hint="eastAsia" w:ascii="仿宋" w:hAnsi="仿宋" w:eastAsia="仿宋" w:cs="仿宋"/>
          <w:b/>
          <w:bCs/>
          <w:sz w:val="24"/>
          <w:szCs w:val="24"/>
          <w:highlight w:val="none"/>
        </w:rPr>
        <w:t>被取消入围资格或者被解除框架协议</w:t>
      </w:r>
      <w:r>
        <w:rPr>
          <w:rFonts w:hint="eastAsia" w:ascii="仿宋" w:hAnsi="仿宋" w:eastAsia="仿宋" w:cs="仿宋"/>
          <w:b/>
          <w:bCs/>
          <w:sz w:val="24"/>
          <w:szCs w:val="24"/>
          <w:highlight w:val="none"/>
          <w:lang w:val="en-US" w:eastAsia="zh-CN"/>
        </w:rPr>
        <w:t>或入围退出</w:t>
      </w:r>
      <w:r>
        <w:rPr>
          <w:rFonts w:hint="eastAsia" w:ascii="仿宋" w:hAnsi="仿宋" w:eastAsia="仿宋" w:cs="仿宋"/>
          <w:b/>
          <w:bCs/>
          <w:sz w:val="24"/>
          <w:szCs w:val="24"/>
          <w:highlight w:val="none"/>
        </w:rPr>
        <w:t>的供应商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在框架协议有效期内不得重新申请加入同一</w:t>
      </w:r>
      <w:r>
        <w:rPr>
          <w:rFonts w:hint="eastAsia" w:ascii="仿宋" w:hAnsi="仿宋" w:eastAsia="仿宋" w:cs="仿宋"/>
          <w:b/>
          <w:bCs/>
          <w:sz w:val="24"/>
          <w:szCs w:val="24"/>
          <w:highlight w:val="none"/>
          <w:lang w:eastAsia="zh-CN"/>
        </w:rPr>
        <w:t>封闭式</w:t>
      </w:r>
      <w:r>
        <w:rPr>
          <w:rFonts w:hint="eastAsia" w:ascii="仿宋" w:hAnsi="仿宋" w:eastAsia="仿宋" w:cs="仿宋"/>
          <w:b/>
          <w:bCs/>
          <w:sz w:val="24"/>
          <w:szCs w:val="24"/>
          <w:highlight w:val="none"/>
        </w:rPr>
        <w:t>框架协议。</w:t>
      </w:r>
    </w:p>
    <w:p w14:paraId="3028EE03">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、采购合同文本</w:t>
      </w:r>
    </w:p>
    <w:p w14:paraId="2281DC6C">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见“框架协议文本附件1”</w:t>
      </w:r>
    </w:p>
    <w:p w14:paraId="3DBA6FBD">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、甲乙双方的权利和义务</w:t>
      </w:r>
    </w:p>
    <w:p w14:paraId="67939236">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.1 甲方的权利</w:t>
      </w:r>
    </w:p>
    <w:p w14:paraId="1E47E561">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（1）确定框架协议采购需求。</w:t>
      </w:r>
    </w:p>
    <w:p w14:paraId="54136D4F">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（2）确定最高限制单价。</w:t>
      </w:r>
    </w:p>
    <w:p w14:paraId="0E979970">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（3）确定框架协议有</w:t>
      </w:r>
      <w:r>
        <w:rPr>
          <w:rFonts w:hint="eastAsia" w:ascii="仿宋" w:hAnsi="仿宋" w:eastAsia="仿宋" w:cs="仿宋"/>
          <w:sz w:val="24"/>
          <w:szCs w:val="24"/>
          <w:lang w:val="en-US" w:eastAsia="zh-CN"/>
        </w:rPr>
        <w:t>效</w:t>
      </w:r>
      <w:r>
        <w:rPr>
          <w:rFonts w:hint="eastAsia" w:ascii="仿宋" w:hAnsi="仿宋" w:eastAsia="仿宋" w:cs="仿宋"/>
          <w:sz w:val="24"/>
          <w:szCs w:val="24"/>
        </w:rPr>
        <w:t>限期。</w:t>
      </w:r>
    </w:p>
    <w:p w14:paraId="0ACC24B6">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（4）制定统一的采购合同文本供采购人、供应商使用，并明确要求采购人、供应商不得擅自改变框架协议约定的合同实质性条款。</w:t>
      </w:r>
    </w:p>
    <w:p w14:paraId="501399E8">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（5）乙方存在《政府采购框架协议采购方式管理暂行办法》第十九条第一款规定的情形时，取消入围供应商的入围资格，或解除与其签订的框架协议。</w:t>
      </w:r>
    </w:p>
    <w:p w14:paraId="3072F77B">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（6）在框架协议期内，随时对乙方及其委托的代理商履约情况进行检查。 </w:t>
      </w:r>
    </w:p>
    <w:p w14:paraId="64A62BF8">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.2 甲方的义务</w:t>
      </w:r>
    </w:p>
    <w:p w14:paraId="1B592B4A">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（1）为第二阶段合同授予提供工作便利。 </w:t>
      </w:r>
    </w:p>
    <w:p w14:paraId="33C51D86">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（2）对第二阶段最高限价和需求标准执行情况进行管理。</w:t>
      </w:r>
    </w:p>
    <w:p w14:paraId="2403CD1C">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（3）对第二阶段确定成交供应商情况进行管理。 </w:t>
      </w:r>
    </w:p>
    <w:p w14:paraId="334E1DA3">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（4）根据框架协议约定，在质量不降低、价格不提高的前提下，对入围供应商因</w:t>
      </w:r>
      <w:r>
        <w:rPr>
          <w:rFonts w:hint="eastAsia" w:ascii="仿宋" w:hAnsi="仿宋" w:eastAsia="仿宋" w:cs="仿宋"/>
          <w:sz w:val="24"/>
          <w:szCs w:val="24"/>
          <w:lang w:eastAsia="zh-CN"/>
        </w:rPr>
        <w:t>服务</w:t>
      </w:r>
      <w:r>
        <w:rPr>
          <w:rFonts w:hint="eastAsia" w:ascii="仿宋" w:hAnsi="仿宋" w:eastAsia="仿宋" w:cs="仿宋"/>
          <w:sz w:val="24"/>
          <w:szCs w:val="24"/>
        </w:rPr>
        <w:t>升级换代、用新</w:t>
      </w:r>
      <w:r>
        <w:rPr>
          <w:rFonts w:hint="eastAsia" w:ascii="仿宋" w:hAnsi="仿宋" w:eastAsia="仿宋" w:cs="仿宋"/>
          <w:sz w:val="24"/>
          <w:szCs w:val="24"/>
          <w:lang w:eastAsia="zh-CN"/>
        </w:rPr>
        <w:t>服务</w:t>
      </w:r>
      <w:r>
        <w:rPr>
          <w:rFonts w:hint="eastAsia" w:ascii="仿宋" w:hAnsi="仿宋" w:eastAsia="仿宋" w:cs="仿宋"/>
          <w:sz w:val="24"/>
          <w:szCs w:val="24"/>
        </w:rPr>
        <w:t>替代原入围</w:t>
      </w:r>
      <w:r>
        <w:rPr>
          <w:rFonts w:hint="eastAsia" w:ascii="仿宋" w:hAnsi="仿宋" w:eastAsia="仿宋" w:cs="仿宋"/>
          <w:sz w:val="24"/>
          <w:szCs w:val="24"/>
          <w:lang w:eastAsia="zh-CN"/>
        </w:rPr>
        <w:t>服务</w:t>
      </w:r>
      <w:r>
        <w:rPr>
          <w:rFonts w:hint="eastAsia" w:ascii="仿宋" w:hAnsi="仿宋" w:eastAsia="仿宋" w:cs="仿宋"/>
          <w:sz w:val="24"/>
          <w:szCs w:val="24"/>
        </w:rPr>
        <w:t>的情形进行审核。 </w:t>
      </w:r>
    </w:p>
    <w:p w14:paraId="678B5568">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14:paraId="0AA6213E">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（6）公开</w:t>
      </w:r>
      <w:r>
        <w:rPr>
          <w:rFonts w:hint="eastAsia" w:ascii="仿宋" w:hAnsi="仿宋" w:eastAsia="仿宋" w:cs="仿宋"/>
          <w:sz w:val="24"/>
          <w:szCs w:val="24"/>
          <w:lang w:eastAsia="zh-CN"/>
        </w:rPr>
        <w:t>封闭式</w:t>
      </w:r>
      <w:r>
        <w:rPr>
          <w:rFonts w:hint="eastAsia" w:ascii="仿宋" w:hAnsi="仿宋" w:eastAsia="仿宋" w:cs="仿宋"/>
          <w:sz w:val="24"/>
          <w:szCs w:val="24"/>
        </w:rPr>
        <w:t>框架协议的第二阶段成交结果。 </w:t>
      </w:r>
    </w:p>
    <w:p w14:paraId="25B5A6CB">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（7）办理入围供应商清退和补充相关事宜。</w:t>
      </w:r>
    </w:p>
    <w:p w14:paraId="136B1D05">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（8）建立真实完整的框架协议采购档案，妥善保存采购文件资料。</w:t>
      </w:r>
    </w:p>
    <w:p w14:paraId="74FB36C6">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.3 乙方的权利</w:t>
      </w:r>
    </w:p>
    <w:p w14:paraId="160EFE91">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（1）乙方（及其委托的代理商，以下统称乙方）具有为采购人提供服务的资格。</w:t>
      </w:r>
    </w:p>
    <w:p w14:paraId="6CF1F1A4">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（2）乙方有权拒绝采购人提出的以本次框架协议采购名义购买非入围</w:t>
      </w:r>
      <w:r>
        <w:rPr>
          <w:rFonts w:hint="eastAsia" w:ascii="仿宋" w:hAnsi="仿宋" w:eastAsia="仿宋" w:cs="仿宋"/>
          <w:sz w:val="24"/>
          <w:szCs w:val="24"/>
          <w:lang w:eastAsia="zh-CN"/>
        </w:rPr>
        <w:t>服务</w:t>
      </w:r>
      <w:r>
        <w:rPr>
          <w:rFonts w:hint="eastAsia" w:ascii="仿宋" w:hAnsi="仿宋" w:eastAsia="仿宋" w:cs="仿宋"/>
          <w:sz w:val="24"/>
          <w:szCs w:val="24"/>
        </w:rPr>
        <w:t xml:space="preserve">或满足采购人超出响应承诺以外的其他要求。 </w:t>
      </w:r>
    </w:p>
    <w:p w14:paraId="2EE02DE0">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（3）对采购人在购买入围</w:t>
      </w:r>
      <w:r>
        <w:rPr>
          <w:rFonts w:hint="eastAsia" w:ascii="仿宋" w:hAnsi="仿宋" w:eastAsia="仿宋" w:cs="仿宋"/>
          <w:sz w:val="24"/>
          <w:szCs w:val="24"/>
          <w:lang w:eastAsia="zh-CN"/>
        </w:rPr>
        <w:t>服务</w:t>
      </w:r>
      <w:r>
        <w:rPr>
          <w:rFonts w:hint="eastAsia" w:ascii="仿宋" w:hAnsi="仿宋" w:eastAsia="仿宋" w:cs="仿宋"/>
          <w:sz w:val="24"/>
          <w:szCs w:val="24"/>
        </w:rPr>
        <w:t xml:space="preserve">过程中的不正当要求和违规行为进行投诉，并要求有关部门做出处理。 </w:t>
      </w:r>
    </w:p>
    <w:p w14:paraId="5D27113B">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有权拒绝任何个人以采购人名义按照协议价格购买入围</w:t>
      </w:r>
      <w:r>
        <w:rPr>
          <w:rFonts w:hint="eastAsia" w:ascii="仿宋" w:hAnsi="仿宋" w:eastAsia="仿宋" w:cs="仿宋"/>
          <w:sz w:val="24"/>
          <w:szCs w:val="24"/>
          <w:lang w:eastAsia="zh-CN"/>
        </w:rPr>
        <w:t>服务</w:t>
      </w:r>
      <w:r>
        <w:rPr>
          <w:rFonts w:hint="eastAsia" w:ascii="仿宋" w:hAnsi="仿宋" w:eastAsia="仿宋" w:cs="仿宋"/>
          <w:sz w:val="24"/>
          <w:szCs w:val="24"/>
        </w:rPr>
        <w:t>和进行现金交易。</w:t>
      </w:r>
    </w:p>
    <w:p w14:paraId="29774BB2">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.4 乙方的义务</w:t>
      </w:r>
    </w:p>
    <w:p w14:paraId="01E22BE3">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（1）严格执行国家法律法规，严格按照</w:t>
      </w:r>
      <w:r>
        <w:rPr>
          <w:rFonts w:hint="eastAsia" w:ascii="仿宋" w:hAnsi="仿宋" w:eastAsia="仿宋" w:cs="仿宋"/>
          <w:sz w:val="24"/>
          <w:szCs w:val="24"/>
          <w:lang w:eastAsia="zh-CN"/>
        </w:rPr>
        <w:t>申请文件</w:t>
      </w:r>
      <w:r>
        <w:rPr>
          <w:rFonts w:hint="eastAsia" w:ascii="仿宋" w:hAnsi="仿宋" w:eastAsia="仿宋" w:cs="仿宋"/>
          <w:sz w:val="24"/>
          <w:szCs w:val="24"/>
        </w:rPr>
        <w:t xml:space="preserve">承诺的价格和服务履约，遵守本合同条款。 </w:t>
      </w:r>
    </w:p>
    <w:p w14:paraId="3550F12C">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（2）乙方如委托代理商代其接受采购人合同授予并履行采购合同，在签订框架协议时需提供代理商委托代理协议和代理商名单，作为框架协议的附件。乙方委托的代理商应当符合《</w:t>
      </w:r>
      <w:r>
        <w:rPr>
          <w:rFonts w:hint="eastAsia" w:ascii="仿宋" w:hAnsi="仿宋" w:eastAsia="仿宋" w:cs="仿宋"/>
          <w:sz w:val="24"/>
          <w:szCs w:val="24"/>
          <w:lang w:eastAsia="zh-CN"/>
        </w:rPr>
        <w:t>中华人民共和国</w:t>
      </w:r>
      <w:r>
        <w:rPr>
          <w:rFonts w:hint="eastAsia" w:ascii="仿宋" w:hAnsi="仿宋" w:eastAsia="仿宋" w:cs="仿宋"/>
          <w:sz w:val="24"/>
          <w:szCs w:val="24"/>
        </w:rPr>
        <w:t>政府采购法》第二十二条第一款的规定。</w:t>
      </w:r>
    </w:p>
    <w:p w14:paraId="32E743BC">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（3）随时接受并配合甲方的监督检查，并配合财政部门对采购人和其他入围供应商对框架协议执行情况进行监督，发现违规违约情形的，及时向财政部门报告。 </w:t>
      </w:r>
    </w:p>
    <w:p w14:paraId="60871570">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（4）在框架协议有效期内，按照不高于协议价格，向采购人提供相关服务。 </w:t>
      </w:r>
    </w:p>
    <w:p w14:paraId="5180122D">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（5）乙方及其委托的代理商对本项目承担连带责任，乙方委托的代理商必须履行乙方在</w:t>
      </w:r>
      <w:r>
        <w:rPr>
          <w:rFonts w:hint="eastAsia" w:ascii="仿宋" w:hAnsi="仿宋" w:eastAsia="仿宋" w:cs="仿宋"/>
          <w:sz w:val="24"/>
          <w:szCs w:val="24"/>
          <w:lang w:eastAsia="zh-CN"/>
        </w:rPr>
        <w:t>申请文件</w:t>
      </w:r>
      <w:r>
        <w:rPr>
          <w:rFonts w:hint="eastAsia" w:ascii="仿宋" w:hAnsi="仿宋" w:eastAsia="仿宋" w:cs="仿宋"/>
          <w:sz w:val="24"/>
          <w:szCs w:val="24"/>
        </w:rPr>
        <w:t xml:space="preserve">中承诺的责任和义务。 </w:t>
      </w:r>
    </w:p>
    <w:p w14:paraId="03A1A366">
      <w:pPr>
        <w:keepNext w:val="0"/>
        <w:keepLines w:val="0"/>
        <w:pageBreakBefore w:val="0"/>
        <w:widowControl/>
        <w:kinsoku/>
        <w:wordWrap/>
        <w:overflowPunct/>
        <w:topLinePunct w:val="0"/>
        <w:autoSpaceDE/>
        <w:autoSpaceDN/>
        <w:bidi w:val="0"/>
        <w:adjustRightInd w:val="0"/>
        <w:snapToGrid w:val="0"/>
        <w:spacing w:before="120" w:beforeLines="50" w:after="120" w:afterLines="50" w:line="348" w:lineRule="auto"/>
        <w:ind w:firstLine="0"/>
        <w:jc w:val="left"/>
        <w:textAlignment w:val="auto"/>
        <w:rPr>
          <w:rFonts w:hint="eastAsia" w:ascii="仿宋" w:hAnsi="仿宋" w:eastAsia="仿宋" w:cs="仿宋"/>
          <w:b/>
          <w:sz w:val="24"/>
          <w:szCs w:val="24"/>
        </w:rPr>
      </w:pPr>
      <w:r>
        <w:rPr>
          <w:rFonts w:hint="eastAsia" w:ascii="仿宋" w:hAnsi="仿宋" w:eastAsia="仿宋" w:cs="仿宋"/>
          <w:b/>
          <w:sz w:val="24"/>
          <w:szCs w:val="24"/>
        </w:rPr>
        <w:t>十、税费</w:t>
      </w:r>
    </w:p>
    <w:p w14:paraId="4CD96F72">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本框架协议执行中相关的一切税费均由乙方负担。</w:t>
      </w:r>
    </w:p>
    <w:p w14:paraId="6E451B29">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、争议解决的办法</w:t>
      </w:r>
    </w:p>
    <w:p w14:paraId="2F5A163B">
      <w:pPr>
        <w:pStyle w:val="24"/>
        <w:keepNext w:val="0"/>
        <w:keepLines w:val="0"/>
        <w:pageBreakBefore w:val="0"/>
        <w:widowControl/>
        <w:kinsoku/>
        <w:wordWrap/>
        <w:overflowPunct/>
        <w:topLinePunct w:val="0"/>
        <w:autoSpaceDE/>
        <w:autoSpaceDN/>
        <w:bidi w:val="0"/>
        <w:adjustRightInd w:val="0"/>
        <w:snapToGrid w:val="0"/>
        <w:spacing w:line="34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因本框架协议的签订、履行而发生的争议，甲乙双方应通过友好协商解决，如协商不成由甲方住所地人民法院管辖。</w:t>
      </w:r>
    </w:p>
    <w:p w14:paraId="0F03616F">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、框架协议文本的生效及其它</w:t>
      </w:r>
    </w:p>
    <w:p w14:paraId="5E0BB1DC">
      <w:pPr>
        <w:pStyle w:val="24"/>
        <w:keepNext w:val="0"/>
        <w:keepLines w:val="0"/>
        <w:pageBreakBefore w:val="0"/>
        <w:widowControl/>
        <w:kinsoku/>
        <w:wordWrap/>
        <w:overflowPunct/>
        <w:topLinePunct w:val="0"/>
        <w:autoSpaceDE/>
        <w:autoSpaceDN/>
        <w:bidi w:val="0"/>
        <w:adjustRightInd w:val="0"/>
        <w:snapToGrid w:val="0"/>
        <w:spacing w:line="348" w:lineRule="auto"/>
        <w:ind w:left="240" w:hanging="240" w:hangingChars="1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.1 本框架协议文本经甲乙双方法定代表人或授权委托代表人签字并加盖单</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位公章后生效。</w:t>
      </w:r>
    </w:p>
    <w:p w14:paraId="0C4ACF70">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 本框架协议文本未尽事宜，遵照《</w:t>
      </w:r>
      <w:r>
        <w:rPr>
          <w:rFonts w:hint="eastAsia" w:ascii="仿宋" w:hAnsi="仿宋" w:eastAsia="仿宋" w:cs="仿宋"/>
          <w:sz w:val="24"/>
          <w:szCs w:val="24"/>
          <w:lang w:eastAsia="zh-CN"/>
        </w:rPr>
        <w:t>中华人民共和国</w:t>
      </w:r>
      <w:r>
        <w:rPr>
          <w:rFonts w:hint="eastAsia" w:ascii="仿宋" w:hAnsi="仿宋" w:eastAsia="仿宋" w:cs="仿宋"/>
          <w:sz w:val="24"/>
          <w:szCs w:val="24"/>
        </w:rPr>
        <w:t>民法典》《</w:t>
      </w:r>
      <w:r>
        <w:rPr>
          <w:rFonts w:hint="eastAsia" w:ascii="仿宋" w:hAnsi="仿宋" w:eastAsia="仿宋" w:cs="仿宋"/>
          <w:sz w:val="24"/>
          <w:szCs w:val="24"/>
          <w:lang w:eastAsia="zh-CN"/>
        </w:rPr>
        <w:t>中华人民共和国</w:t>
      </w:r>
      <w:r>
        <w:rPr>
          <w:rFonts w:hint="eastAsia" w:ascii="仿宋" w:hAnsi="仿宋" w:eastAsia="仿宋" w:cs="仿宋"/>
          <w:sz w:val="24"/>
          <w:szCs w:val="24"/>
        </w:rPr>
        <w:t>政府采购法》有关条文执行。</w:t>
      </w:r>
    </w:p>
    <w:p w14:paraId="06BAF61D">
      <w:pPr>
        <w:pStyle w:val="24"/>
        <w:keepNext w:val="0"/>
        <w:keepLines w:val="0"/>
        <w:pageBreakBefore w:val="0"/>
        <w:widowControl/>
        <w:kinsoku/>
        <w:wordWrap/>
        <w:overflowPunct/>
        <w:topLinePunct w:val="0"/>
        <w:autoSpaceDE/>
        <w:autoSpaceDN/>
        <w:bidi w:val="0"/>
        <w:adjustRightInd w:val="0"/>
        <w:snapToGrid w:val="0"/>
        <w:spacing w:line="348" w:lineRule="auto"/>
        <w:ind w:firstLine="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.3 本框架协议文本正本一式两份，具有同等法律效力，甲方、乙方各执一份。</w:t>
      </w:r>
    </w:p>
    <w:p w14:paraId="7B730D4F">
      <w:pPr>
        <w:pStyle w:val="245"/>
        <w:keepNext w:val="0"/>
        <w:keepLines w:val="0"/>
        <w:pageBreakBefore w:val="0"/>
        <w:widowControl/>
        <w:kinsoku/>
        <w:wordWrap/>
        <w:overflowPunct/>
        <w:topLinePunct w:val="0"/>
        <w:autoSpaceDE/>
        <w:autoSpaceDN/>
        <w:bidi w:val="0"/>
        <w:adjustRightInd w:val="0"/>
        <w:snapToGrid w:val="0"/>
        <w:spacing w:before="120" w:after="120" w:line="348" w:lineRule="auto"/>
        <w:ind w:left="450" w:hanging="24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甲方：                                   乙方： </w:t>
      </w:r>
    </w:p>
    <w:p w14:paraId="7D021CB3">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地址：                                   地址： </w:t>
      </w:r>
    </w:p>
    <w:p w14:paraId="107CFDA0">
      <w:pPr>
        <w:pStyle w:val="245"/>
        <w:keepNext w:val="0"/>
        <w:keepLines w:val="0"/>
        <w:pageBreakBefore w:val="0"/>
        <w:widowControl/>
        <w:kinsoku/>
        <w:wordWrap/>
        <w:overflowPunct/>
        <w:topLinePunct w:val="0"/>
        <w:autoSpaceDE/>
        <w:autoSpaceDN/>
        <w:bidi w:val="0"/>
        <w:adjustRightInd w:val="0"/>
        <w:snapToGrid w:val="0"/>
        <w:spacing w:before="120" w:after="120" w:line="348"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法定代表人或授权代表：                   法定代表人或授权代表：</w:t>
      </w:r>
    </w:p>
    <w:p w14:paraId="049034EB">
      <w:pPr>
        <w:pStyle w:val="245"/>
        <w:keepNext w:val="0"/>
        <w:keepLines w:val="0"/>
        <w:pageBreakBefore w:val="0"/>
        <w:widowControl/>
        <w:kinsoku/>
        <w:wordWrap/>
        <w:overflowPunct/>
        <w:topLinePunct w:val="0"/>
        <w:autoSpaceDE/>
        <w:autoSpaceDN/>
        <w:bidi w:val="0"/>
        <w:adjustRightInd w:val="0"/>
        <w:snapToGrid w:val="0"/>
        <w:spacing w:before="120" w:after="120" w:line="348" w:lineRule="auto"/>
        <w:ind w:firstLine="24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联系电话：                               联系电话：        </w:t>
      </w:r>
    </w:p>
    <w:p w14:paraId="5D5E3BDA">
      <w:pPr>
        <w:keepNext w:val="0"/>
        <w:keepLines w:val="0"/>
        <w:pageBreakBefore w:val="0"/>
        <w:widowControl w:val="0"/>
        <w:kinsoku/>
        <w:wordWrap/>
        <w:overflowPunct/>
        <w:topLinePunct w:val="0"/>
        <w:autoSpaceDE/>
        <w:autoSpaceDN/>
        <w:bidi w:val="0"/>
        <w:spacing w:line="348" w:lineRule="auto"/>
        <w:jc w:val="both"/>
        <w:textAlignment w:val="auto"/>
        <w:rPr>
          <w:rFonts w:hint="eastAsia" w:ascii="仿宋" w:hAnsi="仿宋" w:eastAsia="仿宋" w:cs="仿宋"/>
          <w:sz w:val="24"/>
          <w:szCs w:val="24"/>
        </w:rPr>
        <w:sectPr>
          <w:pgSz w:w="11906" w:h="16838"/>
          <w:pgMar w:top="1440" w:right="1800" w:bottom="1440" w:left="1800" w:header="851" w:footer="992" w:gutter="0"/>
          <w:pgNumType w:fmt="decimal"/>
          <w:cols w:space="720" w:num="1"/>
          <w:docGrid w:linePitch="360" w:charSpace="0"/>
        </w:sect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      年    月   日</w:t>
      </w:r>
    </w:p>
    <w:p w14:paraId="1DC7DAFE">
      <w:pPr>
        <w:pStyle w:val="245"/>
        <w:widowControl/>
        <w:spacing w:before="120" w:after="120" w:line="0" w:lineRule="atLeast"/>
        <w:jc w:val="left"/>
        <w:rPr>
          <w:rFonts w:hint="eastAsia" w:ascii="仿宋" w:hAnsi="仿宋" w:eastAsia="仿宋" w:cs="仿宋"/>
          <w:sz w:val="24"/>
          <w:szCs w:val="24"/>
        </w:rPr>
      </w:pPr>
      <w:r>
        <w:rPr>
          <w:rFonts w:hint="eastAsia" w:ascii="仿宋" w:hAnsi="仿宋" w:eastAsia="仿宋" w:cs="仿宋"/>
          <w:sz w:val="24"/>
          <w:szCs w:val="24"/>
        </w:rPr>
        <w:t>附件1：采购合同文本</w:t>
      </w:r>
    </w:p>
    <w:p w14:paraId="18F035F7">
      <w:pPr>
        <w:widowControl/>
        <w:jc w:val="center"/>
        <w:rPr>
          <w:rFonts w:hint="eastAsia" w:ascii="仿宋" w:hAnsi="仿宋" w:eastAsia="仿宋" w:cs="仿宋"/>
          <w:color w:val="000000"/>
          <w:sz w:val="52"/>
          <w:szCs w:val="20"/>
        </w:rPr>
      </w:pPr>
      <w:r>
        <w:rPr>
          <w:rFonts w:hint="eastAsia" w:ascii="仿宋" w:hAnsi="仿宋" w:eastAsia="仿宋" w:cs="仿宋"/>
          <w:color w:val="000000"/>
          <w:sz w:val="52"/>
          <w:szCs w:val="20"/>
        </w:rPr>
        <w:t>南京市政府采购合同</w:t>
      </w:r>
    </w:p>
    <w:p w14:paraId="42D43FFE">
      <w:pPr>
        <w:widowControl/>
        <w:spacing w:line="360" w:lineRule="auto"/>
        <w:ind w:firstLine="315"/>
        <w:jc w:val="center"/>
        <w:rPr>
          <w:rFonts w:hint="eastAsia" w:ascii="仿宋" w:hAnsi="仿宋" w:eastAsia="仿宋" w:cs="仿宋"/>
          <w:b/>
          <w:color w:val="000000"/>
          <w:sz w:val="36"/>
          <w:szCs w:val="20"/>
        </w:rPr>
      </w:pPr>
    </w:p>
    <w:p w14:paraId="12C158D7">
      <w:pPr>
        <w:spacing w:line="360" w:lineRule="auto"/>
        <w:ind w:left="1260"/>
        <w:rPr>
          <w:rFonts w:hint="eastAsia" w:ascii="仿宋" w:hAnsi="仿宋" w:eastAsia="仿宋" w:cs="仿宋"/>
          <w:lang w:val="en-US" w:eastAsia="zh-CN" w:bidi="ar-SA"/>
        </w:rPr>
      </w:pPr>
    </w:p>
    <w:p w14:paraId="3EE7E5E7">
      <w:pPr>
        <w:widowControl/>
        <w:spacing w:line="360" w:lineRule="auto"/>
        <w:ind w:firstLine="1807"/>
        <w:jc w:val="left"/>
        <w:rPr>
          <w:rFonts w:hint="eastAsia" w:ascii="仿宋" w:hAnsi="仿宋" w:eastAsia="仿宋" w:cs="仿宋"/>
          <w:b/>
          <w:color w:val="000000"/>
          <w:sz w:val="36"/>
          <w:szCs w:val="20"/>
        </w:rPr>
      </w:pPr>
    </w:p>
    <w:p w14:paraId="2B365B45">
      <w:pPr>
        <w:widowControl/>
        <w:spacing w:line="360" w:lineRule="auto"/>
        <w:ind w:firstLine="1807"/>
        <w:jc w:val="left"/>
        <w:rPr>
          <w:rFonts w:hint="eastAsia" w:ascii="仿宋" w:hAnsi="仿宋" w:eastAsia="仿宋" w:cs="仿宋"/>
          <w:b/>
          <w:color w:val="000000"/>
          <w:sz w:val="36"/>
          <w:szCs w:val="20"/>
        </w:rPr>
      </w:pPr>
    </w:p>
    <w:p w14:paraId="3FAC63C7">
      <w:pPr>
        <w:widowControl/>
        <w:spacing w:line="360" w:lineRule="auto"/>
        <w:ind w:firstLine="1440"/>
        <w:jc w:val="left"/>
        <w:rPr>
          <w:rFonts w:hint="eastAsia" w:ascii="仿宋" w:hAnsi="仿宋" w:eastAsia="仿宋" w:cs="仿宋"/>
          <w:color w:val="000000"/>
          <w:sz w:val="36"/>
          <w:szCs w:val="20"/>
        </w:rPr>
      </w:pPr>
      <w:r>
        <w:rPr>
          <w:rFonts w:hint="eastAsia" w:ascii="仿宋" w:hAnsi="仿宋" w:eastAsia="仿宋" w:cs="仿宋"/>
          <w:color w:val="000000"/>
          <w:sz w:val="36"/>
          <w:szCs w:val="20"/>
        </w:rPr>
        <w:t>合同编号 ：</w:t>
      </w:r>
      <w:r>
        <w:rPr>
          <w:rFonts w:hint="eastAsia" w:ascii="仿宋" w:hAnsi="仿宋" w:eastAsia="仿宋" w:cs="仿宋"/>
          <w:color w:val="000000"/>
          <w:sz w:val="36"/>
          <w:szCs w:val="20"/>
          <w:u w:val="single"/>
        </w:rPr>
        <w:t xml:space="preserve">                    </w:t>
      </w:r>
    </w:p>
    <w:p w14:paraId="11B1CB87">
      <w:pPr>
        <w:widowControl/>
        <w:spacing w:line="360" w:lineRule="auto"/>
        <w:ind w:firstLine="1440"/>
        <w:jc w:val="left"/>
        <w:rPr>
          <w:rFonts w:hint="eastAsia" w:ascii="仿宋" w:hAnsi="仿宋" w:eastAsia="仿宋" w:cs="仿宋"/>
          <w:color w:val="000000"/>
          <w:sz w:val="36"/>
          <w:szCs w:val="20"/>
          <w:u w:val="single"/>
        </w:rPr>
      </w:pPr>
      <w:r>
        <w:rPr>
          <w:rFonts w:hint="eastAsia" w:ascii="仿宋" w:hAnsi="仿宋" w:eastAsia="仿宋" w:cs="仿宋"/>
          <w:color w:val="000000"/>
          <w:sz w:val="36"/>
          <w:szCs w:val="20"/>
        </w:rPr>
        <w:t>项目名称 ：</w:t>
      </w:r>
      <w:r>
        <w:rPr>
          <w:rFonts w:hint="eastAsia" w:ascii="仿宋" w:hAnsi="仿宋" w:eastAsia="仿宋" w:cs="仿宋"/>
          <w:color w:val="000000"/>
          <w:sz w:val="36"/>
          <w:szCs w:val="20"/>
          <w:u w:val="single"/>
          <w:lang w:val="zh-CN"/>
        </w:rPr>
        <w:t xml:space="preserve"> </w:t>
      </w:r>
      <w:r>
        <w:rPr>
          <w:rFonts w:hint="eastAsia" w:ascii="仿宋" w:hAnsi="仿宋" w:eastAsia="仿宋" w:cs="仿宋"/>
          <w:color w:val="000000"/>
          <w:sz w:val="36"/>
          <w:szCs w:val="20"/>
          <w:u w:val="single"/>
          <w:lang w:val="en-US" w:eastAsia="zh-CN"/>
        </w:rPr>
        <w:t xml:space="preserve">                   </w:t>
      </w:r>
      <w:r>
        <w:rPr>
          <w:rFonts w:hint="eastAsia" w:ascii="仿宋" w:hAnsi="仿宋" w:eastAsia="仿宋" w:cs="仿宋"/>
          <w:color w:val="000000"/>
          <w:sz w:val="36"/>
          <w:szCs w:val="20"/>
        </w:rPr>
        <w:t xml:space="preserve">               </w:t>
      </w:r>
    </w:p>
    <w:p w14:paraId="00114910">
      <w:pPr>
        <w:widowControl/>
        <w:spacing w:line="360" w:lineRule="auto"/>
        <w:ind w:firstLine="1440"/>
        <w:jc w:val="left"/>
        <w:rPr>
          <w:rFonts w:hint="eastAsia" w:ascii="仿宋" w:hAnsi="仿宋" w:eastAsia="仿宋" w:cs="仿宋"/>
          <w:color w:val="000000"/>
          <w:sz w:val="36"/>
          <w:szCs w:val="20"/>
          <w:u w:val="single"/>
        </w:rPr>
      </w:pPr>
      <w:r>
        <w:rPr>
          <w:rFonts w:hint="eastAsia" w:ascii="仿宋" w:hAnsi="仿宋" w:eastAsia="仿宋" w:cs="仿宋"/>
          <w:color w:val="000000"/>
          <w:sz w:val="36"/>
          <w:szCs w:val="20"/>
        </w:rPr>
        <w:t>项目编号 ：</w:t>
      </w:r>
      <w:r>
        <w:rPr>
          <w:rFonts w:hint="eastAsia" w:ascii="仿宋" w:hAnsi="仿宋" w:eastAsia="仿宋" w:cs="仿宋"/>
          <w:color w:val="000000"/>
          <w:sz w:val="36"/>
          <w:szCs w:val="20"/>
          <w:u w:val="single"/>
        </w:rPr>
        <w:t xml:space="preserve">                    </w:t>
      </w:r>
    </w:p>
    <w:p w14:paraId="359D9371">
      <w:pPr>
        <w:widowControl/>
        <w:spacing w:line="360" w:lineRule="auto"/>
        <w:ind w:firstLine="1440"/>
        <w:jc w:val="left"/>
        <w:rPr>
          <w:rFonts w:hint="eastAsia" w:ascii="仿宋" w:hAnsi="仿宋" w:eastAsia="仿宋" w:cs="仿宋"/>
          <w:color w:val="000000"/>
          <w:sz w:val="36"/>
          <w:szCs w:val="20"/>
          <w:u w:val="single"/>
        </w:rPr>
      </w:pPr>
      <w:r>
        <w:rPr>
          <w:rFonts w:hint="eastAsia" w:ascii="仿宋" w:hAnsi="仿宋" w:eastAsia="仿宋" w:cs="仿宋"/>
          <w:color w:val="000000"/>
          <w:sz w:val="36"/>
          <w:szCs w:val="20"/>
        </w:rPr>
        <w:t>采 购 人 ：</w:t>
      </w:r>
      <w:r>
        <w:rPr>
          <w:rFonts w:hint="eastAsia" w:ascii="仿宋" w:hAnsi="仿宋" w:eastAsia="仿宋" w:cs="仿宋"/>
          <w:color w:val="000000"/>
          <w:sz w:val="36"/>
          <w:szCs w:val="20"/>
          <w:u w:val="single"/>
        </w:rPr>
        <w:t xml:space="preserve">                    </w:t>
      </w:r>
    </w:p>
    <w:p w14:paraId="07420C4F">
      <w:pPr>
        <w:widowControl/>
        <w:spacing w:line="360" w:lineRule="auto"/>
        <w:ind w:firstLine="1440"/>
        <w:jc w:val="left"/>
        <w:rPr>
          <w:rFonts w:hint="eastAsia" w:ascii="仿宋" w:hAnsi="仿宋" w:eastAsia="仿宋" w:cs="仿宋"/>
          <w:color w:val="000000"/>
          <w:sz w:val="36"/>
          <w:szCs w:val="20"/>
        </w:rPr>
      </w:pPr>
      <w:r>
        <w:rPr>
          <w:rFonts w:hint="eastAsia" w:ascii="仿宋" w:hAnsi="仿宋" w:eastAsia="仿宋" w:cs="仿宋"/>
          <w:color w:val="000000"/>
          <w:sz w:val="36"/>
          <w:szCs w:val="20"/>
        </w:rPr>
        <w:t>供 应 商 ：</w:t>
      </w:r>
      <w:r>
        <w:rPr>
          <w:rFonts w:hint="eastAsia" w:ascii="仿宋" w:hAnsi="仿宋" w:eastAsia="仿宋" w:cs="仿宋"/>
          <w:color w:val="000000"/>
          <w:sz w:val="36"/>
          <w:szCs w:val="20"/>
          <w:u w:val="single"/>
        </w:rPr>
        <w:t xml:space="preserve">                    </w:t>
      </w:r>
    </w:p>
    <w:p w14:paraId="0450F08F">
      <w:pPr>
        <w:widowControl/>
        <w:spacing w:line="360" w:lineRule="auto"/>
        <w:ind w:firstLine="1440"/>
        <w:jc w:val="left"/>
        <w:rPr>
          <w:rFonts w:hint="eastAsia" w:ascii="仿宋" w:hAnsi="仿宋" w:eastAsia="仿宋" w:cs="仿宋"/>
          <w:b/>
          <w:color w:val="000000"/>
          <w:sz w:val="36"/>
          <w:szCs w:val="20"/>
        </w:rPr>
      </w:pPr>
      <w:r>
        <w:rPr>
          <w:rFonts w:hint="eastAsia" w:ascii="仿宋" w:hAnsi="仿宋" w:eastAsia="仿宋" w:cs="仿宋"/>
          <w:color w:val="000000"/>
          <w:sz w:val="36"/>
          <w:szCs w:val="20"/>
        </w:rPr>
        <w:t>签订日期</w:t>
      </w:r>
      <w:r>
        <w:rPr>
          <w:rFonts w:hint="eastAsia" w:ascii="仿宋" w:hAnsi="仿宋" w:eastAsia="仿宋" w:cs="仿宋"/>
          <w:b/>
          <w:color w:val="000000"/>
          <w:sz w:val="36"/>
          <w:szCs w:val="20"/>
        </w:rPr>
        <w:t xml:space="preserve"> ：</w:t>
      </w:r>
      <w:r>
        <w:rPr>
          <w:rFonts w:hint="eastAsia" w:ascii="仿宋" w:hAnsi="仿宋" w:eastAsia="仿宋" w:cs="仿宋"/>
          <w:b/>
          <w:color w:val="000000"/>
          <w:sz w:val="36"/>
          <w:szCs w:val="20"/>
          <w:u w:val="single"/>
        </w:rPr>
        <w:t xml:space="preserve">                    </w:t>
      </w:r>
    </w:p>
    <w:p w14:paraId="1033D575">
      <w:pPr>
        <w:pStyle w:val="249"/>
        <w:widowControl/>
        <w:ind w:firstLine="0"/>
        <w:jc w:val="left"/>
        <w:rPr>
          <w:rFonts w:hint="eastAsia" w:ascii="仿宋" w:hAnsi="仿宋" w:eastAsia="仿宋" w:cs="仿宋"/>
          <w:color w:val="000000"/>
          <w:sz w:val="36"/>
          <w:szCs w:val="20"/>
        </w:rPr>
      </w:pPr>
    </w:p>
    <w:p w14:paraId="72673514">
      <w:pPr>
        <w:pStyle w:val="249"/>
        <w:widowControl/>
        <w:ind w:firstLine="0"/>
        <w:jc w:val="left"/>
        <w:rPr>
          <w:rFonts w:hint="eastAsia" w:ascii="仿宋" w:hAnsi="仿宋" w:eastAsia="仿宋" w:cs="仿宋"/>
          <w:color w:val="000000"/>
          <w:sz w:val="36"/>
          <w:szCs w:val="20"/>
        </w:rPr>
      </w:pPr>
    </w:p>
    <w:p w14:paraId="7A5C1A90">
      <w:pPr>
        <w:widowControl/>
        <w:spacing w:line="264" w:lineRule="auto"/>
        <w:jc w:val="left"/>
        <w:rPr>
          <w:rFonts w:hint="eastAsia" w:ascii="仿宋" w:hAnsi="仿宋" w:eastAsia="仿宋" w:cs="仿宋"/>
          <w:color w:val="000000"/>
          <w:sz w:val="24"/>
          <w:szCs w:val="24"/>
          <w:lang w:val="zh-CN"/>
        </w:rPr>
      </w:pPr>
      <w:r>
        <w:rPr>
          <w:rFonts w:hint="eastAsia" w:ascii="仿宋" w:hAnsi="仿宋" w:eastAsia="仿宋" w:cs="仿宋"/>
          <w:color w:val="000000"/>
          <w:sz w:val="20"/>
          <w:szCs w:val="21"/>
          <w:lang w:val="zh-CN"/>
        </w:rPr>
        <w:br w:type="page" w:clear="all"/>
      </w:r>
      <w:r>
        <w:rPr>
          <w:rFonts w:hint="eastAsia" w:ascii="仿宋" w:hAnsi="仿宋" w:eastAsia="仿宋" w:cs="仿宋"/>
          <w:color w:val="000000"/>
          <w:sz w:val="24"/>
          <w:szCs w:val="24"/>
          <w:lang w:val="zh-CN"/>
        </w:rPr>
        <w:t>框架协议采购项目编号：</w:t>
      </w:r>
    </w:p>
    <w:p w14:paraId="1634180F">
      <w:pPr>
        <w:widowControl/>
        <w:spacing w:line="264" w:lineRule="auto"/>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框架协议采购项目名称：             </w:t>
      </w:r>
    </w:p>
    <w:tbl>
      <w:tblPr>
        <w:tblStyle w:val="40"/>
        <w:tblW w:w="0" w:type="auto"/>
        <w:tblInd w:w="-108" w:type="dxa"/>
        <w:tblLayout w:type="fixed"/>
        <w:tblCellMar>
          <w:top w:w="0" w:type="dxa"/>
          <w:left w:w="0" w:type="dxa"/>
          <w:bottom w:w="0" w:type="dxa"/>
          <w:right w:w="0" w:type="dxa"/>
        </w:tblCellMar>
      </w:tblPr>
      <w:tblGrid>
        <w:gridCol w:w="4643"/>
        <w:gridCol w:w="4643"/>
      </w:tblGrid>
      <w:tr w14:paraId="49A4DA74">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E42219F">
            <w:pPr>
              <w:widowControl/>
              <w:spacing w:line="264" w:lineRule="auto"/>
              <w:ind w:firstLine="105"/>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采购人：（以下称甲方）</w:t>
            </w:r>
          </w:p>
        </w:tc>
        <w:tc>
          <w:tcPr>
            <w:tcW w:w="4643" w:type="dxa"/>
            <w:tcBorders>
              <w:top w:val="nil"/>
              <w:left w:val="nil"/>
              <w:bottom w:val="nil"/>
              <w:right w:val="nil"/>
            </w:tcBorders>
            <w:noWrap w:val="0"/>
            <w:vAlign w:val="top"/>
          </w:tcPr>
          <w:p w14:paraId="431B12AB">
            <w:pPr>
              <w:widowControl/>
              <w:spacing w:line="264" w:lineRule="auto"/>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供应商：（以下称乙方）</w:t>
            </w:r>
          </w:p>
        </w:tc>
      </w:tr>
      <w:tr w14:paraId="6B89DC18">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AA5B140">
            <w:pPr>
              <w:widowControl/>
              <w:spacing w:line="264" w:lineRule="auto"/>
              <w:ind w:firstLine="105"/>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住所地：</w:t>
            </w:r>
          </w:p>
        </w:tc>
        <w:tc>
          <w:tcPr>
            <w:tcW w:w="4643" w:type="dxa"/>
            <w:tcBorders>
              <w:top w:val="nil"/>
              <w:left w:val="nil"/>
              <w:bottom w:val="nil"/>
              <w:right w:val="nil"/>
            </w:tcBorders>
            <w:noWrap w:val="0"/>
            <w:vAlign w:val="top"/>
          </w:tcPr>
          <w:p w14:paraId="05C6E244">
            <w:pPr>
              <w:widowControl/>
              <w:spacing w:line="264"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住所地：</w:t>
            </w:r>
          </w:p>
        </w:tc>
      </w:tr>
    </w:tbl>
    <w:p w14:paraId="5D69AF93">
      <w:pPr>
        <w:widowControl/>
        <w:spacing w:line="264" w:lineRule="auto"/>
        <w:ind w:firstLine="420"/>
        <w:jc w:val="left"/>
        <w:rPr>
          <w:rFonts w:hint="eastAsia" w:ascii="仿宋" w:hAnsi="仿宋" w:eastAsia="仿宋" w:cs="仿宋"/>
          <w:color w:val="000000"/>
          <w:sz w:val="24"/>
          <w:szCs w:val="24"/>
          <w:lang w:val="zh-CN"/>
        </w:rPr>
      </w:pPr>
    </w:p>
    <w:p w14:paraId="02AB8EC9">
      <w:pPr>
        <w:widowControl/>
        <w:spacing w:line="264" w:lineRule="auto"/>
        <w:ind w:firstLine="420"/>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根据《中华人民共和国政府采购法》、《中华人民共和国民法典》等法律法规的规定，甲乙双方按照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w:t>
      </w:r>
      <w:r>
        <w:rPr>
          <w:rFonts w:hint="eastAsia" w:ascii="仿宋" w:hAnsi="仿宋" w:eastAsia="仿宋" w:cs="仿宋"/>
          <w:color w:val="000000"/>
          <w:sz w:val="24"/>
          <w:szCs w:val="24"/>
          <w:lang w:eastAsia="zh-CN"/>
        </w:rPr>
        <w:t>封闭式</w:t>
      </w:r>
      <w:r>
        <w:rPr>
          <w:rFonts w:hint="eastAsia" w:ascii="仿宋" w:hAnsi="仿宋" w:eastAsia="仿宋" w:cs="仿宋"/>
          <w:color w:val="000000"/>
          <w:sz w:val="24"/>
          <w:szCs w:val="24"/>
        </w:rPr>
        <w:t>框架协议采购公开征集的结果签订本合同。</w:t>
      </w:r>
    </w:p>
    <w:p w14:paraId="265AB871">
      <w:pPr>
        <w:widowControl/>
        <w:spacing w:line="264" w:lineRule="auto"/>
        <w:ind w:firstLine="420"/>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第一条 合同标的</w:t>
      </w:r>
    </w:p>
    <w:p w14:paraId="229C4D06">
      <w:pPr>
        <w:widowControl/>
        <w:spacing w:line="264" w:lineRule="auto"/>
        <w:ind w:firstLine="42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乙方提供下列服务：</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，服务内容详见乙方申请文件。</w:t>
      </w:r>
    </w:p>
    <w:p w14:paraId="02B99222">
      <w:pPr>
        <w:widowControl/>
        <w:spacing w:line="264" w:lineRule="auto"/>
        <w:ind w:firstLine="420"/>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第二条 合同价款</w:t>
      </w:r>
    </w:p>
    <w:p w14:paraId="63E14189">
      <w:pPr>
        <w:widowControl/>
        <w:spacing w:line="264" w:lineRule="auto"/>
        <w:ind w:firstLine="42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双方确定本项目的服务费用具体情况如下：</w:t>
      </w:r>
    </w:p>
    <w:p w14:paraId="04ACBB56">
      <w:pPr>
        <w:pStyle w:val="250"/>
        <w:widowControl/>
        <w:spacing w:before="0" w:beforeAutospacing="0" w:after="0" w:afterAutospacing="0" w:line="264" w:lineRule="auto"/>
        <w:ind w:firstLine="480"/>
        <w:jc w:val="both"/>
        <w:rPr>
          <w:rFonts w:hint="eastAsia" w:ascii="仿宋" w:hAnsi="仿宋" w:eastAsia="仿宋" w:cs="仿宋"/>
          <w:color w:val="000000"/>
          <w:szCs w:val="24"/>
        </w:rPr>
      </w:pPr>
      <w:r>
        <w:rPr>
          <w:rFonts w:hint="eastAsia" w:ascii="仿宋" w:hAnsi="仿宋" w:eastAsia="仿宋" w:cs="仿宋"/>
          <w:color w:val="000000"/>
          <w:szCs w:val="24"/>
        </w:rPr>
        <w:t>本项目最高限制单价依据《关于调整南京市残疾儿童基本康复服务救助标准</w:t>
      </w:r>
      <w:r>
        <w:rPr>
          <w:rFonts w:hint="eastAsia" w:ascii="仿宋" w:hAnsi="仿宋" w:eastAsia="仿宋" w:cs="仿宋"/>
          <w:color w:val="000000"/>
          <w:szCs w:val="24"/>
          <w:lang w:val="en-US" w:eastAsia="zh-CN"/>
        </w:rPr>
        <w:t>和结算方式</w:t>
      </w:r>
      <w:r>
        <w:rPr>
          <w:rFonts w:hint="eastAsia" w:ascii="仿宋" w:hAnsi="仿宋" w:eastAsia="仿宋" w:cs="仿宋"/>
          <w:color w:val="000000"/>
          <w:szCs w:val="24"/>
        </w:rPr>
        <w:t>的通知》（宁残字〔202</w:t>
      </w:r>
      <w:r>
        <w:rPr>
          <w:rFonts w:hint="eastAsia" w:ascii="仿宋" w:hAnsi="仿宋" w:eastAsia="仿宋" w:cs="仿宋"/>
          <w:color w:val="000000"/>
          <w:szCs w:val="24"/>
          <w:lang w:val="en-US" w:eastAsia="zh-CN"/>
        </w:rPr>
        <w:t>4</w:t>
      </w:r>
      <w:r>
        <w:rPr>
          <w:rFonts w:hint="eastAsia" w:ascii="仿宋" w:hAnsi="仿宋" w:eastAsia="仿宋" w:cs="仿宋"/>
          <w:color w:val="000000"/>
          <w:szCs w:val="24"/>
        </w:rPr>
        <w:t>〕</w:t>
      </w:r>
      <w:r>
        <w:rPr>
          <w:rFonts w:hint="eastAsia" w:ascii="仿宋" w:hAnsi="仿宋" w:eastAsia="仿宋" w:cs="仿宋"/>
          <w:color w:val="000000"/>
          <w:szCs w:val="24"/>
          <w:lang w:val="en-US" w:eastAsia="zh-CN"/>
        </w:rPr>
        <w:t>20</w:t>
      </w:r>
      <w:r>
        <w:rPr>
          <w:rFonts w:hint="eastAsia" w:ascii="仿宋" w:hAnsi="仿宋" w:eastAsia="仿宋" w:cs="仿宋"/>
          <w:color w:val="000000"/>
          <w:szCs w:val="24"/>
        </w:rPr>
        <w:t>号）文件规定的救助标准执行：</w:t>
      </w:r>
    </w:p>
    <w:p w14:paraId="2AA61527">
      <w:pPr>
        <w:widowControl/>
        <w:spacing w:line="264" w:lineRule="auto"/>
        <w:ind w:firstLine="48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全日制：</w:t>
      </w:r>
    </w:p>
    <w:p w14:paraId="6042679B">
      <w:pPr>
        <w:widowControl/>
        <w:spacing w:line="264" w:lineRule="auto"/>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（1）0-6周岁残疾儿童</w:t>
      </w:r>
    </w:p>
    <w:tbl>
      <w:tblPr>
        <w:tblStyle w:val="40"/>
        <w:tblW w:w="8840" w:type="dxa"/>
        <w:jc w:val="center"/>
        <w:tblLayout w:type="autofit"/>
        <w:tblCellMar>
          <w:top w:w="0" w:type="dxa"/>
          <w:left w:w="108" w:type="dxa"/>
          <w:bottom w:w="0" w:type="dxa"/>
          <w:right w:w="108" w:type="dxa"/>
        </w:tblCellMar>
      </w:tblPr>
      <w:tblGrid>
        <w:gridCol w:w="1880"/>
        <w:gridCol w:w="3790"/>
        <w:gridCol w:w="3170"/>
      </w:tblGrid>
      <w:tr w14:paraId="69554569">
        <w:tblPrEx>
          <w:tblCellMar>
            <w:top w:w="0" w:type="dxa"/>
            <w:left w:w="108" w:type="dxa"/>
            <w:bottom w:w="0" w:type="dxa"/>
            <w:right w:w="108" w:type="dxa"/>
          </w:tblCellMar>
        </w:tblPrEx>
        <w:trPr>
          <w:trHeight w:val="468" w:hRule="atLeast"/>
          <w:jc w:val="center"/>
        </w:trPr>
        <w:tc>
          <w:tcPr>
            <w:tcW w:w="1880" w:type="dxa"/>
            <w:vMerge w:val="restart"/>
            <w:tcBorders>
              <w:top w:val="single" w:color="000000" w:sz="8" w:space="0"/>
              <w:left w:val="single" w:color="000000" w:sz="8" w:space="0"/>
              <w:bottom w:val="single" w:color="000000" w:sz="8" w:space="0"/>
              <w:right w:val="single" w:color="000000" w:sz="8" w:space="0"/>
            </w:tcBorders>
            <w:noWrap w:val="0"/>
            <w:vAlign w:val="center"/>
          </w:tcPr>
          <w:p w14:paraId="43DCCDF0">
            <w:pPr>
              <w:widowControl/>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残疾类别</w:t>
            </w:r>
          </w:p>
        </w:tc>
        <w:tc>
          <w:tcPr>
            <w:tcW w:w="6960" w:type="dxa"/>
            <w:gridSpan w:val="2"/>
            <w:tcBorders>
              <w:top w:val="single" w:color="000000" w:sz="8" w:space="0"/>
              <w:left w:val="nil"/>
              <w:bottom w:val="single" w:color="000000" w:sz="8" w:space="0"/>
              <w:right w:val="single" w:color="000000" w:sz="8" w:space="0"/>
            </w:tcBorders>
            <w:noWrap w:val="0"/>
            <w:vAlign w:val="center"/>
          </w:tcPr>
          <w:p w14:paraId="194E25DF">
            <w:pPr>
              <w:widowControl/>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标准（万元/人·年）</w:t>
            </w:r>
          </w:p>
        </w:tc>
      </w:tr>
      <w:tr w14:paraId="66F6ED97">
        <w:tblPrEx>
          <w:tblCellMar>
            <w:top w:w="0" w:type="dxa"/>
            <w:left w:w="108" w:type="dxa"/>
            <w:bottom w:w="0" w:type="dxa"/>
            <w:right w:w="108" w:type="dxa"/>
          </w:tblCellMar>
        </w:tblPrEx>
        <w:trPr>
          <w:trHeight w:val="360" w:hRule="atLeast"/>
          <w:jc w:val="center"/>
        </w:trPr>
        <w:tc>
          <w:tcPr>
            <w:tcW w:w="18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12106F">
            <w:pPr>
              <w:widowControl/>
              <w:spacing w:line="264" w:lineRule="auto"/>
              <w:jc w:val="left"/>
              <w:rPr>
                <w:rFonts w:hint="eastAsia" w:ascii="仿宋" w:hAnsi="仿宋" w:eastAsia="仿宋" w:cs="仿宋"/>
                <w:b/>
                <w:bCs/>
                <w:sz w:val="24"/>
                <w:szCs w:val="24"/>
              </w:rPr>
            </w:pPr>
          </w:p>
        </w:tc>
        <w:tc>
          <w:tcPr>
            <w:tcW w:w="3790" w:type="dxa"/>
            <w:tcBorders>
              <w:top w:val="nil"/>
              <w:left w:val="nil"/>
              <w:bottom w:val="single" w:color="000000" w:sz="8" w:space="0"/>
              <w:right w:val="single" w:color="000000" w:sz="8" w:space="0"/>
            </w:tcBorders>
            <w:noWrap w:val="0"/>
            <w:vAlign w:val="center"/>
          </w:tcPr>
          <w:p w14:paraId="7B2A176A">
            <w:pPr>
              <w:widowControl/>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困难残疾儿童</w:t>
            </w:r>
          </w:p>
        </w:tc>
        <w:tc>
          <w:tcPr>
            <w:tcW w:w="3170" w:type="dxa"/>
            <w:tcBorders>
              <w:top w:val="nil"/>
              <w:left w:val="nil"/>
              <w:bottom w:val="single" w:color="000000" w:sz="8" w:space="0"/>
              <w:right w:val="single" w:color="000000" w:sz="8" w:space="0"/>
            </w:tcBorders>
            <w:noWrap w:val="0"/>
            <w:vAlign w:val="center"/>
          </w:tcPr>
          <w:p w14:paraId="2AF9D8FE">
            <w:pPr>
              <w:widowControl/>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其他残疾儿童</w:t>
            </w:r>
          </w:p>
        </w:tc>
      </w:tr>
      <w:tr w14:paraId="128C9B15">
        <w:tblPrEx>
          <w:tblCellMar>
            <w:top w:w="0" w:type="dxa"/>
            <w:left w:w="108" w:type="dxa"/>
            <w:bottom w:w="0" w:type="dxa"/>
            <w:right w:w="108" w:type="dxa"/>
          </w:tblCellMar>
        </w:tblPrEx>
        <w:trPr>
          <w:trHeight w:val="360"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1F6A3D04">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视力</w:t>
            </w:r>
          </w:p>
        </w:tc>
        <w:tc>
          <w:tcPr>
            <w:tcW w:w="3790" w:type="dxa"/>
            <w:tcBorders>
              <w:top w:val="nil"/>
              <w:left w:val="nil"/>
              <w:bottom w:val="single" w:color="000000" w:sz="8" w:space="0"/>
              <w:right w:val="single" w:color="000000" w:sz="8" w:space="0"/>
            </w:tcBorders>
            <w:noWrap w:val="0"/>
            <w:vAlign w:val="center"/>
          </w:tcPr>
          <w:p w14:paraId="5D50222E">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0.82</w:t>
            </w:r>
          </w:p>
        </w:tc>
        <w:tc>
          <w:tcPr>
            <w:tcW w:w="3170" w:type="dxa"/>
            <w:tcBorders>
              <w:top w:val="nil"/>
              <w:left w:val="nil"/>
              <w:bottom w:val="single" w:color="000000" w:sz="8" w:space="0"/>
              <w:right w:val="single" w:color="000000" w:sz="8" w:space="0"/>
            </w:tcBorders>
            <w:noWrap w:val="0"/>
            <w:vAlign w:val="center"/>
          </w:tcPr>
          <w:p w14:paraId="06D4039A">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0.82</w:t>
            </w:r>
          </w:p>
        </w:tc>
      </w:tr>
      <w:tr w14:paraId="7636CA67">
        <w:tblPrEx>
          <w:tblCellMar>
            <w:top w:w="0" w:type="dxa"/>
            <w:left w:w="108" w:type="dxa"/>
            <w:bottom w:w="0" w:type="dxa"/>
            <w:right w:w="108" w:type="dxa"/>
          </w:tblCellMar>
        </w:tblPrEx>
        <w:trPr>
          <w:trHeight w:val="360"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757CB04C">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听力语言</w:t>
            </w:r>
          </w:p>
        </w:tc>
        <w:tc>
          <w:tcPr>
            <w:tcW w:w="3790" w:type="dxa"/>
            <w:tcBorders>
              <w:top w:val="nil"/>
              <w:left w:val="nil"/>
              <w:bottom w:val="single" w:color="000000" w:sz="8" w:space="0"/>
              <w:right w:val="single" w:color="000000" w:sz="8" w:space="0"/>
            </w:tcBorders>
            <w:noWrap w:val="0"/>
            <w:vAlign w:val="center"/>
          </w:tcPr>
          <w:p w14:paraId="1507891E">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3170" w:type="dxa"/>
            <w:tcBorders>
              <w:top w:val="nil"/>
              <w:left w:val="nil"/>
              <w:bottom w:val="single" w:color="000000" w:sz="8" w:space="0"/>
              <w:right w:val="single" w:color="000000" w:sz="8" w:space="0"/>
            </w:tcBorders>
            <w:noWrap w:val="0"/>
            <w:vAlign w:val="center"/>
          </w:tcPr>
          <w:p w14:paraId="58858D5F">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2.05</w:t>
            </w:r>
          </w:p>
        </w:tc>
      </w:tr>
      <w:tr w14:paraId="6D516289">
        <w:tblPrEx>
          <w:tblCellMar>
            <w:top w:w="0" w:type="dxa"/>
            <w:left w:w="108" w:type="dxa"/>
            <w:bottom w:w="0" w:type="dxa"/>
            <w:right w:w="108" w:type="dxa"/>
          </w:tblCellMar>
        </w:tblPrEx>
        <w:trPr>
          <w:trHeight w:val="360"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37E19647">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智力</w:t>
            </w:r>
          </w:p>
        </w:tc>
        <w:tc>
          <w:tcPr>
            <w:tcW w:w="3790" w:type="dxa"/>
            <w:tcBorders>
              <w:top w:val="nil"/>
              <w:left w:val="nil"/>
              <w:bottom w:val="single" w:color="000000" w:sz="8" w:space="0"/>
              <w:right w:val="single" w:color="000000" w:sz="8" w:space="0"/>
            </w:tcBorders>
            <w:noWrap w:val="0"/>
            <w:vAlign w:val="center"/>
          </w:tcPr>
          <w:p w14:paraId="76459AC0">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3170" w:type="dxa"/>
            <w:tcBorders>
              <w:top w:val="nil"/>
              <w:left w:val="nil"/>
              <w:bottom w:val="single" w:color="000000" w:sz="8" w:space="0"/>
              <w:right w:val="single" w:color="000000" w:sz="8" w:space="0"/>
            </w:tcBorders>
            <w:noWrap w:val="0"/>
            <w:vAlign w:val="center"/>
          </w:tcPr>
          <w:p w14:paraId="30AEA1CF">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2.05</w:t>
            </w:r>
          </w:p>
        </w:tc>
      </w:tr>
      <w:tr w14:paraId="5CDCB0A4">
        <w:tblPrEx>
          <w:tblCellMar>
            <w:top w:w="0" w:type="dxa"/>
            <w:left w:w="108" w:type="dxa"/>
            <w:bottom w:w="0" w:type="dxa"/>
            <w:right w:w="108" w:type="dxa"/>
          </w:tblCellMar>
        </w:tblPrEx>
        <w:trPr>
          <w:trHeight w:val="37"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69B9AA98">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肢体</w:t>
            </w:r>
          </w:p>
        </w:tc>
        <w:tc>
          <w:tcPr>
            <w:tcW w:w="3790" w:type="dxa"/>
            <w:tcBorders>
              <w:top w:val="nil"/>
              <w:left w:val="nil"/>
              <w:bottom w:val="single" w:color="000000" w:sz="8" w:space="0"/>
              <w:right w:val="single" w:color="000000" w:sz="8" w:space="0"/>
            </w:tcBorders>
            <w:noWrap w:val="0"/>
            <w:vAlign w:val="center"/>
          </w:tcPr>
          <w:p w14:paraId="383C430F">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70" w:type="dxa"/>
            <w:tcBorders>
              <w:top w:val="nil"/>
              <w:left w:val="nil"/>
              <w:bottom w:val="single" w:color="000000" w:sz="8" w:space="0"/>
              <w:right w:val="single" w:color="000000" w:sz="8" w:space="0"/>
            </w:tcBorders>
            <w:noWrap w:val="0"/>
            <w:vAlign w:val="center"/>
          </w:tcPr>
          <w:p w14:paraId="52578BC5">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2.6</w:t>
            </w:r>
          </w:p>
        </w:tc>
      </w:tr>
      <w:tr w14:paraId="552FA959">
        <w:tblPrEx>
          <w:tblCellMar>
            <w:top w:w="0" w:type="dxa"/>
            <w:left w:w="108" w:type="dxa"/>
            <w:bottom w:w="0" w:type="dxa"/>
            <w:right w:w="108" w:type="dxa"/>
          </w:tblCellMar>
        </w:tblPrEx>
        <w:trPr>
          <w:trHeight w:val="360"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5941FB61">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孤独症</w:t>
            </w:r>
          </w:p>
        </w:tc>
        <w:tc>
          <w:tcPr>
            <w:tcW w:w="3790" w:type="dxa"/>
            <w:tcBorders>
              <w:top w:val="nil"/>
              <w:left w:val="nil"/>
              <w:bottom w:val="single" w:color="000000" w:sz="8" w:space="0"/>
              <w:right w:val="single" w:color="000000" w:sz="8" w:space="0"/>
            </w:tcBorders>
            <w:noWrap w:val="0"/>
            <w:vAlign w:val="center"/>
          </w:tcPr>
          <w:p w14:paraId="64E468DF">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70" w:type="dxa"/>
            <w:tcBorders>
              <w:top w:val="nil"/>
              <w:left w:val="nil"/>
              <w:bottom w:val="single" w:color="000000" w:sz="8" w:space="0"/>
              <w:right w:val="single" w:color="000000" w:sz="8" w:space="0"/>
            </w:tcBorders>
            <w:noWrap w:val="0"/>
            <w:vAlign w:val="center"/>
          </w:tcPr>
          <w:p w14:paraId="2DDD234D">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2.6</w:t>
            </w:r>
          </w:p>
        </w:tc>
      </w:tr>
      <w:tr w14:paraId="6DC55C8D">
        <w:tblPrEx>
          <w:tblCellMar>
            <w:top w:w="0" w:type="dxa"/>
            <w:left w:w="108" w:type="dxa"/>
            <w:bottom w:w="0" w:type="dxa"/>
            <w:right w:w="108" w:type="dxa"/>
          </w:tblCellMar>
        </w:tblPrEx>
        <w:trPr>
          <w:trHeight w:val="360" w:hRule="atLeast"/>
          <w:jc w:val="center"/>
        </w:trPr>
        <w:tc>
          <w:tcPr>
            <w:tcW w:w="1880" w:type="dxa"/>
            <w:tcBorders>
              <w:top w:val="nil"/>
              <w:left w:val="single" w:color="000000" w:sz="8" w:space="0"/>
              <w:bottom w:val="single" w:color="000000" w:sz="8" w:space="0"/>
              <w:right w:val="single" w:color="000000" w:sz="8" w:space="0"/>
            </w:tcBorders>
            <w:noWrap w:val="0"/>
            <w:vAlign w:val="center"/>
          </w:tcPr>
          <w:p w14:paraId="3B12EE1A">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多重</w:t>
            </w:r>
          </w:p>
        </w:tc>
        <w:tc>
          <w:tcPr>
            <w:tcW w:w="3790" w:type="dxa"/>
            <w:tcBorders>
              <w:top w:val="nil"/>
              <w:left w:val="nil"/>
              <w:bottom w:val="single" w:color="000000" w:sz="8" w:space="0"/>
              <w:right w:val="single" w:color="000000" w:sz="8" w:space="0"/>
            </w:tcBorders>
            <w:noWrap w:val="0"/>
            <w:vAlign w:val="center"/>
          </w:tcPr>
          <w:p w14:paraId="24E43820">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3170" w:type="dxa"/>
            <w:tcBorders>
              <w:top w:val="nil"/>
              <w:left w:val="nil"/>
              <w:bottom w:val="single" w:color="000000" w:sz="8" w:space="0"/>
              <w:right w:val="single" w:color="000000" w:sz="8" w:space="0"/>
            </w:tcBorders>
            <w:noWrap w:val="0"/>
            <w:vAlign w:val="center"/>
          </w:tcPr>
          <w:p w14:paraId="31634528">
            <w:pPr>
              <w:widowControl/>
              <w:spacing w:line="264" w:lineRule="auto"/>
              <w:jc w:val="center"/>
              <w:rPr>
                <w:rFonts w:hint="eastAsia" w:ascii="仿宋" w:hAnsi="仿宋" w:eastAsia="仿宋" w:cs="仿宋"/>
                <w:sz w:val="24"/>
                <w:szCs w:val="24"/>
              </w:rPr>
            </w:pPr>
            <w:r>
              <w:rPr>
                <w:rFonts w:hint="eastAsia" w:ascii="仿宋" w:hAnsi="仿宋" w:eastAsia="仿宋" w:cs="仿宋"/>
                <w:sz w:val="24"/>
                <w:szCs w:val="24"/>
              </w:rPr>
              <w:t>2.8</w:t>
            </w:r>
          </w:p>
        </w:tc>
      </w:tr>
    </w:tbl>
    <w:p w14:paraId="61D80ABB">
      <w:pPr>
        <w:widowControl/>
        <w:spacing w:line="264" w:lineRule="auto"/>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（2）7-17周岁视力、听力语言、肢体、智力残疾和孤独症儿童</w:t>
      </w:r>
      <w:r>
        <w:rPr>
          <w:rFonts w:hint="eastAsia" w:ascii="仿宋" w:hAnsi="仿宋" w:eastAsia="仿宋" w:cs="仿宋"/>
          <w:color w:val="000000"/>
          <w:sz w:val="24"/>
          <w:szCs w:val="24"/>
          <w:lang w:val="en-US" w:eastAsia="zh-CN"/>
        </w:rPr>
        <w:t>按</w:t>
      </w:r>
      <w:r>
        <w:rPr>
          <w:rFonts w:hint="eastAsia" w:ascii="仿宋" w:hAnsi="仿宋" w:eastAsia="仿宋" w:cs="仿宋"/>
          <w:color w:val="000000"/>
          <w:sz w:val="24"/>
          <w:szCs w:val="24"/>
        </w:rPr>
        <w:t>0-6周岁同类康复项目标准的85%</w:t>
      </w:r>
      <w:r>
        <w:rPr>
          <w:rFonts w:hint="eastAsia" w:ascii="仿宋" w:hAnsi="仿宋" w:eastAsia="仿宋" w:cs="仿宋"/>
          <w:color w:val="000000"/>
          <w:sz w:val="24"/>
          <w:szCs w:val="24"/>
          <w:lang w:val="en-US" w:eastAsia="zh-CN"/>
        </w:rPr>
        <w:t>执行</w:t>
      </w:r>
      <w:r>
        <w:rPr>
          <w:rFonts w:hint="eastAsia" w:ascii="仿宋" w:hAnsi="仿宋" w:eastAsia="仿宋" w:cs="仿宋"/>
          <w:color w:val="000000"/>
          <w:sz w:val="24"/>
          <w:szCs w:val="24"/>
        </w:rPr>
        <w:t>。</w:t>
      </w:r>
    </w:p>
    <w:p w14:paraId="79D0AAB1">
      <w:pPr>
        <w:widowControl/>
        <w:spacing w:line="264" w:lineRule="auto"/>
        <w:ind w:firstLine="480"/>
        <w:jc w:val="left"/>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非全日制：</w:t>
      </w:r>
      <w:r>
        <w:rPr>
          <w:rFonts w:hint="eastAsia" w:ascii="仿宋" w:hAnsi="仿宋" w:eastAsia="仿宋" w:cs="仿宋"/>
          <w:b w:val="0"/>
          <w:bCs w:val="0"/>
          <w:color w:val="000000"/>
          <w:sz w:val="24"/>
          <w:szCs w:val="24"/>
          <w:lang w:val="en-US" w:eastAsia="zh-CN"/>
        </w:rPr>
        <w:t>非全日制康复救助标准为全日制康复救助标准的90%</w:t>
      </w:r>
      <w:r>
        <w:rPr>
          <w:rFonts w:hint="eastAsia" w:ascii="仿宋" w:hAnsi="仿宋" w:eastAsia="仿宋" w:cs="仿宋"/>
          <w:b w:val="0"/>
          <w:bCs w:val="0"/>
          <w:color w:val="000000"/>
          <w:sz w:val="24"/>
          <w:szCs w:val="24"/>
        </w:rPr>
        <w:t>。</w:t>
      </w:r>
    </w:p>
    <w:p w14:paraId="4A319378">
      <w:pPr>
        <w:widowControl/>
        <w:spacing w:line="264" w:lineRule="auto"/>
        <w:ind w:firstLine="420"/>
        <w:jc w:val="left"/>
        <w:rPr>
          <w:rFonts w:hint="eastAsia" w:ascii="仿宋" w:hAnsi="仿宋" w:eastAsia="仿宋" w:cs="仿宋"/>
          <w:color w:val="FF0000"/>
          <w:sz w:val="24"/>
          <w:szCs w:val="24"/>
        </w:rPr>
      </w:pPr>
    </w:p>
    <w:p w14:paraId="3BBE0832">
      <w:pPr>
        <w:widowControl/>
        <w:spacing w:line="264" w:lineRule="auto"/>
        <w:ind w:firstLine="413"/>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第三条 合同期限</w:t>
      </w:r>
    </w:p>
    <w:p w14:paraId="43221685">
      <w:pPr>
        <w:widowControl/>
        <w:spacing w:line="264" w:lineRule="auto"/>
        <w:ind w:firstLine="42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年</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月</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日至</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年</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月</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日。</w:t>
      </w:r>
    </w:p>
    <w:p w14:paraId="0778D0C1">
      <w:pPr>
        <w:widowControl/>
        <w:spacing w:line="264" w:lineRule="auto"/>
        <w:ind w:firstLine="413"/>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zh-CN"/>
        </w:rPr>
        <w:t xml:space="preserve">条 组成本合同的有关文件 </w:t>
      </w:r>
    </w:p>
    <w:p w14:paraId="783E9A7F">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 xml:space="preserve">下列关于 </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（项目编号）的框架协议采购活动相适应的文件及有关附件是本合同不可分割的组成部分，与本合同具有同等法律效力，这些文件包括但不限于：</w:t>
      </w:r>
    </w:p>
    <w:p w14:paraId="548C89FD">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（1）本项目采购文件、乙方提供的</w:t>
      </w:r>
      <w:r>
        <w:rPr>
          <w:rFonts w:hint="eastAsia" w:ascii="仿宋" w:hAnsi="仿宋" w:eastAsia="仿宋" w:cs="仿宋"/>
          <w:sz w:val="24"/>
          <w:szCs w:val="24"/>
          <w:lang w:eastAsia="zh-CN"/>
        </w:rPr>
        <w:t>申请文件</w:t>
      </w:r>
      <w:r>
        <w:rPr>
          <w:rFonts w:hint="eastAsia" w:ascii="仿宋" w:hAnsi="仿宋" w:eastAsia="仿宋" w:cs="仿宋"/>
          <w:sz w:val="24"/>
          <w:szCs w:val="24"/>
        </w:rPr>
        <w:t>；</w:t>
      </w:r>
    </w:p>
    <w:p w14:paraId="0A1A7729">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（2）投标承诺/服务承诺；</w:t>
      </w:r>
    </w:p>
    <w:p w14:paraId="637612BD">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（3）入围通知书；</w:t>
      </w:r>
    </w:p>
    <w:p w14:paraId="169C0789">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（4）甲乙双方商定的其他文件等。</w:t>
      </w:r>
    </w:p>
    <w:p w14:paraId="0FCEB201">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五</w:t>
      </w:r>
      <w:r>
        <w:rPr>
          <w:rFonts w:hint="eastAsia" w:ascii="仿宋" w:hAnsi="仿宋" w:eastAsia="仿宋" w:cs="仿宋"/>
          <w:b/>
          <w:bCs/>
          <w:sz w:val="24"/>
          <w:szCs w:val="24"/>
          <w:lang w:val="zh-CN"/>
        </w:rPr>
        <w:t>条 权利保证</w:t>
      </w:r>
    </w:p>
    <w:p w14:paraId="5D45012F">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乙方应保证甲方在使用该服务或其任何一部分时不受第三方提出侵犯其专利权、版权、商标权或其他权利的起诉。一旦出现侵权，乙方应承担全部责任。</w:t>
      </w:r>
    </w:p>
    <w:p w14:paraId="6B9591D1">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六</w:t>
      </w:r>
      <w:r>
        <w:rPr>
          <w:rFonts w:hint="eastAsia" w:ascii="仿宋" w:hAnsi="仿宋" w:eastAsia="仿宋" w:cs="仿宋"/>
          <w:b/>
          <w:bCs/>
          <w:sz w:val="24"/>
          <w:szCs w:val="24"/>
          <w:lang w:val="zh-CN"/>
        </w:rPr>
        <w:t>条 质量保证</w:t>
      </w:r>
    </w:p>
    <w:p w14:paraId="4E278B0F">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乙方所提供的服务的技术规格应与采购文件规定的技术规格和乙方</w:t>
      </w:r>
      <w:r>
        <w:rPr>
          <w:rFonts w:hint="eastAsia" w:ascii="仿宋" w:hAnsi="仿宋" w:eastAsia="仿宋" w:cs="仿宋"/>
          <w:sz w:val="24"/>
          <w:szCs w:val="24"/>
          <w:lang w:eastAsia="zh-CN"/>
        </w:rPr>
        <w:t>申请文件</w:t>
      </w:r>
      <w:r>
        <w:rPr>
          <w:rFonts w:hint="eastAsia" w:ascii="仿宋" w:hAnsi="仿宋" w:eastAsia="仿宋" w:cs="仿宋"/>
          <w:sz w:val="24"/>
          <w:szCs w:val="24"/>
        </w:rPr>
        <w:t>的内容相一致；若技术性能无特殊说明，则按国家有关部门最新颁布的标准及规范为准。</w:t>
      </w:r>
    </w:p>
    <w:p w14:paraId="3C972B4C">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七</w:t>
      </w:r>
      <w:r>
        <w:rPr>
          <w:rFonts w:hint="eastAsia" w:ascii="仿宋" w:hAnsi="仿宋" w:eastAsia="仿宋" w:cs="仿宋"/>
          <w:b/>
          <w:bCs/>
          <w:sz w:val="24"/>
          <w:szCs w:val="24"/>
          <w:lang w:val="zh-CN"/>
        </w:rPr>
        <w:t>条 服务期限和验收标准</w:t>
      </w:r>
    </w:p>
    <w:p w14:paraId="7FC72522">
      <w:pPr>
        <w:widowControl/>
        <w:spacing w:line="264" w:lineRule="auto"/>
        <w:ind w:firstLine="420"/>
        <w:jc w:val="left"/>
        <w:rPr>
          <w:rFonts w:hint="eastAsia" w:ascii="仿宋" w:hAnsi="仿宋" w:eastAsia="仿宋" w:cs="仿宋"/>
          <w:sz w:val="24"/>
          <w:szCs w:val="24"/>
          <w:u w:val="single"/>
        </w:rPr>
      </w:pPr>
      <w:r>
        <w:rPr>
          <w:rFonts w:hint="eastAsia" w:ascii="仿宋" w:hAnsi="仿宋" w:eastAsia="仿宋" w:cs="仿宋"/>
          <w:sz w:val="24"/>
          <w:szCs w:val="24"/>
        </w:rPr>
        <w:t>1、服务期限：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C510FB9">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2、验收标准：按行业通行标准和乙方</w:t>
      </w:r>
      <w:r>
        <w:rPr>
          <w:rFonts w:hint="eastAsia" w:ascii="仿宋" w:hAnsi="仿宋" w:eastAsia="仿宋" w:cs="仿宋"/>
          <w:sz w:val="24"/>
          <w:szCs w:val="24"/>
          <w:lang w:eastAsia="zh-CN"/>
        </w:rPr>
        <w:t>申请文件</w:t>
      </w:r>
      <w:r>
        <w:rPr>
          <w:rFonts w:hint="eastAsia" w:ascii="仿宋" w:hAnsi="仿宋" w:eastAsia="仿宋" w:cs="仿宋"/>
          <w:sz w:val="24"/>
          <w:szCs w:val="24"/>
        </w:rPr>
        <w:t>的承诺（详见合同附件载明的标准，并不低于国家相关标准）。</w:t>
      </w:r>
    </w:p>
    <w:p w14:paraId="32B6EC06">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八</w:t>
      </w:r>
      <w:r>
        <w:rPr>
          <w:rFonts w:hint="eastAsia" w:ascii="仿宋" w:hAnsi="仿宋" w:eastAsia="仿宋" w:cs="仿宋"/>
          <w:b/>
          <w:bCs/>
          <w:sz w:val="24"/>
          <w:szCs w:val="24"/>
          <w:lang w:val="zh-CN"/>
        </w:rPr>
        <w:t>条 履约保证金</w:t>
      </w:r>
    </w:p>
    <w:p w14:paraId="4BD68BAB">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按照采购文件有关规定执行。</w:t>
      </w:r>
    </w:p>
    <w:p w14:paraId="0C051F4D">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九</w:t>
      </w:r>
      <w:r>
        <w:rPr>
          <w:rFonts w:hint="eastAsia" w:ascii="仿宋" w:hAnsi="仿宋" w:eastAsia="仿宋" w:cs="仿宋"/>
          <w:b/>
          <w:bCs/>
          <w:sz w:val="24"/>
          <w:szCs w:val="24"/>
          <w:lang w:val="zh-CN"/>
        </w:rPr>
        <w:t>条 合同款支付</w:t>
      </w:r>
    </w:p>
    <w:p w14:paraId="51DA8806">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1、本合同项下所有款项均以人民币支付。</w:t>
      </w:r>
    </w:p>
    <w:p w14:paraId="2227AEBB">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2、本合同项下的采购资金由甲方自行支付，乙方向甲方开具发票。</w:t>
      </w:r>
    </w:p>
    <w:p w14:paraId="4237B3BD">
      <w:pPr>
        <w:widowControl/>
        <w:spacing w:line="264" w:lineRule="auto"/>
        <w:ind w:left="420"/>
        <w:jc w:val="left"/>
        <w:rPr>
          <w:rFonts w:hint="eastAsia" w:ascii="仿宋" w:hAnsi="仿宋" w:eastAsia="仿宋" w:cs="仿宋"/>
          <w:bCs/>
          <w:sz w:val="24"/>
          <w:szCs w:val="24"/>
          <w:lang w:val="zh-CN"/>
        </w:rPr>
      </w:pPr>
      <w:r>
        <w:rPr>
          <w:rFonts w:hint="eastAsia" w:ascii="仿宋" w:hAnsi="仿宋" w:eastAsia="仿宋" w:cs="仿宋"/>
          <w:sz w:val="24"/>
          <w:szCs w:val="24"/>
        </w:rPr>
        <w:t>3、</w:t>
      </w:r>
      <w:bookmarkStart w:id="108" w:name="_Hlk16758949"/>
      <w:r>
        <w:rPr>
          <w:rFonts w:hint="eastAsia" w:ascii="仿宋" w:hAnsi="仿宋" w:eastAsia="仿宋" w:cs="仿宋"/>
          <w:sz w:val="24"/>
          <w:szCs w:val="24"/>
        </w:rPr>
        <w:t>付款方式及条件：</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按照框架协议约定执行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bookmarkEnd w:id="108"/>
    <w:p w14:paraId="15747193">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w:t>
      </w:r>
      <w:r>
        <w:rPr>
          <w:rFonts w:hint="eastAsia" w:ascii="仿宋" w:hAnsi="仿宋" w:eastAsia="仿宋" w:cs="仿宋"/>
          <w:b/>
          <w:bCs/>
          <w:sz w:val="24"/>
          <w:szCs w:val="24"/>
        </w:rPr>
        <w:t>十</w:t>
      </w:r>
      <w:r>
        <w:rPr>
          <w:rFonts w:hint="eastAsia" w:ascii="仿宋" w:hAnsi="仿宋" w:eastAsia="仿宋" w:cs="仿宋"/>
          <w:b/>
          <w:bCs/>
          <w:sz w:val="24"/>
          <w:szCs w:val="24"/>
          <w:lang w:val="zh-CN"/>
        </w:rPr>
        <w:t>条 解除合同情形</w:t>
      </w:r>
    </w:p>
    <w:p w14:paraId="0462365C">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对不按合同要求、不执行《江苏省残疾儿童基本康复服务实施规范》供应商，由采购人责令限期整改，不按要求整改或存在安全隐患的，采购人解除服务合同。对弄虚作假、以开具假证明、假服务记录、假票据、擅自变更训练地点等的定点机构，套取政府救助资金的，由采购人责令限期整改，退回套取资金，并通报批评；情节严重的解除服务合同；涉嫌犯罪的，移送司法机关依法处理。</w:t>
      </w:r>
    </w:p>
    <w:p w14:paraId="4B013A52">
      <w:pPr>
        <w:ind w:left="600"/>
        <w:rPr>
          <w:rFonts w:hint="eastAsia" w:ascii="仿宋" w:hAnsi="仿宋" w:eastAsia="仿宋" w:cs="仿宋"/>
          <w:lang w:val="en-US" w:eastAsia="zh-CN" w:bidi="ar-SA"/>
        </w:rPr>
      </w:pPr>
    </w:p>
    <w:p w14:paraId="4661D5D3">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第十</w:t>
      </w:r>
      <w:r>
        <w:rPr>
          <w:rFonts w:hint="eastAsia" w:ascii="仿宋" w:hAnsi="仿宋" w:eastAsia="仿宋" w:cs="仿宋"/>
          <w:b/>
          <w:bCs/>
          <w:sz w:val="24"/>
          <w:szCs w:val="24"/>
        </w:rPr>
        <w:t>一</w:t>
      </w:r>
      <w:r>
        <w:rPr>
          <w:rFonts w:hint="eastAsia" w:ascii="仿宋" w:hAnsi="仿宋" w:eastAsia="仿宋" w:cs="仿宋"/>
          <w:b/>
          <w:bCs/>
          <w:sz w:val="24"/>
          <w:szCs w:val="24"/>
          <w:lang w:val="zh-CN"/>
        </w:rPr>
        <w:t>条 违约责任</w:t>
      </w:r>
    </w:p>
    <w:p w14:paraId="1C6C9865">
      <w:pPr>
        <w:widowControl/>
        <w:spacing w:line="288" w:lineRule="auto"/>
        <w:ind w:firstLine="460"/>
        <w:jc w:val="left"/>
        <w:rPr>
          <w:rFonts w:hint="eastAsia" w:ascii="仿宋" w:hAnsi="仿宋" w:eastAsia="仿宋" w:cs="仿宋"/>
          <w:sz w:val="24"/>
          <w:szCs w:val="24"/>
        </w:rPr>
      </w:pPr>
      <w:r>
        <w:rPr>
          <w:rFonts w:hint="eastAsia" w:ascii="仿宋" w:hAnsi="仿宋" w:eastAsia="仿宋" w:cs="仿宋"/>
          <w:sz w:val="24"/>
          <w:szCs w:val="24"/>
        </w:rPr>
        <w:t>1、甲方未按本协议规定执行的，乙方有权终止服务工作。</w:t>
      </w:r>
    </w:p>
    <w:p w14:paraId="7A12A957">
      <w:pPr>
        <w:widowControl/>
        <w:spacing w:line="288" w:lineRule="auto"/>
        <w:ind w:firstLine="460"/>
        <w:jc w:val="left"/>
        <w:rPr>
          <w:rFonts w:hint="eastAsia" w:ascii="仿宋" w:hAnsi="仿宋" w:eastAsia="仿宋" w:cs="仿宋"/>
          <w:bCs/>
          <w:sz w:val="24"/>
          <w:szCs w:val="24"/>
        </w:rPr>
      </w:pPr>
      <w:r>
        <w:rPr>
          <w:rFonts w:hint="eastAsia" w:ascii="仿宋" w:hAnsi="仿宋" w:eastAsia="仿宋" w:cs="仿宋"/>
          <w:sz w:val="24"/>
          <w:szCs w:val="24"/>
        </w:rPr>
        <w:t>2、乙方未按协议规定提供服务的，甲方可视具体情况拒付部分或全部服务费用。</w:t>
      </w:r>
    </w:p>
    <w:p w14:paraId="2C5CCB9F">
      <w:pPr>
        <w:widowControl/>
        <w:spacing w:line="264" w:lineRule="auto"/>
        <w:ind w:firstLine="413"/>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第十</w:t>
      </w:r>
      <w:r>
        <w:rPr>
          <w:rFonts w:hint="eastAsia" w:ascii="仿宋" w:hAnsi="仿宋" w:eastAsia="仿宋" w:cs="仿宋"/>
          <w:b/>
          <w:bCs/>
          <w:sz w:val="24"/>
          <w:szCs w:val="24"/>
        </w:rPr>
        <w:t>二</w:t>
      </w:r>
      <w:r>
        <w:rPr>
          <w:rFonts w:hint="eastAsia" w:ascii="仿宋" w:hAnsi="仿宋" w:eastAsia="仿宋" w:cs="仿宋"/>
          <w:b/>
          <w:bCs/>
          <w:sz w:val="24"/>
          <w:szCs w:val="24"/>
          <w:lang w:val="zh-CN"/>
        </w:rPr>
        <w:t>条 合同的变更和终止</w:t>
      </w:r>
    </w:p>
    <w:p w14:paraId="3B7EF3D5">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1、除《政府采购法》第 50 条第二款规定的情形外，本合同一经签订，甲乙双方不得擅自变更、中止或终止合同。</w:t>
      </w:r>
    </w:p>
    <w:p w14:paraId="0DD948F5">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2、除发生法律规定的不能预见、不能避免并不能克服的客观情况外，甲乙双方不得放弃或拒绝履行合同。乙方放弃或拒绝履行合同，保证金不予退还。</w:t>
      </w:r>
    </w:p>
    <w:p w14:paraId="7C7BC5A4">
      <w:pPr>
        <w:widowControl/>
        <w:spacing w:line="264" w:lineRule="auto"/>
        <w:ind w:firstLine="413"/>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第十</w:t>
      </w:r>
      <w:r>
        <w:rPr>
          <w:rFonts w:hint="eastAsia" w:ascii="仿宋" w:hAnsi="仿宋" w:eastAsia="仿宋" w:cs="仿宋"/>
          <w:b/>
          <w:bCs/>
          <w:color w:val="000000"/>
          <w:sz w:val="24"/>
          <w:szCs w:val="24"/>
        </w:rPr>
        <w:t>三</w:t>
      </w:r>
      <w:r>
        <w:rPr>
          <w:rFonts w:hint="eastAsia" w:ascii="仿宋" w:hAnsi="仿宋" w:eastAsia="仿宋" w:cs="仿宋"/>
          <w:b/>
          <w:bCs/>
          <w:color w:val="000000"/>
          <w:sz w:val="24"/>
          <w:szCs w:val="24"/>
          <w:lang w:val="zh-CN"/>
        </w:rPr>
        <w:t>条 争议的解决</w:t>
      </w:r>
    </w:p>
    <w:p w14:paraId="2A3B8A61">
      <w:pPr>
        <w:widowControl w:val="0"/>
        <w:spacing w:line="264" w:lineRule="auto"/>
        <w:ind w:firstLine="480"/>
        <w:jc w:val="left"/>
        <w:rPr>
          <w:rFonts w:hint="eastAsia" w:ascii="仿宋" w:hAnsi="仿宋" w:eastAsia="仿宋" w:cs="仿宋"/>
          <w:sz w:val="24"/>
          <w:szCs w:val="24"/>
        </w:rPr>
      </w:pPr>
      <w:r>
        <w:rPr>
          <w:rFonts w:hint="eastAsia" w:ascii="仿宋" w:hAnsi="仿宋" w:eastAsia="仿宋" w:cs="仿宋"/>
          <w:sz w:val="24"/>
          <w:szCs w:val="24"/>
        </w:rPr>
        <w:t>1、因服务的质量问题发生争议的，应当邀请国家认可的质量检测机构对服务质量进行鉴定。符合标准的，鉴定费由甲方承担；不符合质量标准的，鉴定费由乙方承担。</w:t>
      </w:r>
    </w:p>
    <w:p w14:paraId="26413E7E">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2、因履行本合同引起的或与本合同有关的争议，甲、乙双方应首先通过友好协商解决，如果协商不能解决争议，则采取以下第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种方式解决争议：</w:t>
      </w:r>
    </w:p>
    <w:p w14:paraId="32EB9A90">
      <w:pPr>
        <w:widowControl/>
        <w:spacing w:line="264" w:lineRule="auto"/>
        <w:ind w:firstLine="480"/>
        <w:jc w:val="left"/>
        <w:rPr>
          <w:rFonts w:hint="eastAsia" w:ascii="仿宋" w:hAnsi="仿宋" w:eastAsia="仿宋" w:cs="仿宋"/>
          <w:sz w:val="24"/>
          <w:szCs w:val="24"/>
        </w:rPr>
      </w:pPr>
      <w:r>
        <w:rPr>
          <w:rFonts w:hint="eastAsia" w:ascii="仿宋" w:hAnsi="仿宋" w:eastAsia="仿宋" w:cs="仿宋"/>
          <w:sz w:val="24"/>
          <w:szCs w:val="24"/>
        </w:rPr>
        <w:t>（1）向</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甲方</w:t>
      </w:r>
      <w:r>
        <w:rPr>
          <w:rFonts w:hint="eastAsia" w:ascii="仿宋" w:hAnsi="仿宋" w:eastAsia="仿宋" w:cs="仿宋"/>
          <w:sz w:val="24"/>
          <w:szCs w:val="24"/>
          <w:u w:val="single"/>
        </w:rPr>
        <w:t xml:space="preserve">    </w:t>
      </w:r>
      <w:r>
        <w:rPr>
          <w:rFonts w:hint="eastAsia" w:ascii="仿宋" w:hAnsi="仿宋" w:eastAsia="仿宋" w:cs="仿宋"/>
          <w:sz w:val="24"/>
          <w:szCs w:val="24"/>
        </w:rPr>
        <w:t>所在地有管辖权的人民法院提起诉讼；</w:t>
      </w:r>
    </w:p>
    <w:p w14:paraId="02A576EB">
      <w:pPr>
        <w:widowControl/>
        <w:spacing w:line="264" w:lineRule="auto"/>
        <w:ind w:firstLine="480"/>
        <w:jc w:val="left"/>
        <w:rPr>
          <w:rFonts w:hint="eastAsia" w:ascii="仿宋" w:hAnsi="仿宋" w:eastAsia="仿宋" w:cs="仿宋"/>
          <w:sz w:val="24"/>
          <w:szCs w:val="24"/>
        </w:rPr>
      </w:pPr>
      <w:r>
        <w:rPr>
          <w:rFonts w:hint="eastAsia" w:ascii="仿宋" w:hAnsi="仿宋" w:eastAsia="仿宋" w:cs="仿宋"/>
          <w:sz w:val="24"/>
          <w:szCs w:val="24"/>
        </w:rPr>
        <w:t>（2）向南京仲裁委员会按其仲裁规则申请仲裁。</w:t>
      </w:r>
    </w:p>
    <w:p w14:paraId="14BF5CAD">
      <w:pPr>
        <w:widowControl/>
        <w:spacing w:line="264" w:lineRule="auto"/>
        <w:ind w:firstLine="787" w:firstLineChars="328"/>
        <w:jc w:val="left"/>
        <w:rPr>
          <w:rFonts w:hint="eastAsia" w:ascii="仿宋" w:hAnsi="仿宋" w:eastAsia="仿宋" w:cs="仿宋"/>
          <w:sz w:val="24"/>
          <w:szCs w:val="24"/>
        </w:rPr>
      </w:pPr>
      <w:r>
        <w:rPr>
          <w:rFonts w:hint="eastAsia" w:ascii="仿宋" w:hAnsi="仿宋" w:eastAsia="仿宋" w:cs="仿宋"/>
          <w:sz w:val="24"/>
          <w:szCs w:val="24"/>
        </w:rPr>
        <w:t>如没有约定，默认采取第 2 种方式解决争议。</w:t>
      </w:r>
    </w:p>
    <w:p w14:paraId="2E885F9B">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3、在仲裁期间，本合同应继续履行。</w:t>
      </w:r>
    </w:p>
    <w:p w14:paraId="1ACBD654">
      <w:pPr>
        <w:widowControl/>
        <w:spacing w:line="264" w:lineRule="auto"/>
        <w:ind w:firstLine="413"/>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第十</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zh-CN"/>
        </w:rPr>
        <w:t>条 诚实信用</w:t>
      </w:r>
    </w:p>
    <w:p w14:paraId="5CE1C4BF">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乙方应诚实信用，严格按照采购文件要求和响应承诺履行合同，不向甲方进行商业贿赂或者提供不正当利益。</w:t>
      </w:r>
    </w:p>
    <w:p w14:paraId="7310EAC4">
      <w:pPr>
        <w:widowControl/>
        <w:spacing w:line="264" w:lineRule="auto"/>
        <w:ind w:firstLine="413"/>
        <w:jc w:val="left"/>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第十</w:t>
      </w:r>
      <w:r>
        <w:rPr>
          <w:rFonts w:hint="eastAsia" w:ascii="仿宋" w:hAnsi="仿宋" w:eastAsia="仿宋" w:cs="仿宋"/>
          <w:b/>
          <w:bCs/>
          <w:color w:val="000000"/>
          <w:sz w:val="24"/>
          <w:szCs w:val="24"/>
        </w:rPr>
        <w:t>五</w:t>
      </w:r>
      <w:r>
        <w:rPr>
          <w:rFonts w:hint="eastAsia" w:ascii="仿宋" w:hAnsi="仿宋" w:eastAsia="仿宋" w:cs="仿宋"/>
          <w:b/>
          <w:bCs/>
          <w:color w:val="000000"/>
          <w:sz w:val="24"/>
          <w:szCs w:val="24"/>
          <w:lang w:val="zh-CN"/>
        </w:rPr>
        <w:t>条 合同生效及其他</w:t>
      </w:r>
    </w:p>
    <w:p w14:paraId="2676322C">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1、本合同自签订之日起生效。</w:t>
      </w:r>
    </w:p>
    <w:p w14:paraId="50DB8FA8">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2、本合同正本一式肆份，具有同等法律效力，甲方、乙方各执贰份。</w:t>
      </w:r>
    </w:p>
    <w:p w14:paraId="249A677B">
      <w:pPr>
        <w:widowControl/>
        <w:spacing w:line="264" w:lineRule="auto"/>
        <w:ind w:firstLine="420"/>
        <w:jc w:val="left"/>
        <w:rPr>
          <w:rFonts w:hint="eastAsia" w:ascii="仿宋" w:hAnsi="仿宋" w:eastAsia="仿宋" w:cs="仿宋"/>
          <w:sz w:val="24"/>
          <w:szCs w:val="24"/>
        </w:rPr>
      </w:pPr>
      <w:r>
        <w:rPr>
          <w:rFonts w:hint="eastAsia" w:ascii="仿宋" w:hAnsi="仿宋" w:eastAsia="仿宋" w:cs="仿宋"/>
          <w:sz w:val="24"/>
          <w:szCs w:val="24"/>
        </w:rPr>
        <w:t>3、本合同应按照中华人民共和国的现行法律进行解释。</w:t>
      </w:r>
    </w:p>
    <w:p w14:paraId="2C1EEB69">
      <w:pPr>
        <w:widowControl/>
        <w:spacing w:line="264" w:lineRule="auto"/>
        <w:jc w:val="left"/>
        <w:rPr>
          <w:rFonts w:hint="eastAsia" w:ascii="仿宋" w:hAnsi="仿宋" w:eastAsia="仿宋" w:cs="仿宋"/>
          <w:sz w:val="24"/>
          <w:szCs w:val="24"/>
        </w:rPr>
      </w:pPr>
    </w:p>
    <w:p w14:paraId="4231E039">
      <w:pPr>
        <w:widowControl/>
        <w:spacing w:line="264" w:lineRule="auto"/>
        <w:jc w:val="left"/>
        <w:rPr>
          <w:rFonts w:hint="eastAsia" w:ascii="仿宋" w:hAnsi="仿宋" w:eastAsia="仿宋" w:cs="仿宋"/>
          <w:sz w:val="24"/>
          <w:szCs w:val="24"/>
        </w:rPr>
      </w:pPr>
      <w:r>
        <w:rPr>
          <w:rFonts w:hint="eastAsia" w:ascii="仿宋" w:hAnsi="仿宋" w:eastAsia="仿宋" w:cs="仿宋"/>
          <w:sz w:val="24"/>
          <w:szCs w:val="24"/>
        </w:rPr>
        <w:t>甲方（采购人）：（盖章）                     乙方（供应商）：（盖章）</w:t>
      </w:r>
    </w:p>
    <w:p w14:paraId="309F2EC6">
      <w:pPr>
        <w:widowControl/>
        <w:spacing w:line="264" w:lineRule="auto"/>
        <w:jc w:val="left"/>
        <w:rPr>
          <w:rFonts w:hint="eastAsia" w:ascii="仿宋" w:hAnsi="仿宋" w:eastAsia="仿宋" w:cs="仿宋"/>
          <w:sz w:val="24"/>
          <w:szCs w:val="24"/>
        </w:rPr>
      </w:pPr>
      <w:r>
        <w:rPr>
          <w:rFonts w:hint="eastAsia" w:ascii="仿宋" w:hAnsi="仿宋" w:eastAsia="仿宋" w:cs="仿宋"/>
          <w:sz w:val="24"/>
          <w:szCs w:val="24"/>
        </w:rPr>
        <w:t>代表人：                                     代表人：</w:t>
      </w:r>
    </w:p>
    <w:p w14:paraId="7A29C580">
      <w:pPr>
        <w:widowControl/>
        <w:spacing w:line="264" w:lineRule="auto"/>
        <w:jc w:val="left"/>
        <w:rPr>
          <w:rFonts w:hint="eastAsia" w:ascii="仿宋" w:hAnsi="仿宋" w:eastAsia="仿宋" w:cs="仿宋"/>
          <w:sz w:val="24"/>
          <w:szCs w:val="24"/>
        </w:rPr>
      </w:pPr>
      <w:r>
        <w:rPr>
          <w:rFonts w:hint="eastAsia" w:ascii="仿宋" w:hAnsi="仿宋" w:eastAsia="仿宋" w:cs="仿宋"/>
          <w:sz w:val="24"/>
          <w:szCs w:val="24"/>
        </w:rPr>
        <w:t>电 话：                                      电 话：</w:t>
      </w:r>
    </w:p>
    <w:p w14:paraId="1C739124">
      <w:pPr>
        <w:widowControl/>
        <w:spacing w:line="264" w:lineRule="auto"/>
        <w:jc w:val="left"/>
        <w:rPr>
          <w:rFonts w:hint="eastAsia" w:ascii="仿宋" w:hAnsi="仿宋" w:eastAsia="仿宋" w:cs="仿宋"/>
          <w:sz w:val="24"/>
          <w:szCs w:val="24"/>
        </w:rPr>
      </w:pPr>
      <w:r>
        <w:rPr>
          <w:rFonts w:hint="eastAsia" w:ascii="仿宋" w:hAnsi="仿宋" w:eastAsia="仿宋" w:cs="仿宋"/>
          <w:sz w:val="24"/>
          <w:szCs w:val="24"/>
        </w:rPr>
        <w:t>开户银行：                                   开户银行：</w:t>
      </w:r>
    </w:p>
    <w:p w14:paraId="4EBC2AB2">
      <w:pPr>
        <w:widowControl/>
        <w:spacing w:line="264" w:lineRule="auto"/>
        <w:jc w:val="left"/>
        <w:rPr>
          <w:rFonts w:hint="eastAsia" w:ascii="仿宋" w:hAnsi="仿宋" w:eastAsia="仿宋" w:cs="仿宋"/>
          <w:sz w:val="24"/>
          <w:szCs w:val="24"/>
        </w:rPr>
      </w:pPr>
      <w:r>
        <w:rPr>
          <w:rFonts w:hint="eastAsia" w:ascii="仿宋" w:hAnsi="仿宋" w:eastAsia="仿宋" w:cs="仿宋"/>
          <w:sz w:val="24"/>
          <w:szCs w:val="24"/>
        </w:rPr>
        <w:t>账 号：                                      账 号：</w:t>
      </w:r>
    </w:p>
    <w:p w14:paraId="5EB60F86">
      <w:pPr>
        <w:pStyle w:val="2"/>
        <w:ind w:left="0" w:leftChars="0" w:firstLine="0" w:firstLineChars="0"/>
        <w:rPr>
          <w:rFonts w:hint="eastAsia" w:ascii="仿宋" w:hAnsi="仿宋" w:eastAsia="仿宋" w:cs="仿宋"/>
          <w:lang w:val="en-US" w:eastAsia="zh-CN"/>
        </w:rPr>
      </w:pPr>
      <w:r>
        <w:rPr>
          <w:rFonts w:hint="eastAsia" w:ascii="仿宋" w:hAnsi="仿宋" w:eastAsia="仿宋" w:cs="仿宋"/>
          <w:sz w:val="24"/>
          <w:szCs w:val="24"/>
        </w:rPr>
        <w:t>日 期：                                      日 期：</w:t>
      </w:r>
    </w:p>
    <w:p w14:paraId="0EC19290">
      <w:pPr>
        <w:pStyle w:val="24"/>
        <w:keepNext w:val="0"/>
        <w:keepLines w:val="0"/>
        <w:pageBreakBefore w:val="0"/>
        <w:kinsoku/>
        <w:wordWrap/>
        <w:overflowPunct/>
        <w:topLinePunct w:val="0"/>
        <w:autoSpaceDE/>
        <w:autoSpaceDN/>
        <w:bidi w:val="0"/>
        <w:spacing w:before="120" w:after="120" w:line="360" w:lineRule="auto"/>
        <w:ind w:firstLine="400"/>
        <w:rPr>
          <w:rFonts w:hint="eastAsia" w:ascii="仿宋" w:hAnsi="仿宋" w:eastAsia="仿宋" w:cs="仿宋"/>
          <w:sz w:val="24"/>
          <w:szCs w:val="24"/>
        </w:rPr>
        <w:sectPr>
          <w:pgSz w:w="11906" w:h="16838"/>
          <w:pgMar w:top="1440" w:right="1800" w:bottom="1440" w:left="1800" w:header="851" w:footer="992" w:gutter="0"/>
          <w:pgNumType w:fmt="decimal"/>
          <w:cols w:space="720" w:num="1"/>
          <w:docGrid w:linePitch="360" w:charSpace="0"/>
        </w:sectPr>
      </w:pPr>
    </w:p>
    <w:p w14:paraId="4CB448D6">
      <w:pPr>
        <w:pStyle w:val="3"/>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r>
        <w:rPr>
          <w:rFonts w:hint="eastAsia" w:ascii="仿宋" w:hAnsi="仿宋" w:eastAsia="仿宋" w:cs="仿宋"/>
          <w:lang w:val="en-US" w:eastAsia="zh-CN"/>
        </w:rPr>
        <w:t xml:space="preserve"> </w:t>
      </w:r>
      <w:bookmarkStart w:id="109" w:name="_Toc23149"/>
      <w:r>
        <w:rPr>
          <w:rFonts w:hint="eastAsia" w:ascii="仿宋" w:hAnsi="仿宋" w:eastAsia="仿宋" w:cs="仿宋"/>
        </w:rPr>
        <w:t>采购需求</w:t>
      </w:r>
      <w:bookmarkEnd w:id="109"/>
    </w:p>
    <w:p w14:paraId="3032A67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基本</w:t>
      </w:r>
      <w:r>
        <w:rPr>
          <w:rFonts w:hint="eastAsia" w:ascii="仿宋" w:hAnsi="仿宋" w:eastAsia="仿宋" w:cs="仿宋"/>
          <w:b/>
          <w:bCs/>
          <w:sz w:val="24"/>
          <w:szCs w:val="24"/>
        </w:rPr>
        <w:t>要求</w:t>
      </w:r>
    </w:p>
    <w:p w14:paraId="2C0B8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rPr>
        <w:t>为做好</w:t>
      </w:r>
      <w:r>
        <w:rPr>
          <w:rFonts w:hint="eastAsia" w:ascii="仿宋" w:hAnsi="仿宋" w:eastAsia="仿宋" w:cs="仿宋"/>
          <w:sz w:val="24"/>
          <w:szCs w:val="24"/>
          <w:highlight w:val="none"/>
          <w:lang w:val="en-US" w:eastAsia="zh-CN"/>
        </w:rPr>
        <w:t>南京市高淳区</w:t>
      </w:r>
      <w:r>
        <w:rPr>
          <w:rFonts w:hint="eastAsia" w:ascii="仿宋" w:hAnsi="仿宋" w:eastAsia="仿宋" w:cs="仿宋"/>
          <w:sz w:val="24"/>
          <w:szCs w:val="24"/>
          <w:highlight w:val="none"/>
        </w:rPr>
        <w:t>残</w:t>
      </w:r>
      <w:r>
        <w:rPr>
          <w:rFonts w:hint="eastAsia" w:ascii="仿宋" w:hAnsi="仿宋" w:eastAsia="仿宋" w:cs="仿宋"/>
          <w:sz w:val="24"/>
          <w:szCs w:val="24"/>
        </w:rPr>
        <w:t>疾儿童康复救助工作，保障残疾儿童基本康复服务需求，改善残疾儿童康复状况，根据《中华人民共和国政府采购法》、《政府采购框架协议采购方式管理暂行办法》等有关规定，采用政府采购框架协议采购方式确认承接主体（定点机构）。有康复需求且符合条件的残疾儿童可根据国家有关规定，可在确定的承接主体中自主选择，接受儿童免费基本康复服务。</w:t>
      </w:r>
    </w:p>
    <w:p w14:paraId="3898F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本项目分设五个分包，供应商可根据自身情况选择一个或几个采购包参与，可兼投</w:t>
      </w:r>
      <w:r>
        <w:rPr>
          <w:rFonts w:hint="eastAsia" w:ascii="仿宋" w:hAnsi="仿宋" w:eastAsia="仿宋" w:cs="仿宋"/>
          <w:sz w:val="24"/>
          <w:szCs w:val="24"/>
          <w:lang w:val="en-US" w:eastAsia="zh-CN"/>
        </w:rPr>
        <w:t>和</w:t>
      </w:r>
      <w:r>
        <w:rPr>
          <w:rFonts w:hint="eastAsia" w:ascii="仿宋" w:hAnsi="仿宋" w:eastAsia="仿宋" w:cs="仿宋"/>
          <w:sz w:val="24"/>
          <w:szCs w:val="24"/>
        </w:rPr>
        <w:t>兼中。</w:t>
      </w:r>
    </w:p>
    <w:p w14:paraId="387ED5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分包一：视力康复服务机构；分包二：听力语言康复服务机构；</w:t>
      </w:r>
    </w:p>
    <w:p w14:paraId="54DAA9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分包三：肢体康复服务机构；分包四：智力康复服务机构；</w:t>
      </w:r>
    </w:p>
    <w:p w14:paraId="36C0AF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rPr>
        <w:t>分包五：孤独症康复服务机构。</w:t>
      </w:r>
    </w:p>
    <w:p w14:paraId="1732A4DA">
      <w:pPr>
        <w:keepNext w:val="0"/>
        <w:keepLines w:val="0"/>
        <w:pageBreakBefore w:val="0"/>
        <w:widowControl w:val="0"/>
        <w:kinsoku/>
        <w:wordWrap/>
        <w:overflowPunct/>
        <w:topLinePunct w:val="0"/>
        <w:autoSpaceDE/>
        <w:autoSpaceDN/>
        <w:bidi w:val="0"/>
        <w:adjustRightInd/>
        <w:snapToGrid/>
        <w:spacing w:line="500" w:lineRule="exact"/>
        <w:ind w:firstLine="434" w:firstLineChars="18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3、确定</w:t>
      </w:r>
      <w:r>
        <w:rPr>
          <w:rFonts w:hint="eastAsia" w:ascii="仿宋" w:hAnsi="仿宋" w:eastAsia="仿宋" w:cs="仿宋"/>
          <w:b/>
          <w:bCs/>
          <w:sz w:val="24"/>
          <w:szCs w:val="24"/>
          <w:highlight w:val="none"/>
          <w:lang w:eastAsia="zh-CN"/>
        </w:rPr>
        <w:t>入围供应商</w:t>
      </w:r>
      <w:r>
        <w:rPr>
          <w:rFonts w:hint="eastAsia" w:ascii="仿宋" w:hAnsi="仿宋" w:eastAsia="仿宋" w:cs="仿宋"/>
          <w:b/>
          <w:bCs/>
          <w:highlight w:val="none"/>
          <w:u w:val="none"/>
          <w:lang w:eastAsia="zh-CN"/>
        </w:rPr>
        <w:t>：</w:t>
      </w:r>
      <w:r>
        <w:rPr>
          <w:rFonts w:hint="eastAsia" w:ascii="仿宋" w:hAnsi="仿宋" w:eastAsia="仿宋" w:cs="仿宋"/>
          <w:sz w:val="24"/>
          <w:szCs w:val="24"/>
          <w:highlight w:val="none"/>
          <w:lang w:val="en-US" w:eastAsia="zh-CN"/>
        </w:rPr>
        <w:t>本项目确定第一阶段入围供应商的评审方法为质量优先法。每个分包入围供应商的淘汰比例不低于20%且至少淘汰一家供应商（提交响应文件和符合资格条件、实质性要求的供应商少于2家时，采购活动终止）。评审过程中若出现供应商得分相同，使入围供应商数量超过入围供应商上限时， 按照评审因素的量化指标（按设施设备配置情况、人员配备情况、服务场所基本情况顺序）评审得分最高的投标人确定入围，若上述评审因素的量化指标评审得分均一致，则采取随机抽取的方式确定。</w:t>
      </w:r>
    </w:p>
    <w:p w14:paraId="75F0C06B">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、服务对象范围</w:t>
      </w:r>
    </w:p>
    <w:p w14:paraId="693C650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基本康复服务对象是指</w:t>
      </w:r>
      <w:r>
        <w:rPr>
          <w:rFonts w:hint="eastAsia" w:ascii="仿宋" w:hAnsi="仿宋" w:eastAsia="仿宋" w:cs="仿宋"/>
          <w:sz w:val="24"/>
          <w:szCs w:val="24"/>
          <w:highlight w:val="none"/>
          <w:lang w:val="en-US" w:eastAsia="zh-CN"/>
        </w:rPr>
        <w:t>本区</w:t>
      </w:r>
      <w:r>
        <w:rPr>
          <w:rFonts w:hint="eastAsia" w:ascii="仿宋" w:hAnsi="仿宋" w:eastAsia="仿宋" w:cs="仿宋"/>
          <w:sz w:val="24"/>
          <w:szCs w:val="24"/>
          <w:highlight w:val="none"/>
        </w:rPr>
        <w:t>户籍、有康复需求和康复意愿、持有中华人民共和国残疾人证，或经三级医疗机构评估认定有康复训练适应指征的 0-14 周岁残疾儿童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15-17周岁困难残疾儿童（低保、低保边缘、一户多残、依老养残家庭）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0—14 周岁人工耳蜗植入手术后康复训练儿童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符合下列条件之一： 1．本</w:t>
      </w:r>
      <w:r>
        <w:rPr>
          <w:rFonts w:hint="eastAsia" w:ascii="仿宋" w:hAnsi="仿宋" w:eastAsia="仿宋" w:cs="仿宋"/>
          <w:sz w:val="24"/>
          <w:szCs w:val="24"/>
          <w:highlight w:val="none"/>
          <w:lang w:val="en-US" w:eastAsia="zh-CN"/>
        </w:rPr>
        <w:t>区</w:t>
      </w:r>
      <w:r>
        <w:rPr>
          <w:rFonts w:hint="eastAsia" w:ascii="仿宋" w:hAnsi="仿宋" w:eastAsia="仿宋" w:cs="仿宋"/>
          <w:sz w:val="24"/>
          <w:szCs w:val="24"/>
          <w:highlight w:val="none"/>
        </w:rPr>
        <w:t>户籍； 2．本人或监护人一方持本</w:t>
      </w:r>
      <w:r>
        <w:rPr>
          <w:rFonts w:hint="eastAsia" w:ascii="仿宋" w:hAnsi="仿宋" w:eastAsia="仿宋" w:cs="仿宋"/>
          <w:sz w:val="24"/>
          <w:szCs w:val="24"/>
          <w:highlight w:val="none"/>
          <w:lang w:val="en-US" w:eastAsia="zh-CN"/>
        </w:rPr>
        <w:t>区</w:t>
      </w:r>
      <w:r>
        <w:rPr>
          <w:rFonts w:hint="eastAsia" w:ascii="仿宋" w:hAnsi="仿宋" w:eastAsia="仿宋" w:cs="仿宋"/>
          <w:sz w:val="24"/>
          <w:szCs w:val="24"/>
          <w:highlight w:val="none"/>
        </w:rPr>
        <w:t>居住证，本年度未在户籍地享受残疾儿童康复救助且监护人一方在本区范围内连续缴纳社会保险 36 个月及以上。</w:t>
      </w:r>
    </w:p>
    <w:p w14:paraId="7FF15D2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首次申请康复救助听力语言、肢体、智力功能障碍和孤独症医学诊断证明书自开具之日起3年内有效，视力障碍医学诊断证明书自开具之日起1年内有效。户籍证明（身份证）资料、医学诊断证明（残疾评定表、残疾人证）是残疾儿童享受相关救助政策的重要书证。 </w:t>
      </w:r>
    </w:p>
    <w:p w14:paraId="140BBB31">
      <w:pPr>
        <w:spacing w:line="360" w:lineRule="auto"/>
        <w:ind w:firstLine="482"/>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注：框架协议期内如南京市出台新规定，按新规定执行。</w:t>
      </w:r>
    </w:p>
    <w:p w14:paraId="6A49D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服务时间和形式</w:t>
      </w:r>
    </w:p>
    <w:p w14:paraId="2348046C">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1、服务时间</w:t>
      </w:r>
    </w:p>
    <w:p w14:paraId="7EEE546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为保证康复效果连续有效，残疾儿童基本康复服务应在定点机构内进行，年度基本康复时间不少于9个月。</w:t>
      </w:r>
    </w:p>
    <w:p w14:paraId="7830459A">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2、服务形式</w:t>
      </w:r>
    </w:p>
    <w:p w14:paraId="167A4B0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4"/>
          <w:szCs w:val="24"/>
        </w:rPr>
      </w:pPr>
      <w:r>
        <w:rPr>
          <w:rFonts w:hint="eastAsia" w:ascii="仿宋" w:hAnsi="仿宋" w:eastAsia="仿宋" w:cs="仿宋"/>
          <w:sz w:val="24"/>
          <w:szCs w:val="24"/>
        </w:rPr>
        <w:t>残疾儿童基本康复服务形式分全日制和非全日制两种类型，残疾儿童监护人可自主选择服务类型。</w:t>
      </w:r>
    </w:p>
    <w:p w14:paraId="069855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全日制</w:t>
      </w:r>
    </w:p>
    <w:p w14:paraId="7B453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是指残疾儿童在定点机构内同步接受康复服务和学前(学科)教育。在当月法定工作(学习)日，接受每天4小时的基本康复服务，课程设置应符合残疾儿童个性特征:其中个性化服务支持每天不少于1节课40分钟。</w:t>
      </w:r>
    </w:p>
    <w:p w14:paraId="18328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非全日制</w:t>
      </w:r>
    </w:p>
    <w:p w14:paraId="0D6DF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是指残疾儿童在家庭、幼儿园、中小学的托幼照料、学前(学科)教育间隙，到定点机构接受以个性化服务支持为主的基本康复服务，每月12天(每周3天)，每天1次1.5 小时，其中个性化服务支持不少于1小时，集体课或小组课不少于0.5 小时</w:t>
      </w:r>
      <w:r>
        <w:rPr>
          <w:rFonts w:hint="eastAsia" w:ascii="仿宋" w:hAnsi="仿宋" w:eastAsia="仿宋" w:cs="仿宋"/>
          <w:sz w:val="24"/>
          <w:szCs w:val="24"/>
          <w:lang w:eastAsia="zh-CN"/>
        </w:rPr>
        <w:t>；</w:t>
      </w:r>
      <w:r>
        <w:rPr>
          <w:rFonts w:hint="eastAsia" w:ascii="仿宋" w:hAnsi="仿宋" w:eastAsia="仿宋" w:cs="仿宋"/>
          <w:sz w:val="24"/>
          <w:szCs w:val="24"/>
        </w:rPr>
        <w:t>低视力儿童康复服务内容根据低视力儿童实际需求设定，每月不少于8天(每周2天)，每天1次不少于1小时。</w:t>
      </w:r>
    </w:p>
    <w:p w14:paraId="4A2F3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四、服务费用</w:t>
      </w:r>
    </w:p>
    <w:p w14:paraId="6F690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供应商服务费按照</w:t>
      </w:r>
      <w:r>
        <w:rPr>
          <w:rFonts w:hint="eastAsia" w:ascii="仿宋" w:hAnsi="仿宋" w:eastAsia="仿宋" w:cs="仿宋"/>
          <w:sz w:val="24"/>
          <w:szCs w:val="24"/>
        </w:rPr>
        <w:t>《关于调整南京市残疾儿童基本康复服务救助标准和结算方式的通知》（宁残字〔2024〕20号）文件执行。</w:t>
      </w:r>
    </w:p>
    <w:p w14:paraId="642D3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eastAsia" w:ascii="仿宋" w:hAnsi="仿宋" w:eastAsia="仿宋" w:cs="仿宋"/>
          <w:sz w:val="24"/>
          <w:szCs w:val="24"/>
          <w:highlight w:val="yellow"/>
        </w:rPr>
      </w:pPr>
      <w:r>
        <w:rPr>
          <w:rFonts w:hint="eastAsia" w:ascii="仿宋" w:hAnsi="仿宋" w:eastAsia="仿宋" w:cs="仿宋"/>
          <w:b/>
          <w:bCs/>
          <w:sz w:val="24"/>
          <w:szCs w:val="24"/>
          <w:lang w:val="en-US"/>
        </w:rPr>
        <w:t>注：供应商须完全响应上述框架协议价格，并提供《响应服务报价明细表》（格式详见“第六章-</w:t>
      </w:r>
      <w:r>
        <w:rPr>
          <w:rFonts w:hint="eastAsia" w:ascii="仿宋" w:hAnsi="仿宋" w:eastAsia="仿宋" w:cs="仿宋"/>
          <w:b/>
          <w:bCs/>
          <w:sz w:val="24"/>
          <w:szCs w:val="24"/>
          <w:lang w:val="en-US" w:eastAsia="zh-CN"/>
        </w:rPr>
        <w:t>申请文件</w:t>
      </w:r>
      <w:r>
        <w:rPr>
          <w:rFonts w:hint="eastAsia" w:ascii="仿宋" w:hAnsi="仿宋" w:eastAsia="仿宋" w:cs="仿宋"/>
          <w:b/>
          <w:bCs/>
          <w:sz w:val="24"/>
          <w:szCs w:val="24"/>
          <w:lang w:val="en-US"/>
        </w:rPr>
        <w:t>格式”），未按要求提供的视为无效</w:t>
      </w:r>
      <w:r>
        <w:rPr>
          <w:rFonts w:hint="eastAsia" w:ascii="仿宋" w:hAnsi="仿宋" w:eastAsia="仿宋" w:cs="仿宋"/>
          <w:b/>
          <w:bCs/>
          <w:sz w:val="24"/>
          <w:szCs w:val="24"/>
          <w:lang w:val="en-US" w:eastAsia="zh-CN"/>
        </w:rPr>
        <w:t>申请文件</w:t>
      </w:r>
      <w:r>
        <w:rPr>
          <w:rFonts w:hint="eastAsia" w:ascii="仿宋" w:hAnsi="仿宋" w:eastAsia="仿宋" w:cs="仿宋"/>
          <w:b/>
          <w:bCs/>
          <w:sz w:val="24"/>
          <w:szCs w:val="24"/>
          <w:lang w:val="en-US"/>
        </w:rPr>
        <w:t>。框架协议期内如南京市出台新规定，按新规定执行。</w:t>
      </w:r>
    </w:p>
    <w:p w14:paraId="67DE5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残疾儿童自申请之日起一个年度康复服务周期内，只享受一种残疾类别的康复救助，多类别康复救助经费不叠加计算。</w:t>
      </w:r>
    </w:p>
    <w:p w14:paraId="43660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残疾儿童</w:t>
      </w:r>
      <w:r>
        <w:rPr>
          <w:rFonts w:hint="eastAsia" w:ascii="仿宋" w:hAnsi="仿宋" w:eastAsia="仿宋" w:cs="仿宋"/>
          <w:color w:val="auto"/>
          <w:sz w:val="24"/>
          <w:szCs w:val="24"/>
          <w:lang w:eastAsia="zh-CN"/>
        </w:rPr>
        <w:t>年度救助经费低于最高救助标准按实际费用结算，高于最高救助标准按最高标准结算</w:t>
      </w:r>
      <w:r>
        <w:rPr>
          <w:rFonts w:hint="eastAsia" w:ascii="仿宋" w:hAnsi="仿宋" w:eastAsia="仿宋" w:cs="仿宋"/>
          <w:color w:val="auto"/>
          <w:sz w:val="24"/>
          <w:szCs w:val="24"/>
        </w:rPr>
        <w:t>。</w:t>
      </w:r>
    </w:p>
    <w:p w14:paraId="4A8DC4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医疗类康复救助经费可按照医疗保障和卫生健康部门制定的公立医疗机构医疗康复项目收费标准核算。</w:t>
      </w:r>
    </w:p>
    <w:p w14:paraId="1061B9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转介到异地(含省外)定点机构康复的残疾儿童康复救助经费原则上按户籍地救助标准执行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户籍地救助标准高于服务承接地标准时，按服务承接地救助标准执行。</w:t>
      </w:r>
    </w:p>
    <w:p w14:paraId="5932E9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定点机构按一人一档要求，提供残疾儿童康复服务考勤记录、评估报告、监护人签字确认的康复记录和服务费用有效票据。经</w:t>
      </w:r>
      <w:r>
        <w:rPr>
          <w:rFonts w:hint="eastAsia" w:ascii="仿宋" w:hAnsi="仿宋" w:eastAsia="仿宋" w:cs="仿宋"/>
          <w:color w:val="auto"/>
          <w:sz w:val="24"/>
          <w:szCs w:val="24"/>
          <w:lang w:eastAsia="zh-CN"/>
        </w:rPr>
        <w:t>区</w:t>
      </w:r>
      <w:r>
        <w:rPr>
          <w:rFonts w:hint="eastAsia" w:ascii="仿宋" w:hAnsi="仿宋" w:eastAsia="仿宋" w:cs="仿宋"/>
          <w:color w:val="auto"/>
          <w:sz w:val="24"/>
          <w:szCs w:val="24"/>
        </w:rPr>
        <w:t>残联审核同意后，由</w:t>
      </w:r>
      <w:r>
        <w:rPr>
          <w:rFonts w:hint="eastAsia" w:ascii="仿宋" w:hAnsi="仿宋" w:eastAsia="仿宋" w:cs="仿宋"/>
          <w:color w:val="auto"/>
          <w:sz w:val="24"/>
          <w:szCs w:val="24"/>
          <w:lang w:eastAsia="zh-CN"/>
        </w:rPr>
        <w:t>区</w:t>
      </w:r>
      <w:r>
        <w:rPr>
          <w:rFonts w:hint="eastAsia" w:ascii="仿宋" w:hAnsi="仿宋" w:eastAsia="仿宋" w:cs="仿宋"/>
          <w:color w:val="auto"/>
          <w:sz w:val="24"/>
          <w:szCs w:val="24"/>
        </w:rPr>
        <w:t>残联直接与定点机构结算。转介到省外定点机构康复的残疾儿童救助经费可以报销的形式按年度结算。</w:t>
      </w:r>
    </w:p>
    <w:p w14:paraId="4E033C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结算中的有效</w:t>
      </w:r>
      <w:r>
        <w:rPr>
          <w:rFonts w:hint="eastAsia" w:ascii="仿宋" w:hAnsi="仿宋" w:eastAsia="仿宋" w:cs="仿宋"/>
          <w:color w:val="auto"/>
          <w:sz w:val="24"/>
          <w:szCs w:val="24"/>
          <w:lang w:eastAsia="zh-CN"/>
        </w:rPr>
        <w:t>凭</w:t>
      </w:r>
      <w:r>
        <w:rPr>
          <w:rFonts w:hint="eastAsia" w:ascii="仿宋" w:hAnsi="仿宋" w:eastAsia="仿宋" w:cs="仿宋"/>
          <w:color w:val="auto"/>
          <w:sz w:val="24"/>
          <w:szCs w:val="24"/>
        </w:rPr>
        <w:t>据是财政系统正规医疗票据原件或税务系统正规发票原件，开具内容符合《江苏省残疾人基本康复服务目录》规定的各类康复训练、康复医疗、支持性服务等项目要求。</w:t>
      </w:r>
    </w:p>
    <w:p w14:paraId="34D90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五、服务流程</w:t>
      </w:r>
    </w:p>
    <w:p w14:paraId="7BA944F7">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残疾儿童监护人可自主选择定点机构接受基本康复服务，确需在异地(含省外)残联定点机构接受基本康复服务的残疾儿童，监护人在计划接受基本康复服务开始前向户籍区残联提出申请，经审核批准后转介到异地定点机构接受基本康复服务。</w:t>
      </w:r>
    </w:p>
    <w:p w14:paraId="506A53D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残疾儿童不得同时在两个以上定点机构接受基本康复服务，确需变更定点机构的，应终止与原定点机构的协议，由户籍区残联重新审核后再次转介，每年只能办理1次转训手续。</w:t>
      </w:r>
    </w:p>
    <w:p w14:paraId="769CAEC3">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rPr>
        <w:t>户籍区残联应与定点机构、残疾儿童监护人签订残疾儿童基本康复服务三方协议，应明确相互责任义务，包括服务范围、服务项目、服务质量、费用标准、考核、结算方式、信息管理、违约责任等条款和监督检查、绩效评价等内容。</w:t>
      </w:r>
    </w:p>
    <w:p w14:paraId="5B87721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定点机构必须按照《江苏省残疾儿童基本康复服务实施规范(2023年版)》要求的残疾儿童人均建筑面积、师生(医患)比例确定每日最大康复服务人数，按比例接收残疾儿童:优先保障南京市残疾儿童康复需求，向市残联和所辖区残联主动报备异地转入的残疾儿童人数:不得拒绝服务对象只进行基本康复项目的服务要求。</w:t>
      </w:r>
    </w:p>
    <w:p w14:paraId="5FA2F222">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定点机构应按要求建立残疾儿童康复服务档案，填写《江苏省残疾儿童基本康复服务登记表》，并在中国残联残疾儿童康复救助系统、江苏省“智慧残联”残疾儿童康复机构运行系统和南京市阳光惠民系统中录入相关服务数据。</w:t>
      </w:r>
    </w:p>
    <w:p w14:paraId="324D9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六、服务管理</w:t>
      </w:r>
    </w:p>
    <w:p w14:paraId="542F60C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按照“谁购买（认定），谁管理”的原则，区残联对服务机构内康复服务实施全流程监管，将所有残疾儿童基本康复服务时间、内容、效果</w:t>
      </w:r>
      <w:r>
        <w:rPr>
          <w:rFonts w:hint="eastAsia" w:ascii="仿宋" w:hAnsi="仿宋" w:eastAsia="仿宋" w:cs="仿宋"/>
          <w:sz w:val="24"/>
          <w:szCs w:val="24"/>
          <w:lang w:eastAsia="zh-CN"/>
        </w:rPr>
        <w:t>纳入</w:t>
      </w:r>
      <w:r>
        <w:rPr>
          <w:rFonts w:hint="eastAsia" w:ascii="仿宋" w:hAnsi="仿宋" w:eastAsia="仿宋" w:cs="仿宋"/>
          <w:sz w:val="24"/>
          <w:szCs w:val="24"/>
        </w:rPr>
        <w:t>对服务机构的年度评估中，不区分本地和异地转入的残疾儿童。</w:t>
      </w:r>
    </w:p>
    <w:p w14:paraId="3535C3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服务机构性质、法人代表、执业地点、执业范围、业务项目发生变动，应向所辖区残联报备，并在变动之日起1个月内接受重新评估。</w:t>
      </w:r>
    </w:p>
    <w:p w14:paraId="0ABBE8F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 xml:space="preserve"> 服务机构年度评估不合格或存在违法行为的，依据《江苏省残疾儿童基本康复服务管理暂行办法》和《南京市残疾儿童基本康复服务管理实施细则》相关规定，给予相应处罚。</w:t>
      </w:r>
    </w:p>
    <w:p w14:paraId="20060D77">
      <w:pPr>
        <w:numPr>
          <w:ilvl w:val="0"/>
          <w:numId w:val="3"/>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残疾儿童定点康复机构（服务场所）要求</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单个服务场所要求</w:t>
      </w:r>
      <w:r>
        <w:rPr>
          <w:rFonts w:hint="eastAsia" w:ascii="仿宋" w:hAnsi="仿宋" w:eastAsia="仿宋" w:cs="仿宋"/>
          <w:b/>
          <w:color w:val="auto"/>
          <w:sz w:val="24"/>
          <w:szCs w:val="24"/>
          <w:lang w:eastAsia="zh-CN"/>
        </w:rPr>
        <w:t>）</w:t>
      </w:r>
    </w:p>
    <w:p w14:paraId="20D8021B">
      <w:pPr>
        <w:numPr>
          <w:ilvl w:val="0"/>
          <w:numId w:val="0"/>
        </w:numPr>
        <w:spacing w:line="360" w:lineRule="auto"/>
        <w:rPr>
          <w:rFonts w:hint="eastAsia" w:ascii="仿宋" w:hAnsi="仿宋" w:eastAsia="仿宋" w:cs="仿宋"/>
          <w:b/>
          <w:i w:val="0"/>
          <w:iCs w:val="0"/>
          <w:color w:val="auto"/>
          <w:sz w:val="24"/>
          <w:szCs w:val="24"/>
          <w:lang w:val="en-US" w:eastAsia="zh-CN"/>
        </w:rPr>
      </w:pPr>
      <w:r>
        <w:rPr>
          <w:rFonts w:hint="eastAsia" w:ascii="仿宋" w:hAnsi="仿宋" w:eastAsia="仿宋" w:cs="仿宋"/>
          <w:b/>
          <w:i w:val="0"/>
          <w:iCs w:val="0"/>
          <w:color w:val="auto"/>
          <w:sz w:val="24"/>
          <w:szCs w:val="24"/>
          <w:lang w:val="en-US" w:eastAsia="zh-CN"/>
        </w:rPr>
        <w:t xml:space="preserve"> 分包一：</w:t>
      </w:r>
      <w:r>
        <w:rPr>
          <w:rFonts w:hint="eastAsia" w:ascii="仿宋" w:hAnsi="仿宋" w:eastAsia="仿宋" w:cs="仿宋"/>
          <w:b/>
        </w:rPr>
        <w:t>视力康复服务机构</w:t>
      </w:r>
    </w:p>
    <w:tbl>
      <w:tblPr>
        <w:tblStyle w:val="40"/>
        <w:tblW w:w="7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82"/>
        <w:gridCol w:w="6217"/>
      </w:tblGrid>
      <w:tr w14:paraId="32C2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gridSpan w:val="2"/>
            <w:tcBorders>
              <w:top w:val="single" w:color="auto" w:sz="4" w:space="0"/>
              <w:left w:val="single" w:color="auto" w:sz="4" w:space="0"/>
              <w:bottom w:val="single" w:color="auto" w:sz="4" w:space="0"/>
              <w:right w:val="single" w:color="auto" w:sz="4" w:space="0"/>
            </w:tcBorders>
            <w:noWrap w:val="0"/>
            <w:vAlign w:val="center"/>
          </w:tcPr>
          <w:p w14:paraId="0F1706A9">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b/>
                <w:szCs w:val="21"/>
              </w:rPr>
            </w:pPr>
            <w:r>
              <w:rPr>
                <w:rFonts w:hint="eastAsia" w:ascii="仿宋" w:hAnsi="仿宋" w:eastAsia="仿宋" w:cs="仿宋"/>
                <w:b/>
              </w:rPr>
              <w:t>项  目</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FE718E5">
            <w:pPr>
              <w:keepNext w:val="0"/>
              <w:keepLines w:val="0"/>
              <w:pageBreakBefore w:val="0"/>
              <w:kinsoku/>
              <w:wordWrap/>
              <w:overflowPunct/>
              <w:topLinePunct w:val="0"/>
              <w:autoSpaceDE/>
              <w:autoSpaceDN/>
              <w:bidi w:val="0"/>
              <w:adjustRightInd/>
              <w:snapToGrid/>
              <w:spacing w:line="305" w:lineRule="auto"/>
              <w:ind w:firstLine="1687" w:firstLineChars="800"/>
              <w:jc w:val="both"/>
              <w:textAlignment w:val="auto"/>
              <w:rPr>
                <w:rFonts w:hint="eastAsia" w:ascii="仿宋" w:hAnsi="仿宋" w:eastAsia="仿宋" w:cs="仿宋"/>
                <w:b/>
                <w:szCs w:val="21"/>
              </w:rPr>
            </w:pPr>
            <w:r>
              <w:rPr>
                <w:rFonts w:hint="eastAsia" w:ascii="仿宋" w:hAnsi="仿宋" w:eastAsia="仿宋" w:cs="仿宋"/>
                <w:b/>
              </w:rPr>
              <w:t>视力康复服务机构要求</w:t>
            </w:r>
          </w:p>
        </w:tc>
      </w:tr>
      <w:tr w14:paraId="2E1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130AC0D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w:t>
            </w:r>
          </w:p>
          <w:p w14:paraId="1F562E5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建设标准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7990A7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1.1建设要求</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2538618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机构规划布局、建设规模和建设面积执行《残疾人康复机构建设标准》</w:t>
            </w:r>
            <w:r>
              <w:rPr>
                <w:rFonts w:hint="eastAsia" w:ascii="仿宋" w:hAnsi="仿宋" w:eastAsia="仿宋" w:cs="仿宋"/>
                <w:highlight w:val="none"/>
              </w:rPr>
              <w:t>（建标165－2013）</w:t>
            </w:r>
            <w:r>
              <w:rPr>
                <w:rFonts w:hint="eastAsia" w:ascii="仿宋" w:hAnsi="仿宋" w:eastAsia="仿宋" w:cs="仿宋"/>
              </w:rPr>
              <w:t>中关于“选址与规划布局”和“建设规模与建筑面积指标”的相关规定。</w:t>
            </w:r>
          </w:p>
        </w:tc>
      </w:tr>
      <w:tr w14:paraId="4296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6778AB8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F8A202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1.2环境要求</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6A5966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应有与收训规模相适应的独立、安全、相对稳定的房屋，应设置在周围50米以内无污染、无噪音影响的区域内。不应与易爆、易燃等危化品生产、储存、装卸场所相邻；应远离高压线、垃圾站及大型机动车停车场。</w:t>
            </w:r>
          </w:p>
        </w:tc>
      </w:tr>
      <w:tr w14:paraId="1853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5096BC2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w:t>
            </w:r>
          </w:p>
          <w:p w14:paraId="075D4377">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内部管理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947E16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2.1制度管理</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0265A3A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具备岗位职责、业务管理、人力资源管理、财务管理、突发事件应急预案、信息管理、服务项目及收费标准等信息公示，有年度自查的总结报告。</w:t>
            </w:r>
          </w:p>
        </w:tc>
      </w:tr>
      <w:tr w14:paraId="13F7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4DC5DB2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1825BF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lang w:val="en-US" w:eastAsia="zh-CN"/>
              </w:rPr>
            </w:pPr>
            <w:r>
              <w:rPr>
                <w:rFonts w:hint="eastAsia" w:ascii="仿宋" w:hAnsi="仿宋" w:eastAsia="仿宋" w:cs="仿宋"/>
              </w:rPr>
              <w:t>2.2</w:t>
            </w:r>
            <w:r>
              <w:rPr>
                <w:rFonts w:hint="eastAsia" w:ascii="仿宋" w:hAnsi="仿宋" w:eastAsia="仿宋" w:cs="仿宋"/>
                <w:lang w:val="en-US" w:eastAsia="zh-CN"/>
              </w:rPr>
              <w:t>绩效审计</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4C32BC1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接受业务主管部门财务检查和年度审计，接受</w:t>
            </w:r>
            <w:r>
              <w:rPr>
                <w:rFonts w:hint="eastAsia" w:ascii="仿宋" w:hAnsi="仿宋" w:eastAsia="仿宋" w:cs="仿宋"/>
                <w:lang w:eastAsia="zh-CN"/>
              </w:rPr>
              <w:t>区</w:t>
            </w:r>
            <w:r>
              <w:rPr>
                <w:rFonts w:hint="eastAsia" w:ascii="仿宋" w:hAnsi="仿宋" w:eastAsia="仿宋" w:cs="仿宋"/>
              </w:rPr>
              <w:t>残联会同财政部门组织年度康复服务项目绩效考核。</w:t>
            </w:r>
          </w:p>
        </w:tc>
      </w:tr>
      <w:tr w14:paraId="3339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27426CF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w:t>
            </w:r>
          </w:p>
          <w:p w14:paraId="4EBD254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设施设备</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14:paraId="55D0FE8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3.1训练场地</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D26BAC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应</w:t>
            </w:r>
            <w:r>
              <w:rPr>
                <w:rFonts w:hint="eastAsia" w:ascii="仿宋" w:hAnsi="仿宋" w:eastAsia="仿宋" w:cs="仿宋"/>
                <w:b w:val="0"/>
                <w:bCs w:val="0"/>
              </w:rPr>
              <w:t>设立低视力诊室、助视器适配区、视功能训练室、日常生活适应能力训练室、定向行走训练室、集体教室等业务用房。业务用房面积不少于建筑总面积的60%。</w:t>
            </w:r>
          </w:p>
        </w:tc>
      </w:tr>
      <w:tr w14:paraId="3BA5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57812DC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0B1E9FF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right w:val="single" w:color="auto" w:sz="4" w:space="0"/>
            </w:tcBorders>
            <w:noWrap w:val="0"/>
            <w:vAlign w:val="center"/>
          </w:tcPr>
          <w:p w14:paraId="3BECE17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具有诊断评估功能的视力康复机构应</w:t>
            </w:r>
            <w:r>
              <w:rPr>
                <w:rFonts w:hint="eastAsia" w:ascii="仿宋" w:hAnsi="仿宋" w:eastAsia="仿宋" w:cs="仿宋"/>
              </w:rPr>
              <w:t>设置独立的低视力诊室，不少于15平方米</w:t>
            </w:r>
            <w:r>
              <w:rPr>
                <w:rFonts w:hint="eastAsia" w:ascii="仿宋" w:hAnsi="仿宋" w:eastAsia="仿宋" w:cs="仿宋"/>
                <w:lang w:eastAsia="zh-CN"/>
              </w:rPr>
              <w:t>。设置独立的助视器适配区，面积不少于15平方米。</w:t>
            </w:r>
          </w:p>
        </w:tc>
      </w:tr>
      <w:tr w14:paraId="2F59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727DC17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405380D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A6647F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视功能训练室、社会适应能力训练室、定向行走训练室可以综合设置，有条件的机构可以分开设置。</w:t>
            </w:r>
          </w:p>
        </w:tc>
      </w:tr>
      <w:tr w14:paraId="7E4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55DFE01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14:paraId="1814375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3.2训练设备</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4C996D1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val="0"/>
                <w:bCs w:val="0"/>
                <w:i w:val="0"/>
                <w:iCs w:val="0"/>
                <w:szCs w:val="21"/>
                <w:lang w:val="en-US" w:eastAsia="zh-CN"/>
              </w:rPr>
            </w:pPr>
            <w:r>
              <w:rPr>
                <w:rFonts w:hint="eastAsia" w:ascii="仿宋" w:hAnsi="仿宋" w:eastAsia="仿宋" w:cs="仿宋"/>
                <w:b w:val="0"/>
                <w:bCs w:val="0"/>
                <w:i w:val="0"/>
                <w:iCs w:val="0"/>
              </w:rPr>
              <w:t>具有诊断评估功能的视力康复机构应配备视力检查设备与器材，包括视力表、眼科诊疗常用设备、助视器配镜、普通验光设备等。</w:t>
            </w:r>
          </w:p>
        </w:tc>
      </w:tr>
      <w:tr w14:paraId="1E3B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69404AB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106BFD3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790986A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配备视力康复训练设备与器材，包括光学、电子类助视器、其它训练器械和辅助设备等。</w:t>
            </w:r>
          </w:p>
        </w:tc>
      </w:tr>
      <w:tr w14:paraId="7582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417E3D8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1B32CBA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665C5AF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配备定向行走辅助器材，包括感统训练器具、定向辅具、移动辅具等。</w:t>
            </w:r>
          </w:p>
        </w:tc>
      </w:tr>
      <w:tr w14:paraId="2FE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5507740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33BADF2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0A69F2E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配备弱视训练设备与器材，包括各类弱视训练仪器、后像光刷仪等。</w:t>
            </w:r>
          </w:p>
        </w:tc>
      </w:tr>
      <w:tr w14:paraId="4ADB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7D3D99A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176A961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681B157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配备双眼视力功能训练设备与器材，包括同视机等训练器材。</w:t>
            </w:r>
          </w:p>
        </w:tc>
      </w:tr>
      <w:tr w14:paraId="6EB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34034FF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5363AE3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6B6BA79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配备家长培训所需的教学设备。</w:t>
            </w:r>
          </w:p>
        </w:tc>
      </w:tr>
      <w:tr w14:paraId="0A3C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2C9D3FC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0DB79DB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25805C7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按人均4件的标准配备符合儿童训练特点的各类玩具、图书。</w:t>
            </w:r>
          </w:p>
        </w:tc>
      </w:tr>
      <w:tr w14:paraId="261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5FDFB70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w:t>
            </w:r>
          </w:p>
          <w:p w14:paraId="3A4F761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机构管理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348BA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4.1人员配备</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28A956C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1.至少配备1名取得国家执业医师资格的眼科临床医生（诊断评估功能的机构）；</w:t>
            </w:r>
          </w:p>
          <w:p w14:paraId="1DDBDB9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2.至少配备1名视力康复专业技术人员，每两年参加1次符合相关专业规范要求的业务学习培训；</w:t>
            </w:r>
          </w:p>
          <w:p w14:paraId="5653457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3.至少配备1名光学验配专业技术人员，每两年参加1次符合相关专业规范要求的业务学习培训。</w:t>
            </w:r>
          </w:p>
        </w:tc>
      </w:tr>
      <w:tr w14:paraId="0737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7CD3A21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ABDC3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4.2人员组成</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7C36E78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w:t>
            </w:r>
            <w:r>
              <w:rPr>
                <w:rFonts w:hint="eastAsia" w:ascii="仿宋" w:hAnsi="仿宋" w:eastAsia="仿宋" w:cs="仿宋"/>
                <w:lang w:val="en-US" w:eastAsia="zh-CN"/>
              </w:rPr>
              <w:t>眼科医生（医疗康复机构）</w:t>
            </w:r>
            <w:r>
              <w:rPr>
                <w:rFonts w:hint="eastAsia" w:ascii="仿宋" w:hAnsi="仿宋" w:eastAsia="仿宋" w:cs="仿宋"/>
              </w:rPr>
              <w:t>、康复技术人员、光学验配技术人员不低于机构职工总数的70%。</w:t>
            </w:r>
          </w:p>
          <w:p w14:paraId="3A7AFD7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2.专业技术人员与残疾儿童比例不低于1:10。</w:t>
            </w:r>
          </w:p>
          <w:p w14:paraId="79ECE2A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3.中级以上专业技术职称人数占专业技术人员总数20%以上。</w:t>
            </w:r>
          </w:p>
          <w:p w14:paraId="1173239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4.从事康复工作3年以上的专业技术人员占专业技术人员总数的40%。以上。</w:t>
            </w:r>
          </w:p>
        </w:tc>
      </w:tr>
      <w:tr w14:paraId="397B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0B3AD7A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BA066C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4.3资历要求</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781487F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1.机构业务主管应具有</w:t>
            </w:r>
            <w:r>
              <w:rPr>
                <w:rFonts w:hint="eastAsia" w:ascii="仿宋" w:hAnsi="仿宋" w:eastAsia="仿宋" w:cs="仿宋"/>
                <w:lang w:val="en-US" w:eastAsia="zh-CN"/>
              </w:rPr>
              <w:t>眼科</w:t>
            </w:r>
            <w:r>
              <w:rPr>
                <w:rFonts w:hint="eastAsia" w:ascii="仿宋" w:hAnsi="仿宋" w:eastAsia="仿宋" w:cs="仿宋"/>
              </w:rPr>
              <w:t>专业大专以上学历，两年以上视力康复工作经验。</w:t>
            </w:r>
          </w:p>
          <w:p w14:paraId="2A035CB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2.每年不少于 30%康复专业技术人员参加市级以上组织的规范化培训不少于 21个学时。</w:t>
            </w:r>
          </w:p>
          <w:p w14:paraId="677B985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3.机构所有工作人员根据岗位要求取得健康证明。</w:t>
            </w:r>
          </w:p>
        </w:tc>
      </w:tr>
      <w:tr w14:paraId="143F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3534E3F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w:t>
            </w:r>
          </w:p>
          <w:p w14:paraId="11B1202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业务功能</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FC0AD1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5.1部门设置</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17A748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应设置眼科临床（</w:t>
            </w:r>
            <w:r>
              <w:rPr>
                <w:rFonts w:hint="eastAsia" w:ascii="仿宋" w:hAnsi="仿宋" w:eastAsia="仿宋" w:cs="仿宋"/>
                <w:lang w:val="en-US" w:eastAsia="zh-CN"/>
              </w:rPr>
              <w:t>医疗康复机构</w:t>
            </w:r>
            <w:r>
              <w:rPr>
                <w:rFonts w:hint="eastAsia" w:ascii="仿宋" w:hAnsi="仿宋" w:eastAsia="仿宋" w:cs="仿宋"/>
              </w:rPr>
              <w:t>）、康复训练、教育培训、后勤保障、行政管理等部门。</w:t>
            </w:r>
          </w:p>
        </w:tc>
      </w:tr>
      <w:tr w14:paraId="6464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0ECCFA5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14:paraId="5EEB509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5.2服务能力</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5EDDA4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具有同时收训20名以上视力残疾儿童的能力。</w:t>
            </w:r>
          </w:p>
          <w:p w14:paraId="1D3DCDA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lang w:val="en-US" w:eastAsia="zh-CN"/>
              </w:rPr>
              <w:t>2.</w:t>
            </w:r>
            <w:r>
              <w:rPr>
                <w:rFonts w:hint="eastAsia" w:ascii="仿宋" w:hAnsi="仿宋" w:eastAsia="仿宋" w:cs="仿宋"/>
              </w:rPr>
              <w:t>残联系统从事残疾儿童康复服务的助残机构;教育系统建有学前融合教育资源中心的学前教育机构和特殊教育学校;民政系统开设有儿童康复专科或特教办学点的儿童福利机构;卫生健康系统</w:t>
            </w:r>
            <w:r>
              <w:rPr>
                <w:rFonts w:hint="eastAsia" w:ascii="仿宋" w:hAnsi="仿宋" w:eastAsia="仿宋" w:cs="仿宋"/>
                <w:lang w:eastAsia="zh-CN"/>
              </w:rPr>
              <w:t>区级</w:t>
            </w:r>
            <w:r>
              <w:rPr>
                <w:rFonts w:hint="eastAsia" w:ascii="仿宋" w:hAnsi="仿宋" w:eastAsia="仿宋" w:cs="仿宋"/>
              </w:rPr>
              <w:t>以上妇幼保健所等公益一类事业单位，不设人数下限。</w:t>
            </w:r>
          </w:p>
        </w:tc>
      </w:tr>
      <w:tr w14:paraId="7490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2915EB1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754BD18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3F8B6F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1.感知觉训练：内容包括听觉、触觉、嗅觉和味觉训练。</w:t>
            </w:r>
          </w:p>
          <w:p w14:paraId="0616A59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2.视功能训练：内容包括视觉注视、视觉追踪、视觉</w:t>
            </w:r>
            <w:r>
              <w:rPr>
                <w:rFonts w:hint="eastAsia" w:ascii="仿宋" w:hAnsi="仿宋" w:eastAsia="仿宋" w:cs="仿宋"/>
                <w:lang w:eastAsia="zh-CN"/>
              </w:rPr>
              <w:t>辨认</w:t>
            </w:r>
            <w:r>
              <w:rPr>
                <w:rFonts w:hint="eastAsia" w:ascii="仿宋" w:hAnsi="仿宋" w:eastAsia="仿宋" w:cs="仿宋"/>
              </w:rPr>
              <w:t>、视觉搜寻、视觉记忆训练。</w:t>
            </w:r>
          </w:p>
          <w:p w14:paraId="3CBD1FB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3.定向技能及行走训练：内容包括定向技能、行走技巧、导盲随行训练。</w:t>
            </w:r>
          </w:p>
          <w:p w14:paraId="39F75BF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4.生活适应能力训练：内容包括生活自理和社会适应能力训练。</w:t>
            </w:r>
          </w:p>
        </w:tc>
      </w:tr>
      <w:tr w14:paraId="656B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49C378C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7353DF2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3F81EC0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 xml:space="preserve">低视力儿童康复服务以非全日制形式进行，年度机构内基本康复服务时间不少于9个月，每月不少于8天(每周2天)，每天1次不少于1小时。 </w:t>
            </w:r>
          </w:p>
        </w:tc>
      </w:tr>
      <w:tr w14:paraId="3288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395823D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5F52EAB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4FC7B3D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社会融合活动每季度1次，每次不少于1小时。</w:t>
            </w:r>
          </w:p>
        </w:tc>
      </w:tr>
      <w:tr w14:paraId="040A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42FE337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14:paraId="51F7896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217" w:type="dxa"/>
            <w:tcBorders>
              <w:top w:val="single" w:color="auto" w:sz="4" w:space="0"/>
              <w:left w:val="single" w:color="auto" w:sz="4" w:space="0"/>
              <w:bottom w:val="single" w:color="auto" w:sz="4" w:space="0"/>
              <w:right w:val="single" w:color="auto" w:sz="4" w:space="0"/>
            </w:tcBorders>
            <w:noWrap w:val="0"/>
            <w:vAlign w:val="center"/>
          </w:tcPr>
          <w:p w14:paraId="327FB52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年度康复服务周期内，完成初期、中期和末期评估，出具</w:t>
            </w:r>
            <w:r>
              <w:rPr>
                <w:rFonts w:hint="eastAsia" w:ascii="仿宋" w:hAnsi="仿宋" w:eastAsia="仿宋" w:cs="仿宋"/>
                <w:lang w:eastAsia="zh-CN"/>
              </w:rPr>
              <w:t>评估</w:t>
            </w:r>
            <w:r>
              <w:rPr>
                <w:rFonts w:hint="eastAsia" w:ascii="仿宋" w:hAnsi="仿宋" w:eastAsia="仿宋" w:cs="仿宋"/>
              </w:rPr>
              <w:t>表。</w:t>
            </w:r>
          </w:p>
        </w:tc>
      </w:tr>
      <w:tr w14:paraId="067D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53A46FE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57A8ED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5.3工作台账</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1AB775E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1.康复服务档案齐全，包括残疾儿童康复服务登记表、初始状态评估表、康复训练计划、康复训练日志、阶段性评估表、训练出勤表。</w:t>
            </w:r>
          </w:p>
          <w:p w14:paraId="35C8D79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2.《残疾儿童康复救助平台》数据录入及时、准确、完备。</w:t>
            </w:r>
          </w:p>
        </w:tc>
      </w:tr>
      <w:tr w14:paraId="66CD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715FB42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6BC78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5.4家长培训</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0390E81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1.定期向家长提供每年不少于4次的相关培训，并有相关书面和视频记录；</w:t>
            </w:r>
          </w:p>
          <w:p w14:paraId="2BABD5D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2.家长了解在社区和家庭环境中进行康复训练的目标；</w:t>
            </w:r>
          </w:p>
          <w:p w14:paraId="2C04207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3.家长掌握基本康复训练的流程和组织实施方法。</w:t>
            </w:r>
          </w:p>
        </w:tc>
      </w:tr>
      <w:tr w14:paraId="211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63EB978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48B112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5.5业务指导</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509DABB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1.开展儿童转介或跟踪服务；</w:t>
            </w:r>
          </w:p>
          <w:p w14:paraId="1F7AD40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2.面向社区提供家庭康复延伸的培训；</w:t>
            </w:r>
          </w:p>
          <w:p w14:paraId="48F8174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3.根据服务对象特点提供指导服务、派发相关宣传资料；</w:t>
            </w:r>
          </w:p>
          <w:p w14:paraId="2FE4194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4.结合“爱眼日”“全国助残日”等专题日，参与公益活动，每年不少于2次。</w:t>
            </w:r>
          </w:p>
          <w:p w14:paraId="470C7AC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5.对于康复效果明显，符合入园、入学条件的儿童，及时动员家长办理入园、入学手续，并跟踪进行康复服务指导。</w:t>
            </w:r>
          </w:p>
        </w:tc>
      </w:tr>
      <w:tr w14:paraId="25F1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0D7732C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73519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5.6质量控制</w:t>
            </w:r>
          </w:p>
        </w:tc>
        <w:tc>
          <w:tcPr>
            <w:tcW w:w="6217" w:type="dxa"/>
            <w:tcBorders>
              <w:top w:val="single" w:color="auto" w:sz="4" w:space="0"/>
              <w:left w:val="single" w:color="auto" w:sz="4" w:space="0"/>
              <w:bottom w:val="single" w:color="auto" w:sz="4" w:space="0"/>
              <w:right w:val="single" w:color="auto" w:sz="4" w:space="0"/>
            </w:tcBorders>
            <w:noWrap w:val="0"/>
            <w:vAlign w:val="center"/>
          </w:tcPr>
          <w:p w14:paraId="6A9F6D8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1.有需求的视力残疾儿童康复评估、康复服务建档率100%；</w:t>
            </w:r>
          </w:p>
          <w:p w14:paraId="443702E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.家长满意度达90%以上；</w:t>
            </w:r>
          </w:p>
          <w:p w14:paraId="5F62F60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3</w:t>
            </w:r>
            <w:r>
              <w:rPr>
                <w:rFonts w:hint="eastAsia" w:ascii="仿宋" w:hAnsi="仿宋" w:eastAsia="仿宋" w:cs="仿宋"/>
              </w:rPr>
              <w:t>.组织视力残疾儿童</w:t>
            </w:r>
            <w:r>
              <w:rPr>
                <w:rFonts w:hint="eastAsia" w:ascii="仿宋" w:hAnsi="仿宋" w:eastAsia="仿宋" w:cs="仿宋"/>
                <w:lang w:val="en-US" w:eastAsia="zh-CN"/>
              </w:rPr>
              <w:t>参</w:t>
            </w:r>
            <w:r>
              <w:rPr>
                <w:rFonts w:hint="eastAsia" w:ascii="仿宋" w:hAnsi="仿宋" w:eastAsia="仿宋" w:cs="仿宋"/>
              </w:rPr>
              <w:t>加社会融合活动每年不少于4次。</w:t>
            </w:r>
          </w:p>
        </w:tc>
      </w:tr>
    </w:tbl>
    <w:p w14:paraId="1D2D993E">
      <w:pPr>
        <w:spacing w:line="360" w:lineRule="auto"/>
        <w:rPr>
          <w:rFonts w:hint="eastAsia" w:ascii="仿宋" w:hAnsi="仿宋" w:eastAsia="仿宋" w:cs="仿宋"/>
          <w:szCs w:val="21"/>
        </w:rPr>
      </w:pPr>
    </w:p>
    <w:p w14:paraId="337E9988">
      <w:pPr>
        <w:spacing w:line="360" w:lineRule="auto"/>
        <w:rPr>
          <w:rFonts w:hint="eastAsia" w:ascii="仿宋" w:hAnsi="仿宋" w:eastAsia="仿宋" w:cs="仿宋"/>
        </w:rPr>
      </w:pPr>
      <w:r>
        <w:rPr>
          <w:rFonts w:hint="eastAsia" w:ascii="仿宋" w:hAnsi="仿宋" w:eastAsia="仿宋" w:cs="仿宋"/>
          <w:b/>
          <w:i w:val="0"/>
          <w:iCs w:val="0"/>
          <w:color w:val="auto"/>
          <w:sz w:val="24"/>
          <w:szCs w:val="24"/>
          <w:lang w:val="en-US" w:eastAsia="zh-CN"/>
        </w:rPr>
        <w:t>分包二：</w:t>
      </w:r>
      <w:r>
        <w:rPr>
          <w:rFonts w:hint="eastAsia" w:ascii="仿宋" w:hAnsi="仿宋" w:eastAsia="仿宋" w:cs="仿宋"/>
          <w:b/>
        </w:rPr>
        <w:t>听力语言康复服务机构</w:t>
      </w:r>
    </w:p>
    <w:tbl>
      <w:tblPr>
        <w:tblStyle w:val="40"/>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35"/>
        <w:gridCol w:w="6131"/>
      </w:tblGrid>
      <w:tr w14:paraId="0420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6" w:type="dxa"/>
            <w:gridSpan w:val="2"/>
            <w:tcBorders>
              <w:top w:val="single" w:color="auto" w:sz="4" w:space="0"/>
              <w:left w:val="single" w:color="auto" w:sz="4" w:space="0"/>
              <w:bottom w:val="single" w:color="auto" w:sz="4" w:space="0"/>
              <w:right w:val="single" w:color="auto" w:sz="4" w:space="0"/>
            </w:tcBorders>
            <w:noWrap w:val="0"/>
            <w:vAlign w:val="top"/>
          </w:tcPr>
          <w:p w14:paraId="5187B8F7">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b/>
                <w:szCs w:val="21"/>
              </w:rPr>
            </w:pPr>
            <w:r>
              <w:rPr>
                <w:rFonts w:hint="eastAsia" w:ascii="仿宋" w:hAnsi="仿宋" w:eastAsia="仿宋" w:cs="仿宋"/>
                <w:b/>
              </w:rPr>
              <w:t>项  目</w:t>
            </w:r>
          </w:p>
        </w:tc>
        <w:tc>
          <w:tcPr>
            <w:tcW w:w="6131" w:type="dxa"/>
            <w:tcBorders>
              <w:top w:val="single" w:color="auto" w:sz="4" w:space="0"/>
              <w:left w:val="single" w:color="auto" w:sz="4" w:space="0"/>
              <w:bottom w:val="single" w:color="auto" w:sz="4" w:space="0"/>
              <w:right w:val="single" w:color="auto" w:sz="4" w:space="0"/>
            </w:tcBorders>
            <w:noWrap w:val="0"/>
            <w:vAlign w:val="top"/>
          </w:tcPr>
          <w:p w14:paraId="72F95A3C">
            <w:pPr>
              <w:keepNext w:val="0"/>
              <w:keepLines w:val="0"/>
              <w:pageBreakBefore w:val="0"/>
              <w:kinsoku/>
              <w:wordWrap/>
              <w:overflowPunct/>
              <w:topLinePunct w:val="0"/>
              <w:autoSpaceDE/>
              <w:autoSpaceDN/>
              <w:bidi w:val="0"/>
              <w:adjustRightInd/>
              <w:snapToGrid/>
              <w:spacing w:line="305" w:lineRule="auto"/>
              <w:ind w:firstLine="1687" w:firstLineChars="800"/>
              <w:jc w:val="both"/>
              <w:textAlignment w:val="auto"/>
              <w:rPr>
                <w:rFonts w:hint="eastAsia" w:ascii="仿宋" w:hAnsi="仿宋" w:eastAsia="仿宋" w:cs="仿宋"/>
                <w:b/>
                <w:szCs w:val="21"/>
              </w:rPr>
            </w:pPr>
            <w:r>
              <w:rPr>
                <w:rFonts w:hint="eastAsia" w:ascii="仿宋" w:hAnsi="仿宋" w:eastAsia="仿宋" w:cs="仿宋"/>
                <w:b/>
              </w:rPr>
              <w:t>听力语言康复服务机构要求</w:t>
            </w:r>
          </w:p>
        </w:tc>
      </w:tr>
      <w:tr w14:paraId="6D1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5CFD9F69">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w:t>
            </w:r>
          </w:p>
          <w:p w14:paraId="3F79C2AB">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建设标准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8F511F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1.1建设要求</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44501C1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机构规划布局、建设规模和建设面积执行《残疾人康复机构建设标准》（建标165－2013）中关于“选址与规划布局”和“建设规模与建筑面积指标”的相关规定。</w:t>
            </w:r>
          </w:p>
        </w:tc>
      </w:tr>
      <w:tr w14:paraId="040D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E90793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68AB3D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1.2环境要求</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4BDBE7DA">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应有与收训规模相适应的独立、安全、相对稳定的房屋，并设置在安全区域内，周围50米以内无污染、噪音影响。平房有独立院落，多层建筑宜设置在三层以下。不应与易爆、易燃等危化品生产、储存、装卸场所相邻，应远离高压线、垃圾站及大型机动车停车场。</w:t>
            </w:r>
          </w:p>
          <w:p w14:paraId="127D70A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2.生活用房应设在建筑的底层，设有独立出入口；有独立的室外活动场地。生活用房和室外场地与其他建筑部分采取隔离措施，配备防止物体坠落设施，光照充足，通风良好。</w:t>
            </w:r>
          </w:p>
        </w:tc>
      </w:tr>
      <w:tr w14:paraId="4365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40CE15EB">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2</w:t>
            </w:r>
          </w:p>
          <w:p w14:paraId="223C186F">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内部管理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3E6E48">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2.1制度管理</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3F6E69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具备岗位职责、业务管理、人力资源管理、财务管理、突发事件应急预案、信息管理、服务项目及收费标准等信息公示，有年度自查的总结报告。</w:t>
            </w:r>
          </w:p>
        </w:tc>
      </w:tr>
      <w:tr w14:paraId="15AE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7D7F32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D2685D7">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lang w:val="en-US" w:eastAsia="zh-CN"/>
              </w:rPr>
            </w:pPr>
            <w:r>
              <w:rPr>
                <w:rFonts w:hint="eastAsia" w:ascii="仿宋" w:hAnsi="仿宋" w:eastAsia="仿宋" w:cs="仿宋"/>
              </w:rPr>
              <w:t>2.2</w:t>
            </w:r>
            <w:r>
              <w:rPr>
                <w:rFonts w:hint="eastAsia" w:ascii="仿宋" w:hAnsi="仿宋" w:eastAsia="仿宋" w:cs="仿宋"/>
                <w:lang w:val="en-US" w:eastAsia="zh-CN"/>
              </w:rPr>
              <w:t>绩效审计</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5B6BC3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接受业务主管部门财务检查和年度审计，经</w:t>
            </w:r>
            <w:r>
              <w:rPr>
                <w:rFonts w:hint="eastAsia" w:ascii="仿宋" w:hAnsi="仿宋" w:eastAsia="仿宋" w:cs="仿宋"/>
                <w:highlight w:val="none"/>
                <w:lang w:val="en-US" w:eastAsia="zh-CN"/>
              </w:rPr>
              <w:t>区</w:t>
            </w:r>
            <w:r>
              <w:rPr>
                <w:rFonts w:hint="eastAsia" w:ascii="仿宋" w:hAnsi="仿宋" w:eastAsia="仿宋" w:cs="仿宋"/>
                <w:highlight w:val="none"/>
              </w:rPr>
              <w:t>级</w:t>
            </w:r>
            <w:r>
              <w:rPr>
                <w:rFonts w:hint="eastAsia" w:ascii="仿宋" w:hAnsi="仿宋" w:eastAsia="仿宋" w:cs="仿宋"/>
              </w:rPr>
              <w:t>以上残联会同财政部门年度康复服务项目绩效考核合格以上。</w:t>
            </w:r>
          </w:p>
        </w:tc>
      </w:tr>
      <w:tr w14:paraId="2734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19980374">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w:t>
            </w:r>
          </w:p>
          <w:p w14:paraId="18A8CD2C">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设施设备</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155BF131">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3.1训练场地</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15C4231F">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应设置</w:t>
            </w:r>
            <w:r>
              <w:rPr>
                <w:rFonts w:hint="eastAsia" w:ascii="仿宋" w:hAnsi="仿宋" w:eastAsia="仿宋" w:cs="仿宋"/>
                <w:b w:val="0"/>
                <w:bCs w:val="0"/>
              </w:rPr>
              <w:t>测听室、个训教室、集体教室、活动室和辅助用房、室外活动场地</w:t>
            </w:r>
            <w:r>
              <w:rPr>
                <w:rFonts w:hint="eastAsia" w:ascii="仿宋" w:hAnsi="仿宋" w:eastAsia="仿宋" w:cs="仿宋"/>
              </w:rPr>
              <w:t>业务用房面积不少于建筑总面积的60%。</w:t>
            </w:r>
          </w:p>
        </w:tc>
      </w:tr>
      <w:tr w14:paraId="3FB7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00F337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A9C216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0376A42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设置至少1间测听室，单室面积不少于6平方米，符合GB/T16403关于测听室建设标准。</w:t>
            </w:r>
          </w:p>
        </w:tc>
      </w:tr>
      <w:tr w14:paraId="704B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023B96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31059E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479BB9A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个训教室数量与收训儿童人数按1:6的比例标准设置，每间面积应不小于8平方米，室内应</w:t>
            </w:r>
            <w:r>
              <w:rPr>
                <w:rFonts w:hint="eastAsia" w:ascii="仿宋" w:hAnsi="仿宋" w:eastAsia="仿宋" w:cs="仿宋"/>
                <w:lang w:val="en-US" w:eastAsia="zh-CN"/>
              </w:rPr>
              <w:t>做</w:t>
            </w:r>
            <w:r>
              <w:rPr>
                <w:rFonts w:hint="eastAsia" w:ascii="仿宋" w:hAnsi="仿宋" w:eastAsia="仿宋" w:cs="仿宋"/>
              </w:rPr>
              <w:t>吸音处理，本底噪音小于35dB(A)，混响时间小于0.4秒，配有听能检测保养包。</w:t>
            </w:r>
          </w:p>
        </w:tc>
      </w:tr>
      <w:tr w14:paraId="560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437093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230D2D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0B84BC0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集体教室参照《幼儿园工作规程》（2016年版）执行，同时满足听力言语康复训练需要，教室内有隔音降噪处理，信噪比大于等于15dB。</w:t>
            </w:r>
          </w:p>
        </w:tc>
      </w:tr>
      <w:tr w14:paraId="312F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15BFC3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D7FAE7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3B0EC14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设置有开展学前教育教学活动的用房，建筑面积按人均3平方米标准执行，本底噪声小于45dB(A)，混响系数不大于0.6ms。有地板覆盖物，设置有观察、精细动作练习、阅读和游戏区。</w:t>
            </w:r>
          </w:p>
        </w:tc>
      </w:tr>
      <w:tr w14:paraId="616F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28618C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B260EC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0B53EF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室外活动场地面积按人均2平方米标准设置，建有与听力（言语）残疾儿童相适应的运动器材和游戏娱乐设施，室外场地应独立，设有安全提示标志和安全设施，确保无安全隐患。</w:t>
            </w:r>
          </w:p>
        </w:tc>
      </w:tr>
      <w:tr w14:paraId="3052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181565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1C813660">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3.2训练设备</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605B4F4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bCs/>
                <w:i/>
                <w:iCs/>
                <w:szCs w:val="21"/>
              </w:rPr>
            </w:pPr>
            <w:r>
              <w:rPr>
                <w:rFonts w:hint="eastAsia" w:ascii="仿宋" w:hAnsi="仿宋" w:eastAsia="仿宋" w:cs="仿宋"/>
                <w:b w:val="0"/>
                <w:bCs w:val="0"/>
                <w:i w:val="0"/>
                <w:iCs w:val="0"/>
              </w:rPr>
              <w:t>康复评估设备：听觉言语康复评估工具、言语听觉反应评估工具、希－内学习能力测验、格雷费斯智力测验、言语功能评估仪；承接人工耳蜗植入手术后康复训练的机构配备人工耳蜗调试设备</w:t>
            </w:r>
            <w:r>
              <w:rPr>
                <w:rFonts w:hint="eastAsia" w:ascii="仿宋" w:hAnsi="仿宋" w:eastAsia="仿宋" w:cs="仿宋"/>
                <w:b w:val="0"/>
                <w:bCs w:val="0"/>
                <w:i w:val="0"/>
                <w:iCs w:val="0"/>
                <w:lang w:eastAsia="zh-CN"/>
              </w:rPr>
              <w:t>。</w:t>
            </w:r>
          </w:p>
        </w:tc>
      </w:tr>
      <w:tr w14:paraId="1072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EF7DA6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C048E5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3B3B092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听力学设备：听能保养包、助听器保养工具、听力计（带声场插入式耳机、压耳式耳机、骨导耳机）、视觉强化测听设备、听觉评估仪、测听玩具、电耳镜、简易声级计等。</w:t>
            </w:r>
          </w:p>
        </w:tc>
      </w:tr>
      <w:tr w14:paraId="63AD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039AFE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04A0AF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5860919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康复训练与教学设备：打击乐器、可发声玩教具、言语康复训练系统用品用具、听觉干预系统用品用具、电脑、电视机、投影仪、电子琴（钢琴）、幼儿园教材、听力（言语）残疾儿童康复训练系列教材、教育类图书、体育活动器材等。</w:t>
            </w:r>
          </w:p>
        </w:tc>
      </w:tr>
      <w:tr w14:paraId="5377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66A8A7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E26AB4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6C5028DE">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其它设备：按人均4件的标准配备符合儿童训练特点的各类玩具和图书。配备家长培训所需的教学设备。</w:t>
            </w:r>
          </w:p>
        </w:tc>
      </w:tr>
      <w:tr w14:paraId="7DF3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382961ED">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w:t>
            </w:r>
          </w:p>
          <w:p w14:paraId="4EA479E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机构管理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082C5B">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4.1人员配备</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1DA9AA13">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1.至少配备1名业务主管，根据需求可增设管理副职和其它管理人员；</w:t>
            </w:r>
          </w:p>
          <w:p w14:paraId="2E4ADF9B">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2.至少配备1名听能康复服务人员；</w:t>
            </w:r>
          </w:p>
          <w:p w14:paraId="01B38D3C">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3.配备相应的听觉口语康复教师、学前教育老师、特殊教育教师；</w:t>
            </w:r>
          </w:p>
          <w:p w14:paraId="19FDB44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4.配备相应的保育员、卫生保健老师、社区指导人员；</w:t>
            </w:r>
          </w:p>
          <w:p w14:paraId="6FC7D2BB">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5.配备后勤保障工作人员。</w:t>
            </w:r>
          </w:p>
        </w:tc>
      </w:tr>
      <w:tr w14:paraId="401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41047D4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036FB57">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4.2人员组成</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4B1A079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1.听力康复专业技术人员、教师不低于机构内职工总数的70%.</w:t>
            </w:r>
          </w:p>
          <w:p w14:paraId="1DAE4AAA">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2.听能康复服务人员与残疾儿童比例不低于1:50；</w:t>
            </w:r>
          </w:p>
          <w:p w14:paraId="364DC03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3.个训教师与残疾儿童比例不低于1:</w:t>
            </w:r>
            <w:r>
              <w:rPr>
                <w:rFonts w:hint="eastAsia" w:ascii="仿宋" w:hAnsi="仿宋" w:eastAsia="仿宋" w:cs="仿宋"/>
                <w:lang w:val="en-US" w:eastAsia="zh-CN"/>
              </w:rPr>
              <w:t>8</w:t>
            </w:r>
            <w:r>
              <w:rPr>
                <w:rFonts w:hint="eastAsia" w:ascii="仿宋" w:hAnsi="仿宋" w:eastAsia="仿宋" w:cs="仿宋"/>
              </w:rPr>
              <w:t>；</w:t>
            </w:r>
          </w:p>
          <w:p w14:paraId="3F9156EA">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4.集体课教师与残疾儿童比例不低于1:</w:t>
            </w:r>
            <w:r>
              <w:rPr>
                <w:rFonts w:hint="eastAsia" w:ascii="仿宋" w:hAnsi="仿宋" w:eastAsia="仿宋" w:cs="仿宋"/>
                <w:lang w:val="en-US" w:eastAsia="zh-CN"/>
              </w:rPr>
              <w:t>10</w:t>
            </w:r>
            <w:r>
              <w:rPr>
                <w:rFonts w:hint="eastAsia" w:ascii="仿宋" w:hAnsi="仿宋" w:eastAsia="仿宋" w:cs="仿宋"/>
              </w:rPr>
              <w:t>。</w:t>
            </w:r>
          </w:p>
        </w:tc>
      </w:tr>
      <w:tr w14:paraId="201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1AABEEB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3C4EA6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4.3资历要求</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6625E46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1.业务主管具有大专以上学历，3年以上听力语言康复工作经验。每年至少参加1次听力残疾康复服务管理培训或幼儿园管理培训。</w:t>
            </w:r>
          </w:p>
          <w:p w14:paraId="38882CFB">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2.听力康复教师、特教教师、学前教育教师应具备中专以上学历，取得相应的教师资格证。</w:t>
            </w:r>
          </w:p>
          <w:p w14:paraId="0D1C8E32">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3.听能康复服务人员须具备大专以上学历，接受过专业培训，取得助听器验配师国家职业资格。</w:t>
            </w:r>
          </w:p>
          <w:p w14:paraId="0AF88D17">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4.每年不少于 30%康复专业技术人员参加市级以上组织的规范化培训不少于 21个学时。</w:t>
            </w:r>
          </w:p>
          <w:p w14:paraId="6DCF620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5.卫生保健医生应具备中专以上学历，取得相关资质，并接受相关培训；</w:t>
            </w:r>
          </w:p>
          <w:p w14:paraId="60FEF72A">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6.保育员具备高中以上学历，并受过幼儿保育职业培训。</w:t>
            </w:r>
          </w:p>
          <w:p w14:paraId="0D3E10E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7.机构所有工作人员根据岗位要求取得健康证明。</w:t>
            </w:r>
          </w:p>
        </w:tc>
      </w:tr>
      <w:tr w14:paraId="397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2A926BF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w:t>
            </w:r>
          </w:p>
          <w:p w14:paraId="2DCE4847">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业务功能</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E4534F5">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5.1部门设置</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EC05962">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参照《幼儿园工作规程》相关要求设立，同时满足听力言语康复工作岗位需求。</w:t>
            </w:r>
          </w:p>
        </w:tc>
      </w:tr>
      <w:tr w14:paraId="57A0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5FB1087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7743010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5.2服务能力</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6C3CF127">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具有同时收训20名以上听力言语残疾儿童的能力。</w:t>
            </w:r>
          </w:p>
          <w:p w14:paraId="7D3B859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2.残联系统从事残疾儿童康复服务的助残机构;教育系统建有学前融合教育资源中心的学前教育机构和特殊教育学校;民政系统开设有儿童康复专科或特教办学点的儿童福利机构;卫生健康系统</w:t>
            </w:r>
            <w:r>
              <w:rPr>
                <w:rFonts w:hint="eastAsia" w:ascii="仿宋" w:hAnsi="仿宋" w:eastAsia="仿宋" w:cs="仿宋"/>
                <w:lang w:eastAsia="zh-CN"/>
              </w:rPr>
              <w:t>区级</w:t>
            </w:r>
            <w:r>
              <w:rPr>
                <w:rFonts w:hint="eastAsia" w:ascii="仿宋" w:hAnsi="仿宋" w:eastAsia="仿宋" w:cs="仿宋"/>
              </w:rPr>
              <w:t>以上妇幼保健所等公益一类事业单位，不设人数下限。</w:t>
            </w:r>
          </w:p>
        </w:tc>
      </w:tr>
      <w:tr w14:paraId="796F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0E4C27F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left w:val="single" w:color="auto" w:sz="4" w:space="0"/>
              <w:right w:val="single" w:color="auto" w:sz="4" w:space="0"/>
            </w:tcBorders>
            <w:noWrap w:val="0"/>
            <w:vAlign w:val="center"/>
          </w:tcPr>
          <w:p w14:paraId="2218AA7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5AD3B8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lang w:val="en-US" w:eastAsia="zh-CN"/>
              </w:rPr>
              <w:t xml:space="preserve">听力康复服务：受训儿童听力测试每年不少于 2 次，助听器调试每年不少于 2 次， </w:t>
            </w:r>
          </w:p>
          <w:p w14:paraId="10B2701D">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lang w:val="en-US" w:eastAsia="zh-CN"/>
              </w:rPr>
              <w:t xml:space="preserve">人工耳蜗调试第一年不少于 3 次，之后每年不少于 1 次。主要服务内容是开展听力 </w:t>
            </w:r>
          </w:p>
          <w:p w14:paraId="0001E7E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lang w:val="en-US" w:eastAsia="zh-CN"/>
              </w:rPr>
              <w:t>测试、助听器验配和调试、人工耳蜗调试、辅听设备选配。</w:t>
            </w:r>
          </w:p>
        </w:tc>
      </w:tr>
      <w:tr w14:paraId="2218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46C2D5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65336A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7D02796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听觉言语功能训练:年度机构内康复服务时间不少于9个月。全日制康复服务每天4小时(当月法定工作(学习)日)，课程设置应符合残疾儿童个性特征，每天个性化服务支持不少于1节课 40分钟。非全日制康复服务每月12天(每周3天)，每天1次15小时，其中个性化服务支持不少于1小时。</w:t>
            </w:r>
          </w:p>
        </w:tc>
      </w:tr>
      <w:tr w14:paraId="06CB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24184B7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8A333A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56546CA1">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支持性服务:</w:t>
            </w:r>
          </w:p>
          <w:p w14:paraId="1A5E9FF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1.受训儿童支持性服务结合需求进行，主要提供行为矫治、感觉统合训练、心理辅导等康复服务。</w:t>
            </w:r>
          </w:p>
          <w:p w14:paraId="66C6DBBC">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2.为听力残疾儿童家长提供家庭康复指导、心理辅导、政策咨询、生育遗传咨询指导服务。第一年每月至少进行2次，每次不少于30分钟，第二、三年每季度至少</w:t>
            </w:r>
            <w:r>
              <w:rPr>
                <w:rFonts w:hint="eastAsia" w:ascii="仿宋" w:hAnsi="仿宋" w:eastAsia="仿宋" w:cs="仿宋"/>
                <w:lang w:val="en-US" w:eastAsia="zh-CN"/>
              </w:rPr>
              <w:t>1</w:t>
            </w:r>
            <w:r>
              <w:rPr>
                <w:rFonts w:hint="eastAsia" w:ascii="仿宋" w:hAnsi="仿宋" w:eastAsia="仿宋" w:cs="仿宋"/>
              </w:rPr>
              <w:t>次，每次不少于 30分钟。</w:t>
            </w:r>
          </w:p>
          <w:p w14:paraId="7A925B6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3.社会融合活动每季度不少于1次，每次不少于1小时。</w:t>
            </w:r>
          </w:p>
        </w:tc>
      </w:tr>
      <w:tr w14:paraId="28F3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F1EBF3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2E6F94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131" w:type="dxa"/>
            <w:tcBorders>
              <w:top w:val="single" w:color="auto" w:sz="4" w:space="0"/>
              <w:left w:val="single" w:color="auto" w:sz="4" w:space="0"/>
              <w:bottom w:val="single" w:color="auto" w:sz="4" w:space="0"/>
              <w:right w:val="single" w:color="auto" w:sz="4" w:space="0"/>
            </w:tcBorders>
            <w:noWrap w:val="0"/>
            <w:vAlign w:val="center"/>
          </w:tcPr>
          <w:p w14:paraId="5981FBF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lang w:val="en-US" w:eastAsia="zh-CN"/>
              </w:rPr>
              <w:t>残疾儿童年度康复训练前、训练中、训练后应进行康复效能评估，每年不少于3次。</w:t>
            </w:r>
          </w:p>
        </w:tc>
      </w:tr>
      <w:tr w14:paraId="775D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5D8BEB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365B3D9">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5.3工作台账</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4F30C92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1.康复训练档案齐全，包括残疾儿童康复服务登记表、初始状态评估表、康复训练计划、康复训练日志、阶段性评估表、训练出勤表。</w:t>
            </w:r>
          </w:p>
          <w:p w14:paraId="61160AB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2.《残疾儿童康复救助平台》数据录入及时、准确、完备。</w:t>
            </w:r>
          </w:p>
        </w:tc>
      </w:tr>
      <w:tr w14:paraId="7729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E3D798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504321F">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5.4家长培训</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29C5842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1.定期向家长提供每年不少于4次的相关培训，有相关书面和视频记录；</w:t>
            </w:r>
          </w:p>
          <w:p w14:paraId="058181F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2.家长了解在社区和家庭环境中进行康复训练的目标；</w:t>
            </w:r>
          </w:p>
          <w:p w14:paraId="5AFB911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3.家长掌握基本康复训练的流程和组织实施方法。</w:t>
            </w:r>
          </w:p>
        </w:tc>
      </w:tr>
      <w:tr w14:paraId="01A3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5EA027A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3324674">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5.5业务指导</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0DA7DBFB">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1.开展儿童转介或跟踪服务；</w:t>
            </w:r>
          </w:p>
          <w:p w14:paraId="4A80DC0B">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2.面向社区提供家庭康复延伸的培训；</w:t>
            </w:r>
          </w:p>
          <w:p w14:paraId="12AE0FC6">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3.根据服务对象特点提供指导服务、派发相关宣传资料；</w:t>
            </w:r>
          </w:p>
          <w:p w14:paraId="47307874">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rPr>
              <w:t>4.结合“爱耳日”“全国助残日”等专题日，参与公益活动，每年不少于2次。</w:t>
            </w:r>
          </w:p>
          <w:p w14:paraId="63902F1F">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lang w:val="en-US" w:eastAsia="zh-CN"/>
              </w:rPr>
              <w:t>5.对于康复效果明显，符合入园、入学条件的儿童，及时动员家长办理入园、入学手续，并跟踪进行康复服务指导。</w:t>
            </w:r>
          </w:p>
        </w:tc>
      </w:tr>
      <w:tr w14:paraId="46D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61D0FB0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3D6047">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5.6质量控制</w:t>
            </w:r>
          </w:p>
        </w:tc>
        <w:tc>
          <w:tcPr>
            <w:tcW w:w="6131" w:type="dxa"/>
            <w:tcBorders>
              <w:top w:val="single" w:color="auto" w:sz="4" w:space="0"/>
              <w:left w:val="single" w:color="auto" w:sz="4" w:space="0"/>
              <w:bottom w:val="single" w:color="auto" w:sz="4" w:space="0"/>
              <w:right w:val="single" w:color="auto" w:sz="4" w:space="0"/>
            </w:tcBorders>
            <w:noWrap w:val="0"/>
            <w:vAlign w:val="center"/>
          </w:tcPr>
          <w:p w14:paraId="1F1FF95D">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rPr>
              <w:t>1.有需求听力（言语）残疾儿童康复评估、康复训练建档率100%；</w:t>
            </w:r>
          </w:p>
          <w:p w14:paraId="2AC8E509">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.家长满意度达90%以上；</w:t>
            </w:r>
          </w:p>
          <w:p w14:paraId="73DF86C2">
            <w:pPr>
              <w:keepNext w:val="0"/>
              <w:keepLines w:val="0"/>
              <w:pageBreakBefore w:val="0"/>
              <w:kinsoku/>
              <w:wordWrap/>
              <w:overflowPunct/>
              <w:topLinePunct w:val="0"/>
              <w:autoSpaceDE/>
              <w:autoSpaceDN/>
              <w:bidi w:val="0"/>
              <w:adjustRightInd/>
              <w:snapToGrid/>
              <w:spacing w:line="305" w:lineRule="auto"/>
              <w:ind w:left="-101" w:firstLine="42"/>
              <w:jc w:val="left"/>
              <w:textAlignment w:val="auto"/>
              <w:rPr>
                <w:rFonts w:hint="eastAsia" w:ascii="仿宋" w:hAnsi="仿宋" w:eastAsia="仿宋" w:cs="仿宋"/>
                <w:szCs w:val="21"/>
              </w:rPr>
            </w:pPr>
            <w:r>
              <w:rPr>
                <w:rFonts w:hint="eastAsia" w:ascii="仿宋" w:hAnsi="仿宋" w:eastAsia="仿宋" w:cs="仿宋"/>
                <w:lang w:val="en-US" w:eastAsia="zh-CN"/>
              </w:rPr>
              <w:t>3</w:t>
            </w:r>
            <w:r>
              <w:rPr>
                <w:rFonts w:hint="eastAsia" w:ascii="仿宋" w:hAnsi="仿宋" w:eastAsia="仿宋" w:cs="仿宋"/>
              </w:rPr>
              <w:t>.组织听力（言语）残疾儿童参加社会融合活动每年不少于4次。</w:t>
            </w:r>
          </w:p>
        </w:tc>
      </w:tr>
    </w:tbl>
    <w:p w14:paraId="60BED8C4">
      <w:pPr>
        <w:spacing w:line="360" w:lineRule="auto"/>
        <w:rPr>
          <w:rFonts w:hint="eastAsia" w:ascii="仿宋" w:hAnsi="仿宋" w:eastAsia="仿宋" w:cs="仿宋"/>
          <w:b/>
          <w:i w:val="0"/>
          <w:iCs w:val="0"/>
          <w:color w:val="auto"/>
          <w:sz w:val="24"/>
          <w:szCs w:val="24"/>
          <w:lang w:val="en-US" w:eastAsia="zh-CN"/>
        </w:rPr>
      </w:pPr>
    </w:p>
    <w:p w14:paraId="628806FA">
      <w:pPr>
        <w:spacing w:line="360" w:lineRule="auto"/>
        <w:rPr>
          <w:rFonts w:hint="eastAsia" w:ascii="仿宋" w:hAnsi="仿宋" w:eastAsia="仿宋" w:cs="仿宋"/>
        </w:rPr>
      </w:pPr>
      <w:r>
        <w:rPr>
          <w:rFonts w:hint="eastAsia" w:ascii="仿宋" w:hAnsi="仿宋" w:eastAsia="仿宋" w:cs="仿宋"/>
          <w:b/>
          <w:i w:val="0"/>
          <w:iCs w:val="0"/>
          <w:color w:val="auto"/>
          <w:sz w:val="24"/>
          <w:szCs w:val="24"/>
          <w:lang w:val="en-US" w:eastAsia="zh-CN"/>
        </w:rPr>
        <w:t>分包三：</w:t>
      </w:r>
      <w:r>
        <w:rPr>
          <w:rFonts w:hint="eastAsia" w:ascii="仿宋" w:hAnsi="仿宋" w:eastAsia="仿宋" w:cs="仿宋"/>
          <w:b/>
          <w:lang w:val="en-US" w:eastAsia="zh-CN"/>
        </w:rPr>
        <w:t>肢体</w:t>
      </w:r>
      <w:r>
        <w:rPr>
          <w:rFonts w:hint="eastAsia" w:ascii="仿宋" w:hAnsi="仿宋" w:eastAsia="仿宋" w:cs="仿宋"/>
          <w:b/>
        </w:rPr>
        <w:t>康复服务机构</w:t>
      </w:r>
    </w:p>
    <w:tbl>
      <w:tblPr>
        <w:tblStyle w:val="40"/>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85"/>
        <w:gridCol w:w="5985"/>
      </w:tblGrid>
      <w:tr w14:paraId="4FE7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37689E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szCs w:val="21"/>
              </w:rPr>
            </w:pPr>
            <w:r>
              <w:rPr>
                <w:rFonts w:hint="eastAsia" w:ascii="仿宋" w:hAnsi="仿宋" w:eastAsia="仿宋" w:cs="仿宋"/>
                <w:b/>
              </w:rPr>
              <w:t>项  目</w:t>
            </w:r>
          </w:p>
        </w:tc>
        <w:tc>
          <w:tcPr>
            <w:tcW w:w="6870" w:type="dxa"/>
            <w:gridSpan w:val="2"/>
            <w:tcBorders>
              <w:top w:val="single" w:color="auto" w:sz="4" w:space="0"/>
              <w:left w:val="single" w:color="auto" w:sz="4" w:space="0"/>
              <w:bottom w:val="single" w:color="auto" w:sz="4" w:space="0"/>
              <w:right w:val="single" w:color="auto" w:sz="4" w:space="0"/>
            </w:tcBorders>
            <w:noWrap w:val="0"/>
            <w:vAlign w:val="center"/>
          </w:tcPr>
          <w:p w14:paraId="4A35E5B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b/>
                <w:szCs w:val="21"/>
              </w:rPr>
            </w:pPr>
            <w:r>
              <w:rPr>
                <w:rFonts w:hint="eastAsia" w:ascii="仿宋" w:hAnsi="仿宋" w:eastAsia="仿宋" w:cs="仿宋"/>
                <w:b/>
                <w:lang w:val="en-US" w:eastAsia="zh-CN"/>
              </w:rPr>
              <w:t>肢体</w:t>
            </w:r>
            <w:r>
              <w:rPr>
                <w:rFonts w:hint="eastAsia" w:ascii="仿宋" w:hAnsi="仿宋" w:eastAsia="仿宋" w:cs="仿宋"/>
                <w:b/>
              </w:rPr>
              <w:t>康复服务机构要求</w:t>
            </w:r>
          </w:p>
        </w:tc>
      </w:tr>
      <w:tr w14:paraId="3E76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26B02E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w:t>
            </w:r>
          </w:p>
          <w:p w14:paraId="3D75FA9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建设标准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93A920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1.1建设要求</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720512A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机构规划布局、建设规模和建设面积执行《残疾人康复机构建设标准》（建标165－2013）中关于“选址与规划布局”和“建设规模与建筑面积指标”的相关规定。</w:t>
            </w:r>
          </w:p>
        </w:tc>
      </w:tr>
      <w:tr w14:paraId="5927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716B78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540114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1.2环境要求</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3B9EC38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应有与收训规模相适应的独立、安全、相对稳定的房屋，并设置在安全区域内，周围50米以内无污染、噪音影响。平房有独立院落，多层建筑宜设置在三层以下。不应与易爆、易燃等危化品生产、储存、装卸场所相邻，应远离高压线、垃圾站及大型机动车停车场。</w:t>
            </w:r>
          </w:p>
          <w:p w14:paraId="6F631F0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2.生活用房应设在建筑的底层，设有独立出入口；有独立的室外活动场地。生活用房和室外场地与其他建筑部分采取隔离措施，配备防止物体坠落设施，光照充足，通风良好。</w:t>
            </w:r>
          </w:p>
        </w:tc>
      </w:tr>
      <w:tr w14:paraId="655B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75E474F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w:t>
            </w:r>
          </w:p>
          <w:p w14:paraId="5BCCD5A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内部管理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92CD3F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2.1制度管理</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763BC6E7">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具备岗位职责、业务管理、人力资源管理、财务管理、突发事件应急预案、信息管理、服务项目及收费标准等信息公示，有年度自查的总结报告。</w:t>
            </w:r>
          </w:p>
        </w:tc>
      </w:tr>
      <w:tr w14:paraId="4821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88CD0F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03677D7">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2.2</w:t>
            </w:r>
          </w:p>
          <w:p w14:paraId="6F7FC68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lang w:val="en-US" w:eastAsia="zh-CN"/>
              </w:rPr>
            </w:pPr>
            <w:r>
              <w:rPr>
                <w:rFonts w:hint="eastAsia" w:ascii="仿宋" w:hAnsi="仿宋" w:eastAsia="仿宋" w:cs="仿宋"/>
                <w:lang w:val="en-US" w:eastAsia="zh-CN"/>
              </w:rPr>
              <w:t>绩效审计</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550BB7A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接受业务主管部门财务检查和年度审计，经</w:t>
            </w:r>
            <w:r>
              <w:rPr>
                <w:rFonts w:hint="eastAsia" w:ascii="仿宋" w:hAnsi="仿宋" w:eastAsia="仿宋" w:cs="仿宋"/>
                <w:highlight w:val="none"/>
                <w:lang w:val="en-US" w:eastAsia="zh-CN"/>
              </w:rPr>
              <w:t>区</w:t>
            </w:r>
            <w:r>
              <w:rPr>
                <w:rFonts w:hint="eastAsia" w:ascii="仿宋" w:hAnsi="仿宋" w:eastAsia="仿宋" w:cs="仿宋"/>
                <w:highlight w:val="none"/>
              </w:rPr>
              <w:t>级</w:t>
            </w:r>
            <w:r>
              <w:rPr>
                <w:rFonts w:hint="eastAsia" w:ascii="仿宋" w:hAnsi="仿宋" w:eastAsia="仿宋" w:cs="仿宋"/>
              </w:rPr>
              <w:t>以上残联会同财政部门年度康复服务项目绩效考核合格以上。</w:t>
            </w:r>
          </w:p>
        </w:tc>
      </w:tr>
      <w:tr w14:paraId="6F8A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0B2DC0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w:t>
            </w:r>
          </w:p>
          <w:p w14:paraId="7572281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设施设备</w:t>
            </w:r>
          </w:p>
        </w:tc>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4082B74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3.1训练场地</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2C83E82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场地设置符合学龄前儿童身心特点，地面防滑、桌椅柜等加装防撞条和防撞角，避 免跌倒和撞伤。应设有治疗室、康复训练室、培训教室等基本场地，基本训练场地 不小于 100 平方米。</w:t>
            </w:r>
          </w:p>
        </w:tc>
      </w:tr>
      <w:tr w14:paraId="517D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F22746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32A363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9C895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3"/>
                <w:position w:val="1"/>
              </w:rPr>
              <w:t>设置咨询接待室、面积不小于</w:t>
            </w:r>
            <w:r>
              <w:rPr>
                <w:rFonts w:hint="eastAsia" w:ascii="仿宋" w:hAnsi="仿宋" w:eastAsia="仿宋" w:cs="仿宋"/>
                <w:spacing w:val="-9"/>
                <w:position w:val="1"/>
              </w:rPr>
              <w:t xml:space="preserve"> </w:t>
            </w:r>
            <w:r>
              <w:rPr>
                <w:rFonts w:hint="eastAsia" w:ascii="仿宋" w:hAnsi="仿宋" w:eastAsia="仿宋" w:cs="仿宋"/>
                <w:spacing w:val="-3"/>
                <w:position w:val="1"/>
              </w:rPr>
              <w:t>10</w:t>
            </w:r>
            <w:r>
              <w:rPr>
                <w:rFonts w:hint="eastAsia" w:ascii="仿宋" w:hAnsi="仿宋" w:eastAsia="仿宋" w:cs="仿宋"/>
                <w:spacing w:val="-42"/>
                <w:position w:val="1"/>
              </w:rPr>
              <w:t xml:space="preserve"> </w:t>
            </w:r>
            <w:r>
              <w:rPr>
                <w:rFonts w:hint="eastAsia" w:ascii="仿宋" w:hAnsi="仿宋" w:eastAsia="仿宋" w:cs="仿宋"/>
                <w:spacing w:val="-3"/>
                <w:position w:val="1"/>
              </w:rPr>
              <w:t>平方米。</w:t>
            </w:r>
          </w:p>
        </w:tc>
      </w:tr>
      <w:tr w14:paraId="3AC7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EA30F8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B48DE4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7E7A8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3"/>
                <w:position w:val="1"/>
              </w:rPr>
              <w:t>设置功能评估室，面积不小于</w:t>
            </w:r>
            <w:r>
              <w:rPr>
                <w:rFonts w:hint="eastAsia" w:ascii="仿宋" w:hAnsi="仿宋" w:eastAsia="仿宋" w:cs="仿宋"/>
                <w:spacing w:val="-9"/>
                <w:position w:val="1"/>
              </w:rPr>
              <w:t xml:space="preserve"> </w:t>
            </w:r>
            <w:r>
              <w:rPr>
                <w:rFonts w:hint="eastAsia" w:ascii="仿宋" w:hAnsi="仿宋" w:eastAsia="仿宋" w:cs="仿宋"/>
                <w:spacing w:val="-3"/>
                <w:position w:val="1"/>
              </w:rPr>
              <w:t>15</w:t>
            </w:r>
            <w:r>
              <w:rPr>
                <w:rFonts w:hint="eastAsia" w:ascii="仿宋" w:hAnsi="仿宋" w:eastAsia="仿宋" w:cs="仿宋"/>
                <w:spacing w:val="-42"/>
                <w:position w:val="1"/>
              </w:rPr>
              <w:t xml:space="preserve"> </w:t>
            </w:r>
            <w:r>
              <w:rPr>
                <w:rFonts w:hint="eastAsia" w:ascii="仿宋" w:hAnsi="仿宋" w:eastAsia="仿宋" w:cs="仿宋"/>
                <w:spacing w:val="-3"/>
                <w:position w:val="1"/>
              </w:rPr>
              <w:t>平方米。</w:t>
            </w:r>
          </w:p>
        </w:tc>
      </w:tr>
      <w:tr w14:paraId="36BE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3229D1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A14FE2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2B04C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2"/>
                <w:position w:val="1"/>
              </w:rPr>
              <w:t>设置运动训练室，面积不小于</w:t>
            </w:r>
            <w:r>
              <w:rPr>
                <w:rFonts w:hint="eastAsia" w:ascii="仿宋" w:hAnsi="仿宋" w:eastAsia="仿宋" w:cs="仿宋"/>
                <w:spacing w:val="-28"/>
                <w:position w:val="1"/>
              </w:rPr>
              <w:t xml:space="preserve"> </w:t>
            </w:r>
            <w:r>
              <w:rPr>
                <w:rFonts w:hint="eastAsia" w:ascii="仿宋" w:hAnsi="仿宋" w:eastAsia="仿宋" w:cs="仿宋"/>
                <w:spacing w:val="-2"/>
                <w:position w:val="1"/>
              </w:rPr>
              <w:t>40</w:t>
            </w:r>
            <w:r>
              <w:rPr>
                <w:rFonts w:hint="eastAsia" w:ascii="仿宋" w:hAnsi="仿宋" w:eastAsia="仿宋" w:cs="仿宋"/>
                <w:spacing w:val="-42"/>
                <w:position w:val="1"/>
              </w:rPr>
              <w:t xml:space="preserve"> </w:t>
            </w:r>
            <w:r>
              <w:rPr>
                <w:rFonts w:hint="eastAsia" w:ascii="仿宋" w:hAnsi="仿宋" w:eastAsia="仿宋" w:cs="仿宋"/>
                <w:spacing w:val="-2"/>
                <w:position w:val="1"/>
              </w:rPr>
              <w:t>平方米。</w:t>
            </w:r>
          </w:p>
        </w:tc>
      </w:tr>
      <w:tr w14:paraId="2DA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E23AEA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630ED4E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D9EBF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2"/>
                <w:position w:val="1"/>
              </w:rPr>
              <w:t>设置作业训练室，面积不小于</w:t>
            </w:r>
            <w:r>
              <w:rPr>
                <w:rFonts w:hint="eastAsia" w:ascii="仿宋" w:hAnsi="仿宋" w:eastAsia="仿宋" w:cs="仿宋"/>
                <w:spacing w:val="-28"/>
                <w:position w:val="1"/>
              </w:rPr>
              <w:t xml:space="preserve"> </w:t>
            </w:r>
            <w:r>
              <w:rPr>
                <w:rFonts w:hint="eastAsia" w:ascii="仿宋" w:hAnsi="仿宋" w:eastAsia="仿宋" w:cs="仿宋"/>
                <w:spacing w:val="-2"/>
                <w:position w:val="1"/>
              </w:rPr>
              <w:t>30</w:t>
            </w:r>
            <w:r>
              <w:rPr>
                <w:rFonts w:hint="eastAsia" w:ascii="仿宋" w:hAnsi="仿宋" w:eastAsia="仿宋" w:cs="仿宋"/>
                <w:spacing w:val="-42"/>
                <w:position w:val="1"/>
              </w:rPr>
              <w:t xml:space="preserve"> </w:t>
            </w:r>
            <w:r>
              <w:rPr>
                <w:rFonts w:hint="eastAsia" w:ascii="仿宋" w:hAnsi="仿宋" w:eastAsia="仿宋" w:cs="仿宋"/>
                <w:spacing w:val="-2"/>
                <w:position w:val="1"/>
              </w:rPr>
              <w:t>平方米。</w:t>
            </w:r>
          </w:p>
        </w:tc>
      </w:tr>
      <w:tr w14:paraId="7A46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499128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65D9AC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7C01B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2"/>
                <w:position w:val="1"/>
              </w:rPr>
              <w:t>设置集体教室，面积不小于</w:t>
            </w:r>
            <w:r>
              <w:rPr>
                <w:rFonts w:hint="eastAsia" w:ascii="仿宋" w:hAnsi="仿宋" w:eastAsia="仿宋" w:cs="仿宋"/>
                <w:spacing w:val="-27"/>
                <w:position w:val="1"/>
              </w:rPr>
              <w:t xml:space="preserve"> </w:t>
            </w:r>
            <w:r>
              <w:rPr>
                <w:rFonts w:hint="eastAsia" w:ascii="仿宋" w:hAnsi="仿宋" w:eastAsia="仿宋" w:cs="仿宋"/>
                <w:spacing w:val="-2"/>
                <w:position w:val="1"/>
              </w:rPr>
              <w:t>30</w:t>
            </w:r>
            <w:r>
              <w:rPr>
                <w:rFonts w:hint="eastAsia" w:ascii="仿宋" w:hAnsi="仿宋" w:eastAsia="仿宋" w:cs="仿宋"/>
                <w:spacing w:val="-45"/>
                <w:position w:val="1"/>
              </w:rPr>
              <w:t xml:space="preserve"> </w:t>
            </w:r>
            <w:r>
              <w:rPr>
                <w:rFonts w:hint="eastAsia" w:ascii="仿宋" w:hAnsi="仿宋" w:eastAsia="仿宋" w:cs="仿宋"/>
                <w:spacing w:val="-2"/>
                <w:position w:val="1"/>
              </w:rPr>
              <w:t>平方米。</w:t>
            </w:r>
          </w:p>
        </w:tc>
      </w:tr>
      <w:tr w14:paraId="58EB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99BE15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7624F73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noWrap w:val="0"/>
            <w:vAlign w:val="center"/>
          </w:tcPr>
          <w:p w14:paraId="6AD8AB6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zCs w:val="21"/>
              </w:rPr>
              <w:t>有条件的机构可设置引导式教育室、游戏室、感觉统合训练室、室外活动等场所。</w:t>
            </w:r>
          </w:p>
        </w:tc>
      </w:tr>
      <w:tr w14:paraId="1B31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6882A1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78A4789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3.2训练设备</w:t>
            </w: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D9B54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bCs/>
                <w:i/>
                <w:iCs/>
                <w:szCs w:val="21"/>
              </w:rPr>
            </w:pPr>
            <w:r>
              <w:rPr>
                <w:rFonts w:hint="eastAsia" w:ascii="仿宋" w:hAnsi="仿宋" w:eastAsia="仿宋" w:cs="仿宋"/>
                <w:b w:val="0"/>
                <w:bCs w:val="0"/>
                <w:i w:val="0"/>
                <w:iCs w:val="0"/>
                <w:spacing w:val="3"/>
              </w:rPr>
              <w:t>康复评估设备：评估运动、认知、言语、生活自理等方面能力的评估量表、诊断评</w:t>
            </w:r>
            <w:r>
              <w:rPr>
                <w:rFonts w:hint="eastAsia" w:ascii="仿宋" w:hAnsi="仿宋" w:eastAsia="仿宋" w:cs="仿宋"/>
                <w:b w:val="0"/>
                <w:bCs w:val="0"/>
                <w:i w:val="0"/>
                <w:iCs w:val="0"/>
                <w:spacing w:val="1"/>
              </w:rPr>
              <w:t xml:space="preserve"> </w:t>
            </w:r>
            <w:r>
              <w:rPr>
                <w:rFonts w:hint="eastAsia" w:ascii="仿宋" w:hAnsi="仿宋" w:eastAsia="仿宋" w:cs="仿宋"/>
                <w:b w:val="0"/>
                <w:bCs w:val="0"/>
                <w:i w:val="0"/>
                <w:iCs w:val="0"/>
                <w:spacing w:val="-3"/>
              </w:rPr>
              <w:t>估设备和工具。</w:t>
            </w:r>
          </w:p>
        </w:tc>
      </w:tr>
      <w:tr w14:paraId="700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EED64F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007EA7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8170F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spacing w:val="1"/>
              </w:rPr>
              <w:t>康复训练设备：运动垫、</w:t>
            </w:r>
            <w:r>
              <w:rPr>
                <w:rFonts w:hint="eastAsia" w:ascii="仿宋" w:hAnsi="仿宋" w:eastAsia="仿宋" w:cs="仿宋"/>
                <w:b w:val="0"/>
                <w:bCs w:val="0"/>
                <w:i w:val="0"/>
                <w:iCs w:val="0"/>
              </w:rPr>
              <w:t>PT</w:t>
            </w:r>
            <w:r>
              <w:rPr>
                <w:rFonts w:hint="eastAsia" w:ascii="仿宋" w:hAnsi="仿宋" w:eastAsia="仿宋" w:cs="仿宋"/>
                <w:b w:val="0"/>
                <w:bCs w:val="0"/>
                <w:i w:val="0"/>
                <w:iCs w:val="0"/>
                <w:spacing w:val="1"/>
              </w:rPr>
              <w:t xml:space="preserve"> 床、木条台、楔形垫、巴氏球、</w:t>
            </w:r>
            <w:r>
              <w:rPr>
                <w:rFonts w:hint="eastAsia" w:ascii="仿宋" w:hAnsi="仿宋" w:eastAsia="仿宋" w:cs="仿宋"/>
                <w:b w:val="0"/>
                <w:bCs w:val="0"/>
                <w:i w:val="0"/>
                <w:iCs w:val="0"/>
              </w:rPr>
              <w:t xml:space="preserve">滚筒、姿势矫正器、分 </w:t>
            </w:r>
            <w:r>
              <w:rPr>
                <w:rFonts w:hint="eastAsia" w:ascii="仿宋" w:hAnsi="仿宋" w:eastAsia="仿宋" w:cs="仿宋"/>
                <w:b w:val="0"/>
                <w:bCs w:val="0"/>
                <w:i w:val="0"/>
                <w:iCs w:val="0"/>
                <w:spacing w:val="3"/>
              </w:rPr>
              <w:t>指等基本训练器具；应配备站立架、起立架、踝关节矫正站立板、肋木等站立训练</w:t>
            </w:r>
            <w:r>
              <w:rPr>
                <w:rFonts w:hint="eastAsia" w:ascii="仿宋" w:hAnsi="仿宋" w:eastAsia="仿宋" w:cs="仿宋"/>
                <w:b w:val="0"/>
                <w:bCs w:val="0"/>
                <w:i w:val="0"/>
                <w:iCs w:val="0"/>
              </w:rPr>
              <w:t xml:space="preserve"> </w:t>
            </w:r>
            <w:r>
              <w:rPr>
                <w:rFonts w:hint="eastAsia" w:ascii="仿宋" w:hAnsi="仿宋" w:eastAsia="仿宋" w:cs="仿宋"/>
                <w:b w:val="0"/>
                <w:bCs w:val="0"/>
                <w:i w:val="0"/>
                <w:iCs w:val="0"/>
                <w:spacing w:val="-1"/>
              </w:rPr>
              <w:t>器具；应配备平衡木、步行器、阶梯、姿势镜、多功能组合箱等步行训练器具。</w:t>
            </w:r>
          </w:p>
        </w:tc>
      </w:tr>
      <w:tr w14:paraId="64C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982CB1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9973CF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E8839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spacing w:val="-2"/>
              </w:rPr>
              <w:t>教学设备：打击乐器、玩教具、电脑、电视机、投影仪、电子琴（钢琴）、幼儿园教</w:t>
            </w:r>
            <w:r>
              <w:rPr>
                <w:rFonts w:hint="eastAsia" w:ascii="仿宋" w:hAnsi="仿宋" w:eastAsia="仿宋" w:cs="仿宋"/>
                <w:b w:val="0"/>
                <w:bCs w:val="0"/>
                <w:i w:val="0"/>
                <w:iCs w:val="0"/>
                <w:spacing w:val="3"/>
              </w:rPr>
              <w:t xml:space="preserve"> </w:t>
            </w:r>
            <w:r>
              <w:rPr>
                <w:rFonts w:hint="eastAsia" w:ascii="仿宋" w:hAnsi="仿宋" w:eastAsia="仿宋" w:cs="仿宋"/>
                <w:b w:val="0"/>
                <w:bCs w:val="0"/>
                <w:i w:val="0"/>
                <w:iCs w:val="0"/>
                <w:spacing w:val="-1"/>
              </w:rPr>
              <w:t>材、教育类图书、体育活动器材、生活自助器</w:t>
            </w:r>
            <w:r>
              <w:rPr>
                <w:rFonts w:hint="eastAsia" w:ascii="仿宋" w:hAnsi="仿宋" w:eastAsia="仿宋" w:cs="仿宋"/>
                <w:b w:val="0"/>
                <w:bCs w:val="0"/>
                <w:i w:val="0"/>
                <w:iCs w:val="0"/>
                <w:spacing w:val="-2"/>
              </w:rPr>
              <w:t>具等。</w:t>
            </w:r>
          </w:p>
        </w:tc>
      </w:tr>
      <w:tr w14:paraId="0407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995231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43C9A9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2A5AD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pacing w:val="1"/>
              </w:rPr>
              <w:t>其它设备：按人均 4 件的标准配备符合儿童训练特</w:t>
            </w:r>
            <w:r>
              <w:rPr>
                <w:rFonts w:hint="eastAsia" w:ascii="仿宋" w:hAnsi="仿宋" w:eastAsia="仿宋" w:cs="仿宋"/>
              </w:rPr>
              <w:t xml:space="preserve">点的各类玩具和图书。配备家长 </w:t>
            </w:r>
            <w:r>
              <w:rPr>
                <w:rFonts w:hint="eastAsia" w:ascii="仿宋" w:hAnsi="仿宋" w:eastAsia="仿宋" w:cs="仿宋"/>
                <w:spacing w:val="-3"/>
              </w:rPr>
              <w:t>培训所需的教学设备。</w:t>
            </w:r>
          </w:p>
        </w:tc>
      </w:tr>
      <w:tr w14:paraId="03B1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449F3A2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w:t>
            </w:r>
          </w:p>
          <w:p w14:paraId="013EB54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机构管理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25CEEA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4.1人员配备</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568CF09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1.配备机构管理人员（业务主管）；</w:t>
            </w:r>
          </w:p>
          <w:p w14:paraId="57F37CC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2.至少配备 1 名康复临床医师；</w:t>
            </w:r>
          </w:p>
          <w:p w14:paraId="125207B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3.配备康复治疗师；</w:t>
            </w:r>
          </w:p>
          <w:p w14:paraId="79F1327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4.参照《幼儿园教职工配备标准（暂行）》和《托儿所幼儿园卫生保健工作规范》配 备保育员、保健医生。</w:t>
            </w:r>
          </w:p>
        </w:tc>
      </w:tr>
      <w:tr w14:paraId="3CAF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21D798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76616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lang w:val="en-US" w:eastAsia="zh-CN"/>
              </w:rPr>
              <w:t>4.2</w:t>
            </w:r>
            <w:r>
              <w:rPr>
                <w:rFonts w:hint="eastAsia" w:ascii="仿宋" w:hAnsi="仿宋" w:eastAsia="仿宋" w:cs="仿宋"/>
              </w:rPr>
              <w:t>人员组成</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4DF8B5EE">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1.肢体康复医师（含业务主管）、康复训练人员、教师不低于机构内职工总数的 70%；</w:t>
            </w:r>
          </w:p>
          <w:p w14:paraId="73529B2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2.肢体康复医师与残疾儿童比例不低于 1:20;</w:t>
            </w:r>
          </w:p>
          <w:p w14:paraId="111C093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3.肢体康复治疗师与残疾儿童比例不低于 1:8；</w:t>
            </w:r>
          </w:p>
          <w:p w14:paraId="1AFFD17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zCs w:val="21"/>
              </w:rPr>
              <w:t>4.教师与残疾儿童比例不低于 1:10。</w:t>
            </w:r>
          </w:p>
        </w:tc>
      </w:tr>
      <w:tr w14:paraId="67C4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6602DC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2321D50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lang w:val="en-US" w:eastAsia="zh-CN"/>
              </w:rPr>
              <w:t>4.3</w:t>
            </w:r>
            <w:r>
              <w:rPr>
                <w:rFonts w:hint="eastAsia" w:ascii="仿宋" w:hAnsi="仿宋" w:eastAsia="仿宋" w:cs="仿宋"/>
              </w:rPr>
              <w:t>资历要求</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4535C81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1.业务主管具有肢体残疾康复基本技能及3年以上康复机构管理经验。</w:t>
            </w:r>
          </w:p>
          <w:p w14:paraId="28B1DA9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2.康复医师具有康复医学与理疗学、儿科、中医或中西医专业背景，取得国家医师 资格证书。</w:t>
            </w:r>
          </w:p>
          <w:p w14:paraId="338C71A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3.康复治疗师，有医疗、康复、护理相关专业背景并取得相应执业资格。</w:t>
            </w:r>
          </w:p>
          <w:p w14:paraId="07CAC8E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4.康复教师具有特殊教育、学前教育、心理学相关专业背景，并取得相关资格证 书。</w:t>
            </w:r>
          </w:p>
          <w:p w14:paraId="26B886E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szCs w:val="21"/>
              </w:rPr>
              <w:t>5.每年不少于 30%康复专业技术人员参加市级以上组织的规范化培训不少于 21 个学 时。</w:t>
            </w:r>
          </w:p>
          <w:p w14:paraId="52E797B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zCs w:val="21"/>
              </w:rPr>
              <w:t>6.机构所有工作人员根据岗位要求取得健康证明。</w:t>
            </w:r>
          </w:p>
        </w:tc>
      </w:tr>
      <w:tr w14:paraId="58AE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18B4632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w:t>
            </w:r>
          </w:p>
          <w:p w14:paraId="10DFE7E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业务功能</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FEDDEC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5.1部门设置</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515DF1B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应设置认知和运动功能诊断评估、康复训练、教育培训、后勤保障、行政办公等部 门。</w:t>
            </w:r>
          </w:p>
        </w:tc>
      </w:tr>
      <w:tr w14:paraId="50C5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A0CC47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restart"/>
            <w:tcBorders>
              <w:top w:val="single" w:color="auto" w:sz="4" w:space="0"/>
              <w:left w:val="single" w:color="auto" w:sz="4" w:space="0"/>
              <w:right w:val="single" w:color="auto" w:sz="4" w:space="0"/>
            </w:tcBorders>
            <w:noWrap w:val="0"/>
            <w:vAlign w:val="center"/>
          </w:tcPr>
          <w:p w14:paraId="46B2A72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5.2服务能力</w:t>
            </w: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86EA40">
            <w:pPr>
              <w:pStyle w:val="242"/>
              <w:keepNext w:val="0"/>
              <w:keepLines w:val="0"/>
              <w:pageBreakBefore w:val="0"/>
              <w:kinsoku/>
              <w:wordWrap/>
              <w:overflowPunct/>
              <w:topLinePunct w:val="0"/>
              <w:autoSpaceDE/>
              <w:autoSpaceDN/>
              <w:bidi w:val="0"/>
              <w:adjustRightInd/>
              <w:snapToGrid/>
              <w:spacing w:before="55" w:line="305" w:lineRule="auto"/>
              <w:ind w:left="71"/>
              <w:textAlignment w:val="auto"/>
              <w:rPr>
                <w:rFonts w:hint="eastAsia" w:ascii="仿宋" w:hAnsi="仿宋" w:eastAsia="仿宋" w:cs="仿宋"/>
              </w:rPr>
            </w:pPr>
            <w:r>
              <w:rPr>
                <w:rFonts w:hint="eastAsia" w:ascii="仿宋" w:hAnsi="仿宋" w:eastAsia="仿宋" w:cs="仿宋"/>
                <w:spacing w:val="-2"/>
                <w:position w:val="1"/>
              </w:rPr>
              <w:t>1.具有同时收训20</w:t>
            </w:r>
            <w:r>
              <w:rPr>
                <w:rFonts w:hint="eastAsia" w:ascii="仿宋" w:hAnsi="仿宋" w:eastAsia="仿宋" w:cs="仿宋"/>
                <w:spacing w:val="-40"/>
                <w:position w:val="1"/>
              </w:rPr>
              <w:t xml:space="preserve"> </w:t>
            </w:r>
            <w:r>
              <w:rPr>
                <w:rFonts w:hint="eastAsia" w:ascii="仿宋" w:hAnsi="仿宋" w:eastAsia="仿宋" w:cs="仿宋"/>
                <w:spacing w:val="-2"/>
                <w:position w:val="1"/>
              </w:rPr>
              <w:t>名以上肢体残疾儿童的能力。</w:t>
            </w:r>
          </w:p>
          <w:p w14:paraId="780CF22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3"/>
              </w:rPr>
              <w:t>2.残联系统从事残疾儿童康复服务的助残机构；教育系统建有学前融合教育资源中</w:t>
            </w:r>
            <w:r>
              <w:rPr>
                <w:rFonts w:hint="eastAsia" w:ascii="仿宋" w:hAnsi="仿宋" w:eastAsia="仿宋" w:cs="仿宋"/>
              </w:rPr>
              <w:t xml:space="preserve"> </w:t>
            </w:r>
            <w:r>
              <w:rPr>
                <w:rFonts w:hint="eastAsia" w:ascii="仿宋" w:hAnsi="仿宋" w:eastAsia="仿宋" w:cs="仿宋"/>
                <w:spacing w:val="3"/>
              </w:rPr>
              <w:t>心的学前教育机构和特殊教育学校；民政系统开设有儿童康复专科或特教办学点的</w:t>
            </w:r>
            <w:r>
              <w:rPr>
                <w:rFonts w:hint="eastAsia" w:ascii="仿宋" w:hAnsi="仿宋" w:eastAsia="仿宋" w:cs="仿宋"/>
                <w:spacing w:val="1"/>
              </w:rPr>
              <w:t xml:space="preserve"> </w:t>
            </w:r>
            <w:r>
              <w:rPr>
                <w:rFonts w:hint="eastAsia" w:ascii="仿宋" w:hAnsi="仿宋" w:eastAsia="仿宋" w:cs="仿宋"/>
                <w:spacing w:val="3"/>
              </w:rPr>
              <w:t>儿童福利机构；卫生健康系统</w:t>
            </w:r>
            <w:r>
              <w:rPr>
                <w:rFonts w:hint="eastAsia" w:ascii="仿宋" w:hAnsi="仿宋" w:eastAsia="仿宋" w:cs="仿宋"/>
                <w:spacing w:val="3"/>
                <w:highlight w:val="none"/>
                <w:lang w:val="en-US" w:eastAsia="zh-CN"/>
              </w:rPr>
              <w:t>区</w:t>
            </w:r>
            <w:r>
              <w:rPr>
                <w:rFonts w:hint="eastAsia" w:ascii="仿宋" w:hAnsi="仿宋" w:eastAsia="仿宋" w:cs="仿宋"/>
                <w:spacing w:val="3"/>
                <w:highlight w:val="none"/>
              </w:rPr>
              <w:t>级</w:t>
            </w:r>
            <w:r>
              <w:rPr>
                <w:rFonts w:hint="eastAsia" w:ascii="仿宋" w:hAnsi="仿宋" w:eastAsia="仿宋" w:cs="仿宋"/>
                <w:spacing w:val="3"/>
              </w:rPr>
              <w:t>以上妇幼保健所等公益一类事业单位，不设人数</w:t>
            </w:r>
            <w:r>
              <w:rPr>
                <w:rFonts w:hint="eastAsia" w:ascii="仿宋" w:hAnsi="仿宋" w:eastAsia="仿宋" w:cs="仿宋"/>
              </w:rPr>
              <w:t xml:space="preserve"> </w:t>
            </w:r>
            <w:r>
              <w:rPr>
                <w:rFonts w:hint="eastAsia" w:ascii="仿宋" w:hAnsi="仿宋" w:eastAsia="仿宋" w:cs="仿宋"/>
                <w:spacing w:val="-6"/>
              </w:rPr>
              <w:t>下限。</w:t>
            </w:r>
          </w:p>
        </w:tc>
      </w:tr>
      <w:tr w14:paraId="653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91523A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left w:val="single" w:color="auto" w:sz="4" w:space="0"/>
              <w:right w:val="single" w:color="auto" w:sz="4" w:space="0"/>
            </w:tcBorders>
            <w:noWrap w:val="0"/>
            <w:vAlign w:val="center"/>
          </w:tcPr>
          <w:p w14:paraId="3E8BCB3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07DB7A">
            <w:pPr>
              <w:pStyle w:val="242"/>
              <w:keepNext w:val="0"/>
              <w:keepLines w:val="0"/>
              <w:pageBreakBefore w:val="0"/>
              <w:kinsoku/>
              <w:wordWrap/>
              <w:overflowPunct/>
              <w:topLinePunct w:val="0"/>
              <w:autoSpaceDE/>
              <w:autoSpaceDN/>
              <w:bidi w:val="0"/>
              <w:adjustRightInd/>
              <w:snapToGrid/>
              <w:spacing w:before="100" w:line="305" w:lineRule="auto"/>
              <w:ind w:left="57" w:right="173" w:hanging="3"/>
              <w:textAlignment w:val="auto"/>
              <w:rPr>
                <w:rFonts w:hint="eastAsia" w:ascii="仿宋" w:hAnsi="仿宋" w:eastAsia="仿宋" w:cs="仿宋"/>
              </w:rPr>
            </w:pPr>
            <w:r>
              <w:rPr>
                <w:rFonts w:hint="eastAsia" w:ascii="仿宋" w:hAnsi="仿宋" w:eastAsia="仿宋" w:cs="仿宋"/>
              </w:rPr>
              <w:t>康复训练：年度机构内基本康复服务时间不少于</w:t>
            </w:r>
            <w:r>
              <w:rPr>
                <w:rFonts w:hint="eastAsia" w:ascii="仿宋" w:hAnsi="仿宋" w:eastAsia="仿宋" w:cs="仿宋"/>
                <w:spacing w:val="-36"/>
              </w:rPr>
              <w:t xml:space="preserve"> </w:t>
            </w:r>
            <w:r>
              <w:rPr>
                <w:rFonts w:hint="eastAsia" w:ascii="仿宋" w:hAnsi="仿宋" w:eastAsia="仿宋" w:cs="仿宋"/>
              </w:rPr>
              <w:t>9</w:t>
            </w:r>
            <w:r>
              <w:rPr>
                <w:rFonts w:hint="eastAsia" w:ascii="仿宋" w:hAnsi="仿宋" w:eastAsia="仿宋" w:cs="仿宋"/>
                <w:spacing w:val="-45"/>
              </w:rPr>
              <w:t xml:space="preserve"> </w:t>
            </w:r>
            <w:r>
              <w:rPr>
                <w:rFonts w:hint="eastAsia" w:ascii="仿宋" w:hAnsi="仿宋" w:eastAsia="仿宋" w:cs="仿宋"/>
              </w:rPr>
              <w:t>个月</w:t>
            </w:r>
            <w:r>
              <w:rPr>
                <w:rFonts w:hint="eastAsia" w:ascii="仿宋" w:hAnsi="仿宋" w:eastAsia="仿宋" w:cs="仿宋"/>
                <w:spacing w:val="-1"/>
              </w:rPr>
              <w:t>。康复服务内容包括粗大运</w:t>
            </w:r>
            <w:r>
              <w:rPr>
                <w:rFonts w:hint="eastAsia" w:ascii="仿宋" w:hAnsi="仿宋" w:eastAsia="仿宋" w:cs="仿宋"/>
              </w:rPr>
              <w:t xml:space="preserve"> </w:t>
            </w:r>
            <w:r>
              <w:rPr>
                <w:rFonts w:hint="eastAsia" w:ascii="仿宋" w:hAnsi="仿宋" w:eastAsia="仿宋" w:cs="仿宋"/>
                <w:spacing w:val="-1"/>
              </w:rPr>
              <w:t>动和精细运动功能训练、认知和语言能力训练、生活自理和社会适应能力训练。</w:t>
            </w:r>
          </w:p>
          <w:p w14:paraId="0EDCD54A">
            <w:pPr>
              <w:pStyle w:val="242"/>
              <w:keepNext w:val="0"/>
              <w:keepLines w:val="0"/>
              <w:pageBreakBefore w:val="0"/>
              <w:kinsoku/>
              <w:wordWrap/>
              <w:overflowPunct/>
              <w:topLinePunct w:val="0"/>
              <w:autoSpaceDE/>
              <w:autoSpaceDN/>
              <w:bidi w:val="0"/>
              <w:adjustRightInd/>
              <w:snapToGrid/>
              <w:spacing w:before="21" w:line="305" w:lineRule="auto"/>
              <w:ind w:left="53" w:right="89" w:firstLine="1"/>
              <w:textAlignment w:val="auto"/>
              <w:rPr>
                <w:rFonts w:hint="eastAsia" w:ascii="仿宋" w:hAnsi="仿宋" w:eastAsia="仿宋" w:cs="仿宋"/>
              </w:rPr>
            </w:pPr>
            <w:r>
              <w:rPr>
                <w:rFonts w:hint="eastAsia" w:ascii="仿宋" w:hAnsi="仿宋" w:eastAsia="仿宋" w:cs="仿宋"/>
                <w:spacing w:val="-1"/>
              </w:rPr>
              <w:t>全日制康复服务每天</w:t>
            </w:r>
            <w:r>
              <w:rPr>
                <w:rFonts w:hint="eastAsia" w:ascii="仿宋" w:hAnsi="仿宋" w:eastAsia="仿宋" w:cs="仿宋"/>
                <w:spacing w:val="-38"/>
              </w:rPr>
              <w:t xml:space="preserve"> </w:t>
            </w:r>
            <w:r>
              <w:rPr>
                <w:rFonts w:hint="eastAsia" w:ascii="仿宋" w:hAnsi="仿宋" w:eastAsia="仿宋" w:cs="仿宋"/>
                <w:spacing w:val="-1"/>
              </w:rPr>
              <w:t>4</w:t>
            </w:r>
            <w:r>
              <w:rPr>
                <w:rFonts w:hint="eastAsia" w:ascii="仿宋" w:hAnsi="仿宋" w:eastAsia="仿宋" w:cs="仿宋"/>
                <w:spacing w:val="-43"/>
              </w:rPr>
              <w:t xml:space="preserve"> </w:t>
            </w:r>
            <w:r>
              <w:rPr>
                <w:rFonts w:hint="eastAsia" w:ascii="仿宋" w:hAnsi="仿宋" w:eastAsia="仿宋" w:cs="仿宋"/>
                <w:spacing w:val="-1"/>
              </w:rPr>
              <w:t>小时（当月法定工作（学习）日</w:t>
            </w:r>
            <w:r>
              <w:rPr>
                <w:rFonts w:hint="eastAsia" w:ascii="仿宋" w:hAnsi="仿宋" w:eastAsia="仿宋" w:cs="仿宋"/>
                <w:spacing w:val="-37"/>
              </w:rPr>
              <w:t>），</w:t>
            </w:r>
            <w:r>
              <w:rPr>
                <w:rFonts w:hint="eastAsia" w:ascii="仿宋" w:hAnsi="仿宋" w:eastAsia="仿宋" w:cs="仿宋"/>
                <w:spacing w:val="-1"/>
              </w:rPr>
              <w:t>课程设置应符合残疾儿童</w:t>
            </w:r>
            <w:r>
              <w:rPr>
                <w:rFonts w:hint="eastAsia" w:ascii="仿宋" w:hAnsi="仿宋" w:eastAsia="仿宋" w:cs="仿宋"/>
              </w:rPr>
              <w:t xml:space="preserve"> </w:t>
            </w:r>
            <w:r>
              <w:rPr>
                <w:rFonts w:hint="eastAsia" w:ascii="仿宋" w:hAnsi="仿宋" w:eastAsia="仿宋" w:cs="仿宋"/>
                <w:spacing w:val="-2"/>
              </w:rPr>
              <w:t>个性特征，每天个性化服务支持不少于</w:t>
            </w:r>
            <w:r>
              <w:rPr>
                <w:rFonts w:hint="eastAsia" w:ascii="仿宋" w:hAnsi="仿宋" w:eastAsia="仿宋" w:cs="仿宋"/>
                <w:spacing w:val="-21"/>
              </w:rPr>
              <w:t xml:space="preserve"> </w:t>
            </w:r>
            <w:r>
              <w:rPr>
                <w:rFonts w:hint="eastAsia" w:ascii="仿宋" w:hAnsi="仿宋" w:eastAsia="仿宋" w:cs="仿宋"/>
                <w:spacing w:val="-2"/>
              </w:rPr>
              <w:t>1</w:t>
            </w:r>
            <w:r>
              <w:rPr>
                <w:rFonts w:hint="eastAsia" w:ascii="仿宋" w:hAnsi="仿宋" w:eastAsia="仿宋" w:cs="仿宋"/>
                <w:spacing w:val="-43"/>
              </w:rPr>
              <w:t xml:space="preserve"> </w:t>
            </w:r>
            <w:r>
              <w:rPr>
                <w:rFonts w:hint="eastAsia" w:ascii="仿宋" w:hAnsi="仿宋" w:eastAsia="仿宋" w:cs="仿宋"/>
                <w:spacing w:val="-2"/>
              </w:rPr>
              <w:t>节课</w:t>
            </w:r>
            <w:r>
              <w:rPr>
                <w:rFonts w:hint="eastAsia" w:ascii="仿宋" w:hAnsi="仿宋" w:eastAsia="仿宋" w:cs="仿宋"/>
                <w:spacing w:val="-39"/>
              </w:rPr>
              <w:t xml:space="preserve"> </w:t>
            </w:r>
            <w:r>
              <w:rPr>
                <w:rFonts w:hint="eastAsia" w:ascii="仿宋" w:hAnsi="仿宋" w:eastAsia="仿宋" w:cs="仿宋"/>
                <w:spacing w:val="-2"/>
              </w:rPr>
              <w:t>40</w:t>
            </w:r>
            <w:r>
              <w:rPr>
                <w:rFonts w:hint="eastAsia" w:ascii="仿宋" w:hAnsi="仿宋" w:eastAsia="仿宋" w:cs="仿宋"/>
                <w:spacing w:val="-44"/>
              </w:rPr>
              <w:t xml:space="preserve"> </w:t>
            </w:r>
            <w:r>
              <w:rPr>
                <w:rFonts w:hint="eastAsia" w:ascii="仿宋" w:hAnsi="仿宋" w:eastAsia="仿宋" w:cs="仿宋"/>
                <w:spacing w:val="-2"/>
              </w:rPr>
              <w:t>分钟。</w:t>
            </w:r>
          </w:p>
          <w:p w14:paraId="1A941E5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4"/>
              </w:rPr>
              <w:t>非全日制康复服务每月</w:t>
            </w:r>
            <w:r>
              <w:rPr>
                <w:rFonts w:hint="eastAsia" w:ascii="仿宋" w:hAnsi="仿宋" w:eastAsia="仿宋" w:cs="仿宋"/>
                <w:spacing w:val="-20"/>
              </w:rPr>
              <w:t xml:space="preserve"> </w:t>
            </w:r>
            <w:r>
              <w:rPr>
                <w:rFonts w:hint="eastAsia" w:ascii="仿宋" w:hAnsi="仿宋" w:eastAsia="仿宋" w:cs="仿宋"/>
                <w:spacing w:val="-4"/>
              </w:rPr>
              <w:t>12</w:t>
            </w:r>
            <w:r>
              <w:rPr>
                <w:rFonts w:hint="eastAsia" w:ascii="仿宋" w:hAnsi="仿宋" w:eastAsia="仿宋" w:cs="仿宋"/>
                <w:spacing w:val="-41"/>
              </w:rPr>
              <w:t xml:space="preserve"> </w:t>
            </w:r>
            <w:r>
              <w:rPr>
                <w:rFonts w:hint="eastAsia" w:ascii="仿宋" w:hAnsi="仿宋" w:eastAsia="仿宋" w:cs="仿宋"/>
                <w:spacing w:val="-4"/>
              </w:rPr>
              <w:t>天（每周3</w:t>
            </w:r>
            <w:r>
              <w:rPr>
                <w:rFonts w:hint="eastAsia" w:ascii="仿宋" w:hAnsi="仿宋" w:eastAsia="仿宋" w:cs="仿宋"/>
                <w:spacing w:val="-40"/>
              </w:rPr>
              <w:t xml:space="preserve"> </w:t>
            </w:r>
            <w:r>
              <w:rPr>
                <w:rFonts w:hint="eastAsia" w:ascii="仿宋" w:hAnsi="仿宋" w:eastAsia="仿宋" w:cs="仿宋"/>
                <w:spacing w:val="-4"/>
              </w:rPr>
              <w:t>天</w:t>
            </w:r>
            <w:r>
              <w:rPr>
                <w:rFonts w:hint="eastAsia" w:ascii="仿宋" w:hAnsi="仿宋" w:eastAsia="仿宋" w:cs="仿宋"/>
                <w:spacing w:val="-26"/>
              </w:rPr>
              <w:t>），</w:t>
            </w:r>
            <w:r>
              <w:rPr>
                <w:rFonts w:hint="eastAsia" w:ascii="仿宋" w:hAnsi="仿宋" w:eastAsia="仿宋" w:cs="仿宋"/>
                <w:spacing w:val="-4"/>
              </w:rPr>
              <w:t>每天 1</w:t>
            </w:r>
            <w:r>
              <w:rPr>
                <w:rFonts w:hint="eastAsia" w:ascii="仿宋" w:hAnsi="仿宋" w:eastAsia="仿宋" w:cs="仿宋"/>
                <w:spacing w:val="-42"/>
              </w:rPr>
              <w:t xml:space="preserve"> </w:t>
            </w:r>
            <w:r>
              <w:rPr>
                <w:rFonts w:hint="eastAsia" w:ascii="仿宋" w:hAnsi="仿宋" w:eastAsia="仿宋" w:cs="仿宋"/>
                <w:spacing w:val="-4"/>
              </w:rPr>
              <w:t>次</w:t>
            </w:r>
            <w:r>
              <w:rPr>
                <w:rFonts w:hint="eastAsia" w:ascii="仿宋" w:hAnsi="仿宋" w:eastAsia="仿宋" w:cs="仿宋"/>
                <w:spacing w:val="-22"/>
              </w:rPr>
              <w:t xml:space="preserve"> </w:t>
            </w:r>
            <w:r>
              <w:rPr>
                <w:rFonts w:hint="eastAsia" w:ascii="仿宋" w:hAnsi="仿宋" w:eastAsia="仿宋" w:cs="仿宋"/>
                <w:spacing w:val="-4"/>
              </w:rPr>
              <w:t>1.5</w:t>
            </w:r>
            <w:r>
              <w:rPr>
                <w:rFonts w:hint="eastAsia" w:ascii="仿宋" w:hAnsi="仿宋" w:eastAsia="仿宋" w:cs="仿宋"/>
                <w:spacing w:val="-43"/>
              </w:rPr>
              <w:t xml:space="preserve"> </w:t>
            </w:r>
            <w:r>
              <w:rPr>
                <w:rFonts w:hint="eastAsia" w:ascii="仿宋" w:hAnsi="仿宋" w:eastAsia="仿宋" w:cs="仿宋"/>
                <w:spacing w:val="-4"/>
              </w:rPr>
              <w:t>小时，其</w:t>
            </w:r>
            <w:r>
              <w:rPr>
                <w:rFonts w:hint="eastAsia" w:ascii="仿宋" w:hAnsi="仿宋" w:eastAsia="仿宋" w:cs="仿宋"/>
                <w:spacing w:val="-5"/>
              </w:rPr>
              <w:t>中个性化服务支</w:t>
            </w:r>
            <w:r>
              <w:rPr>
                <w:rFonts w:hint="eastAsia" w:ascii="仿宋" w:hAnsi="仿宋" w:eastAsia="仿宋" w:cs="仿宋"/>
              </w:rPr>
              <w:t xml:space="preserve"> </w:t>
            </w:r>
            <w:r>
              <w:rPr>
                <w:rFonts w:hint="eastAsia" w:ascii="仿宋" w:hAnsi="仿宋" w:eastAsia="仿宋" w:cs="仿宋"/>
                <w:spacing w:val="-6"/>
              </w:rPr>
              <w:t>持不少于</w:t>
            </w:r>
            <w:r>
              <w:rPr>
                <w:rFonts w:hint="eastAsia" w:ascii="仿宋" w:hAnsi="仿宋" w:eastAsia="仿宋" w:cs="仿宋"/>
                <w:spacing w:val="-18"/>
              </w:rPr>
              <w:t xml:space="preserve"> </w:t>
            </w:r>
            <w:r>
              <w:rPr>
                <w:rFonts w:hint="eastAsia" w:ascii="仿宋" w:hAnsi="仿宋" w:eastAsia="仿宋" w:cs="仿宋"/>
                <w:spacing w:val="-6"/>
              </w:rPr>
              <w:t>1</w:t>
            </w:r>
            <w:r>
              <w:rPr>
                <w:rFonts w:hint="eastAsia" w:ascii="仿宋" w:hAnsi="仿宋" w:eastAsia="仿宋" w:cs="仿宋"/>
                <w:spacing w:val="-42"/>
              </w:rPr>
              <w:t xml:space="preserve"> </w:t>
            </w:r>
            <w:r>
              <w:rPr>
                <w:rFonts w:hint="eastAsia" w:ascii="仿宋" w:hAnsi="仿宋" w:eastAsia="仿宋" w:cs="仿宋"/>
                <w:spacing w:val="-6"/>
              </w:rPr>
              <w:t>小时。</w:t>
            </w:r>
          </w:p>
        </w:tc>
      </w:tr>
      <w:tr w14:paraId="0A31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425190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left w:val="single" w:color="auto" w:sz="4" w:space="0"/>
              <w:right w:val="single" w:color="auto" w:sz="4" w:space="0"/>
            </w:tcBorders>
            <w:noWrap w:val="0"/>
            <w:vAlign w:val="center"/>
          </w:tcPr>
          <w:p w14:paraId="3E1D048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0B25D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3"/>
              </w:rPr>
              <w:t>社会融合活动：组织肢体残疾儿童开展文化、体育、娱乐等活动，促进社会融合，</w:t>
            </w:r>
            <w:r>
              <w:rPr>
                <w:rFonts w:hint="eastAsia" w:ascii="仿宋" w:hAnsi="仿宋" w:eastAsia="仿宋" w:cs="仿宋"/>
              </w:rPr>
              <w:t xml:space="preserve"> 为残疾儿童入园（入学）提供必要指导、支持和帮助。每季度进行</w:t>
            </w:r>
            <w:r>
              <w:rPr>
                <w:rFonts w:hint="eastAsia" w:ascii="仿宋" w:hAnsi="仿宋" w:eastAsia="仿宋" w:cs="仿宋"/>
                <w:spacing w:val="26"/>
              </w:rPr>
              <w:t xml:space="preserve"> </w:t>
            </w:r>
            <w:r>
              <w:rPr>
                <w:rFonts w:hint="eastAsia" w:ascii="仿宋" w:hAnsi="仿宋" w:eastAsia="仿宋" w:cs="仿宋"/>
              </w:rPr>
              <w:t>1 次</w:t>
            </w:r>
            <w:r>
              <w:rPr>
                <w:rFonts w:hint="eastAsia" w:ascii="仿宋" w:hAnsi="仿宋" w:eastAsia="仿宋" w:cs="仿宋"/>
                <w:spacing w:val="-1"/>
              </w:rPr>
              <w:t>，每次不少</w:t>
            </w:r>
            <w:r>
              <w:rPr>
                <w:rFonts w:hint="eastAsia" w:ascii="仿宋" w:hAnsi="仿宋" w:eastAsia="仿宋" w:cs="仿宋"/>
              </w:rPr>
              <w:t xml:space="preserve"> </w:t>
            </w:r>
            <w:r>
              <w:rPr>
                <w:rFonts w:hint="eastAsia" w:ascii="仿宋" w:hAnsi="仿宋" w:eastAsia="仿宋" w:cs="仿宋"/>
                <w:spacing w:val="-10"/>
              </w:rPr>
              <w:t>于</w:t>
            </w:r>
            <w:r>
              <w:rPr>
                <w:rFonts w:hint="eastAsia" w:ascii="仿宋" w:hAnsi="仿宋" w:eastAsia="仿宋" w:cs="仿宋"/>
                <w:spacing w:val="-19"/>
              </w:rPr>
              <w:t xml:space="preserve"> </w:t>
            </w:r>
            <w:r>
              <w:rPr>
                <w:rFonts w:hint="eastAsia" w:ascii="仿宋" w:hAnsi="仿宋" w:eastAsia="仿宋" w:cs="仿宋"/>
                <w:spacing w:val="-10"/>
              </w:rPr>
              <w:t>1</w:t>
            </w:r>
            <w:r>
              <w:rPr>
                <w:rFonts w:hint="eastAsia" w:ascii="仿宋" w:hAnsi="仿宋" w:eastAsia="仿宋" w:cs="仿宋"/>
                <w:spacing w:val="-44"/>
              </w:rPr>
              <w:t xml:space="preserve"> </w:t>
            </w:r>
            <w:r>
              <w:rPr>
                <w:rFonts w:hint="eastAsia" w:ascii="仿宋" w:hAnsi="仿宋" w:eastAsia="仿宋" w:cs="仿宋"/>
                <w:spacing w:val="-10"/>
              </w:rPr>
              <w:t>小时。</w:t>
            </w:r>
          </w:p>
        </w:tc>
      </w:tr>
      <w:tr w14:paraId="5AC5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DF27B2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left w:val="single" w:color="auto" w:sz="4" w:space="0"/>
              <w:right w:val="single" w:color="auto" w:sz="4" w:space="0"/>
            </w:tcBorders>
            <w:noWrap w:val="0"/>
            <w:vAlign w:val="center"/>
          </w:tcPr>
          <w:p w14:paraId="6126B6F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0A526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3"/>
              </w:rPr>
              <w:t>支持性服务：为受训儿童及家长提供家庭康复指导、心理辅导、政策咨询、知识普</w:t>
            </w:r>
            <w:r>
              <w:rPr>
                <w:rFonts w:hint="eastAsia" w:ascii="仿宋" w:hAnsi="仿宋" w:eastAsia="仿宋" w:cs="仿宋"/>
              </w:rPr>
              <w:t xml:space="preserve"> </w:t>
            </w:r>
            <w:r>
              <w:rPr>
                <w:rFonts w:hint="eastAsia" w:ascii="仿宋" w:hAnsi="仿宋" w:eastAsia="仿宋" w:cs="仿宋"/>
                <w:spacing w:val="-2"/>
              </w:rPr>
              <w:t>及等支持性服务，集中培训活动每两月不少于</w:t>
            </w:r>
            <w:r>
              <w:rPr>
                <w:rFonts w:hint="eastAsia" w:ascii="仿宋" w:hAnsi="仿宋" w:eastAsia="仿宋" w:cs="仿宋"/>
                <w:spacing w:val="-21"/>
              </w:rPr>
              <w:t xml:space="preserve"> </w:t>
            </w:r>
            <w:r>
              <w:rPr>
                <w:rFonts w:hint="eastAsia" w:ascii="仿宋" w:hAnsi="仿宋" w:eastAsia="仿宋" w:cs="仿宋"/>
                <w:spacing w:val="-2"/>
              </w:rPr>
              <w:t>1</w:t>
            </w:r>
            <w:r>
              <w:rPr>
                <w:rFonts w:hint="eastAsia" w:ascii="仿宋" w:hAnsi="仿宋" w:eastAsia="仿宋" w:cs="仿宋"/>
                <w:spacing w:val="-42"/>
              </w:rPr>
              <w:t xml:space="preserve"> </w:t>
            </w:r>
            <w:r>
              <w:rPr>
                <w:rFonts w:hint="eastAsia" w:ascii="仿宋" w:hAnsi="仿宋" w:eastAsia="仿宋" w:cs="仿宋"/>
                <w:spacing w:val="-2"/>
              </w:rPr>
              <w:t>次，每次不少于</w:t>
            </w:r>
            <w:r>
              <w:rPr>
                <w:rFonts w:hint="eastAsia" w:ascii="仿宋" w:hAnsi="仿宋" w:eastAsia="仿宋" w:cs="仿宋"/>
                <w:spacing w:val="-22"/>
              </w:rPr>
              <w:t xml:space="preserve"> </w:t>
            </w:r>
            <w:r>
              <w:rPr>
                <w:rFonts w:hint="eastAsia" w:ascii="仿宋" w:hAnsi="仿宋" w:eastAsia="仿宋" w:cs="仿宋"/>
                <w:spacing w:val="-2"/>
              </w:rPr>
              <w:t>1</w:t>
            </w:r>
            <w:r>
              <w:rPr>
                <w:rFonts w:hint="eastAsia" w:ascii="仿宋" w:hAnsi="仿宋" w:eastAsia="仿宋" w:cs="仿宋"/>
                <w:spacing w:val="-43"/>
              </w:rPr>
              <w:t xml:space="preserve"> </w:t>
            </w:r>
            <w:r>
              <w:rPr>
                <w:rFonts w:hint="eastAsia" w:ascii="仿宋" w:hAnsi="仿宋" w:eastAsia="仿宋" w:cs="仿宋"/>
                <w:spacing w:val="-3"/>
              </w:rPr>
              <w:t>小时。</w:t>
            </w:r>
          </w:p>
        </w:tc>
      </w:tr>
      <w:tr w14:paraId="282C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913F8E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vMerge w:val="continue"/>
            <w:tcBorders>
              <w:left w:val="single" w:color="auto" w:sz="4" w:space="0"/>
              <w:bottom w:val="single" w:color="auto" w:sz="4" w:space="0"/>
              <w:right w:val="single" w:color="auto" w:sz="4" w:space="0"/>
            </w:tcBorders>
            <w:noWrap w:val="0"/>
            <w:vAlign w:val="center"/>
          </w:tcPr>
          <w:p w14:paraId="38FBA0A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59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F676B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spacing w:val="-2"/>
                <w:position w:val="1"/>
              </w:rPr>
              <w:t>残疾儿童年度康复训练前、训练中、训练后应进行康复效能评估,每年不少于</w:t>
            </w:r>
            <w:r>
              <w:rPr>
                <w:rFonts w:hint="eastAsia" w:ascii="仿宋" w:hAnsi="仿宋" w:eastAsia="仿宋" w:cs="仿宋"/>
                <w:spacing w:val="-32"/>
                <w:position w:val="1"/>
              </w:rPr>
              <w:t xml:space="preserve"> </w:t>
            </w:r>
            <w:r>
              <w:rPr>
                <w:rFonts w:hint="eastAsia" w:ascii="仿宋" w:hAnsi="仿宋" w:eastAsia="仿宋" w:cs="仿宋"/>
                <w:spacing w:val="-2"/>
                <w:position w:val="1"/>
              </w:rPr>
              <w:t>3</w:t>
            </w:r>
            <w:r>
              <w:rPr>
                <w:rFonts w:hint="eastAsia" w:ascii="仿宋" w:hAnsi="仿宋" w:eastAsia="仿宋" w:cs="仿宋"/>
                <w:spacing w:val="-42"/>
                <w:position w:val="1"/>
              </w:rPr>
              <w:t xml:space="preserve"> </w:t>
            </w:r>
            <w:r>
              <w:rPr>
                <w:rFonts w:hint="eastAsia" w:ascii="仿宋" w:hAnsi="仿宋" w:eastAsia="仿宋" w:cs="仿宋"/>
                <w:spacing w:val="-2"/>
                <w:position w:val="1"/>
              </w:rPr>
              <w:t>次。</w:t>
            </w:r>
          </w:p>
        </w:tc>
      </w:tr>
      <w:tr w14:paraId="14F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8F7C5F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5AFAFD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5.3工作台账</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4DDAAA5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1.康复服务档案齐全，包括残疾儿童康复服务登记表、初始状态评估表、康复训练计划、康复训练日志、阶段性评估表、训练出勤表。</w:t>
            </w:r>
          </w:p>
          <w:p w14:paraId="417E7D6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2.《残疾儿童康复救助平台》数据录入及时、准确、完备。</w:t>
            </w:r>
          </w:p>
        </w:tc>
      </w:tr>
      <w:tr w14:paraId="1295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07B3E1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E06F78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5.4家长培训</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15B0D79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1.定期向家长提供每年不少于4次的相关培训，并有相关书面和视频记录；</w:t>
            </w:r>
          </w:p>
          <w:p w14:paraId="6CBE361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2.家长了解在社区和家庭环境中进行康复训练的目标；</w:t>
            </w:r>
          </w:p>
          <w:p w14:paraId="233D9E1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3.家长掌握基本康复训练的流程和组织实施方法。</w:t>
            </w:r>
          </w:p>
        </w:tc>
      </w:tr>
      <w:tr w14:paraId="4301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0BAFBE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3053B8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5.5业务指导</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608157D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1.开展儿童转介或跟踪服务；</w:t>
            </w:r>
          </w:p>
          <w:p w14:paraId="704314EE">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2.面向社区提供家庭康复延伸的培训并记录；</w:t>
            </w:r>
          </w:p>
          <w:p w14:paraId="2D0A700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3.根据服务对象特点提供指导服务、派发相关宣传资料；</w:t>
            </w:r>
          </w:p>
          <w:p w14:paraId="21F5570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4.结合“全国助残日”等专题日，参与公益活动，每年不少于2次。</w:t>
            </w:r>
          </w:p>
          <w:p w14:paraId="3BF9B45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5.对于康复效果明显，符合入园、入学条件的儿童，及时动员家长办理入园、入学手续，并跟踪进行康复服务指导。</w:t>
            </w:r>
          </w:p>
        </w:tc>
      </w:tr>
      <w:tr w14:paraId="026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30397A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E92D90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5.6质量控制</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705FEE2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1.有需求智力残疾儿童康复评估、康复训练建档率100%；</w:t>
            </w:r>
          </w:p>
          <w:p w14:paraId="2201B1A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.家长满意度调查达90%以上；</w:t>
            </w:r>
          </w:p>
          <w:p w14:paraId="10CFF88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3</w:t>
            </w:r>
            <w:r>
              <w:rPr>
                <w:rFonts w:hint="eastAsia" w:ascii="仿宋" w:hAnsi="仿宋" w:eastAsia="仿宋" w:cs="仿宋"/>
              </w:rPr>
              <w:t>.组织智力残疾儿童参加社会融合活动每年不少于4次。</w:t>
            </w:r>
          </w:p>
        </w:tc>
      </w:tr>
    </w:tbl>
    <w:p w14:paraId="0A0E7AF6">
      <w:pPr>
        <w:spacing w:line="360" w:lineRule="auto"/>
        <w:rPr>
          <w:rFonts w:hint="eastAsia" w:ascii="仿宋" w:hAnsi="仿宋" w:eastAsia="仿宋" w:cs="仿宋"/>
          <w:b/>
          <w:i w:val="0"/>
          <w:iCs w:val="0"/>
          <w:color w:val="auto"/>
          <w:sz w:val="24"/>
          <w:szCs w:val="24"/>
          <w:lang w:val="en-US" w:eastAsia="zh-CN"/>
        </w:rPr>
      </w:pPr>
    </w:p>
    <w:p w14:paraId="15B99A09">
      <w:pPr>
        <w:spacing w:line="360" w:lineRule="auto"/>
        <w:rPr>
          <w:rFonts w:hint="eastAsia" w:ascii="仿宋" w:hAnsi="仿宋" w:eastAsia="仿宋" w:cs="仿宋"/>
          <w:b/>
          <w:i w:val="0"/>
          <w:iCs w:val="0"/>
          <w:color w:val="auto"/>
          <w:sz w:val="24"/>
          <w:szCs w:val="24"/>
          <w:lang w:val="en-US" w:eastAsia="zh-CN"/>
        </w:rPr>
      </w:pPr>
      <w:r>
        <w:rPr>
          <w:rFonts w:hint="eastAsia" w:ascii="仿宋" w:hAnsi="仿宋" w:eastAsia="仿宋" w:cs="仿宋"/>
          <w:b/>
          <w:i w:val="0"/>
          <w:iCs w:val="0"/>
          <w:color w:val="auto"/>
          <w:sz w:val="24"/>
          <w:szCs w:val="24"/>
          <w:lang w:val="en-US" w:eastAsia="zh-CN"/>
        </w:rPr>
        <w:t>分包四：智力康复服务机构</w:t>
      </w:r>
    </w:p>
    <w:tbl>
      <w:tblPr>
        <w:tblStyle w:val="40"/>
        <w:tblW w:w="7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35"/>
        <w:gridCol w:w="6328"/>
      </w:tblGrid>
      <w:tr w14:paraId="2E4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1" w:type="dxa"/>
            <w:gridSpan w:val="2"/>
            <w:tcBorders>
              <w:top w:val="single" w:color="auto" w:sz="4" w:space="0"/>
              <w:left w:val="single" w:color="auto" w:sz="4" w:space="0"/>
              <w:bottom w:val="single" w:color="auto" w:sz="4" w:space="0"/>
              <w:right w:val="single" w:color="auto" w:sz="4" w:space="0"/>
            </w:tcBorders>
            <w:noWrap w:val="0"/>
            <w:vAlign w:val="center"/>
          </w:tcPr>
          <w:p w14:paraId="5823A3A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b/>
                <w:szCs w:val="21"/>
              </w:rPr>
            </w:pPr>
            <w:r>
              <w:rPr>
                <w:rFonts w:hint="eastAsia" w:ascii="仿宋" w:hAnsi="仿宋" w:eastAsia="仿宋" w:cs="仿宋"/>
                <w:b/>
              </w:rPr>
              <w:t>项  目</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25567E87">
            <w:pPr>
              <w:keepNext w:val="0"/>
              <w:keepLines w:val="0"/>
              <w:pageBreakBefore w:val="0"/>
              <w:kinsoku/>
              <w:wordWrap/>
              <w:overflowPunct/>
              <w:topLinePunct w:val="0"/>
              <w:autoSpaceDE/>
              <w:autoSpaceDN/>
              <w:bidi w:val="0"/>
              <w:adjustRightInd/>
              <w:snapToGrid/>
              <w:spacing w:line="305" w:lineRule="auto"/>
              <w:ind w:firstLine="2108" w:firstLineChars="1000"/>
              <w:jc w:val="both"/>
              <w:textAlignment w:val="auto"/>
              <w:rPr>
                <w:rFonts w:hint="eastAsia" w:ascii="仿宋" w:hAnsi="仿宋" w:eastAsia="仿宋" w:cs="仿宋"/>
                <w:b/>
                <w:szCs w:val="21"/>
              </w:rPr>
            </w:pPr>
            <w:r>
              <w:rPr>
                <w:rFonts w:hint="eastAsia" w:ascii="仿宋" w:hAnsi="仿宋" w:eastAsia="仿宋" w:cs="仿宋"/>
                <w:b/>
              </w:rPr>
              <w:t>智力康复服务机构要求</w:t>
            </w:r>
          </w:p>
        </w:tc>
      </w:tr>
      <w:tr w14:paraId="3D6A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7A6B7726">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w:t>
            </w:r>
          </w:p>
          <w:p w14:paraId="6823D64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建设标准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D431A7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1.1建设要求</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6BB689D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机构规划布局、建设规模和建设面积执行《残疾人康复机构建设标准》（建标165－2013）中关于“选址与规划布局”和“建设规模与建筑面积指标”的相关规定。</w:t>
            </w:r>
          </w:p>
        </w:tc>
      </w:tr>
      <w:tr w14:paraId="6220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22AE37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DBDC3E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1.2环境要求</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47E0F35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应有与收训规模相适应的独立、安全、相对稳定的房屋，并设置在安全区域内，周围50米以内无污染、噪音影响。平房有独立院落，多层建筑宜设置在三层以下。不应与易爆、易燃等危化品生产、储存、装卸场所相邻，应远离高压线、垃圾站及大型机动车停车场。</w:t>
            </w:r>
          </w:p>
          <w:p w14:paraId="3819EC4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2.生活用房应设在建筑的底层，设有独立出入口；有独立的室外活动场地。生活用房和室外场地与其他建筑部分采取隔离措施，配备防止物体坠落设施，光照充足，通风良好。</w:t>
            </w:r>
          </w:p>
        </w:tc>
      </w:tr>
      <w:tr w14:paraId="58BB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0FEF7C4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w:t>
            </w:r>
          </w:p>
          <w:p w14:paraId="0F22FF6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内部管理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B5248E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2.1制度管理</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58DB417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具备岗位职责、业务管理、人力资源管理、财务管理、突发事件应急预案、信息管理、服务项目及收费标准等信息公示，有年度自查的总结报告。</w:t>
            </w:r>
          </w:p>
        </w:tc>
      </w:tr>
      <w:tr w14:paraId="21DA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31A1EE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63D871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lang w:val="en-US" w:eastAsia="zh-CN"/>
              </w:rPr>
            </w:pPr>
            <w:r>
              <w:rPr>
                <w:rFonts w:hint="eastAsia" w:ascii="仿宋" w:hAnsi="仿宋" w:eastAsia="仿宋" w:cs="仿宋"/>
              </w:rPr>
              <w:t>2.2</w:t>
            </w:r>
            <w:r>
              <w:rPr>
                <w:rFonts w:hint="eastAsia" w:ascii="仿宋" w:hAnsi="仿宋" w:eastAsia="仿宋" w:cs="仿宋"/>
                <w:lang w:val="en-US" w:eastAsia="zh-CN"/>
              </w:rPr>
              <w:t>绩效审计</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2C2019D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接受业务主管部门财务检查和年度审计，</w:t>
            </w:r>
            <w:r>
              <w:rPr>
                <w:rFonts w:hint="eastAsia" w:ascii="仿宋" w:hAnsi="仿宋" w:eastAsia="仿宋" w:cs="仿宋"/>
                <w:highlight w:val="none"/>
              </w:rPr>
              <w:t>经</w:t>
            </w:r>
            <w:r>
              <w:rPr>
                <w:rFonts w:hint="eastAsia" w:ascii="仿宋" w:hAnsi="仿宋" w:eastAsia="仿宋" w:cs="仿宋"/>
                <w:highlight w:val="none"/>
                <w:lang w:val="en-US" w:eastAsia="zh-CN"/>
              </w:rPr>
              <w:t>区</w:t>
            </w:r>
            <w:r>
              <w:rPr>
                <w:rFonts w:hint="eastAsia" w:ascii="仿宋" w:hAnsi="仿宋" w:eastAsia="仿宋" w:cs="仿宋"/>
                <w:highlight w:val="none"/>
              </w:rPr>
              <w:t>级</w:t>
            </w:r>
            <w:r>
              <w:rPr>
                <w:rFonts w:hint="eastAsia" w:ascii="仿宋" w:hAnsi="仿宋" w:eastAsia="仿宋" w:cs="仿宋"/>
              </w:rPr>
              <w:t>以上残联会同财政部门年度康复服务项目绩效考核合格以上。</w:t>
            </w:r>
          </w:p>
        </w:tc>
      </w:tr>
      <w:tr w14:paraId="6D2F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4CB54B7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w:t>
            </w:r>
          </w:p>
          <w:p w14:paraId="646FAA0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设施设备</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525D9C9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3.1训练场地</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62DEA8C4">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b w:val="0"/>
                <w:bCs w:val="0"/>
              </w:rPr>
              <w:t>应设置咨询接待(评估)室、集体（组别）训练教室、运动/感统训练室、个训教室、生活自理训练区、有可利用的室外活动场地，无障碍设施完备。业务用房面积不少于建筑总面积的60%。设置应符合（建标165－2013）规定。</w:t>
            </w:r>
          </w:p>
        </w:tc>
      </w:tr>
      <w:tr w14:paraId="167C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518DAE8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A96CAB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7F314CB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lang w:eastAsia="zh-CN"/>
              </w:rPr>
            </w:pPr>
            <w:r>
              <w:rPr>
                <w:rFonts w:hint="eastAsia" w:ascii="仿宋" w:hAnsi="仿宋" w:eastAsia="仿宋" w:cs="仿宋"/>
              </w:rPr>
              <w:t>咨询接待(评估)室至少1间,不小于15平方米</w:t>
            </w:r>
            <w:r>
              <w:rPr>
                <w:rFonts w:hint="eastAsia" w:ascii="仿宋" w:hAnsi="仿宋" w:eastAsia="仿宋" w:cs="仿宋"/>
                <w:lang w:eastAsia="zh-CN"/>
              </w:rPr>
              <w:t>。</w:t>
            </w:r>
          </w:p>
        </w:tc>
      </w:tr>
      <w:tr w14:paraId="1020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195D1E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24A071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4DC9152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集体（组别）训练教室至少1间，内设游戏活动区,每间不小于30平方米。</w:t>
            </w:r>
          </w:p>
        </w:tc>
      </w:tr>
      <w:tr w14:paraId="370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64D58C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3B36A6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1981073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运动/感统训练室至少1间,不小于50平方米。</w:t>
            </w:r>
          </w:p>
        </w:tc>
      </w:tr>
      <w:tr w14:paraId="4EB8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127F62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A61BE0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5C7DC58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i w:val="0"/>
                <w:iCs w:val="0"/>
              </w:rPr>
              <w:t>个训教室数量与收训儿童人数按1:5的比例标准设置，每间面积不小于8平方米。</w:t>
            </w:r>
          </w:p>
        </w:tc>
      </w:tr>
      <w:tr w14:paraId="54CA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189BBA8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FA1C6B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0087360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生活自理能力训练区,包括洗漱、就餐、更衣、如厕等区域，可结合机构日常生活环境设置。</w:t>
            </w:r>
          </w:p>
        </w:tc>
      </w:tr>
      <w:tr w14:paraId="3BD3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708BA6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E89EF6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6DC6A75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室外活动场地面积按人均2平方米标准设置，建有与智力残疾儿童相适应的运动器材和游戏娱乐设施，室外场地应独立，设有安全提示标志和安全设施，确保无安全隐患。</w:t>
            </w:r>
          </w:p>
        </w:tc>
      </w:tr>
      <w:tr w14:paraId="7FA2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DD0663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0224F0E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3.2训练设备</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59CF29D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配备基本康复评估工具，包括具有运动、感知、言语、生活自理、社会适应、认知能力评估量表和工具。</w:t>
            </w:r>
          </w:p>
        </w:tc>
      </w:tr>
      <w:tr w14:paraId="2B0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D21833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A0C1F8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1A07DBA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训练设备：配备PT软垫（床）、滑板车、大滑板、吊筒、钻滚筒、羊角球、大龙球、布袋跳、触觉球、按摩地垫、平衡木、平衡踩踏车、万象组合包、精细运动训练玩具等。</w:t>
            </w:r>
          </w:p>
        </w:tc>
      </w:tr>
      <w:tr w14:paraId="769A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60ACA2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65CFEB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4FBA3FD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教学设备：配备儿童的课桌椅、大小黑（白）板、多媒体教学；适合儿童特点的挂图、卡片、玩具；个别化教学用课程评估量表等。</w:t>
            </w:r>
          </w:p>
        </w:tc>
      </w:tr>
      <w:tr w14:paraId="1FB1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354CB7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EA2C76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3D136D91">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其它设备：按人均4件的标准配备符合儿童训练特点的各类玩具和图书。配备家长培训所需的教学设备。</w:t>
            </w:r>
          </w:p>
        </w:tc>
      </w:tr>
      <w:tr w14:paraId="27A0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5B482E8F">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w:t>
            </w:r>
          </w:p>
          <w:p w14:paraId="0E3ACB8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机构管理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CEBAFE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4.1人员配备</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092EB71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配备康复业务主管、教师、康复治疗师（行为分析师、言语治疗师、作业治疗师）、保育员、保健医生等工作人员。</w:t>
            </w:r>
          </w:p>
        </w:tc>
      </w:tr>
      <w:tr w14:paraId="55BB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7E525C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A5A546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w:t>
            </w:r>
            <w:r>
              <w:rPr>
                <w:rFonts w:hint="eastAsia" w:ascii="仿宋" w:hAnsi="仿宋" w:eastAsia="仿宋" w:cs="仿宋"/>
                <w:lang w:val="en-US" w:eastAsia="zh-CN"/>
              </w:rPr>
              <w:t>2</w:t>
            </w:r>
            <w:r>
              <w:rPr>
                <w:rFonts w:hint="eastAsia" w:ascii="仿宋" w:hAnsi="仿宋" w:eastAsia="仿宋" w:cs="仿宋"/>
              </w:rPr>
              <w:t>人员组成</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2DE3C25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lang w:eastAsia="zh-CN"/>
              </w:rPr>
            </w:pPr>
            <w:r>
              <w:rPr>
                <w:rFonts w:hint="eastAsia" w:ascii="仿宋" w:hAnsi="仿宋" w:eastAsia="仿宋" w:cs="仿宋"/>
              </w:rPr>
              <w:t>业务主管、康复治疗师、教师不低于机构内职工总数的70%</w:t>
            </w:r>
            <w:r>
              <w:rPr>
                <w:rFonts w:hint="eastAsia" w:ascii="仿宋" w:hAnsi="仿宋" w:eastAsia="仿宋" w:cs="仿宋"/>
                <w:lang w:eastAsia="zh-CN"/>
              </w:rPr>
              <w:t>。</w:t>
            </w:r>
          </w:p>
          <w:p w14:paraId="5915D13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lang w:val="en-US" w:eastAsia="zh-CN"/>
              </w:rPr>
              <w:t>个训</w:t>
            </w:r>
            <w:r>
              <w:rPr>
                <w:rFonts w:hint="eastAsia" w:ascii="仿宋" w:hAnsi="仿宋" w:eastAsia="仿宋" w:cs="仿宋"/>
              </w:rPr>
              <w:t>教师与残疾儿童比例不低于1:</w:t>
            </w:r>
            <w:r>
              <w:rPr>
                <w:rFonts w:hint="eastAsia" w:ascii="仿宋" w:hAnsi="仿宋" w:eastAsia="仿宋" w:cs="仿宋"/>
                <w:lang w:val="en-US" w:eastAsia="zh-CN"/>
              </w:rPr>
              <w:t>8</w:t>
            </w:r>
            <w:r>
              <w:rPr>
                <w:rFonts w:hint="eastAsia" w:ascii="仿宋" w:hAnsi="仿宋" w:eastAsia="仿宋" w:cs="仿宋"/>
              </w:rPr>
              <w:t>。</w:t>
            </w:r>
          </w:p>
          <w:p w14:paraId="6E28EAC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康复治疗师与残疾儿童的比例不低于1:15。</w:t>
            </w:r>
          </w:p>
        </w:tc>
      </w:tr>
      <w:tr w14:paraId="1B54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F8EF8F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8C1EC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4.</w:t>
            </w:r>
            <w:r>
              <w:rPr>
                <w:rFonts w:hint="eastAsia" w:ascii="仿宋" w:hAnsi="仿宋" w:eastAsia="仿宋" w:cs="仿宋"/>
                <w:lang w:val="en-US" w:eastAsia="zh-CN"/>
              </w:rPr>
              <w:t>3</w:t>
            </w:r>
            <w:r>
              <w:rPr>
                <w:rFonts w:hint="eastAsia" w:ascii="仿宋" w:hAnsi="仿宋" w:eastAsia="仿宋" w:cs="仿宋"/>
              </w:rPr>
              <w:t>资历要求</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17CDBF2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1.教师取得资格证、新上岗的教师应经过相关业务培训。</w:t>
            </w:r>
          </w:p>
          <w:p w14:paraId="7926F0D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2.康复治疗师取得资格证或经过相关业务培训。</w:t>
            </w:r>
          </w:p>
          <w:p w14:paraId="5CAA490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 每年不少于30%康复专业人员（业务主管、教师、康复治疗师）参加市级以上组织的业务培训不少于20个学时。</w:t>
            </w:r>
          </w:p>
          <w:p w14:paraId="5CF06843">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4.保育员、保健医生配置参照《幼儿园教职工配备标准（暂行）》和《托儿所幼儿园卫生保健工作规范》执行。</w:t>
            </w:r>
          </w:p>
          <w:p w14:paraId="72F6D1C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5.机构所有工作人员根据岗位要求取得健康证明。</w:t>
            </w:r>
          </w:p>
        </w:tc>
      </w:tr>
      <w:tr w14:paraId="1C7C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79F246B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w:t>
            </w:r>
          </w:p>
          <w:p w14:paraId="60A6FEF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业务功能</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663E89A">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5.1部门设置</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3F5F682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设置智力认知和运动功能评估，康复训练、教育培训、后勤保障、行政办公等部门。</w:t>
            </w:r>
          </w:p>
        </w:tc>
      </w:tr>
      <w:tr w14:paraId="6C0A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CEBAB1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restart"/>
            <w:tcBorders>
              <w:top w:val="single" w:color="auto" w:sz="4" w:space="0"/>
              <w:left w:val="single" w:color="auto" w:sz="4" w:space="0"/>
              <w:right w:val="single" w:color="auto" w:sz="4" w:space="0"/>
            </w:tcBorders>
            <w:noWrap w:val="0"/>
            <w:vAlign w:val="center"/>
          </w:tcPr>
          <w:p w14:paraId="49E24D87">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5.2服务能力</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56D2002D">
            <w:pPr>
              <w:keepNext w:val="0"/>
              <w:keepLines w:val="0"/>
              <w:pageBreakBefore w:val="0"/>
              <w:widowControl/>
              <w:numPr>
                <w:ilvl w:val="0"/>
                <w:numId w:val="0"/>
              </w:numPr>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sz w:val="21"/>
                <w:szCs w:val="22"/>
                <w:lang w:val="en-US" w:eastAsia="zh-CN" w:bidi="ar-SA"/>
              </w:rPr>
              <w:t>1.</w:t>
            </w:r>
            <w:r>
              <w:rPr>
                <w:rFonts w:hint="eastAsia" w:ascii="仿宋" w:hAnsi="仿宋" w:eastAsia="仿宋" w:cs="仿宋"/>
              </w:rPr>
              <w:t>具有同时收训 20 名以上智力残疾儿童的能力。</w:t>
            </w:r>
          </w:p>
          <w:p w14:paraId="00A5E768">
            <w:pPr>
              <w:keepNext w:val="0"/>
              <w:keepLines w:val="0"/>
              <w:pageBreakBefore w:val="0"/>
              <w:widowControl/>
              <w:numPr>
                <w:ilvl w:val="0"/>
                <w:numId w:val="0"/>
              </w:numPr>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2.残联系统从事残疾儿童康复服务的助残机构;教育系统建有学前融合教育资源中心的学前教育机构和特殊教育学校;民政系统开设有儿童康复专科或特教办学点的儿童福利机构;卫健系统</w:t>
            </w:r>
            <w:r>
              <w:rPr>
                <w:rFonts w:hint="eastAsia" w:ascii="仿宋" w:hAnsi="仿宋" w:eastAsia="仿宋" w:cs="仿宋"/>
                <w:lang w:eastAsia="zh-CN"/>
              </w:rPr>
              <w:t>区级</w:t>
            </w:r>
            <w:r>
              <w:rPr>
                <w:rFonts w:hint="eastAsia" w:ascii="仿宋" w:hAnsi="仿宋" w:eastAsia="仿宋" w:cs="仿宋"/>
              </w:rPr>
              <w:t>以上妇幼保健所等公益一类事业单位，不设人数下限。</w:t>
            </w:r>
          </w:p>
        </w:tc>
      </w:tr>
      <w:tr w14:paraId="3D09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9C5AF5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left w:val="single" w:color="auto" w:sz="4" w:space="0"/>
              <w:right w:val="single" w:color="auto" w:sz="4" w:space="0"/>
            </w:tcBorders>
            <w:noWrap w:val="0"/>
            <w:vAlign w:val="center"/>
          </w:tcPr>
          <w:p w14:paraId="52D0401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639DF8A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康复训练：年度机构内基本康复服务时间不少于9个月。服务内容包括社会交往与沟通、认知与感知、运动、生活自理、兴趣与行为、情绪管理和社会融合活动。</w:t>
            </w:r>
          </w:p>
          <w:p w14:paraId="1DEE8E0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全日制康复服务每天 4 小时（当月法定工作（学习）日，课程设置应符合残疾儿童个性特征，每天个性化服务支持不少于 1 节课 40 分钟。</w:t>
            </w:r>
          </w:p>
          <w:p w14:paraId="2AC637E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非全日制康复服务每月 12 天（每周 3 天），每天 1 次 1.5 小时，其中个训化服务支持不少于 1 小时。</w:t>
            </w:r>
          </w:p>
        </w:tc>
      </w:tr>
      <w:tr w14:paraId="5859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FD8CD6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left w:val="single" w:color="auto" w:sz="4" w:space="0"/>
              <w:right w:val="single" w:color="auto" w:sz="4" w:space="0"/>
            </w:tcBorders>
            <w:noWrap w:val="0"/>
            <w:vAlign w:val="center"/>
          </w:tcPr>
          <w:p w14:paraId="7B42477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bottom w:val="single" w:color="auto" w:sz="4" w:space="0"/>
              <w:right w:val="single" w:color="auto" w:sz="4" w:space="0"/>
            </w:tcBorders>
            <w:noWrap w:val="0"/>
            <w:vAlign w:val="center"/>
          </w:tcPr>
          <w:p w14:paraId="495F54C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支持性服务：为受训儿童及家长提供家庭康复指导、心理辅导、政策咨询、知识普及等支持性服务。康复知识个别化讲解和康复训练指导根据实际需要随时为家长提供，集中培训活动每两月不少于1次，每次不少于1小时。社会融合活动每季度不少于1次，每次不少于1小时。</w:t>
            </w:r>
          </w:p>
        </w:tc>
      </w:tr>
      <w:tr w14:paraId="2C1A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54A5A19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vMerge w:val="continue"/>
            <w:tcBorders>
              <w:left w:val="single" w:color="auto" w:sz="4" w:space="0"/>
              <w:right w:val="single" w:color="auto" w:sz="4" w:space="0"/>
            </w:tcBorders>
            <w:noWrap w:val="0"/>
            <w:vAlign w:val="center"/>
          </w:tcPr>
          <w:p w14:paraId="005557F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328" w:type="dxa"/>
            <w:tcBorders>
              <w:top w:val="single" w:color="auto" w:sz="4" w:space="0"/>
              <w:left w:val="single" w:color="auto" w:sz="4" w:space="0"/>
              <w:right w:val="single" w:color="auto" w:sz="4" w:space="0"/>
            </w:tcBorders>
            <w:noWrap w:val="0"/>
            <w:vAlign w:val="center"/>
          </w:tcPr>
          <w:p w14:paraId="0FC5DA3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残疾儿童年度康复训练前、训练中、训练后应进行康复效能评估,每年不少于 3 次。</w:t>
            </w:r>
          </w:p>
        </w:tc>
      </w:tr>
      <w:tr w14:paraId="2225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BB3157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D68703B">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5.3工作台账</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3E394BA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1.康复服务档案齐全，包括残疾儿童康复服务登记表、初始状态评估表、康复训练计划、康复训练日志、阶段性评估表、训练出勤表。</w:t>
            </w:r>
          </w:p>
          <w:p w14:paraId="39BD8AD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2.《残疾儿童康复救助平台》数据录入及时、准确、完备。</w:t>
            </w:r>
          </w:p>
        </w:tc>
      </w:tr>
      <w:tr w14:paraId="4ACE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02F32E6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DCD41C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5.4家长培训</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1394BCE0">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1.定期向家长提供每年不少于4次的相关培训，并有相关书面和视频记录；</w:t>
            </w:r>
          </w:p>
          <w:p w14:paraId="6D52EA8E">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2.家长了解在社区和家庭环境中进行康复训练的目标；</w:t>
            </w:r>
          </w:p>
          <w:p w14:paraId="5B2613C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3.家长掌握基本康复训练的流程和组织实施方法。</w:t>
            </w:r>
          </w:p>
        </w:tc>
      </w:tr>
      <w:tr w14:paraId="0866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F7FB5B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4D066089">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5.5业务指导</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29E01BC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1.开展儿童转介或跟踪服务；</w:t>
            </w:r>
          </w:p>
          <w:p w14:paraId="2465D8BD">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2.面向社区提供家庭康复延伸的培训并记录；</w:t>
            </w:r>
          </w:p>
          <w:p w14:paraId="1A079228">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3.根据服务对象特点提供指导服务、派发相关宣传资料；</w:t>
            </w:r>
          </w:p>
          <w:p w14:paraId="652D1A05">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4.结合“全国助残日”等专题日，参与公益活动，每年不少于2次。</w:t>
            </w:r>
          </w:p>
          <w:p w14:paraId="68E3F15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5.对于康复效果明显，符合入园、入学条件的儿童，及时动员家长办理入园、入学手续，并跟踪进行康复服务指导。</w:t>
            </w:r>
          </w:p>
        </w:tc>
      </w:tr>
      <w:tr w14:paraId="30E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2117C1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A27FAC2">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szCs w:val="21"/>
              </w:rPr>
            </w:pPr>
            <w:r>
              <w:rPr>
                <w:rFonts w:hint="eastAsia" w:ascii="仿宋" w:hAnsi="仿宋" w:eastAsia="仿宋" w:cs="仿宋"/>
              </w:rPr>
              <w:t>5.6质量控制</w:t>
            </w:r>
          </w:p>
        </w:tc>
        <w:tc>
          <w:tcPr>
            <w:tcW w:w="6328" w:type="dxa"/>
            <w:tcBorders>
              <w:top w:val="single" w:color="auto" w:sz="4" w:space="0"/>
              <w:left w:val="single" w:color="auto" w:sz="4" w:space="0"/>
              <w:bottom w:val="single" w:color="auto" w:sz="4" w:space="0"/>
              <w:right w:val="single" w:color="auto" w:sz="4" w:space="0"/>
            </w:tcBorders>
            <w:noWrap w:val="0"/>
            <w:vAlign w:val="center"/>
          </w:tcPr>
          <w:p w14:paraId="32C9F607">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rPr>
              <w:t>1.有需求智力残疾儿童康复评估、康复训练建档率100%；</w:t>
            </w:r>
          </w:p>
          <w:p w14:paraId="09637F9C">
            <w:pPr>
              <w:keepNext w:val="0"/>
              <w:keepLines w:val="0"/>
              <w:pageBreakBefore w:val="0"/>
              <w:kinsoku/>
              <w:wordWrap/>
              <w:overflowPunct/>
              <w:topLinePunct w:val="0"/>
              <w:autoSpaceDE/>
              <w:autoSpaceDN/>
              <w:bidi w:val="0"/>
              <w:adjustRightInd/>
              <w:snapToGrid/>
              <w:spacing w:line="305"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.家长满意度调查达90%以上；</w:t>
            </w:r>
          </w:p>
          <w:p w14:paraId="28D23A0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3</w:t>
            </w:r>
            <w:r>
              <w:rPr>
                <w:rFonts w:hint="eastAsia" w:ascii="仿宋" w:hAnsi="仿宋" w:eastAsia="仿宋" w:cs="仿宋"/>
              </w:rPr>
              <w:t>.组织智力残疾儿童参加社会融合活动每年不少于4次。</w:t>
            </w:r>
          </w:p>
        </w:tc>
      </w:tr>
    </w:tbl>
    <w:p w14:paraId="4EC02950">
      <w:pPr>
        <w:rPr>
          <w:rFonts w:hint="eastAsia" w:ascii="仿宋" w:hAnsi="仿宋" w:eastAsia="仿宋" w:cs="仿宋"/>
        </w:rPr>
      </w:pPr>
    </w:p>
    <w:p w14:paraId="38BCCAF8">
      <w:pPr>
        <w:rPr>
          <w:rFonts w:hint="eastAsia" w:ascii="仿宋" w:hAnsi="仿宋" w:eastAsia="仿宋" w:cs="仿宋"/>
          <w:sz w:val="24"/>
          <w:szCs w:val="28"/>
        </w:rPr>
      </w:pPr>
      <w:r>
        <w:rPr>
          <w:rFonts w:hint="eastAsia" w:ascii="仿宋" w:hAnsi="仿宋" w:eastAsia="仿宋" w:cs="仿宋"/>
          <w:b/>
          <w:sz w:val="24"/>
          <w:szCs w:val="28"/>
          <w:lang w:val="en-US" w:eastAsia="zh-CN"/>
        </w:rPr>
        <w:t>分包五：</w:t>
      </w:r>
      <w:r>
        <w:rPr>
          <w:rFonts w:hint="eastAsia" w:ascii="仿宋" w:hAnsi="仿宋" w:eastAsia="仿宋" w:cs="仿宋"/>
          <w:b/>
          <w:sz w:val="24"/>
          <w:szCs w:val="28"/>
        </w:rPr>
        <w:t>孤独症康复服务机构</w:t>
      </w:r>
    </w:p>
    <w:p w14:paraId="6C5FEC4B">
      <w:pPr>
        <w:rPr>
          <w:rFonts w:hint="eastAsia" w:ascii="仿宋" w:hAnsi="仿宋" w:eastAsia="仿宋" w:cs="仿宋"/>
        </w:rPr>
      </w:pPr>
    </w:p>
    <w:tbl>
      <w:tblPr>
        <w:tblStyle w:val="40"/>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45"/>
        <w:gridCol w:w="6615"/>
      </w:tblGrid>
      <w:tr w14:paraId="1BA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6A818D24">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b/>
                <w:szCs w:val="21"/>
              </w:rPr>
            </w:pPr>
            <w:r>
              <w:rPr>
                <w:rFonts w:hint="eastAsia" w:ascii="仿宋" w:hAnsi="仿宋" w:eastAsia="仿宋" w:cs="仿宋"/>
                <w:b/>
              </w:rPr>
              <w:t>项  目</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82A8E6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b/>
                <w:szCs w:val="21"/>
              </w:rPr>
            </w:pPr>
            <w:r>
              <w:rPr>
                <w:rFonts w:hint="eastAsia" w:ascii="仿宋" w:hAnsi="仿宋" w:eastAsia="仿宋" w:cs="仿宋"/>
                <w:b/>
              </w:rPr>
              <w:t>孤独症康复服务机构要求</w:t>
            </w:r>
          </w:p>
        </w:tc>
      </w:tr>
      <w:tr w14:paraId="45A1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16CB32DD">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w:t>
            </w:r>
          </w:p>
          <w:p w14:paraId="0E76B0B8">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建设标准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B3B3DF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1.1建设要求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A5FDBDD">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机构规划布局、建设规模和建设面积执行《残疾人康复机构建设标准》（建标165－2013）中关于“选址与规划布局”和“建设规模与建筑面积指标”的相关规定。</w:t>
            </w:r>
          </w:p>
        </w:tc>
      </w:tr>
      <w:tr w14:paraId="6E59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0FAB15B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E0530BD">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1.2环境要求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EC01C52">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1.应有与收训规模相适应的独立、安全、相对稳定的房屋，并设置在安全区域内，周围50米以内无污染、噪音影响。平房有独立院落，多层建筑宜设置在三层以下。不应与易爆、易燃等危化品生产、储存、装卸场所相邻，应远离高压线、垃圾站及大型机动车停车场。</w:t>
            </w:r>
          </w:p>
          <w:p w14:paraId="6765BCF8">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2.生活用房应设在建筑的底层，设有独立出入口；有独立的室外活动场地。生活用房和室外场地与其他建筑部分采取隔离措施，配备防止物体坠落设施，光照充足，通风良好。</w:t>
            </w:r>
          </w:p>
        </w:tc>
      </w:tr>
      <w:tr w14:paraId="28FA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404E2E4B">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2</w:t>
            </w:r>
          </w:p>
          <w:p w14:paraId="214E85EF">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内部管理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C082277">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2.1制度管理</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134D9B0">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具备岗位职责、业务管理、人力资源管理、财务管理、突发事件应急预案、信息管理、服务项目及收费标准等信息公示，有年度自查的总结报告。</w:t>
            </w:r>
          </w:p>
        </w:tc>
      </w:tr>
      <w:tr w14:paraId="6C07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E87796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E6CFE28">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lang w:eastAsia="zh-CN"/>
              </w:rPr>
            </w:pPr>
            <w:r>
              <w:rPr>
                <w:rFonts w:hint="eastAsia" w:ascii="仿宋" w:hAnsi="仿宋" w:eastAsia="仿宋" w:cs="仿宋"/>
              </w:rPr>
              <w:t>2.2</w:t>
            </w:r>
            <w:r>
              <w:rPr>
                <w:rFonts w:hint="eastAsia" w:ascii="仿宋" w:hAnsi="仿宋" w:eastAsia="仿宋" w:cs="仿宋"/>
                <w:lang w:val="en-US" w:eastAsia="zh-CN"/>
              </w:rPr>
              <w:t>绩效审计</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EFC012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接</w:t>
            </w:r>
            <w:r>
              <w:rPr>
                <w:rFonts w:hint="eastAsia" w:ascii="仿宋" w:hAnsi="仿宋" w:eastAsia="仿宋" w:cs="仿宋"/>
                <w:lang w:val="en-US" w:eastAsia="zh-CN"/>
              </w:rPr>
              <w:t>受业务主管部门财务检查和年度审计，经</w:t>
            </w:r>
            <w:r>
              <w:rPr>
                <w:rFonts w:hint="eastAsia" w:ascii="仿宋" w:hAnsi="仿宋" w:eastAsia="仿宋" w:cs="仿宋"/>
                <w:highlight w:val="none"/>
                <w:lang w:val="en-US" w:eastAsia="zh-CN"/>
              </w:rPr>
              <w:t>区级</w:t>
            </w:r>
            <w:r>
              <w:rPr>
                <w:rFonts w:hint="eastAsia" w:ascii="仿宋" w:hAnsi="仿宋" w:eastAsia="仿宋" w:cs="仿宋"/>
                <w:lang w:val="en-US" w:eastAsia="zh-CN"/>
              </w:rPr>
              <w:t>以上残联会同财政部门年度康复服务项目绩效考核合格以上</w:t>
            </w:r>
            <w:r>
              <w:rPr>
                <w:rFonts w:hint="eastAsia" w:ascii="仿宋" w:hAnsi="仿宋" w:eastAsia="仿宋" w:cs="仿宋"/>
              </w:rPr>
              <w:t>。</w:t>
            </w:r>
          </w:p>
        </w:tc>
      </w:tr>
      <w:tr w14:paraId="0405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0553B77D">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w:t>
            </w:r>
          </w:p>
          <w:p w14:paraId="0CC63151">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设施设备</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24E3D0EA">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3.1训练场地</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B439E0E">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b w:val="0"/>
                <w:bCs w:val="0"/>
              </w:rPr>
              <w:t>应设置咨询接待(评估)室、集体（组别）训练教室、运动（感统）训练室、生活自理训练室、个训教室、档案室。有可利用的室外活动场地，无障碍建</w:t>
            </w:r>
            <w:r>
              <w:rPr>
                <w:rFonts w:hint="eastAsia" w:ascii="仿宋" w:hAnsi="仿宋" w:eastAsia="仿宋" w:cs="仿宋"/>
              </w:rPr>
              <w:t>设和设施完备。业务用房面积不少于建筑</w:t>
            </w:r>
            <w:r>
              <w:rPr>
                <w:rFonts w:hint="eastAsia" w:ascii="仿宋" w:hAnsi="仿宋" w:eastAsia="仿宋" w:cs="仿宋"/>
                <w:lang w:eastAsia="zh-CN"/>
              </w:rPr>
              <w:t>总面积的</w:t>
            </w:r>
            <w:r>
              <w:rPr>
                <w:rFonts w:hint="eastAsia" w:ascii="仿宋" w:hAnsi="仿宋" w:eastAsia="仿宋" w:cs="仿宋"/>
              </w:rPr>
              <w:t>60%。</w:t>
            </w:r>
          </w:p>
        </w:tc>
      </w:tr>
      <w:tr w14:paraId="7808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6A3C3B2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173EF1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FD767B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咨询接待(评估)室至少1间,面积不小于15平方米。</w:t>
            </w:r>
          </w:p>
        </w:tc>
      </w:tr>
      <w:tr w14:paraId="3E18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989A80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395B43C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E991FE7">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集体（组别）训练教室按1:20的比例标准设置，至少1间，内设游戏活动区,每间不小于30平方米。</w:t>
            </w:r>
          </w:p>
        </w:tc>
      </w:tr>
      <w:tr w14:paraId="711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3FBD55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677EEE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CE8F63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运动（感</w:t>
            </w:r>
            <w:r>
              <w:rPr>
                <w:rFonts w:hint="eastAsia" w:ascii="仿宋" w:hAnsi="仿宋" w:eastAsia="仿宋" w:cs="仿宋"/>
                <w:sz w:val="18"/>
                <w:szCs w:val="18"/>
              </w:rPr>
              <w:t>统）训练室至少</w:t>
            </w:r>
            <w:r>
              <w:rPr>
                <w:rFonts w:hint="eastAsia" w:ascii="仿宋" w:hAnsi="仿宋" w:eastAsia="仿宋" w:cs="仿宋"/>
              </w:rPr>
              <w:t>1间,面积不小于50平方米。</w:t>
            </w:r>
          </w:p>
        </w:tc>
      </w:tr>
      <w:tr w14:paraId="18BD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6A05A78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2776C09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98A2A4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生活自理能力训练区,包括洗漱、就餐、更衣、如厕等区域，可结合机构日常生活环境设置。</w:t>
            </w:r>
          </w:p>
        </w:tc>
      </w:tr>
      <w:tr w14:paraId="7268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53CDC4B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38DE42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0C51226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个训教室数量与</w:t>
            </w:r>
            <w:r>
              <w:rPr>
                <w:rFonts w:hint="eastAsia" w:ascii="仿宋" w:hAnsi="仿宋" w:eastAsia="仿宋" w:cs="仿宋"/>
                <w:lang w:eastAsia="zh-CN"/>
              </w:rPr>
              <w:t>受训</w:t>
            </w:r>
            <w:r>
              <w:rPr>
                <w:rFonts w:hint="eastAsia" w:ascii="仿宋" w:hAnsi="仿宋" w:eastAsia="仿宋" w:cs="仿宋"/>
              </w:rPr>
              <w:t>儿童人数按1:5的比例标准设置，每间面积应不小于8平方米。</w:t>
            </w:r>
          </w:p>
        </w:tc>
      </w:tr>
      <w:tr w14:paraId="6E22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7AE7D20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1ECB522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59EB0A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室外活动场地面积按人均2平方米标准设置，建有与孤独症儿童相适应的运动器材和游戏娱乐设施，室外场地应独立，设有安全提示标志和安全设施，确保无安全隐患。</w:t>
            </w:r>
          </w:p>
        </w:tc>
      </w:tr>
      <w:tr w14:paraId="263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6FE922C6">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341E5756">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3.2训练设备</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0C965F94">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具备基本康复评估工具，包括心理教育评估表（PEP－3）/C－PEP-3/孤独症儿童发展评估表（C－PEP）、语言行为里程碑评估及安置程序（VB－MAPP）、婴儿-初中生社会生活量表/儿童适应行为评定量表/Gesell发育量表。</w:t>
            </w:r>
          </w:p>
        </w:tc>
      </w:tr>
      <w:tr w14:paraId="400F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F3EF4D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138EDCC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76D015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基本训练设备：滑板车、大滑板、吊筒、钻滚筒、羊角球、大龙球、布袋跳、触觉球、按摩地垫、平衡木、平衡踩踏车、万象组合包、精细运动训练玩具等。</w:t>
            </w:r>
          </w:p>
        </w:tc>
      </w:tr>
      <w:tr w14:paraId="7B79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AFD373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49136BE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81C22A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b w:val="0"/>
                <w:bCs w:val="0"/>
                <w:i w:val="0"/>
                <w:iCs w:val="0"/>
                <w:szCs w:val="21"/>
              </w:rPr>
            </w:pPr>
            <w:r>
              <w:rPr>
                <w:rFonts w:hint="eastAsia" w:ascii="仿宋" w:hAnsi="仿宋" w:eastAsia="仿宋" w:cs="仿宋"/>
                <w:b w:val="0"/>
                <w:bCs w:val="0"/>
                <w:i w:val="0"/>
                <w:iCs w:val="0"/>
              </w:rPr>
              <w:t>教学设备：配备儿童的课桌椅、大小黑（白）板、多媒体教学器材；适合儿童特点的挂图、卡片、音乐、游戏等教玩具。</w:t>
            </w:r>
          </w:p>
        </w:tc>
      </w:tr>
      <w:tr w14:paraId="7DA1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0CCA92B1">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6985E53C">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43A894C">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其它设备：按人均4件的标准配备符合儿童训练特点的各类玩具和图书。配备家长培训所需的教学设备。</w:t>
            </w:r>
          </w:p>
        </w:tc>
      </w:tr>
      <w:tr w14:paraId="1F6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2E6FA270">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w:t>
            </w:r>
          </w:p>
          <w:p w14:paraId="58989BC3">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机构管理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2E8020CF">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4.1人员配备</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09E63C3">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配备康复业务主管、教师、康复治疗师（行为分析师、言语治疗师、作业治疗师）、保育员、保健医生等工作人员。</w:t>
            </w:r>
          </w:p>
        </w:tc>
      </w:tr>
      <w:tr w14:paraId="5289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6178BC9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D78CCF2">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lang w:val="en-US" w:eastAsia="zh-CN"/>
              </w:rPr>
            </w:pPr>
            <w:r>
              <w:rPr>
                <w:rFonts w:hint="eastAsia" w:ascii="仿宋" w:hAnsi="仿宋" w:eastAsia="仿宋" w:cs="仿宋"/>
              </w:rPr>
              <w:t>4.2</w:t>
            </w:r>
            <w:r>
              <w:rPr>
                <w:rFonts w:hint="eastAsia" w:ascii="仿宋" w:hAnsi="仿宋" w:eastAsia="仿宋" w:cs="仿宋"/>
                <w:lang w:val="en-US" w:eastAsia="zh-CN"/>
              </w:rPr>
              <w:t>人员组成</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05E6F41">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个训</w:t>
            </w:r>
            <w:r>
              <w:rPr>
                <w:rFonts w:hint="eastAsia" w:ascii="仿宋" w:hAnsi="仿宋" w:eastAsia="仿宋" w:cs="仿宋"/>
              </w:rPr>
              <w:t>教师与残疾儿童比例应不低于1:</w:t>
            </w:r>
            <w:r>
              <w:rPr>
                <w:rFonts w:hint="eastAsia" w:ascii="仿宋" w:hAnsi="仿宋" w:eastAsia="仿宋" w:cs="仿宋"/>
                <w:lang w:val="en-US" w:eastAsia="zh-CN"/>
              </w:rPr>
              <w:t>8</w:t>
            </w:r>
            <w:r>
              <w:rPr>
                <w:rFonts w:hint="eastAsia" w:ascii="仿宋" w:hAnsi="仿宋" w:eastAsia="仿宋" w:cs="仿宋"/>
              </w:rPr>
              <w:t>。</w:t>
            </w:r>
          </w:p>
          <w:p w14:paraId="552E1CC5">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康复治疗师与残疾儿童的比例应不低于1:15。</w:t>
            </w:r>
          </w:p>
          <w:p w14:paraId="075E37B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业务主管、教师、康复治疗师不低于机构内职工总数的70%。</w:t>
            </w:r>
          </w:p>
        </w:tc>
      </w:tr>
      <w:tr w14:paraId="3603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1CE00AB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0789DA2F">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4.3资历要求</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BBEFBE0">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1.业务主管具有教育、医疗、康复、心理等相关专业大专以上学历。有3年以上儿童康复训练的服务经验。</w:t>
            </w:r>
          </w:p>
          <w:p w14:paraId="4D759CF1">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2.教师取得资格证、具有学前教育、特殊教育等相关专业大专以上学历。应全部接受过孤独症康复教育的岗前培训。</w:t>
            </w:r>
          </w:p>
          <w:p w14:paraId="0DF9EA47">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3.康复治疗师具有康复治疗专业大专以上学历。取得资格证或经过相关业务培训。</w:t>
            </w:r>
          </w:p>
          <w:p w14:paraId="76647402">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4. 每年不少于30%康复专业人员（业务主管、教师、康复治疗师）参加市级以上组织的业务培训不少于2</w:t>
            </w:r>
            <w:r>
              <w:rPr>
                <w:rFonts w:hint="eastAsia" w:ascii="仿宋" w:hAnsi="仿宋" w:eastAsia="仿宋" w:cs="仿宋"/>
                <w:lang w:val="en-US" w:eastAsia="zh-CN"/>
              </w:rPr>
              <w:t>1</w:t>
            </w:r>
            <w:r>
              <w:rPr>
                <w:rFonts w:hint="eastAsia" w:ascii="仿宋" w:hAnsi="仿宋" w:eastAsia="仿宋" w:cs="仿宋"/>
              </w:rPr>
              <w:t>个学时。</w:t>
            </w:r>
          </w:p>
          <w:p w14:paraId="524450EE">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5.保育员、保健医生配置参照《幼儿园教职工配备标准（暂行）》和《托儿所幼儿园卫生保健工作规范》执行。</w:t>
            </w:r>
          </w:p>
          <w:p w14:paraId="314B379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6.机构所有工作人员根据岗位要求取得健康证明。</w:t>
            </w:r>
          </w:p>
        </w:tc>
      </w:tr>
      <w:tr w14:paraId="0EA8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1503C6A0">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w:t>
            </w:r>
          </w:p>
          <w:p w14:paraId="168A662D">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业务功能</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B1D44E8">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5.1部门设置</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700ED0B">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设置教学评估/医疗评估，康复训练、教育培训、后勤保障、行政办公等部门。</w:t>
            </w:r>
          </w:p>
        </w:tc>
      </w:tr>
      <w:tr w14:paraId="0DA4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0A44AA2B">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1EFF4FE0">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5.2服务能力</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5972F0D">
            <w:pPr>
              <w:keepNext w:val="0"/>
              <w:keepLines w:val="0"/>
              <w:pageBreakBefore w:val="0"/>
              <w:widowControl/>
              <w:numPr>
                <w:ilvl w:val="0"/>
                <w:numId w:val="0"/>
              </w:numPr>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sz w:val="21"/>
                <w:szCs w:val="22"/>
                <w:lang w:val="en-US" w:eastAsia="zh-CN" w:bidi="ar-SA"/>
              </w:rPr>
              <w:t>1.</w:t>
            </w:r>
            <w:r>
              <w:rPr>
                <w:rFonts w:hint="eastAsia" w:ascii="仿宋" w:hAnsi="仿宋" w:eastAsia="仿宋" w:cs="仿宋"/>
              </w:rPr>
              <w:t>具有同时收训 20 名以上孤独症儿童的能力。</w:t>
            </w:r>
          </w:p>
          <w:p w14:paraId="31DEA723">
            <w:pPr>
              <w:keepNext w:val="0"/>
              <w:keepLines w:val="0"/>
              <w:pageBreakBefore w:val="0"/>
              <w:widowControl/>
              <w:numPr>
                <w:ilvl w:val="0"/>
                <w:numId w:val="0"/>
              </w:numPr>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2.残联系统从事残疾儿童康复服务的助残机构;教育系统建有学前融合教育资源中心的学前教育机构和特殊教育学校;民政系统开设有儿童康复专科或特教办学点的儿童福利机构;卫健系统</w:t>
            </w:r>
            <w:r>
              <w:rPr>
                <w:rFonts w:hint="eastAsia" w:ascii="仿宋" w:hAnsi="仿宋" w:eastAsia="仿宋" w:cs="仿宋"/>
                <w:lang w:eastAsia="zh-CN"/>
              </w:rPr>
              <w:t>区级</w:t>
            </w:r>
            <w:r>
              <w:rPr>
                <w:rFonts w:hint="eastAsia" w:ascii="仿宋" w:hAnsi="仿宋" w:eastAsia="仿宋" w:cs="仿宋"/>
              </w:rPr>
              <w:t>在上妇幼保健所等公益一类事业单位，不设人数下限。</w:t>
            </w:r>
          </w:p>
        </w:tc>
      </w:tr>
      <w:tr w14:paraId="00B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501FC38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2AFA26C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1BBDC18">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康复训练：年度机构内基本康复服务时间不少于9个月。服务内容包括社会交往与沟通、认知与感知、运动、生活自理、兴趣与行为、情绪管理和社会融合活动。</w:t>
            </w:r>
          </w:p>
          <w:p w14:paraId="18B5EE5F">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全日制康复服务每天 4 小时（当月法定工作（学习）日），课程设置应符合残疾儿童个性特征，每天个性化服务支持不少于 1 节课 40 分钟。</w:t>
            </w:r>
          </w:p>
          <w:p w14:paraId="69F1C1B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非全日制康复服务每月 12 天（每周 3 天），每天 1 次 1.5 小时，其中个训化服务支持不少于 1 小时。</w:t>
            </w:r>
          </w:p>
        </w:tc>
      </w:tr>
      <w:tr w14:paraId="19FA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488C292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4BA14BA4">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A2914F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支持性服务：为受训儿童及家长提供家庭康复指导、心理辅导、政策咨询、知识普及等支持性服务。康复知识个别化讲解和康复训练指导根据实际需要为家长提供，集中培训活动每两月不少于1次，每次不少于1小时。</w:t>
            </w:r>
          </w:p>
        </w:tc>
      </w:tr>
      <w:tr w14:paraId="559A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5F777918">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BAAF09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EC17E13">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残疾儿童年度康复训练前、训练中、训练后应进行康复效能评估,每年不少于3 次。</w:t>
            </w:r>
          </w:p>
        </w:tc>
      </w:tr>
      <w:tr w14:paraId="1121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4A809DDF">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37A48C2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79FEB8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室外活动场地面积按人均2平方米标准设置，建有与孤独症儿童相适应的运动器材和游戏娱乐设施，室外场地应独立，设有安全提示标志和安全设施。</w:t>
            </w:r>
          </w:p>
        </w:tc>
      </w:tr>
      <w:tr w14:paraId="470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6723C690">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43314305">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5.3工作台账</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E5771C8">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1.康复训练档案齐全，包括残疾儿童康复服务登记表、初始状态评估表、康复训练计划、康复训练日志、阶段性评估表、训练出勤表；</w:t>
            </w:r>
          </w:p>
          <w:p w14:paraId="63D9DE4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2.《残疾儿童康复救助平台》数据录入及时、准确、完备。</w:t>
            </w:r>
          </w:p>
        </w:tc>
      </w:tr>
      <w:tr w14:paraId="1704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03530725">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D55C41C">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5.4家长培训</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03733EE">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1.定期向家长提供每年不少于4次的相关培训，并有相关书面和视频记录；</w:t>
            </w:r>
          </w:p>
          <w:p w14:paraId="0FC7F85D">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2.家长了解在社区和家庭环境中进行康复训练的目标；</w:t>
            </w:r>
          </w:p>
          <w:p w14:paraId="709634BA">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3.家长掌握基本康复训练的流程和组织实施方法。</w:t>
            </w:r>
          </w:p>
        </w:tc>
      </w:tr>
      <w:tr w14:paraId="50FD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5EBFC23E">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E62ADE8">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rPr>
            </w:pPr>
            <w:r>
              <w:rPr>
                <w:rFonts w:hint="eastAsia" w:ascii="仿宋" w:hAnsi="仿宋" w:eastAsia="仿宋" w:cs="仿宋"/>
              </w:rPr>
              <w:t>5.5业务指导</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AE3E897">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rPr>
              <w:t>1.开展儿童转介或跟踪服务；</w:t>
            </w:r>
          </w:p>
          <w:p w14:paraId="4074314A">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2.面向社区提供家庭康复延伸的培训；</w:t>
            </w:r>
          </w:p>
          <w:p w14:paraId="66DE95D8">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3.根据服务对象特点提供指导服务、派发相关宣传资料；</w:t>
            </w:r>
          </w:p>
          <w:p w14:paraId="43A03ED4">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rPr>
            </w:pPr>
            <w:r>
              <w:rPr>
                <w:rFonts w:hint="eastAsia" w:ascii="仿宋" w:hAnsi="仿宋" w:eastAsia="仿宋" w:cs="仿宋"/>
              </w:rPr>
              <w:t>4.结合“孤独症日” “全国助残日”等专题日，参与公益活动，每年不少于2次。</w:t>
            </w:r>
          </w:p>
          <w:p w14:paraId="037ABDFD">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rPr>
            </w:pPr>
            <w:r>
              <w:rPr>
                <w:rFonts w:hint="eastAsia" w:ascii="仿宋" w:hAnsi="仿宋" w:eastAsia="仿宋" w:cs="仿宋"/>
                <w:lang w:val="en-US" w:eastAsia="zh-CN"/>
              </w:rPr>
              <w:t>5.对于康复效果明显，符合入园、入学条件的儿童，及时动员家长办理入园、入学手续，并跟踪进行康复服务指导。</w:t>
            </w:r>
          </w:p>
        </w:tc>
      </w:tr>
      <w:tr w14:paraId="7AEE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08F028D9">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BA1585B">
            <w:pPr>
              <w:keepNext w:val="0"/>
              <w:keepLines w:val="0"/>
              <w:pageBreakBefore w:val="0"/>
              <w:kinsoku/>
              <w:wordWrap/>
              <w:overflowPunct/>
              <w:topLinePunct w:val="0"/>
              <w:autoSpaceDE/>
              <w:autoSpaceDN/>
              <w:bidi w:val="0"/>
              <w:adjustRightInd/>
              <w:snapToGrid/>
              <w:spacing w:line="305" w:lineRule="auto"/>
              <w:jc w:val="center"/>
              <w:textAlignment w:val="auto"/>
              <w:rPr>
                <w:rFonts w:hint="eastAsia" w:ascii="仿宋" w:hAnsi="仿宋" w:eastAsia="仿宋" w:cs="仿宋"/>
                <w:szCs w:val="21"/>
                <w:highlight w:val="none"/>
              </w:rPr>
            </w:pPr>
            <w:r>
              <w:rPr>
                <w:rFonts w:hint="eastAsia" w:ascii="仿宋" w:hAnsi="仿宋" w:eastAsia="仿宋" w:cs="仿宋"/>
                <w:highlight w:val="none"/>
              </w:rPr>
              <w:t>5.6质量控制</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474A1EA">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highlight w:val="none"/>
              </w:rPr>
            </w:pPr>
            <w:r>
              <w:rPr>
                <w:rFonts w:hint="eastAsia" w:ascii="仿宋" w:hAnsi="仿宋" w:eastAsia="仿宋" w:cs="仿宋"/>
                <w:highlight w:val="none"/>
              </w:rPr>
              <w:t>1.有需求残疾儿童康复评估、训练建档率100%；</w:t>
            </w:r>
          </w:p>
          <w:p w14:paraId="5987F084">
            <w:pPr>
              <w:keepNext w:val="0"/>
              <w:keepLines w:val="0"/>
              <w:pageBreakBefore w:val="0"/>
              <w:kinsoku/>
              <w:wordWrap/>
              <w:overflowPunct/>
              <w:topLinePunct w:val="0"/>
              <w:autoSpaceDE/>
              <w:autoSpaceDN/>
              <w:bidi w:val="0"/>
              <w:adjustRightInd/>
              <w:snapToGrid/>
              <w:spacing w:line="305" w:lineRule="auto"/>
              <w:jc w:val="left"/>
              <w:textAlignment w:val="auto"/>
              <w:rPr>
                <w:rFonts w:hint="eastAsia" w:ascii="仿宋" w:hAnsi="仿宋" w:eastAsia="仿宋" w:cs="仿宋"/>
                <w:highlight w:val="none"/>
              </w:rPr>
            </w:pPr>
            <w:r>
              <w:rPr>
                <w:rFonts w:hint="eastAsia" w:ascii="仿宋" w:hAnsi="仿宋" w:eastAsia="仿宋" w:cs="仿宋"/>
                <w:highlight w:val="none"/>
              </w:rPr>
              <w:t>2.家长满意度达90%以上；</w:t>
            </w:r>
          </w:p>
          <w:p w14:paraId="135D3312">
            <w:pPr>
              <w:keepNext w:val="0"/>
              <w:keepLines w:val="0"/>
              <w:pageBreakBefore w:val="0"/>
              <w:widowControl/>
              <w:kinsoku/>
              <w:wordWrap/>
              <w:overflowPunct/>
              <w:topLinePunct w:val="0"/>
              <w:autoSpaceDE/>
              <w:autoSpaceDN/>
              <w:bidi w:val="0"/>
              <w:adjustRightInd/>
              <w:snapToGrid/>
              <w:spacing w:line="305" w:lineRule="auto"/>
              <w:jc w:val="left"/>
              <w:textAlignment w:val="auto"/>
              <w:rPr>
                <w:rFonts w:hint="eastAsia" w:ascii="仿宋" w:hAnsi="仿宋" w:eastAsia="仿宋" w:cs="仿宋"/>
                <w:szCs w:val="21"/>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.组织残疾儿童参加社会融合活动每年不少于4次。</w:t>
            </w:r>
          </w:p>
        </w:tc>
      </w:tr>
    </w:tbl>
    <w:p w14:paraId="437C57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九、框架协议有效期</w:t>
      </w:r>
    </w:p>
    <w:p w14:paraId="52BB2B61">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ascii="仿宋" w:hAnsi="仿宋" w:eastAsia="仿宋" w:cs="仿宋"/>
          <w:b/>
          <w:bCs/>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本项目服务期：</w:t>
      </w:r>
      <w:r>
        <w:rPr>
          <w:rFonts w:hint="eastAsia" w:ascii="仿宋" w:hAnsi="仿宋" w:eastAsia="仿宋" w:cs="仿宋"/>
          <w:b/>
          <w:bCs/>
          <w:sz w:val="24"/>
          <w:szCs w:val="24"/>
          <w:highlight w:val="none"/>
          <w:u w:val="single"/>
          <w:lang w:val="en-US" w:eastAsia="zh-CN"/>
        </w:rPr>
        <w:t>两年，2026年1月1日至2027年12月31日。</w:t>
      </w:r>
    </w:p>
    <w:p w14:paraId="17DDDCF9">
      <w:pPr>
        <w:keepNext w:val="0"/>
        <w:keepLines w:val="0"/>
        <w:pageBreakBefore w:val="0"/>
        <w:kinsoku/>
        <w:wordWrap/>
        <w:overflowPunct/>
        <w:topLinePunct w:val="0"/>
        <w:autoSpaceDE/>
        <w:autoSpaceDN/>
        <w:bidi w:val="0"/>
        <w:adjustRightInd/>
        <w:snapToGrid/>
        <w:spacing w:line="341" w:lineRule="auto"/>
        <w:ind w:firstLine="482" w:firstLineChars="20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bCs/>
          <w:sz w:val="24"/>
          <w:szCs w:val="24"/>
          <w:highlight w:val="none"/>
          <w:u w:val="none"/>
          <w:lang w:val="en-US" w:eastAsia="zh-CN"/>
        </w:rPr>
        <w:t>特别说明：</w:t>
      </w:r>
      <w:r>
        <w:rPr>
          <w:rFonts w:hint="eastAsia" w:ascii="仿宋" w:hAnsi="仿宋" w:eastAsia="仿宋" w:cs="仿宋"/>
          <w:b w:val="0"/>
          <w:bCs w:val="0"/>
          <w:sz w:val="24"/>
          <w:szCs w:val="24"/>
          <w:highlight w:val="none"/>
          <w:u w:val="none"/>
          <w:lang w:val="en-US" w:eastAsia="zh-CN"/>
        </w:rPr>
        <w:t>框架协议一年一签，按照</w:t>
      </w:r>
      <w:r>
        <w:rPr>
          <w:rFonts w:hint="default" w:ascii="仿宋" w:hAnsi="仿宋" w:eastAsia="仿宋" w:cs="仿宋"/>
          <w:b w:val="0"/>
          <w:bCs w:val="0"/>
          <w:sz w:val="24"/>
          <w:szCs w:val="24"/>
          <w:highlight w:val="none"/>
          <w:u w:val="none"/>
          <w:lang w:val="en-US" w:eastAsia="zh-CN"/>
        </w:rPr>
        <w:t>苏残规〔2023〕1号</w:t>
      </w:r>
      <w:r>
        <w:rPr>
          <w:rFonts w:hint="eastAsia" w:ascii="仿宋" w:hAnsi="仿宋" w:eastAsia="仿宋" w:cs="仿宋"/>
          <w:b w:val="0"/>
          <w:bCs w:val="0"/>
          <w:sz w:val="24"/>
          <w:szCs w:val="24"/>
          <w:highlight w:val="none"/>
          <w:u w:val="none"/>
          <w:lang w:val="en-US" w:eastAsia="zh-CN"/>
        </w:rPr>
        <w:t>进行考核，考核合格，续签1年；考核不合格则终止协议；第二年采购活动的执行标的以</w:t>
      </w:r>
      <w:r>
        <w:rPr>
          <w:rFonts w:hint="eastAsia" w:ascii="仿宋" w:hAnsi="仿宋" w:eastAsia="仿宋" w:cs="仿宋"/>
          <w:b/>
          <w:bCs/>
          <w:sz w:val="24"/>
          <w:szCs w:val="24"/>
          <w:highlight w:val="none"/>
          <w:u w:val="none"/>
          <w:lang w:val="en-US" w:eastAsia="zh-CN"/>
        </w:rPr>
        <w:t>上级部门下达的补助资金和</w:t>
      </w:r>
      <w:r>
        <w:rPr>
          <w:rFonts w:hint="eastAsia" w:ascii="仿宋" w:hAnsi="仿宋" w:eastAsia="仿宋" w:cs="仿宋"/>
          <w:b w:val="0"/>
          <w:bCs w:val="0"/>
          <w:sz w:val="24"/>
          <w:szCs w:val="24"/>
          <w:highlight w:val="none"/>
          <w:u w:val="none"/>
          <w:lang w:val="en-US" w:eastAsia="zh-CN"/>
        </w:rPr>
        <w:t>本级财政年度预算为准。</w:t>
      </w:r>
    </w:p>
    <w:p w14:paraId="6CB2D2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十、付款条件</w:t>
      </w:r>
    </w:p>
    <w:p w14:paraId="0AF54E8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6" w:firstLineChars="182"/>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10.1 本项目合同履约期间分两次付款，第一次为预付款，根据中国残联儿童康复救助系统实际在训儿童康复人数，按照各类别康复儿童应享受救助标准的40%支付，付款时间为每年7月底前，采购人在收到供应商发票后 10 个工作日内，按双方确认的预付金额预付。第二次为清算，年度任务完成后，采购人根据儿童康复救助系统实际在训儿童康复人数，供应商提供的儿童实际康复训练时间和救助类别等台账资料审核后付尾款，付款为每年11月底前，采购人在收到供应商发票后 10 个工作日内支付。除此以外采购人不再支付其他任何费用。</w:t>
      </w:r>
    </w:p>
    <w:p w14:paraId="73BCD39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6" w:firstLineChars="182"/>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10.2 供应商结账时需开具正式发票并附相关清单，发票上标注的名称、账号、开户行应与收款人一致。</w:t>
      </w:r>
    </w:p>
    <w:p w14:paraId="567CC4B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6" w:firstLineChars="182"/>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10.3 服务费用原则上每半年结算支付一次，采购人在供应商上半年康复服务工作完成后1个月内将半年康复服务费用支付给供应商。供应商提供的收款专户须与供应商名称-致。付款方式为:银行划拨支付。每个任务周期结束后，采购人根据供应商提供的残疾儿童康复训练台账等资料，审核确认康复训练费用，供应商在确认无误后一周内将盖章的付款确认函及发票寄送采购人。付款确认函应载明开户名、开户行、账号，并与合同注明的保持一致。</w:t>
      </w:r>
    </w:p>
    <w:p w14:paraId="158A98A1">
      <w:pPr>
        <w:rPr>
          <w:rFonts w:hint="eastAsia" w:ascii="仿宋" w:hAnsi="仿宋" w:eastAsia="仿宋" w:cs="仿宋"/>
          <w:highlight w:val="cyan"/>
        </w:rPr>
      </w:pPr>
    </w:p>
    <w:p w14:paraId="5669DAFE">
      <w:pPr>
        <w:spacing w:line="288" w:lineRule="auto"/>
        <w:ind w:firstLine="643"/>
        <w:rPr>
          <w:rFonts w:hint="eastAsia" w:ascii="宋体" w:hAnsi="宋体" w:cs="宋体"/>
          <w:b/>
          <w:bCs/>
          <w:sz w:val="28"/>
          <w:szCs w:val="28"/>
        </w:rPr>
      </w:pPr>
      <w:r>
        <w:rPr>
          <w:rFonts w:hint="eastAsia" w:ascii="宋体" w:hAnsi="宋体" w:cs="宋体"/>
          <w:b/>
          <w:bCs/>
          <w:sz w:val="28"/>
          <w:szCs w:val="28"/>
        </w:rPr>
        <w:t>特别说明：本章所有要求均为实质性要求，不接受负偏离。供应商应提供书面完全响应承诺书（供应商提供虚假承诺的，将取消其入围资格，并按照《政府采购法》第七十七条规定处理。参考格式详见“第六章响应文件格式”，本章另有要求的，须按要求额外提供相关证明材料或承诺函），否则视为无效响应文件。</w:t>
      </w:r>
    </w:p>
    <w:p w14:paraId="15498208">
      <w:pPr>
        <w:bidi w:val="0"/>
        <w:rPr>
          <w:rFonts w:hint="eastAsia"/>
          <w:lang w:val="en-US" w:eastAsia="zh-CN"/>
        </w:rPr>
      </w:pPr>
    </w:p>
    <w:p w14:paraId="02081274">
      <w:pPr>
        <w:rPr>
          <w:rFonts w:hint="eastAsia"/>
          <w:lang w:val="en-US" w:eastAsia="zh-CN"/>
        </w:rPr>
      </w:pPr>
    </w:p>
    <w:p w14:paraId="7C31BC7F">
      <w:pPr>
        <w:pStyle w:val="3"/>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lang w:val="en-US" w:eastAsia="zh-CN"/>
        </w:rPr>
        <w:sectPr>
          <w:headerReference r:id="rId4" w:type="default"/>
          <w:footerReference r:id="rId5" w:type="default"/>
          <w:pgSz w:w="11907" w:h="16839"/>
          <w:pgMar w:top="1440" w:right="1800" w:bottom="1440" w:left="1800" w:header="656" w:footer="958" w:gutter="0"/>
          <w:pgNumType w:fmt="decimal"/>
          <w:cols w:space="720" w:num="1"/>
        </w:sectPr>
      </w:pPr>
    </w:p>
    <w:p w14:paraId="4EB1A54E">
      <w:pPr>
        <w:pStyle w:val="3"/>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bookmarkStart w:id="110" w:name="_Toc10110"/>
      <w:r>
        <w:rPr>
          <w:rFonts w:hint="eastAsia" w:ascii="仿宋" w:hAnsi="仿宋" w:eastAsia="仿宋" w:cs="仿宋"/>
          <w:lang w:val="en-US" w:eastAsia="zh-CN"/>
        </w:rPr>
        <w:t>第五章 确定入围供应商</w:t>
      </w:r>
      <w:bookmarkEnd w:id="110"/>
    </w:p>
    <w:p w14:paraId="7452995F">
      <w:pPr>
        <w:pStyle w:val="238"/>
        <w:ind w:left="0" w:leftChars="0" w:firstLine="0" w:firstLineChars="0"/>
        <w:jc w:val="both"/>
        <w:rPr>
          <w:rFonts w:hint="eastAsia" w:ascii="仿宋" w:hAnsi="仿宋" w:eastAsia="仿宋" w:cs="仿宋"/>
          <w:b/>
        </w:rPr>
      </w:pPr>
      <w:r>
        <w:rPr>
          <w:rFonts w:hint="eastAsia" w:ascii="仿宋" w:hAnsi="仿宋" w:eastAsia="仿宋" w:cs="仿宋"/>
          <w:b/>
        </w:rPr>
        <w:t>一、</w:t>
      </w:r>
      <w:r>
        <w:rPr>
          <w:rFonts w:hint="eastAsia" w:ascii="仿宋" w:hAnsi="仿宋" w:eastAsia="仿宋" w:cs="仿宋"/>
          <w:b/>
          <w:lang w:val="en-US" w:eastAsia="zh-CN"/>
        </w:rPr>
        <w:t>确定</w:t>
      </w:r>
      <w:r>
        <w:rPr>
          <w:rFonts w:hint="eastAsia" w:ascii="仿宋" w:hAnsi="仿宋" w:eastAsia="仿宋" w:cs="仿宋"/>
          <w:b/>
        </w:rPr>
        <w:t>第一阶段入围供应商的评审方法</w:t>
      </w:r>
    </w:p>
    <w:p w14:paraId="3A6EB7CA">
      <w:pPr>
        <w:pStyle w:val="238"/>
        <w:ind w:left="0" w:lef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确定第一阶段入围供应商的评审方法为质量优先法。质量优先法是指对满足采购需求且响应报价不超过最高限制单价的服务进行质量综合评分，按照质量评分从高到低排序，根据征集文件规定的淘汰率或者入围供应商数量上限，确定入围供应商的评审方法，质量评分因素包括：服务内容、服务水平、业绩等。</w:t>
      </w:r>
    </w:p>
    <w:p w14:paraId="13619163">
      <w:pPr>
        <w:pStyle w:val="238"/>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目确定第一阶段入围供应商的评审方法为质量优先法。每个采购包入围供应商的淘汰比例不低于20%且至少淘汰一家供应商（按照淘汰比例20%计算淘汰数量），同时入围供应商数量上限分别为：采购包1最多2家；采购包2最多2家；采购包3最多3家；采购包4最多3家；采购包5最多3家。</w:t>
      </w:r>
    </w:p>
    <w:p w14:paraId="3C55A152">
      <w:pPr>
        <w:spacing w:line="380" w:lineRule="exact"/>
        <w:rPr>
          <w:rFonts w:hint="eastAsia" w:ascii="仿宋" w:hAnsi="仿宋" w:eastAsia="仿宋" w:cs="仿宋"/>
          <w:b/>
        </w:rPr>
      </w:pPr>
      <w:r>
        <w:rPr>
          <w:rFonts w:hint="eastAsia" w:ascii="仿宋" w:hAnsi="仿宋" w:eastAsia="仿宋" w:cs="仿宋"/>
          <w:b/>
          <w:lang w:val="en-US" w:eastAsia="zh-CN"/>
        </w:rPr>
        <w:t>二、确定</w:t>
      </w:r>
      <w:r>
        <w:rPr>
          <w:rFonts w:hint="eastAsia" w:ascii="仿宋" w:hAnsi="仿宋" w:eastAsia="仿宋" w:cs="仿宋"/>
          <w:b/>
        </w:rPr>
        <w:t>第一阶段入围供应商的评审标准</w:t>
      </w:r>
    </w:p>
    <w:tbl>
      <w:tblPr>
        <w:tblStyle w:val="40"/>
        <w:tblW w:w="98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114"/>
        <w:gridCol w:w="6602"/>
        <w:gridCol w:w="708"/>
        <w:gridCol w:w="861"/>
      </w:tblGrid>
      <w:tr w14:paraId="0C60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tblHeader/>
          <w:jc w:val="center"/>
        </w:trPr>
        <w:tc>
          <w:tcPr>
            <w:tcW w:w="568" w:type="dxa"/>
            <w:noWrap w:val="0"/>
            <w:vAlign w:val="center"/>
          </w:tcPr>
          <w:p w14:paraId="00F0A99D">
            <w:pPr>
              <w:widowControl/>
              <w:spacing w:line="336" w:lineRule="auto"/>
              <w:jc w:val="center"/>
              <w:rPr>
                <w:rFonts w:hint="eastAsia" w:ascii="仿宋" w:hAnsi="仿宋" w:eastAsia="仿宋" w:cs="仿宋"/>
                <w:b/>
                <w:color w:val="000000"/>
                <w:sz w:val="20"/>
                <w:szCs w:val="21"/>
                <w:highlight w:val="yellow"/>
              </w:rPr>
            </w:pPr>
            <w:r>
              <w:rPr>
                <w:rFonts w:hint="eastAsia" w:ascii="仿宋" w:hAnsi="仿宋" w:eastAsia="仿宋" w:cs="仿宋"/>
                <w:b/>
                <w:color w:val="000000"/>
                <w:sz w:val="20"/>
                <w:szCs w:val="21"/>
              </w:rPr>
              <w:t>序号</w:t>
            </w:r>
          </w:p>
        </w:tc>
        <w:tc>
          <w:tcPr>
            <w:tcW w:w="1114" w:type="dxa"/>
            <w:noWrap w:val="0"/>
            <w:vAlign w:val="center"/>
          </w:tcPr>
          <w:p w14:paraId="3453BF3B">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评分因素</w:t>
            </w:r>
          </w:p>
        </w:tc>
        <w:tc>
          <w:tcPr>
            <w:tcW w:w="6602" w:type="dxa"/>
            <w:noWrap w:val="0"/>
            <w:vAlign w:val="center"/>
          </w:tcPr>
          <w:p w14:paraId="56E90060">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分包1（视力康复服务机构）评分标准</w:t>
            </w:r>
          </w:p>
        </w:tc>
        <w:tc>
          <w:tcPr>
            <w:tcW w:w="708" w:type="dxa"/>
            <w:noWrap w:val="0"/>
            <w:vAlign w:val="center"/>
          </w:tcPr>
          <w:p w14:paraId="18E7A33D">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分值</w:t>
            </w:r>
          </w:p>
        </w:tc>
        <w:tc>
          <w:tcPr>
            <w:tcW w:w="861" w:type="dxa"/>
            <w:noWrap w:val="0"/>
            <w:vAlign w:val="center"/>
          </w:tcPr>
          <w:p w14:paraId="34EFF9B1">
            <w:pPr>
              <w:widowControl/>
              <w:spacing w:line="336" w:lineRule="auto"/>
              <w:jc w:val="center"/>
              <w:rPr>
                <w:rFonts w:hint="eastAsia" w:ascii="仿宋" w:hAnsi="仿宋" w:eastAsia="仿宋" w:cs="仿宋"/>
                <w:b/>
                <w:color w:val="000000"/>
                <w:sz w:val="20"/>
                <w:szCs w:val="21"/>
                <w:lang w:val="en-US" w:eastAsia="zh-CN"/>
              </w:rPr>
            </w:pPr>
            <w:r>
              <w:rPr>
                <w:rFonts w:hint="eastAsia" w:ascii="仿宋" w:hAnsi="仿宋" w:eastAsia="仿宋" w:cs="仿宋"/>
                <w:b/>
                <w:color w:val="000000"/>
                <w:sz w:val="20"/>
                <w:szCs w:val="21"/>
                <w:lang w:val="en-US" w:eastAsia="zh-CN"/>
              </w:rPr>
              <w:t>备注</w:t>
            </w:r>
          </w:p>
        </w:tc>
      </w:tr>
      <w:tr w14:paraId="05BAC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blHeader/>
          <w:jc w:val="center"/>
        </w:trPr>
        <w:tc>
          <w:tcPr>
            <w:tcW w:w="568" w:type="dxa"/>
            <w:noWrap w:val="0"/>
            <w:vAlign w:val="center"/>
          </w:tcPr>
          <w:p w14:paraId="485BCE4A">
            <w:pPr>
              <w:widowControl/>
              <w:spacing w:line="336" w:lineRule="auto"/>
              <w:jc w:val="left"/>
              <w:rPr>
                <w:rFonts w:hint="eastAsia" w:ascii="仿宋" w:hAnsi="仿宋" w:eastAsia="仿宋" w:cs="仿宋"/>
                <w:color w:val="000000"/>
                <w:sz w:val="20"/>
                <w:szCs w:val="21"/>
              </w:rPr>
            </w:pPr>
            <w:bookmarkStart w:id="111" w:name="OLE_LINK1"/>
            <w:bookmarkStart w:id="112" w:name="OLE_LINK2"/>
            <w:bookmarkStart w:id="113" w:name="OLE_LINK4"/>
            <w:bookmarkStart w:id="114" w:name="OLE_LINK3"/>
            <w:bookmarkStart w:id="115" w:name="_Hlk401005359"/>
            <w:r>
              <w:rPr>
                <w:rFonts w:hint="eastAsia" w:ascii="仿宋" w:hAnsi="仿宋" w:eastAsia="仿宋" w:cs="仿宋"/>
                <w:color w:val="000000"/>
                <w:sz w:val="20"/>
                <w:szCs w:val="21"/>
              </w:rPr>
              <w:t>1.1</w:t>
            </w:r>
          </w:p>
        </w:tc>
        <w:tc>
          <w:tcPr>
            <w:tcW w:w="1114" w:type="dxa"/>
            <w:vMerge w:val="restart"/>
            <w:noWrap w:val="0"/>
            <w:vAlign w:val="center"/>
          </w:tcPr>
          <w:p w14:paraId="56313747">
            <w:pPr>
              <w:widowControl/>
              <w:jc w:val="left"/>
              <w:rPr>
                <w:rFonts w:hint="eastAsia" w:ascii="仿宋" w:hAnsi="仿宋" w:eastAsia="仿宋" w:cs="仿宋"/>
                <w:color w:val="000000"/>
                <w:sz w:val="20"/>
                <w:szCs w:val="21"/>
                <w:lang w:eastAsia="zh-CN"/>
              </w:rPr>
            </w:pPr>
            <w:r>
              <w:rPr>
                <w:rFonts w:hint="eastAsia" w:ascii="仿宋" w:hAnsi="仿宋" w:eastAsia="仿宋" w:cs="仿宋"/>
                <w:color w:val="000000"/>
                <w:sz w:val="20"/>
                <w:szCs w:val="21"/>
              </w:rPr>
              <w:t>服务内容</w:t>
            </w:r>
            <w:r>
              <w:rPr>
                <w:rFonts w:hint="eastAsia" w:ascii="仿宋" w:hAnsi="仿宋" w:eastAsia="仿宋" w:cs="仿宋"/>
                <w:color w:val="000000"/>
                <w:sz w:val="20"/>
                <w:szCs w:val="21"/>
                <w:lang w:eastAsia="zh-CN"/>
              </w:rPr>
              <w:t>（</w:t>
            </w:r>
            <w:r>
              <w:rPr>
                <w:rFonts w:hint="eastAsia" w:ascii="仿宋" w:hAnsi="仿宋" w:eastAsia="仿宋" w:cs="仿宋"/>
                <w:color w:val="000000"/>
                <w:sz w:val="20"/>
                <w:szCs w:val="21"/>
                <w:lang w:val="en-US" w:eastAsia="zh-CN"/>
              </w:rPr>
              <w:t>54分</w:t>
            </w:r>
            <w:r>
              <w:rPr>
                <w:rFonts w:hint="eastAsia" w:ascii="仿宋" w:hAnsi="仿宋" w:eastAsia="仿宋" w:cs="仿宋"/>
                <w:color w:val="000000"/>
                <w:sz w:val="20"/>
                <w:szCs w:val="21"/>
                <w:lang w:eastAsia="zh-CN"/>
              </w:rPr>
              <w:t>）</w:t>
            </w:r>
          </w:p>
        </w:tc>
        <w:tc>
          <w:tcPr>
            <w:tcW w:w="6602" w:type="dxa"/>
            <w:noWrap w:val="0"/>
            <w:vAlign w:val="center"/>
          </w:tcPr>
          <w:p w14:paraId="432EE45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评委根据供应商提供的服务方案（包括评估和诊断、康复计划、康复训练记录、康复评估和小结等）进行综合评分：</w:t>
            </w:r>
          </w:p>
          <w:p w14:paraId="244DC0DC">
            <w:pPr>
              <w:widowControl/>
              <w:numPr>
                <w:ilvl w:val="0"/>
                <w:numId w:val="0"/>
              </w:numPr>
              <w:jc w:val="left"/>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bidi="ar-SA"/>
              </w:rPr>
              <w:t>（1）</w:t>
            </w:r>
            <w:r>
              <w:rPr>
                <w:rFonts w:hint="eastAsia" w:ascii="仿宋" w:hAnsi="仿宋" w:eastAsia="仿宋" w:cs="仿宋"/>
                <w:color w:val="000000"/>
                <w:sz w:val="20"/>
                <w:szCs w:val="21"/>
              </w:rPr>
              <w:t>方案全面完整，科学合理，保障措施有力，时效性、可操作性强，得10分；</w:t>
            </w:r>
          </w:p>
          <w:p w14:paraId="55BAE040">
            <w:pPr>
              <w:widowControl/>
              <w:numPr>
                <w:ilvl w:val="0"/>
                <w:numId w:val="0"/>
              </w:numPr>
              <w:jc w:val="left"/>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bidi="ar-SA"/>
              </w:rPr>
              <w:t>（2）</w:t>
            </w:r>
            <w:r>
              <w:rPr>
                <w:rFonts w:hint="eastAsia" w:ascii="仿宋" w:hAnsi="仿宋" w:eastAsia="仿宋" w:cs="仿宋"/>
                <w:color w:val="000000"/>
                <w:sz w:val="20"/>
                <w:szCs w:val="21"/>
              </w:rPr>
              <w:t>方案内容较全面，较科学，较有效，可操作性较强，得7分；</w:t>
            </w:r>
          </w:p>
          <w:p w14:paraId="6AD5791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3CD08183">
            <w:pPr>
              <w:widowControl/>
              <w:numPr>
                <w:ilvl w:val="0"/>
                <w:numId w:val="0"/>
              </w:numPr>
              <w:jc w:val="left"/>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bidi="ar-SA"/>
              </w:rPr>
              <w:t>（4）</w:t>
            </w:r>
            <w:r>
              <w:rPr>
                <w:rFonts w:hint="eastAsia" w:ascii="仿宋" w:hAnsi="仿宋" w:eastAsia="仿宋" w:cs="仿宋"/>
                <w:color w:val="000000"/>
                <w:sz w:val="20"/>
                <w:szCs w:val="21"/>
              </w:rPr>
              <w:t>实施方案内容不完整，缺乏可操作性的得1分；</w:t>
            </w:r>
          </w:p>
          <w:p w14:paraId="54B650EA">
            <w:pPr>
              <w:widowControl/>
              <w:numPr>
                <w:ilvl w:val="0"/>
                <w:numId w:val="0"/>
              </w:numPr>
              <w:jc w:val="left"/>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bidi="ar-SA"/>
              </w:rPr>
              <w:t>（5）</w:t>
            </w:r>
            <w:r>
              <w:rPr>
                <w:rFonts w:hint="eastAsia" w:ascii="仿宋" w:hAnsi="仿宋" w:eastAsia="仿宋" w:cs="仿宋"/>
                <w:color w:val="000000"/>
                <w:sz w:val="20"/>
                <w:szCs w:val="21"/>
              </w:rPr>
              <w:t>其他或未提供的不得分。</w:t>
            </w:r>
          </w:p>
        </w:tc>
        <w:tc>
          <w:tcPr>
            <w:tcW w:w="708" w:type="dxa"/>
            <w:noWrap w:val="0"/>
            <w:vAlign w:val="center"/>
          </w:tcPr>
          <w:p w14:paraId="3E36D59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61" w:type="dxa"/>
            <w:noWrap w:val="0"/>
            <w:vAlign w:val="center"/>
          </w:tcPr>
          <w:p w14:paraId="54798468">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主观分</w:t>
            </w:r>
          </w:p>
        </w:tc>
      </w:tr>
      <w:tr w14:paraId="0F1C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568" w:type="dxa"/>
            <w:noWrap w:val="0"/>
            <w:vAlign w:val="center"/>
          </w:tcPr>
          <w:p w14:paraId="486EB31F">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1114" w:type="dxa"/>
            <w:vMerge w:val="continue"/>
            <w:noWrap w:val="0"/>
            <w:vAlign w:val="center"/>
          </w:tcPr>
          <w:p w14:paraId="5B1796D0">
            <w:pPr>
              <w:widowControl/>
              <w:jc w:val="left"/>
              <w:rPr>
                <w:rFonts w:hint="eastAsia" w:ascii="仿宋" w:hAnsi="仿宋" w:eastAsia="仿宋" w:cs="仿宋"/>
                <w:color w:val="000000"/>
                <w:sz w:val="20"/>
                <w:szCs w:val="21"/>
              </w:rPr>
            </w:pPr>
          </w:p>
        </w:tc>
        <w:tc>
          <w:tcPr>
            <w:tcW w:w="6602" w:type="dxa"/>
            <w:noWrap w:val="0"/>
            <w:vAlign w:val="center"/>
          </w:tcPr>
          <w:p w14:paraId="6D2EDA8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评委根据供应商提供的培训方案（包括康复专业人员培训、专家指导、家长培训等）进行综合评分：</w:t>
            </w:r>
          </w:p>
          <w:p w14:paraId="3F8CF690">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（1）方案全面完整，科学合理，保障措施有力，时效性、可操作性强，得10分；</w:t>
            </w:r>
          </w:p>
          <w:p w14:paraId="6AAE3D8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（2）方案内容较全面，较科学，较有效，可操作性较强，得7分；</w:t>
            </w:r>
          </w:p>
          <w:p w14:paraId="1603E71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1516AC0C">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（4）实施方案内容不完整，缺乏可操作性的得1分；</w:t>
            </w:r>
          </w:p>
          <w:p w14:paraId="1029443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708" w:type="dxa"/>
            <w:noWrap w:val="0"/>
            <w:vAlign w:val="center"/>
          </w:tcPr>
          <w:p w14:paraId="0744920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61" w:type="dxa"/>
            <w:noWrap w:val="0"/>
            <w:vAlign w:val="center"/>
          </w:tcPr>
          <w:p w14:paraId="484B0F3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5384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568" w:type="dxa"/>
            <w:noWrap w:val="0"/>
            <w:vAlign w:val="center"/>
          </w:tcPr>
          <w:p w14:paraId="72C35387">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1.3</w:t>
            </w:r>
          </w:p>
        </w:tc>
        <w:tc>
          <w:tcPr>
            <w:tcW w:w="1114" w:type="dxa"/>
            <w:vMerge w:val="continue"/>
            <w:noWrap w:val="0"/>
            <w:vAlign w:val="center"/>
          </w:tcPr>
          <w:p w14:paraId="4EBF470F">
            <w:pPr>
              <w:widowControl/>
              <w:jc w:val="left"/>
              <w:rPr>
                <w:rFonts w:hint="eastAsia" w:ascii="仿宋" w:hAnsi="仿宋" w:eastAsia="仿宋" w:cs="仿宋"/>
                <w:color w:val="000000"/>
                <w:sz w:val="20"/>
                <w:szCs w:val="21"/>
              </w:rPr>
            </w:pPr>
          </w:p>
        </w:tc>
        <w:tc>
          <w:tcPr>
            <w:tcW w:w="6602" w:type="dxa"/>
            <w:noWrap w:val="0"/>
            <w:vAlign w:val="center"/>
          </w:tcPr>
          <w:p w14:paraId="4299BA4B">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评委根据供应商提供的业务指导方案（包括</w:t>
            </w:r>
            <w:r>
              <w:rPr>
                <w:rFonts w:hint="eastAsia" w:ascii="仿宋" w:hAnsi="仿宋" w:eastAsia="仿宋" w:cs="仿宋"/>
                <w:sz w:val="20"/>
                <w:szCs w:val="21"/>
              </w:rPr>
              <w:t>儿童转介或跟踪服务、社区家庭康复延伸、公益宣教活动</w:t>
            </w:r>
            <w:r>
              <w:rPr>
                <w:rFonts w:hint="eastAsia" w:ascii="仿宋" w:hAnsi="仿宋" w:eastAsia="仿宋" w:cs="仿宋"/>
                <w:color w:val="000000"/>
                <w:sz w:val="20"/>
                <w:szCs w:val="21"/>
              </w:rPr>
              <w:t>等）进行综合评分：</w:t>
            </w:r>
          </w:p>
          <w:p w14:paraId="4FCC6DB6">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12EE7348">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5FFD740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4C589138">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6F339FAF">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708" w:type="dxa"/>
            <w:noWrap w:val="0"/>
            <w:vAlign w:val="center"/>
          </w:tcPr>
          <w:p w14:paraId="50A04C6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61" w:type="dxa"/>
            <w:noWrap w:val="0"/>
            <w:vAlign w:val="center"/>
          </w:tcPr>
          <w:p w14:paraId="6CB4B83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5320D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568" w:type="dxa"/>
            <w:noWrap w:val="0"/>
            <w:vAlign w:val="center"/>
          </w:tcPr>
          <w:p w14:paraId="58FD93FD">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1.4</w:t>
            </w:r>
          </w:p>
        </w:tc>
        <w:tc>
          <w:tcPr>
            <w:tcW w:w="1114" w:type="dxa"/>
            <w:vMerge w:val="continue"/>
            <w:noWrap w:val="0"/>
            <w:vAlign w:val="center"/>
          </w:tcPr>
          <w:p w14:paraId="7BBF48EA">
            <w:pPr>
              <w:widowControl/>
              <w:jc w:val="left"/>
              <w:rPr>
                <w:rFonts w:hint="eastAsia" w:ascii="仿宋" w:hAnsi="仿宋" w:eastAsia="仿宋" w:cs="仿宋"/>
                <w:color w:val="000000"/>
                <w:sz w:val="20"/>
                <w:szCs w:val="21"/>
              </w:rPr>
            </w:pPr>
          </w:p>
        </w:tc>
        <w:tc>
          <w:tcPr>
            <w:tcW w:w="6602" w:type="dxa"/>
            <w:noWrap w:val="0"/>
            <w:vAlign w:val="center"/>
          </w:tcPr>
          <w:p w14:paraId="7AB102B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评委根据供应商提供的质量保证方案（包括</w:t>
            </w:r>
            <w:r>
              <w:rPr>
                <w:rFonts w:hint="eastAsia" w:ascii="仿宋" w:hAnsi="仿宋" w:eastAsia="仿宋" w:cs="仿宋"/>
                <w:sz w:val="20"/>
                <w:szCs w:val="21"/>
              </w:rPr>
              <w:t>儿童康复评估、康复训练建档率、</w:t>
            </w:r>
            <w:r>
              <w:rPr>
                <w:rFonts w:hint="eastAsia" w:ascii="仿宋" w:hAnsi="仿宋" w:eastAsia="仿宋" w:cs="仿宋"/>
                <w:color w:val="000000"/>
                <w:sz w:val="20"/>
                <w:szCs w:val="21"/>
              </w:rPr>
              <w:t>家长满意率、</w:t>
            </w:r>
            <w:r>
              <w:rPr>
                <w:rFonts w:hint="eastAsia" w:ascii="仿宋" w:hAnsi="仿宋" w:eastAsia="仿宋" w:cs="仿宋"/>
                <w:sz w:val="20"/>
                <w:szCs w:val="21"/>
              </w:rPr>
              <w:t>社会融合活动</w:t>
            </w:r>
            <w:r>
              <w:rPr>
                <w:rFonts w:hint="eastAsia" w:ascii="仿宋" w:hAnsi="仿宋" w:eastAsia="仿宋" w:cs="仿宋"/>
                <w:color w:val="000000"/>
                <w:sz w:val="20"/>
                <w:szCs w:val="21"/>
              </w:rPr>
              <w:t>等）进行综合评分：</w:t>
            </w:r>
          </w:p>
          <w:p w14:paraId="3AA4E1A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2B76E0D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5926F58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0AF3F54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1B3DFA5F">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708" w:type="dxa"/>
            <w:noWrap w:val="0"/>
            <w:vAlign w:val="center"/>
          </w:tcPr>
          <w:p w14:paraId="298511B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61" w:type="dxa"/>
            <w:noWrap w:val="0"/>
            <w:vAlign w:val="center"/>
          </w:tcPr>
          <w:p w14:paraId="2C99DE54">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3D90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568" w:type="dxa"/>
            <w:noWrap w:val="0"/>
            <w:vAlign w:val="center"/>
          </w:tcPr>
          <w:p w14:paraId="1E34DC5D">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1.5</w:t>
            </w:r>
          </w:p>
        </w:tc>
        <w:tc>
          <w:tcPr>
            <w:tcW w:w="1114" w:type="dxa"/>
            <w:vMerge w:val="continue"/>
            <w:noWrap w:val="0"/>
            <w:vAlign w:val="center"/>
          </w:tcPr>
          <w:p w14:paraId="17F769A1">
            <w:pPr>
              <w:widowControl/>
              <w:spacing w:line="336" w:lineRule="auto"/>
              <w:jc w:val="left"/>
              <w:rPr>
                <w:rFonts w:hint="eastAsia" w:ascii="仿宋" w:hAnsi="仿宋" w:eastAsia="仿宋" w:cs="仿宋"/>
                <w:color w:val="000000"/>
                <w:sz w:val="20"/>
                <w:szCs w:val="21"/>
              </w:rPr>
            </w:pPr>
          </w:p>
        </w:tc>
        <w:tc>
          <w:tcPr>
            <w:tcW w:w="6602" w:type="dxa"/>
            <w:noWrap w:val="0"/>
            <w:vAlign w:val="center"/>
          </w:tcPr>
          <w:p w14:paraId="7E9A54CB">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应商提供的突发事件应急处置预案 （包括灾害防范措施、应急预案、消防演练、应急处理等）进行综合评分：</w:t>
            </w:r>
          </w:p>
          <w:p w14:paraId="31903E60">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（1）预案内容考虑全面，处置应对措施科学有效，可操作性强，得10分；</w:t>
            </w:r>
          </w:p>
          <w:p w14:paraId="509E427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（2）预案内容考虑较全面，处置应对措施较科学，较有效，可操作性较强，得7分；</w:t>
            </w:r>
          </w:p>
          <w:p w14:paraId="5D3B7E8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（3）预案内容不全面，处置应对措施科学性、有效性有欠缺，可操作性不强，得4分；</w:t>
            </w:r>
          </w:p>
          <w:p w14:paraId="3750E59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（4）预案内容不完整，缺乏可操作性的得1分；</w:t>
            </w:r>
          </w:p>
          <w:p w14:paraId="3031251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（5）预案不符合服务要求或未提供方案的不得分。</w:t>
            </w:r>
          </w:p>
        </w:tc>
        <w:tc>
          <w:tcPr>
            <w:tcW w:w="708" w:type="dxa"/>
            <w:noWrap w:val="0"/>
            <w:vAlign w:val="center"/>
          </w:tcPr>
          <w:p w14:paraId="28B2AD5C">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61" w:type="dxa"/>
            <w:noWrap w:val="0"/>
            <w:vAlign w:val="center"/>
          </w:tcPr>
          <w:p w14:paraId="415C609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4CFF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568" w:type="dxa"/>
            <w:noWrap w:val="0"/>
            <w:vAlign w:val="center"/>
          </w:tcPr>
          <w:p w14:paraId="2E9F57B8">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1.6</w:t>
            </w:r>
          </w:p>
        </w:tc>
        <w:tc>
          <w:tcPr>
            <w:tcW w:w="1114" w:type="dxa"/>
            <w:vMerge w:val="continue"/>
            <w:noWrap w:val="0"/>
            <w:vAlign w:val="center"/>
          </w:tcPr>
          <w:p w14:paraId="59329DC2">
            <w:pPr>
              <w:widowControl/>
              <w:spacing w:line="336" w:lineRule="auto"/>
              <w:jc w:val="left"/>
              <w:rPr>
                <w:rFonts w:hint="eastAsia" w:ascii="仿宋" w:hAnsi="仿宋" w:eastAsia="仿宋" w:cs="仿宋"/>
                <w:color w:val="000000"/>
                <w:sz w:val="20"/>
                <w:szCs w:val="21"/>
              </w:rPr>
            </w:pPr>
          </w:p>
        </w:tc>
        <w:tc>
          <w:tcPr>
            <w:tcW w:w="6602" w:type="dxa"/>
            <w:noWrap w:val="0"/>
            <w:vAlign w:val="center"/>
          </w:tcPr>
          <w:p w14:paraId="5DCAB957">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w:t>
            </w:r>
            <w:r>
              <w:rPr>
                <w:rFonts w:hint="eastAsia" w:ascii="仿宋" w:hAnsi="仿宋" w:eastAsia="仿宋" w:cs="仿宋"/>
                <w:b/>
                <w:sz w:val="20"/>
                <w:szCs w:val="21"/>
                <w:lang w:bidi="zh-CN"/>
              </w:rPr>
              <w:t>安全保障方</w:t>
            </w:r>
            <w:r>
              <w:rPr>
                <w:rFonts w:hint="eastAsia" w:ascii="仿宋" w:hAnsi="仿宋" w:eastAsia="仿宋" w:cs="仿宋"/>
                <w:color w:val="000000"/>
                <w:sz w:val="20"/>
                <w:szCs w:val="21"/>
              </w:rPr>
              <w:t>案 （包括安全培训、安全巡检、安全教育、安全监督管理等）进行综合评分：</w:t>
            </w:r>
          </w:p>
          <w:p w14:paraId="2E685CC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（1）方案内容全面，科学有效，可操作性强，得4分；</w:t>
            </w:r>
          </w:p>
          <w:p w14:paraId="28281EB0">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2 分；</w:t>
            </w:r>
          </w:p>
          <w:p w14:paraId="7B0C8EE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（3）方案内容不完整，缺乏可操作性的得1分；</w:t>
            </w:r>
          </w:p>
          <w:p w14:paraId="2EC52987">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（4）其他或未提供的不得分</w:t>
            </w:r>
          </w:p>
        </w:tc>
        <w:tc>
          <w:tcPr>
            <w:tcW w:w="708" w:type="dxa"/>
            <w:noWrap w:val="0"/>
            <w:vAlign w:val="center"/>
          </w:tcPr>
          <w:p w14:paraId="7EDC147B">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4</w:t>
            </w:r>
          </w:p>
        </w:tc>
        <w:tc>
          <w:tcPr>
            <w:tcW w:w="861" w:type="dxa"/>
            <w:noWrap w:val="0"/>
            <w:vAlign w:val="center"/>
          </w:tcPr>
          <w:p w14:paraId="264BE30B">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3307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568" w:type="dxa"/>
            <w:noWrap w:val="0"/>
            <w:vAlign w:val="center"/>
          </w:tcPr>
          <w:p w14:paraId="1C6626D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2.1</w:t>
            </w:r>
          </w:p>
        </w:tc>
        <w:tc>
          <w:tcPr>
            <w:tcW w:w="1114" w:type="dxa"/>
            <w:vMerge w:val="restart"/>
            <w:noWrap w:val="0"/>
            <w:vAlign w:val="center"/>
          </w:tcPr>
          <w:p w14:paraId="67B3F6EB">
            <w:pPr>
              <w:rPr>
                <w:rFonts w:hint="eastAsia" w:ascii="仿宋" w:hAnsi="仿宋" w:eastAsia="仿宋" w:cs="仿宋"/>
                <w:sz w:val="21"/>
                <w:szCs w:val="21"/>
                <w:lang w:val="zh-CN" w:eastAsia="zh-CN" w:bidi="zh-CN"/>
              </w:rPr>
            </w:pPr>
            <w:r>
              <w:rPr>
                <w:rFonts w:hint="eastAsia" w:ascii="仿宋" w:hAnsi="仿宋" w:eastAsia="仿宋" w:cs="仿宋"/>
                <w:sz w:val="21"/>
                <w:szCs w:val="21"/>
                <w:lang w:val="zh-CN" w:eastAsia="zh-CN" w:bidi="zh-CN"/>
              </w:rPr>
              <w:t>服务水平</w:t>
            </w:r>
          </w:p>
          <w:p w14:paraId="2CFE1E55">
            <w:pPr>
              <w:pStyle w:val="2"/>
              <w:rPr>
                <w:rFonts w:hint="eastAsia" w:ascii="仿宋" w:hAnsi="仿宋" w:eastAsia="仿宋" w:cs="仿宋"/>
                <w:lang w:val="zh-CN" w:eastAsia="zh-CN"/>
              </w:rPr>
            </w:pPr>
            <w:r>
              <w:rPr>
                <w:rFonts w:hint="eastAsia" w:ascii="仿宋" w:hAnsi="仿宋" w:eastAsia="仿宋" w:cs="仿宋"/>
                <w:sz w:val="21"/>
                <w:szCs w:val="21"/>
                <w:lang w:val="en-US" w:eastAsia="zh-CN" w:bidi="zh-CN"/>
              </w:rPr>
              <w:t>（33分</w:t>
            </w:r>
            <w:r>
              <w:rPr>
                <w:rFonts w:hint="eastAsia" w:ascii="仿宋" w:hAnsi="仿宋" w:eastAsia="仿宋" w:cs="仿宋"/>
                <w:sz w:val="21"/>
                <w:szCs w:val="21"/>
                <w:lang w:val="zh-CN" w:eastAsia="zh-CN" w:bidi="zh-CN"/>
              </w:rPr>
              <w:t>）</w:t>
            </w:r>
          </w:p>
        </w:tc>
        <w:tc>
          <w:tcPr>
            <w:tcW w:w="6602" w:type="dxa"/>
            <w:noWrap w:val="0"/>
            <w:vAlign w:val="center"/>
          </w:tcPr>
          <w:p w14:paraId="2B5E66BF">
            <w:pPr>
              <w:widowControl/>
              <w:jc w:val="left"/>
              <w:rPr>
                <w:rFonts w:hint="eastAsia" w:ascii="仿宋" w:hAnsi="仿宋" w:eastAsia="仿宋" w:cs="仿宋"/>
                <w:b/>
                <w:bCs/>
                <w:color w:val="000000"/>
                <w:sz w:val="20"/>
                <w:szCs w:val="21"/>
              </w:rPr>
            </w:pPr>
            <w:r>
              <w:rPr>
                <w:rFonts w:hint="eastAsia" w:ascii="仿宋" w:hAnsi="仿宋" w:eastAsia="仿宋" w:cs="仿宋"/>
                <w:sz w:val="20"/>
                <w:szCs w:val="20"/>
              </w:rPr>
              <w:t>评委根据供应商提供的团队人员配置进行综合评分：</w:t>
            </w:r>
            <w:r>
              <w:rPr>
                <w:rFonts w:hint="eastAsia" w:ascii="仿宋" w:hAnsi="仿宋" w:eastAsia="仿宋" w:cs="仿宋"/>
                <w:sz w:val="20"/>
                <w:szCs w:val="20"/>
              </w:rPr>
              <w:br w:type="textWrapping" w:clear="all"/>
            </w:r>
            <w:r>
              <w:rPr>
                <w:rFonts w:hint="eastAsia" w:ascii="仿宋" w:hAnsi="仿宋" w:eastAsia="仿宋" w:cs="仿宋"/>
                <w:b/>
                <w:bCs/>
                <w:color w:val="000000"/>
                <w:sz w:val="20"/>
                <w:szCs w:val="21"/>
              </w:rPr>
              <w:t>1.专业技术人员除项目负责人外（10分）</w:t>
            </w:r>
          </w:p>
          <w:p w14:paraId="01AD5637">
            <w:pPr>
              <w:widowControl/>
              <w:jc w:val="left"/>
              <w:rPr>
                <w:rFonts w:hint="eastAsia" w:ascii="仿宋" w:hAnsi="仿宋" w:eastAsia="仿宋" w:cs="仿宋"/>
                <w:color w:val="000000"/>
                <w:sz w:val="20"/>
                <w:szCs w:val="21"/>
              </w:rPr>
            </w:pPr>
            <w:r>
              <w:rPr>
                <w:rFonts w:hint="eastAsia" w:ascii="仿宋" w:hAnsi="仿宋" w:eastAsia="仿宋" w:cs="仿宋"/>
                <w:sz w:val="20"/>
                <w:szCs w:val="21"/>
              </w:rPr>
              <w:t>①专业技术人员满足需求的（3名）</w:t>
            </w:r>
            <w:r>
              <w:rPr>
                <w:rFonts w:hint="eastAsia" w:ascii="仿宋" w:hAnsi="仿宋" w:eastAsia="仿宋" w:cs="仿宋"/>
                <w:color w:val="000000"/>
                <w:sz w:val="20"/>
                <w:szCs w:val="21"/>
              </w:rPr>
              <w:t>，每增加1人加1分，最高得2分；</w:t>
            </w:r>
          </w:p>
          <w:p w14:paraId="26054F7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②具有5年及以上康复工作经验，有1人加1分，最高得4分；</w:t>
            </w:r>
          </w:p>
          <w:p w14:paraId="0D8605FF">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③取得康复服务相关专业中级职称的，有1人得0.5分；取得康复服务相关专业高级职称的，有1人得1分，最高得4分。</w:t>
            </w:r>
          </w:p>
          <w:p w14:paraId="002CC2E6">
            <w:pPr>
              <w:widowControl/>
              <w:jc w:val="left"/>
              <w:rPr>
                <w:rFonts w:hint="eastAsia" w:ascii="仿宋" w:hAnsi="仿宋" w:eastAsia="仿宋" w:cs="仿宋"/>
                <w:b/>
                <w:bCs/>
                <w:color w:val="000000"/>
                <w:sz w:val="20"/>
                <w:szCs w:val="21"/>
              </w:rPr>
            </w:pPr>
            <w:r>
              <w:rPr>
                <w:rFonts w:hint="eastAsia" w:ascii="仿宋" w:hAnsi="仿宋" w:eastAsia="仿宋" w:cs="仿宋"/>
                <w:b/>
                <w:bCs/>
                <w:color w:val="000000"/>
                <w:sz w:val="20"/>
                <w:szCs w:val="21"/>
              </w:rPr>
              <w:t>2.项目负责人（2分）</w:t>
            </w:r>
          </w:p>
          <w:p w14:paraId="6017D3D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具有康复服务相关专业中级及以上职称的，得2分。</w:t>
            </w:r>
          </w:p>
          <w:p w14:paraId="35AB33F0">
            <w:pPr>
              <w:widowControl/>
              <w:jc w:val="left"/>
              <w:rPr>
                <w:rFonts w:hint="eastAsia" w:ascii="仿宋" w:hAnsi="仿宋" w:eastAsia="仿宋" w:cs="仿宋"/>
                <w:sz w:val="20"/>
                <w:szCs w:val="20"/>
              </w:rPr>
            </w:pPr>
            <w:r>
              <w:rPr>
                <w:rFonts w:hint="eastAsia" w:ascii="仿宋" w:hAnsi="仿宋" w:eastAsia="仿宋" w:cs="仿宋"/>
                <w:b/>
                <w:color w:val="000000"/>
                <w:sz w:val="20"/>
                <w:szCs w:val="21"/>
              </w:rPr>
              <w:t>注：根据供应商提供的专业技术人员的花名册（注明专业、工作经验等）进行综合评分。需提供个人专业技术证明，一人多证以最高职称为准。上述评分点中团队配置所有参与评分的人员均需提供</w:t>
            </w:r>
            <w:r>
              <w:rPr>
                <w:rFonts w:hint="eastAsia" w:ascii="仿宋" w:hAnsi="仿宋" w:eastAsia="仿宋" w:cs="仿宋"/>
                <w:b/>
                <w:color w:val="000000"/>
                <w:sz w:val="20"/>
                <w:szCs w:val="21"/>
                <w:lang w:val="en-US" w:eastAsia="zh-CN"/>
              </w:rPr>
              <w:t>2025</w:t>
            </w:r>
            <w:r>
              <w:rPr>
                <w:rFonts w:hint="eastAsia" w:ascii="仿宋" w:hAnsi="仿宋" w:eastAsia="仿宋" w:cs="仿宋"/>
                <w:b/>
                <w:color w:val="000000"/>
                <w:sz w:val="20"/>
                <w:szCs w:val="21"/>
              </w:rPr>
              <w:t>年01月以来任意1个月由供应商为其缴纳社保基金的证明材料（不包括返聘人员）。上述评分点证明资料不完整或不一致或不符合要求的不计分。</w:t>
            </w:r>
          </w:p>
        </w:tc>
        <w:tc>
          <w:tcPr>
            <w:tcW w:w="708" w:type="dxa"/>
            <w:noWrap w:val="0"/>
            <w:vAlign w:val="center"/>
          </w:tcPr>
          <w:p w14:paraId="6200701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861" w:type="dxa"/>
            <w:noWrap w:val="0"/>
            <w:vAlign w:val="center"/>
          </w:tcPr>
          <w:p w14:paraId="557BFE48">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客观分</w:t>
            </w:r>
          </w:p>
        </w:tc>
      </w:tr>
      <w:tr w14:paraId="4652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568" w:type="dxa"/>
            <w:noWrap w:val="0"/>
            <w:vAlign w:val="center"/>
          </w:tcPr>
          <w:p w14:paraId="5EB2DB7A">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2.2</w:t>
            </w:r>
          </w:p>
        </w:tc>
        <w:tc>
          <w:tcPr>
            <w:tcW w:w="1114" w:type="dxa"/>
            <w:vMerge w:val="continue"/>
            <w:noWrap w:val="0"/>
            <w:vAlign w:val="center"/>
          </w:tcPr>
          <w:p w14:paraId="01457ECF">
            <w:pPr>
              <w:widowControl/>
              <w:jc w:val="left"/>
              <w:rPr>
                <w:rFonts w:hint="eastAsia" w:ascii="仿宋" w:hAnsi="仿宋" w:eastAsia="仿宋" w:cs="仿宋"/>
                <w:b/>
                <w:spacing w:val="-3"/>
                <w:sz w:val="20"/>
                <w:szCs w:val="21"/>
                <w:lang w:val="zh-CN" w:bidi="zh-CN"/>
              </w:rPr>
            </w:pPr>
          </w:p>
        </w:tc>
        <w:tc>
          <w:tcPr>
            <w:tcW w:w="6602" w:type="dxa"/>
            <w:noWrap w:val="0"/>
            <w:vAlign w:val="center"/>
          </w:tcPr>
          <w:p w14:paraId="4F767A66">
            <w:pPr>
              <w:widowControl/>
              <w:jc w:val="left"/>
              <w:rPr>
                <w:rFonts w:hint="eastAsia" w:ascii="仿宋" w:hAnsi="仿宋" w:eastAsia="仿宋" w:cs="仿宋"/>
                <w:b/>
                <w:spacing w:val="-3"/>
                <w:sz w:val="20"/>
                <w:szCs w:val="21"/>
                <w:lang w:val="zh-CN" w:bidi="zh-CN"/>
              </w:rPr>
            </w:pPr>
            <w:r>
              <w:rPr>
                <w:rFonts w:hint="eastAsia" w:ascii="仿宋" w:hAnsi="仿宋" w:eastAsia="仿宋" w:cs="仿宋"/>
                <w:sz w:val="20"/>
                <w:szCs w:val="20"/>
              </w:rPr>
              <w:t>评委根据供应商提供的</w:t>
            </w:r>
            <w:r>
              <w:rPr>
                <w:rFonts w:hint="eastAsia" w:ascii="仿宋" w:hAnsi="仿宋" w:eastAsia="仿宋" w:cs="仿宋"/>
                <w:spacing w:val="-3"/>
                <w:sz w:val="20"/>
                <w:szCs w:val="21"/>
                <w:lang w:val="zh-CN" w:bidi="zh-CN"/>
              </w:rPr>
              <w:t>设施设备</w:t>
            </w:r>
            <w:r>
              <w:rPr>
                <w:rFonts w:hint="eastAsia" w:ascii="仿宋" w:hAnsi="仿宋" w:eastAsia="仿宋" w:cs="仿宋"/>
                <w:sz w:val="20"/>
                <w:szCs w:val="20"/>
              </w:rPr>
              <w:t>进行综合评分（6分），</w:t>
            </w:r>
          </w:p>
          <w:p w14:paraId="64C1238B">
            <w:pPr>
              <w:widowControl/>
              <w:jc w:val="left"/>
              <w:rPr>
                <w:rFonts w:hint="eastAsia" w:ascii="仿宋" w:hAnsi="仿宋" w:eastAsia="仿宋" w:cs="仿宋"/>
                <w:sz w:val="20"/>
                <w:szCs w:val="20"/>
              </w:rPr>
            </w:pPr>
            <w:r>
              <w:rPr>
                <w:rFonts w:hint="eastAsia" w:ascii="仿宋" w:hAnsi="仿宋" w:eastAsia="仿宋" w:cs="仿宋"/>
                <w:sz w:val="20"/>
                <w:szCs w:val="20"/>
              </w:rPr>
              <w:t>满足康复训练设备数量下限（9种），每增加一种得1分，最多得6分，</w:t>
            </w:r>
            <w:r>
              <w:rPr>
                <w:rFonts w:hint="eastAsia" w:ascii="仿宋" w:hAnsi="仿宋" w:eastAsia="仿宋" w:cs="仿宋"/>
                <w:color w:val="000000"/>
                <w:sz w:val="20"/>
                <w:szCs w:val="21"/>
              </w:rPr>
              <w:t>不满足要求不得分</w:t>
            </w:r>
            <w:r>
              <w:rPr>
                <w:rFonts w:hint="eastAsia" w:ascii="仿宋" w:hAnsi="仿宋" w:eastAsia="仿宋" w:cs="仿宋"/>
                <w:sz w:val="20"/>
                <w:szCs w:val="20"/>
              </w:rPr>
              <w:t>。</w:t>
            </w:r>
          </w:p>
          <w:p w14:paraId="4CB97842">
            <w:pPr>
              <w:widowControl/>
              <w:jc w:val="left"/>
              <w:rPr>
                <w:rFonts w:hint="eastAsia" w:ascii="仿宋" w:hAnsi="仿宋" w:eastAsia="仿宋" w:cs="仿宋"/>
                <w:b/>
                <w:spacing w:val="-3"/>
                <w:sz w:val="20"/>
                <w:szCs w:val="21"/>
                <w:lang w:val="zh-CN" w:bidi="zh-CN"/>
              </w:rPr>
            </w:pPr>
            <w:r>
              <w:rPr>
                <w:rFonts w:hint="eastAsia" w:ascii="仿宋" w:hAnsi="仿宋" w:eastAsia="仿宋" w:cs="仿宋"/>
                <w:sz w:val="20"/>
                <w:szCs w:val="20"/>
              </w:rPr>
              <w:t>注：</w:t>
            </w:r>
            <w:r>
              <w:rPr>
                <w:rFonts w:hint="eastAsia" w:ascii="仿宋" w:hAnsi="仿宋" w:eastAsia="仿宋" w:cs="仿宋"/>
                <w:b/>
                <w:bCs/>
                <w:sz w:val="20"/>
                <w:szCs w:val="20"/>
              </w:rPr>
              <w:t>需提供完整的设施设备清单</w:t>
            </w:r>
            <w:r>
              <w:rPr>
                <w:rFonts w:hint="eastAsia" w:ascii="仿宋" w:hAnsi="仿宋" w:eastAsia="仿宋" w:cs="仿宋"/>
                <w:sz w:val="20"/>
                <w:szCs w:val="20"/>
              </w:rPr>
              <w:t>（需包括设备名称、数量、购置时间等）、</w:t>
            </w:r>
            <w:r>
              <w:rPr>
                <w:rFonts w:hint="eastAsia" w:ascii="仿宋" w:hAnsi="仿宋" w:eastAsia="仿宋" w:cs="仿宋"/>
                <w:b/>
                <w:bCs/>
                <w:sz w:val="20"/>
                <w:szCs w:val="20"/>
              </w:rPr>
              <w:t>设备购置发票及实物照片</w:t>
            </w:r>
            <w:r>
              <w:rPr>
                <w:rFonts w:hint="eastAsia" w:ascii="仿宋" w:hAnsi="仿宋" w:eastAsia="仿宋" w:cs="仿宋"/>
                <w:sz w:val="20"/>
                <w:szCs w:val="20"/>
              </w:rPr>
              <w:t>，上述证明材料缺项的不得分。证明材料与供应商名称不一致时需提供相关说明及证明材料，否则不得分。</w:t>
            </w:r>
          </w:p>
        </w:tc>
        <w:tc>
          <w:tcPr>
            <w:tcW w:w="708" w:type="dxa"/>
            <w:noWrap w:val="0"/>
            <w:vAlign w:val="center"/>
          </w:tcPr>
          <w:p w14:paraId="481FC35B">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6</w:t>
            </w:r>
          </w:p>
        </w:tc>
        <w:tc>
          <w:tcPr>
            <w:tcW w:w="861" w:type="dxa"/>
            <w:noWrap w:val="0"/>
            <w:vAlign w:val="center"/>
          </w:tcPr>
          <w:p w14:paraId="5FC65168">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客观分</w:t>
            </w:r>
          </w:p>
        </w:tc>
      </w:tr>
      <w:tr w14:paraId="529F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568" w:type="dxa"/>
            <w:noWrap w:val="0"/>
            <w:vAlign w:val="center"/>
          </w:tcPr>
          <w:p w14:paraId="7D2F6A12">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2.3</w:t>
            </w:r>
          </w:p>
        </w:tc>
        <w:tc>
          <w:tcPr>
            <w:tcW w:w="1114" w:type="dxa"/>
            <w:vMerge w:val="continue"/>
            <w:noWrap w:val="0"/>
            <w:vAlign w:val="center"/>
          </w:tcPr>
          <w:p w14:paraId="7038EBDA">
            <w:pPr>
              <w:widowControl/>
              <w:spacing w:line="336" w:lineRule="auto"/>
              <w:jc w:val="left"/>
              <w:rPr>
                <w:rFonts w:hint="eastAsia" w:ascii="仿宋" w:hAnsi="仿宋" w:eastAsia="仿宋" w:cs="仿宋"/>
                <w:color w:val="000000"/>
                <w:sz w:val="20"/>
                <w:szCs w:val="21"/>
              </w:rPr>
            </w:pPr>
          </w:p>
        </w:tc>
        <w:tc>
          <w:tcPr>
            <w:tcW w:w="6602" w:type="dxa"/>
            <w:noWrap w:val="0"/>
            <w:vAlign w:val="center"/>
          </w:tcPr>
          <w:p w14:paraId="28F5047E">
            <w:pPr>
              <w:pStyle w:val="60"/>
              <w:widowControl/>
              <w:jc w:val="left"/>
              <w:rPr>
                <w:rFonts w:hint="eastAsia" w:ascii="仿宋" w:hAnsi="仿宋" w:eastAsia="仿宋" w:cs="仿宋"/>
                <w:sz w:val="21"/>
                <w:szCs w:val="21"/>
                <w:lang w:bidi="zh-CN"/>
              </w:rPr>
            </w:pPr>
            <w:r>
              <w:rPr>
                <w:rFonts w:hint="eastAsia" w:ascii="仿宋" w:hAnsi="仿宋" w:eastAsia="仿宋" w:cs="仿宋"/>
                <w:sz w:val="21"/>
                <w:szCs w:val="21"/>
                <w:lang w:bidi="zh-CN"/>
              </w:rPr>
              <w:t>安全（5分）</w:t>
            </w:r>
          </w:p>
          <w:p w14:paraId="255DDF71">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bidi="zh-CN"/>
              </w:rPr>
              <w:t>评委根据供应商提供</w:t>
            </w:r>
            <w:r>
              <w:rPr>
                <w:rFonts w:hint="eastAsia" w:ascii="仿宋" w:hAnsi="仿宋" w:eastAsia="仿宋" w:cs="仿宋"/>
                <w:sz w:val="20"/>
                <w:szCs w:val="21"/>
                <w:lang w:val="zh-CN" w:bidi="zh-CN"/>
              </w:rPr>
              <w:t>为服务对象购买场地意外险或公众责任险情况进行综合评分：</w:t>
            </w:r>
          </w:p>
          <w:p w14:paraId="1BAE9106">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bidi="zh-CN"/>
              </w:rPr>
              <w:t>承诺</w:t>
            </w:r>
            <w:r>
              <w:rPr>
                <w:rFonts w:hint="eastAsia" w:ascii="仿宋" w:hAnsi="仿宋" w:eastAsia="仿宋" w:cs="仿宋"/>
                <w:sz w:val="20"/>
                <w:szCs w:val="21"/>
                <w:lang w:val="zh-CN" w:bidi="zh-CN"/>
              </w:rPr>
              <w:t>为全部在训服务对象购买保险且连续无断档的得</w:t>
            </w:r>
            <w:r>
              <w:rPr>
                <w:rFonts w:hint="eastAsia" w:ascii="仿宋" w:hAnsi="仿宋" w:eastAsia="仿宋" w:cs="仿宋"/>
                <w:sz w:val="20"/>
                <w:szCs w:val="21"/>
                <w:lang w:bidi="zh-CN"/>
              </w:rPr>
              <w:t>5</w:t>
            </w:r>
            <w:r>
              <w:rPr>
                <w:rFonts w:hint="eastAsia" w:ascii="仿宋" w:hAnsi="仿宋" w:eastAsia="仿宋" w:cs="仿宋"/>
                <w:sz w:val="20"/>
                <w:szCs w:val="21"/>
                <w:lang w:val="zh-CN" w:bidi="zh-CN"/>
              </w:rPr>
              <w:t>分。</w:t>
            </w:r>
          </w:p>
          <w:p w14:paraId="736DDADD">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val="zh-CN" w:bidi="zh-CN"/>
              </w:rPr>
              <w:t>未</w:t>
            </w:r>
            <w:r>
              <w:rPr>
                <w:rFonts w:hint="eastAsia" w:ascii="仿宋" w:hAnsi="仿宋" w:eastAsia="仿宋" w:cs="仿宋"/>
                <w:sz w:val="20"/>
                <w:szCs w:val="21"/>
                <w:lang w:bidi="zh-CN"/>
              </w:rPr>
              <w:t>承诺</w:t>
            </w:r>
            <w:r>
              <w:rPr>
                <w:rFonts w:hint="eastAsia" w:ascii="仿宋" w:hAnsi="仿宋" w:eastAsia="仿宋" w:cs="仿宋"/>
                <w:sz w:val="20"/>
                <w:szCs w:val="21"/>
                <w:lang w:val="zh-CN" w:bidi="zh-CN"/>
              </w:rPr>
              <w:t>的不得分。</w:t>
            </w:r>
          </w:p>
          <w:p w14:paraId="26E565BB">
            <w:pPr>
              <w:widowControl/>
              <w:jc w:val="left"/>
              <w:rPr>
                <w:rFonts w:hint="eastAsia" w:ascii="仿宋" w:hAnsi="仿宋" w:eastAsia="仿宋" w:cs="仿宋"/>
                <w:sz w:val="20"/>
                <w:szCs w:val="20"/>
                <w:lang w:val="zh-CN" w:bidi="zh-CN"/>
              </w:rPr>
            </w:pPr>
            <w:r>
              <w:rPr>
                <w:rFonts w:hint="eastAsia" w:ascii="仿宋" w:hAnsi="仿宋" w:eastAsia="仿宋" w:cs="仿宋"/>
                <w:b/>
                <w:spacing w:val="-3"/>
                <w:sz w:val="20"/>
                <w:szCs w:val="21"/>
                <w:lang w:val="zh-CN" w:bidi="zh-CN"/>
              </w:rPr>
              <w:t>注：提供承诺书。</w:t>
            </w:r>
          </w:p>
        </w:tc>
        <w:tc>
          <w:tcPr>
            <w:tcW w:w="708" w:type="dxa"/>
            <w:noWrap w:val="0"/>
            <w:vAlign w:val="center"/>
          </w:tcPr>
          <w:p w14:paraId="3340F806">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5</w:t>
            </w:r>
          </w:p>
        </w:tc>
        <w:tc>
          <w:tcPr>
            <w:tcW w:w="861" w:type="dxa"/>
            <w:noWrap w:val="0"/>
            <w:vAlign w:val="center"/>
          </w:tcPr>
          <w:p w14:paraId="0674DFD1">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客观分</w:t>
            </w:r>
          </w:p>
        </w:tc>
      </w:tr>
      <w:tr w14:paraId="5CDF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568" w:type="dxa"/>
            <w:noWrap w:val="0"/>
            <w:vAlign w:val="center"/>
          </w:tcPr>
          <w:p w14:paraId="63C02C4E">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2.4</w:t>
            </w:r>
          </w:p>
        </w:tc>
        <w:tc>
          <w:tcPr>
            <w:tcW w:w="1114" w:type="dxa"/>
            <w:vMerge w:val="continue"/>
            <w:noWrap w:val="0"/>
            <w:vAlign w:val="center"/>
          </w:tcPr>
          <w:p w14:paraId="4A9BDA2D">
            <w:pPr>
              <w:widowControl/>
              <w:spacing w:line="336" w:lineRule="auto"/>
              <w:jc w:val="left"/>
              <w:rPr>
                <w:rFonts w:hint="eastAsia" w:ascii="仿宋" w:hAnsi="仿宋" w:eastAsia="仿宋" w:cs="仿宋"/>
                <w:color w:val="000000"/>
                <w:sz w:val="20"/>
                <w:szCs w:val="21"/>
              </w:rPr>
            </w:pPr>
          </w:p>
        </w:tc>
        <w:tc>
          <w:tcPr>
            <w:tcW w:w="6602" w:type="dxa"/>
            <w:noWrap w:val="0"/>
            <w:vAlign w:val="center"/>
          </w:tcPr>
          <w:p w14:paraId="11362B58">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1"/>
                <w:szCs w:val="21"/>
                <w:highlight w:val="none"/>
                <w:lang w:bidi="zh-CN"/>
              </w:rPr>
              <w:t>考勤系统（</w:t>
            </w:r>
            <w:r>
              <w:rPr>
                <w:rFonts w:hint="eastAsia" w:ascii="仿宋" w:hAnsi="仿宋" w:eastAsia="仿宋" w:cs="仿宋"/>
                <w:sz w:val="21"/>
                <w:szCs w:val="21"/>
                <w:highlight w:val="none"/>
                <w:lang w:val="en-US" w:bidi="zh-CN"/>
              </w:rPr>
              <w:t>5</w:t>
            </w:r>
            <w:r>
              <w:rPr>
                <w:rFonts w:hint="eastAsia" w:ascii="仿宋" w:hAnsi="仿宋" w:eastAsia="仿宋" w:cs="仿宋"/>
                <w:sz w:val="21"/>
                <w:szCs w:val="21"/>
                <w:highlight w:val="none"/>
                <w:lang w:bidi="zh-CN"/>
              </w:rPr>
              <w:t>分）</w:t>
            </w:r>
          </w:p>
          <w:p w14:paraId="35829912">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0"/>
                <w:szCs w:val="21"/>
                <w:highlight w:val="none"/>
                <w:lang w:bidi="zh-CN"/>
              </w:rPr>
              <w:t>评委根据供应商提供的</w:t>
            </w:r>
            <w:r>
              <w:rPr>
                <w:rFonts w:hint="eastAsia" w:ascii="仿宋" w:hAnsi="仿宋" w:eastAsia="仿宋" w:cs="仿宋"/>
                <w:sz w:val="21"/>
                <w:szCs w:val="21"/>
                <w:highlight w:val="none"/>
                <w:lang w:bidi="zh-CN"/>
              </w:rPr>
              <w:t>人脸识别系统考勤情况进行综合评分：</w:t>
            </w:r>
          </w:p>
          <w:p w14:paraId="3D263F6B">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有人脸识别系统并为服务对象进行考勤的得</w:t>
            </w:r>
            <w:r>
              <w:rPr>
                <w:rFonts w:hint="eastAsia" w:ascii="仿宋" w:hAnsi="仿宋" w:eastAsia="仿宋" w:cs="仿宋"/>
                <w:sz w:val="20"/>
                <w:szCs w:val="21"/>
                <w:highlight w:val="none"/>
                <w:lang w:val="en-US" w:bidi="zh-CN"/>
              </w:rPr>
              <w:t>5</w:t>
            </w:r>
            <w:r>
              <w:rPr>
                <w:rFonts w:hint="eastAsia" w:ascii="仿宋" w:hAnsi="仿宋" w:eastAsia="仿宋" w:cs="仿宋"/>
                <w:sz w:val="20"/>
                <w:szCs w:val="21"/>
                <w:highlight w:val="none"/>
                <w:lang w:val="zh-CN" w:bidi="zh-CN"/>
              </w:rPr>
              <w:t>分。</w:t>
            </w:r>
          </w:p>
          <w:p w14:paraId="2AFA77EE">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不满足</w:t>
            </w:r>
            <w:r>
              <w:rPr>
                <w:rFonts w:hint="eastAsia" w:ascii="仿宋" w:hAnsi="仿宋" w:eastAsia="仿宋" w:cs="仿宋"/>
                <w:sz w:val="20"/>
                <w:szCs w:val="21"/>
                <w:highlight w:val="none"/>
                <w:lang w:val="zh-CN" w:bidi="zh-CN"/>
              </w:rPr>
              <w:t>的不得分。</w:t>
            </w:r>
          </w:p>
          <w:p w14:paraId="7810DFA8">
            <w:pPr>
              <w:widowControl/>
              <w:jc w:val="left"/>
              <w:rPr>
                <w:rFonts w:hint="eastAsia" w:ascii="仿宋" w:hAnsi="仿宋" w:eastAsia="仿宋" w:cs="仿宋"/>
                <w:b/>
                <w:bCs/>
                <w:sz w:val="18"/>
                <w:szCs w:val="18"/>
                <w:highlight w:val="none"/>
              </w:rPr>
            </w:pPr>
            <w:r>
              <w:rPr>
                <w:rFonts w:hint="eastAsia" w:ascii="仿宋" w:hAnsi="仿宋" w:eastAsia="仿宋" w:cs="仿宋"/>
                <w:b/>
                <w:spacing w:val="-3"/>
                <w:sz w:val="20"/>
                <w:szCs w:val="21"/>
                <w:highlight w:val="none"/>
                <w:lang w:val="zh-CN" w:bidi="zh-CN"/>
              </w:rPr>
              <w:t>注：提供相关证明材料。</w:t>
            </w:r>
          </w:p>
        </w:tc>
        <w:tc>
          <w:tcPr>
            <w:tcW w:w="708" w:type="dxa"/>
            <w:noWrap w:val="0"/>
            <w:vAlign w:val="center"/>
          </w:tcPr>
          <w:p w14:paraId="7719A831">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5</w:t>
            </w:r>
          </w:p>
        </w:tc>
        <w:tc>
          <w:tcPr>
            <w:tcW w:w="861" w:type="dxa"/>
            <w:noWrap w:val="0"/>
            <w:vAlign w:val="center"/>
          </w:tcPr>
          <w:p w14:paraId="3BDE3AA6">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18368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568" w:type="dxa"/>
            <w:noWrap w:val="0"/>
            <w:vAlign w:val="center"/>
          </w:tcPr>
          <w:p w14:paraId="5B9129B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2.5</w:t>
            </w:r>
          </w:p>
        </w:tc>
        <w:tc>
          <w:tcPr>
            <w:tcW w:w="1114" w:type="dxa"/>
            <w:vMerge w:val="continue"/>
            <w:noWrap w:val="0"/>
            <w:vAlign w:val="center"/>
          </w:tcPr>
          <w:p w14:paraId="46931366">
            <w:pPr>
              <w:widowControl/>
              <w:spacing w:line="336" w:lineRule="auto"/>
              <w:jc w:val="left"/>
              <w:rPr>
                <w:rFonts w:hint="eastAsia" w:ascii="仿宋" w:hAnsi="仿宋" w:eastAsia="仿宋" w:cs="仿宋"/>
                <w:spacing w:val="-3"/>
                <w:sz w:val="20"/>
                <w:szCs w:val="21"/>
                <w:lang w:val="zh-CN" w:bidi="zh-CN"/>
              </w:rPr>
            </w:pPr>
          </w:p>
        </w:tc>
        <w:tc>
          <w:tcPr>
            <w:tcW w:w="6602" w:type="dxa"/>
            <w:noWrap w:val="0"/>
            <w:vAlign w:val="top"/>
          </w:tcPr>
          <w:p w14:paraId="6B70138B">
            <w:pPr>
              <w:widowControl/>
              <w:jc w:val="left"/>
              <w:rPr>
                <w:rFonts w:hint="eastAsia" w:ascii="仿宋" w:hAnsi="仿宋" w:eastAsia="仿宋" w:cs="仿宋"/>
                <w:spacing w:val="-3"/>
                <w:sz w:val="20"/>
                <w:szCs w:val="21"/>
                <w:lang w:val="zh-CN" w:bidi="zh-CN"/>
              </w:rPr>
            </w:pPr>
            <w:r>
              <w:rPr>
                <w:rFonts w:hint="eastAsia" w:ascii="仿宋" w:hAnsi="仿宋" w:eastAsia="仿宋" w:cs="仿宋"/>
                <w:spacing w:val="-3"/>
                <w:sz w:val="20"/>
                <w:szCs w:val="21"/>
                <w:lang w:val="zh-CN" w:bidi="zh-CN"/>
              </w:rPr>
              <w:t>系统数据录入（5分）</w:t>
            </w:r>
          </w:p>
          <w:p w14:paraId="61FD0EF2">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评委根据供应商提供的各数据系统录入情况进行综合评分：</w:t>
            </w:r>
          </w:p>
          <w:p w14:paraId="2529422F">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承诺录入中国残联儿童康复救助系统且数据完整的，得2分；</w:t>
            </w:r>
          </w:p>
          <w:p w14:paraId="4FAEFE25">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承诺录入省智慧残联系统且数据完整的，得3分。</w:t>
            </w:r>
          </w:p>
          <w:p w14:paraId="54003130">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最高得5分。</w:t>
            </w:r>
          </w:p>
          <w:p w14:paraId="65620A79">
            <w:pPr>
              <w:widowControl/>
              <w:jc w:val="left"/>
              <w:rPr>
                <w:rFonts w:hint="eastAsia" w:ascii="仿宋" w:hAnsi="仿宋" w:eastAsia="仿宋" w:cs="仿宋"/>
                <w:spacing w:val="-3"/>
                <w:sz w:val="20"/>
                <w:szCs w:val="21"/>
                <w:lang w:val="zh-CN" w:bidi="zh-CN"/>
              </w:rPr>
            </w:pPr>
            <w:r>
              <w:rPr>
                <w:rFonts w:hint="eastAsia" w:ascii="仿宋" w:hAnsi="仿宋" w:eastAsia="仿宋" w:cs="仿宋"/>
                <w:b/>
                <w:bCs/>
                <w:sz w:val="20"/>
                <w:szCs w:val="21"/>
                <w:lang w:bidi="zh-CN"/>
              </w:rPr>
              <w:t>注：提供承诺书。</w:t>
            </w:r>
          </w:p>
        </w:tc>
        <w:tc>
          <w:tcPr>
            <w:tcW w:w="708" w:type="dxa"/>
            <w:noWrap w:val="0"/>
            <w:vAlign w:val="center"/>
          </w:tcPr>
          <w:p w14:paraId="74AB3D2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5</w:t>
            </w:r>
          </w:p>
        </w:tc>
        <w:tc>
          <w:tcPr>
            <w:tcW w:w="861" w:type="dxa"/>
            <w:noWrap w:val="0"/>
            <w:vAlign w:val="center"/>
          </w:tcPr>
          <w:p w14:paraId="5ECEBF3B">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客观分</w:t>
            </w:r>
          </w:p>
        </w:tc>
      </w:tr>
      <w:tr w14:paraId="1CF02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568" w:type="dxa"/>
            <w:noWrap w:val="0"/>
            <w:vAlign w:val="center"/>
          </w:tcPr>
          <w:p w14:paraId="7E4CF46D">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3.1</w:t>
            </w:r>
          </w:p>
        </w:tc>
        <w:tc>
          <w:tcPr>
            <w:tcW w:w="1114" w:type="dxa"/>
            <w:vMerge w:val="restart"/>
            <w:noWrap w:val="0"/>
            <w:vAlign w:val="center"/>
          </w:tcPr>
          <w:p w14:paraId="61F5C953">
            <w:pPr>
              <w:widowControl/>
              <w:spacing w:line="336" w:lineRule="auto"/>
              <w:jc w:val="left"/>
              <w:rPr>
                <w:rFonts w:hint="eastAsia" w:ascii="仿宋" w:hAnsi="仿宋" w:eastAsia="仿宋" w:cs="仿宋"/>
                <w:color w:val="000000"/>
                <w:sz w:val="20"/>
                <w:szCs w:val="21"/>
                <w:lang w:eastAsia="zh-CN"/>
              </w:rPr>
            </w:pPr>
            <w:r>
              <w:rPr>
                <w:rFonts w:hint="eastAsia" w:ascii="仿宋" w:hAnsi="仿宋" w:eastAsia="仿宋" w:cs="仿宋"/>
                <w:spacing w:val="-3"/>
                <w:sz w:val="20"/>
                <w:szCs w:val="21"/>
                <w:lang w:val="zh-CN" w:bidi="zh-CN"/>
              </w:rPr>
              <w:t>服务</w:t>
            </w:r>
            <w:r>
              <w:rPr>
                <w:rFonts w:hint="eastAsia" w:ascii="仿宋" w:hAnsi="仿宋" w:eastAsia="仿宋" w:cs="仿宋"/>
                <w:color w:val="000000"/>
                <w:sz w:val="20"/>
                <w:szCs w:val="21"/>
              </w:rPr>
              <w:t>业绩</w:t>
            </w:r>
            <w:r>
              <w:rPr>
                <w:rFonts w:hint="eastAsia" w:ascii="仿宋" w:hAnsi="仿宋" w:eastAsia="仿宋" w:cs="仿宋"/>
                <w:color w:val="000000"/>
                <w:sz w:val="20"/>
                <w:szCs w:val="21"/>
                <w:lang w:eastAsia="zh-CN"/>
              </w:rPr>
              <w:t>（</w:t>
            </w:r>
            <w:r>
              <w:rPr>
                <w:rFonts w:hint="eastAsia" w:ascii="仿宋" w:hAnsi="仿宋" w:eastAsia="仿宋" w:cs="仿宋"/>
                <w:color w:val="000000"/>
                <w:sz w:val="20"/>
                <w:szCs w:val="21"/>
                <w:lang w:val="en-US" w:eastAsia="zh-CN"/>
              </w:rPr>
              <w:t>13分</w:t>
            </w:r>
            <w:r>
              <w:rPr>
                <w:rFonts w:hint="eastAsia" w:ascii="仿宋" w:hAnsi="仿宋" w:eastAsia="仿宋" w:cs="仿宋"/>
                <w:color w:val="000000"/>
                <w:sz w:val="20"/>
                <w:szCs w:val="21"/>
                <w:lang w:eastAsia="zh-CN"/>
              </w:rPr>
              <w:t>）</w:t>
            </w:r>
          </w:p>
        </w:tc>
        <w:tc>
          <w:tcPr>
            <w:tcW w:w="6602" w:type="dxa"/>
            <w:noWrap w:val="0"/>
            <w:vAlign w:val="top"/>
          </w:tcPr>
          <w:p w14:paraId="185E0AE6">
            <w:pPr>
              <w:widowControl/>
              <w:jc w:val="left"/>
              <w:rPr>
                <w:rFonts w:hint="eastAsia" w:ascii="仿宋" w:hAnsi="仿宋" w:eastAsia="仿宋" w:cs="仿宋"/>
                <w:b/>
                <w:bCs/>
                <w:sz w:val="20"/>
                <w:szCs w:val="20"/>
                <w:highlight w:val="none"/>
                <w:lang w:val="zh-CN"/>
              </w:rPr>
            </w:pPr>
            <w:r>
              <w:rPr>
                <w:rFonts w:hint="eastAsia" w:ascii="仿宋" w:hAnsi="仿宋" w:eastAsia="仿宋" w:cs="仿宋"/>
                <w:b/>
                <w:bCs/>
                <w:sz w:val="20"/>
                <w:szCs w:val="20"/>
                <w:highlight w:val="none"/>
                <w:lang w:val="zh-CN"/>
              </w:rPr>
              <w:t>服务经验</w:t>
            </w:r>
          </w:p>
          <w:p w14:paraId="15D838AD">
            <w:pPr>
              <w:widowControl/>
              <w:jc w:val="left"/>
              <w:rPr>
                <w:rFonts w:hint="eastAsia" w:ascii="仿宋" w:hAnsi="仿宋" w:eastAsia="仿宋" w:cs="仿宋"/>
                <w:sz w:val="20"/>
                <w:szCs w:val="20"/>
                <w:highlight w:val="none"/>
                <w:lang w:val="zh-CN"/>
              </w:rPr>
            </w:pPr>
            <w:r>
              <w:rPr>
                <w:rFonts w:hint="eastAsia" w:ascii="仿宋" w:hAnsi="仿宋" w:eastAsia="仿宋" w:cs="仿宋"/>
                <w:sz w:val="20"/>
                <w:szCs w:val="20"/>
                <w:highlight w:val="none"/>
                <w:lang w:val="zh-CN"/>
              </w:rPr>
              <w:t>评委根据供应商提供服务对象的诊断证明(医院出具)和收治证明(202</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val="zh-CN"/>
              </w:rPr>
              <w:t>年1月1 日以后)，缺项不得分。每提供1名服务对象的得0.5 分，最多得10分。</w:t>
            </w:r>
          </w:p>
          <w:p w14:paraId="070EC247">
            <w:pPr>
              <w:widowControl/>
              <w:jc w:val="left"/>
              <w:rPr>
                <w:rFonts w:hint="eastAsia" w:ascii="仿宋" w:hAnsi="仿宋" w:eastAsia="仿宋" w:cs="仿宋"/>
                <w:sz w:val="20"/>
                <w:szCs w:val="20"/>
                <w:highlight w:val="none"/>
              </w:rPr>
            </w:pPr>
            <w:r>
              <w:rPr>
                <w:rFonts w:hint="eastAsia" w:ascii="仿宋" w:hAnsi="仿宋" w:eastAsia="仿宋" w:cs="仿宋"/>
                <w:b/>
                <w:bCs/>
                <w:sz w:val="20"/>
                <w:szCs w:val="20"/>
                <w:highlight w:val="none"/>
                <w:lang w:val="zh-CN"/>
              </w:rPr>
              <w:t>注:提供相关证明材料。</w:t>
            </w:r>
          </w:p>
        </w:tc>
        <w:tc>
          <w:tcPr>
            <w:tcW w:w="708" w:type="dxa"/>
            <w:noWrap w:val="0"/>
            <w:vAlign w:val="center"/>
          </w:tcPr>
          <w:p w14:paraId="0AD840E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61" w:type="dxa"/>
            <w:noWrap w:val="0"/>
            <w:vAlign w:val="center"/>
          </w:tcPr>
          <w:p w14:paraId="545B7E61">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3E8CB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blHeader/>
          <w:jc w:val="center"/>
        </w:trPr>
        <w:tc>
          <w:tcPr>
            <w:tcW w:w="568" w:type="dxa"/>
            <w:noWrap w:val="0"/>
            <w:vAlign w:val="center"/>
          </w:tcPr>
          <w:p w14:paraId="0C237719">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3.2</w:t>
            </w:r>
          </w:p>
        </w:tc>
        <w:tc>
          <w:tcPr>
            <w:tcW w:w="1114" w:type="dxa"/>
            <w:vMerge w:val="continue"/>
            <w:noWrap w:val="0"/>
            <w:vAlign w:val="center"/>
          </w:tcPr>
          <w:p w14:paraId="2F97D49A">
            <w:pPr>
              <w:widowControl/>
              <w:spacing w:line="336" w:lineRule="auto"/>
              <w:jc w:val="left"/>
              <w:rPr>
                <w:rFonts w:hint="eastAsia" w:ascii="仿宋" w:hAnsi="仿宋" w:eastAsia="仿宋" w:cs="仿宋"/>
                <w:spacing w:val="-3"/>
                <w:sz w:val="20"/>
                <w:szCs w:val="21"/>
                <w:lang w:val="zh-CN" w:bidi="zh-CN"/>
              </w:rPr>
            </w:pPr>
          </w:p>
        </w:tc>
        <w:tc>
          <w:tcPr>
            <w:tcW w:w="6602" w:type="dxa"/>
            <w:noWrap w:val="0"/>
            <w:vAlign w:val="center"/>
          </w:tcPr>
          <w:p w14:paraId="37B2700E">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获奖情况</w:t>
            </w:r>
          </w:p>
          <w:p w14:paraId="24DDCF37">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评委根据供应商提供自20</w:t>
            </w:r>
            <w:r>
              <w:rPr>
                <w:rFonts w:hint="eastAsia" w:ascii="仿宋" w:hAnsi="仿宋" w:eastAsia="仿宋" w:cs="仿宋"/>
                <w:spacing w:val="-3"/>
                <w:sz w:val="20"/>
                <w:szCs w:val="21"/>
                <w:highlight w:val="none"/>
                <w:lang w:val="en-US" w:bidi="zh-CN"/>
              </w:rPr>
              <w:t>20</w:t>
            </w:r>
            <w:r>
              <w:rPr>
                <w:rFonts w:hint="eastAsia" w:ascii="仿宋" w:hAnsi="仿宋" w:eastAsia="仿宋" w:cs="仿宋"/>
                <w:spacing w:val="-3"/>
                <w:sz w:val="20"/>
                <w:szCs w:val="21"/>
                <w:highlight w:val="none"/>
                <w:lang w:val="zh-CN" w:bidi="zh-CN"/>
              </w:rPr>
              <w:t>年以来在残疾人康复服务中获得残联、民政、卫生等相关部门表扬或奖励情况打分（可叠加）：</w:t>
            </w:r>
          </w:p>
          <w:p w14:paraId="0689C37D">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每有1个省级（含）以上表彰的得3分；</w:t>
            </w:r>
          </w:p>
          <w:p w14:paraId="555148C5">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每有1个市级表彰的得2分；</w:t>
            </w:r>
          </w:p>
          <w:p w14:paraId="2F7F6222">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每有1个区级表彰的得1分。</w:t>
            </w:r>
          </w:p>
          <w:p w14:paraId="27F9C953">
            <w:pPr>
              <w:ind w:left="0"/>
              <w:rPr>
                <w:rFonts w:hint="eastAsia" w:ascii="仿宋" w:hAnsi="仿宋" w:eastAsia="仿宋" w:cs="仿宋"/>
                <w:sz w:val="21"/>
                <w:szCs w:val="21"/>
                <w:highlight w:val="none"/>
                <w:lang w:val="en-US" w:eastAsia="zh-CN" w:bidi="zh-CN"/>
              </w:rPr>
            </w:pPr>
            <w:r>
              <w:rPr>
                <w:rFonts w:hint="eastAsia" w:ascii="仿宋" w:hAnsi="仿宋" w:eastAsia="仿宋" w:cs="仿宋"/>
                <w:spacing w:val="-3"/>
                <w:sz w:val="21"/>
                <w:szCs w:val="21"/>
                <w:highlight w:val="none"/>
                <w:lang w:val="zh-CN" w:eastAsia="zh-CN" w:bidi="zh-CN"/>
              </w:rPr>
              <w:t>最高得</w:t>
            </w:r>
            <w:r>
              <w:rPr>
                <w:rFonts w:hint="eastAsia" w:ascii="仿宋" w:hAnsi="仿宋" w:eastAsia="仿宋" w:cs="仿宋"/>
                <w:spacing w:val="-3"/>
                <w:sz w:val="21"/>
                <w:szCs w:val="21"/>
                <w:highlight w:val="none"/>
                <w:lang w:val="en-US" w:eastAsia="zh-CN" w:bidi="zh-CN"/>
              </w:rPr>
              <w:t>3分。</w:t>
            </w:r>
          </w:p>
          <w:p w14:paraId="4DD86E03">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b/>
                <w:spacing w:val="-3"/>
                <w:sz w:val="20"/>
                <w:szCs w:val="21"/>
                <w:highlight w:val="none"/>
                <w:lang w:val="zh-CN" w:bidi="zh-CN"/>
              </w:rPr>
              <w:t>注：以证书颁发时间或发文时间为准，提供表彰证书或表彰文件。</w:t>
            </w:r>
          </w:p>
        </w:tc>
        <w:tc>
          <w:tcPr>
            <w:tcW w:w="708" w:type="dxa"/>
            <w:noWrap w:val="0"/>
            <w:vAlign w:val="center"/>
          </w:tcPr>
          <w:p w14:paraId="1EC5C646">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3</w:t>
            </w:r>
          </w:p>
        </w:tc>
        <w:tc>
          <w:tcPr>
            <w:tcW w:w="861" w:type="dxa"/>
            <w:noWrap w:val="0"/>
            <w:vAlign w:val="center"/>
          </w:tcPr>
          <w:p w14:paraId="785D8E4F">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0B99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1682" w:type="dxa"/>
            <w:gridSpan w:val="2"/>
            <w:noWrap w:val="0"/>
            <w:vAlign w:val="center"/>
          </w:tcPr>
          <w:p w14:paraId="27AE276E">
            <w:pPr>
              <w:widowControl/>
              <w:spacing w:line="336" w:lineRule="auto"/>
              <w:ind w:firstLine="525"/>
              <w:jc w:val="left"/>
              <w:rPr>
                <w:rFonts w:hint="eastAsia" w:ascii="仿宋" w:hAnsi="仿宋" w:eastAsia="仿宋" w:cs="仿宋"/>
                <w:color w:val="000000"/>
                <w:sz w:val="20"/>
                <w:szCs w:val="21"/>
              </w:rPr>
            </w:pPr>
            <w:r>
              <w:rPr>
                <w:rFonts w:hint="eastAsia" w:ascii="仿宋" w:hAnsi="仿宋" w:eastAsia="仿宋" w:cs="仿宋"/>
                <w:color w:val="000000"/>
                <w:sz w:val="20"/>
                <w:szCs w:val="21"/>
              </w:rPr>
              <w:t>合计</w:t>
            </w:r>
          </w:p>
        </w:tc>
        <w:tc>
          <w:tcPr>
            <w:tcW w:w="6602" w:type="dxa"/>
            <w:noWrap w:val="0"/>
            <w:vAlign w:val="center"/>
          </w:tcPr>
          <w:p w14:paraId="3D469CB2">
            <w:pPr>
              <w:widowControl/>
              <w:spacing w:line="336" w:lineRule="auto"/>
              <w:jc w:val="left"/>
              <w:rPr>
                <w:rFonts w:hint="eastAsia" w:ascii="仿宋" w:hAnsi="仿宋" w:eastAsia="仿宋" w:cs="仿宋"/>
                <w:color w:val="000000"/>
                <w:sz w:val="20"/>
                <w:szCs w:val="21"/>
              </w:rPr>
            </w:pPr>
          </w:p>
        </w:tc>
        <w:tc>
          <w:tcPr>
            <w:tcW w:w="708" w:type="dxa"/>
            <w:noWrap w:val="0"/>
            <w:vAlign w:val="center"/>
          </w:tcPr>
          <w:p w14:paraId="07E9ECB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100分</w:t>
            </w:r>
          </w:p>
        </w:tc>
        <w:tc>
          <w:tcPr>
            <w:tcW w:w="861" w:type="dxa"/>
            <w:noWrap w:val="0"/>
            <w:vAlign w:val="center"/>
          </w:tcPr>
          <w:p w14:paraId="6D76D0C1">
            <w:pPr>
              <w:widowControl/>
              <w:spacing w:line="336" w:lineRule="auto"/>
              <w:jc w:val="left"/>
              <w:rPr>
                <w:rFonts w:hint="eastAsia" w:ascii="仿宋" w:hAnsi="仿宋" w:eastAsia="仿宋" w:cs="仿宋"/>
                <w:color w:val="000000"/>
                <w:sz w:val="20"/>
                <w:szCs w:val="21"/>
              </w:rPr>
            </w:pPr>
          </w:p>
        </w:tc>
      </w:tr>
      <w:bookmarkEnd w:id="111"/>
      <w:bookmarkEnd w:id="112"/>
      <w:bookmarkEnd w:id="113"/>
      <w:bookmarkEnd w:id="114"/>
      <w:bookmarkEnd w:id="115"/>
    </w:tbl>
    <w:p w14:paraId="116036B0">
      <w:pPr>
        <w:rPr>
          <w:rFonts w:hint="eastAsia"/>
          <w:lang w:val="en-US" w:eastAsia="zh-CN"/>
        </w:rPr>
      </w:pPr>
    </w:p>
    <w:p w14:paraId="42642E09">
      <w:pPr>
        <w:pStyle w:val="2"/>
        <w:rPr>
          <w:rFonts w:hint="eastAsia"/>
          <w:lang w:val="en-US" w:eastAsia="zh-CN"/>
        </w:rPr>
      </w:pPr>
    </w:p>
    <w:tbl>
      <w:tblPr>
        <w:tblStyle w:val="40"/>
        <w:tblW w:w="9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134"/>
        <w:gridCol w:w="6338"/>
        <w:gridCol w:w="804"/>
        <w:gridCol w:w="887"/>
      </w:tblGrid>
      <w:tr w14:paraId="3139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tblHeader/>
          <w:jc w:val="center"/>
        </w:trPr>
        <w:tc>
          <w:tcPr>
            <w:tcW w:w="697" w:type="dxa"/>
            <w:noWrap w:val="0"/>
            <w:vAlign w:val="center"/>
          </w:tcPr>
          <w:p w14:paraId="65B5E706">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序号</w:t>
            </w:r>
          </w:p>
        </w:tc>
        <w:tc>
          <w:tcPr>
            <w:tcW w:w="1134" w:type="dxa"/>
            <w:noWrap w:val="0"/>
            <w:vAlign w:val="center"/>
          </w:tcPr>
          <w:p w14:paraId="5D412C9C">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评分因素</w:t>
            </w:r>
          </w:p>
        </w:tc>
        <w:tc>
          <w:tcPr>
            <w:tcW w:w="6338" w:type="dxa"/>
            <w:noWrap w:val="0"/>
            <w:vAlign w:val="center"/>
          </w:tcPr>
          <w:p w14:paraId="1B654154">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分包</w:t>
            </w:r>
            <w:r>
              <w:rPr>
                <w:rFonts w:hint="eastAsia" w:ascii="仿宋" w:hAnsi="仿宋" w:eastAsia="仿宋" w:cs="仿宋"/>
                <w:b/>
                <w:color w:val="000000"/>
                <w:sz w:val="20"/>
                <w:szCs w:val="21"/>
                <w:highlight w:val="none"/>
                <w:lang w:val="en-US" w:eastAsia="zh-CN"/>
              </w:rPr>
              <w:t>2</w:t>
            </w:r>
            <w:r>
              <w:rPr>
                <w:rFonts w:hint="eastAsia" w:ascii="仿宋" w:hAnsi="仿宋" w:eastAsia="仿宋" w:cs="仿宋"/>
                <w:b/>
                <w:color w:val="000000"/>
                <w:sz w:val="20"/>
                <w:szCs w:val="21"/>
                <w:highlight w:val="none"/>
              </w:rPr>
              <w:t>（听力言语康复服务机构）评分标准</w:t>
            </w:r>
          </w:p>
        </w:tc>
        <w:tc>
          <w:tcPr>
            <w:tcW w:w="804" w:type="dxa"/>
            <w:noWrap w:val="0"/>
            <w:vAlign w:val="center"/>
          </w:tcPr>
          <w:p w14:paraId="0F1392DA">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分值</w:t>
            </w:r>
          </w:p>
        </w:tc>
        <w:tc>
          <w:tcPr>
            <w:tcW w:w="887" w:type="dxa"/>
            <w:noWrap w:val="0"/>
            <w:vAlign w:val="center"/>
          </w:tcPr>
          <w:p w14:paraId="58969A3D">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sz w:val="20"/>
                <w:szCs w:val="21"/>
                <w:highlight w:val="none"/>
                <w:lang w:val="en-US" w:eastAsia="zh-CN"/>
              </w:rPr>
            </w:pPr>
            <w:r>
              <w:rPr>
                <w:rFonts w:hint="eastAsia" w:ascii="仿宋" w:hAnsi="仿宋" w:eastAsia="仿宋" w:cs="仿宋"/>
                <w:b/>
                <w:color w:val="000000"/>
                <w:sz w:val="20"/>
                <w:szCs w:val="21"/>
                <w:highlight w:val="none"/>
                <w:lang w:val="en-US" w:eastAsia="zh-CN"/>
              </w:rPr>
              <w:t>备注</w:t>
            </w:r>
          </w:p>
        </w:tc>
      </w:tr>
      <w:tr w14:paraId="620E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blHeader/>
          <w:jc w:val="center"/>
        </w:trPr>
        <w:tc>
          <w:tcPr>
            <w:tcW w:w="697" w:type="dxa"/>
            <w:noWrap w:val="0"/>
            <w:vAlign w:val="center"/>
          </w:tcPr>
          <w:p w14:paraId="427C39B2">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1.1</w:t>
            </w:r>
          </w:p>
        </w:tc>
        <w:tc>
          <w:tcPr>
            <w:tcW w:w="1134" w:type="dxa"/>
            <w:vMerge w:val="restart"/>
            <w:noWrap w:val="0"/>
            <w:vAlign w:val="center"/>
          </w:tcPr>
          <w:p w14:paraId="4F407073">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rPr>
              <w:t>服务内容</w:t>
            </w:r>
            <w:r>
              <w:rPr>
                <w:rFonts w:hint="eastAsia" w:ascii="仿宋" w:hAnsi="仿宋" w:eastAsia="仿宋" w:cs="仿宋"/>
                <w:color w:val="000000"/>
                <w:sz w:val="20"/>
                <w:szCs w:val="21"/>
                <w:highlight w:val="none"/>
                <w:lang w:eastAsia="zh-CN"/>
              </w:rPr>
              <w:t>（</w:t>
            </w:r>
            <w:r>
              <w:rPr>
                <w:rFonts w:hint="eastAsia" w:ascii="仿宋" w:hAnsi="仿宋" w:eastAsia="仿宋" w:cs="仿宋"/>
                <w:color w:val="000000"/>
                <w:sz w:val="20"/>
                <w:szCs w:val="21"/>
                <w:highlight w:val="none"/>
                <w:lang w:val="en-US" w:eastAsia="zh-CN"/>
              </w:rPr>
              <w:t>54分</w:t>
            </w:r>
            <w:r>
              <w:rPr>
                <w:rFonts w:hint="eastAsia" w:ascii="仿宋" w:hAnsi="仿宋" w:eastAsia="仿宋" w:cs="仿宋"/>
                <w:color w:val="000000"/>
                <w:sz w:val="20"/>
                <w:szCs w:val="21"/>
                <w:highlight w:val="none"/>
                <w:lang w:eastAsia="zh-CN"/>
              </w:rPr>
              <w:t>）</w:t>
            </w:r>
          </w:p>
        </w:tc>
        <w:tc>
          <w:tcPr>
            <w:tcW w:w="6338" w:type="dxa"/>
            <w:noWrap w:val="0"/>
            <w:vAlign w:val="center"/>
          </w:tcPr>
          <w:p w14:paraId="794A7F05">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评委根据供应商提供的服务方案（包括评估和诊断、康复计划、康复训练记录、康复评估和小结等）进行综合评分：</w:t>
            </w:r>
          </w:p>
          <w:p w14:paraId="33559E52">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（1）方案全面完整，科学合理，保障措施有力，时效性、可操作性强，得10分；</w:t>
            </w:r>
          </w:p>
          <w:p w14:paraId="23EB7721">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（2）方案内容较全面，较科学，较有效，可操作性较强，得7分；</w:t>
            </w:r>
          </w:p>
          <w:p w14:paraId="5682499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6D63B4C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（4）实施方案内容不完整，缺乏可操作性的得1分；</w:t>
            </w:r>
          </w:p>
          <w:p w14:paraId="3408F287">
            <w:pPr>
              <w:keepNext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lang w:val="en-US" w:eastAsia="zh-CN" w:bidi="ar-SA"/>
              </w:rPr>
              <w:t>（5）</w:t>
            </w:r>
            <w:r>
              <w:rPr>
                <w:rFonts w:hint="eastAsia" w:ascii="仿宋" w:hAnsi="仿宋" w:eastAsia="仿宋" w:cs="仿宋"/>
                <w:color w:val="000000"/>
                <w:sz w:val="20"/>
                <w:szCs w:val="21"/>
                <w:highlight w:val="none"/>
              </w:rPr>
              <w:t>其他或未提供的不得分。</w:t>
            </w:r>
          </w:p>
        </w:tc>
        <w:tc>
          <w:tcPr>
            <w:tcW w:w="804" w:type="dxa"/>
            <w:noWrap w:val="0"/>
            <w:vAlign w:val="center"/>
          </w:tcPr>
          <w:p w14:paraId="1B7120C2">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79190746">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lang w:val="en-US" w:eastAsia="zh-CN"/>
              </w:rPr>
            </w:pPr>
            <w:r>
              <w:rPr>
                <w:rFonts w:hint="eastAsia" w:ascii="仿宋" w:hAnsi="仿宋" w:eastAsia="仿宋" w:cs="仿宋"/>
                <w:color w:val="000000"/>
                <w:sz w:val="20"/>
                <w:szCs w:val="21"/>
                <w:highlight w:val="none"/>
                <w:lang w:val="en-US" w:eastAsia="zh-CN"/>
              </w:rPr>
              <w:t>主观分</w:t>
            </w:r>
          </w:p>
        </w:tc>
      </w:tr>
      <w:tr w14:paraId="794E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blHeader/>
          <w:jc w:val="center"/>
        </w:trPr>
        <w:tc>
          <w:tcPr>
            <w:tcW w:w="697" w:type="dxa"/>
            <w:noWrap w:val="0"/>
            <w:vAlign w:val="center"/>
          </w:tcPr>
          <w:p w14:paraId="07ACD964">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1.2</w:t>
            </w:r>
          </w:p>
        </w:tc>
        <w:tc>
          <w:tcPr>
            <w:tcW w:w="1134" w:type="dxa"/>
            <w:vMerge w:val="continue"/>
            <w:noWrap w:val="0"/>
            <w:vAlign w:val="center"/>
          </w:tcPr>
          <w:p w14:paraId="6E781E8A">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p>
        </w:tc>
        <w:tc>
          <w:tcPr>
            <w:tcW w:w="6338" w:type="dxa"/>
            <w:noWrap w:val="0"/>
            <w:vAlign w:val="center"/>
          </w:tcPr>
          <w:p w14:paraId="76336A34">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评委根据供应商提供的培训方案（包括康复专业人员培训、专家指导、家长培训等）进行综合评分：</w:t>
            </w:r>
          </w:p>
          <w:p w14:paraId="60FF4A33">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（1）方案全面完整，科学合理，保障措施有力，时效性、可操作性强，得10分；</w:t>
            </w:r>
          </w:p>
          <w:p w14:paraId="4ACCBF54">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（2）方案内容较全面，较科学，较有效，可操作性较强，得7分；</w:t>
            </w:r>
          </w:p>
          <w:p w14:paraId="14CBAC4D">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68389E71">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（4）实施方案内容不完整，缺乏可操作性的得1分；</w:t>
            </w:r>
          </w:p>
          <w:p w14:paraId="0D01D2B9">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04" w:type="dxa"/>
            <w:noWrap w:val="0"/>
            <w:vAlign w:val="center"/>
          </w:tcPr>
          <w:p w14:paraId="0F940E23">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7C60F8A4">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31D8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blHeader/>
          <w:jc w:val="center"/>
        </w:trPr>
        <w:tc>
          <w:tcPr>
            <w:tcW w:w="697" w:type="dxa"/>
            <w:noWrap w:val="0"/>
            <w:vAlign w:val="center"/>
          </w:tcPr>
          <w:p w14:paraId="1855CB52">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1.3</w:t>
            </w:r>
          </w:p>
        </w:tc>
        <w:tc>
          <w:tcPr>
            <w:tcW w:w="1134" w:type="dxa"/>
            <w:vMerge w:val="continue"/>
            <w:noWrap w:val="0"/>
            <w:vAlign w:val="center"/>
          </w:tcPr>
          <w:p w14:paraId="590B7593">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p>
        </w:tc>
        <w:tc>
          <w:tcPr>
            <w:tcW w:w="6338" w:type="dxa"/>
            <w:noWrap w:val="0"/>
            <w:vAlign w:val="center"/>
          </w:tcPr>
          <w:p w14:paraId="276021CF">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评委根据供应商提供的业务指导方案（包括</w:t>
            </w:r>
            <w:r>
              <w:rPr>
                <w:rFonts w:hint="eastAsia" w:ascii="仿宋" w:hAnsi="仿宋" w:eastAsia="仿宋" w:cs="仿宋"/>
                <w:sz w:val="20"/>
                <w:szCs w:val="21"/>
                <w:highlight w:val="none"/>
              </w:rPr>
              <w:t>儿童转介或跟踪服务、社区家庭康复延伸、公益宣教活动</w:t>
            </w:r>
            <w:r>
              <w:rPr>
                <w:rFonts w:hint="eastAsia" w:ascii="仿宋" w:hAnsi="仿宋" w:eastAsia="仿宋" w:cs="仿宋"/>
                <w:color w:val="000000"/>
                <w:sz w:val="20"/>
                <w:szCs w:val="21"/>
                <w:highlight w:val="none"/>
              </w:rPr>
              <w:t>等）进行综合评分：</w:t>
            </w:r>
          </w:p>
          <w:p w14:paraId="6F9E9049">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（1）方案内容全面，科学有效，可操作性强，得10分；</w:t>
            </w:r>
          </w:p>
          <w:p w14:paraId="2B82C760">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7 分；</w:t>
            </w:r>
          </w:p>
          <w:p w14:paraId="3E12A431">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1F6AED59">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（4）方案内容不完整，缺乏可操作性的得1分；</w:t>
            </w:r>
          </w:p>
          <w:p w14:paraId="184CB07B">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04" w:type="dxa"/>
            <w:noWrap w:val="0"/>
            <w:vAlign w:val="center"/>
          </w:tcPr>
          <w:p w14:paraId="5A333564">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09FA1AF9">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2BC6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blHeader/>
          <w:jc w:val="center"/>
        </w:trPr>
        <w:tc>
          <w:tcPr>
            <w:tcW w:w="697" w:type="dxa"/>
            <w:noWrap w:val="0"/>
            <w:vAlign w:val="center"/>
          </w:tcPr>
          <w:p w14:paraId="4B0EB4AC">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1.4</w:t>
            </w:r>
          </w:p>
        </w:tc>
        <w:tc>
          <w:tcPr>
            <w:tcW w:w="1134" w:type="dxa"/>
            <w:vMerge w:val="continue"/>
            <w:noWrap w:val="0"/>
            <w:vAlign w:val="center"/>
          </w:tcPr>
          <w:p w14:paraId="60DEC47A">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p>
        </w:tc>
        <w:tc>
          <w:tcPr>
            <w:tcW w:w="6338" w:type="dxa"/>
            <w:noWrap w:val="0"/>
            <w:vAlign w:val="center"/>
          </w:tcPr>
          <w:p w14:paraId="575EEBB0">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评委根据供应商提供的质量保证方案（包括</w:t>
            </w:r>
            <w:r>
              <w:rPr>
                <w:rFonts w:hint="eastAsia" w:ascii="仿宋" w:hAnsi="仿宋" w:eastAsia="仿宋" w:cs="仿宋"/>
                <w:sz w:val="20"/>
                <w:szCs w:val="21"/>
                <w:highlight w:val="none"/>
              </w:rPr>
              <w:t>儿童康复评估、康复训练建档率、</w:t>
            </w:r>
            <w:r>
              <w:rPr>
                <w:rFonts w:hint="eastAsia" w:ascii="仿宋" w:hAnsi="仿宋" w:eastAsia="仿宋" w:cs="仿宋"/>
                <w:color w:val="000000"/>
                <w:sz w:val="20"/>
                <w:szCs w:val="21"/>
                <w:highlight w:val="none"/>
              </w:rPr>
              <w:t>家长满意率、</w:t>
            </w:r>
            <w:r>
              <w:rPr>
                <w:rFonts w:hint="eastAsia" w:ascii="仿宋" w:hAnsi="仿宋" w:eastAsia="仿宋" w:cs="仿宋"/>
                <w:sz w:val="20"/>
                <w:szCs w:val="21"/>
                <w:highlight w:val="none"/>
              </w:rPr>
              <w:t>社会融合活动</w:t>
            </w:r>
            <w:r>
              <w:rPr>
                <w:rFonts w:hint="eastAsia" w:ascii="仿宋" w:hAnsi="仿宋" w:eastAsia="仿宋" w:cs="仿宋"/>
                <w:color w:val="000000"/>
                <w:sz w:val="20"/>
                <w:szCs w:val="21"/>
                <w:highlight w:val="none"/>
              </w:rPr>
              <w:t>等）进行综合评分：</w:t>
            </w:r>
          </w:p>
          <w:p w14:paraId="4BA10E08">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（1）方案内容全面，科学有效，可操作性强，得10分；</w:t>
            </w:r>
          </w:p>
          <w:p w14:paraId="3B8310A9">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7 分；</w:t>
            </w:r>
          </w:p>
          <w:p w14:paraId="13745D04">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48385FFF">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（4）方案内容不完整，缺乏可操作性的得1分；</w:t>
            </w:r>
          </w:p>
          <w:p w14:paraId="6B02996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04" w:type="dxa"/>
            <w:noWrap w:val="0"/>
            <w:vAlign w:val="center"/>
          </w:tcPr>
          <w:p w14:paraId="11E75975">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27EADA1D">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1E1B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blHeader/>
          <w:jc w:val="center"/>
        </w:trPr>
        <w:tc>
          <w:tcPr>
            <w:tcW w:w="697" w:type="dxa"/>
            <w:noWrap w:val="0"/>
            <w:vAlign w:val="center"/>
          </w:tcPr>
          <w:p w14:paraId="3033A3E0">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1.5</w:t>
            </w:r>
          </w:p>
        </w:tc>
        <w:tc>
          <w:tcPr>
            <w:tcW w:w="1134" w:type="dxa"/>
            <w:vMerge w:val="continue"/>
            <w:noWrap w:val="0"/>
            <w:vAlign w:val="center"/>
          </w:tcPr>
          <w:p w14:paraId="01DFFBBB">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c>
          <w:tcPr>
            <w:tcW w:w="6338" w:type="dxa"/>
            <w:noWrap w:val="0"/>
            <w:vAlign w:val="center"/>
          </w:tcPr>
          <w:p w14:paraId="33C4FE7F">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sz w:val="20"/>
                <w:szCs w:val="21"/>
                <w:highlight w:val="none"/>
                <w:lang w:bidi="zh-CN"/>
              </w:rPr>
              <w:t>评委</w:t>
            </w:r>
            <w:r>
              <w:rPr>
                <w:rFonts w:hint="eastAsia" w:ascii="仿宋" w:hAnsi="仿宋" w:eastAsia="仿宋" w:cs="仿宋"/>
                <w:sz w:val="20"/>
                <w:szCs w:val="21"/>
                <w:highlight w:val="none"/>
                <w:lang w:val="zh-CN" w:bidi="zh-CN"/>
              </w:rPr>
              <w:t>根据</w:t>
            </w:r>
            <w:r>
              <w:rPr>
                <w:rFonts w:hint="eastAsia" w:ascii="仿宋" w:hAnsi="仿宋" w:eastAsia="仿宋" w:cs="仿宋"/>
                <w:sz w:val="20"/>
                <w:szCs w:val="21"/>
                <w:highlight w:val="none"/>
                <w:lang w:bidi="zh-CN"/>
              </w:rPr>
              <w:t>供</w:t>
            </w:r>
            <w:r>
              <w:rPr>
                <w:rFonts w:hint="eastAsia" w:ascii="仿宋" w:hAnsi="仿宋" w:eastAsia="仿宋" w:cs="仿宋"/>
                <w:color w:val="000000"/>
                <w:sz w:val="20"/>
                <w:szCs w:val="21"/>
                <w:highlight w:val="none"/>
              </w:rPr>
              <w:t>应商提供的突发事件应急处置预案 （包括灾害防范措施、应急预案、消防演练、应急处理等）进行综合评分：</w:t>
            </w:r>
          </w:p>
          <w:p w14:paraId="67BEF7E2">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（1）预案内容考虑全面，处置应对措施科学有效，可操作性强，得10分；</w:t>
            </w:r>
          </w:p>
          <w:p w14:paraId="263D57AE">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（2）预案内容考虑较全面，处置应对措施较科学，较有效，可操作性较强，得7分；</w:t>
            </w:r>
          </w:p>
          <w:p w14:paraId="3669D63D">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（3）预案内容不全面，处置应对措施科学性、有效性有欠缺，可操作性不强，得4分；</w:t>
            </w:r>
          </w:p>
          <w:p w14:paraId="09B859D2">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（4）预案内容不完整，缺乏可操作性的得1分；</w:t>
            </w:r>
          </w:p>
          <w:p w14:paraId="09ECA2C8">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（5）预案不符合服务要求或未提供方案的不得分。</w:t>
            </w:r>
          </w:p>
        </w:tc>
        <w:tc>
          <w:tcPr>
            <w:tcW w:w="804" w:type="dxa"/>
            <w:noWrap w:val="0"/>
            <w:vAlign w:val="center"/>
          </w:tcPr>
          <w:p w14:paraId="18EA8C19">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696CF81A">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6496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blHeader/>
          <w:jc w:val="center"/>
        </w:trPr>
        <w:tc>
          <w:tcPr>
            <w:tcW w:w="697" w:type="dxa"/>
            <w:noWrap w:val="0"/>
            <w:vAlign w:val="center"/>
          </w:tcPr>
          <w:p w14:paraId="517F8E8F">
            <w:pPr>
              <w:keepNext w:val="0"/>
              <w:keepLines/>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1.6</w:t>
            </w:r>
          </w:p>
        </w:tc>
        <w:tc>
          <w:tcPr>
            <w:tcW w:w="1134" w:type="dxa"/>
            <w:vMerge w:val="continue"/>
            <w:noWrap w:val="0"/>
            <w:vAlign w:val="center"/>
          </w:tcPr>
          <w:p w14:paraId="43E50671">
            <w:pPr>
              <w:keepNext w:val="0"/>
              <w:keepLines/>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c>
          <w:tcPr>
            <w:tcW w:w="6338" w:type="dxa"/>
            <w:noWrap w:val="0"/>
            <w:vAlign w:val="center"/>
          </w:tcPr>
          <w:p w14:paraId="5ECCA2F1">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sz w:val="20"/>
                <w:szCs w:val="21"/>
                <w:highlight w:val="none"/>
                <w:lang w:bidi="zh-CN"/>
              </w:rPr>
              <w:t>评委</w:t>
            </w:r>
            <w:r>
              <w:rPr>
                <w:rFonts w:hint="eastAsia" w:ascii="仿宋" w:hAnsi="仿宋" w:eastAsia="仿宋" w:cs="仿宋"/>
                <w:sz w:val="20"/>
                <w:szCs w:val="21"/>
                <w:highlight w:val="none"/>
                <w:lang w:val="zh-CN" w:bidi="zh-CN"/>
              </w:rPr>
              <w:t>根据</w:t>
            </w:r>
            <w:r>
              <w:rPr>
                <w:rFonts w:hint="eastAsia" w:ascii="仿宋" w:hAnsi="仿宋" w:eastAsia="仿宋" w:cs="仿宋"/>
                <w:sz w:val="20"/>
                <w:szCs w:val="21"/>
                <w:highlight w:val="none"/>
                <w:lang w:bidi="zh-CN"/>
              </w:rPr>
              <w:t>供</w:t>
            </w:r>
            <w:r>
              <w:rPr>
                <w:rFonts w:hint="eastAsia" w:ascii="仿宋" w:hAnsi="仿宋" w:eastAsia="仿宋" w:cs="仿宋"/>
                <w:color w:val="000000"/>
                <w:sz w:val="20"/>
                <w:szCs w:val="21"/>
                <w:highlight w:val="none"/>
              </w:rPr>
              <w:t>应商提供的</w:t>
            </w:r>
            <w:r>
              <w:rPr>
                <w:rFonts w:hint="eastAsia" w:ascii="仿宋" w:hAnsi="仿宋" w:eastAsia="仿宋" w:cs="仿宋"/>
                <w:b/>
                <w:sz w:val="20"/>
                <w:szCs w:val="21"/>
                <w:highlight w:val="none"/>
                <w:lang w:bidi="zh-CN"/>
              </w:rPr>
              <w:t>安全保障方</w:t>
            </w:r>
            <w:r>
              <w:rPr>
                <w:rFonts w:hint="eastAsia" w:ascii="仿宋" w:hAnsi="仿宋" w:eastAsia="仿宋" w:cs="仿宋"/>
                <w:color w:val="000000"/>
                <w:sz w:val="20"/>
                <w:szCs w:val="21"/>
                <w:highlight w:val="none"/>
              </w:rPr>
              <w:t>案 （包括安全培训、安全巡检、安全教育、安全监督管理等）进行综合评分：</w:t>
            </w:r>
          </w:p>
          <w:p w14:paraId="62EF8712">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（1）方案内容全面，科学有效，可操作性强，得4分；</w:t>
            </w:r>
          </w:p>
          <w:p w14:paraId="49428838">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2 分；</w:t>
            </w:r>
          </w:p>
          <w:p w14:paraId="305E8406">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（3）方案内容不完整，缺乏可操作性的得1分；</w:t>
            </w:r>
          </w:p>
          <w:p w14:paraId="154B68FD">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（4）其他或未提供的不得分</w:t>
            </w:r>
          </w:p>
        </w:tc>
        <w:tc>
          <w:tcPr>
            <w:tcW w:w="804" w:type="dxa"/>
            <w:noWrap w:val="0"/>
            <w:vAlign w:val="center"/>
          </w:tcPr>
          <w:p w14:paraId="2BBAAE72">
            <w:pPr>
              <w:keepNext w:val="0"/>
              <w:keepLines/>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w:t>
            </w:r>
          </w:p>
        </w:tc>
        <w:tc>
          <w:tcPr>
            <w:tcW w:w="887" w:type="dxa"/>
            <w:noWrap w:val="0"/>
            <w:vAlign w:val="center"/>
          </w:tcPr>
          <w:p w14:paraId="0472A7E7">
            <w:pPr>
              <w:keepNext w:val="0"/>
              <w:keepLines/>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43250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blHeader/>
          <w:jc w:val="center"/>
        </w:trPr>
        <w:tc>
          <w:tcPr>
            <w:tcW w:w="697" w:type="dxa"/>
            <w:noWrap w:val="0"/>
            <w:vAlign w:val="center"/>
          </w:tcPr>
          <w:p w14:paraId="79812120">
            <w:pPr>
              <w:keepNext w:val="0"/>
              <w:keepLines/>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2.1</w:t>
            </w:r>
          </w:p>
        </w:tc>
        <w:tc>
          <w:tcPr>
            <w:tcW w:w="1134" w:type="dxa"/>
            <w:vMerge w:val="restart"/>
            <w:noWrap w:val="0"/>
            <w:vAlign w:val="center"/>
          </w:tcPr>
          <w:p w14:paraId="54AD8187">
            <w:pPr>
              <w:keepNext w:val="0"/>
              <w:keepLines/>
              <w:pageBreakBefore w:val="0"/>
              <w:widowControl w:val="0"/>
              <w:kinsoku/>
              <w:wordWrap/>
              <w:overflowPunct/>
              <w:topLinePunct w:val="0"/>
              <w:autoSpaceDE/>
              <w:autoSpaceDN/>
              <w:bidi w:val="0"/>
              <w:adjustRightInd/>
              <w:snapToGrid/>
              <w:spacing w:after="12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服务水平</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33分</w:t>
            </w:r>
            <w:r>
              <w:rPr>
                <w:rFonts w:hint="eastAsia" w:ascii="仿宋" w:hAnsi="仿宋" w:eastAsia="仿宋" w:cs="仿宋"/>
                <w:sz w:val="20"/>
                <w:szCs w:val="20"/>
                <w:highlight w:val="none"/>
                <w:lang w:eastAsia="zh-CN"/>
              </w:rPr>
              <w:t>）</w:t>
            </w:r>
          </w:p>
        </w:tc>
        <w:tc>
          <w:tcPr>
            <w:tcW w:w="6338" w:type="dxa"/>
            <w:noWrap w:val="0"/>
            <w:vAlign w:val="center"/>
          </w:tcPr>
          <w:p w14:paraId="3012740A">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color w:val="000000"/>
                <w:sz w:val="20"/>
                <w:szCs w:val="21"/>
                <w:highlight w:val="none"/>
              </w:rPr>
            </w:pPr>
            <w:r>
              <w:rPr>
                <w:rFonts w:hint="eastAsia" w:ascii="仿宋" w:hAnsi="仿宋" w:eastAsia="仿宋" w:cs="仿宋"/>
                <w:sz w:val="20"/>
                <w:szCs w:val="20"/>
                <w:highlight w:val="none"/>
              </w:rPr>
              <w:t>评委根据供应商提供的团队人员配置进行综合评分：</w:t>
            </w:r>
          </w:p>
          <w:p w14:paraId="06C25600">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000000"/>
                <w:sz w:val="20"/>
                <w:szCs w:val="21"/>
                <w:highlight w:val="none"/>
              </w:rPr>
            </w:pPr>
            <w:r>
              <w:rPr>
                <w:rFonts w:hint="eastAsia" w:ascii="仿宋" w:hAnsi="仿宋" w:eastAsia="仿宋" w:cs="仿宋"/>
                <w:b/>
                <w:bCs/>
                <w:color w:val="000000"/>
                <w:sz w:val="20"/>
                <w:szCs w:val="21"/>
                <w:highlight w:val="none"/>
              </w:rPr>
              <w:t>1.专业技术人员除项目负责人外（10分）</w:t>
            </w:r>
          </w:p>
          <w:p w14:paraId="5020C77B">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sz w:val="20"/>
                <w:szCs w:val="21"/>
                <w:highlight w:val="none"/>
              </w:rPr>
              <w:t>①专业技术人员满足需求（2名）</w:t>
            </w:r>
            <w:r>
              <w:rPr>
                <w:rFonts w:hint="eastAsia" w:ascii="仿宋" w:hAnsi="仿宋" w:eastAsia="仿宋" w:cs="仿宋"/>
                <w:color w:val="000000"/>
                <w:sz w:val="20"/>
                <w:szCs w:val="21"/>
                <w:highlight w:val="none"/>
              </w:rPr>
              <w:t>，每增加1人加1分，最高得2分；</w:t>
            </w:r>
          </w:p>
          <w:p w14:paraId="02E09630">
            <w:pPr>
              <w:keepNext w:val="0"/>
              <w:keepLines/>
              <w:pageBreakBefore w:val="0"/>
              <w:widowControl w:val="0"/>
              <w:kinsoku/>
              <w:wordWrap/>
              <w:overflowPunct/>
              <w:topLinePunct w:val="0"/>
              <w:autoSpaceDE/>
              <w:autoSpaceDN/>
              <w:bidi w:val="0"/>
              <w:adjustRightInd/>
              <w:snapToGrid/>
              <w:ind w:left="0"/>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w:t>
            </w:r>
            <w:r>
              <w:rPr>
                <w:rFonts w:hint="eastAsia" w:ascii="仿宋" w:hAnsi="仿宋" w:eastAsia="仿宋" w:cs="仿宋"/>
                <w:color w:val="000000"/>
                <w:sz w:val="21"/>
                <w:szCs w:val="21"/>
                <w:highlight w:val="none"/>
                <w:lang w:val="zh-CN" w:eastAsia="zh-CN" w:bidi="zh-CN"/>
              </w:rPr>
              <w:t>个训教师数量需达到2人，每增加1人加0.5分，最高得2分；</w:t>
            </w:r>
          </w:p>
          <w:p w14:paraId="450AB49E">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②具有5年及以上康复工作经验，有1人加1分，最高得2分；</w:t>
            </w:r>
          </w:p>
          <w:p w14:paraId="36BEE5F6">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③取得康复服务相关专业中级职称的，有1人得0.5分；取得康复服务相关专业高级职称的，有1人得1分，最高得4分。</w:t>
            </w:r>
          </w:p>
          <w:p w14:paraId="2B68A504">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000000"/>
                <w:sz w:val="20"/>
                <w:szCs w:val="21"/>
                <w:highlight w:val="none"/>
              </w:rPr>
            </w:pPr>
            <w:r>
              <w:rPr>
                <w:rFonts w:hint="eastAsia" w:ascii="仿宋" w:hAnsi="仿宋" w:eastAsia="仿宋" w:cs="仿宋"/>
                <w:b/>
                <w:bCs/>
                <w:color w:val="000000"/>
                <w:sz w:val="20"/>
                <w:szCs w:val="21"/>
                <w:highlight w:val="none"/>
              </w:rPr>
              <w:t>2.项目负责人（2分）</w:t>
            </w:r>
          </w:p>
          <w:p w14:paraId="30CCA11C">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具有康复服务相关专业中级及以上职称的，得2分。</w:t>
            </w:r>
          </w:p>
          <w:p w14:paraId="712E1B0A">
            <w:pPr>
              <w:keepNext w:val="0"/>
              <w:keepLines/>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0"/>
                <w:szCs w:val="20"/>
                <w:highlight w:val="none"/>
              </w:rPr>
            </w:pPr>
            <w:r>
              <w:rPr>
                <w:rFonts w:hint="eastAsia" w:ascii="仿宋" w:hAnsi="仿宋" w:eastAsia="仿宋" w:cs="仿宋"/>
                <w:b/>
                <w:color w:val="000000"/>
                <w:sz w:val="20"/>
                <w:szCs w:val="21"/>
                <w:highlight w:val="none"/>
              </w:rPr>
              <w:t>注：根据供应商提供的专业技术人员的花名册（注明专业、工作经验等）进行综合评分。需提供个人专业技术证明，一人多证以最高职称为准。上述评分点中团队配置所有参与评分的人员均需提供202</w:t>
            </w:r>
            <w:r>
              <w:rPr>
                <w:rFonts w:hint="eastAsia" w:ascii="仿宋" w:hAnsi="仿宋" w:eastAsia="仿宋" w:cs="仿宋"/>
                <w:b/>
                <w:color w:val="000000"/>
                <w:sz w:val="20"/>
                <w:szCs w:val="21"/>
                <w:highlight w:val="none"/>
                <w:lang w:val="en-US" w:eastAsia="zh-CN"/>
              </w:rPr>
              <w:t>5</w:t>
            </w:r>
            <w:r>
              <w:rPr>
                <w:rFonts w:hint="eastAsia" w:ascii="仿宋" w:hAnsi="仿宋" w:eastAsia="仿宋" w:cs="仿宋"/>
                <w:b/>
                <w:color w:val="000000"/>
                <w:sz w:val="20"/>
                <w:szCs w:val="21"/>
                <w:highlight w:val="none"/>
              </w:rPr>
              <w:t>年01月以来任意1个月由供应商为其缴纳社保基金的证明材料（不包括返聘人员）。上述评分点证明资料不完整或不一致或不符合要求的不计分。</w:t>
            </w:r>
          </w:p>
        </w:tc>
        <w:tc>
          <w:tcPr>
            <w:tcW w:w="804" w:type="dxa"/>
            <w:noWrap w:val="0"/>
            <w:vAlign w:val="center"/>
          </w:tcPr>
          <w:p w14:paraId="690A8750">
            <w:pPr>
              <w:keepNext w:val="0"/>
              <w:keepLines/>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12</w:t>
            </w:r>
          </w:p>
        </w:tc>
        <w:tc>
          <w:tcPr>
            <w:tcW w:w="887" w:type="dxa"/>
            <w:noWrap w:val="0"/>
            <w:vAlign w:val="center"/>
          </w:tcPr>
          <w:p w14:paraId="67C8B173">
            <w:pPr>
              <w:keepNext w:val="0"/>
              <w:keepLines/>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lang w:val="en-US" w:eastAsia="zh-CN"/>
              </w:rPr>
            </w:pPr>
            <w:r>
              <w:rPr>
                <w:rFonts w:hint="eastAsia" w:ascii="仿宋" w:hAnsi="仿宋" w:eastAsia="仿宋" w:cs="仿宋"/>
                <w:color w:val="000000"/>
                <w:sz w:val="20"/>
                <w:szCs w:val="21"/>
                <w:highlight w:val="none"/>
                <w:lang w:val="en-US" w:eastAsia="zh-CN"/>
              </w:rPr>
              <w:t>客观分</w:t>
            </w:r>
          </w:p>
        </w:tc>
      </w:tr>
      <w:tr w14:paraId="311D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blHeader/>
          <w:jc w:val="center"/>
        </w:trPr>
        <w:tc>
          <w:tcPr>
            <w:tcW w:w="697" w:type="dxa"/>
            <w:noWrap w:val="0"/>
            <w:vAlign w:val="center"/>
          </w:tcPr>
          <w:p w14:paraId="0E3A18DE">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2.2</w:t>
            </w:r>
          </w:p>
        </w:tc>
        <w:tc>
          <w:tcPr>
            <w:tcW w:w="1134" w:type="dxa"/>
            <w:vMerge w:val="continue"/>
            <w:noWrap w:val="0"/>
            <w:vAlign w:val="center"/>
          </w:tcPr>
          <w:p w14:paraId="0D61DDF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spacing w:val="-3"/>
                <w:sz w:val="20"/>
                <w:szCs w:val="21"/>
                <w:highlight w:val="none"/>
                <w:lang w:val="zh-CN" w:bidi="zh-CN"/>
              </w:rPr>
            </w:pPr>
          </w:p>
        </w:tc>
        <w:tc>
          <w:tcPr>
            <w:tcW w:w="6338" w:type="dxa"/>
            <w:noWrap w:val="0"/>
            <w:vAlign w:val="center"/>
          </w:tcPr>
          <w:p w14:paraId="342A5AFF">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评委根据供应商提供的</w:t>
            </w:r>
            <w:r>
              <w:rPr>
                <w:rFonts w:hint="eastAsia" w:ascii="仿宋" w:hAnsi="仿宋" w:eastAsia="仿宋" w:cs="仿宋"/>
                <w:spacing w:val="-3"/>
                <w:sz w:val="20"/>
                <w:szCs w:val="21"/>
                <w:highlight w:val="none"/>
                <w:lang w:val="zh-CN" w:bidi="zh-CN"/>
              </w:rPr>
              <w:t>设施设备</w:t>
            </w:r>
            <w:r>
              <w:rPr>
                <w:rFonts w:hint="eastAsia" w:ascii="仿宋" w:hAnsi="仿宋" w:eastAsia="仿宋" w:cs="仿宋"/>
                <w:sz w:val="20"/>
                <w:szCs w:val="20"/>
                <w:highlight w:val="none"/>
              </w:rPr>
              <w:t>进行综合评分（6分）</w:t>
            </w:r>
          </w:p>
          <w:p w14:paraId="76FC33F1">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满足康复训练（含教学）设备数量下限（13种），每增加一种得1分，最多6分，</w:t>
            </w:r>
            <w:r>
              <w:rPr>
                <w:rFonts w:hint="eastAsia" w:ascii="仿宋" w:hAnsi="仿宋" w:eastAsia="仿宋" w:cs="仿宋"/>
                <w:color w:val="000000"/>
                <w:sz w:val="20"/>
                <w:szCs w:val="21"/>
                <w:highlight w:val="none"/>
              </w:rPr>
              <w:t>不满足要求不得分。</w:t>
            </w:r>
          </w:p>
          <w:p w14:paraId="26BB1DFE">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注：</w:t>
            </w:r>
            <w:r>
              <w:rPr>
                <w:rFonts w:hint="eastAsia" w:ascii="仿宋" w:hAnsi="仿宋" w:eastAsia="仿宋" w:cs="仿宋"/>
                <w:b/>
                <w:bCs/>
                <w:sz w:val="20"/>
                <w:szCs w:val="20"/>
                <w:highlight w:val="none"/>
              </w:rPr>
              <w:t>需提供完整的设施设备清单</w:t>
            </w:r>
            <w:r>
              <w:rPr>
                <w:rFonts w:hint="eastAsia" w:ascii="仿宋" w:hAnsi="仿宋" w:eastAsia="仿宋" w:cs="仿宋"/>
                <w:sz w:val="20"/>
                <w:szCs w:val="20"/>
                <w:highlight w:val="none"/>
              </w:rPr>
              <w:t>（需包括设备名称、数量、购置时间等）、</w:t>
            </w:r>
            <w:r>
              <w:rPr>
                <w:rFonts w:hint="eastAsia" w:ascii="仿宋" w:hAnsi="仿宋" w:eastAsia="仿宋" w:cs="仿宋"/>
                <w:b/>
                <w:bCs/>
                <w:sz w:val="20"/>
                <w:szCs w:val="20"/>
                <w:highlight w:val="none"/>
              </w:rPr>
              <w:t>设备购置发票及实物照片</w:t>
            </w:r>
            <w:r>
              <w:rPr>
                <w:rFonts w:hint="eastAsia" w:ascii="仿宋" w:hAnsi="仿宋" w:eastAsia="仿宋" w:cs="仿宋"/>
                <w:sz w:val="20"/>
                <w:szCs w:val="20"/>
                <w:highlight w:val="none"/>
              </w:rPr>
              <w:t>，上述证明材料缺项的不得分。证明材料与供应商名称不一致时需提供相关说明及证明材料，否则不得分。</w:t>
            </w:r>
          </w:p>
        </w:tc>
        <w:tc>
          <w:tcPr>
            <w:tcW w:w="804" w:type="dxa"/>
            <w:noWrap w:val="0"/>
            <w:vAlign w:val="center"/>
          </w:tcPr>
          <w:p w14:paraId="71E8E78D">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6</w:t>
            </w:r>
          </w:p>
        </w:tc>
        <w:tc>
          <w:tcPr>
            <w:tcW w:w="887" w:type="dxa"/>
            <w:noWrap w:val="0"/>
            <w:vAlign w:val="center"/>
          </w:tcPr>
          <w:p w14:paraId="7EE8B108">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1C1A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blHeader/>
          <w:jc w:val="center"/>
        </w:trPr>
        <w:tc>
          <w:tcPr>
            <w:tcW w:w="697" w:type="dxa"/>
            <w:noWrap w:val="0"/>
            <w:vAlign w:val="center"/>
          </w:tcPr>
          <w:p w14:paraId="700AA012">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2.3</w:t>
            </w:r>
          </w:p>
        </w:tc>
        <w:tc>
          <w:tcPr>
            <w:tcW w:w="1134" w:type="dxa"/>
            <w:vMerge w:val="continue"/>
            <w:noWrap w:val="0"/>
            <w:vAlign w:val="center"/>
          </w:tcPr>
          <w:p w14:paraId="0DC13625">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c>
          <w:tcPr>
            <w:tcW w:w="6338" w:type="dxa"/>
            <w:noWrap w:val="0"/>
            <w:vAlign w:val="center"/>
          </w:tcPr>
          <w:p w14:paraId="02EB7299">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1"/>
                <w:szCs w:val="21"/>
                <w:highlight w:val="none"/>
                <w:lang w:bidi="zh-CN"/>
              </w:rPr>
            </w:pPr>
            <w:r>
              <w:rPr>
                <w:rFonts w:hint="eastAsia" w:ascii="仿宋" w:hAnsi="仿宋" w:eastAsia="仿宋" w:cs="仿宋"/>
                <w:sz w:val="21"/>
                <w:szCs w:val="21"/>
                <w:highlight w:val="none"/>
                <w:lang w:bidi="zh-CN"/>
              </w:rPr>
              <w:t>安全（5分）</w:t>
            </w:r>
          </w:p>
          <w:p w14:paraId="323C60DB">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评委根据供应商提供</w:t>
            </w:r>
            <w:r>
              <w:rPr>
                <w:rFonts w:hint="eastAsia" w:ascii="仿宋" w:hAnsi="仿宋" w:eastAsia="仿宋" w:cs="仿宋"/>
                <w:sz w:val="20"/>
                <w:szCs w:val="21"/>
                <w:highlight w:val="none"/>
                <w:lang w:val="zh-CN" w:bidi="zh-CN"/>
              </w:rPr>
              <w:t>为服务对象购买场地意外险或公众责任险情况进行综合评分：</w:t>
            </w:r>
          </w:p>
          <w:p w14:paraId="19F485FC">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为全部在训服务对象购买保险且连续无断档的得</w:t>
            </w:r>
            <w:r>
              <w:rPr>
                <w:rFonts w:hint="eastAsia" w:ascii="仿宋" w:hAnsi="仿宋" w:eastAsia="仿宋" w:cs="仿宋"/>
                <w:sz w:val="20"/>
                <w:szCs w:val="21"/>
                <w:highlight w:val="none"/>
                <w:lang w:bidi="zh-CN"/>
              </w:rPr>
              <w:t>5</w:t>
            </w:r>
            <w:r>
              <w:rPr>
                <w:rFonts w:hint="eastAsia" w:ascii="仿宋" w:hAnsi="仿宋" w:eastAsia="仿宋" w:cs="仿宋"/>
                <w:sz w:val="20"/>
                <w:szCs w:val="21"/>
                <w:highlight w:val="none"/>
                <w:lang w:val="zh-CN" w:bidi="zh-CN"/>
              </w:rPr>
              <w:t>分。</w:t>
            </w:r>
          </w:p>
          <w:p w14:paraId="1B31949C">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未</w:t>
            </w: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的不得分。</w:t>
            </w:r>
          </w:p>
          <w:p w14:paraId="274E2B8B">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0"/>
                <w:highlight w:val="none"/>
                <w:lang w:val="zh-CN" w:bidi="zh-CN"/>
              </w:rPr>
            </w:pPr>
            <w:r>
              <w:rPr>
                <w:rFonts w:hint="eastAsia" w:ascii="仿宋" w:hAnsi="仿宋" w:eastAsia="仿宋" w:cs="仿宋"/>
                <w:b/>
                <w:spacing w:val="-3"/>
                <w:sz w:val="20"/>
                <w:szCs w:val="21"/>
                <w:highlight w:val="none"/>
                <w:lang w:val="zh-CN" w:bidi="zh-CN"/>
              </w:rPr>
              <w:t>注：提供承诺书。</w:t>
            </w:r>
          </w:p>
        </w:tc>
        <w:tc>
          <w:tcPr>
            <w:tcW w:w="804" w:type="dxa"/>
            <w:noWrap w:val="0"/>
            <w:vAlign w:val="center"/>
          </w:tcPr>
          <w:p w14:paraId="5F828742">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87" w:type="dxa"/>
            <w:noWrap w:val="0"/>
            <w:vAlign w:val="center"/>
          </w:tcPr>
          <w:p w14:paraId="65BFD0E5">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A69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blHeader/>
          <w:jc w:val="center"/>
        </w:trPr>
        <w:tc>
          <w:tcPr>
            <w:tcW w:w="697" w:type="dxa"/>
            <w:noWrap w:val="0"/>
            <w:vAlign w:val="center"/>
          </w:tcPr>
          <w:p w14:paraId="712FA6E7">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2.4</w:t>
            </w:r>
          </w:p>
        </w:tc>
        <w:tc>
          <w:tcPr>
            <w:tcW w:w="1134" w:type="dxa"/>
            <w:vMerge w:val="continue"/>
            <w:noWrap w:val="0"/>
            <w:vAlign w:val="center"/>
          </w:tcPr>
          <w:p w14:paraId="0975B963">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c>
          <w:tcPr>
            <w:tcW w:w="6338" w:type="dxa"/>
            <w:noWrap w:val="0"/>
            <w:vAlign w:val="center"/>
          </w:tcPr>
          <w:p w14:paraId="529EFD78">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bidi="zh-CN"/>
              </w:rPr>
            </w:pPr>
            <w:r>
              <w:rPr>
                <w:rFonts w:hint="eastAsia" w:ascii="仿宋" w:hAnsi="仿宋" w:eastAsia="仿宋" w:cs="仿宋"/>
                <w:sz w:val="21"/>
                <w:szCs w:val="21"/>
                <w:highlight w:val="none"/>
                <w:lang w:bidi="zh-CN"/>
              </w:rPr>
              <w:t>考勤系统（</w:t>
            </w:r>
            <w:r>
              <w:rPr>
                <w:rFonts w:hint="eastAsia" w:ascii="仿宋" w:hAnsi="仿宋" w:eastAsia="仿宋" w:cs="仿宋"/>
                <w:sz w:val="21"/>
                <w:szCs w:val="21"/>
                <w:highlight w:val="none"/>
                <w:lang w:val="en-US" w:bidi="zh-CN"/>
              </w:rPr>
              <w:t>5</w:t>
            </w:r>
            <w:r>
              <w:rPr>
                <w:rFonts w:hint="eastAsia" w:ascii="仿宋" w:hAnsi="仿宋" w:eastAsia="仿宋" w:cs="仿宋"/>
                <w:sz w:val="21"/>
                <w:szCs w:val="21"/>
                <w:highlight w:val="none"/>
                <w:lang w:bidi="zh-CN"/>
              </w:rPr>
              <w:t>分）</w:t>
            </w:r>
          </w:p>
          <w:p w14:paraId="234EB774">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1"/>
                <w:szCs w:val="21"/>
                <w:highlight w:val="none"/>
                <w:lang w:bidi="zh-CN"/>
              </w:rPr>
            </w:pPr>
            <w:r>
              <w:rPr>
                <w:rFonts w:hint="eastAsia" w:ascii="仿宋" w:hAnsi="仿宋" w:eastAsia="仿宋" w:cs="仿宋"/>
                <w:sz w:val="20"/>
                <w:szCs w:val="21"/>
                <w:highlight w:val="none"/>
                <w:lang w:bidi="zh-CN"/>
              </w:rPr>
              <w:t>评委根据供应商提供的</w:t>
            </w:r>
            <w:r>
              <w:rPr>
                <w:rFonts w:hint="eastAsia" w:ascii="仿宋" w:hAnsi="仿宋" w:eastAsia="仿宋" w:cs="仿宋"/>
                <w:sz w:val="21"/>
                <w:szCs w:val="21"/>
                <w:highlight w:val="none"/>
                <w:lang w:bidi="zh-CN"/>
              </w:rPr>
              <w:t>人脸识别系统考勤情况进行综合评分：</w:t>
            </w:r>
          </w:p>
          <w:p w14:paraId="4C104A30">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有人脸识别系统并为服务对象进行考勤的得</w:t>
            </w:r>
            <w:r>
              <w:rPr>
                <w:rFonts w:hint="eastAsia" w:ascii="仿宋" w:hAnsi="仿宋" w:eastAsia="仿宋" w:cs="仿宋"/>
                <w:sz w:val="20"/>
                <w:szCs w:val="21"/>
                <w:highlight w:val="none"/>
                <w:lang w:val="en-US" w:bidi="zh-CN"/>
              </w:rPr>
              <w:t>5</w:t>
            </w:r>
            <w:r>
              <w:rPr>
                <w:rFonts w:hint="eastAsia" w:ascii="仿宋" w:hAnsi="仿宋" w:eastAsia="仿宋" w:cs="仿宋"/>
                <w:sz w:val="20"/>
                <w:szCs w:val="21"/>
                <w:highlight w:val="none"/>
                <w:lang w:val="zh-CN" w:bidi="zh-CN"/>
              </w:rPr>
              <w:t>分。</w:t>
            </w:r>
          </w:p>
          <w:p w14:paraId="441C1155">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不满足</w:t>
            </w:r>
            <w:r>
              <w:rPr>
                <w:rFonts w:hint="eastAsia" w:ascii="仿宋" w:hAnsi="仿宋" w:eastAsia="仿宋" w:cs="仿宋"/>
                <w:sz w:val="20"/>
                <w:szCs w:val="21"/>
                <w:highlight w:val="none"/>
                <w:lang w:val="zh-CN" w:bidi="zh-CN"/>
              </w:rPr>
              <w:t>的不得分。</w:t>
            </w:r>
          </w:p>
          <w:p w14:paraId="004204A5">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sz w:val="18"/>
                <w:szCs w:val="18"/>
                <w:highlight w:val="none"/>
              </w:rPr>
            </w:pPr>
            <w:r>
              <w:rPr>
                <w:rFonts w:hint="eastAsia" w:ascii="仿宋" w:hAnsi="仿宋" w:eastAsia="仿宋" w:cs="仿宋"/>
                <w:b/>
                <w:spacing w:val="-3"/>
                <w:sz w:val="20"/>
                <w:szCs w:val="21"/>
                <w:highlight w:val="none"/>
                <w:lang w:val="zh-CN" w:bidi="zh-CN"/>
              </w:rPr>
              <w:t>注：提供相关证明材料。</w:t>
            </w:r>
          </w:p>
        </w:tc>
        <w:tc>
          <w:tcPr>
            <w:tcW w:w="804" w:type="dxa"/>
            <w:noWrap w:val="0"/>
            <w:vAlign w:val="center"/>
          </w:tcPr>
          <w:p w14:paraId="2AA971E2">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5</w:t>
            </w:r>
          </w:p>
        </w:tc>
        <w:tc>
          <w:tcPr>
            <w:tcW w:w="887" w:type="dxa"/>
            <w:noWrap w:val="0"/>
            <w:vAlign w:val="center"/>
          </w:tcPr>
          <w:p w14:paraId="25992576">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66A1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0" w:hRule="atLeast"/>
          <w:tblHeader/>
          <w:jc w:val="center"/>
        </w:trPr>
        <w:tc>
          <w:tcPr>
            <w:tcW w:w="697" w:type="dxa"/>
            <w:noWrap w:val="0"/>
            <w:vAlign w:val="center"/>
          </w:tcPr>
          <w:p w14:paraId="4469899A">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2.5</w:t>
            </w:r>
          </w:p>
        </w:tc>
        <w:tc>
          <w:tcPr>
            <w:tcW w:w="1134" w:type="dxa"/>
            <w:vMerge w:val="continue"/>
            <w:noWrap w:val="0"/>
            <w:vAlign w:val="center"/>
          </w:tcPr>
          <w:p w14:paraId="196CC748">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spacing w:val="-3"/>
                <w:sz w:val="20"/>
                <w:szCs w:val="21"/>
                <w:highlight w:val="none"/>
                <w:lang w:val="zh-CN" w:bidi="zh-CN"/>
              </w:rPr>
            </w:pPr>
          </w:p>
        </w:tc>
        <w:tc>
          <w:tcPr>
            <w:tcW w:w="6338" w:type="dxa"/>
            <w:noWrap w:val="0"/>
            <w:vAlign w:val="top"/>
          </w:tcPr>
          <w:p w14:paraId="697ADAA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系统数据录入（5分）</w:t>
            </w:r>
          </w:p>
          <w:p w14:paraId="111D3AD9">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评委根据供应商提供的各数据系统录入情况进行综合评分：</w:t>
            </w:r>
          </w:p>
          <w:p w14:paraId="2746BF92">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承诺录入中国残联儿童康复救助系统且数据完整的，得2分；</w:t>
            </w:r>
          </w:p>
          <w:p w14:paraId="132B82E4">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承诺录入省智慧残联系统且数据完整的，得3分。</w:t>
            </w:r>
          </w:p>
          <w:p w14:paraId="2CCE557E">
            <w:pPr>
              <w:pStyle w:val="60"/>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最高得5分。</w:t>
            </w:r>
          </w:p>
          <w:p w14:paraId="1640A4FD">
            <w:pPr>
              <w:keepNext w:val="0"/>
              <w:pageBreakBefore w:val="0"/>
              <w:kinsoku/>
              <w:wordWrap/>
              <w:overflowPunct/>
              <w:topLinePunct w:val="0"/>
              <w:autoSpaceDE/>
              <w:autoSpaceDN/>
              <w:bidi w:val="0"/>
              <w:adjustRightInd/>
              <w:snapToGrid/>
              <w:ind w:left="0"/>
              <w:textAlignment w:val="auto"/>
              <w:rPr>
                <w:rFonts w:hint="eastAsia" w:ascii="仿宋" w:hAnsi="仿宋" w:eastAsia="仿宋" w:cs="仿宋"/>
                <w:sz w:val="21"/>
                <w:szCs w:val="21"/>
                <w:highlight w:val="none"/>
                <w:lang w:val="zh-CN" w:eastAsia="zh-CN" w:bidi="zh-CN"/>
              </w:rPr>
            </w:pPr>
            <w:r>
              <w:rPr>
                <w:rFonts w:hint="eastAsia" w:ascii="仿宋" w:hAnsi="仿宋" w:eastAsia="仿宋" w:cs="仿宋"/>
                <w:b/>
                <w:spacing w:val="-3"/>
                <w:sz w:val="20"/>
                <w:szCs w:val="21"/>
                <w:highlight w:val="none"/>
                <w:lang w:val="zh-CN" w:eastAsia="zh-CN" w:bidi="zh-CN"/>
              </w:rPr>
              <w:t>注：提供承诺书。</w:t>
            </w:r>
          </w:p>
        </w:tc>
        <w:tc>
          <w:tcPr>
            <w:tcW w:w="804" w:type="dxa"/>
            <w:noWrap w:val="0"/>
            <w:vAlign w:val="center"/>
          </w:tcPr>
          <w:p w14:paraId="7D1B7C50">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87" w:type="dxa"/>
            <w:noWrap w:val="0"/>
            <w:vAlign w:val="center"/>
          </w:tcPr>
          <w:p w14:paraId="4603BACA">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02566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0" w:hRule="atLeast"/>
          <w:tblHeader/>
          <w:jc w:val="center"/>
        </w:trPr>
        <w:tc>
          <w:tcPr>
            <w:tcW w:w="697" w:type="dxa"/>
            <w:noWrap w:val="0"/>
            <w:vAlign w:val="center"/>
          </w:tcPr>
          <w:p w14:paraId="79572CBC">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3.1</w:t>
            </w:r>
          </w:p>
        </w:tc>
        <w:tc>
          <w:tcPr>
            <w:tcW w:w="1134" w:type="dxa"/>
            <w:vMerge w:val="restart"/>
            <w:noWrap w:val="0"/>
            <w:vAlign w:val="center"/>
          </w:tcPr>
          <w:p w14:paraId="0F1F3EDE">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lang w:eastAsia="zh-CN"/>
              </w:rPr>
            </w:pPr>
            <w:r>
              <w:rPr>
                <w:rFonts w:hint="eastAsia" w:ascii="仿宋" w:hAnsi="仿宋" w:eastAsia="仿宋" w:cs="仿宋"/>
                <w:spacing w:val="-3"/>
                <w:sz w:val="20"/>
                <w:szCs w:val="21"/>
                <w:highlight w:val="none"/>
                <w:lang w:val="zh-CN" w:bidi="zh-CN"/>
              </w:rPr>
              <w:t>服务</w:t>
            </w:r>
            <w:r>
              <w:rPr>
                <w:rFonts w:hint="eastAsia" w:ascii="仿宋" w:hAnsi="仿宋" w:eastAsia="仿宋" w:cs="仿宋"/>
                <w:color w:val="000000"/>
                <w:sz w:val="20"/>
                <w:szCs w:val="21"/>
                <w:highlight w:val="none"/>
              </w:rPr>
              <w:t>业绩</w:t>
            </w:r>
            <w:r>
              <w:rPr>
                <w:rFonts w:hint="eastAsia" w:ascii="仿宋" w:hAnsi="仿宋" w:eastAsia="仿宋" w:cs="仿宋"/>
                <w:color w:val="000000"/>
                <w:sz w:val="20"/>
                <w:szCs w:val="21"/>
                <w:highlight w:val="none"/>
                <w:lang w:eastAsia="zh-CN"/>
              </w:rPr>
              <w:t>（</w:t>
            </w:r>
            <w:r>
              <w:rPr>
                <w:rFonts w:hint="eastAsia" w:ascii="仿宋" w:hAnsi="仿宋" w:eastAsia="仿宋" w:cs="仿宋"/>
                <w:color w:val="000000"/>
                <w:sz w:val="20"/>
                <w:szCs w:val="21"/>
                <w:highlight w:val="none"/>
                <w:lang w:val="en-US" w:eastAsia="zh-CN"/>
              </w:rPr>
              <w:t>13分</w:t>
            </w:r>
            <w:r>
              <w:rPr>
                <w:rFonts w:hint="eastAsia" w:ascii="仿宋" w:hAnsi="仿宋" w:eastAsia="仿宋" w:cs="仿宋"/>
                <w:color w:val="000000"/>
                <w:sz w:val="20"/>
                <w:szCs w:val="21"/>
                <w:highlight w:val="none"/>
                <w:lang w:eastAsia="zh-CN"/>
              </w:rPr>
              <w:t>）</w:t>
            </w:r>
          </w:p>
        </w:tc>
        <w:tc>
          <w:tcPr>
            <w:tcW w:w="6338" w:type="dxa"/>
            <w:noWrap w:val="0"/>
            <w:vAlign w:val="top"/>
          </w:tcPr>
          <w:p w14:paraId="422E0E82">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sz w:val="20"/>
                <w:szCs w:val="20"/>
                <w:highlight w:val="none"/>
                <w:lang w:val="zh-CN"/>
              </w:rPr>
            </w:pPr>
            <w:r>
              <w:rPr>
                <w:rFonts w:hint="eastAsia" w:ascii="仿宋" w:hAnsi="仿宋" w:eastAsia="仿宋" w:cs="仿宋"/>
                <w:b/>
                <w:bCs/>
                <w:sz w:val="20"/>
                <w:szCs w:val="20"/>
                <w:highlight w:val="none"/>
                <w:lang w:val="zh-CN"/>
              </w:rPr>
              <w:t>服务经验</w:t>
            </w:r>
          </w:p>
          <w:p w14:paraId="5DCFC4F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z w:val="20"/>
                <w:szCs w:val="20"/>
                <w:highlight w:val="none"/>
                <w:lang w:val="zh-CN"/>
              </w:rPr>
            </w:pPr>
            <w:r>
              <w:rPr>
                <w:rFonts w:hint="eastAsia" w:ascii="仿宋" w:hAnsi="仿宋" w:eastAsia="仿宋" w:cs="仿宋"/>
                <w:sz w:val="20"/>
                <w:szCs w:val="20"/>
                <w:highlight w:val="none"/>
                <w:lang w:val="zh-CN"/>
              </w:rPr>
              <w:t>评委根据供应商提供服务对象的诊断证明(医院出具)和收治证明(202</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val="zh-CN"/>
              </w:rPr>
              <w:t>年1月1 日以后)，缺项不得分。每提供1名服务对象的得0.5 分，最多得10分。</w:t>
            </w:r>
          </w:p>
          <w:p w14:paraId="51199476">
            <w:pPr>
              <w:keepNext w:val="0"/>
              <w:pageBreakBefore w:val="0"/>
              <w:kinsoku/>
              <w:wordWrap/>
              <w:overflowPunct/>
              <w:topLinePunct w:val="0"/>
              <w:autoSpaceDE/>
              <w:autoSpaceDN/>
              <w:bidi w:val="0"/>
              <w:adjustRightInd/>
              <w:snapToGrid/>
              <w:ind w:left="0"/>
              <w:textAlignment w:val="auto"/>
              <w:rPr>
                <w:rFonts w:hint="eastAsia" w:ascii="仿宋" w:hAnsi="仿宋" w:eastAsia="仿宋" w:cs="仿宋"/>
                <w:sz w:val="21"/>
                <w:szCs w:val="21"/>
                <w:highlight w:val="none"/>
                <w:lang w:val="zh-CN" w:eastAsia="zh-CN" w:bidi="zh-CN"/>
              </w:rPr>
            </w:pPr>
            <w:r>
              <w:rPr>
                <w:rFonts w:hint="eastAsia" w:ascii="仿宋" w:hAnsi="仿宋" w:eastAsia="仿宋" w:cs="仿宋"/>
                <w:b/>
                <w:bCs/>
                <w:sz w:val="21"/>
                <w:szCs w:val="21"/>
                <w:highlight w:val="none"/>
                <w:lang w:val="zh-CN" w:eastAsia="zh-CN" w:bidi="zh-CN"/>
              </w:rPr>
              <w:t>注:提供相关证明材料。</w:t>
            </w:r>
          </w:p>
        </w:tc>
        <w:tc>
          <w:tcPr>
            <w:tcW w:w="804" w:type="dxa"/>
            <w:noWrap w:val="0"/>
            <w:vAlign w:val="center"/>
          </w:tcPr>
          <w:p w14:paraId="10059CF0">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87" w:type="dxa"/>
            <w:noWrap w:val="0"/>
            <w:vAlign w:val="center"/>
          </w:tcPr>
          <w:p w14:paraId="65AE9C90">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1719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0" w:hRule="atLeast"/>
          <w:tblHeader/>
          <w:jc w:val="center"/>
        </w:trPr>
        <w:tc>
          <w:tcPr>
            <w:tcW w:w="697" w:type="dxa"/>
            <w:noWrap w:val="0"/>
            <w:vAlign w:val="center"/>
          </w:tcPr>
          <w:p w14:paraId="0907EF21">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3.2</w:t>
            </w:r>
          </w:p>
        </w:tc>
        <w:tc>
          <w:tcPr>
            <w:tcW w:w="1134" w:type="dxa"/>
            <w:vMerge w:val="continue"/>
            <w:noWrap w:val="0"/>
            <w:vAlign w:val="center"/>
          </w:tcPr>
          <w:p w14:paraId="49B68CD2">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spacing w:val="-3"/>
                <w:sz w:val="20"/>
                <w:szCs w:val="21"/>
                <w:highlight w:val="none"/>
                <w:lang w:val="zh-CN" w:bidi="zh-CN"/>
              </w:rPr>
            </w:pPr>
          </w:p>
        </w:tc>
        <w:tc>
          <w:tcPr>
            <w:tcW w:w="6338" w:type="dxa"/>
            <w:noWrap w:val="0"/>
            <w:vAlign w:val="center"/>
          </w:tcPr>
          <w:p w14:paraId="59113A87">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获奖情况</w:t>
            </w:r>
          </w:p>
          <w:p w14:paraId="34353F08">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评委根据供应商提供自20</w:t>
            </w:r>
            <w:r>
              <w:rPr>
                <w:rFonts w:hint="eastAsia" w:ascii="仿宋" w:hAnsi="仿宋" w:eastAsia="仿宋" w:cs="仿宋"/>
                <w:spacing w:val="-3"/>
                <w:sz w:val="20"/>
                <w:szCs w:val="21"/>
                <w:highlight w:val="none"/>
                <w:lang w:val="en-US" w:bidi="zh-CN"/>
              </w:rPr>
              <w:t>20</w:t>
            </w:r>
            <w:r>
              <w:rPr>
                <w:rFonts w:hint="eastAsia" w:ascii="仿宋" w:hAnsi="仿宋" w:eastAsia="仿宋" w:cs="仿宋"/>
                <w:spacing w:val="-3"/>
                <w:sz w:val="20"/>
                <w:szCs w:val="21"/>
                <w:highlight w:val="none"/>
                <w:lang w:val="zh-CN" w:bidi="zh-CN"/>
              </w:rPr>
              <w:t>年以来在残疾人康复服务中获得残联、民政、卫生等相关部门表扬或奖励情况打分（可叠加）：</w:t>
            </w:r>
          </w:p>
          <w:p w14:paraId="7A654EAC">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每有1个省级（含）以上表彰的得3分；</w:t>
            </w:r>
          </w:p>
          <w:p w14:paraId="6BFB14F4">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每有1个市级表彰的得2分；</w:t>
            </w:r>
          </w:p>
          <w:p w14:paraId="46238CEC">
            <w:pPr>
              <w:keepNext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每有1个区级表彰的得1分。</w:t>
            </w:r>
          </w:p>
          <w:p w14:paraId="21243E57">
            <w:pPr>
              <w:keepNext w:val="0"/>
              <w:pageBreakBefore w:val="0"/>
              <w:kinsoku/>
              <w:wordWrap/>
              <w:overflowPunct/>
              <w:topLinePunct w:val="0"/>
              <w:autoSpaceDE/>
              <w:autoSpaceDN/>
              <w:bidi w:val="0"/>
              <w:adjustRightInd/>
              <w:snapToGrid/>
              <w:ind w:left="0"/>
              <w:textAlignment w:val="auto"/>
              <w:rPr>
                <w:rFonts w:hint="eastAsia" w:ascii="仿宋" w:hAnsi="仿宋" w:eastAsia="仿宋" w:cs="仿宋"/>
                <w:sz w:val="21"/>
                <w:szCs w:val="21"/>
                <w:highlight w:val="none"/>
                <w:lang w:val="en-US" w:eastAsia="zh-CN" w:bidi="zh-CN"/>
              </w:rPr>
            </w:pPr>
            <w:r>
              <w:rPr>
                <w:rFonts w:hint="eastAsia" w:ascii="仿宋" w:hAnsi="仿宋" w:eastAsia="仿宋" w:cs="仿宋"/>
                <w:spacing w:val="-3"/>
                <w:sz w:val="21"/>
                <w:szCs w:val="21"/>
                <w:highlight w:val="none"/>
                <w:lang w:val="zh-CN" w:eastAsia="zh-CN" w:bidi="zh-CN"/>
              </w:rPr>
              <w:t>最高得</w:t>
            </w:r>
            <w:r>
              <w:rPr>
                <w:rFonts w:hint="eastAsia" w:ascii="仿宋" w:hAnsi="仿宋" w:eastAsia="仿宋" w:cs="仿宋"/>
                <w:spacing w:val="-3"/>
                <w:sz w:val="21"/>
                <w:szCs w:val="21"/>
                <w:highlight w:val="none"/>
                <w:lang w:val="en-US" w:eastAsia="zh-CN" w:bidi="zh-CN"/>
              </w:rPr>
              <w:t>3分。</w:t>
            </w:r>
          </w:p>
          <w:p w14:paraId="71097B22">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b/>
                <w:spacing w:val="-3"/>
                <w:sz w:val="20"/>
                <w:szCs w:val="21"/>
                <w:highlight w:val="none"/>
                <w:lang w:val="zh-CN" w:bidi="zh-CN"/>
              </w:rPr>
              <w:t>注：以证书颁发时间或发文时间为准，提供表彰证书或表彰文件。</w:t>
            </w:r>
          </w:p>
        </w:tc>
        <w:tc>
          <w:tcPr>
            <w:tcW w:w="804" w:type="dxa"/>
            <w:noWrap w:val="0"/>
            <w:vAlign w:val="center"/>
          </w:tcPr>
          <w:p w14:paraId="3B16BB8E">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3</w:t>
            </w:r>
          </w:p>
        </w:tc>
        <w:tc>
          <w:tcPr>
            <w:tcW w:w="887" w:type="dxa"/>
            <w:noWrap w:val="0"/>
            <w:vAlign w:val="center"/>
          </w:tcPr>
          <w:p w14:paraId="083118B8">
            <w:pPr>
              <w:keepNext w:val="0"/>
              <w:pageBreakBefore w:val="0"/>
              <w:widowControl/>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0634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0" w:hRule="atLeast"/>
          <w:tblHeader/>
          <w:jc w:val="center"/>
        </w:trPr>
        <w:tc>
          <w:tcPr>
            <w:tcW w:w="1831" w:type="dxa"/>
            <w:gridSpan w:val="2"/>
            <w:noWrap w:val="0"/>
            <w:vAlign w:val="center"/>
          </w:tcPr>
          <w:p w14:paraId="57E67673">
            <w:pPr>
              <w:keepNext w:val="0"/>
              <w:pageBreakBefore w:val="0"/>
              <w:widowControl/>
              <w:kinsoku/>
              <w:wordWrap/>
              <w:overflowPunct/>
              <w:topLinePunct w:val="0"/>
              <w:autoSpaceDE/>
              <w:autoSpaceDN/>
              <w:bidi w:val="0"/>
              <w:adjustRightInd/>
              <w:snapToGrid/>
              <w:spacing w:line="336" w:lineRule="auto"/>
              <w:ind w:firstLine="525"/>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合计</w:t>
            </w:r>
          </w:p>
        </w:tc>
        <w:tc>
          <w:tcPr>
            <w:tcW w:w="6338" w:type="dxa"/>
            <w:noWrap w:val="0"/>
            <w:vAlign w:val="center"/>
          </w:tcPr>
          <w:p w14:paraId="70B1837A">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c>
          <w:tcPr>
            <w:tcW w:w="804" w:type="dxa"/>
            <w:noWrap w:val="0"/>
            <w:vAlign w:val="center"/>
          </w:tcPr>
          <w:p w14:paraId="2A3C80D4">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100分</w:t>
            </w:r>
          </w:p>
        </w:tc>
        <w:tc>
          <w:tcPr>
            <w:tcW w:w="887" w:type="dxa"/>
            <w:noWrap w:val="0"/>
            <w:vAlign w:val="center"/>
          </w:tcPr>
          <w:p w14:paraId="77BF067B">
            <w:pPr>
              <w:keepNext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sz w:val="20"/>
                <w:szCs w:val="21"/>
                <w:highlight w:val="none"/>
              </w:rPr>
            </w:pPr>
          </w:p>
        </w:tc>
      </w:tr>
    </w:tbl>
    <w:p w14:paraId="50246FB6">
      <w:pPr>
        <w:widowControl/>
        <w:numPr>
          <w:ilvl w:val="0"/>
          <w:numId w:val="0"/>
        </w:numPr>
        <w:spacing w:line="288" w:lineRule="auto"/>
        <w:ind w:firstLine="241" w:firstLineChars="100"/>
        <w:jc w:val="left"/>
        <w:rPr>
          <w:rFonts w:hint="eastAsia" w:ascii="仿宋" w:hAnsi="仿宋" w:eastAsia="仿宋" w:cs="仿宋"/>
          <w:b/>
          <w:bCs/>
          <w:sz w:val="24"/>
          <w:szCs w:val="24"/>
          <w:highlight w:val="yellow"/>
          <w:lang w:val="en-US" w:eastAsia="zh-CN" w:bidi="zh-CN"/>
        </w:rPr>
      </w:pPr>
    </w:p>
    <w:p w14:paraId="5C4CF780">
      <w:pPr>
        <w:rPr>
          <w:rFonts w:hint="eastAsia" w:ascii="仿宋" w:hAnsi="仿宋" w:eastAsia="仿宋" w:cs="仿宋"/>
          <w:b/>
          <w:bCs/>
          <w:sz w:val="24"/>
          <w:szCs w:val="24"/>
          <w:highlight w:val="yellow"/>
          <w:lang w:val="en-US" w:eastAsia="zh-CN" w:bidi="zh-CN"/>
        </w:rPr>
      </w:pPr>
    </w:p>
    <w:p w14:paraId="0E8FD552">
      <w:pPr>
        <w:pStyle w:val="2"/>
        <w:rPr>
          <w:rFonts w:hint="eastAsia"/>
          <w:lang w:val="en-US" w:eastAsia="zh-CN"/>
        </w:rPr>
      </w:pPr>
    </w:p>
    <w:tbl>
      <w:tblPr>
        <w:tblStyle w:val="40"/>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32"/>
        <w:gridCol w:w="6447"/>
        <w:gridCol w:w="832"/>
        <w:gridCol w:w="873"/>
      </w:tblGrid>
      <w:tr w14:paraId="10AB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blHeader/>
          <w:jc w:val="center"/>
        </w:trPr>
        <w:tc>
          <w:tcPr>
            <w:tcW w:w="709" w:type="dxa"/>
            <w:noWrap w:val="0"/>
            <w:vAlign w:val="center"/>
          </w:tcPr>
          <w:p w14:paraId="23759C42">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序号</w:t>
            </w:r>
          </w:p>
        </w:tc>
        <w:tc>
          <w:tcPr>
            <w:tcW w:w="1132" w:type="dxa"/>
            <w:noWrap w:val="0"/>
            <w:vAlign w:val="center"/>
          </w:tcPr>
          <w:p w14:paraId="59999047">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评分因素</w:t>
            </w:r>
          </w:p>
        </w:tc>
        <w:tc>
          <w:tcPr>
            <w:tcW w:w="6447" w:type="dxa"/>
            <w:noWrap w:val="0"/>
            <w:vAlign w:val="center"/>
          </w:tcPr>
          <w:p w14:paraId="10EA0D11">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分包</w:t>
            </w:r>
            <w:r>
              <w:rPr>
                <w:rFonts w:hint="eastAsia" w:ascii="仿宋" w:hAnsi="仿宋" w:eastAsia="仿宋" w:cs="仿宋"/>
                <w:b/>
                <w:color w:val="000000"/>
                <w:sz w:val="20"/>
                <w:szCs w:val="21"/>
                <w:lang w:val="en-US" w:eastAsia="zh-CN"/>
              </w:rPr>
              <w:t>3</w:t>
            </w:r>
            <w:r>
              <w:rPr>
                <w:rFonts w:hint="eastAsia" w:ascii="仿宋" w:hAnsi="仿宋" w:eastAsia="仿宋" w:cs="仿宋"/>
                <w:b/>
                <w:color w:val="000000"/>
                <w:sz w:val="20"/>
                <w:szCs w:val="21"/>
              </w:rPr>
              <w:t>（肢体康复服务机构）评分标准</w:t>
            </w:r>
          </w:p>
        </w:tc>
        <w:tc>
          <w:tcPr>
            <w:tcW w:w="832" w:type="dxa"/>
            <w:noWrap w:val="0"/>
            <w:vAlign w:val="center"/>
          </w:tcPr>
          <w:p w14:paraId="217F29BA">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分值</w:t>
            </w:r>
          </w:p>
        </w:tc>
        <w:tc>
          <w:tcPr>
            <w:tcW w:w="873" w:type="dxa"/>
            <w:noWrap w:val="0"/>
            <w:vAlign w:val="center"/>
          </w:tcPr>
          <w:p w14:paraId="4AF0D8D9">
            <w:pPr>
              <w:widowControl/>
              <w:spacing w:line="336" w:lineRule="auto"/>
              <w:jc w:val="center"/>
              <w:rPr>
                <w:rFonts w:hint="eastAsia" w:ascii="仿宋" w:hAnsi="仿宋" w:eastAsia="仿宋" w:cs="仿宋"/>
                <w:b/>
                <w:color w:val="000000"/>
                <w:sz w:val="20"/>
                <w:szCs w:val="21"/>
                <w:lang w:val="en-US" w:eastAsia="zh-CN"/>
              </w:rPr>
            </w:pPr>
            <w:r>
              <w:rPr>
                <w:rFonts w:hint="eastAsia" w:ascii="仿宋" w:hAnsi="仿宋" w:eastAsia="仿宋" w:cs="仿宋"/>
                <w:b/>
                <w:color w:val="000000"/>
                <w:sz w:val="20"/>
                <w:szCs w:val="21"/>
                <w:lang w:val="en-US" w:eastAsia="zh-CN"/>
              </w:rPr>
              <w:t>备注</w:t>
            </w:r>
          </w:p>
        </w:tc>
      </w:tr>
      <w:tr w14:paraId="4628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blHeader/>
          <w:jc w:val="center"/>
        </w:trPr>
        <w:tc>
          <w:tcPr>
            <w:tcW w:w="709" w:type="dxa"/>
            <w:noWrap w:val="0"/>
            <w:vAlign w:val="center"/>
          </w:tcPr>
          <w:p w14:paraId="32903171">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1.1</w:t>
            </w:r>
          </w:p>
        </w:tc>
        <w:tc>
          <w:tcPr>
            <w:tcW w:w="1132" w:type="dxa"/>
            <w:vMerge w:val="restart"/>
            <w:noWrap w:val="0"/>
            <w:vAlign w:val="center"/>
          </w:tcPr>
          <w:p w14:paraId="3827B9EE">
            <w:pPr>
              <w:widowControl/>
              <w:jc w:val="left"/>
              <w:rPr>
                <w:rFonts w:hint="eastAsia" w:ascii="仿宋" w:hAnsi="仿宋" w:eastAsia="仿宋" w:cs="仿宋"/>
                <w:color w:val="000000"/>
                <w:sz w:val="20"/>
                <w:szCs w:val="21"/>
                <w:lang w:eastAsia="zh-CN"/>
              </w:rPr>
            </w:pPr>
            <w:r>
              <w:rPr>
                <w:rFonts w:hint="eastAsia" w:ascii="仿宋" w:hAnsi="仿宋" w:eastAsia="仿宋" w:cs="仿宋"/>
                <w:color w:val="000000"/>
                <w:sz w:val="20"/>
                <w:szCs w:val="21"/>
              </w:rPr>
              <w:t>服务内容</w:t>
            </w:r>
            <w:r>
              <w:rPr>
                <w:rFonts w:hint="eastAsia" w:ascii="仿宋" w:hAnsi="仿宋" w:eastAsia="仿宋" w:cs="仿宋"/>
                <w:color w:val="000000"/>
                <w:sz w:val="20"/>
                <w:szCs w:val="21"/>
                <w:lang w:eastAsia="zh-CN"/>
              </w:rPr>
              <w:t>（</w:t>
            </w:r>
            <w:r>
              <w:rPr>
                <w:rFonts w:hint="eastAsia" w:ascii="仿宋" w:hAnsi="仿宋" w:eastAsia="仿宋" w:cs="仿宋"/>
                <w:color w:val="000000"/>
                <w:sz w:val="20"/>
                <w:szCs w:val="21"/>
                <w:lang w:val="en-US" w:eastAsia="zh-CN"/>
              </w:rPr>
              <w:t>54分</w:t>
            </w:r>
            <w:r>
              <w:rPr>
                <w:rFonts w:hint="eastAsia" w:ascii="仿宋" w:hAnsi="仿宋" w:eastAsia="仿宋" w:cs="仿宋"/>
                <w:color w:val="000000"/>
                <w:sz w:val="20"/>
                <w:szCs w:val="21"/>
                <w:lang w:eastAsia="zh-CN"/>
              </w:rPr>
              <w:t>）</w:t>
            </w:r>
          </w:p>
        </w:tc>
        <w:tc>
          <w:tcPr>
            <w:tcW w:w="6447" w:type="dxa"/>
            <w:noWrap w:val="0"/>
            <w:vAlign w:val="center"/>
          </w:tcPr>
          <w:p w14:paraId="7FDFB11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评委根据供应商提供的服务方案（包括评估和诊断、康复计划、康复训练记录、康复评估和小结等）进行综合评分：</w:t>
            </w:r>
          </w:p>
          <w:p w14:paraId="2640E6A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（1）方案全面完整，科学合理，保障措施有力，时效性、可操作性强，得10分；</w:t>
            </w:r>
          </w:p>
          <w:p w14:paraId="6C7726A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（2）方案内容较全面，较科学，较有效，可操作性较强，得7分；</w:t>
            </w:r>
          </w:p>
          <w:p w14:paraId="70946E0F">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17CFC24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（4）实施方案内容不完整，缺乏可操作性的得1分；</w:t>
            </w:r>
          </w:p>
          <w:p w14:paraId="78A82EB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6DA9369F">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73" w:type="dxa"/>
            <w:noWrap w:val="0"/>
            <w:vAlign w:val="center"/>
          </w:tcPr>
          <w:p w14:paraId="5D0567F6">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主观分</w:t>
            </w:r>
          </w:p>
        </w:tc>
      </w:tr>
      <w:tr w14:paraId="2A23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709" w:type="dxa"/>
            <w:noWrap w:val="0"/>
            <w:vAlign w:val="center"/>
          </w:tcPr>
          <w:p w14:paraId="1E7ABBCE">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1132" w:type="dxa"/>
            <w:vMerge w:val="continue"/>
            <w:noWrap w:val="0"/>
            <w:vAlign w:val="center"/>
          </w:tcPr>
          <w:p w14:paraId="57FF7E0B">
            <w:pPr>
              <w:widowControl/>
              <w:jc w:val="left"/>
              <w:rPr>
                <w:rFonts w:hint="eastAsia" w:ascii="仿宋" w:hAnsi="仿宋" w:eastAsia="仿宋" w:cs="仿宋"/>
                <w:color w:val="000000"/>
                <w:sz w:val="20"/>
                <w:szCs w:val="21"/>
              </w:rPr>
            </w:pPr>
          </w:p>
        </w:tc>
        <w:tc>
          <w:tcPr>
            <w:tcW w:w="6447" w:type="dxa"/>
            <w:noWrap w:val="0"/>
            <w:vAlign w:val="center"/>
          </w:tcPr>
          <w:p w14:paraId="6E41104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评委根据供应商提供的培训方案（包括康复专业人员培训、专家指导、家长培训等）进行综合评分：</w:t>
            </w:r>
          </w:p>
          <w:p w14:paraId="7DCBF84B">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（1）方案全面完整，科学合理，保障措施有力，时效性、可操作性强，得10分；</w:t>
            </w:r>
          </w:p>
          <w:p w14:paraId="42F35AD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（2）方案内容较全面，较科学，较有效，可操作性较强，得7分；</w:t>
            </w:r>
          </w:p>
          <w:p w14:paraId="2999603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2743440B">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（4）实施方案内容不完整，缺乏可操作性的得1分；</w:t>
            </w:r>
          </w:p>
          <w:p w14:paraId="4CA1354C">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556A22B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73" w:type="dxa"/>
            <w:noWrap w:val="0"/>
            <w:vAlign w:val="center"/>
          </w:tcPr>
          <w:p w14:paraId="24F0915F">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1CA7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709" w:type="dxa"/>
            <w:noWrap w:val="0"/>
            <w:vAlign w:val="center"/>
          </w:tcPr>
          <w:p w14:paraId="241C74C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1.3</w:t>
            </w:r>
          </w:p>
        </w:tc>
        <w:tc>
          <w:tcPr>
            <w:tcW w:w="1132" w:type="dxa"/>
            <w:vMerge w:val="continue"/>
            <w:noWrap w:val="0"/>
            <w:vAlign w:val="center"/>
          </w:tcPr>
          <w:p w14:paraId="15A9CF4B">
            <w:pPr>
              <w:widowControl/>
              <w:jc w:val="left"/>
              <w:rPr>
                <w:rFonts w:hint="eastAsia" w:ascii="仿宋" w:hAnsi="仿宋" w:eastAsia="仿宋" w:cs="仿宋"/>
                <w:color w:val="000000"/>
                <w:sz w:val="20"/>
                <w:szCs w:val="21"/>
              </w:rPr>
            </w:pPr>
          </w:p>
        </w:tc>
        <w:tc>
          <w:tcPr>
            <w:tcW w:w="6447" w:type="dxa"/>
            <w:noWrap w:val="0"/>
            <w:vAlign w:val="center"/>
          </w:tcPr>
          <w:p w14:paraId="4567DE0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评委根据供应商提供的业务指导方案（包括</w:t>
            </w:r>
            <w:r>
              <w:rPr>
                <w:rFonts w:hint="eastAsia" w:ascii="仿宋" w:hAnsi="仿宋" w:eastAsia="仿宋" w:cs="仿宋"/>
                <w:sz w:val="20"/>
                <w:szCs w:val="21"/>
              </w:rPr>
              <w:t>儿童转介或跟踪服务、社区家庭康复延伸、公益宣教活动</w:t>
            </w:r>
            <w:r>
              <w:rPr>
                <w:rFonts w:hint="eastAsia" w:ascii="仿宋" w:hAnsi="仿宋" w:eastAsia="仿宋" w:cs="仿宋"/>
                <w:color w:val="000000"/>
                <w:sz w:val="20"/>
                <w:szCs w:val="21"/>
              </w:rPr>
              <w:t>等）进行综合评分：</w:t>
            </w:r>
          </w:p>
          <w:p w14:paraId="5E97DB6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74B9EDC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3D08B11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6B002B68">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5ADD088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304A46F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73" w:type="dxa"/>
            <w:noWrap w:val="0"/>
            <w:vAlign w:val="center"/>
          </w:tcPr>
          <w:p w14:paraId="6FD9C8E7">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329D6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709" w:type="dxa"/>
            <w:noWrap w:val="0"/>
            <w:vAlign w:val="center"/>
          </w:tcPr>
          <w:p w14:paraId="40C0049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1.4</w:t>
            </w:r>
          </w:p>
        </w:tc>
        <w:tc>
          <w:tcPr>
            <w:tcW w:w="1132" w:type="dxa"/>
            <w:vMerge w:val="continue"/>
            <w:noWrap w:val="0"/>
            <w:vAlign w:val="center"/>
          </w:tcPr>
          <w:p w14:paraId="4C809651">
            <w:pPr>
              <w:widowControl/>
              <w:jc w:val="left"/>
              <w:rPr>
                <w:rFonts w:hint="eastAsia" w:ascii="仿宋" w:hAnsi="仿宋" w:eastAsia="仿宋" w:cs="仿宋"/>
                <w:color w:val="000000"/>
                <w:sz w:val="20"/>
                <w:szCs w:val="21"/>
              </w:rPr>
            </w:pPr>
          </w:p>
        </w:tc>
        <w:tc>
          <w:tcPr>
            <w:tcW w:w="6447" w:type="dxa"/>
            <w:noWrap w:val="0"/>
            <w:vAlign w:val="center"/>
          </w:tcPr>
          <w:p w14:paraId="319EB489">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评委根据供应商提供的质量保证方案（包括</w:t>
            </w:r>
            <w:r>
              <w:rPr>
                <w:rFonts w:hint="eastAsia" w:ascii="仿宋" w:hAnsi="仿宋" w:eastAsia="仿宋" w:cs="仿宋"/>
                <w:sz w:val="20"/>
                <w:szCs w:val="21"/>
              </w:rPr>
              <w:t>儿童康复评估、康复训练建档率、</w:t>
            </w:r>
            <w:r>
              <w:rPr>
                <w:rFonts w:hint="eastAsia" w:ascii="仿宋" w:hAnsi="仿宋" w:eastAsia="仿宋" w:cs="仿宋"/>
                <w:color w:val="000000"/>
                <w:sz w:val="20"/>
                <w:szCs w:val="21"/>
              </w:rPr>
              <w:t>家长满意率、</w:t>
            </w:r>
            <w:r>
              <w:rPr>
                <w:rFonts w:hint="eastAsia" w:ascii="仿宋" w:hAnsi="仿宋" w:eastAsia="仿宋" w:cs="仿宋"/>
                <w:sz w:val="20"/>
                <w:szCs w:val="21"/>
              </w:rPr>
              <w:t>社会融合活动</w:t>
            </w:r>
            <w:r>
              <w:rPr>
                <w:rFonts w:hint="eastAsia" w:ascii="仿宋" w:hAnsi="仿宋" w:eastAsia="仿宋" w:cs="仿宋"/>
                <w:color w:val="000000"/>
                <w:sz w:val="20"/>
                <w:szCs w:val="21"/>
              </w:rPr>
              <w:t>等）进行综合评分：</w:t>
            </w:r>
          </w:p>
          <w:p w14:paraId="283F851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1821165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3D949FD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3025F69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46BB8F0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597427C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73" w:type="dxa"/>
            <w:noWrap w:val="0"/>
            <w:vAlign w:val="center"/>
          </w:tcPr>
          <w:p w14:paraId="276A9A7D">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09B4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709" w:type="dxa"/>
            <w:noWrap w:val="0"/>
            <w:vAlign w:val="center"/>
          </w:tcPr>
          <w:p w14:paraId="418FBBF0">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1.5</w:t>
            </w:r>
          </w:p>
        </w:tc>
        <w:tc>
          <w:tcPr>
            <w:tcW w:w="1132" w:type="dxa"/>
            <w:vMerge w:val="continue"/>
            <w:noWrap w:val="0"/>
            <w:vAlign w:val="center"/>
          </w:tcPr>
          <w:p w14:paraId="1D0A1C7F">
            <w:pPr>
              <w:widowControl/>
              <w:spacing w:line="336" w:lineRule="auto"/>
              <w:jc w:val="left"/>
              <w:rPr>
                <w:rFonts w:hint="eastAsia" w:ascii="仿宋" w:hAnsi="仿宋" w:eastAsia="仿宋" w:cs="仿宋"/>
                <w:color w:val="000000"/>
                <w:sz w:val="20"/>
                <w:szCs w:val="21"/>
              </w:rPr>
            </w:pPr>
          </w:p>
        </w:tc>
        <w:tc>
          <w:tcPr>
            <w:tcW w:w="6447" w:type="dxa"/>
            <w:noWrap w:val="0"/>
            <w:vAlign w:val="center"/>
          </w:tcPr>
          <w:p w14:paraId="73327523">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应商提供的突发事件应急处置预案 （包括灾害防范措施、应急预案、消防演练、应急处理等）进行综合评分：</w:t>
            </w:r>
          </w:p>
          <w:p w14:paraId="18B86F68">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（1）预案内容考虑全面，处置应对措施科学有效，可操作性强，得10分；</w:t>
            </w:r>
          </w:p>
          <w:p w14:paraId="17BD13B6">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（2）预案内容考虑较全面，处置应对措施较科学，较有效，可操作性较强，得7分；</w:t>
            </w:r>
          </w:p>
          <w:p w14:paraId="7B4F0059">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（3）预案内容不全面，处置应对措施科学性、有效性有欠缺，可操作性不强，得4分；</w:t>
            </w:r>
          </w:p>
          <w:p w14:paraId="027999C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（4）预案内容不完整，缺乏可操作性的得1分；</w:t>
            </w:r>
          </w:p>
          <w:p w14:paraId="29BB04CF">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（5）预案不符合服务要求或未提供方案的不得分。</w:t>
            </w:r>
          </w:p>
        </w:tc>
        <w:tc>
          <w:tcPr>
            <w:tcW w:w="832" w:type="dxa"/>
            <w:noWrap w:val="0"/>
            <w:vAlign w:val="center"/>
          </w:tcPr>
          <w:p w14:paraId="3324A71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73" w:type="dxa"/>
            <w:noWrap w:val="0"/>
            <w:vAlign w:val="center"/>
          </w:tcPr>
          <w:p w14:paraId="690FB9F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5677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709" w:type="dxa"/>
            <w:noWrap w:val="0"/>
            <w:vAlign w:val="center"/>
          </w:tcPr>
          <w:p w14:paraId="36D80ABE">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1.6</w:t>
            </w:r>
          </w:p>
        </w:tc>
        <w:tc>
          <w:tcPr>
            <w:tcW w:w="1132" w:type="dxa"/>
            <w:vMerge w:val="continue"/>
            <w:noWrap w:val="0"/>
            <w:vAlign w:val="center"/>
          </w:tcPr>
          <w:p w14:paraId="46D6505F">
            <w:pPr>
              <w:widowControl/>
              <w:spacing w:line="336" w:lineRule="auto"/>
              <w:jc w:val="left"/>
              <w:rPr>
                <w:rFonts w:hint="eastAsia" w:ascii="仿宋" w:hAnsi="仿宋" w:eastAsia="仿宋" w:cs="仿宋"/>
                <w:color w:val="000000"/>
                <w:sz w:val="20"/>
                <w:szCs w:val="21"/>
              </w:rPr>
            </w:pPr>
          </w:p>
        </w:tc>
        <w:tc>
          <w:tcPr>
            <w:tcW w:w="6447" w:type="dxa"/>
            <w:noWrap w:val="0"/>
            <w:vAlign w:val="center"/>
          </w:tcPr>
          <w:p w14:paraId="53EB9569">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w:t>
            </w:r>
            <w:r>
              <w:rPr>
                <w:rFonts w:hint="eastAsia" w:ascii="仿宋" w:hAnsi="仿宋" w:eastAsia="仿宋" w:cs="仿宋"/>
                <w:b/>
                <w:sz w:val="20"/>
                <w:szCs w:val="21"/>
                <w:lang w:bidi="zh-CN"/>
              </w:rPr>
              <w:t>安全保障方</w:t>
            </w:r>
            <w:r>
              <w:rPr>
                <w:rFonts w:hint="eastAsia" w:ascii="仿宋" w:hAnsi="仿宋" w:eastAsia="仿宋" w:cs="仿宋"/>
                <w:color w:val="000000"/>
                <w:sz w:val="20"/>
                <w:szCs w:val="21"/>
              </w:rPr>
              <w:t>案 （包括安全培训、安全巡检、安全教育、安全监督管理等）进行综合评分：</w:t>
            </w:r>
          </w:p>
          <w:p w14:paraId="5D41DF1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（1）方案内容全面，科学有效，可操作性强，得4分；</w:t>
            </w:r>
          </w:p>
          <w:p w14:paraId="6AD492B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2 分；</w:t>
            </w:r>
          </w:p>
          <w:p w14:paraId="2D03C93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（3）方案内容不完整，缺乏可操作性的得1分；</w:t>
            </w:r>
          </w:p>
          <w:p w14:paraId="3FE4CC36">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（4）其他或未提供的不得分</w:t>
            </w:r>
          </w:p>
        </w:tc>
        <w:tc>
          <w:tcPr>
            <w:tcW w:w="832" w:type="dxa"/>
            <w:noWrap w:val="0"/>
            <w:vAlign w:val="center"/>
          </w:tcPr>
          <w:p w14:paraId="479B2595">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4</w:t>
            </w:r>
          </w:p>
        </w:tc>
        <w:tc>
          <w:tcPr>
            <w:tcW w:w="873" w:type="dxa"/>
            <w:noWrap w:val="0"/>
            <w:vAlign w:val="center"/>
          </w:tcPr>
          <w:p w14:paraId="2C793DB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7462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709" w:type="dxa"/>
            <w:noWrap w:val="0"/>
            <w:vAlign w:val="center"/>
          </w:tcPr>
          <w:p w14:paraId="6AF0EBF0">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2.1</w:t>
            </w:r>
          </w:p>
        </w:tc>
        <w:tc>
          <w:tcPr>
            <w:tcW w:w="1132" w:type="dxa"/>
            <w:vMerge w:val="restart"/>
            <w:noWrap w:val="0"/>
            <w:vAlign w:val="center"/>
          </w:tcPr>
          <w:p w14:paraId="043F532D">
            <w:pPr>
              <w:ind w:left="120"/>
              <w:rPr>
                <w:rFonts w:hint="eastAsia" w:ascii="仿宋" w:hAnsi="仿宋" w:eastAsia="仿宋" w:cs="仿宋"/>
                <w:sz w:val="21"/>
                <w:szCs w:val="21"/>
                <w:lang w:val="zh-CN" w:eastAsia="zh-CN" w:bidi="zh-CN"/>
              </w:rPr>
            </w:pPr>
            <w:r>
              <w:rPr>
                <w:rFonts w:hint="eastAsia" w:ascii="仿宋" w:hAnsi="仿宋" w:eastAsia="仿宋" w:cs="仿宋"/>
                <w:sz w:val="21"/>
                <w:szCs w:val="21"/>
                <w:lang w:val="zh-CN" w:eastAsia="zh-CN" w:bidi="zh-CN"/>
              </w:rPr>
              <w:t>服务水平（</w:t>
            </w:r>
            <w:r>
              <w:rPr>
                <w:rFonts w:hint="eastAsia" w:ascii="仿宋" w:hAnsi="仿宋" w:eastAsia="仿宋" w:cs="仿宋"/>
                <w:sz w:val="21"/>
                <w:szCs w:val="21"/>
                <w:lang w:val="en-US" w:eastAsia="zh-CN" w:bidi="zh-CN"/>
              </w:rPr>
              <w:t>33分</w:t>
            </w:r>
            <w:r>
              <w:rPr>
                <w:rFonts w:hint="eastAsia" w:ascii="仿宋" w:hAnsi="仿宋" w:eastAsia="仿宋" w:cs="仿宋"/>
                <w:sz w:val="21"/>
                <w:szCs w:val="21"/>
                <w:lang w:val="zh-CN" w:eastAsia="zh-CN" w:bidi="zh-CN"/>
              </w:rPr>
              <w:t>）</w:t>
            </w:r>
          </w:p>
        </w:tc>
        <w:tc>
          <w:tcPr>
            <w:tcW w:w="6447" w:type="dxa"/>
            <w:noWrap w:val="0"/>
            <w:vAlign w:val="center"/>
          </w:tcPr>
          <w:p w14:paraId="445ECC26">
            <w:pPr>
              <w:widowControl/>
              <w:jc w:val="left"/>
              <w:rPr>
                <w:rFonts w:hint="eastAsia" w:ascii="仿宋" w:hAnsi="仿宋" w:eastAsia="仿宋" w:cs="仿宋"/>
                <w:sz w:val="20"/>
                <w:szCs w:val="21"/>
              </w:rPr>
            </w:pPr>
            <w:r>
              <w:rPr>
                <w:rFonts w:hint="eastAsia" w:ascii="仿宋" w:hAnsi="仿宋" w:eastAsia="仿宋" w:cs="仿宋"/>
                <w:sz w:val="20"/>
                <w:szCs w:val="20"/>
              </w:rPr>
              <w:t>评委根据供应商提供的团队人员配置进行综合评分：</w:t>
            </w:r>
            <w:r>
              <w:rPr>
                <w:rFonts w:hint="eastAsia" w:ascii="仿宋" w:hAnsi="仿宋" w:eastAsia="仿宋" w:cs="仿宋"/>
                <w:sz w:val="20"/>
                <w:szCs w:val="20"/>
              </w:rPr>
              <w:br w:type="textWrapping" w:clear="all"/>
            </w:r>
            <w:r>
              <w:rPr>
                <w:rFonts w:hint="eastAsia" w:ascii="仿宋" w:hAnsi="仿宋" w:eastAsia="仿宋" w:cs="仿宋"/>
                <w:b/>
                <w:bCs/>
                <w:sz w:val="20"/>
                <w:szCs w:val="21"/>
              </w:rPr>
              <w:t>1.专业技术人员项目负责人外（10分）</w:t>
            </w:r>
          </w:p>
          <w:p w14:paraId="3E19EDFE">
            <w:pPr>
              <w:widowControl/>
              <w:numPr>
                <w:ilvl w:val="0"/>
                <w:numId w:val="0"/>
              </w:numPr>
              <w:ind w:left="360" w:leftChars="0" w:hanging="360" w:firstLineChars="0"/>
              <w:jc w:val="left"/>
              <w:rPr>
                <w:rFonts w:hint="eastAsia" w:ascii="仿宋" w:hAnsi="仿宋" w:eastAsia="仿宋" w:cs="仿宋"/>
                <w:sz w:val="20"/>
                <w:szCs w:val="21"/>
              </w:rPr>
            </w:pPr>
            <w:r>
              <w:rPr>
                <w:rFonts w:hint="eastAsia" w:ascii="仿宋" w:hAnsi="仿宋" w:eastAsia="仿宋" w:cs="仿宋"/>
                <w:color w:val="auto"/>
                <w:sz w:val="20"/>
                <w:szCs w:val="21"/>
                <w:lang w:val="en-US" w:eastAsia="zh-CN" w:bidi="ar-SA"/>
              </w:rPr>
              <w:t>①</w:t>
            </w:r>
            <w:r>
              <w:rPr>
                <w:rFonts w:hint="eastAsia" w:ascii="仿宋" w:hAnsi="仿宋" w:eastAsia="仿宋" w:cs="仿宋"/>
                <w:sz w:val="20"/>
                <w:szCs w:val="21"/>
              </w:rPr>
              <w:t>专业技术人员满足需求（3名），每增加1人加1分，最高得2分；</w:t>
            </w:r>
          </w:p>
          <w:p w14:paraId="6366EB5D">
            <w:pPr>
              <w:widowControl/>
              <w:jc w:val="left"/>
              <w:rPr>
                <w:rFonts w:hint="eastAsia" w:ascii="仿宋" w:hAnsi="仿宋" w:eastAsia="仿宋" w:cs="仿宋"/>
                <w:sz w:val="20"/>
                <w:szCs w:val="21"/>
              </w:rPr>
            </w:pPr>
            <w:r>
              <w:rPr>
                <w:rFonts w:hint="eastAsia" w:ascii="仿宋" w:hAnsi="仿宋" w:eastAsia="仿宋" w:cs="仿宋"/>
                <w:sz w:val="20"/>
                <w:szCs w:val="21"/>
              </w:rPr>
              <w:t>②肢体康复治疗师数量达到3人，每增加1人加0.5分，最高加2分；</w:t>
            </w:r>
          </w:p>
          <w:p w14:paraId="16132187">
            <w:pPr>
              <w:widowControl/>
              <w:jc w:val="left"/>
              <w:rPr>
                <w:rFonts w:hint="eastAsia" w:ascii="仿宋" w:hAnsi="仿宋" w:eastAsia="仿宋" w:cs="仿宋"/>
                <w:sz w:val="20"/>
                <w:szCs w:val="21"/>
              </w:rPr>
            </w:pPr>
            <w:r>
              <w:rPr>
                <w:rFonts w:hint="eastAsia" w:ascii="仿宋" w:hAnsi="仿宋" w:eastAsia="仿宋" w:cs="仿宋"/>
                <w:sz w:val="20"/>
                <w:szCs w:val="21"/>
              </w:rPr>
              <w:t>③具有5年及以上康复工作经验，有1人加1分，最高得2分；</w:t>
            </w:r>
          </w:p>
          <w:p w14:paraId="2FA5B0AB">
            <w:pPr>
              <w:widowControl/>
              <w:jc w:val="left"/>
              <w:rPr>
                <w:rFonts w:hint="eastAsia" w:ascii="仿宋" w:hAnsi="仿宋" w:eastAsia="仿宋" w:cs="仿宋"/>
                <w:sz w:val="20"/>
                <w:szCs w:val="21"/>
              </w:rPr>
            </w:pPr>
            <w:r>
              <w:rPr>
                <w:rFonts w:hint="eastAsia" w:ascii="仿宋" w:hAnsi="仿宋" w:eastAsia="仿宋" w:cs="仿宋"/>
                <w:sz w:val="20"/>
                <w:szCs w:val="21"/>
              </w:rPr>
              <w:t>④取得康复服务相关专业中级职称的，有1人得0.5分；取得康复服务相关专业高级职称的，有1人得1分，最高得4分。</w:t>
            </w:r>
          </w:p>
          <w:p w14:paraId="2488A61C">
            <w:pPr>
              <w:widowControl/>
              <w:jc w:val="left"/>
              <w:rPr>
                <w:rFonts w:hint="eastAsia" w:ascii="仿宋" w:hAnsi="仿宋" w:eastAsia="仿宋" w:cs="仿宋"/>
                <w:b/>
                <w:bCs/>
                <w:sz w:val="20"/>
                <w:szCs w:val="21"/>
              </w:rPr>
            </w:pPr>
            <w:r>
              <w:rPr>
                <w:rFonts w:hint="eastAsia" w:ascii="仿宋" w:hAnsi="仿宋" w:eastAsia="仿宋" w:cs="仿宋"/>
                <w:b/>
                <w:bCs/>
                <w:sz w:val="20"/>
                <w:szCs w:val="21"/>
              </w:rPr>
              <w:t>2.项目负责人（2分）</w:t>
            </w:r>
          </w:p>
          <w:p w14:paraId="64542AC2">
            <w:pPr>
              <w:widowControl/>
              <w:jc w:val="left"/>
              <w:rPr>
                <w:rFonts w:hint="eastAsia" w:ascii="仿宋" w:hAnsi="仿宋" w:eastAsia="仿宋" w:cs="仿宋"/>
                <w:sz w:val="20"/>
                <w:szCs w:val="21"/>
              </w:rPr>
            </w:pPr>
            <w:r>
              <w:rPr>
                <w:rFonts w:hint="eastAsia" w:ascii="仿宋" w:hAnsi="仿宋" w:eastAsia="仿宋" w:cs="仿宋"/>
                <w:sz w:val="20"/>
                <w:szCs w:val="21"/>
              </w:rPr>
              <w:t>具有康复服务相关专业中级及以上职称的，得2分。</w:t>
            </w:r>
          </w:p>
          <w:p w14:paraId="43307E28">
            <w:pPr>
              <w:widowControl/>
              <w:jc w:val="left"/>
              <w:rPr>
                <w:rFonts w:hint="eastAsia" w:ascii="仿宋" w:hAnsi="仿宋" w:eastAsia="仿宋" w:cs="仿宋"/>
                <w:sz w:val="20"/>
                <w:szCs w:val="20"/>
              </w:rPr>
            </w:pPr>
            <w:r>
              <w:rPr>
                <w:rFonts w:hint="eastAsia" w:ascii="仿宋" w:hAnsi="仿宋" w:eastAsia="仿宋" w:cs="仿宋"/>
                <w:b/>
                <w:sz w:val="20"/>
                <w:szCs w:val="21"/>
              </w:rPr>
              <w:t>注：根据供应商提供的专业技术人员的花名册（注明专业、工作经验等）进行综合评分。需提供个人专业技术证明，一人多证以最高职称为准。上述评分点中团队配置所有参与评分的人员均需提供202</w:t>
            </w:r>
            <w:r>
              <w:rPr>
                <w:rFonts w:hint="eastAsia" w:ascii="仿宋" w:hAnsi="仿宋" w:eastAsia="仿宋" w:cs="仿宋"/>
                <w:b/>
                <w:sz w:val="20"/>
                <w:szCs w:val="21"/>
                <w:lang w:val="en-US" w:eastAsia="zh-CN"/>
              </w:rPr>
              <w:t>5</w:t>
            </w:r>
            <w:r>
              <w:rPr>
                <w:rFonts w:hint="eastAsia" w:ascii="仿宋" w:hAnsi="仿宋" w:eastAsia="仿宋" w:cs="仿宋"/>
                <w:b/>
                <w:sz w:val="20"/>
                <w:szCs w:val="21"/>
              </w:rPr>
              <w:t>年01月以来任意1个月由供应商为其缴纳社保基金的证明材料（不包括返聘人员）。上述评分点证明资料不完整或不一致或不符合要求的不计分。</w:t>
            </w:r>
          </w:p>
        </w:tc>
        <w:tc>
          <w:tcPr>
            <w:tcW w:w="832" w:type="dxa"/>
            <w:noWrap w:val="0"/>
            <w:vAlign w:val="center"/>
          </w:tcPr>
          <w:p w14:paraId="4FBBD7D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873" w:type="dxa"/>
            <w:noWrap w:val="0"/>
            <w:vAlign w:val="center"/>
          </w:tcPr>
          <w:p w14:paraId="38357403">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客观分</w:t>
            </w:r>
          </w:p>
        </w:tc>
      </w:tr>
      <w:tr w14:paraId="4BF9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709" w:type="dxa"/>
            <w:noWrap w:val="0"/>
            <w:vAlign w:val="center"/>
          </w:tcPr>
          <w:p w14:paraId="09E41B66">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2.2</w:t>
            </w:r>
          </w:p>
        </w:tc>
        <w:tc>
          <w:tcPr>
            <w:tcW w:w="1132" w:type="dxa"/>
            <w:vMerge w:val="continue"/>
            <w:noWrap w:val="0"/>
            <w:vAlign w:val="center"/>
          </w:tcPr>
          <w:p w14:paraId="44F2F339">
            <w:pPr>
              <w:widowControl/>
              <w:jc w:val="left"/>
              <w:rPr>
                <w:rFonts w:hint="eastAsia" w:ascii="仿宋" w:hAnsi="仿宋" w:eastAsia="仿宋" w:cs="仿宋"/>
                <w:b/>
                <w:spacing w:val="-3"/>
                <w:sz w:val="20"/>
                <w:szCs w:val="21"/>
                <w:lang w:val="zh-CN" w:bidi="zh-CN"/>
              </w:rPr>
            </w:pPr>
          </w:p>
        </w:tc>
        <w:tc>
          <w:tcPr>
            <w:tcW w:w="6447" w:type="dxa"/>
            <w:noWrap w:val="0"/>
            <w:vAlign w:val="center"/>
          </w:tcPr>
          <w:p w14:paraId="64FF1AD9">
            <w:pPr>
              <w:widowControl/>
              <w:jc w:val="left"/>
              <w:rPr>
                <w:rFonts w:hint="eastAsia" w:ascii="仿宋" w:hAnsi="仿宋" w:eastAsia="仿宋" w:cs="仿宋"/>
                <w:b/>
                <w:spacing w:val="-3"/>
                <w:sz w:val="20"/>
                <w:szCs w:val="21"/>
                <w:lang w:val="zh-CN" w:bidi="zh-CN"/>
              </w:rPr>
            </w:pPr>
            <w:r>
              <w:rPr>
                <w:rFonts w:hint="eastAsia" w:ascii="仿宋" w:hAnsi="仿宋" w:eastAsia="仿宋" w:cs="仿宋"/>
                <w:sz w:val="20"/>
                <w:szCs w:val="20"/>
              </w:rPr>
              <w:t>评委根据供应商提供的</w:t>
            </w:r>
            <w:r>
              <w:rPr>
                <w:rFonts w:hint="eastAsia" w:ascii="仿宋" w:hAnsi="仿宋" w:eastAsia="仿宋" w:cs="仿宋"/>
                <w:spacing w:val="-3"/>
                <w:sz w:val="20"/>
                <w:szCs w:val="21"/>
                <w:lang w:val="zh-CN" w:bidi="zh-CN"/>
              </w:rPr>
              <w:t>设施设备</w:t>
            </w:r>
            <w:r>
              <w:rPr>
                <w:rFonts w:hint="eastAsia" w:ascii="仿宋" w:hAnsi="仿宋" w:eastAsia="仿宋" w:cs="仿宋"/>
                <w:sz w:val="20"/>
                <w:szCs w:val="20"/>
              </w:rPr>
              <w:t>进行综合评分（6分），</w:t>
            </w:r>
          </w:p>
          <w:p w14:paraId="0C0CCC7E">
            <w:pPr>
              <w:widowControl/>
              <w:jc w:val="left"/>
              <w:rPr>
                <w:rFonts w:hint="eastAsia" w:ascii="仿宋" w:hAnsi="仿宋" w:eastAsia="仿宋" w:cs="仿宋"/>
                <w:b/>
                <w:spacing w:val="-3"/>
                <w:sz w:val="20"/>
                <w:szCs w:val="21"/>
                <w:lang w:val="zh-CN" w:bidi="zh-CN"/>
              </w:rPr>
            </w:pPr>
            <w:r>
              <w:rPr>
                <w:rFonts w:hint="eastAsia" w:ascii="仿宋" w:hAnsi="仿宋" w:eastAsia="仿宋" w:cs="仿宋"/>
                <w:sz w:val="20"/>
                <w:szCs w:val="20"/>
              </w:rPr>
              <w:t>满足康复训练（含教学）设备数量下限（23种），每增加一种得1分，最多得6分，</w:t>
            </w:r>
            <w:r>
              <w:rPr>
                <w:rFonts w:hint="eastAsia" w:ascii="仿宋" w:hAnsi="仿宋" w:eastAsia="仿宋" w:cs="仿宋"/>
                <w:color w:val="000000"/>
                <w:sz w:val="20"/>
                <w:szCs w:val="21"/>
              </w:rPr>
              <w:t>不满足要求不得分。</w:t>
            </w:r>
            <w:r>
              <w:rPr>
                <w:rFonts w:hint="eastAsia" w:ascii="仿宋" w:hAnsi="仿宋" w:eastAsia="仿宋" w:cs="仿宋"/>
                <w:sz w:val="20"/>
                <w:szCs w:val="20"/>
              </w:rPr>
              <w:br w:type="textWrapping" w:clear="all"/>
            </w:r>
            <w:r>
              <w:rPr>
                <w:rFonts w:hint="eastAsia" w:ascii="仿宋" w:hAnsi="仿宋" w:eastAsia="仿宋" w:cs="仿宋"/>
                <w:sz w:val="20"/>
                <w:szCs w:val="20"/>
              </w:rPr>
              <w:t>注：</w:t>
            </w:r>
            <w:r>
              <w:rPr>
                <w:rFonts w:hint="eastAsia" w:ascii="仿宋" w:hAnsi="仿宋" w:eastAsia="仿宋" w:cs="仿宋"/>
                <w:b/>
                <w:bCs/>
                <w:sz w:val="20"/>
                <w:szCs w:val="20"/>
              </w:rPr>
              <w:t>需提供完整的设施设备清单</w:t>
            </w:r>
            <w:r>
              <w:rPr>
                <w:rFonts w:hint="eastAsia" w:ascii="仿宋" w:hAnsi="仿宋" w:eastAsia="仿宋" w:cs="仿宋"/>
                <w:sz w:val="20"/>
                <w:szCs w:val="20"/>
              </w:rPr>
              <w:t>（需包括设备名称、数量、购置时间等）、</w:t>
            </w:r>
            <w:r>
              <w:rPr>
                <w:rFonts w:hint="eastAsia" w:ascii="仿宋" w:hAnsi="仿宋" w:eastAsia="仿宋" w:cs="仿宋"/>
                <w:b/>
                <w:bCs/>
                <w:sz w:val="20"/>
                <w:szCs w:val="20"/>
              </w:rPr>
              <w:t>设备购置发票及实物照片</w:t>
            </w:r>
            <w:r>
              <w:rPr>
                <w:rFonts w:hint="eastAsia" w:ascii="仿宋" w:hAnsi="仿宋" w:eastAsia="仿宋" w:cs="仿宋"/>
                <w:sz w:val="20"/>
                <w:szCs w:val="20"/>
              </w:rPr>
              <w:t>，上述证明材料缺项的不得分。证明材料与供应商名称不一致时需提供相关说明及证明材料，否则不得分。</w:t>
            </w:r>
          </w:p>
        </w:tc>
        <w:tc>
          <w:tcPr>
            <w:tcW w:w="832" w:type="dxa"/>
            <w:noWrap w:val="0"/>
            <w:vAlign w:val="center"/>
          </w:tcPr>
          <w:p w14:paraId="3351D708">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6</w:t>
            </w:r>
          </w:p>
        </w:tc>
        <w:tc>
          <w:tcPr>
            <w:tcW w:w="873" w:type="dxa"/>
            <w:noWrap w:val="0"/>
            <w:vAlign w:val="center"/>
          </w:tcPr>
          <w:p w14:paraId="60A10E0F">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客观分</w:t>
            </w:r>
          </w:p>
        </w:tc>
      </w:tr>
      <w:tr w14:paraId="0C01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709" w:type="dxa"/>
            <w:noWrap w:val="0"/>
            <w:vAlign w:val="center"/>
          </w:tcPr>
          <w:p w14:paraId="253D273A">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2.3</w:t>
            </w:r>
          </w:p>
        </w:tc>
        <w:tc>
          <w:tcPr>
            <w:tcW w:w="1132" w:type="dxa"/>
            <w:vMerge w:val="continue"/>
            <w:noWrap w:val="0"/>
            <w:vAlign w:val="center"/>
          </w:tcPr>
          <w:p w14:paraId="10AFF7CF">
            <w:pPr>
              <w:widowControl/>
              <w:spacing w:line="336" w:lineRule="auto"/>
              <w:jc w:val="left"/>
              <w:rPr>
                <w:rFonts w:hint="eastAsia" w:ascii="仿宋" w:hAnsi="仿宋" w:eastAsia="仿宋" w:cs="仿宋"/>
                <w:color w:val="000000"/>
                <w:sz w:val="20"/>
                <w:szCs w:val="21"/>
              </w:rPr>
            </w:pPr>
          </w:p>
        </w:tc>
        <w:tc>
          <w:tcPr>
            <w:tcW w:w="6447" w:type="dxa"/>
            <w:noWrap w:val="0"/>
            <w:vAlign w:val="center"/>
          </w:tcPr>
          <w:p w14:paraId="4A156E65">
            <w:pPr>
              <w:pStyle w:val="60"/>
              <w:widowControl/>
              <w:jc w:val="left"/>
              <w:rPr>
                <w:rFonts w:hint="eastAsia" w:ascii="仿宋" w:hAnsi="仿宋" w:eastAsia="仿宋" w:cs="仿宋"/>
                <w:sz w:val="21"/>
                <w:szCs w:val="21"/>
                <w:lang w:bidi="zh-CN"/>
              </w:rPr>
            </w:pPr>
            <w:r>
              <w:rPr>
                <w:rFonts w:hint="eastAsia" w:ascii="仿宋" w:hAnsi="仿宋" w:eastAsia="仿宋" w:cs="仿宋"/>
                <w:sz w:val="21"/>
                <w:szCs w:val="21"/>
                <w:lang w:bidi="zh-CN"/>
              </w:rPr>
              <w:t>安全（5分）</w:t>
            </w:r>
          </w:p>
          <w:p w14:paraId="3C87C451">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bidi="zh-CN"/>
              </w:rPr>
              <w:t>评委根据供应商提供</w:t>
            </w:r>
            <w:r>
              <w:rPr>
                <w:rFonts w:hint="eastAsia" w:ascii="仿宋" w:hAnsi="仿宋" w:eastAsia="仿宋" w:cs="仿宋"/>
                <w:sz w:val="20"/>
                <w:szCs w:val="21"/>
                <w:lang w:val="zh-CN" w:bidi="zh-CN"/>
              </w:rPr>
              <w:t>为服务对象购买场地意外险或公众责任险情况进行综合评分：</w:t>
            </w:r>
          </w:p>
          <w:p w14:paraId="523A7B1E">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bidi="zh-CN"/>
              </w:rPr>
              <w:t>承诺</w:t>
            </w:r>
            <w:r>
              <w:rPr>
                <w:rFonts w:hint="eastAsia" w:ascii="仿宋" w:hAnsi="仿宋" w:eastAsia="仿宋" w:cs="仿宋"/>
                <w:sz w:val="20"/>
                <w:szCs w:val="21"/>
                <w:lang w:val="zh-CN" w:bidi="zh-CN"/>
              </w:rPr>
              <w:t>为全部在训服务对象购买保险且连续无断档的得</w:t>
            </w:r>
            <w:r>
              <w:rPr>
                <w:rFonts w:hint="eastAsia" w:ascii="仿宋" w:hAnsi="仿宋" w:eastAsia="仿宋" w:cs="仿宋"/>
                <w:sz w:val="20"/>
                <w:szCs w:val="21"/>
                <w:lang w:bidi="zh-CN"/>
              </w:rPr>
              <w:t>5</w:t>
            </w:r>
            <w:r>
              <w:rPr>
                <w:rFonts w:hint="eastAsia" w:ascii="仿宋" w:hAnsi="仿宋" w:eastAsia="仿宋" w:cs="仿宋"/>
                <w:sz w:val="20"/>
                <w:szCs w:val="21"/>
                <w:lang w:val="zh-CN" w:bidi="zh-CN"/>
              </w:rPr>
              <w:t>分。</w:t>
            </w:r>
          </w:p>
          <w:p w14:paraId="77834B87">
            <w:pPr>
              <w:pStyle w:val="60"/>
              <w:widowControl/>
              <w:jc w:val="left"/>
              <w:rPr>
                <w:rFonts w:hint="eastAsia" w:ascii="仿宋" w:hAnsi="仿宋" w:eastAsia="仿宋" w:cs="仿宋"/>
                <w:sz w:val="20"/>
                <w:szCs w:val="21"/>
                <w:lang w:val="zh-CN" w:bidi="zh-CN"/>
              </w:rPr>
            </w:pPr>
            <w:r>
              <w:rPr>
                <w:rFonts w:hint="eastAsia" w:ascii="仿宋" w:hAnsi="仿宋" w:eastAsia="仿宋" w:cs="仿宋"/>
                <w:sz w:val="20"/>
                <w:szCs w:val="21"/>
                <w:lang w:val="zh-CN" w:bidi="zh-CN"/>
              </w:rPr>
              <w:t>未</w:t>
            </w:r>
            <w:r>
              <w:rPr>
                <w:rFonts w:hint="eastAsia" w:ascii="仿宋" w:hAnsi="仿宋" w:eastAsia="仿宋" w:cs="仿宋"/>
                <w:sz w:val="20"/>
                <w:szCs w:val="21"/>
                <w:lang w:bidi="zh-CN"/>
              </w:rPr>
              <w:t>承诺</w:t>
            </w:r>
            <w:r>
              <w:rPr>
                <w:rFonts w:hint="eastAsia" w:ascii="仿宋" w:hAnsi="仿宋" w:eastAsia="仿宋" w:cs="仿宋"/>
                <w:sz w:val="20"/>
                <w:szCs w:val="21"/>
                <w:lang w:val="zh-CN" w:bidi="zh-CN"/>
              </w:rPr>
              <w:t>的不得分。</w:t>
            </w:r>
          </w:p>
          <w:p w14:paraId="1A5DD095">
            <w:pPr>
              <w:widowControl/>
              <w:jc w:val="left"/>
              <w:rPr>
                <w:rFonts w:hint="eastAsia" w:ascii="仿宋" w:hAnsi="仿宋" w:eastAsia="仿宋" w:cs="仿宋"/>
                <w:sz w:val="20"/>
                <w:szCs w:val="20"/>
                <w:lang w:val="zh-CN" w:bidi="zh-CN"/>
              </w:rPr>
            </w:pPr>
            <w:r>
              <w:rPr>
                <w:rFonts w:hint="eastAsia" w:ascii="仿宋" w:hAnsi="仿宋" w:eastAsia="仿宋" w:cs="仿宋"/>
                <w:b/>
                <w:spacing w:val="-3"/>
                <w:sz w:val="20"/>
                <w:szCs w:val="21"/>
                <w:lang w:val="zh-CN" w:bidi="zh-CN"/>
              </w:rPr>
              <w:t>注：提供承诺书。</w:t>
            </w:r>
          </w:p>
        </w:tc>
        <w:tc>
          <w:tcPr>
            <w:tcW w:w="832" w:type="dxa"/>
            <w:noWrap w:val="0"/>
            <w:vAlign w:val="center"/>
          </w:tcPr>
          <w:p w14:paraId="607CBA94">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5</w:t>
            </w:r>
          </w:p>
        </w:tc>
        <w:tc>
          <w:tcPr>
            <w:tcW w:w="873" w:type="dxa"/>
            <w:noWrap w:val="0"/>
            <w:vAlign w:val="center"/>
          </w:tcPr>
          <w:p w14:paraId="12F033C4">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客观分</w:t>
            </w:r>
          </w:p>
        </w:tc>
      </w:tr>
      <w:tr w14:paraId="0A0B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709" w:type="dxa"/>
            <w:noWrap w:val="0"/>
            <w:vAlign w:val="center"/>
          </w:tcPr>
          <w:p w14:paraId="57097AE3">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2.4</w:t>
            </w:r>
          </w:p>
        </w:tc>
        <w:tc>
          <w:tcPr>
            <w:tcW w:w="1132" w:type="dxa"/>
            <w:vMerge w:val="continue"/>
            <w:noWrap w:val="0"/>
            <w:vAlign w:val="center"/>
          </w:tcPr>
          <w:p w14:paraId="54FCDFF6">
            <w:pPr>
              <w:widowControl/>
              <w:spacing w:line="336" w:lineRule="auto"/>
              <w:jc w:val="left"/>
              <w:rPr>
                <w:rFonts w:hint="eastAsia" w:ascii="仿宋" w:hAnsi="仿宋" w:eastAsia="仿宋" w:cs="仿宋"/>
                <w:color w:val="000000"/>
                <w:sz w:val="20"/>
                <w:szCs w:val="21"/>
              </w:rPr>
            </w:pPr>
          </w:p>
        </w:tc>
        <w:tc>
          <w:tcPr>
            <w:tcW w:w="6447" w:type="dxa"/>
            <w:noWrap w:val="0"/>
            <w:vAlign w:val="center"/>
          </w:tcPr>
          <w:p w14:paraId="55DEFF30">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1"/>
                <w:szCs w:val="21"/>
                <w:highlight w:val="none"/>
                <w:lang w:bidi="zh-CN"/>
              </w:rPr>
              <w:t>考勤系统（</w:t>
            </w:r>
            <w:r>
              <w:rPr>
                <w:rFonts w:hint="eastAsia" w:ascii="仿宋" w:hAnsi="仿宋" w:eastAsia="仿宋" w:cs="仿宋"/>
                <w:sz w:val="21"/>
                <w:szCs w:val="21"/>
                <w:highlight w:val="none"/>
                <w:lang w:val="en-US" w:bidi="zh-CN"/>
              </w:rPr>
              <w:t>5</w:t>
            </w:r>
            <w:r>
              <w:rPr>
                <w:rFonts w:hint="eastAsia" w:ascii="仿宋" w:hAnsi="仿宋" w:eastAsia="仿宋" w:cs="仿宋"/>
                <w:sz w:val="21"/>
                <w:szCs w:val="21"/>
                <w:highlight w:val="none"/>
                <w:lang w:bidi="zh-CN"/>
              </w:rPr>
              <w:t>分）</w:t>
            </w:r>
          </w:p>
          <w:p w14:paraId="71BE7083">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0"/>
                <w:szCs w:val="21"/>
                <w:highlight w:val="none"/>
                <w:lang w:bidi="zh-CN"/>
              </w:rPr>
              <w:t>评委根据供应商提供的</w:t>
            </w:r>
            <w:r>
              <w:rPr>
                <w:rFonts w:hint="eastAsia" w:ascii="仿宋" w:hAnsi="仿宋" w:eastAsia="仿宋" w:cs="仿宋"/>
                <w:sz w:val="21"/>
                <w:szCs w:val="21"/>
                <w:highlight w:val="none"/>
                <w:lang w:bidi="zh-CN"/>
              </w:rPr>
              <w:t>人脸识别系统考勤情况进行综合评分：</w:t>
            </w:r>
          </w:p>
          <w:p w14:paraId="0D5A57F4">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有人脸识别系统并为服务对象进行考勤的得</w:t>
            </w:r>
            <w:r>
              <w:rPr>
                <w:rFonts w:hint="eastAsia" w:ascii="仿宋" w:hAnsi="仿宋" w:eastAsia="仿宋" w:cs="仿宋"/>
                <w:sz w:val="20"/>
                <w:szCs w:val="21"/>
                <w:highlight w:val="none"/>
                <w:lang w:val="en-US" w:bidi="zh-CN"/>
              </w:rPr>
              <w:t>5</w:t>
            </w:r>
            <w:r>
              <w:rPr>
                <w:rFonts w:hint="eastAsia" w:ascii="仿宋" w:hAnsi="仿宋" w:eastAsia="仿宋" w:cs="仿宋"/>
                <w:sz w:val="20"/>
                <w:szCs w:val="21"/>
                <w:highlight w:val="none"/>
                <w:lang w:val="zh-CN" w:bidi="zh-CN"/>
              </w:rPr>
              <w:t>分。</w:t>
            </w:r>
          </w:p>
          <w:p w14:paraId="1BB639F3">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不满足</w:t>
            </w:r>
            <w:r>
              <w:rPr>
                <w:rFonts w:hint="eastAsia" w:ascii="仿宋" w:hAnsi="仿宋" w:eastAsia="仿宋" w:cs="仿宋"/>
                <w:sz w:val="20"/>
                <w:szCs w:val="21"/>
                <w:highlight w:val="none"/>
                <w:lang w:val="zh-CN" w:bidi="zh-CN"/>
              </w:rPr>
              <w:t>的不得分。</w:t>
            </w:r>
          </w:p>
          <w:p w14:paraId="76DD671C">
            <w:pPr>
              <w:widowControl/>
              <w:jc w:val="left"/>
              <w:rPr>
                <w:rFonts w:hint="eastAsia" w:ascii="仿宋" w:hAnsi="仿宋" w:eastAsia="仿宋" w:cs="仿宋"/>
                <w:b/>
                <w:bCs/>
                <w:sz w:val="18"/>
                <w:szCs w:val="18"/>
                <w:highlight w:val="none"/>
              </w:rPr>
            </w:pPr>
            <w:r>
              <w:rPr>
                <w:rFonts w:hint="eastAsia" w:ascii="仿宋" w:hAnsi="仿宋" w:eastAsia="仿宋" w:cs="仿宋"/>
                <w:b/>
                <w:spacing w:val="-3"/>
                <w:sz w:val="20"/>
                <w:szCs w:val="21"/>
                <w:highlight w:val="none"/>
                <w:lang w:val="zh-CN" w:bidi="zh-CN"/>
              </w:rPr>
              <w:t>注：提供相关证明材料。</w:t>
            </w:r>
          </w:p>
        </w:tc>
        <w:tc>
          <w:tcPr>
            <w:tcW w:w="832" w:type="dxa"/>
            <w:noWrap w:val="0"/>
            <w:vAlign w:val="center"/>
          </w:tcPr>
          <w:p w14:paraId="4B40D2FB">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5</w:t>
            </w:r>
          </w:p>
        </w:tc>
        <w:tc>
          <w:tcPr>
            <w:tcW w:w="873" w:type="dxa"/>
            <w:noWrap w:val="0"/>
            <w:vAlign w:val="center"/>
          </w:tcPr>
          <w:p w14:paraId="6E2D79C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1E0D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709" w:type="dxa"/>
            <w:noWrap w:val="0"/>
            <w:vAlign w:val="center"/>
          </w:tcPr>
          <w:p w14:paraId="03FA8877">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2.5</w:t>
            </w:r>
          </w:p>
        </w:tc>
        <w:tc>
          <w:tcPr>
            <w:tcW w:w="1132" w:type="dxa"/>
            <w:vMerge w:val="continue"/>
            <w:noWrap w:val="0"/>
            <w:vAlign w:val="center"/>
          </w:tcPr>
          <w:p w14:paraId="365AA51E">
            <w:pPr>
              <w:widowControl/>
              <w:spacing w:line="336" w:lineRule="auto"/>
              <w:jc w:val="left"/>
              <w:rPr>
                <w:rFonts w:hint="eastAsia" w:ascii="仿宋" w:hAnsi="仿宋" w:eastAsia="仿宋" w:cs="仿宋"/>
                <w:spacing w:val="-3"/>
                <w:sz w:val="20"/>
                <w:szCs w:val="21"/>
                <w:lang w:val="zh-CN" w:bidi="zh-CN"/>
              </w:rPr>
            </w:pPr>
          </w:p>
        </w:tc>
        <w:tc>
          <w:tcPr>
            <w:tcW w:w="6447" w:type="dxa"/>
            <w:noWrap w:val="0"/>
            <w:vAlign w:val="top"/>
          </w:tcPr>
          <w:p w14:paraId="360FBF2C">
            <w:pPr>
              <w:widowControl/>
              <w:jc w:val="left"/>
              <w:rPr>
                <w:rFonts w:hint="eastAsia" w:ascii="仿宋" w:hAnsi="仿宋" w:eastAsia="仿宋" w:cs="仿宋"/>
                <w:spacing w:val="-3"/>
                <w:sz w:val="20"/>
                <w:szCs w:val="21"/>
                <w:lang w:val="zh-CN" w:bidi="zh-CN"/>
              </w:rPr>
            </w:pPr>
            <w:r>
              <w:rPr>
                <w:rFonts w:hint="eastAsia" w:ascii="仿宋" w:hAnsi="仿宋" w:eastAsia="仿宋" w:cs="仿宋"/>
                <w:spacing w:val="-3"/>
                <w:sz w:val="20"/>
                <w:szCs w:val="21"/>
                <w:lang w:val="zh-CN" w:bidi="zh-CN"/>
              </w:rPr>
              <w:t>系统数据录入（5分）</w:t>
            </w:r>
          </w:p>
          <w:p w14:paraId="05CA0C1B">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评委根据供应商提供的各数据系统录入情况进行综合评分：</w:t>
            </w:r>
          </w:p>
          <w:p w14:paraId="44CFE280">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承诺录入中国残联儿童康复救助系统且数据完整的，得2分；</w:t>
            </w:r>
          </w:p>
          <w:p w14:paraId="025623C5">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承诺录入省智慧残联系统且数据完整的，得3分。</w:t>
            </w:r>
          </w:p>
          <w:p w14:paraId="5C506368">
            <w:pPr>
              <w:pStyle w:val="60"/>
              <w:widowControl/>
              <w:jc w:val="left"/>
              <w:rPr>
                <w:rFonts w:hint="eastAsia" w:ascii="仿宋" w:hAnsi="仿宋" w:eastAsia="仿宋" w:cs="仿宋"/>
                <w:sz w:val="20"/>
                <w:szCs w:val="21"/>
                <w:lang w:bidi="zh-CN"/>
              </w:rPr>
            </w:pPr>
            <w:r>
              <w:rPr>
                <w:rFonts w:hint="eastAsia" w:ascii="仿宋" w:hAnsi="仿宋" w:eastAsia="仿宋" w:cs="仿宋"/>
                <w:sz w:val="20"/>
                <w:szCs w:val="21"/>
                <w:lang w:bidi="zh-CN"/>
              </w:rPr>
              <w:t>最高得5分。</w:t>
            </w:r>
          </w:p>
          <w:p w14:paraId="66D2DEF2">
            <w:pPr>
              <w:widowControl/>
              <w:jc w:val="left"/>
              <w:rPr>
                <w:rFonts w:hint="eastAsia" w:ascii="仿宋" w:hAnsi="仿宋" w:eastAsia="仿宋" w:cs="仿宋"/>
                <w:spacing w:val="-3"/>
                <w:sz w:val="20"/>
                <w:szCs w:val="21"/>
                <w:lang w:val="zh-CN" w:bidi="zh-CN"/>
              </w:rPr>
            </w:pPr>
            <w:r>
              <w:rPr>
                <w:rFonts w:hint="eastAsia" w:ascii="仿宋" w:hAnsi="仿宋" w:eastAsia="仿宋" w:cs="仿宋"/>
                <w:b/>
                <w:spacing w:val="-3"/>
                <w:sz w:val="20"/>
                <w:szCs w:val="21"/>
                <w:lang w:val="zh-CN" w:bidi="zh-CN"/>
              </w:rPr>
              <w:t>注：提供承诺书。</w:t>
            </w:r>
          </w:p>
        </w:tc>
        <w:tc>
          <w:tcPr>
            <w:tcW w:w="832" w:type="dxa"/>
            <w:noWrap w:val="0"/>
            <w:vAlign w:val="center"/>
          </w:tcPr>
          <w:p w14:paraId="38DE300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5</w:t>
            </w:r>
          </w:p>
        </w:tc>
        <w:tc>
          <w:tcPr>
            <w:tcW w:w="873" w:type="dxa"/>
            <w:noWrap w:val="0"/>
            <w:vAlign w:val="center"/>
          </w:tcPr>
          <w:p w14:paraId="1B9AA053">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客观分</w:t>
            </w:r>
          </w:p>
        </w:tc>
      </w:tr>
      <w:tr w14:paraId="7007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709" w:type="dxa"/>
            <w:noWrap w:val="0"/>
            <w:vAlign w:val="center"/>
          </w:tcPr>
          <w:p w14:paraId="71F28B93">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3.1</w:t>
            </w:r>
          </w:p>
        </w:tc>
        <w:tc>
          <w:tcPr>
            <w:tcW w:w="1132" w:type="dxa"/>
            <w:vMerge w:val="restart"/>
            <w:noWrap w:val="0"/>
            <w:vAlign w:val="center"/>
          </w:tcPr>
          <w:p w14:paraId="0B3D3019">
            <w:pPr>
              <w:widowControl/>
              <w:spacing w:line="336" w:lineRule="auto"/>
              <w:jc w:val="left"/>
              <w:rPr>
                <w:rFonts w:hint="eastAsia" w:ascii="仿宋" w:hAnsi="仿宋" w:eastAsia="仿宋" w:cs="仿宋"/>
                <w:color w:val="000000"/>
                <w:sz w:val="20"/>
                <w:szCs w:val="21"/>
                <w:lang w:eastAsia="zh-CN"/>
              </w:rPr>
            </w:pPr>
            <w:r>
              <w:rPr>
                <w:rFonts w:hint="eastAsia" w:ascii="仿宋" w:hAnsi="仿宋" w:eastAsia="仿宋" w:cs="仿宋"/>
                <w:spacing w:val="-3"/>
                <w:sz w:val="20"/>
                <w:szCs w:val="21"/>
                <w:lang w:val="zh-CN" w:bidi="zh-CN"/>
              </w:rPr>
              <w:t>服务</w:t>
            </w:r>
            <w:r>
              <w:rPr>
                <w:rFonts w:hint="eastAsia" w:ascii="仿宋" w:hAnsi="仿宋" w:eastAsia="仿宋" w:cs="仿宋"/>
                <w:color w:val="000000"/>
                <w:sz w:val="20"/>
                <w:szCs w:val="21"/>
              </w:rPr>
              <w:t>业绩</w:t>
            </w:r>
            <w:r>
              <w:rPr>
                <w:rFonts w:hint="eastAsia" w:ascii="仿宋" w:hAnsi="仿宋" w:eastAsia="仿宋" w:cs="仿宋"/>
                <w:color w:val="000000"/>
                <w:sz w:val="20"/>
                <w:szCs w:val="21"/>
                <w:lang w:eastAsia="zh-CN"/>
              </w:rPr>
              <w:t>（</w:t>
            </w:r>
            <w:r>
              <w:rPr>
                <w:rFonts w:hint="eastAsia" w:ascii="仿宋" w:hAnsi="仿宋" w:eastAsia="仿宋" w:cs="仿宋"/>
                <w:color w:val="000000"/>
                <w:sz w:val="20"/>
                <w:szCs w:val="21"/>
                <w:lang w:val="en-US" w:eastAsia="zh-CN"/>
              </w:rPr>
              <w:t>13分</w:t>
            </w:r>
            <w:r>
              <w:rPr>
                <w:rFonts w:hint="eastAsia" w:ascii="仿宋" w:hAnsi="仿宋" w:eastAsia="仿宋" w:cs="仿宋"/>
                <w:color w:val="000000"/>
                <w:sz w:val="20"/>
                <w:szCs w:val="21"/>
                <w:lang w:eastAsia="zh-CN"/>
              </w:rPr>
              <w:t>）</w:t>
            </w:r>
          </w:p>
        </w:tc>
        <w:tc>
          <w:tcPr>
            <w:tcW w:w="6447" w:type="dxa"/>
            <w:noWrap w:val="0"/>
            <w:vAlign w:val="top"/>
          </w:tcPr>
          <w:p w14:paraId="28639C94">
            <w:pPr>
              <w:widowControl/>
              <w:jc w:val="left"/>
              <w:rPr>
                <w:rFonts w:hint="eastAsia" w:ascii="仿宋" w:hAnsi="仿宋" w:eastAsia="仿宋" w:cs="仿宋"/>
                <w:b/>
                <w:bCs/>
                <w:sz w:val="20"/>
                <w:szCs w:val="20"/>
                <w:highlight w:val="none"/>
                <w:lang w:val="zh-CN"/>
              </w:rPr>
            </w:pPr>
            <w:r>
              <w:rPr>
                <w:rFonts w:hint="eastAsia" w:ascii="仿宋" w:hAnsi="仿宋" w:eastAsia="仿宋" w:cs="仿宋"/>
                <w:b/>
                <w:bCs/>
                <w:sz w:val="20"/>
                <w:szCs w:val="20"/>
                <w:highlight w:val="none"/>
                <w:lang w:val="zh-CN"/>
              </w:rPr>
              <w:t>服务经验</w:t>
            </w:r>
          </w:p>
          <w:p w14:paraId="083DBA80">
            <w:pPr>
              <w:widowControl/>
              <w:jc w:val="left"/>
              <w:rPr>
                <w:rFonts w:hint="eastAsia" w:ascii="仿宋" w:hAnsi="仿宋" w:eastAsia="仿宋" w:cs="仿宋"/>
                <w:sz w:val="20"/>
                <w:szCs w:val="20"/>
                <w:highlight w:val="none"/>
                <w:lang w:val="zh-CN"/>
              </w:rPr>
            </w:pPr>
            <w:r>
              <w:rPr>
                <w:rFonts w:hint="eastAsia" w:ascii="仿宋" w:hAnsi="仿宋" w:eastAsia="仿宋" w:cs="仿宋"/>
                <w:sz w:val="20"/>
                <w:szCs w:val="20"/>
                <w:highlight w:val="none"/>
                <w:lang w:val="zh-CN"/>
              </w:rPr>
              <w:t>评委根据供应商提供服务对象的诊断证明(医院出具)和收治证明(202</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val="zh-CN"/>
              </w:rPr>
              <w:t>年1月1 日以后)，缺项不得分。每提供1名服务对象的得0.5 分，最多得10分。</w:t>
            </w:r>
          </w:p>
          <w:p w14:paraId="1F2396B4">
            <w:pPr>
              <w:ind w:left="0"/>
              <w:rPr>
                <w:rFonts w:hint="eastAsia" w:ascii="仿宋" w:hAnsi="仿宋" w:eastAsia="仿宋" w:cs="仿宋"/>
                <w:sz w:val="21"/>
                <w:szCs w:val="21"/>
                <w:highlight w:val="none"/>
                <w:lang w:val="zh-CN" w:eastAsia="zh-CN" w:bidi="zh-CN"/>
              </w:rPr>
            </w:pPr>
            <w:r>
              <w:rPr>
                <w:rFonts w:hint="eastAsia" w:ascii="仿宋" w:hAnsi="仿宋" w:eastAsia="仿宋" w:cs="仿宋"/>
                <w:b/>
                <w:bCs/>
                <w:sz w:val="21"/>
                <w:szCs w:val="21"/>
                <w:highlight w:val="none"/>
                <w:lang w:val="zh-CN" w:eastAsia="zh-CN" w:bidi="zh-CN"/>
              </w:rPr>
              <w:t>注:提供相关证明材料。</w:t>
            </w:r>
          </w:p>
        </w:tc>
        <w:tc>
          <w:tcPr>
            <w:tcW w:w="832" w:type="dxa"/>
            <w:noWrap w:val="0"/>
            <w:vAlign w:val="center"/>
          </w:tcPr>
          <w:p w14:paraId="604DB704">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73" w:type="dxa"/>
            <w:noWrap w:val="0"/>
            <w:vAlign w:val="center"/>
          </w:tcPr>
          <w:p w14:paraId="1F32C758">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2DF83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blHeader/>
          <w:jc w:val="center"/>
        </w:trPr>
        <w:tc>
          <w:tcPr>
            <w:tcW w:w="709" w:type="dxa"/>
            <w:noWrap w:val="0"/>
            <w:vAlign w:val="center"/>
          </w:tcPr>
          <w:p w14:paraId="0345DA84">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3.2</w:t>
            </w:r>
          </w:p>
        </w:tc>
        <w:tc>
          <w:tcPr>
            <w:tcW w:w="1132" w:type="dxa"/>
            <w:vMerge w:val="continue"/>
            <w:noWrap w:val="0"/>
            <w:vAlign w:val="center"/>
          </w:tcPr>
          <w:p w14:paraId="26DAAB4E">
            <w:pPr>
              <w:widowControl/>
              <w:spacing w:line="336" w:lineRule="auto"/>
              <w:jc w:val="left"/>
              <w:rPr>
                <w:rFonts w:hint="eastAsia" w:ascii="仿宋" w:hAnsi="仿宋" w:eastAsia="仿宋" w:cs="仿宋"/>
                <w:spacing w:val="-3"/>
                <w:sz w:val="20"/>
                <w:szCs w:val="21"/>
                <w:lang w:val="zh-CN" w:bidi="zh-CN"/>
              </w:rPr>
            </w:pPr>
          </w:p>
        </w:tc>
        <w:tc>
          <w:tcPr>
            <w:tcW w:w="6447" w:type="dxa"/>
            <w:noWrap w:val="0"/>
            <w:vAlign w:val="center"/>
          </w:tcPr>
          <w:p w14:paraId="3DF81AA3">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获奖情况</w:t>
            </w:r>
          </w:p>
          <w:p w14:paraId="5543C280">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评委根据供应商提供自20</w:t>
            </w:r>
            <w:r>
              <w:rPr>
                <w:rFonts w:hint="eastAsia" w:ascii="仿宋" w:hAnsi="仿宋" w:eastAsia="仿宋" w:cs="仿宋"/>
                <w:spacing w:val="-3"/>
                <w:sz w:val="20"/>
                <w:szCs w:val="21"/>
                <w:highlight w:val="none"/>
                <w:lang w:val="en-US" w:bidi="zh-CN"/>
              </w:rPr>
              <w:t>20</w:t>
            </w:r>
            <w:r>
              <w:rPr>
                <w:rFonts w:hint="eastAsia" w:ascii="仿宋" w:hAnsi="仿宋" w:eastAsia="仿宋" w:cs="仿宋"/>
                <w:spacing w:val="-3"/>
                <w:sz w:val="20"/>
                <w:szCs w:val="21"/>
                <w:highlight w:val="none"/>
                <w:lang w:val="zh-CN" w:bidi="zh-CN"/>
              </w:rPr>
              <w:t>年以来在残疾人康复服务中获得残联、民政、卫生等相关部门表扬或奖励情况打分（可叠加）：</w:t>
            </w:r>
          </w:p>
          <w:p w14:paraId="7E65730B">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每有1个省级（含）以上表彰的得3分；</w:t>
            </w:r>
          </w:p>
          <w:p w14:paraId="1DD1716E">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每有1个市级表彰的得2分；</w:t>
            </w:r>
          </w:p>
          <w:p w14:paraId="6D08AB56">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每有1个区级表彰的得1分。</w:t>
            </w:r>
          </w:p>
          <w:p w14:paraId="26D90F1D">
            <w:pPr>
              <w:ind w:left="0"/>
              <w:rPr>
                <w:rFonts w:hint="eastAsia" w:ascii="仿宋" w:hAnsi="仿宋" w:eastAsia="仿宋" w:cs="仿宋"/>
                <w:sz w:val="21"/>
                <w:szCs w:val="21"/>
                <w:highlight w:val="none"/>
                <w:lang w:val="en-US" w:eastAsia="zh-CN" w:bidi="zh-CN"/>
              </w:rPr>
            </w:pPr>
            <w:r>
              <w:rPr>
                <w:rFonts w:hint="eastAsia" w:ascii="仿宋" w:hAnsi="仿宋" w:eastAsia="仿宋" w:cs="仿宋"/>
                <w:spacing w:val="-3"/>
                <w:sz w:val="21"/>
                <w:szCs w:val="21"/>
                <w:highlight w:val="none"/>
                <w:lang w:val="zh-CN" w:eastAsia="zh-CN" w:bidi="zh-CN"/>
              </w:rPr>
              <w:t>最高得</w:t>
            </w:r>
            <w:r>
              <w:rPr>
                <w:rFonts w:hint="eastAsia" w:ascii="仿宋" w:hAnsi="仿宋" w:eastAsia="仿宋" w:cs="仿宋"/>
                <w:spacing w:val="-3"/>
                <w:sz w:val="21"/>
                <w:szCs w:val="21"/>
                <w:highlight w:val="none"/>
                <w:lang w:val="en-US" w:eastAsia="zh-CN" w:bidi="zh-CN"/>
              </w:rPr>
              <w:t>3分。</w:t>
            </w:r>
          </w:p>
          <w:p w14:paraId="0CA9D9B3">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b/>
                <w:spacing w:val="-3"/>
                <w:sz w:val="20"/>
                <w:szCs w:val="21"/>
                <w:highlight w:val="none"/>
                <w:lang w:val="zh-CN" w:bidi="zh-CN"/>
              </w:rPr>
              <w:t>注：以证书颁发时间或发文时间为准，提供表彰证书或表彰文件。</w:t>
            </w:r>
          </w:p>
        </w:tc>
        <w:tc>
          <w:tcPr>
            <w:tcW w:w="832" w:type="dxa"/>
            <w:noWrap w:val="0"/>
            <w:vAlign w:val="center"/>
          </w:tcPr>
          <w:p w14:paraId="4FB1C7D8">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3</w:t>
            </w:r>
          </w:p>
        </w:tc>
        <w:tc>
          <w:tcPr>
            <w:tcW w:w="873" w:type="dxa"/>
            <w:noWrap w:val="0"/>
            <w:vAlign w:val="center"/>
          </w:tcPr>
          <w:p w14:paraId="630838E5">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3C08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1841" w:type="dxa"/>
            <w:gridSpan w:val="2"/>
            <w:noWrap w:val="0"/>
            <w:vAlign w:val="center"/>
          </w:tcPr>
          <w:p w14:paraId="2AE4D943">
            <w:pPr>
              <w:widowControl/>
              <w:spacing w:line="336" w:lineRule="auto"/>
              <w:ind w:firstLine="525"/>
              <w:jc w:val="left"/>
              <w:rPr>
                <w:rFonts w:hint="eastAsia" w:ascii="仿宋" w:hAnsi="仿宋" w:eastAsia="仿宋" w:cs="仿宋"/>
                <w:color w:val="000000"/>
                <w:sz w:val="20"/>
                <w:szCs w:val="21"/>
              </w:rPr>
            </w:pPr>
            <w:r>
              <w:rPr>
                <w:rFonts w:hint="eastAsia" w:ascii="仿宋" w:hAnsi="仿宋" w:eastAsia="仿宋" w:cs="仿宋"/>
                <w:color w:val="000000"/>
                <w:sz w:val="20"/>
                <w:szCs w:val="21"/>
              </w:rPr>
              <w:t>合计</w:t>
            </w:r>
          </w:p>
        </w:tc>
        <w:tc>
          <w:tcPr>
            <w:tcW w:w="6447" w:type="dxa"/>
            <w:noWrap w:val="0"/>
            <w:vAlign w:val="center"/>
          </w:tcPr>
          <w:p w14:paraId="47C6F4C0">
            <w:pPr>
              <w:widowControl/>
              <w:spacing w:line="336" w:lineRule="auto"/>
              <w:jc w:val="left"/>
              <w:rPr>
                <w:rFonts w:hint="eastAsia" w:ascii="仿宋" w:hAnsi="仿宋" w:eastAsia="仿宋" w:cs="仿宋"/>
                <w:color w:val="000000"/>
                <w:sz w:val="20"/>
                <w:szCs w:val="21"/>
              </w:rPr>
            </w:pPr>
          </w:p>
        </w:tc>
        <w:tc>
          <w:tcPr>
            <w:tcW w:w="832" w:type="dxa"/>
            <w:noWrap w:val="0"/>
            <w:vAlign w:val="center"/>
          </w:tcPr>
          <w:p w14:paraId="6577818E">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100分</w:t>
            </w:r>
          </w:p>
        </w:tc>
        <w:tc>
          <w:tcPr>
            <w:tcW w:w="873" w:type="dxa"/>
            <w:noWrap w:val="0"/>
            <w:vAlign w:val="center"/>
          </w:tcPr>
          <w:p w14:paraId="1F133836">
            <w:pPr>
              <w:widowControl/>
              <w:spacing w:line="336" w:lineRule="auto"/>
              <w:jc w:val="left"/>
              <w:rPr>
                <w:rFonts w:hint="eastAsia" w:ascii="仿宋" w:hAnsi="仿宋" w:eastAsia="仿宋" w:cs="仿宋"/>
                <w:color w:val="000000"/>
                <w:sz w:val="20"/>
                <w:szCs w:val="21"/>
              </w:rPr>
            </w:pPr>
          </w:p>
        </w:tc>
      </w:tr>
    </w:tbl>
    <w:p w14:paraId="62A378EB">
      <w:pPr>
        <w:widowControl/>
        <w:numPr>
          <w:ilvl w:val="0"/>
          <w:numId w:val="0"/>
        </w:numPr>
        <w:spacing w:line="288" w:lineRule="auto"/>
        <w:ind w:firstLine="241" w:firstLineChars="100"/>
        <w:jc w:val="left"/>
        <w:rPr>
          <w:rFonts w:hint="eastAsia" w:ascii="仿宋" w:hAnsi="仿宋" w:eastAsia="仿宋" w:cs="仿宋"/>
          <w:b/>
          <w:bCs/>
          <w:sz w:val="24"/>
          <w:szCs w:val="24"/>
          <w:highlight w:val="yellow"/>
          <w:lang w:val="en-US" w:eastAsia="zh-CN" w:bidi="zh-CN"/>
        </w:rPr>
      </w:pPr>
    </w:p>
    <w:p w14:paraId="7489EF59">
      <w:pPr>
        <w:pStyle w:val="2"/>
        <w:rPr>
          <w:rFonts w:hint="eastAsia"/>
          <w:lang w:val="en-US" w:eastAsia="zh-CN"/>
        </w:rPr>
      </w:pPr>
    </w:p>
    <w:tbl>
      <w:tblPr>
        <w:tblStyle w:val="40"/>
        <w:tblW w:w="9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134"/>
        <w:gridCol w:w="6503"/>
        <w:gridCol w:w="832"/>
        <w:gridCol w:w="832"/>
      </w:tblGrid>
      <w:tr w14:paraId="313A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blHeader/>
          <w:jc w:val="center"/>
        </w:trPr>
        <w:tc>
          <w:tcPr>
            <w:tcW w:w="697" w:type="dxa"/>
            <w:noWrap w:val="0"/>
            <w:vAlign w:val="center"/>
          </w:tcPr>
          <w:p w14:paraId="79BEFF85">
            <w:pPr>
              <w:widowControl/>
              <w:spacing w:line="336" w:lineRule="auto"/>
              <w:jc w:val="center"/>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序号</w:t>
            </w:r>
          </w:p>
        </w:tc>
        <w:tc>
          <w:tcPr>
            <w:tcW w:w="1134" w:type="dxa"/>
            <w:noWrap w:val="0"/>
            <w:vAlign w:val="center"/>
          </w:tcPr>
          <w:p w14:paraId="6DC6CF42">
            <w:pPr>
              <w:widowControl/>
              <w:spacing w:line="336" w:lineRule="auto"/>
              <w:jc w:val="center"/>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评分因素</w:t>
            </w:r>
          </w:p>
        </w:tc>
        <w:tc>
          <w:tcPr>
            <w:tcW w:w="6503" w:type="dxa"/>
            <w:noWrap w:val="0"/>
            <w:vAlign w:val="center"/>
          </w:tcPr>
          <w:p w14:paraId="5535ADC3">
            <w:pPr>
              <w:widowControl/>
              <w:spacing w:line="336" w:lineRule="auto"/>
              <w:jc w:val="center"/>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分包</w:t>
            </w:r>
            <w:r>
              <w:rPr>
                <w:rFonts w:hint="eastAsia" w:ascii="仿宋" w:hAnsi="仿宋" w:eastAsia="仿宋" w:cs="仿宋"/>
                <w:b/>
                <w:color w:val="000000"/>
                <w:sz w:val="20"/>
                <w:szCs w:val="21"/>
                <w:highlight w:val="none"/>
                <w:lang w:val="en-US" w:eastAsia="zh-CN"/>
              </w:rPr>
              <w:t>4</w:t>
            </w:r>
            <w:r>
              <w:rPr>
                <w:rFonts w:hint="eastAsia" w:ascii="仿宋" w:hAnsi="仿宋" w:eastAsia="仿宋" w:cs="仿宋"/>
                <w:b/>
                <w:color w:val="000000"/>
                <w:sz w:val="20"/>
                <w:szCs w:val="21"/>
                <w:highlight w:val="none"/>
              </w:rPr>
              <w:t>（智力康复服务机构）评分标准</w:t>
            </w:r>
          </w:p>
        </w:tc>
        <w:tc>
          <w:tcPr>
            <w:tcW w:w="832" w:type="dxa"/>
            <w:noWrap w:val="0"/>
            <w:vAlign w:val="center"/>
          </w:tcPr>
          <w:p w14:paraId="1865CFF1">
            <w:pPr>
              <w:widowControl/>
              <w:spacing w:line="336" w:lineRule="auto"/>
              <w:jc w:val="center"/>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分值</w:t>
            </w:r>
          </w:p>
        </w:tc>
        <w:tc>
          <w:tcPr>
            <w:tcW w:w="832" w:type="dxa"/>
            <w:noWrap w:val="0"/>
            <w:vAlign w:val="center"/>
          </w:tcPr>
          <w:p w14:paraId="46629FDD">
            <w:pPr>
              <w:widowControl/>
              <w:spacing w:line="336" w:lineRule="auto"/>
              <w:jc w:val="center"/>
              <w:rPr>
                <w:rFonts w:hint="eastAsia" w:ascii="仿宋" w:hAnsi="仿宋" w:eastAsia="仿宋" w:cs="仿宋"/>
                <w:b/>
                <w:color w:val="000000"/>
                <w:sz w:val="20"/>
                <w:szCs w:val="21"/>
                <w:highlight w:val="none"/>
                <w:lang w:val="en-US" w:eastAsia="zh-CN"/>
              </w:rPr>
            </w:pPr>
            <w:r>
              <w:rPr>
                <w:rFonts w:hint="eastAsia" w:ascii="仿宋" w:hAnsi="仿宋" w:eastAsia="仿宋" w:cs="仿宋"/>
                <w:b/>
                <w:color w:val="000000"/>
                <w:sz w:val="20"/>
                <w:szCs w:val="21"/>
                <w:highlight w:val="none"/>
                <w:lang w:val="en-US" w:eastAsia="zh-CN"/>
              </w:rPr>
              <w:t>备注</w:t>
            </w:r>
          </w:p>
        </w:tc>
      </w:tr>
      <w:tr w14:paraId="7A8F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blHeader/>
          <w:jc w:val="center"/>
        </w:trPr>
        <w:tc>
          <w:tcPr>
            <w:tcW w:w="697" w:type="dxa"/>
            <w:noWrap w:val="0"/>
            <w:vAlign w:val="center"/>
          </w:tcPr>
          <w:p w14:paraId="26CE6B9C">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1.1</w:t>
            </w:r>
          </w:p>
        </w:tc>
        <w:tc>
          <w:tcPr>
            <w:tcW w:w="1134" w:type="dxa"/>
            <w:vMerge w:val="restart"/>
            <w:noWrap w:val="0"/>
            <w:vAlign w:val="center"/>
          </w:tcPr>
          <w:p w14:paraId="2D8B6796">
            <w:pPr>
              <w:widowControl/>
              <w:jc w:val="left"/>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rPr>
              <w:t>服务内容</w:t>
            </w:r>
            <w:r>
              <w:rPr>
                <w:rFonts w:hint="eastAsia" w:ascii="仿宋" w:hAnsi="仿宋" w:eastAsia="仿宋" w:cs="仿宋"/>
                <w:color w:val="000000"/>
                <w:sz w:val="20"/>
                <w:szCs w:val="21"/>
                <w:highlight w:val="none"/>
                <w:lang w:eastAsia="zh-CN"/>
              </w:rPr>
              <w:t>（</w:t>
            </w:r>
            <w:r>
              <w:rPr>
                <w:rFonts w:hint="eastAsia" w:ascii="仿宋" w:hAnsi="仿宋" w:eastAsia="仿宋" w:cs="仿宋"/>
                <w:color w:val="000000"/>
                <w:sz w:val="20"/>
                <w:szCs w:val="21"/>
                <w:highlight w:val="none"/>
                <w:lang w:val="en-US" w:eastAsia="zh-CN"/>
              </w:rPr>
              <w:t>54分</w:t>
            </w:r>
            <w:r>
              <w:rPr>
                <w:rFonts w:hint="eastAsia" w:ascii="仿宋" w:hAnsi="仿宋" w:eastAsia="仿宋" w:cs="仿宋"/>
                <w:color w:val="000000"/>
                <w:sz w:val="20"/>
                <w:szCs w:val="21"/>
                <w:highlight w:val="none"/>
                <w:lang w:eastAsia="zh-CN"/>
              </w:rPr>
              <w:t>）</w:t>
            </w:r>
          </w:p>
        </w:tc>
        <w:tc>
          <w:tcPr>
            <w:tcW w:w="6503" w:type="dxa"/>
            <w:noWrap w:val="0"/>
            <w:vAlign w:val="center"/>
          </w:tcPr>
          <w:p w14:paraId="35F83D42">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评委根据供应商提供的服务方案（包括评估和诊断、康复计划、康复训练记录、康复评估和小结等）进行综合评分：</w:t>
            </w:r>
          </w:p>
          <w:p w14:paraId="2FD630B6">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（1）方案全面完整，科学合理，保障措施有力，时效性、可操作性强，得10分；</w:t>
            </w:r>
          </w:p>
          <w:p w14:paraId="66622D80">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（2）方案内容较全面，较科学，较有效，可操作性较强，得7分；</w:t>
            </w:r>
          </w:p>
          <w:p w14:paraId="3AEFF062">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17282385">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（4）实施方案内容不完整，缺乏可操作性的得1分；</w:t>
            </w:r>
          </w:p>
          <w:p w14:paraId="21AD7C2B">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32" w:type="dxa"/>
            <w:noWrap w:val="0"/>
            <w:vAlign w:val="center"/>
          </w:tcPr>
          <w:p w14:paraId="1F663F65">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6FC162D6">
            <w:pPr>
              <w:widowControl/>
              <w:spacing w:line="336" w:lineRule="auto"/>
              <w:jc w:val="center"/>
              <w:rPr>
                <w:rFonts w:hint="eastAsia" w:ascii="仿宋" w:hAnsi="仿宋" w:eastAsia="仿宋" w:cs="仿宋"/>
                <w:color w:val="000000"/>
                <w:sz w:val="20"/>
                <w:szCs w:val="21"/>
                <w:highlight w:val="none"/>
                <w:lang w:val="en-US" w:eastAsia="zh-CN"/>
              </w:rPr>
            </w:pPr>
            <w:r>
              <w:rPr>
                <w:rFonts w:hint="eastAsia" w:ascii="仿宋" w:hAnsi="仿宋" w:eastAsia="仿宋" w:cs="仿宋"/>
                <w:color w:val="000000"/>
                <w:sz w:val="20"/>
                <w:szCs w:val="21"/>
                <w:highlight w:val="none"/>
                <w:lang w:val="en-US" w:eastAsia="zh-CN"/>
              </w:rPr>
              <w:t>主观分</w:t>
            </w:r>
          </w:p>
        </w:tc>
      </w:tr>
      <w:tr w14:paraId="54203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6248CEA1">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1.2</w:t>
            </w:r>
          </w:p>
        </w:tc>
        <w:tc>
          <w:tcPr>
            <w:tcW w:w="1134" w:type="dxa"/>
            <w:vMerge w:val="continue"/>
            <w:noWrap w:val="0"/>
            <w:vAlign w:val="center"/>
          </w:tcPr>
          <w:p w14:paraId="798B715E">
            <w:pPr>
              <w:widowControl/>
              <w:jc w:val="left"/>
              <w:rPr>
                <w:rFonts w:hint="eastAsia" w:ascii="仿宋" w:hAnsi="仿宋" w:eastAsia="仿宋" w:cs="仿宋"/>
                <w:color w:val="000000"/>
                <w:sz w:val="20"/>
                <w:szCs w:val="21"/>
                <w:highlight w:val="none"/>
              </w:rPr>
            </w:pPr>
          </w:p>
        </w:tc>
        <w:tc>
          <w:tcPr>
            <w:tcW w:w="6503" w:type="dxa"/>
            <w:noWrap w:val="0"/>
            <w:vAlign w:val="center"/>
          </w:tcPr>
          <w:p w14:paraId="60EB0D10">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评委根据供应商提供的培训方案（包括康复专业人员培训、专家指导、家长培训等）进行综合评分：</w:t>
            </w:r>
          </w:p>
          <w:p w14:paraId="10FC32E1">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（1）方案全面完整，科学合理，保障措施有力，时效性、可操作性强，得10分；</w:t>
            </w:r>
          </w:p>
          <w:p w14:paraId="3535D636">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（2）方案内容较全面，较科学，较有效，可操作性较强，得7分；</w:t>
            </w:r>
          </w:p>
          <w:p w14:paraId="142EA3B0">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43024E7D">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（4）实施方案内容不完整，缺乏可操作性的得1分；</w:t>
            </w:r>
          </w:p>
          <w:p w14:paraId="3D245EF0">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32" w:type="dxa"/>
            <w:noWrap w:val="0"/>
            <w:vAlign w:val="center"/>
          </w:tcPr>
          <w:p w14:paraId="27B5030B">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32EBC7D0">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31121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53F12163">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1.3</w:t>
            </w:r>
          </w:p>
        </w:tc>
        <w:tc>
          <w:tcPr>
            <w:tcW w:w="1134" w:type="dxa"/>
            <w:vMerge w:val="continue"/>
            <w:noWrap w:val="0"/>
            <w:vAlign w:val="center"/>
          </w:tcPr>
          <w:p w14:paraId="57525D8F">
            <w:pPr>
              <w:widowControl/>
              <w:jc w:val="left"/>
              <w:rPr>
                <w:rFonts w:hint="eastAsia" w:ascii="仿宋" w:hAnsi="仿宋" w:eastAsia="仿宋" w:cs="仿宋"/>
                <w:color w:val="000000"/>
                <w:sz w:val="20"/>
                <w:szCs w:val="21"/>
                <w:highlight w:val="none"/>
              </w:rPr>
            </w:pPr>
          </w:p>
        </w:tc>
        <w:tc>
          <w:tcPr>
            <w:tcW w:w="6503" w:type="dxa"/>
            <w:noWrap w:val="0"/>
            <w:vAlign w:val="center"/>
          </w:tcPr>
          <w:p w14:paraId="7BAAA83E">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评委根据供应商提供的业务指导方案（包括</w:t>
            </w:r>
            <w:r>
              <w:rPr>
                <w:rFonts w:hint="eastAsia" w:ascii="仿宋" w:hAnsi="仿宋" w:eastAsia="仿宋" w:cs="仿宋"/>
                <w:sz w:val="20"/>
                <w:szCs w:val="21"/>
                <w:highlight w:val="none"/>
              </w:rPr>
              <w:t>儿童转介或跟踪服务、社区家庭康复延伸、公益宣教活动</w:t>
            </w:r>
            <w:r>
              <w:rPr>
                <w:rFonts w:hint="eastAsia" w:ascii="仿宋" w:hAnsi="仿宋" w:eastAsia="仿宋" w:cs="仿宋"/>
                <w:color w:val="000000"/>
                <w:sz w:val="20"/>
                <w:szCs w:val="21"/>
                <w:highlight w:val="none"/>
              </w:rPr>
              <w:t>等）进行综合评分：</w:t>
            </w:r>
          </w:p>
          <w:p w14:paraId="58C21848">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（1）方案内容全面，科学有效，可操作性强，得10分；</w:t>
            </w:r>
          </w:p>
          <w:p w14:paraId="45F5AA74">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7 分；</w:t>
            </w:r>
          </w:p>
          <w:p w14:paraId="1F3A1E48">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2D652914">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（4）方案内容不完整，缺乏可操作性的得1分；</w:t>
            </w:r>
          </w:p>
          <w:p w14:paraId="03C83CA6">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32" w:type="dxa"/>
            <w:noWrap w:val="0"/>
            <w:vAlign w:val="center"/>
          </w:tcPr>
          <w:p w14:paraId="14832533">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36F94D47">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16C1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5876A76F">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1.4</w:t>
            </w:r>
          </w:p>
        </w:tc>
        <w:tc>
          <w:tcPr>
            <w:tcW w:w="1134" w:type="dxa"/>
            <w:vMerge w:val="continue"/>
            <w:noWrap w:val="0"/>
            <w:vAlign w:val="center"/>
          </w:tcPr>
          <w:p w14:paraId="5F6C2A4A">
            <w:pPr>
              <w:widowControl/>
              <w:jc w:val="left"/>
              <w:rPr>
                <w:rFonts w:hint="eastAsia" w:ascii="仿宋" w:hAnsi="仿宋" w:eastAsia="仿宋" w:cs="仿宋"/>
                <w:color w:val="000000"/>
                <w:sz w:val="20"/>
                <w:szCs w:val="21"/>
                <w:highlight w:val="none"/>
              </w:rPr>
            </w:pPr>
          </w:p>
        </w:tc>
        <w:tc>
          <w:tcPr>
            <w:tcW w:w="6503" w:type="dxa"/>
            <w:noWrap w:val="0"/>
            <w:vAlign w:val="center"/>
          </w:tcPr>
          <w:p w14:paraId="1098C829">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评委根据供应商提供的质量保证方案（包括</w:t>
            </w:r>
            <w:r>
              <w:rPr>
                <w:rFonts w:hint="eastAsia" w:ascii="仿宋" w:hAnsi="仿宋" w:eastAsia="仿宋" w:cs="仿宋"/>
                <w:sz w:val="20"/>
                <w:szCs w:val="21"/>
                <w:highlight w:val="none"/>
              </w:rPr>
              <w:t>儿童康复评估、康复训练建档率、</w:t>
            </w:r>
            <w:r>
              <w:rPr>
                <w:rFonts w:hint="eastAsia" w:ascii="仿宋" w:hAnsi="仿宋" w:eastAsia="仿宋" w:cs="仿宋"/>
                <w:color w:val="000000"/>
                <w:sz w:val="20"/>
                <w:szCs w:val="21"/>
                <w:highlight w:val="none"/>
              </w:rPr>
              <w:t>家长满意率、</w:t>
            </w:r>
            <w:r>
              <w:rPr>
                <w:rFonts w:hint="eastAsia" w:ascii="仿宋" w:hAnsi="仿宋" w:eastAsia="仿宋" w:cs="仿宋"/>
                <w:sz w:val="20"/>
                <w:szCs w:val="21"/>
                <w:highlight w:val="none"/>
              </w:rPr>
              <w:t>社会融合活动</w:t>
            </w:r>
            <w:r>
              <w:rPr>
                <w:rFonts w:hint="eastAsia" w:ascii="仿宋" w:hAnsi="仿宋" w:eastAsia="仿宋" w:cs="仿宋"/>
                <w:color w:val="000000"/>
                <w:sz w:val="20"/>
                <w:szCs w:val="21"/>
                <w:highlight w:val="none"/>
              </w:rPr>
              <w:t>等）进行综合评分：</w:t>
            </w:r>
          </w:p>
          <w:p w14:paraId="71B8A728">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（1）方案内容全面，科学有效，可操作性强，得10分；</w:t>
            </w:r>
          </w:p>
          <w:p w14:paraId="6341F7BC">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7 分；</w:t>
            </w:r>
          </w:p>
          <w:p w14:paraId="0F82C01F">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（3）方案内容全面性、科学性、有效性有欠缺，可操作性不强，得 4分；</w:t>
            </w:r>
          </w:p>
          <w:p w14:paraId="6E7F1BB0">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（4）方案内容不完整，缺乏可操作性的得1分；</w:t>
            </w:r>
          </w:p>
          <w:p w14:paraId="272772CD">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（5）其他或未提供的不得分</w:t>
            </w:r>
          </w:p>
        </w:tc>
        <w:tc>
          <w:tcPr>
            <w:tcW w:w="832" w:type="dxa"/>
            <w:noWrap w:val="0"/>
            <w:vAlign w:val="center"/>
          </w:tcPr>
          <w:p w14:paraId="51F79390">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782E083B">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2A3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0B9F57E3">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1.5</w:t>
            </w:r>
          </w:p>
        </w:tc>
        <w:tc>
          <w:tcPr>
            <w:tcW w:w="1134" w:type="dxa"/>
            <w:vMerge w:val="continue"/>
            <w:noWrap w:val="0"/>
            <w:vAlign w:val="center"/>
          </w:tcPr>
          <w:p w14:paraId="7459965A">
            <w:pPr>
              <w:widowControl/>
              <w:spacing w:line="336" w:lineRule="auto"/>
              <w:jc w:val="left"/>
              <w:rPr>
                <w:rFonts w:hint="eastAsia" w:ascii="仿宋" w:hAnsi="仿宋" w:eastAsia="仿宋" w:cs="仿宋"/>
                <w:color w:val="000000"/>
                <w:sz w:val="20"/>
                <w:szCs w:val="21"/>
                <w:highlight w:val="none"/>
              </w:rPr>
            </w:pPr>
          </w:p>
        </w:tc>
        <w:tc>
          <w:tcPr>
            <w:tcW w:w="6503" w:type="dxa"/>
            <w:noWrap w:val="0"/>
            <w:vAlign w:val="center"/>
          </w:tcPr>
          <w:p w14:paraId="041D9416">
            <w:pPr>
              <w:widowControl/>
              <w:jc w:val="left"/>
              <w:rPr>
                <w:rFonts w:hint="eastAsia" w:ascii="仿宋" w:hAnsi="仿宋" w:eastAsia="仿宋" w:cs="仿宋"/>
                <w:color w:val="000000"/>
                <w:sz w:val="20"/>
                <w:szCs w:val="21"/>
                <w:highlight w:val="none"/>
              </w:rPr>
            </w:pPr>
            <w:r>
              <w:rPr>
                <w:rFonts w:hint="eastAsia" w:ascii="仿宋" w:hAnsi="仿宋" w:eastAsia="仿宋" w:cs="仿宋"/>
                <w:sz w:val="20"/>
                <w:szCs w:val="21"/>
                <w:highlight w:val="none"/>
                <w:lang w:bidi="zh-CN"/>
              </w:rPr>
              <w:t>评委</w:t>
            </w:r>
            <w:r>
              <w:rPr>
                <w:rFonts w:hint="eastAsia" w:ascii="仿宋" w:hAnsi="仿宋" w:eastAsia="仿宋" w:cs="仿宋"/>
                <w:sz w:val="20"/>
                <w:szCs w:val="21"/>
                <w:highlight w:val="none"/>
                <w:lang w:val="zh-CN" w:bidi="zh-CN"/>
              </w:rPr>
              <w:t>根据</w:t>
            </w:r>
            <w:r>
              <w:rPr>
                <w:rFonts w:hint="eastAsia" w:ascii="仿宋" w:hAnsi="仿宋" w:eastAsia="仿宋" w:cs="仿宋"/>
                <w:sz w:val="20"/>
                <w:szCs w:val="21"/>
                <w:highlight w:val="none"/>
                <w:lang w:bidi="zh-CN"/>
              </w:rPr>
              <w:t>供</w:t>
            </w:r>
            <w:r>
              <w:rPr>
                <w:rFonts w:hint="eastAsia" w:ascii="仿宋" w:hAnsi="仿宋" w:eastAsia="仿宋" w:cs="仿宋"/>
                <w:color w:val="000000"/>
                <w:sz w:val="20"/>
                <w:szCs w:val="21"/>
                <w:highlight w:val="none"/>
              </w:rPr>
              <w:t>应商提供的突发事件应急处置预案 （包括灾害防范措施、应急预案、消防演练、应急处理等）进行综合评分：</w:t>
            </w:r>
          </w:p>
          <w:p w14:paraId="70B7A6A5">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（1）预案内容考虑全面，处置应对措施科学有效，可操作性强，得10分；</w:t>
            </w:r>
          </w:p>
          <w:p w14:paraId="3F2E683A">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（2）预案内容考虑较全面，处置应对措施较科学，较有效，可操作性较强，得7分；</w:t>
            </w:r>
          </w:p>
          <w:p w14:paraId="130BD1C5">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（3）预案内容不全面，处置应对措施科学性、有效性有欠缺，可操作性不强，得4分；</w:t>
            </w:r>
          </w:p>
          <w:p w14:paraId="1B9FC69B">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（4）预案内容不完整，缺乏可操作性的得1分；</w:t>
            </w:r>
          </w:p>
          <w:p w14:paraId="681CB4DF">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（5）预案不符合服务要求或未提供方案的不得分。</w:t>
            </w:r>
          </w:p>
        </w:tc>
        <w:tc>
          <w:tcPr>
            <w:tcW w:w="832" w:type="dxa"/>
            <w:noWrap w:val="0"/>
            <w:vAlign w:val="center"/>
          </w:tcPr>
          <w:p w14:paraId="2DA6FC2B">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4C800933">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0205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44F2D111">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1.6</w:t>
            </w:r>
          </w:p>
        </w:tc>
        <w:tc>
          <w:tcPr>
            <w:tcW w:w="1134" w:type="dxa"/>
            <w:vMerge w:val="continue"/>
            <w:noWrap w:val="0"/>
            <w:vAlign w:val="center"/>
          </w:tcPr>
          <w:p w14:paraId="53F4B894">
            <w:pPr>
              <w:widowControl/>
              <w:spacing w:line="336" w:lineRule="auto"/>
              <w:jc w:val="left"/>
              <w:rPr>
                <w:rFonts w:hint="eastAsia" w:ascii="仿宋" w:hAnsi="仿宋" w:eastAsia="仿宋" w:cs="仿宋"/>
                <w:color w:val="000000"/>
                <w:sz w:val="20"/>
                <w:szCs w:val="21"/>
                <w:highlight w:val="none"/>
              </w:rPr>
            </w:pPr>
          </w:p>
        </w:tc>
        <w:tc>
          <w:tcPr>
            <w:tcW w:w="6503" w:type="dxa"/>
            <w:noWrap w:val="0"/>
            <w:vAlign w:val="center"/>
          </w:tcPr>
          <w:p w14:paraId="1B3888FF">
            <w:pPr>
              <w:widowControl/>
              <w:jc w:val="left"/>
              <w:rPr>
                <w:rFonts w:hint="eastAsia" w:ascii="仿宋" w:hAnsi="仿宋" w:eastAsia="仿宋" w:cs="仿宋"/>
                <w:color w:val="000000"/>
                <w:sz w:val="20"/>
                <w:szCs w:val="21"/>
                <w:highlight w:val="none"/>
              </w:rPr>
            </w:pPr>
            <w:r>
              <w:rPr>
                <w:rFonts w:hint="eastAsia" w:ascii="仿宋" w:hAnsi="仿宋" w:eastAsia="仿宋" w:cs="仿宋"/>
                <w:sz w:val="20"/>
                <w:szCs w:val="21"/>
                <w:highlight w:val="none"/>
                <w:lang w:bidi="zh-CN"/>
              </w:rPr>
              <w:t>评委</w:t>
            </w:r>
            <w:r>
              <w:rPr>
                <w:rFonts w:hint="eastAsia" w:ascii="仿宋" w:hAnsi="仿宋" w:eastAsia="仿宋" w:cs="仿宋"/>
                <w:sz w:val="20"/>
                <w:szCs w:val="21"/>
                <w:highlight w:val="none"/>
                <w:lang w:val="zh-CN" w:bidi="zh-CN"/>
              </w:rPr>
              <w:t>根据</w:t>
            </w:r>
            <w:r>
              <w:rPr>
                <w:rFonts w:hint="eastAsia" w:ascii="仿宋" w:hAnsi="仿宋" w:eastAsia="仿宋" w:cs="仿宋"/>
                <w:sz w:val="20"/>
                <w:szCs w:val="21"/>
                <w:highlight w:val="none"/>
                <w:lang w:bidi="zh-CN"/>
              </w:rPr>
              <w:t>供</w:t>
            </w:r>
            <w:r>
              <w:rPr>
                <w:rFonts w:hint="eastAsia" w:ascii="仿宋" w:hAnsi="仿宋" w:eastAsia="仿宋" w:cs="仿宋"/>
                <w:color w:val="000000"/>
                <w:sz w:val="20"/>
                <w:szCs w:val="21"/>
                <w:highlight w:val="none"/>
              </w:rPr>
              <w:t>应商提供的</w:t>
            </w:r>
            <w:r>
              <w:rPr>
                <w:rFonts w:hint="eastAsia" w:ascii="仿宋" w:hAnsi="仿宋" w:eastAsia="仿宋" w:cs="仿宋"/>
                <w:b/>
                <w:sz w:val="20"/>
                <w:szCs w:val="21"/>
                <w:highlight w:val="none"/>
                <w:lang w:bidi="zh-CN"/>
              </w:rPr>
              <w:t>安全保障方</w:t>
            </w:r>
            <w:r>
              <w:rPr>
                <w:rFonts w:hint="eastAsia" w:ascii="仿宋" w:hAnsi="仿宋" w:eastAsia="仿宋" w:cs="仿宋"/>
                <w:color w:val="000000"/>
                <w:sz w:val="20"/>
                <w:szCs w:val="21"/>
                <w:highlight w:val="none"/>
              </w:rPr>
              <w:t>案 （包括安全培训、安全巡检、安全教育、安全监督管理等）进行综合评分：</w:t>
            </w:r>
          </w:p>
          <w:p w14:paraId="67E62754">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（1）方案内容全面，科学有效，可操作性强，得4分；</w:t>
            </w:r>
          </w:p>
          <w:p w14:paraId="76873F3A">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（2）方案内容较全面，较科学，较有效，可操作性较强，得 2 分；</w:t>
            </w:r>
          </w:p>
          <w:p w14:paraId="61D7BDD3">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（3）方案内容不完整，缺乏可操作性的得1分；</w:t>
            </w:r>
          </w:p>
          <w:p w14:paraId="6F9940E6">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（4）其他或未提供的不得分</w:t>
            </w:r>
          </w:p>
        </w:tc>
        <w:tc>
          <w:tcPr>
            <w:tcW w:w="832" w:type="dxa"/>
            <w:noWrap w:val="0"/>
            <w:vAlign w:val="center"/>
          </w:tcPr>
          <w:p w14:paraId="080FB8B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4</w:t>
            </w:r>
          </w:p>
        </w:tc>
        <w:tc>
          <w:tcPr>
            <w:tcW w:w="832" w:type="dxa"/>
            <w:noWrap w:val="0"/>
            <w:vAlign w:val="center"/>
          </w:tcPr>
          <w:p w14:paraId="5DA514E3">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主观分</w:t>
            </w:r>
          </w:p>
        </w:tc>
      </w:tr>
      <w:tr w14:paraId="2ACF7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5AE59041">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2.1</w:t>
            </w:r>
          </w:p>
        </w:tc>
        <w:tc>
          <w:tcPr>
            <w:tcW w:w="1134" w:type="dxa"/>
            <w:vMerge w:val="restart"/>
            <w:noWrap w:val="0"/>
            <w:vAlign w:val="center"/>
          </w:tcPr>
          <w:p w14:paraId="1D789790">
            <w:pPr>
              <w:ind w:left="120"/>
              <w:rPr>
                <w:rFonts w:hint="eastAsia" w:ascii="仿宋" w:hAnsi="仿宋" w:eastAsia="仿宋" w:cs="仿宋"/>
                <w:sz w:val="21"/>
                <w:szCs w:val="21"/>
                <w:highlight w:val="none"/>
                <w:lang w:val="zh-CN" w:eastAsia="zh-CN" w:bidi="zh-CN"/>
              </w:rPr>
            </w:pPr>
            <w:r>
              <w:rPr>
                <w:rFonts w:hint="eastAsia" w:ascii="仿宋" w:hAnsi="仿宋" w:eastAsia="仿宋" w:cs="仿宋"/>
                <w:sz w:val="21"/>
                <w:szCs w:val="21"/>
                <w:highlight w:val="none"/>
                <w:lang w:val="zh-CN" w:eastAsia="zh-CN" w:bidi="zh-CN"/>
              </w:rPr>
              <w:t>服务水平（</w:t>
            </w:r>
            <w:r>
              <w:rPr>
                <w:rFonts w:hint="eastAsia" w:ascii="仿宋" w:hAnsi="仿宋" w:eastAsia="仿宋" w:cs="仿宋"/>
                <w:sz w:val="21"/>
                <w:szCs w:val="21"/>
                <w:highlight w:val="none"/>
                <w:lang w:val="en-US" w:eastAsia="zh-CN" w:bidi="zh-CN"/>
              </w:rPr>
              <w:t>33分</w:t>
            </w:r>
            <w:r>
              <w:rPr>
                <w:rFonts w:hint="eastAsia" w:ascii="仿宋" w:hAnsi="仿宋" w:eastAsia="仿宋" w:cs="仿宋"/>
                <w:sz w:val="21"/>
                <w:szCs w:val="21"/>
                <w:highlight w:val="none"/>
                <w:lang w:val="zh-CN" w:eastAsia="zh-CN" w:bidi="zh-CN"/>
              </w:rPr>
              <w:t>）</w:t>
            </w:r>
          </w:p>
        </w:tc>
        <w:tc>
          <w:tcPr>
            <w:tcW w:w="6503" w:type="dxa"/>
            <w:noWrap w:val="0"/>
            <w:vAlign w:val="center"/>
          </w:tcPr>
          <w:p w14:paraId="1923B7E2">
            <w:pPr>
              <w:widowControl/>
              <w:jc w:val="left"/>
              <w:rPr>
                <w:rFonts w:hint="eastAsia" w:ascii="仿宋" w:hAnsi="仿宋" w:eastAsia="仿宋" w:cs="仿宋"/>
                <w:color w:val="000000"/>
                <w:sz w:val="20"/>
                <w:szCs w:val="21"/>
                <w:highlight w:val="none"/>
              </w:rPr>
            </w:pPr>
            <w:r>
              <w:rPr>
                <w:rFonts w:hint="eastAsia" w:ascii="仿宋" w:hAnsi="仿宋" w:eastAsia="仿宋" w:cs="仿宋"/>
                <w:sz w:val="20"/>
                <w:szCs w:val="20"/>
                <w:highlight w:val="none"/>
              </w:rPr>
              <w:t>评委根据供应商提供的团队人员配置进行综合评分：</w:t>
            </w:r>
            <w:r>
              <w:rPr>
                <w:rFonts w:hint="eastAsia" w:ascii="仿宋" w:hAnsi="仿宋" w:eastAsia="仿宋" w:cs="仿宋"/>
                <w:sz w:val="20"/>
                <w:szCs w:val="20"/>
                <w:highlight w:val="none"/>
              </w:rPr>
              <w:br w:type="textWrapping" w:clear="all"/>
            </w:r>
            <w:r>
              <w:rPr>
                <w:rFonts w:hint="eastAsia" w:ascii="仿宋" w:hAnsi="仿宋" w:eastAsia="仿宋" w:cs="仿宋"/>
                <w:b/>
                <w:bCs/>
                <w:color w:val="000000"/>
                <w:sz w:val="20"/>
                <w:szCs w:val="21"/>
                <w:highlight w:val="none"/>
              </w:rPr>
              <w:t>1.专业技术人员除项目负责人外（10分）</w:t>
            </w:r>
          </w:p>
          <w:p w14:paraId="37576C02">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①个训教师数量需达到3人，每增加1人加0.5分，最高得3分；</w:t>
            </w:r>
          </w:p>
          <w:p w14:paraId="435AB88F">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②具有5年及以上康复工作经验，有1人加1分，最高得3分；</w:t>
            </w:r>
          </w:p>
          <w:p w14:paraId="286EB085">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③取得康复服务相关专业中级职称的，有1人得0.5分；取得康复服务相关专业高级职称的，有1人得1分；最高得4分。</w:t>
            </w:r>
          </w:p>
          <w:p w14:paraId="32931091">
            <w:pPr>
              <w:widowControl/>
              <w:jc w:val="left"/>
              <w:rPr>
                <w:rFonts w:hint="eastAsia" w:ascii="仿宋" w:hAnsi="仿宋" w:eastAsia="仿宋" w:cs="仿宋"/>
                <w:b/>
                <w:bCs/>
                <w:color w:val="000000"/>
                <w:sz w:val="20"/>
                <w:szCs w:val="21"/>
                <w:highlight w:val="none"/>
              </w:rPr>
            </w:pPr>
            <w:r>
              <w:rPr>
                <w:rFonts w:hint="eastAsia" w:ascii="仿宋" w:hAnsi="仿宋" w:eastAsia="仿宋" w:cs="仿宋"/>
                <w:b/>
                <w:bCs/>
                <w:color w:val="000000"/>
                <w:sz w:val="20"/>
                <w:szCs w:val="21"/>
                <w:highlight w:val="none"/>
              </w:rPr>
              <w:t>2.项目负责人（2分）</w:t>
            </w:r>
          </w:p>
          <w:p w14:paraId="036781D1">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具有康复服务相关专业中级及以上职称的，得2分。</w:t>
            </w:r>
          </w:p>
          <w:p w14:paraId="4874424D">
            <w:pPr>
              <w:widowControl/>
              <w:jc w:val="left"/>
              <w:rPr>
                <w:rFonts w:hint="eastAsia" w:ascii="仿宋" w:hAnsi="仿宋" w:eastAsia="仿宋" w:cs="仿宋"/>
                <w:sz w:val="20"/>
                <w:szCs w:val="21"/>
                <w:highlight w:val="none"/>
              </w:rPr>
            </w:pPr>
            <w:r>
              <w:rPr>
                <w:rFonts w:hint="eastAsia" w:ascii="仿宋" w:hAnsi="仿宋" w:eastAsia="仿宋" w:cs="仿宋"/>
                <w:b/>
                <w:color w:val="000000"/>
                <w:sz w:val="20"/>
                <w:szCs w:val="21"/>
                <w:highlight w:val="none"/>
              </w:rPr>
              <w:t>注：根据供应商提供的专业技术人员的花名册（注明专业、工作经验等）进行综合评分。需提供个人专业技术证明，一人多证以最高职称为准。上述评分点中团队配置所有参与评分的人员均需提供202</w:t>
            </w:r>
            <w:r>
              <w:rPr>
                <w:rFonts w:hint="eastAsia" w:ascii="仿宋" w:hAnsi="仿宋" w:eastAsia="仿宋" w:cs="仿宋"/>
                <w:b/>
                <w:color w:val="000000"/>
                <w:sz w:val="20"/>
                <w:szCs w:val="21"/>
                <w:highlight w:val="none"/>
                <w:lang w:val="en-US" w:eastAsia="zh-CN"/>
              </w:rPr>
              <w:t>5</w:t>
            </w:r>
            <w:r>
              <w:rPr>
                <w:rFonts w:hint="eastAsia" w:ascii="仿宋" w:hAnsi="仿宋" w:eastAsia="仿宋" w:cs="仿宋"/>
                <w:b/>
                <w:color w:val="000000"/>
                <w:sz w:val="20"/>
                <w:szCs w:val="21"/>
                <w:highlight w:val="none"/>
              </w:rPr>
              <w:t>年01月以来任意1个月由供应商为其缴纳社保基金的证明材料（不包括返聘人员）。上述评分点证明资料不完整或不一致或不符合要求的不计分。</w:t>
            </w:r>
          </w:p>
        </w:tc>
        <w:tc>
          <w:tcPr>
            <w:tcW w:w="832" w:type="dxa"/>
            <w:noWrap w:val="0"/>
            <w:vAlign w:val="center"/>
          </w:tcPr>
          <w:p w14:paraId="03DCBB3C">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12</w:t>
            </w:r>
          </w:p>
        </w:tc>
        <w:tc>
          <w:tcPr>
            <w:tcW w:w="832" w:type="dxa"/>
            <w:noWrap w:val="0"/>
            <w:vAlign w:val="center"/>
          </w:tcPr>
          <w:p w14:paraId="79CB47E5">
            <w:pPr>
              <w:widowControl/>
              <w:spacing w:line="336" w:lineRule="auto"/>
              <w:jc w:val="center"/>
              <w:rPr>
                <w:rFonts w:hint="eastAsia" w:ascii="仿宋" w:hAnsi="仿宋" w:eastAsia="仿宋" w:cs="仿宋"/>
                <w:color w:val="000000"/>
                <w:sz w:val="20"/>
                <w:szCs w:val="21"/>
                <w:highlight w:val="none"/>
                <w:lang w:val="en-US" w:eastAsia="zh-CN"/>
              </w:rPr>
            </w:pPr>
            <w:r>
              <w:rPr>
                <w:rFonts w:hint="eastAsia" w:ascii="仿宋" w:hAnsi="仿宋" w:eastAsia="仿宋" w:cs="仿宋"/>
                <w:color w:val="000000"/>
                <w:sz w:val="20"/>
                <w:szCs w:val="21"/>
                <w:highlight w:val="none"/>
                <w:lang w:val="en-US" w:eastAsia="zh-CN"/>
              </w:rPr>
              <w:t>客观分</w:t>
            </w:r>
          </w:p>
        </w:tc>
      </w:tr>
      <w:tr w14:paraId="366D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33B89D65">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2.2</w:t>
            </w:r>
          </w:p>
        </w:tc>
        <w:tc>
          <w:tcPr>
            <w:tcW w:w="1134" w:type="dxa"/>
            <w:vMerge w:val="continue"/>
            <w:noWrap w:val="0"/>
            <w:vAlign w:val="center"/>
          </w:tcPr>
          <w:p w14:paraId="0DAF5836">
            <w:pPr>
              <w:widowControl/>
              <w:jc w:val="left"/>
              <w:rPr>
                <w:rFonts w:hint="eastAsia" w:ascii="仿宋" w:hAnsi="仿宋" w:eastAsia="仿宋" w:cs="仿宋"/>
                <w:b/>
                <w:spacing w:val="-3"/>
                <w:sz w:val="20"/>
                <w:szCs w:val="21"/>
                <w:highlight w:val="none"/>
                <w:lang w:val="zh-CN" w:bidi="zh-CN"/>
              </w:rPr>
            </w:pPr>
          </w:p>
        </w:tc>
        <w:tc>
          <w:tcPr>
            <w:tcW w:w="6503" w:type="dxa"/>
            <w:noWrap w:val="0"/>
            <w:vAlign w:val="center"/>
          </w:tcPr>
          <w:p w14:paraId="09684850">
            <w:pPr>
              <w:widowControl/>
              <w:jc w:val="left"/>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评委根据供应商提供的</w:t>
            </w:r>
            <w:r>
              <w:rPr>
                <w:rFonts w:hint="eastAsia" w:ascii="仿宋" w:hAnsi="仿宋" w:eastAsia="仿宋" w:cs="仿宋"/>
                <w:spacing w:val="-3"/>
                <w:sz w:val="20"/>
                <w:szCs w:val="21"/>
                <w:highlight w:val="none"/>
                <w:lang w:val="zh-CN" w:bidi="zh-CN"/>
              </w:rPr>
              <w:t>设施设备</w:t>
            </w:r>
            <w:r>
              <w:rPr>
                <w:rFonts w:hint="eastAsia" w:ascii="仿宋" w:hAnsi="仿宋" w:eastAsia="仿宋" w:cs="仿宋"/>
                <w:sz w:val="20"/>
                <w:szCs w:val="20"/>
                <w:highlight w:val="none"/>
              </w:rPr>
              <w:t>进行综合评分：</w:t>
            </w:r>
          </w:p>
          <w:p w14:paraId="01C490B2">
            <w:pPr>
              <w:widowControl/>
              <w:jc w:val="left"/>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1.场地设置（3分）</w:t>
            </w:r>
          </w:p>
          <w:p w14:paraId="4D28B7B9">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评委根据供应商提供的个训教室数量进行综合评分，</w:t>
            </w:r>
          </w:p>
          <w:p w14:paraId="3599D90C">
            <w:pPr>
              <w:widowControl/>
              <w:jc w:val="left"/>
              <w:rPr>
                <w:rFonts w:hint="eastAsia" w:ascii="仿宋" w:hAnsi="仿宋" w:eastAsia="仿宋" w:cs="仿宋"/>
                <w:sz w:val="20"/>
                <w:szCs w:val="21"/>
                <w:highlight w:val="none"/>
              </w:rPr>
            </w:pPr>
            <w:r>
              <w:rPr>
                <w:rFonts w:hint="eastAsia" w:ascii="仿宋" w:hAnsi="仿宋" w:eastAsia="仿宋" w:cs="仿宋"/>
                <w:sz w:val="20"/>
                <w:szCs w:val="21"/>
                <w:highlight w:val="none"/>
              </w:rPr>
              <w:t>个训室数量达到5间的得1分，每增加1间加1分，最多得3分，不满足要求不得分。</w:t>
            </w:r>
          </w:p>
          <w:p w14:paraId="10F60344">
            <w:pPr>
              <w:widowControl/>
              <w:jc w:val="left"/>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2.康复设备（3分）</w:t>
            </w:r>
          </w:p>
          <w:p w14:paraId="14E1DC6A">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评委根据供应商提供的设备情况进行综合评分：</w:t>
            </w:r>
          </w:p>
          <w:p w14:paraId="232FBE49">
            <w:pPr>
              <w:widowControl/>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满足康复训练设备数量下限（12种），每增加一种得1分，最多3分，</w:t>
            </w:r>
            <w:r>
              <w:rPr>
                <w:rFonts w:hint="eastAsia" w:ascii="仿宋" w:hAnsi="仿宋" w:eastAsia="仿宋" w:cs="仿宋"/>
                <w:color w:val="000000"/>
                <w:sz w:val="20"/>
                <w:szCs w:val="21"/>
                <w:highlight w:val="none"/>
              </w:rPr>
              <w:t>不满足要求不得分</w:t>
            </w:r>
            <w:r>
              <w:rPr>
                <w:rFonts w:hint="eastAsia" w:ascii="仿宋" w:hAnsi="仿宋" w:eastAsia="仿宋" w:cs="仿宋"/>
                <w:sz w:val="20"/>
                <w:szCs w:val="20"/>
                <w:highlight w:val="none"/>
              </w:rPr>
              <w:t>；</w:t>
            </w:r>
          </w:p>
          <w:p w14:paraId="6340BEC5">
            <w:pPr>
              <w:widowControl/>
              <w:jc w:val="left"/>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注：</w:t>
            </w:r>
            <w:r>
              <w:rPr>
                <w:rFonts w:hint="eastAsia" w:ascii="仿宋" w:hAnsi="仿宋" w:eastAsia="仿宋" w:cs="仿宋"/>
                <w:b/>
                <w:bCs/>
                <w:sz w:val="20"/>
                <w:szCs w:val="20"/>
                <w:highlight w:val="none"/>
              </w:rPr>
              <w:t>需提供完整的设施设备清单</w:t>
            </w:r>
            <w:r>
              <w:rPr>
                <w:rFonts w:hint="eastAsia" w:ascii="仿宋" w:hAnsi="仿宋" w:eastAsia="仿宋" w:cs="仿宋"/>
                <w:sz w:val="20"/>
                <w:szCs w:val="20"/>
                <w:highlight w:val="none"/>
              </w:rPr>
              <w:t>（需包括设备名称、数量、购置时间等）、</w:t>
            </w:r>
            <w:r>
              <w:rPr>
                <w:rFonts w:hint="eastAsia" w:ascii="仿宋" w:hAnsi="仿宋" w:eastAsia="仿宋" w:cs="仿宋"/>
                <w:b/>
                <w:bCs/>
                <w:sz w:val="20"/>
                <w:szCs w:val="20"/>
                <w:highlight w:val="none"/>
              </w:rPr>
              <w:t>设备购置发票及实物照片</w:t>
            </w:r>
            <w:r>
              <w:rPr>
                <w:rFonts w:hint="eastAsia" w:ascii="仿宋" w:hAnsi="仿宋" w:eastAsia="仿宋" w:cs="仿宋"/>
                <w:sz w:val="20"/>
                <w:szCs w:val="20"/>
                <w:highlight w:val="none"/>
              </w:rPr>
              <w:t>，上述证明材料缺项的不得分。证明材料与供应商名称不一致时需提供相关说明及证明材料，否则不得分。</w:t>
            </w:r>
          </w:p>
        </w:tc>
        <w:tc>
          <w:tcPr>
            <w:tcW w:w="832" w:type="dxa"/>
            <w:noWrap w:val="0"/>
            <w:vAlign w:val="center"/>
          </w:tcPr>
          <w:p w14:paraId="74046A74">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6</w:t>
            </w:r>
          </w:p>
        </w:tc>
        <w:tc>
          <w:tcPr>
            <w:tcW w:w="832" w:type="dxa"/>
            <w:noWrap w:val="0"/>
            <w:vAlign w:val="center"/>
          </w:tcPr>
          <w:p w14:paraId="2D3DCDE6">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2BAC4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2DB533B3">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2.3</w:t>
            </w:r>
          </w:p>
        </w:tc>
        <w:tc>
          <w:tcPr>
            <w:tcW w:w="1134" w:type="dxa"/>
            <w:vMerge w:val="continue"/>
            <w:noWrap w:val="0"/>
            <w:vAlign w:val="center"/>
          </w:tcPr>
          <w:p w14:paraId="54727461">
            <w:pPr>
              <w:widowControl/>
              <w:spacing w:line="336" w:lineRule="auto"/>
              <w:jc w:val="left"/>
              <w:rPr>
                <w:rFonts w:hint="eastAsia" w:ascii="仿宋" w:hAnsi="仿宋" w:eastAsia="仿宋" w:cs="仿宋"/>
                <w:color w:val="000000"/>
                <w:sz w:val="20"/>
                <w:szCs w:val="21"/>
                <w:highlight w:val="none"/>
              </w:rPr>
            </w:pPr>
          </w:p>
        </w:tc>
        <w:tc>
          <w:tcPr>
            <w:tcW w:w="6503" w:type="dxa"/>
            <w:noWrap w:val="0"/>
            <w:vAlign w:val="center"/>
          </w:tcPr>
          <w:p w14:paraId="2CF6EACA">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1"/>
                <w:szCs w:val="21"/>
                <w:highlight w:val="none"/>
                <w:lang w:bidi="zh-CN"/>
              </w:rPr>
              <w:t>安全（5分）</w:t>
            </w:r>
          </w:p>
          <w:p w14:paraId="0A31D219">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评委根据供应商提供</w:t>
            </w:r>
            <w:r>
              <w:rPr>
                <w:rFonts w:hint="eastAsia" w:ascii="仿宋" w:hAnsi="仿宋" w:eastAsia="仿宋" w:cs="仿宋"/>
                <w:sz w:val="20"/>
                <w:szCs w:val="21"/>
                <w:highlight w:val="none"/>
                <w:lang w:val="zh-CN" w:bidi="zh-CN"/>
              </w:rPr>
              <w:t>为服务对象购买场地意外险或公众责任险情况进行综合评分：</w:t>
            </w:r>
          </w:p>
          <w:p w14:paraId="2C047145">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为全部在训服务对象购买保险且连续无断档的得</w:t>
            </w:r>
            <w:r>
              <w:rPr>
                <w:rFonts w:hint="eastAsia" w:ascii="仿宋" w:hAnsi="仿宋" w:eastAsia="仿宋" w:cs="仿宋"/>
                <w:sz w:val="20"/>
                <w:szCs w:val="21"/>
                <w:highlight w:val="none"/>
                <w:lang w:bidi="zh-CN"/>
              </w:rPr>
              <w:t>5</w:t>
            </w:r>
            <w:r>
              <w:rPr>
                <w:rFonts w:hint="eastAsia" w:ascii="仿宋" w:hAnsi="仿宋" w:eastAsia="仿宋" w:cs="仿宋"/>
                <w:sz w:val="20"/>
                <w:szCs w:val="21"/>
                <w:highlight w:val="none"/>
                <w:lang w:val="zh-CN" w:bidi="zh-CN"/>
              </w:rPr>
              <w:t>分。</w:t>
            </w:r>
          </w:p>
          <w:p w14:paraId="65360041">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未</w:t>
            </w: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的不得分。</w:t>
            </w:r>
          </w:p>
          <w:p w14:paraId="4FEE3D43">
            <w:pPr>
              <w:widowControl/>
              <w:jc w:val="left"/>
              <w:rPr>
                <w:rFonts w:hint="eastAsia" w:ascii="仿宋" w:hAnsi="仿宋" w:eastAsia="仿宋" w:cs="仿宋"/>
                <w:sz w:val="20"/>
                <w:szCs w:val="20"/>
                <w:highlight w:val="none"/>
                <w:lang w:val="zh-CN" w:bidi="zh-CN"/>
              </w:rPr>
            </w:pPr>
            <w:r>
              <w:rPr>
                <w:rFonts w:hint="eastAsia" w:ascii="仿宋" w:hAnsi="仿宋" w:eastAsia="仿宋" w:cs="仿宋"/>
                <w:b/>
                <w:spacing w:val="-3"/>
                <w:sz w:val="20"/>
                <w:szCs w:val="21"/>
                <w:highlight w:val="none"/>
                <w:lang w:val="zh-CN" w:bidi="zh-CN"/>
              </w:rPr>
              <w:t>注：提供承诺书。</w:t>
            </w:r>
          </w:p>
        </w:tc>
        <w:tc>
          <w:tcPr>
            <w:tcW w:w="832" w:type="dxa"/>
            <w:noWrap w:val="0"/>
            <w:vAlign w:val="center"/>
          </w:tcPr>
          <w:p w14:paraId="384F530A">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32" w:type="dxa"/>
            <w:noWrap w:val="0"/>
            <w:vAlign w:val="center"/>
          </w:tcPr>
          <w:p w14:paraId="525C7CD5">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61E1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7B1CE497">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2.4</w:t>
            </w:r>
          </w:p>
        </w:tc>
        <w:tc>
          <w:tcPr>
            <w:tcW w:w="1134" w:type="dxa"/>
            <w:vMerge w:val="continue"/>
            <w:noWrap w:val="0"/>
            <w:vAlign w:val="center"/>
          </w:tcPr>
          <w:p w14:paraId="3985E7C3">
            <w:pPr>
              <w:widowControl/>
              <w:spacing w:line="336" w:lineRule="auto"/>
              <w:jc w:val="left"/>
              <w:rPr>
                <w:rFonts w:hint="eastAsia" w:ascii="仿宋" w:hAnsi="仿宋" w:eastAsia="仿宋" w:cs="仿宋"/>
                <w:color w:val="000000"/>
                <w:sz w:val="20"/>
                <w:szCs w:val="21"/>
                <w:highlight w:val="none"/>
              </w:rPr>
            </w:pPr>
          </w:p>
        </w:tc>
        <w:tc>
          <w:tcPr>
            <w:tcW w:w="6503" w:type="dxa"/>
            <w:noWrap w:val="0"/>
            <w:vAlign w:val="center"/>
          </w:tcPr>
          <w:p w14:paraId="19B11CB9">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1"/>
                <w:szCs w:val="21"/>
                <w:highlight w:val="none"/>
                <w:lang w:bidi="zh-CN"/>
              </w:rPr>
              <w:t>考勤系统（</w:t>
            </w:r>
            <w:r>
              <w:rPr>
                <w:rFonts w:hint="eastAsia" w:ascii="仿宋" w:hAnsi="仿宋" w:eastAsia="仿宋" w:cs="仿宋"/>
                <w:sz w:val="21"/>
                <w:szCs w:val="21"/>
                <w:highlight w:val="none"/>
                <w:lang w:val="en-US" w:bidi="zh-CN"/>
              </w:rPr>
              <w:t>5</w:t>
            </w:r>
            <w:r>
              <w:rPr>
                <w:rFonts w:hint="eastAsia" w:ascii="仿宋" w:hAnsi="仿宋" w:eastAsia="仿宋" w:cs="仿宋"/>
                <w:sz w:val="21"/>
                <w:szCs w:val="21"/>
                <w:highlight w:val="none"/>
                <w:lang w:bidi="zh-CN"/>
              </w:rPr>
              <w:t>分）</w:t>
            </w:r>
          </w:p>
          <w:p w14:paraId="573D8E4E">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0"/>
                <w:szCs w:val="21"/>
                <w:highlight w:val="none"/>
                <w:lang w:bidi="zh-CN"/>
              </w:rPr>
              <w:t>评委根据供应商提供的</w:t>
            </w:r>
            <w:r>
              <w:rPr>
                <w:rFonts w:hint="eastAsia" w:ascii="仿宋" w:hAnsi="仿宋" w:eastAsia="仿宋" w:cs="仿宋"/>
                <w:sz w:val="21"/>
                <w:szCs w:val="21"/>
                <w:highlight w:val="none"/>
                <w:lang w:bidi="zh-CN"/>
              </w:rPr>
              <w:t>人脸识别系统考勤情况进行综合评分：</w:t>
            </w:r>
          </w:p>
          <w:p w14:paraId="13A7B2BD">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有人脸识别系统并为服务对象进行考勤的得</w:t>
            </w:r>
            <w:r>
              <w:rPr>
                <w:rFonts w:hint="eastAsia" w:ascii="仿宋" w:hAnsi="仿宋" w:eastAsia="仿宋" w:cs="仿宋"/>
                <w:sz w:val="20"/>
                <w:szCs w:val="21"/>
                <w:highlight w:val="none"/>
                <w:lang w:val="en-US" w:bidi="zh-CN"/>
              </w:rPr>
              <w:t>5</w:t>
            </w:r>
            <w:r>
              <w:rPr>
                <w:rFonts w:hint="eastAsia" w:ascii="仿宋" w:hAnsi="仿宋" w:eastAsia="仿宋" w:cs="仿宋"/>
                <w:sz w:val="20"/>
                <w:szCs w:val="21"/>
                <w:highlight w:val="none"/>
                <w:lang w:val="zh-CN" w:bidi="zh-CN"/>
              </w:rPr>
              <w:t>分。</w:t>
            </w:r>
          </w:p>
          <w:p w14:paraId="7F37D8FD">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不满足</w:t>
            </w:r>
            <w:r>
              <w:rPr>
                <w:rFonts w:hint="eastAsia" w:ascii="仿宋" w:hAnsi="仿宋" w:eastAsia="仿宋" w:cs="仿宋"/>
                <w:sz w:val="20"/>
                <w:szCs w:val="21"/>
                <w:highlight w:val="none"/>
                <w:lang w:val="zh-CN" w:bidi="zh-CN"/>
              </w:rPr>
              <w:t>的不得分。</w:t>
            </w:r>
          </w:p>
          <w:p w14:paraId="4FAC0BD4">
            <w:pPr>
              <w:widowControl/>
              <w:jc w:val="left"/>
              <w:rPr>
                <w:rFonts w:hint="eastAsia" w:ascii="仿宋" w:hAnsi="仿宋" w:eastAsia="仿宋" w:cs="仿宋"/>
                <w:b/>
                <w:bCs/>
                <w:sz w:val="18"/>
                <w:szCs w:val="18"/>
                <w:highlight w:val="none"/>
              </w:rPr>
            </w:pPr>
            <w:r>
              <w:rPr>
                <w:rFonts w:hint="eastAsia" w:ascii="仿宋" w:hAnsi="仿宋" w:eastAsia="仿宋" w:cs="仿宋"/>
                <w:b/>
                <w:spacing w:val="-3"/>
                <w:sz w:val="20"/>
                <w:szCs w:val="21"/>
                <w:highlight w:val="none"/>
                <w:lang w:val="zh-CN" w:bidi="zh-CN"/>
              </w:rPr>
              <w:t>注：提供相关证明材料。</w:t>
            </w:r>
          </w:p>
        </w:tc>
        <w:tc>
          <w:tcPr>
            <w:tcW w:w="832" w:type="dxa"/>
            <w:noWrap w:val="0"/>
            <w:vAlign w:val="center"/>
          </w:tcPr>
          <w:p w14:paraId="4864A49C">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5</w:t>
            </w:r>
          </w:p>
        </w:tc>
        <w:tc>
          <w:tcPr>
            <w:tcW w:w="832" w:type="dxa"/>
            <w:noWrap w:val="0"/>
            <w:vAlign w:val="center"/>
          </w:tcPr>
          <w:p w14:paraId="07390A0A">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776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697" w:type="dxa"/>
            <w:noWrap w:val="0"/>
            <w:vAlign w:val="center"/>
          </w:tcPr>
          <w:p w14:paraId="1E80E795">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2.5</w:t>
            </w:r>
          </w:p>
        </w:tc>
        <w:tc>
          <w:tcPr>
            <w:tcW w:w="1134" w:type="dxa"/>
            <w:vMerge w:val="continue"/>
            <w:noWrap w:val="0"/>
            <w:vAlign w:val="center"/>
          </w:tcPr>
          <w:p w14:paraId="42A2172C">
            <w:pPr>
              <w:widowControl/>
              <w:spacing w:line="336" w:lineRule="auto"/>
              <w:jc w:val="left"/>
              <w:rPr>
                <w:rFonts w:hint="eastAsia" w:ascii="仿宋" w:hAnsi="仿宋" w:eastAsia="仿宋" w:cs="仿宋"/>
                <w:spacing w:val="-3"/>
                <w:sz w:val="20"/>
                <w:szCs w:val="21"/>
                <w:highlight w:val="none"/>
                <w:lang w:val="zh-CN" w:bidi="zh-CN"/>
              </w:rPr>
            </w:pPr>
          </w:p>
        </w:tc>
        <w:tc>
          <w:tcPr>
            <w:tcW w:w="6503" w:type="dxa"/>
            <w:noWrap w:val="0"/>
            <w:vAlign w:val="top"/>
          </w:tcPr>
          <w:p w14:paraId="1609BAA7">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系统数据录入（5分）</w:t>
            </w:r>
          </w:p>
          <w:p w14:paraId="5D55353E">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评委根据供应商提供的各数据系统录入情况进行综合评分：</w:t>
            </w:r>
          </w:p>
          <w:p w14:paraId="265AE8AB">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承诺录入中国残联儿童康复救助系统且数据完整的，得2分；</w:t>
            </w:r>
          </w:p>
          <w:p w14:paraId="286BF41F">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承诺录入省智慧残联系统且数据完整的，得3分。</w:t>
            </w:r>
          </w:p>
          <w:p w14:paraId="4DFA3586">
            <w:pPr>
              <w:ind w:left="0"/>
              <w:rPr>
                <w:rFonts w:hint="eastAsia" w:ascii="仿宋" w:hAnsi="仿宋" w:eastAsia="仿宋" w:cs="仿宋"/>
                <w:sz w:val="20"/>
                <w:szCs w:val="21"/>
                <w:highlight w:val="none"/>
                <w:lang w:val="en-US" w:eastAsia="zh-CN" w:bidi="zh-CN"/>
              </w:rPr>
            </w:pPr>
            <w:r>
              <w:rPr>
                <w:rFonts w:hint="eastAsia" w:ascii="仿宋" w:hAnsi="仿宋" w:eastAsia="仿宋" w:cs="仿宋"/>
                <w:sz w:val="20"/>
                <w:szCs w:val="21"/>
                <w:highlight w:val="none"/>
                <w:lang w:val="zh-CN" w:eastAsia="zh-CN" w:bidi="zh-CN"/>
              </w:rPr>
              <w:t>最高得</w:t>
            </w:r>
            <w:r>
              <w:rPr>
                <w:rFonts w:hint="eastAsia" w:ascii="仿宋" w:hAnsi="仿宋" w:eastAsia="仿宋" w:cs="仿宋"/>
                <w:sz w:val="20"/>
                <w:szCs w:val="21"/>
                <w:highlight w:val="none"/>
                <w:lang w:val="en-US" w:eastAsia="zh-CN" w:bidi="zh-CN"/>
              </w:rPr>
              <w:t>5分。</w:t>
            </w:r>
          </w:p>
          <w:p w14:paraId="71AA814B">
            <w:pPr>
              <w:ind w:left="0"/>
              <w:rPr>
                <w:rFonts w:hint="eastAsia" w:ascii="仿宋" w:hAnsi="仿宋" w:eastAsia="仿宋" w:cs="仿宋"/>
                <w:sz w:val="21"/>
                <w:szCs w:val="21"/>
                <w:highlight w:val="none"/>
                <w:lang w:val="zh-CN" w:eastAsia="zh-CN" w:bidi="zh-CN"/>
              </w:rPr>
            </w:pPr>
            <w:r>
              <w:rPr>
                <w:rFonts w:hint="eastAsia" w:ascii="仿宋" w:hAnsi="仿宋" w:eastAsia="仿宋" w:cs="仿宋"/>
                <w:b/>
                <w:spacing w:val="-3"/>
                <w:sz w:val="20"/>
                <w:szCs w:val="21"/>
                <w:highlight w:val="none"/>
                <w:lang w:val="zh-CN" w:eastAsia="zh-CN" w:bidi="zh-CN"/>
              </w:rPr>
              <w:t>注：提供承诺书。</w:t>
            </w:r>
          </w:p>
        </w:tc>
        <w:tc>
          <w:tcPr>
            <w:tcW w:w="832" w:type="dxa"/>
            <w:noWrap w:val="0"/>
            <w:vAlign w:val="center"/>
          </w:tcPr>
          <w:p w14:paraId="7EDC4D25">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32" w:type="dxa"/>
            <w:noWrap w:val="0"/>
            <w:vAlign w:val="center"/>
          </w:tcPr>
          <w:p w14:paraId="7CA673DE">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169D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697" w:type="dxa"/>
            <w:noWrap w:val="0"/>
            <w:vAlign w:val="center"/>
          </w:tcPr>
          <w:p w14:paraId="2AA010B9">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3.1</w:t>
            </w:r>
          </w:p>
        </w:tc>
        <w:tc>
          <w:tcPr>
            <w:tcW w:w="1134" w:type="dxa"/>
            <w:vMerge w:val="restart"/>
            <w:noWrap w:val="0"/>
            <w:vAlign w:val="center"/>
          </w:tcPr>
          <w:p w14:paraId="54940561">
            <w:pPr>
              <w:widowControl/>
              <w:spacing w:line="336" w:lineRule="auto"/>
              <w:jc w:val="left"/>
              <w:rPr>
                <w:rFonts w:hint="eastAsia" w:ascii="仿宋" w:hAnsi="仿宋" w:eastAsia="仿宋" w:cs="仿宋"/>
                <w:color w:val="000000"/>
                <w:sz w:val="20"/>
                <w:szCs w:val="21"/>
                <w:highlight w:val="none"/>
                <w:lang w:eastAsia="zh-CN"/>
              </w:rPr>
            </w:pPr>
            <w:r>
              <w:rPr>
                <w:rFonts w:hint="eastAsia" w:ascii="仿宋" w:hAnsi="仿宋" w:eastAsia="仿宋" w:cs="仿宋"/>
                <w:spacing w:val="-3"/>
                <w:sz w:val="20"/>
                <w:szCs w:val="21"/>
                <w:highlight w:val="none"/>
                <w:lang w:val="zh-CN" w:bidi="zh-CN"/>
              </w:rPr>
              <w:t>服务</w:t>
            </w:r>
            <w:r>
              <w:rPr>
                <w:rFonts w:hint="eastAsia" w:ascii="仿宋" w:hAnsi="仿宋" w:eastAsia="仿宋" w:cs="仿宋"/>
                <w:color w:val="000000"/>
                <w:sz w:val="20"/>
                <w:szCs w:val="21"/>
                <w:highlight w:val="none"/>
              </w:rPr>
              <w:t>业绩</w:t>
            </w:r>
            <w:r>
              <w:rPr>
                <w:rFonts w:hint="eastAsia" w:ascii="仿宋" w:hAnsi="仿宋" w:eastAsia="仿宋" w:cs="仿宋"/>
                <w:color w:val="000000"/>
                <w:sz w:val="20"/>
                <w:szCs w:val="21"/>
                <w:highlight w:val="none"/>
                <w:lang w:eastAsia="zh-CN"/>
              </w:rPr>
              <w:t>（</w:t>
            </w:r>
            <w:r>
              <w:rPr>
                <w:rFonts w:hint="eastAsia" w:ascii="仿宋" w:hAnsi="仿宋" w:eastAsia="仿宋" w:cs="仿宋"/>
                <w:color w:val="000000"/>
                <w:sz w:val="20"/>
                <w:szCs w:val="21"/>
                <w:highlight w:val="none"/>
                <w:lang w:val="en-US" w:eastAsia="zh-CN"/>
              </w:rPr>
              <w:t>13分</w:t>
            </w:r>
            <w:r>
              <w:rPr>
                <w:rFonts w:hint="eastAsia" w:ascii="仿宋" w:hAnsi="仿宋" w:eastAsia="仿宋" w:cs="仿宋"/>
                <w:color w:val="000000"/>
                <w:sz w:val="20"/>
                <w:szCs w:val="21"/>
                <w:highlight w:val="none"/>
                <w:lang w:eastAsia="zh-CN"/>
              </w:rPr>
              <w:t>）</w:t>
            </w:r>
          </w:p>
        </w:tc>
        <w:tc>
          <w:tcPr>
            <w:tcW w:w="6503" w:type="dxa"/>
            <w:noWrap w:val="0"/>
            <w:vAlign w:val="top"/>
          </w:tcPr>
          <w:p w14:paraId="03E2AA89">
            <w:pPr>
              <w:widowControl/>
              <w:jc w:val="left"/>
              <w:rPr>
                <w:rFonts w:hint="eastAsia" w:ascii="仿宋" w:hAnsi="仿宋" w:eastAsia="仿宋" w:cs="仿宋"/>
                <w:b/>
                <w:bCs/>
                <w:sz w:val="20"/>
                <w:szCs w:val="20"/>
                <w:highlight w:val="none"/>
                <w:lang w:val="zh-CN"/>
              </w:rPr>
            </w:pPr>
            <w:r>
              <w:rPr>
                <w:rFonts w:hint="eastAsia" w:ascii="仿宋" w:hAnsi="仿宋" w:eastAsia="仿宋" w:cs="仿宋"/>
                <w:b/>
                <w:bCs/>
                <w:sz w:val="20"/>
                <w:szCs w:val="20"/>
                <w:highlight w:val="none"/>
                <w:lang w:val="zh-CN"/>
              </w:rPr>
              <w:t>服务经验</w:t>
            </w:r>
          </w:p>
          <w:p w14:paraId="0219276D">
            <w:pPr>
              <w:widowControl/>
              <w:jc w:val="left"/>
              <w:rPr>
                <w:rFonts w:hint="eastAsia" w:ascii="仿宋" w:hAnsi="仿宋" w:eastAsia="仿宋" w:cs="仿宋"/>
                <w:sz w:val="20"/>
                <w:szCs w:val="20"/>
                <w:highlight w:val="none"/>
                <w:lang w:val="zh-CN"/>
              </w:rPr>
            </w:pPr>
            <w:r>
              <w:rPr>
                <w:rFonts w:hint="eastAsia" w:ascii="仿宋" w:hAnsi="仿宋" w:eastAsia="仿宋" w:cs="仿宋"/>
                <w:sz w:val="20"/>
                <w:szCs w:val="20"/>
                <w:highlight w:val="none"/>
                <w:lang w:val="zh-CN"/>
              </w:rPr>
              <w:t>评委根据供应商提供服务对象的诊断证明(医院出具)和收治证明(20</w:t>
            </w:r>
            <w:r>
              <w:rPr>
                <w:rFonts w:hint="eastAsia" w:ascii="仿宋" w:hAnsi="仿宋" w:eastAsia="仿宋" w:cs="仿宋"/>
                <w:sz w:val="20"/>
                <w:szCs w:val="20"/>
                <w:highlight w:val="none"/>
                <w:lang w:val="en-US" w:eastAsia="zh-CN"/>
              </w:rPr>
              <w:t>22</w:t>
            </w:r>
            <w:r>
              <w:rPr>
                <w:rFonts w:hint="eastAsia" w:ascii="仿宋" w:hAnsi="仿宋" w:eastAsia="仿宋" w:cs="仿宋"/>
                <w:sz w:val="20"/>
                <w:szCs w:val="20"/>
                <w:highlight w:val="none"/>
                <w:lang w:val="zh-CN"/>
              </w:rPr>
              <w:t>年1月1 日以后)，缺项不得分。每提供1名服务对象的得0.5 分，最多得10分。</w:t>
            </w:r>
          </w:p>
          <w:p w14:paraId="68514A8C">
            <w:pPr>
              <w:ind w:left="0"/>
              <w:rPr>
                <w:rFonts w:hint="eastAsia" w:ascii="仿宋" w:hAnsi="仿宋" w:eastAsia="仿宋" w:cs="仿宋"/>
                <w:sz w:val="21"/>
                <w:szCs w:val="21"/>
                <w:highlight w:val="none"/>
                <w:lang w:val="zh-CN" w:eastAsia="zh-CN" w:bidi="zh-CN"/>
              </w:rPr>
            </w:pPr>
            <w:r>
              <w:rPr>
                <w:rFonts w:hint="eastAsia" w:ascii="仿宋" w:hAnsi="仿宋" w:eastAsia="仿宋" w:cs="仿宋"/>
                <w:b/>
                <w:bCs/>
                <w:sz w:val="21"/>
                <w:szCs w:val="21"/>
                <w:highlight w:val="none"/>
                <w:lang w:val="zh-CN" w:eastAsia="zh-CN" w:bidi="zh-CN"/>
              </w:rPr>
              <w:t>注:提供相关证明材料。</w:t>
            </w:r>
          </w:p>
        </w:tc>
        <w:tc>
          <w:tcPr>
            <w:tcW w:w="832" w:type="dxa"/>
            <w:noWrap w:val="0"/>
            <w:vAlign w:val="center"/>
          </w:tcPr>
          <w:p w14:paraId="431F08A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75BA46BF">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24C0C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blHeader/>
          <w:jc w:val="center"/>
        </w:trPr>
        <w:tc>
          <w:tcPr>
            <w:tcW w:w="697" w:type="dxa"/>
            <w:noWrap w:val="0"/>
            <w:vAlign w:val="center"/>
          </w:tcPr>
          <w:p w14:paraId="6854283F">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3.2</w:t>
            </w:r>
          </w:p>
        </w:tc>
        <w:tc>
          <w:tcPr>
            <w:tcW w:w="1134" w:type="dxa"/>
            <w:vMerge w:val="continue"/>
            <w:noWrap w:val="0"/>
            <w:vAlign w:val="center"/>
          </w:tcPr>
          <w:p w14:paraId="598866D5">
            <w:pPr>
              <w:widowControl/>
              <w:spacing w:line="336" w:lineRule="auto"/>
              <w:jc w:val="left"/>
              <w:rPr>
                <w:rFonts w:hint="eastAsia" w:ascii="仿宋" w:hAnsi="仿宋" w:eastAsia="仿宋" w:cs="仿宋"/>
                <w:spacing w:val="-3"/>
                <w:sz w:val="20"/>
                <w:szCs w:val="21"/>
                <w:highlight w:val="none"/>
                <w:lang w:val="zh-CN" w:bidi="zh-CN"/>
              </w:rPr>
            </w:pPr>
          </w:p>
        </w:tc>
        <w:tc>
          <w:tcPr>
            <w:tcW w:w="6503" w:type="dxa"/>
            <w:noWrap w:val="0"/>
            <w:vAlign w:val="center"/>
          </w:tcPr>
          <w:p w14:paraId="1D612015">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获奖情况</w:t>
            </w:r>
          </w:p>
          <w:p w14:paraId="0DCCA7D3">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评委根据供应商提供自20</w:t>
            </w:r>
            <w:r>
              <w:rPr>
                <w:rFonts w:hint="eastAsia" w:ascii="仿宋" w:hAnsi="仿宋" w:eastAsia="仿宋" w:cs="仿宋"/>
                <w:spacing w:val="-3"/>
                <w:sz w:val="20"/>
                <w:szCs w:val="21"/>
                <w:highlight w:val="none"/>
                <w:lang w:val="en-US" w:bidi="zh-CN"/>
              </w:rPr>
              <w:t>20</w:t>
            </w:r>
            <w:r>
              <w:rPr>
                <w:rFonts w:hint="eastAsia" w:ascii="仿宋" w:hAnsi="仿宋" w:eastAsia="仿宋" w:cs="仿宋"/>
                <w:spacing w:val="-3"/>
                <w:sz w:val="20"/>
                <w:szCs w:val="21"/>
                <w:highlight w:val="none"/>
                <w:lang w:val="zh-CN" w:bidi="zh-CN"/>
              </w:rPr>
              <w:t>年以来在残疾人康复服务中获得残联、民政、卫生等相关部门表扬或奖励情况打分（可叠加）：</w:t>
            </w:r>
          </w:p>
          <w:p w14:paraId="5844E952">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每有1个省级（含）以上表彰的得3分；</w:t>
            </w:r>
          </w:p>
          <w:p w14:paraId="489524F4">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每有1个市级表彰的得2分；</w:t>
            </w:r>
          </w:p>
          <w:p w14:paraId="3E8CC7F7">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每有1个区级表彰的得1分。</w:t>
            </w:r>
          </w:p>
          <w:p w14:paraId="4DBE3133">
            <w:pPr>
              <w:ind w:left="0"/>
              <w:rPr>
                <w:rFonts w:hint="eastAsia" w:ascii="仿宋" w:hAnsi="仿宋" w:eastAsia="仿宋" w:cs="仿宋"/>
                <w:sz w:val="21"/>
                <w:szCs w:val="21"/>
                <w:highlight w:val="none"/>
                <w:lang w:val="en-US" w:eastAsia="zh-CN" w:bidi="zh-CN"/>
              </w:rPr>
            </w:pPr>
            <w:r>
              <w:rPr>
                <w:rFonts w:hint="eastAsia" w:ascii="仿宋" w:hAnsi="仿宋" w:eastAsia="仿宋" w:cs="仿宋"/>
                <w:spacing w:val="-3"/>
                <w:sz w:val="21"/>
                <w:szCs w:val="21"/>
                <w:highlight w:val="none"/>
                <w:lang w:val="zh-CN" w:eastAsia="zh-CN" w:bidi="zh-CN"/>
              </w:rPr>
              <w:t>最高得</w:t>
            </w:r>
            <w:r>
              <w:rPr>
                <w:rFonts w:hint="eastAsia" w:ascii="仿宋" w:hAnsi="仿宋" w:eastAsia="仿宋" w:cs="仿宋"/>
                <w:spacing w:val="-3"/>
                <w:sz w:val="21"/>
                <w:szCs w:val="21"/>
                <w:highlight w:val="none"/>
                <w:lang w:val="en-US" w:eastAsia="zh-CN" w:bidi="zh-CN"/>
              </w:rPr>
              <w:t>3分。</w:t>
            </w:r>
          </w:p>
          <w:p w14:paraId="73D88A6F">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b/>
                <w:spacing w:val="-3"/>
                <w:sz w:val="20"/>
                <w:szCs w:val="21"/>
                <w:highlight w:val="none"/>
                <w:lang w:val="zh-CN" w:bidi="zh-CN"/>
              </w:rPr>
              <w:t>注：以证书颁发时间或发文时间为准，提供表彰证书或表彰文件。</w:t>
            </w:r>
          </w:p>
        </w:tc>
        <w:tc>
          <w:tcPr>
            <w:tcW w:w="832" w:type="dxa"/>
            <w:noWrap w:val="0"/>
            <w:vAlign w:val="center"/>
          </w:tcPr>
          <w:p w14:paraId="7A5A9095">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3</w:t>
            </w:r>
          </w:p>
        </w:tc>
        <w:tc>
          <w:tcPr>
            <w:tcW w:w="832" w:type="dxa"/>
            <w:noWrap w:val="0"/>
            <w:vAlign w:val="center"/>
          </w:tcPr>
          <w:p w14:paraId="0AF89A56">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A15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1831" w:type="dxa"/>
            <w:gridSpan w:val="2"/>
            <w:noWrap w:val="0"/>
            <w:vAlign w:val="center"/>
          </w:tcPr>
          <w:p w14:paraId="070DAE09">
            <w:pPr>
              <w:widowControl/>
              <w:spacing w:line="336" w:lineRule="auto"/>
              <w:ind w:firstLine="525"/>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合计</w:t>
            </w:r>
          </w:p>
        </w:tc>
        <w:tc>
          <w:tcPr>
            <w:tcW w:w="6503" w:type="dxa"/>
            <w:noWrap w:val="0"/>
            <w:vAlign w:val="center"/>
          </w:tcPr>
          <w:p w14:paraId="5D0878D0">
            <w:pPr>
              <w:widowControl/>
              <w:spacing w:line="336" w:lineRule="auto"/>
              <w:jc w:val="left"/>
              <w:rPr>
                <w:rFonts w:hint="eastAsia" w:ascii="仿宋" w:hAnsi="仿宋" w:eastAsia="仿宋" w:cs="仿宋"/>
                <w:color w:val="000000"/>
                <w:sz w:val="20"/>
                <w:szCs w:val="21"/>
                <w:highlight w:val="none"/>
              </w:rPr>
            </w:pPr>
          </w:p>
        </w:tc>
        <w:tc>
          <w:tcPr>
            <w:tcW w:w="832" w:type="dxa"/>
            <w:noWrap w:val="0"/>
            <w:vAlign w:val="center"/>
          </w:tcPr>
          <w:p w14:paraId="282D8988">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100分</w:t>
            </w:r>
          </w:p>
        </w:tc>
        <w:tc>
          <w:tcPr>
            <w:tcW w:w="832" w:type="dxa"/>
            <w:noWrap w:val="0"/>
            <w:vAlign w:val="center"/>
          </w:tcPr>
          <w:p w14:paraId="26F8A420">
            <w:pPr>
              <w:widowControl/>
              <w:spacing w:line="336" w:lineRule="auto"/>
              <w:jc w:val="left"/>
              <w:rPr>
                <w:rFonts w:hint="eastAsia" w:ascii="仿宋" w:hAnsi="仿宋" w:eastAsia="仿宋" w:cs="仿宋"/>
                <w:color w:val="000000"/>
                <w:sz w:val="20"/>
                <w:szCs w:val="21"/>
                <w:highlight w:val="none"/>
              </w:rPr>
            </w:pPr>
          </w:p>
        </w:tc>
      </w:tr>
    </w:tbl>
    <w:p w14:paraId="5B20F003">
      <w:pPr>
        <w:widowControl/>
        <w:numPr>
          <w:ilvl w:val="0"/>
          <w:numId w:val="0"/>
        </w:numPr>
        <w:spacing w:line="288" w:lineRule="auto"/>
        <w:ind w:firstLine="241" w:firstLineChars="100"/>
        <w:jc w:val="left"/>
        <w:rPr>
          <w:rFonts w:hint="eastAsia" w:ascii="仿宋" w:hAnsi="仿宋" w:eastAsia="仿宋" w:cs="仿宋"/>
          <w:b/>
          <w:bCs/>
          <w:sz w:val="24"/>
          <w:szCs w:val="24"/>
          <w:highlight w:val="yellow"/>
          <w:lang w:val="en-US" w:eastAsia="zh-CN" w:bidi="zh-CN"/>
        </w:rPr>
      </w:pPr>
    </w:p>
    <w:p w14:paraId="01BCE5C0">
      <w:pPr>
        <w:pStyle w:val="2"/>
        <w:rPr>
          <w:rFonts w:hint="eastAsia" w:ascii="仿宋" w:hAnsi="仿宋" w:eastAsia="仿宋" w:cs="仿宋"/>
          <w:b/>
          <w:bCs/>
          <w:sz w:val="24"/>
          <w:szCs w:val="24"/>
          <w:highlight w:val="yellow"/>
          <w:lang w:val="en-US" w:eastAsia="zh-CN" w:bidi="zh-CN"/>
        </w:rPr>
      </w:pPr>
    </w:p>
    <w:p w14:paraId="439A9049">
      <w:pPr>
        <w:rPr>
          <w:rFonts w:hint="eastAsia"/>
          <w:lang w:val="en-US" w:eastAsia="zh-CN"/>
        </w:rPr>
      </w:pPr>
    </w:p>
    <w:tbl>
      <w:tblPr>
        <w:tblStyle w:val="40"/>
        <w:tblW w:w="10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134"/>
        <w:gridCol w:w="6530"/>
        <w:gridCol w:w="832"/>
        <w:gridCol w:w="832"/>
      </w:tblGrid>
      <w:tr w14:paraId="6958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blHeader/>
          <w:jc w:val="center"/>
        </w:trPr>
        <w:tc>
          <w:tcPr>
            <w:tcW w:w="697" w:type="dxa"/>
            <w:noWrap w:val="0"/>
            <w:vAlign w:val="center"/>
          </w:tcPr>
          <w:p w14:paraId="599653BB">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序号</w:t>
            </w:r>
          </w:p>
        </w:tc>
        <w:tc>
          <w:tcPr>
            <w:tcW w:w="1134" w:type="dxa"/>
            <w:noWrap w:val="0"/>
            <w:vAlign w:val="center"/>
          </w:tcPr>
          <w:p w14:paraId="77849888">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评分因素</w:t>
            </w:r>
          </w:p>
        </w:tc>
        <w:tc>
          <w:tcPr>
            <w:tcW w:w="6530" w:type="dxa"/>
            <w:noWrap w:val="0"/>
            <w:vAlign w:val="center"/>
          </w:tcPr>
          <w:p w14:paraId="5A64F542">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分包</w:t>
            </w:r>
            <w:r>
              <w:rPr>
                <w:rFonts w:hint="eastAsia" w:ascii="仿宋" w:hAnsi="仿宋" w:eastAsia="仿宋" w:cs="仿宋"/>
                <w:b/>
                <w:color w:val="000000"/>
                <w:sz w:val="20"/>
                <w:szCs w:val="21"/>
                <w:lang w:val="en-US" w:eastAsia="zh-CN"/>
              </w:rPr>
              <w:t>5</w:t>
            </w:r>
            <w:r>
              <w:rPr>
                <w:rFonts w:hint="eastAsia" w:ascii="仿宋" w:hAnsi="仿宋" w:eastAsia="仿宋" w:cs="仿宋"/>
                <w:b/>
                <w:color w:val="000000"/>
                <w:sz w:val="20"/>
                <w:szCs w:val="21"/>
              </w:rPr>
              <w:t>（孤独症康复服务机构）评分标准</w:t>
            </w:r>
          </w:p>
        </w:tc>
        <w:tc>
          <w:tcPr>
            <w:tcW w:w="832" w:type="dxa"/>
            <w:noWrap w:val="0"/>
            <w:vAlign w:val="center"/>
          </w:tcPr>
          <w:p w14:paraId="265F5E83">
            <w:pPr>
              <w:widowControl/>
              <w:spacing w:line="336" w:lineRule="auto"/>
              <w:jc w:val="center"/>
              <w:rPr>
                <w:rFonts w:hint="eastAsia" w:ascii="仿宋" w:hAnsi="仿宋" w:eastAsia="仿宋" w:cs="仿宋"/>
                <w:b/>
                <w:color w:val="000000"/>
                <w:sz w:val="20"/>
                <w:szCs w:val="21"/>
              </w:rPr>
            </w:pPr>
            <w:r>
              <w:rPr>
                <w:rFonts w:hint="eastAsia" w:ascii="仿宋" w:hAnsi="仿宋" w:eastAsia="仿宋" w:cs="仿宋"/>
                <w:b/>
                <w:color w:val="000000"/>
                <w:sz w:val="20"/>
                <w:szCs w:val="21"/>
              </w:rPr>
              <w:t>分值</w:t>
            </w:r>
          </w:p>
        </w:tc>
        <w:tc>
          <w:tcPr>
            <w:tcW w:w="832" w:type="dxa"/>
            <w:noWrap w:val="0"/>
            <w:vAlign w:val="center"/>
          </w:tcPr>
          <w:p w14:paraId="24AA7765">
            <w:pPr>
              <w:widowControl/>
              <w:spacing w:line="336" w:lineRule="auto"/>
              <w:jc w:val="center"/>
              <w:rPr>
                <w:rFonts w:hint="eastAsia" w:ascii="仿宋" w:hAnsi="仿宋" w:eastAsia="仿宋" w:cs="仿宋"/>
                <w:b/>
                <w:color w:val="000000"/>
                <w:sz w:val="20"/>
                <w:szCs w:val="21"/>
                <w:lang w:val="en-US" w:eastAsia="zh-CN"/>
              </w:rPr>
            </w:pPr>
            <w:r>
              <w:rPr>
                <w:rFonts w:hint="eastAsia" w:ascii="仿宋" w:hAnsi="仿宋" w:eastAsia="仿宋" w:cs="仿宋"/>
                <w:b/>
                <w:color w:val="000000"/>
                <w:sz w:val="20"/>
                <w:szCs w:val="21"/>
                <w:lang w:val="en-US" w:eastAsia="zh-CN"/>
              </w:rPr>
              <w:t>备注</w:t>
            </w:r>
          </w:p>
        </w:tc>
      </w:tr>
      <w:tr w14:paraId="6B4ED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blHeader/>
          <w:jc w:val="center"/>
        </w:trPr>
        <w:tc>
          <w:tcPr>
            <w:tcW w:w="697" w:type="dxa"/>
            <w:noWrap w:val="0"/>
            <w:vAlign w:val="center"/>
          </w:tcPr>
          <w:p w14:paraId="2348FC13">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1.1</w:t>
            </w:r>
          </w:p>
        </w:tc>
        <w:tc>
          <w:tcPr>
            <w:tcW w:w="1134" w:type="dxa"/>
            <w:vMerge w:val="restart"/>
            <w:noWrap w:val="0"/>
            <w:vAlign w:val="center"/>
          </w:tcPr>
          <w:p w14:paraId="6C0E3D50">
            <w:pPr>
              <w:widowControl/>
              <w:jc w:val="left"/>
              <w:rPr>
                <w:rFonts w:hint="eastAsia" w:ascii="仿宋" w:hAnsi="仿宋" w:eastAsia="仿宋" w:cs="仿宋"/>
                <w:color w:val="000000"/>
                <w:sz w:val="20"/>
                <w:szCs w:val="21"/>
                <w:lang w:eastAsia="zh-CN"/>
              </w:rPr>
            </w:pPr>
            <w:r>
              <w:rPr>
                <w:rFonts w:hint="eastAsia" w:ascii="仿宋" w:hAnsi="仿宋" w:eastAsia="仿宋" w:cs="仿宋"/>
                <w:color w:val="000000"/>
                <w:sz w:val="20"/>
                <w:szCs w:val="21"/>
              </w:rPr>
              <w:t>服务内容</w:t>
            </w:r>
            <w:r>
              <w:rPr>
                <w:rFonts w:hint="eastAsia" w:ascii="仿宋" w:hAnsi="仿宋" w:eastAsia="仿宋" w:cs="仿宋"/>
                <w:color w:val="000000"/>
                <w:sz w:val="20"/>
                <w:szCs w:val="21"/>
                <w:lang w:eastAsia="zh-CN"/>
              </w:rPr>
              <w:t>（</w:t>
            </w:r>
            <w:r>
              <w:rPr>
                <w:rFonts w:hint="eastAsia" w:ascii="仿宋" w:hAnsi="仿宋" w:eastAsia="仿宋" w:cs="仿宋"/>
                <w:color w:val="000000"/>
                <w:sz w:val="20"/>
                <w:szCs w:val="21"/>
                <w:lang w:val="en-US" w:eastAsia="zh-CN"/>
              </w:rPr>
              <w:t>54分</w:t>
            </w:r>
            <w:r>
              <w:rPr>
                <w:rFonts w:hint="eastAsia" w:ascii="仿宋" w:hAnsi="仿宋" w:eastAsia="仿宋" w:cs="仿宋"/>
                <w:color w:val="000000"/>
                <w:sz w:val="20"/>
                <w:szCs w:val="21"/>
                <w:lang w:eastAsia="zh-CN"/>
              </w:rPr>
              <w:t>）</w:t>
            </w:r>
          </w:p>
        </w:tc>
        <w:tc>
          <w:tcPr>
            <w:tcW w:w="6530" w:type="dxa"/>
            <w:noWrap w:val="0"/>
            <w:vAlign w:val="center"/>
          </w:tcPr>
          <w:p w14:paraId="78020E6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评委根据供应商提供的服务方案（包括评估和诊断、康复计划、康复训练记录、康复评估和小结等）进行综合评分：</w:t>
            </w:r>
          </w:p>
          <w:p w14:paraId="1447264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（1）方案全面完整，科学合理，保障措施有力，时效性、可操作性强，得10分；</w:t>
            </w:r>
          </w:p>
          <w:p w14:paraId="053562E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（2）方案内容较全面，较科学，较有效，可操作性较强，得7分；</w:t>
            </w:r>
          </w:p>
          <w:p w14:paraId="6C863DA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1383D4E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（4）实施方案内容不完整，缺乏可操作性的得1分；</w:t>
            </w:r>
          </w:p>
          <w:p w14:paraId="5917F37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2E4305C6">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32" w:type="dxa"/>
            <w:noWrap w:val="0"/>
            <w:vAlign w:val="center"/>
          </w:tcPr>
          <w:p w14:paraId="4D349023">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主观分</w:t>
            </w:r>
          </w:p>
        </w:tc>
      </w:tr>
      <w:tr w14:paraId="1635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37A979E2">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1134" w:type="dxa"/>
            <w:vMerge w:val="continue"/>
            <w:noWrap w:val="0"/>
            <w:vAlign w:val="center"/>
          </w:tcPr>
          <w:p w14:paraId="2E49127C">
            <w:pPr>
              <w:widowControl/>
              <w:jc w:val="left"/>
              <w:rPr>
                <w:rFonts w:hint="eastAsia" w:ascii="仿宋" w:hAnsi="仿宋" w:eastAsia="仿宋" w:cs="仿宋"/>
                <w:color w:val="000000"/>
                <w:sz w:val="20"/>
                <w:szCs w:val="21"/>
              </w:rPr>
            </w:pPr>
          </w:p>
        </w:tc>
        <w:tc>
          <w:tcPr>
            <w:tcW w:w="6530" w:type="dxa"/>
            <w:noWrap w:val="0"/>
            <w:vAlign w:val="center"/>
          </w:tcPr>
          <w:p w14:paraId="266BE740">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评委根据供应商提供的培训方案（包括康复专业人员培训、专家指导、家长培训等）进行综合评分：</w:t>
            </w:r>
          </w:p>
          <w:p w14:paraId="75BAED9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（1）方案全面完整，科学合理，保障措施有力，时效性、可操作性强，得10分；</w:t>
            </w:r>
          </w:p>
          <w:p w14:paraId="4087318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（2）方案内容较全面，较科学，较有效，可操作性较强，得7分；</w:t>
            </w:r>
          </w:p>
          <w:p w14:paraId="69B62869">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04C9591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（4）实施方案内容不完整，缺乏可操作性的得1分；</w:t>
            </w:r>
          </w:p>
          <w:p w14:paraId="5D6738E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226D4A7D">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32" w:type="dxa"/>
            <w:noWrap w:val="0"/>
            <w:vAlign w:val="center"/>
          </w:tcPr>
          <w:p w14:paraId="4A20A221">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505B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4D321CE9">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1.3</w:t>
            </w:r>
          </w:p>
        </w:tc>
        <w:tc>
          <w:tcPr>
            <w:tcW w:w="1134" w:type="dxa"/>
            <w:vMerge w:val="continue"/>
            <w:noWrap w:val="0"/>
            <w:vAlign w:val="center"/>
          </w:tcPr>
          <w:p w14:paraId="3781CD73">
            <w:pPr>
              <w:widowControl/>
              <w:jc w:val="left"/>
              <w:rPr>
                <w:rFonts w:hint="eastAsia" w:ascii="仿宋" w:hAnsi="仿宋" w:eastAsia="仿宋" w:cs="仿宋"/>
                <w:color w:val="000000"/>
                <w:sz w:val="20"/>
                <w:szCs w:val="21"/>
              </w:rPr>
            </w:pPr>
          </w:p>
        </w:tc>
        <w:tc>
          <w:tcPr>
            <w:tcW w:w="6530" w:type="dxa"/>
            <w:noWrap w:val="0"/>
            <w:vAlign w:val="center"/>
          </w:tcPr>
          <w:p w14:paraId="27C77CDC">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评委根据供应商提供的业务指导方案（包括</w:t>
            </w:r>
            <w:r>
              <w:rPr>
                <w:rFonts w:hint="eastAsia" w:ascii="仿宋" w:hAnsi="仿宋" w:eastAsia="仿宋" w:cs="仿宋"/>
                <w:sz w:val="20"/>
                <w:szCs w:val="21"/>
              </w:rPr>
              <w:t>儿童转介或跟踪服务、社区家庭康复延伸、公益宣教活动</w:t>
            </w:r>
            <w:r>
              <w:rPr>
                <w:rFonts w:hint="eastAsia" w:ascii="仿宋" w:hAnsi="仿宋" w:eastAsia="仿宋" w:cs="仿宋"/>
                <w:color w:val="000000"/>
                <w:sz w:val="20"/>
                <w:szCs w:val="21"/>
              </w:rPr>
              <w:t>等）进行综合评分：</w:t>
            </w:r>
          </w:p>
          <w:p w14:paraId="3F24EB81">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5DF7A22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103195E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24ACC806">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086A2AE8">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273047F1">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32" w:type="dxa"/>
            <w:noWrap w:val="0"/>
            <w:vAlign w:val="center"/>
          </w:tcPr>
          <w:p w14:paraId="42043F1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72F4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6ACD12D5">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1.4</w:t>
            </w:r>
          </w:p>
        </w:tc>
        <w:tc>
          <w:tcPr>
            <w:tcW w:w="1134" w:type="dxa"/>
            <w:vMerge w:val="continue"/>
            <w:noWrap w:val="0"/>
            <w:vAlign w:val="center"/>
          </w:tcPr>
          <w:p w14:paraId="704501D1">
            <w:pPr>
              <w:widowControl/>
              <w:jc w:val="left"/>
              <w:rPr>
                <w:rFonts w:hint="eastAsia" w:ascii="仿宋" w:hAnsi="仿宋" w:eastAsia="仿宋" w:cs="仿宋"/>
                <w:color w:val="000000"/>
                <w:sz w:val="20"/>
                <w:szCs w:val="21"/>
              </w:rPr>
            </w:pPr>
          </w:p>
        </w:tc>
        <w:tc>
          <w:tcPr>
            <w:tcW w:w="6530" w:type="dxa"/>
            <w:noWrap w:val="0"/>
            <w:vAlign w:val="center"/>
          </w:tcPr>
          <w:p w14:paraId="2E6D99F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评委根据供应商提供的质量保证方案（包括</w:t>
            </w:r>
            <w:r>
              <w:rPr>
                <w:rFonts w:hint="eastAsia" w:ascii="仿宋" w:hAnsi="仿宋" w:eastAsia="仿宋" w:cs="仿宋"/>
                <w:sz w:val="20"/>
                <w:szCs w:val="21"/>
              </w:rPr>
              <w:t>儿童康复评估、康复训练建档率、</w:t>
            </w:r>
            <w:r>
              <w:rPr>
                <w:rFonts w:hint="eastAsia" w:ascii="仿宋" w:hAnsi="仿宋" w:eastAsia="仿宋" w:cs="仿宋"/>
                <w:color w:val="000000"/>
                <w:sz w:val="20"/>
                <w:szCs w:val="21"/>
              </w:rPr>
              <w:t>家长满意率、</w:t>
            </w:r>
            <w:r>
              <w:rPr>
                <w:rFonts w:hint="eastAsia" w:ascii="仿宋" w:hAnsi="仿宋" w:eastAsia="仿宋" w:cs="仿宋"/>
                <w:sz w:val="20"/>
                <w:szCs w:val="21"/>
              </w:rPr>
              <w:t>社会融合活动</w:t>
            </w:r>
            <w:r>
              <w:rPr>
                <w:rFonts w:hint="eastAsia" w:ascii="仿宋" w:hAnsi="仿宋" w:eastAsia="仿宋" w:cs="仿宋"/>
                <w:color w:val="000000"/>
                <w:sz w:val="20"/>
                <w:szCs w:val="21"/>
              </w:rPr>
              <w:t>等）进行综合评分：</w:t>
            </w:r>
          </w:p>
          <w:p w14:paraId="69A50EE4">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（1）方案内容全面，科学有效，可操作性强，得10分；</w:t>
            </w:r>
          </w:p>
          <w:p w14:paraId="652D5A4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7 分；</w:t>
            </w:r>
          </w:p>
          <w:p w14:paraId="629D2DB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（3）方案内容全面性、科学性、有效性有欠缺，可操作性不强，得 4分；</w:t>
            </w:r>
          </w:p>
          <w:p w14:paraId="334B88E3">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（4）方案内容不完整，缺乏可操作性的得1分；</w:t>
            </w:r>
          </w:p>
          <w:p w14:paraId="2EF698A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（5）其他或未提供的不得分</w:t>
            </w:r>
          </w:p>
        </w:tc>
        <w:tc>
          <w:tcPr>
            <w:tcW w:w="832" w:type="dxa"/>
            <w:noWrap w:val="0"/>
            <w:vAlign w:val="center"/>
          </w:tcPr>
          <w:p w14:paraId="3E36C500">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32" w:type="dxa"/>
            <w:noWrap w:val="0"/>
            <w:vAlign w:val="center"/>
          </w:tcPr>
          <w:p w14:paraId="5A6B5C44">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6C10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26620743">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1.5</w:t>
            </w:r>
          </w:p>
        </w:tc>
        <w:tc>
          <w:tcPr>
            <w:tcW w:w="1134" w:type="dxa"/>
            <w:vMerge w:val="continue"/>
            <w:noWrap w:val="0"/>
            <w:vAlign w:val="center"/>
          </w:tcPr>
          <w:p w14:paraId="5BF5E26F">
            <w:pPr>
              <w:widowControl/>
              <w:spacing w:line="336" w:lineRule="auto"/>
              <w:jc w:val="left"/>
              <w:rPr>
                <w:rFonts w:hint="eastAsia" w:ascii="仿宋" w:hAnsi="仿宋" w:eastAsia="仿宋" w:cs="仿宋"/>
                <w:color w:val="000000"/>
                <w:sz w:val="20"/>
                <w:szCs w:val="21"/>
              </w:rPr>
            </w:pPr>
          </w:p>
        </w:tc>
        <w:tc>
          <w:tcPr>
            <w:tcW w:w="6530" w:type="dxa"/>
            <w:noWrap w:val="0"/>
            <w:vAlign w:val="center"/>
          </w:tcPr>
          <w:p w14:paraId="474B3D6C">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应商提供的突发事件应急处置预案 （包括灾害防范措施、应急预案、消防演练、应急处理等）进行综合评分：</w:t>
            </w:r>
          </w:p>
          <w:p w14:paraId="5E00DA7E">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（1）预案内容考虑全面，处置应对措施科学有效，可操作性强，得10分；</w:t>
            </w:r>
          </w:p>
          <w:p w14:paraId="0050C7E7">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（2）预案内容考虑较全面，处置应对措施较科学，较有效，可操作性较强，得7分；</w:t>
            </w:r>
          </w:p>
          <w:p w14:paraId="553216CD">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（3）预案内容不全面，处置应对措施科学性、有效性有欠缺，可操作性不强，得4分；</w:t>
            </w:r>
          </w:p>
          <w:p w14:paraId="77E9F11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（4）预案内容不完整，缺乏可操作性的得1分；</w:t>
            </w:r>
          </w:p>
          <w:p w14:paraId="387B8F1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（5）预案不符合服务要求或未提供方案的不得分。</w:t>
            </w:r>
          </w:p>
        </w:tc>
        <w:tc>
          <w:tcPr>
            <w:tcW w:w="832" w:type="dxa"/>
            <w:noWrap w:val="0"/>
            <w:vAlign w:val="center"/>
          </w:tcPr>
          <w:p w14:paraId="5B96D08A">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10</w:t>
            </w:r>
          </w:p>
        </w:tc>
        <w:tc>
          <w:tcPr>
            <w:tcW w:w="832" w:type="dxa"/>
            <w:noWrap w:val="0"/>
            <w:vAlign w:val="center"/>
          </w:tcPr>
          <w:p w14:paraId="114D3977">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3AA4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jc w:val="center"/>
        </w:trPr>
        <w:tc>
          <w:tcPr>
            <w:tcW w:w="697" w:type="dxa"/>
            <w:noWrap w:val="0"/>
            <w:vAlign w:val="center"/>
          </w:tcPr>
          <w:p w14:paraId="19F3DBE0">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1.6</w:t>
            </w:r>
          </w:p>
        </w:tc>
        <w:tc>
          <w:tcPr>
            <w:tcW w:w="1134" w:type="dxa"/>
            <w:vMerge w:val="continue"/>
            <w:noWrap w:val="0"/>
            <w:vAlign w:val="center"/>
          </w:tcPr>
          <w:p w14:paraId="26F62D50">
            <w:pPr>
              <w:widowControl/>
              <w:spacing w:line="336" w:lineRule="auto"/>
              <w:jc w:val="left"/>
              <w:rPr>
                <w:rFonts w:hint="eastAsia" w:ascii="仿宋" w:hAnsi="仿宋" w:eastAsia="仿宋" w:cs="仿宋"/>
                <w:color w:val="000000"/>
                <w:sz w:val="20"/>
                <w:szCs w:val="21"/>
              </w:rPr>
            </w:pPr>
          </w:p>
        </w:tc>
        <w:tc>
          <w:tcPr>
            <w:tcW w:w="6530" w:type="dxa"/>
            <w:noWrap w:val="0"/>
            <w:vAlign w:val="center"/>
          </w:tcPr>
          <w:p w14:paraId="67C7F9B0">
            <w:pPr>
              <w:widowControl/>
              <w:jc w:val="left"/>
              <w:rPr>
                <w:rFonts w:hint="eastAsia" w:ascii="仿宋" w:hAnsi="仿宋" w:eastAsia="仿宋" w:cs="仿宋"/>
                <w:color w:val="000000"/>
                <w:sz w:val="20"/>
                <w:szCs w:val="21"/>
              </w:rPr>
            </w:pPr>
            <w:r>
              <w:rPr>
                <w:rFonts w:hint="eastAsia" w:ascii="仿宋" w:hAnsi="仿宋" w:eastAsia="仿宋" w:cs="仿宋"/>
                <w:sz w:val="20"/>
                <w:szCs w:val="21"/>
                <w:lang w:bidi="zh-CN"/>
              </w:rPr>
              <w:t>评委</w:t>
            </w:r>
            <w:r>
              <w:rPr>
                <w:rFonts w:hint="eastAsia" w:ascii="仿宋" w:hAnsi="仿宋" w:eastAsia="仿宋" w:cs="仿宋"/>
                <w:sz w:val="20"/>
                <w:szCs w:val="21"/>
                <w:lang w:val="zh-CN" w:bidi="zh-CN"/>
              </w:rPr>
              <w:t>根据</w:t>
            </w:r>
            <w:r>
              <w:rPr>
                <w:rFonts w:hint="eastAsia" w:ascii="仿宋" w:hAnsi="仿宋" w:eastAsia="仿宋" w:cs="仿宋"/>
                <w:sz w:val="20"/>
                <w:szCs w:val="21"/>
                <w:lang w:bidi="zh-CN"/>
              </w:rPr>
              <w:t>供</w:t>
            </w:r>
            <w:r>
              <w:rPr>
                <w:rFonts w:hint="eastAsia" w:ascii="仿宋" w:hAnsi="仿宋" w:eastAsia="仿宋" w:cs="仿宋"/>
                <w:color w:val="000000"/>
                <w:sz w:val="20"/>
                <w:szCs w:val="21"/>
              </w:rPr>
              <w:t>应商提供的</w:t>
            </w:r>
            <w:r>
              <w:rPr>
                <w:rFonts w:hint="eastAsia" w:ascii="仿宋" w:hAnsi="仿宋" w:eastAsia="仿宋" w:cs="仿宋"/>
                <w:b/>
                <w:sz w:val="20"/>
                <w:szCs w:val="21"/>
                <w:lang w:bidi="zh-CN"/>
              </w:rPr>
              <w:t>安全保障方</w:t>
            </w:r>
            <w:r>
              <w:rPr>
                <w:rFonts w:hint="eastAsia" w:ascii="仿宋" w:hAnsi="仿宋" w:eastAsia="仿宋" w:cs="仿宋"/>
                <w:color w:val="000000"/>
                <w:sz w:val="20"/>
                <w:szCs w:val="21"/>
              </w:rPr>
              <w:t>案 （包括安全培训、安全巡检、安全教育、安全监督管理等）进行综合评分：</w:t>
            </w:r>
          </w:p>
          <w:p w14:paraId="7E1631C2">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（1）方案内容全面，科学有效，可操作性强，得4分；</w:t>
            </w:r>
          </w:p>
          <w:p w14:paraId="6279D299">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（2）方案内容较全面，较科学，较有效，可操作性较强，得 2 分；</w:t>
            </w:r>
          </w:p>
          <w:p w14:paraId="7E1E654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（3）方案内容不完整，缺乏可操作性的得1分；</w:t>
            </w:r>
          </w:p>
          <w:p w14:paraId="039C2519">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（4）其他或未提供的不得分</w:t>
            </w:r>
          </w:p>
        </w:tc>
        <w:tc>
          <w:tcPr>
            <w:tcW w:w="832" w:type="dxa"/>
            <w:noWrap w:val="0"/>
            <w:vAlign w:val="center"/>
          </w:tcPr>
          <w:p w14:paraId="49B7E0AD">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4</w:t>
            </w:r>
          </w:p>
        </w:tc>
        <w:tc>
          <w:tcPr>
            <w:tcW w:w="832" w:type="dxa"/>
            <w:noWrap w:val="0"/>
            <w:vAlign w:val="center"/>
          </w:tcPr>
          <w:p w14:paraId="49A05A81">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lang w:val="en-US" w:eastAsia="zh-CN"/>
              </w:rPr>
              <w:t>主观分</w:t>
            </w:r>
          </w:p>
        </w:tc>
      </w:tr>
      <w:tr w14:paraId="75A6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16DE3C32">
            <w:pPr>
              <w:widowControl/>
              <w:spacing w:line="336" w:lineRule="auto"/>
              <w:jc w:val="left"/>
              <w:rPr>
                <w:rFonts w:hint="eastAsia" w:ascii="仿宋" w:hAnsi="仿宋" w:eastAsia="仿宋" w:cs="仿宋"/>
                <w:color w:val="000000"/>
                <w:sz w:val="20"/>
                <w:szCs w:val="21"/>
              </w:rPr>
            </w:pPr>
            <w:r>
              <w:rPr>
                <w:rFonts w:hint="eastAsia" w:ascii="仿宋" w:hAnsi="仿宋" w:eastAsia="仿宋" w:cs="仿宋"/>
                <w:color w:val="000000"/>
                <w:sz w:val="20"/>
                <w:szCs w:val="21"/>
              </w:rPr>
              <w:t>2.1</w:t>
            </w:r>
          </w:p>
        </w:tc>
        <w:tc>
          <w:tcPr>
            <w:tcW w:w="1134" w:type="dxa"/>
            <w:vMerge w:val="restart"/>
            <w:noWrap w:val="0"/>
            <w:vAlign w:val="center"/>
          </w:tcPr>
          <w:p w14:paraId="10EBE5EA">
            <w:pPr>
              <w:rPr>
                <w:rFonts w:hint="eastAsia" w:ascii="仿宋" w:hAnsi="仿宋" w:eastAsia="仿宋" w:cs="仿宋"/>
                <w:sz w:val="21"/>
                <w:szCs w:val="21"/>
                <w:lang w:val="zh-CN" w:eastAsia="zh-CN" w:bidi="zh-CN"/>
              </w:rPr>
            </w:pPr>
            <w:r>
              <w:rPr>
                <w:rFonts w:hint="eastAsia" w:ascii="仿宋" w:hAnsi="仿宋" w:eastAsia="仿宋" w:cs="仿宋"/>
                <w:sz w:val="21"/>
                <w:szCs w:val="21"/>
                <w:lang w:val="zh-CN" w:eastAsia="zh-CN" w:bidi="zh-CN"/>
              </w:rPr>
              <w:t>服务水平（</w:t>
            </w:r>
            <w:r>
              <w:rPr>
                <w:rFonts w:hint="eastAsia" w:ascii="仿宋" w:hAnsi="仿宋" w:eastAsia="仿宋" w:cs="仿宋"/>
                <w:sz w:val="21"/>
                <w:szCs w:val="21"/>
                <w:lang w:val="en-US" w:eastAsia="zh-CN" w:bidi="zh-CN"/>
              </w:rPr>
              <w:t>33分</w:t>
            </w:r>
            <w:r>
              <w:rPr>
                <w:rFonts w:hint="eastAsia" w:ascii="仿宋" w:hAnsi="仿宋" w:eastAsia="仿宋" w:cs="仿宋"/>
                <w:sz w:val="21"/>
                <w:szCs w:val="21"/>
                <w:lang w:val="zh-CN" w:eastAsia="zh-CN" w:bidi="zh-CN"/>
              </w:rPr>
              <w:t>）</w:t>
            </w:r>
          </w:p>
        </w:tc>
        <w:tc>
          <w:tcPr>
            <w:tcW w:w="6530" w:type="dxa"/>
            <w:noWrap w:val="0"/>
            <w:vAlign w:val="center"/>
          </w:tcPr>
          <w:p w14:paraId="3967D8AB">
            <w:pPr>
              <w:widowControl/>
              <w:jc w:val="left"/>
              <w:rPr>
                <w:rFonts w:hint="eastAsia" w:ascii="仿宋" w:hAnsi="仿宋" w:eastAsia="仿宋" w:cs="仿宋"/>
                <w:color w:val="000000"/>
                <w:sz w:val="20"/>
                <w:szCs w:val="21"/>
              </w:rPr>
            </w:pPr>
            <w:r>
              <w:rPr>
                <w:rFonts w:hint="eastAsia" w:ascii="仿宋" w:hAnsi="仿宋" w:eastAsia="仿宋" w:cs="仿宋"/>
                <w:sz w:val="20"/>
                <w:szCs w:val="20"/>
              </w:rPr>
              <w:t>评委根据供应商提供的团队人员配置进行综合评分：</w:t>
            </w:r>
            <w:r>
              <w:rPr>
                <w:rFonts w:hint="eastAsia" w:ascii="仿宋" w:hAnsi="仿宋" w:eastAsia="仿宋" w:cs="仿宋"/>
                <w:sz w:val="20"/>
                <w:szCs w:val="20"/>
              </w:rPr>
              <w:br w:type="textWrapping" w:clear="all"/>
            </w:r>
            <w:r>
              <w:rPr>
                <w:rFonts w:hint="eastAsia" w:ascii="仿宋" w:hAnsi="仿宋" w:eastAsia="仿宋" w:cs="仿宋"/>
                <w:b/>
                <w:bCs/>
                <w:color w:val="000000"/>
                <w:sz w:val="20"/>
                <w:szCs w:val="21"/>
              </w:rPr>
              <w:t>1.专业技术人员项目负责人外（10分）</w:t>
            </w:r>
          </w:p>
          <w:p w14:paraId="35947017">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①个训教师数量需达到3人，每增加1人加0.5分，最高得2分；</w:t>
            </w:r>
          </w:p>
          <w:p w14:paraId="1F776BCA">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②具有5年及以上康复工作经验，有1人加1分，最高得2分；</w:t>
            </w:r>
          </w:p>
          <w:p w14:paraId="30950E8C">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③取得康复服务相关专业中级职称的，有1人得0.5分；取得康复服务相关专业高级职称的，有1人得1分，最高得4分；</w:t>
            </w:r>
          </w:p>
          <w:p w14:paraId="28E7FCC0">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④康复人员具有BCABA或BCBA国际认证证书的得1分，最高得2分。</w:t>
            </w:r>
          </w:p>
          <w:p w14:paraId="58ACD6EF">
            <w:pPr>
              <w:widowControl/>
              <w:jc w:val="left"/>
              <w:rPr>
                <w:rFonts w:hint="eastAsia" w:ascii="仿宋" w:hAnsi="仿宋" w:eastAsia="仿宋" w:cs="仿宋"/>
                <w:b/>
                <w:bCs/>
                <w:color w:val="000000"/>
                <w:sz w:val="20"/>
                <w:szCs w:val="21"/>
              </w:rPr>
            </w:pPr>
            <w:r>
              <w:rPr>
                <w:rFonts w:hint="eastAsia" w:ascii="仿宋" w:hAnsi="仿宋" w:eastAsia="仿宋" w:cs="仿宋"/>
                <w:b/>
                <w:bCs/>
                <w:color w:val="000000"/>
                <w:sz w:val="20"/>
                <w:szCs w:val="21"/>
              </w:rPr>
              <w:t>2.项目负责人（2分）</w:t>
            </w:r>
          </w:p>
          <w:p w14:paraId="5CB81AE5">
            <w:pPr>
              <w:widowControl/>
              <w:jc w:val="left"/>
              <w:rPr>
                <w:rFonts w:hint="eastAsia" w:ascii="仿宋" w:hAnsi="仿宋" w:eastAsia="仿宋" w:cs="仿宋"/>
                <w:color w:val="000000"/>
                <w:sz w:val="20"/>
                <w:szCs w:val="21"/>
              </w:rPr>
            </w:pPr>
            <w:r>
              <w:rPr>
                <w:rFonts w:hint="eastAsia" w:ascii="仿宋" w:hAnsi="仿宋" w:eastAsia="仿宋" w:cs="仿宋"/>
                <w:color w:val="000000"/>
                <w:sz w:val="20"/>
                <w:szCs w:val="21"/>
              </w:rPr>
              <w:t>具有康复服务相关专业中级及以上职称的，得2分，不满足要求不得分。</w:t>
            </w:r>
          </w:p>
          <w:p w14:paraId="1E46BC0B">
            <w:pPr>
              <w:widowControl/>
              <w:jc w:val="left"/>
              <w:rPr>
                <w:rFonts w:hint="eastAsia" w:ascii="仿宋" w:hAnsi="仿宋" w:eastAsia="仿宋" w:cs="仿宋"/>
                <w:sz w:val="20"/>
                <w:szCs w:val="20"/>
              </w:rPr>
            </w:pPr>
            <w:r>
              <w:rPr>
                <w:rFonts w:hint="eastAsia" w:ascii="仿宋" w:hAnsi="仿宋" w:eastAsia="仿宋" w:cs="仿宋"/>
                <w:b/>
                <w:color w:val="000000"/>
                <w:sz w:val="20"/>
                <w:szCs w:val="21"/>
              </w:rPr>
              <w:t>注：根据供应商提供的专业技术人员的花名册（注明专业、工作经验等）进行综合评分。需提供个人专业技术证明，一人多证以最高职称为准。上述评分点中团队配置所有参与评分的人员均需提供20</w:t>
            </w:r>
            <w:r>
              <w:rPr>
                <w:rFonts w:hint="eastAsia" w:ascii="仿宋" w:hAnsi="仿宋" w:eastAsia="仿宋" w:cs="仿宋"/>
                <w:b/>
                <w:color w:val="000000"/>
                <w:sz w:val="20"/>
                <w:szCs w:val="21"/>
                <w:lang w:val="en-US" w:eastAsia="zh-CN"/>
              </w:rPr>
              <w:t>25</w:t>
            </w:r>
            <w:r>
              <w:rPr>
                <w:rFonts w:hint="eastAsia" w:ascii="仿宋" w:hAnsi="仿宋" w:eastAsia="仿宋" w:cs="仿宋"/>
                <w:b/>
                <w:color w:val="000000"/>
                <w:sz w:val="20"/>
                <w:szCs w:val="21"/>
              </w:rPr>
              <w:t>年01月以来任意1个月由供应商为其缴纳社保基金的证明材料（不包括返聘人员）。上述评分点证明资料不完整或不一致或不符合要求的不计分。</w:t>
            </w:r>
          </w:p>
        </w:tc>
        <w:tc>
          <w:tcPr>
            <w:tcW w:w="832" w:type="dxa"/>
            <w:noWrap w:val="0"/>
            <w:vAlign w:val="center"/>
          </w:tcPr>
          <w:p w14:paraId="5504ACA9">
            <w:pPr>
              <w:widowControl/>
              <w:spacing w:line="336" w:lineRule="auto"/>
              <w:jc w:val="center"/>
              <w:rPr>
                <w:rFonts w:hint="eastAsia" w:ascii="仿宋" w:hAnsi="仿宋" w:eastAsia="仿宋" w:cs="仿宋"/>
                <w:color w:val="000000"/>
                <w:sz w:val="20"/>
                <w:szCs w:val="21"/>
              </w:rPr>
            </w:pPr>
            <w:r>
              <w:rPr>
                <w:rFonts w:hint="eastAsia" w:ascii="仿宋" w:hAnsi="仿宋" w:eastAsia="仿宋" w:cs="仿宋"/>
                <w:color w:val="000000"/>
                <w:sz w:val="20"/>
                <w:szCs w:val="21"/>
              </w:rPr>
              <w:t>12</w:t>
            </w:r>
          </w:p>
        </w:tc>
        <w:tc>
          <w:tcPr>
            <w:tcW w:w="832" w:type="dxa"/>
            <w:noWrap w:val="0"/>
            <w:vAlign w:val="center"/>
          </w:tcPr>
          <w:p w14:paraId="62E70C7C">
            <w:pPr>
              <w:widowControl/>
              <w:spacing w:line="336" w:lineRule="auto"/>
              <w:jc w:val="center"/>
              <w:rPr>
                <w:rFonts w:hint="eastAsia" w:ascii="仿宋" w:hAnsi="仿宋" w:eastAsia="仿宋" w:cs="仿宋"/>
                <w:color w:val="000000"/>
                <w:sz w:val="20"/>
                <w:szCs w:val="21"/>
                <w:lang w:val="en-US" w:eastAsia="zh-CN"/>
              </w:rPr>
            </w:pPr>
            <w:r>
              <w:rPr>
                <w:rFonts w:hint="eastAsia" w:ascii="仿宋" w:hAnsi="仿宋" w:eastAsia="仿宋" w:cs="仿宋"/>
                <w:color w:val="000000"/>
                <w:sz w:val="20"/>
                <w:szCs w:val="21"/>
                <w:lang w:val="en-US" w:eastAsia="zh-CN"/>
              </w:rPr>
              <w:t>客观分</w:t>
            </w:r>
          </w:p>
        </w:tc>
      </w:tr>
      <w:tr w14:paraId="6BCF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0C62EBA7">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2.2</w:t>
            </w:r>
          </w:p>
        </w:tc>
        <w:tc>
          <w:tcPr>
            <w:tcW w:w="1134" w:type="dxa"/>
            <w:vMerge w:val="continue"/>
            <w:noWrap w:val="0"/>
            <w:vAlign w:val="center"/>
          </w:tcPr>
          <w:p w14:paraId="1303141E">
            <w:pPr>
              <w:widowControl/>
              <w:jc w:val="left"/>
              <w:rPr>
                <w:rFonts w:hint="eastAsia" w:ascii="仿宋" w:hAnsi="仿宋" w:eastAsia="仿宋" w:cs="仿宋"/>
                <w:b/>
                <w:spacing w:val="-3"/>
                <w:sz w:val="20"/>
                <w:szCs w:val="21"/>
                <w:highlight w:val="none"/>
                <w:lang w:val="zh-CN" w:bidi="zh-CN"/>
              </w:rPr>
            </w:pPr>
          </w:p>
        </w:tc>
        <w:tc>
          <w:tcPr>
            <w:tcW w:w="6530" w:type="dxa"/>
            <w:noWrap w:val="0"/>
            <w:vAlign w:val="center"/>
          </w:tcPr>
          <w:p w14:paraId="7291DB71">
            <w:pPr>
              <w:widowControl/>
              <w:jc w:val="left"/>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评委根据供应商提供的</w:t>
            </w:r>
            <w:r>
              <w:rPr>
                <w:rFonts w:hint="eastAsia" w:ascii="仿宋" w:hAnsi="仿宋" w:eastAsia="仿宋" w:cs="仿宋"/>
                <w:spacing w:val="-3"/>
                <w:sz w:val="20"/>
                <w:szCs w:val="21"/>
                <w:highlight w:val="none"/>
                <w:lang w:val="zh-CN" w:bidi="zh-CN"/>
              </w:rPr>
              <w:t>设施设备</w:t>
            </w:r>
            <w:r>
              <w:rPr>
                <w:rFonts w:hint="eastAsia" w:ascii="仿宋" w:hAnsi="仿宋" w:eastAsia="仿宋" w:cs="仿宋"/>
                <w:sz w:val="20"/>
                <w:szCs w:val="20"/>
                <w:highlight w:val="none"/>
              </w:rPr>
              <w:t>进行综合评分：</w:t>
            </w:r>
          </w:p>
          <w:p w14:paraId="58009C20">
            <w:pPr>
              <w:widowControl/>
              <w:jc w:val="left"/>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1.场地设置（3分）</w:t>
            </w:r>
          </w:p>
          <w:p w14:paraId="4F370A35">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评委根据供应商提供的个训教室数量进行综合评分，</w:t>
            </w:r>
          </w:p>
          <w:p w14:paraId="79036111">
            <w:pPr>
              <w:widowControl/>
              <w:jc w:val="left"/>
              <w:rPr>
                <w:rFonts w:hint="eastAsia" w:ascii="仿宋" w:hAnsi="仿宋" w:eastAsia="仿宋" w:cs="仿宋"/>
                <w:color w:val="000000"/>
                <w:sz w:val="20"/>
                <w:szCs w:val="21"/>
                <w:highlight w:val="none"/>
              </w:rPr>
            </w:pPr>
            <w:r>
              <w:rPr>
                <w:rFonts w:hint="eastAsia" w:ascii="仿宋" w:hAnsi="仿宋" w:eastAsia="仿宋" w:cs="仿宋"/>
                <w:sz w:val="20"/>
                <w:szCs w:val="21"/>
                <w:highlight w:val="none"/>
              </w:rPr>
              <w:t>个</w:t>
            </w:r>
            <w:r>
              <w:rPr>
                <w:rFonts w:hint="eastAsia" w:ascii="仿宋" w:hAnsi="仿宋" w:eastAsia="仿宋" w:cs="仿宋"/>
                <w:color w:val="000000"/>
                <w:sz w:val="20"/>
                <w:szCs w:val="21"/>
                <w:highlight w:val="none"/>
              </w:rPr>
              <w:t>训室数量达到5间的得1分，每增加1间加1分，最多得3分，不满足要求不得分。</w:t>
            </w:r>
          </w:p>
          <w:p w14:paraId="13ECD3E6">
            <w:pPr>
              <w:widowControl/>
              <w:jc w:val="left"/>
              <w:rPr>
                <w:rFonts w:hint="eastAsia" w:ascii="仿宋" w:hAnsi="仿宋" w:eastAsia="仿宋" w:cs="仿宋"/>
                <w:b/>
                <w:color w:val="000000"/>
                <w:sz w:val="20"/>
                <w:szCs w:val="21"/>
                <w:highlight w:val="none"/>
              </w:rPr>
            </w:pPr>
            <w:r>
              <w:rPr>
                <w:rFonts w:hint="eastAsia" w:ascii="仿宋" w:hAnsi="仿宋" w:eastAsia="仿宋" w:cs="仿宋"/>
                <w:b/>
                <w:color w:val="000000"/>
                <w:sz w:val="20"/>
                <w:szCs w:val="21"/>
                <w:highlight w:val="none"/>
              </w:rPr>
              <w:t>2.康复设备（3分）</w:t>
            </w:r>
          </w:p>
          <w:p w14:paraId="16F19F8C">
            <w:pPr>
              <w:widowControl/>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 评委根据供应商提供的设备情况进行综合评分：</w:t>
            </w:r>
          </w:p>
          <w:p w14:paraId="056B3078">
            <w:pPr>
              <w:widowControl/>
              <w:jc w:val="left"/>
              <w:rPr>
                <w:rFonts w:hint="eastAsia" w:ascii="仿宋" w:hAnsi="仿宋" w:eastAsia="仿宋" w:cs="仿宋"/>
                <w:b/>
                <w:spacing w:val="-3"/>
                <w:sz w:val="20"/>
                <w:szCs w:val="21"/>
                <w:highlight w:val="none"/>
                <w:lang w:val="zh-CN" w:bidi="zh-CN"/>
              </w:rPr>
            </w:pPr>
            <w:r>
              <w:rPr>
                <w:rFonts w:hint="eastAsia" w:ascii="仿宋" w:hAnsi="仿宋" w:eastAsia="仿宋" w:cs="仿宋"/>
                <w:sz w:val="20"/>
                <w:szCs w:val="20"/>
                <w:highlight w:val="none"/>
              </w:rPr>
              <w:t>满足康复训练设备数量下限（12种），每增加一种得1分，最多3分，</w:t>
            </w:r>
            <w:r>
              <w:rPr>
                <w:rFonts w:hint="eastAsia" w:ascii="仿宋" w:hAnsi="仿宋" w:eastAsia="仿宋" w:cs="仿宋"/>
                <w:color w:val="000000"/>
                <w:sz w:val="20"/>
                <w:szCs w:val="21"/>
                <w:highlight w:val="none"/>
              </w:rPr>
              <w:t>不满足要求不得分</w:t>
            </w:r>
            <w:r>
              <w:rPr>
                <w:rFonts w:hint="eastAsia" w:ascii="仿宋" w:hAnsi="仿宋" w:eastAsia="仿宋" w:cs="仿宋"/>
                <w:sz w:val="20"/>
                <w:szCs w:val="20"/>
                <w:highlight w:val="none"/>
              </w:rPr>
              <w:t>；</w:t>
            </w:r>
            <w:r>
              <w:rPr>
                <w:rFonts w:hint="eastAsia" w:ascii="仿宋" w:hAnsi="仿宋" w:eastAsia="仿宋" w:cs="仿宋"/>
                <w:sz w:val="20"/>
                <w:szCs w:val="20"/>
                <w:highlight w:val="none"/>
              </w:rPr>
              <w:br w:type="textWrapping" w:clear="all"/>
            </w:r>
            <w:r>
              <w:rPr>
                <w:rFonts w:hint="eastAsia" w:ascii="仿宋" w:hAnsi="仿宋" w:eastAsia="仿宋" w:cs="仿宋"/>
                <w:sz w:val="20"/>
                <w:szCs w:val="20"/>
                <w:highlight w:val="none"/>
              </w:rPr>
              <w:t>注：</w:t>
            </w:r>
            <w:r>
              <w:rPr>
                <w:rFonts w:hint="eastAsia" w:ascii="仿宋" w:hAnsi="仿宋" w:eastAsia="仿宋" w:cs="仿宋"/>
                <w:b/>
                <w:bCs/>
                <w:sz w:val="20"/>
                <w:szCs w:val="20"/>
                <w:highlight w:val="none"/>
              </w:rPr>
              <w:t>需提供完整的设施设备清单</w:t>
            </w:r>
            <w:r>
              <w:rPr>
                <w:rFonts w:hint="eastAsia" w:ascii="仿宋" w:hAnsi="仿宋" w:eastAsia="仿宋" w:cs="仿宋"/>
                <w:sz w:val="20"/>
                <w:szCs w:val="20"/>
                <w:highlight w:val="none"/>
              </w:rPr>
              <w:t>（需包括设备名称、数量、购置时间等）、</w:t>
            </w:r>
            <w:r>
              <w:rPr>
                <w:rFonts w:hint="eastAsia" w:ascii="仿宋" w:hAnsi="仿宋" w:eastAsia="仿宋" w:cs="仿宋"/>
                <w:b/>
                <w:bCs/>
                <w:sz w:val="20"/>
                <w:szCs w:val="20"/>
                <w:highlight w:val="none"/>
              </w:rPr>
              <w:t>设备购置发票及实物照片</w:t>
            </w:r>
            <w:r>
              <w:rPr>
                <w:rFonts w:hint="eastAsia" w:ascii="仿宋" w:hAnsi="仿宋" w:eastAsia="仿宋" w:cs="仿宋"/>
                <w:sz w:val="20"/>
                <w:szCs w:val="20"/>
                <w:highlight w:val="none"/>
              </w:rPr>
              <w:t>，上述证明材料缺项的不得分。证明材料与供应商名称不一致时需提供相关说明及证明材料，否则不得分。</w:t>
            </w:r>
          </w:p>
        </w:tc>
        <w:tc>
          <w:tcPr>
            <w:tcW w:w="832" w:type="dxa"/>
            <w:noWrap w:val="0"/>
            <w:vAlign w:val="center"/>
          </w:tcPr>
          <w:p w14:paraId="307F86B4">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6</w:t>
            </w:r>
          </w:p>
        </w:tc>
        <w:tc>
          <w:tcPr>
            <w:tcW w:w="832" w:type="dxa"/>
            <w:noWrap w:val="0"/>
            <w:vAlign w:val="center"/>
          </w:tcPr>
          <w:p w14:paraId="5381780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4109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3DC211C9">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2.3</w:t>
            </w:r>
          </w:p>
        </w:tc>
        <w:tc>
          <w:tcPr>
            <w:tcW w:w="1134" w:type="dxa"/>
            <w:vMerge w:val="continue"/>
            <w:noWrap w:val="0"/>
            <w:vAlign w:val="center"/>
          </w:tcPr>
          <w:p w14:paraId="412F0902">
            <w:pPr>
              <w:widowControl/>
              <w:spacing w:line="336" w:lineRule="auto"/>
              <w:jc w:val="left"/>
              <w:rPr>
                <w:rFonts w:hint="eastAsia" w:ascii="仿宋" w:hAnsi="仿宋" w:eastAsia="仿宋" w:cs="仿宋"/>
                <w:color w:val="000000"/>
                <w:sz w:val="20"/>
                <w:szCs w:val="21"/>
                <w:highlight w:val="none"/>
              </w:rPr>
            </w:pPr>
          </w:p>
        </w:tc>
        <w:tc>
          <w:tcPr>
            <w:tcW w:w="6530" w:type="dxa"/>
            <w:noWrap w:val="0"/>
            <w:vAlign w:val="center"/>
          </w:tcPr>
          <w:p w14:paraId="4F736655">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1"/>
                <w:szCs w:val="21"/>
                <w:highlight w:val="none"/>
                <w:lang w:bidi="zh-CN"/>
              </w:rPr>
              <w:t>安全（5分）</w:t>
            </w:r>
          </w:p>
          <w:p w14:paraId="209957FF">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评委根据供应商提供</w:t>
            </w:r>
            <w:r>
              <w:rPr>
                <w:rFonts w:hint="eastAsia" w:ascii="仿宋" w:hAnsi="仿宋" w:eastAsia="仿宋" w:cs="仿宋"/>
                <w:sz w:val="20"/>
                <w:szCs w:val="21"/>
                <w:highlight w:val="none"/>
                <w:lang w:val="zh-CN" w:bidi="zh-CN"/>
              </w:rPr>
              <w:t>为服务对象购买场地意外险或公众责任险情况进行综合评分：</w:t>
            </w:r>
          </w:p>
          <w:p w14:paraId="1AA873FA">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为全部在训服务对象购买保险且连续无断档的得</w:t>
            </w:r>
            <w:r>
              <w:rPr>
                <w:rFonts w:hint="eastAsia" w:ascii="仿宋" w:hAnsi="仿宋" w:eastAsia="仿宋" w:cs="仿宋"/>
                <w:sz w:val="20"/>
                <w:szCs w:val="21"/>
                <w:highlight w:val="none"/>
                <w:lang w:bidi="zh-CN"/>
              </w:rPr>
              <w:t>5</w:t>
            </w:r>
            <w:r>
              <w:rPr>
                <w:rFonts w:hint="eastAsia" w:ascii="仿宋" w:hAnsi="仿宋" w:eastAsia="仿宋" w:cs="仿宋"/>
                <w:sz w:val="20"/>
                <w:szCs w:val="21"/>
                <w:highlight w:val="none"/>
                <w:lang w:val="zh-CN" w:bidi="zh-CN"/>
              </w:rPr>
              <w:t>分。</w:t>
            </w:r>
          </w:p>
          <w:p w14:paraId="6B941B74">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未</w:t>
            </w:r>
            <w:r>
              <w:rPr>
                <w:rFonts w:hint="eastAsia" w:ascii="仿宋" w:hAnsi="仿宋" w:eastAsia="仿宋" w:cs="仿宋"/>
                <w:sz w:val="20"/>
                <w:szCs w:val="21"/>
                <w:highlight w:val="none"/>
                <w:lang w:bidi="zh-CN"/>
              </w:rPr>
              <w:t>承诺</w:t>
            </w:r>
            <w:r>
              <w:rPr>
                <w:rFonts w:hint="eastAsia" w:ascii="仿宋" w:hAnsi="仿宋" w:eastAsia="仿宋" w:cs="仿宋"/>
                <w:sz w:val="20"/>
                <w:szCs w:val="21"/>
                <w:highlight w:val="none"/>
                <w:lang w:val="zh-CN" w:bidi="zh-CN"/>
              </w:rPr>
              <w:t>的不得分。</w:t>
            </w:r>
          </w:p>
          <w:p w14:paraId="0B4EF218">
            <w:pPr>
              <w:widowControl/>
              <w:jc w:val="left"/>
              <w:rPr>
                <w:rFonts w:hint="eastAsia" w:ascii="仿宋" w:hAnsi="仿宋" w:eastAsia="仿宋" w:cs="仿宋"/>
                <w:sz w:val="20"/>
                <w:szCs w:val="20"/>
                <w:highlight w:val="none"/>
                <w:lang w:val="zh-CN" w:bidi="zh-CN"/>
              </w:rPr>
            </w:pPr>
            <w:r>
              <w:rPr>
                <w:rFonts w:hint="eastAsia" w:ascii="仿宋" w:hAnsi="仿宋" w:eastAsia="仿宋" w:cs="仿宋"/>
                <w:b/>
                <w:spacing w:val="-3"/>
                <w:sz w:val="20"/>
                <w:szCs w:val="21"/>
                <w:highlight w:val="none"/>
                <w:lang w:val="zh-CN" w:bidi="zh-CN"/>
              </w:rPr>
              <w:t>注：提供承诺书。</w:t>
            </w:r>
          </w:p>
        </w:tc>
        <w:tc>
          <w:tcPr>
            <w:tcW w:w="832" w:type="dxa"/>
            <w:noWrap w:val="0"/>
            <w:vAlign w:val="center"/>
          </w:tcPr>
          <w:p w14:paraId="15B82300">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32" w:type="dxa"/>
            <w:noWrap w:val="0"/>
            <w:vAlign w:val="center"/>
          </w:tcPr>
          <w:p w14:paraId="07AD0D04">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071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697" w:type="dxa"/>
            <w:noWrap w:val="0"/>
            <w:vAlign w:val="center"/>
          </w:tcPr>
          <w:p w14:paraId="633929CA">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2.4</w:t>
            </w:r>
          </w:p>
        </w:tc>
        <w:tc>
          <w:tcPr>
            <w:tcW w:w="1134" w:type="dxa"/>
            <w:vMerge w:val="continue"/>
            <w:noWrap w:val="0"/>
            <w:vAlign w:val="center"/>
          </w:tcPr>
          <w:p w14:paraId="63A9CE13">
            <w:pPr>
              <w:widowControl/>
              <w:spacing w:line="336" w:lineRule="auto"/>
              <w:jc w:val="left"/>
              <w:rPr>
                <w:rFonts w:hint="eastAsia" w:ascii="仿宋" w:hAnsi="仿宋" w:eastAsia="仿宋" w:cs="仿宋"/>
                <w:color w:val="000000"/>
                <w:sz w:val="20"/>
                <w:szCs w:val="21"/>
                <w:highlight w:val="none"/>
              </w:rPr>
            </w:pPr>
          </w:p>
        </w:tc>
        <w:tc>
          <w:tcPr>
            <w:tcW w:w="6530" w:type="dxa"/>
            <w:noWrap w:val="0"/>
            <w:vAlign w:val="center"/>
          </w:tcPr>
          <w:p w14:paraId="6D01A710">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1"/>
                <w:szCs w:val="21"/>
                <w:highlight w:val="none"/>
                <w:lang w:bidi="zh-CN"/>
              </w:rPr>
              <w:t>考勤系统（</w:t>
            </w:r>
            <w:r>
              <w:rPr>
                <w:rFonts w:hint="eastAsia" w:ascii="仿宋" w:hAnsi="仿宋" w:eastAsia="仿宋" w:cs="仿宋"/>
                <w:sz w:val="21"/>
                <w:szCs w:val="21"/>
                <w:highlight w:val="none"/>
                <w:lang w:val="en-US" w:bidi="zh-CN"/>
              </w:rPr>
              <w:t>5</w:t>
            </w:r>
            <w:r>
              <w:rPr>
                <w:rFonts w:hint="eastAsia" w:ascii="仿宋" w:hAnsi="仿宋" w:eastAsia="仿宋" w:cs="仿宋"/>
                <w:sz w:val="21"/>
                <w:szCs w:val="21"/>
                <w:highlight w:val="none"/>
                <w:lang w:bidi="zh-CN"/>
              </w:rPr>
              <w:t>分）</w:t>
            </w:r>
          </w:p>
          <w:p w14:paraId="2A2BCB72">
            <w:pPr>
              <w:pStyle w:val="60"/>
              <w:widowControl/>
              <w:jc w:val="left"/>
              <w:rPr>
                <w:rFonts w:hint="eastAsia" w:ascii="仿宋" w:hAnsi="仿宋" w:eastAsia="仿宋" w:cs="仿宋"/>
                <w:sz w:val="21"/>
                <w:szCs w:val="21"/>
                <w:highlight w:val="none"/>
                <w:lang w:bidi="zh-CN"/>
              </w:rPr>
            </w:pPr>
            <w:r>
              <w:rPr>
                <w:rFonts w:hint="eastAsia" w:ascii="仿宋" w:hAnsi="仿宋" w:eastAsia="仿宋" w:cs="仿宋"/>
                <w:sz w:val="20"/>
                <w:szCs w:val="21"/>
                <w:highlight w:val="none"/>
                <w:lang w:bidi="zh-CN"/>
              </w:rPr>
              <w:t>评委根据供应商提供的</w:t>
            </w:r>
            <w:r>
              <w:rPr>
                <w:rFonts w:hint="eastAsia" w:ascii="仿宋" w:hAnsi="仿宋" w:eastAsia="仿宋" w:cs="仿宋"/>
                <w:sz w:val="21"/>
                <w:szCs w:val="21"/>
                <w:highlight w:val="none"/>
                <w:lang w:bidi="zh-CN"/>
              </w:rPr>
              <w:t>人脸识别系统考勤情况进行综合评分：</w:t>
            </w:r>
          </w:p>
          <w:p w14:paraId="6424FEEE">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val="zh-CN" w:bidi="zh-CN"/>
              </w:rPr>
              <w:t>有人脸识别系统并为服务对象进行考勤的得</w:t>
            </w:r>
            <w:r>
              <w:rPr>
                <w:rFonts w:hint="eastAsia" w:ascii="仿宋" w:hAnsi="仿宋" w:eastAsia="仿宋" w:cs="仿宋"/>
                <w:sz w:val="20"/>
                <w:szCs w:val="21"/>
                <w:highlight w:val="none"/>
                <w:lang w:val="en-US" w:bidi="zh-CN"/>
              </w:rPr>
              <w:t>5</w:t>
            </w:r>
            <w:r>
              <w:rPr>
                <w:rFonts w:hint="eastAsia" w:ascii="仿宋" w:hAnsi="仿宋" w:eastAsia="仿宋" w:cs="仿宋"/>
                <w:sz w:val="20"/>
                <w:szCs w:val="21"/>
                <w:highlight w:val="none"/>
                <w:lang w:val="zh-CN" w:bidi="zh-CN"/>
              </w:rPr>
              <w:t>分。</w:t>
            </w:r>
          </w:p>
          <w:p w14:paraId="550A8AB8">
            <w:pPr>
              <w:pStyle w:val="60"/>
              <w:widowControl/>
              <w:jc w:val="left"/>
              <w:rPr>
                <w:rFonts w:hint="eastAsia" w:ascii="仿宋" w:hAnsi="仿宋" w:eastAsia="仿宋" w:cs="仿宋"/>
                <w:sz w:val="20"/>
                <w:szCs w:val="21"/>
                <w:highlight w:val="none"/>
                <w:lang w:val="zh-CN" w:bidi="zh-CN"/>
              </w:rPr>
            </w:pPr>
            <w:r>
              <w:rPr>
                <w:rFonts w:hint="eastAsia" w:ascii="仿宋" w:hAnsi="仿宋" w:eastAsia="仿宋" w:cs="仿宋"/>
                <w:sz w:val="20"/>
                <w:szCs w:val="21"/>
                <w:highlight w:val="none"/>
                <w:lang w:bidi="zh-CN"/>
              </w:rPr>
              <w:t>不满足</w:t>
            </w:r>
            <w:r>
              <w:rPr>
                <w:rFonts w:hint="eastAsia" w:ascii="仿宋" w:hAnsi="仿宋" w:eastAsia="仿宋" w:cs="仿宋"/>
                <w:sz w:val="20"/>
                <w:szCs w:val="21"/>
                <w:highlight w:val="none"/>
                <w:lang w:val="zh-CN" w:bidi="zh-CN"/>
              </w:rPr>
              <w:t>的不得分。</w:t>
            </w:r>
          </w:p>
          <w:p w14:paraId="1844C64E">
            <w:pPr>
              <w:widowControl/>
              <w:jc w:val="left"/>
              <w:rPr>
                <w:rFonts w:hint="eastAsia" w:ascii="仿宋" w:hAnsi="仿宋" w:eastAsia="仿宋" w:cs="仿宋"/>
                <w:b/>
                <w:bCs/>
                <w:sz w:val="18"/>
                <w:szCs w:val="18"/>
                <w:highlight w:val="none"/>
              </w:rPr>
            </w:pPr>
            <w:r>
              <w:rPr>
                <w:rFonts w:hint="eastAsia" w:ascii="仿宋" w:hAnsi="仿宋" w:eastAsia="仿宋" w:cs="仿宋"/>
                <w:b/>
                <w:spacing w:val="-3"/>
                <w:sz w:val="20"/>
                <w:szCs w:val="21"/>
                <w:highlight w:val="none"/>
                <w:lang w:val="zh-CN" w:bidi="zh-CN"/>
              </w:rPr>
              <w:t>注：提供相关证明材料。</w:t>
            </w:r>
          </w:p>
        </w:tc>
        <w:tc>
          <w:tcPr>
            <w:tcW w:w="832" w:type="dxa"/>
            <w:noWrap w:val="0"/>
            <w:vAlign w:val="center"/>
          </w:tcPr>
          <w:p w14:paraId="01B81E1F">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5</w:t>
            </w:r>
          </w:p>
        </w:tc>
        <w:tc>
          <w:tcPr>
            <w:tcW w:w="832" w:type="dxa"/>
            <w:noWrap w:val="0"/>
            <w:vAlign w:val="center"/>
          </w:tcPr>
          <w:p w14:paraId="79B69C98">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33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697" w:type="dxa"/>
            <w:noWrap w:val="0"/>
            <w:vAlign w:val="center"/>
          </w:tcPr>
          <w:p w14:paraId="1EDFBAFE">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2.5</w:t>
            </w:r>
          </w:p>
        </w:tc>
        <w:tc>
          <w:tcPr>
            <w:tcW w:w="1134" w:type="dxa"/>
            <w:noWrap w:val="0"/>
            <w:vAlign w:val="center"/>
          </w:tcPr>
          <w:p w14:paraId="3ADD8F1E">
            <w:pPr>
              <w:widowControl/>
              <w:spacing w:line="336" w:lineRule="auto"/>
              <w:jc w:val="left"/>
              <w:rPr>
                <w:rFonts w:hint="eastAsia" w:ascii="仿宋" w:hAnsi="仿宋" w:eastAsia="仿宋" w:cs="仿宋"/>
                <w:spacing w:val="-3"/>
                <w:sz w:val="20"/>
                <w:szCs w:val="21"/>
                <w:highlight w:val="none"/>
                <w:lang w:val="zh-CN" w:bidi="zh-CN"/>
              </w:rPr>
            </w:pPr>
          </w:p>
        </w:tc>
        <w:tc>
          <w:tcPr>
            <w:tcW w:w="6530" w:type="dxa"/>
            <w:noWrap w:val="0"/>
            <w:vAlign w:val="top"/>
          </w:tcPr>
          <w:p w14:paraId="2C7DE290">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系统数据录入（5分）</w:t>
            </w:r>
          </w:p>
          <w:p w14:paraId="21ACB9A8">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评委根据供应商提供的各数据系统录入情况进行综合评分：</w:t>
            </w:r>
          </w:p>
          <w:p w14:paraId="54B73A06">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承诺录入中国残联儿童康复救助系统且数据完整的，得2分；</w:t>
            </w:r>
          </w:p>
          <w:p w14:paraId="23EB541D">
            <w:pPr>
              <w:pStyle w:val="60"/>
              <w:widowControl/>
              <w:jc w:val="left"/>
              <w:rPr>
                <w:rFonts w:hint="eastAsia" w:ascii="仿宋" w:hAnsi="仿宋" w:eastAsia="仿宋" w:cs="仿宋"/>
                <w:sz w:val="20"/>
                <w:szCs w:val="21"/>
                <w:highlight w:val="none"/>
                <w:lang w:bidi="zh-CN"/>
              </w:rPr>
            </w:pPr>
            <w:r>
              <w:rPr>
                <w:rFonts w:hint="eastAsia" w:ascii="仿宋" w:hAnsi="仿宋" w:eastAsia="仿宋" w:cs="仿宋"/>
                <w:sz w:val="20"/>
                <w:szCs w:val="21"/>
                <w:highlight w:val="none"/>
                <w:lang w:bidi="zh-CN"/>
              </w:rPr>
              <w:t>承诺录入省智慧残联系统且数据完整的，得3分。</w:t>
            </w:r>
          </w:p>
          <w:p w14:paraId="465E062A">
            <w:pPr>
              <w:ind w:left="0"/>
              <w:rPr>
                <w:rFonts w:hint="eastAsia" w:ascii="仿宋" w:hAnsi="仿宋" w:eastAsia="仿宋" w:cs="仿宋"/>
                <w:sz w:val="20"/>
                <w:szCs w:val="21"/>
                <w:highlight w:val="none"/>
                <w:lang w:val="en-US" w:eastAsia="zh-CN" w:bidi="zh-CN"/>
              </w:rPr>
            </w:pPr>
            <w:r>
              <w:rPr>
                <w:rFonts w:hint="eastAsia" w:ascii="仿宋" w:hAnsi="仿宋" w:eastAsia="仿宋" w:cs="仿宋"/>
                <w:sz w:val="20"/>
                <w:szCs w:val="21"/>
                <w:highlight w:val="none"/>
                <w:lang w:val="zh-CN" w:eastAsia="zh-CN" w:bidi="zh-CN"/>
              </w:rPr>
              <w:t>最高得</w:t>
            </w:r>
            <w:r>
              <w:rPr>
                <w:rFonts w:hint="eastAsia" w:ascii="仿宋" w:hAnsi="仿宋" w:eastAsia="仿宋" w:cs="仿宋"/>
                <w:sz w:val="20"/>
                <w:szCs w:val="21"/>
                <w:highlight w:val="none"/>
                <w:lang w:val="en-US" w:eastAsia="zh-CN" w:bidi="zh-CN"/>
              </w:rPr>
              <w:t>5分。</w:t>
            </w:r>
          </w:p>
          <w:p w14:paraId="5DD5FA10">
            <w:pPr>
              <w:ind w:left="0"/>
              <w:rPr>
                <w:rFonts w:hint="eastAsia" w:ascii="仿宋" w:hAnsi="仿宋" w:eastAsia="仿宋" w:cs="仿宋"/>
                <w:sz w:val="21"/>
                <w:szCs w:val="21"/>
                <w:highlight w:val="none"/>
                <w:lang w:val="zh-CN" w:eastAsia="zh-CN" w:bidi="zh-CN"/>
              </w:rPr>
            </w:pPr>
            <w:r>
              <w:rPr>
                <w:rFonts w:hint="eastAsia" w:ascii="仿宋" w:hAnsi="仿宋" w:eastAsia="仿宋" w:cs="仿宋"/>
                <w:b/>
                <w:spacing w:val="-3"/>
                <w:sz w:val="20"/>
                <w:szCs w:val="21"/>
                <w:highlight w:val="none"/>
                <w:lang w:val="zh-CN" w:eastAsia="zh-CN" w:bidi="zh-CN"/>
              </w:rPr>
              <w:t>注：提供承诺书。</w:t>
            </w:r>
          </w:p>
        </w:tc>
        <w:tc>
          <w:tcPr>
            <w:tcW w:w="832" w:type="dxa"/>
            <w:noWrap w:val="0"/>
            <w:vAlign w:val="center"/>
          </w:tcPr>
          <w:p w14:paraId="0E6531BD">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5</w:t>
            </w:r>
          </w:p>
        </w:tc>
        <w:tc>
          <w:tcPr>
            <w:tcW w:w="832" w:type="dxa"/>
            <w:noWrap w:val="0"/>
            <w:vAlign w:val="center"/>
          </w:tcPr>
          <w:p w14:paraId="0F53D802">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5D99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697" w:type="dxa"/>
            <w:noWrap w:val="0"/>
            <w:vAlign w:val="center"/>
          </w:tcPr>
          <w:p w14:paraId="30F30156">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3.1</w:t>
            </w:r>
          </w:p>
        </w:tc>
        <w:tc>
          <w:tcPr>
            <w:tcW w:w="1134" w:type="dxa"/>
            <w:vMerge w:val="restart"/>
            <w:noWrap w:val="0"/>
            <w:vAlign w:val="center"/>
          </w:tcPr>
          <w:p w14:paraId="512FDF42">
            <w:pPr>
              <w:widowControl/>
              <w:spacing w:line="336" w:lineRule="auto"/>
              <w:jc w:val="left"/>
              <w:rPr>
                <w:rFonts w:hint="eastAsia" w:ascii="仿宋" w:hAnsi="仿宋" w:eastAsia="仿宋" w:cs="仿宋"/>
                <w:color w:val="000000"/>
                <w:sz w:val="20"/>
                <w:szCs w:val="21"/>
                <w:highlight w:val="none"/>
                <w:lang w:eastAsia="zh-CN"/>
              </w:rPr>
            </w:pPr>
            <w:r>
              <w:rPr>
                <w:rFonts w:hint="eastAsia" w:ascii="仿宋" w:hAnsi="仿宋" w:eastAsia="仿宋" w:cs="仿宋"/>
                <w:spacing w:val="-3"/>
                <w:sz w:val="20"/>
                <w:szCs w:val="21"/>
                <w:highlight w:val="none"/>
                <w:lang w:val="zh-CN" w:bidi="zh-CN"/>
              </w:rPr>
              <w:t>服务</w:t>
            </w:r>
            <w:r>
              <w:rPr>
                <w:rFonts w:hint="eastAsia" w:ascii="仿宋" w:hAnsi="仿宋" w:eastAsia="仿宋" w:cs="仿宋"/>
                <w:color w:val="000000"/>
                <w:sz w:val="20"/>
                <w:szCs w:val="21"/>
                <w:highlight w:val="none"/>
              </w:rPr>
              <w:t>业绩</w:t>
            </w:r>
            <w:r>
              <w:rPr>
                <w:rFonts w:hint="eastAsia" w:ascii="仿宋" w:hAnsi="仿宋" w:eastAsia="仿宋" w:cs="仿宋"/>
                <w:color w:val="000000"/>
                <w:sz w:val="20"/>
                <w:szCs w:val="21"/>
                <w:highlight w:val="none"/>
                <w:lang w:eastAsia="zh-CN"/>
              </w:rPr>
              <w:t>（</w:t>
            </w:r>
            <w:r>
              <w:rPr>
                <w:rFonts w:hint="eastAsia" w:ascii="仿宋" w:hAnsi="仿宋" w:eastAsia="仿宋" w:cs="仿宋"/>
                <w:color w:val="000000"/>
                <w:sz w:val="20"/>
                <w:szCs w:val="21"/>
                <w:highlight w:val="none"/>
                <w:lang w:val="en-US" w:eastAsia="zh-CN"/>
              </w:rPr>
              <w:t>13分</w:t>
            </w:r>
            <w:r>
              <w:rPr>
                <w:rFonts w:hint="eastAsia" w:ascii="仿宋" w:hAnsi="仿宋" w:eastAsia="仿宋" w:cs="仿宋"/>
                <w:color w:val="000000"/>
                <w:sz w:val="20"/>
                <w:szCs w:val="21"/>
                <w:highlight w:val="none"/>
                <w:lang w:eastAsia="zh-CN"/>
              </w:rPr>
              <w:t>）</w:t>
            </w:r>
          </w:p>
        </w:tc>
        <w:tc>
          <w:tcPr>
            <w:tcW w:w="6530" w:type="dxa"/>
            <w:noWrap w:val="0"/>
            <w:vAlign w:val="top"/>
          </w:tcPr>
          <w:p w14:paraId="4F2005CC">
            <w:pPr>
              <w:widowControl/>
              <w:jc w:val="left"/>
              <w:rPr>
                <w:rFonts w:hint="eastAsia" w:ascii="仿宋" w:hAnsi="仿宋" w:eastAsia="仿宋" w:cs="仿宋"/>
                <w:b/>
                <w:bCs/>
                <w:sz w:val="20"/>
                <w:szCs w:val="20"/>
                <w:highlight w:val="none"/>
                <w:lang w:val="zh-CN"/>
              </w:rPr>
            </w:pPr>
            <w:r>
              <w:rPr>
                <w:rFonts w:hint="eastAsia" w:ascii="仿宋" w:hAnsi="仿宋" w:eastAsia="仿宋" w:cs="仿宋"/>
                <w:b/>
                <w:bCs/>
                <w:sz w:val="20"/>
                <w:szCs w:val="20"/>
                <w:highlight w:val="none"/>
                <w:lang w:val="zh-CN"/>
              </w:rPr>
              <w:t>服务经验</w:t>
            </w:r>
          </w:p>
          <w:p w14:paraId="6374B768">
            <w:pPr>
              <w:widowControl/>
              <w:jc w:val="left"/>
              <w:rPr>
                <w:rFonts w:hint="eastAsia" w:ascii="仿宋" w:hAnsi="仿宋" w:eastAsia="仿宋" w:cs="仿宋"/>
                <w:sz w:val="20"/>
                <w:szCs w:val="20"/>
                <w:highlight w:val="none"/>
                <w:lang w:val="zh-CN"/>
              </w:rPr>
            </w:pPr>
            <w:r>
              <w:rPr>
                <w:rFonts w:hint="eastAsia" w:ascii="仿宋" w:hAnsi="仿宋" w:eastAsia="仿宋" w:cs="仿宋"/>
                <w:sz w:val="20"/>
                <w:szCs w:val="20"/>
                <w:highlight w:val="none"/>
                <w:lang w:val="zh-CN"/>
              </w:rPr>
              <w:t>评委根据供应商提供服务对象的诊断证明(医院出具)和收治证明(202</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val="zh-CN"/>
              </w:rPr>
              <w:t>年1月1 日以后)，缺项不得分。每提供1名服务对象的得0.5 分，最多得10分。</w:t>
            </w:r>
          </w:p>
          <w:p w14:paraId="2D9A0D0D">
            <w:pPr>
              <w:ind w:left="0"/>
              <w:rPr>
                <w:rFonts w:hint="eastAsia" w:ascii="仿宋" w:hAnsi="仿宋" w:eastAsia="仿宋" w:cs="仿宋"/>
                <w:sz w:val="21"/>
                <w:szCs w:val="21"/>
                <w:highlight w:val="none"/>
                <w:lang w:val="zh-CN" w:eastAsia="zh-CN" w:bidi="zh-CN"/>
              </w:rPr>
            </w:pPr>
            <w:r>
              <w:rPr>
                <w:rFonts w:hint="eastAsia" w:ascii="仿宋" w:hAnsi="仿宋" w:eastAsia="仿宋" w:cs="仿宋"/>
                <w:b/>
                <w:bCs/>
                <w:sz w:val="21"/>
                <w:szCs w:val="21"/>
                <w:highlight w:val="none"/>
                <w:lang w:val="zh-CN" w:eastAsia="zh-CN" w:bidi="zh-CN"/>
              </w:rPr>
              <w:t>注:提供相关证明材料。</w:t>
            </w:r>
          </w:p>
        </w:tc>
        <w:tc>
          <w:tcPr>
            <w:tcW w:w="832" w:type="dxa"/>
            <w:noWrap w:val="0"/>
            <w:vAlign w:val="center"/>
          </w:tcPr>
          <w:p w14:paraId="1CE744EB">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w:t>
            </w:r>
          </w:p>
        </w:tc>
        <w:tc>
          <w:tcPr>
            <w:tcW w:w="832" w:type="dxa"/>
            <w:noWrap w:val="0"/>
            <w:vAlign w:val="center"/>
          </w:tcPr>
          <w:p w14:paraId="66E04758">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65AC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blHeader/>
          <w:jc w:val="center"/>
        </w:trPr>
        <w:tc>
          <w:tcPr>
            <w:tcW w:w="697" w:type="dxa"/>
            <w:noWrap w:val="0"/>
            <w:vAlign w:val="center"/>
          </w:tcPr>
          <w:p w14:paraId="42C69BFC">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3.2</w:t>
            </w:r>
          </w:p>
        </w:tc>
        <w:tc>
          <w:tcPr>
            <w:tcW w:w="1134" w:type="dxa"/>
            <w:vMerge w:val="continue"/>
            <w:noWrap w:val="0"/>
            <w:vAlign w:val="center"/>
          </w:tcPr>
          <w:p w14:paraId="674AD5E8">
            <w:pPr>
              <w:widowControl/>
              <w:spacing w:line="336" w:lineRule="auto"/>
              <w:jc w:val="left"/>
              <w:rPr>
                <w:rFonts w:hint="eastAsia" w:ascii="仿宋" w:hAnsi="仿宋" w:eastAsia="仿宋" w:cs="仿宋"/>
                <w:spacing w:val="-3"/>
                <w:sz w:val="20"/>
                <w:szCs w:val="21"/>
                <w:highlight w:val="none"/>
                <w:lang w:val="zh-CN" w:bidi="zh-CN"/>
              </w:rPr>
            </w:pPr>
          </w:p>
        </w:tc>
        <w:tc>
          <w:tcPr>
            <w:tcW w:w="6530" w:type="dxa"/>
            <w:noWrap w:val="0"/>
            <w:vAlign w:val="center"/>
          </w:tcPr>
          <w:p w14:paraId="1B211B06">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获奖情况</w:t>
            </w:r>
          </w:p>
          <w:p w14:paraId="3EB5A230">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评委根据供应商提供自20</w:t>
            </w:r>
            <w:r>
              <w:rPr>
                <w:rFonts w:hint="eastAsia" w:ascii="仿宋" w:hAnsi="仿宋" w:eastAsia="仿宋" w:cs="仿宋"/>
                <w:spacing w:val="-3"/>
                <w:sz w:val="20"/>
                <w:szCs w:val="21"/>
                <w:highlight w:val="none"/>
                <w:lang w:val="en-US" w:bidi="zh-CN"/>
              </w:rPr>
              <w:t>20</w:t>
            </w:r>
            <w:r>
              <w:rPr>
                <w:rFonts w:hint="eastAsia" w:ascii="仿宋" w:hAnsi="仿宋" w:eastAsia="仿宋" w:cs="仿宋"/>
                <w:spacing w:val="-3"/>
                <w:sz w:val="20"/>
                <w:szCs w:val="21"/>
                <w:highlight w:val="none"/>
                <w:lang w:val="zh-CN" w:bidi="zh-CN"/>
              </w:rPr>
              <w:t>年以来在残疾人康复服务中获得残联、民政、卫生等相关部门表扬或奖励情况打分（可叠加）：</w:t>
            </w:r>
          </w:p>
          <w:p w14:paraId="42CAA9BA">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每有1个省级（含）以上表彰的得3分；</w:t>
            </w:r>
          </w:p>
          <w:p w14:paraId="0A65ED6E">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每有1个市级表彰的得2分；</w:t>
            </w:r>
          </w:p>
          <w:p w14:paraId="6EC7FEE2">
            <w:pPr>
              <w:widowControl/>
              <w:jc w:val="left"/>
              <w:rPr>
                <w:rFonts w:hint="eastAsia" w:ascii="仿宋" w:hAnsi="仿宋" w:eastAsia="仿宋" w:cs="仿宋"/>
                <w:spacing w:val="-3"/>
                <w:sz w:val="20"/>
                <w:szCs w:val="21"/>
                <w:highlight w:val="none"/>
                <w:lang w:val="zh-CN" w:bidi="zh-CN"/>
              </w:rPr>
            </w:pPr>
            <w:r>
              <w:rPr>
                <w:rFonts w:hint="eastAsia" w:ascii="仿宋" w:hAnsi="仿宋" w:eastAsia="仿宋" w:cs="仿宋"/>
                <w:spacing w:val="-3"/>
                <w:sz w:val="20"/>
                <w:szCs w:val="21"/>
                <w:highlight w:val="none"/>
                <w:lang w:val="zh-CN" w:bidi="zh-CN"/>
              </w:rPr>
              <w:t>每有1个区级表彰的得1分。</w:t>
            </w:r>
          </w:p>
          <w:p w14:paraId="14C9D2C8">
            <w:pPr>
              <w:ind w:left="0"/>
              <w:rPr>
                <w:rFonts w:hint="eastAsia" w:ascii="仿宋" w:hAnsi="仿宋" w:eastAsia="仿宋" w:cs="仿宋"/>
                <w:sz w:val="21"/>
                <w:szCs w:val="21"/>
                <w:highlight w:val="none"/>
                <w:lang w:val="en-US" w:eastAsia="zh-CN" w:bidi="zh-CN"/>
              </w:rPr>
            </w:pPr>
            <w:r>
              <w:rPr>
                <w:rFonts w:hint="eastAsia" w:ascii="仿宋" w:hAnsi="仿宋" w:eastAsia="仿宋" w:cs="仿宋"/>
                <w:spacing w:val="-3"/>
                <w:sz w:val="21"/>
                <w:szCs w:val="21"/>
                <w:highlight w:val="none"/>
                <w:lang w:val="zh-CN" w:eastAsia="zh-CN" w:bidi="zh-CN"/>
              </w:rPr>
              <w:t>最高得</w:t>
            </w:r>
            <w:r>
              <w:rPr>
                <w:rFonts w:hint="eastAsia" w:ascii="仿宋" w:hAnsi="仿宋" w:eastAsia="仿宋" w:cs="仿宋"/>
                <w:spacing w:val="-3"/>
                <w:sz w:val="21"/>
                <w:szCs w:val="21"/>
                <w:highlight w:val="none"/>
                <w:lang w:val="en-US" w:eastAsia="zh-CN" w:bidi="zh-CN"/>
              </w:rPr>
              <w:t>3分。</w:t>
            </w:r>
          </w:p>
          <w:p w14:paraId="38EA182F">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b/>
                <w:spacing w:val="-3"/>
                <w:sz w:val="20"/>
                <w:szCs w:val="21"/>
                <w:highlight w:val="none"/>
                <w:lang w:val="zh-CN" w:bidi="zh-CN"/>
              </w:rPr>
              <w:t>注：以证书颁发时间或发文时间为准，提供表彰证书或表彰文件。</w:t>
            </w:r>
          </w:p>
        </w:tc>
        <w:tc>
          <w:tcPr>
            <w:tcW w:w="832" w:type="dxa"/>
            <w:noWrap w:val="0"/>
            <w:vAlign w:val="center"/>
          </w:tcPr>
          <w:p w14:paraId="37E7F23A">
            <w:pPr>
              <w:widowControl/>
              <w:spacing w:line="336" w:lineRule="auto"/>
              <w:jc w:val="center"/>
              <w:rPr>
                <w:rFonts w:hint="eastAsia" w:ascii="仿宋" w:hAnsi="仿宋" w:eastAsia="仿宋" w:cs="仿宋"/>
                <w:color w:val="000000"/>
                <w:sz w:val="20"/>
                <w:szCs w:val="21"/>
                <w:highlight w:val="none"/>
                <w:lang w:eastAsia="zh-CN"/>
              </w:rPr>
            </w:pPr>
            <w:r>
              <w:rPr>
                <w:rFonts w:hint="eastAsia" w:ascii="仿宋" w:hAnsi="仿宋" w:eastAsia="仿宋" w:cs="仿宋"/>
                <w:color w:val="000000"/>
                <w:sz w:val="20"/>
                <w:szCs w:val="21"/>
                <w:highlight w:val="none"/>
                <w:lang w:val="en-US" w:eastAsia="zh-CN"/>
              </w:rPr>
              <w:t>3</w:t>
            </w:r>
          </w:p>
        </w:tc>
        <w:tc>
          <w:tcPr>
            <w:tcW w:w="832" w:type="dxa"/>
            <w:noWrap w:val="0"/>
            <w:vAlign w:val="center"/>
          </w:tcPr>
          <w:p w14:paraId="16028D10">
            <w:pPr>
              <w:widowControl/>
              <w:spacing w:line="336" w:lineRule="auto"/>
              <w:jc w:val="center"/>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lang w:val="en-US" w:eastAsia="zh-CN"/>
              </w:rPr>
              <w:t>客观分</w:t>
            </w:r>
          </w:p>
        </w:tc>
      </w:tr>
      <w:tr w14:paraId="6E99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1831" w:type="dxa"/>
            <w:gridSpan w:val="2"/>
            <w:noWrap w:val="0"/>
            <w:vAlign w:val="center"/>
          </w:tcPr>
          <w:p w14:paraId="21F14EE4">
            <w:pPr>
              <w:widowControl/>
              <w:spacing w:line="336" w:lineRule="auto"/>
              <w:ind w:firstLine="525"/>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合计</w:t>
            </w:r>
          </w:p>
        </w:tc>
        <w:tc>
          <w:tcPr>
            <w:tcW w:w="6530" w:type="dxa"/>
            <w:noWrap w:val="0"/>
            <w:vAlign w:val="center"/>
          </w:tcPr>
          <w:p w14:paraId="33BD659F">
            <w:pPr>
              <w:widowControl/>
              <w:spacing w:line="336" w:lineRule="auto"/>
              <w:jc w:val="left"/>
              <w:rPr>
                <w:rFonts w:hint="eastAsia" w:ascii="仿宋" w:hAnsi="仿宋" w:eastAsia="仿宋" w:cs="仿宋"/>
                <w:color w:val="000000"/>
                <w:sz w:val="20"/>
                <w:szCs w:val="21"/>
                <w:highlight w:val="none"/>
              </w:rPr>
            </w:pPr>
          </w:p>
        </w:tc>
        <w:tc>
          <w:tcPr>
            <w:tcW w:w="832" w:type="dxa"/>
            <w:noWrap w:val="0"/>
            <w:vAlign w:val="center"/>
          </w:tcPr>
          <w:p w14:paraId="6E0EA7CF">
            <w:pPr>
              <w:widowControl/>
              <w:spacing w:line="336" w:lineRule="auto"/>
              <w:jc w:val="left"/>
              <w:rPr>
                <w:rFonts w:hint="eastAsia" w:ascii="仿宋" w:hAnsi="仿宋" w:eastAsia="仿宋" w:cs="仿宋"/>
                <w:color w:val="000000"/>
                <w:sz w:val="20"/>
                <w:szCs w:val="21"/>
                <w:highlight w:val="none"/>
              </w:rPr>
            </w:pPr>
            <w:r>
              <w:rPr>
                <w:rFonts w:hint="eastAsia" w:ascii="仿宋" w:hAnsi="仿宋" w:eastAsia="仿宋" w:cs="仿宋"/>
                <w:color w:val="000000"/>
                <w:sz w:val="20"/>
                <w:szCs w:val="21"/>
                <w:highlight w:val="none"/>
              </w:rPr>
              <w:t>100分</w:t>
            </w:r>
          </w:p>
        </w:tc>
        <w:tc>
          <w:tcPr>
            <w:tcW w:w="832" w:type="dxa"/>
            <w:noWrap w:val="0"/>
            <w:vAlign w:val="center"/>
          </w:tcPr>
          <w:p w14:paraId="4092AB3B">
            <w:pPr>
              <w:widowControl/>
              <w:spacing w:line="336" w:lineRule="auto"/>
              <w:jc w:val="left"/>
              <w:rPr>
                <w:rFonts w:hint="eastAsia" w:ascii="仿宋" w:hAnsi="仿宋" w:eastAsia="仿宋" w:cs="仿宋"/>
                <w:color w:val="000000"/>
                <w:sz w:val="20"/>
                <w:szCs w:val="21"/>
                <w:highlight w:val="none"/>
              </w:rPr>
            </w:pPr>
          </w:p>
        </w:tc>
      </w:tr>
    </w:tbl>
    <w:p w14:paraId="1455F542">
      <w:pPr>
        <w:widowControl/>
        <w:numPr>
          <w:ilvl w:val="0"/>
          <w:numId w:val="0"/>
        </w:numPr>
        <w:spacing w:line="288" w:lineRule="auto"/>
        <w:ind w:firstLine="241" w:firstLineChars="100"/>
        <w:jc w:val="left"/>
        <w:rPr>
          <w:rFonts w:hint="eastAsia" w:ascii="仿宋" w:hAnsi="仿宋" w:eastAsia="仿宋" w:cs="仿宋"/>
          <w:b/>
          <w:bCs/>
          <w:sz w:val="24"/>
          <w:szCs w:val="24"/>
          <w:highlight w:val="none"/>
          <w:lang w:val="en-US" w:eastAsia="zh-CN" w:bidi="zh-CN"/>
        </w:rPr>
      </w:pPr>
    </w:p>
    <w:p w14:paraId="3B366396">
      <w:pPr>
        <w:pStyle w:val="2"/>
        <w:rPr>
          <w:rFonts w:hint="eastAsia"/>
          <w:highlight w:val="none"/>
          <w:lang w:val="zh-CN"/>
        </w:rPr>
      </w:pPr>
    </w:p>
    <w:p w14:paraId="15B6387E">
      <w:pPr>
        <w:pStyle w:val="238"/>
        <w:ind w:left="0" w:leftChars="0" w:firstLine="0" w:firstLineChars="0"/>
        <w:jc w:val="both"/>
        <w:rPr>
          <w:rFonts w:hint="eastAsia" w:ascii="仿宋" w:hAnsi="仿宋" w:eastAsia="仿宋" w:cs="仿宋"/>
          <w:b/>
          <w:highlight w:val="none"/>
          <w:lang w:eastAsia="zh-CN"/>
        </w:rPr>
      </w:pPr>
      <w:r>
        <w:rPr>
          <w:rFonts w:hint="eastAsia" w:ascii="仿宋" w:hAnsi="仿宋" w:eastAsia="仿宋" w:cs="仿宋"/>
          <w:b/>
          <w:highlight w:val="none"/>
          <w:lang w:val="en-US" w:eastAsia="zh-CN"/>
        </w:rPr>
        <w:t>三</w:t>
      </w:r>
      <w:r>
        <w:rPr>
          <w:rFonts w:hint="eastAsia" w:ascii="仿宋" w:hAnsi="仿宋" w:eastAsia="仿宋" w:cs="仿宋"/>
          <w:b/>
          <w:highlight w:val="none"/>
          <w:lang w:eastAsia="zh-CN"/>
        </w:rPr>
        <w:t>、确定第二阶段成交供应商的方式</w:t>
      </w:r>
    </w:p>
    <w:p w14:paraId="1EFF5B23">
      <w:pPr>
        <w:pStyle w:val="238"/>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1、确定第二阶段成交供应商的方式为直接选定。由采购人或者服务对象依据入围产品价格、质量以及服务便利性、用户评价等因素，从第一阶段入围供应商中直接选定。第一阶段入围供应商的协议价格（以下统称协议价格）是采购人确定第二阶段成交供应商的最高限价。</w:t>
      </w:r>
    </w:p>
    <w:p w14:paraId="52688257">
      <w:pPr>
        <w:pStyle w:val="238"/>
        <w:ind w:left="0" w:leftChars="0" w:firstLine="0" w:firstLineChars="0"/>
        <w:rPr>
          <w:rFonts w:hint="eastAsia" w:ascii="仿宋" w:hAnsi="仿宋" w:eastAsia="仿宋" w:cs="仿宋"/>
          <w:b/>
          <w:highlight w:val="none"/>
          <w:lang w:val="en-US" w:eastAsia="zh-CN"/>
        </w:rPr>
      </w:pPr>
      <w:r>
        <w:rPr>
          <w:rFonts w:hint="eastAsia" w:ascii="仿宋" w:hAnsi="仿宋" w:eastAsia="仿宋" w:cs="仿宋"/>
          <w:sz w:val="24"/>
          <w:szCs w:val="24"/>
          <w:highlight w:val="none"/>
          <w:lang w:val="en-US" w:eastAsia="zh-CN" w:bidi="ar-SA"/>
        </w:rPr>
        <w:t>2、征集人在确定成交供应商后，双方应当按照框架协议中规定的“采购合同文本”格式签订采购合同，不得擅自改变框架协议约定的合同实质性条款。</w:t>
      </w:r>
      <w:r>
        <w:rPr>
          <w:rFonts w:hint="eastAsia" w:ascii="仿宋" w:hAnsi="仿宋" w:eastAsia="仿宋" w:cs="仿宋"/>
          <w:bCs/>
          <w:sz w:val="24"/>
          <w:szCs w:val="24"/>
          <w:highlight w:val="none"/>
        </w:rPr>
        <w:br w:type="textWrapping"/>
      </w:r>
      <w:r>
        <w:rPr>
          <w:rFonts w:hint="eastAsia" w:ascii="仿宋" w:hAnsi="仿宋" w:eastAsia="仿宋" w:cs="仿宋"/>
          <w:b/>
          <w:highlight w:val="none"/>
          <w:lang w:val="en-US" w:eastAsia="zh-CN"/>
        </w:rPr>
        <w:t xml:space="preserve">四、入围供应商的清退和补充规则 </w:t>
      </w:r>
    </w:p>
    <w:p w14:paraId="3CED5927">
      <w:pPr>
        <w:pStyle w:val="59"/>
        <w:spacing w:after="0" w:line="240" w:lineRule="auto"/>
        <w:jc w:val="both"/>
        <w:rPr>
          <w:rFonts w:ascii="宋体" w:hAnsi="宋体"/>
          <w:b/>
          <w:bCs/>
          <w:color w:val="000000"/>
          <w:sz w:val="24"/>
          <w:szCs w:val="24"/>
          <w:highlight w:val="none"/>
          <w:lang w:eastAsia="zh-CN"/>
        </w:rPr>
      </w:pPr>
      <w:r>
        <w:rPr>
          <w:rFonts w:ascii="宋体" w:hAnsi="宋体"/>
          <w:b/>
          <w:bCs/>
          <w:color w:val="000000"/>
          <w:sz w:val="24"/>
          <w:szCs w:val="24"/>
          <w:highlight w:val="none"/>
          <w:lang w:eastAsia="zh-CN"/>
        </w:rPr>
        <w:t>（一）清退规则</w:t>
      </w:r>
    </w:p>
    <w:p w14:paraId="094B7BED">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入围供应商有下列情形之一，尚未签订框架协议的，取消其入围资格；已经签订框架协议的，解除与其签订的框架协议：</w:t>
      </w:r>
    </w:p>
    <w:p w14:paraId="45C54792">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1.恶意串通谋取入围或者合同成交的； </w:t>
      </w:r>
    </w:p>
    <w:p w14:paraId="231D7E53">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2.提供虚假材料谋取入围或者合同成交的； </w:t>
      </w:r>
    </w:p>
    <w:p w14:paraId="4E1B8AAF">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3.无正当理由拒不接受合同授予的； </w:t>
      </w:r>
    </w:p>
    <w:p w14:paraId="4B40A8C2">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4.不履行合同义务或者履行合同义务不符合约定，经采购人请求履行后仍不履行或者仍未按约定履行的； </w:t>
      </w:r>
    </w:p>
    <w:p w14:paraId="1331D1AB">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5.框架协议有效期内，因违法行为被禁止或限制参加政府采购活动的； </w:t>
      </w:r>
    </w:p>
    <w:p w14:paraId="39E7DA93">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6.框架协议约定的其他情形及违反《南京市残疾儿童基本康复服务管理实施细则》（ 宁残规〔2024〕</w:t>
      </w:r>
      <w:r>
        <w:rPr>
          <w:rFonts w:hint="default" w:ascii="仿宋" w:hAnsi="仿宋" w:eastAsia="仿宋" w:cs="仿宋"/>
          <w:highlight w:val="none"/>
          <w:lang w:eastAsia="zh-CN"/>
        </w:rPr>
        <w:t xml:space="preserve">2 </w:t>
      </w:r>
      <w:r>
        <w:rPr>
          <w:rFonts w:hint="eastAsia" w:ascii="仿宋" w:hAnsi="仿宋" w:eastAsia="仿宋" w:cs="仿宋"/>
          <w:highlight w:val="none"/>
          <w:lang w:eastAsia="zh-CN"/>
        </w:rPr>
        <w:t>号）等相关规定的情形。</w:t>
      </w:r>
    </w:p>
    <w:p w14:paraId="62A96CF9">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7.首次入围的供应商，经</w:t>
      </w:r>
      <w:r>
        <w:rPr>
          <w:rFonts w:hint="eastAsia" w:ascii="仿宋" w:hAnsi="仿宋" w:eastAsia="仿宋" w:cs="仿宋"/>
          <w:highlight w:val="none"/>
          <w:lang w:val="en-US" w:eastAsia="zh-CN"/>
        </w:rPr>
        <w:t>高淳区</w:t>
      </w:r>
      <w:r>
        <w:rPr>
          <w:rFonts w:hint="eastAsia" w:ascii="仿宋" w:hAnsi="仿宋" w:eastAsia="仿宋" w:cs="仿宋"/>
          <w:highlight w:val="none"/>
          <w:lang w:eastAsia="zh-CN"/>
        </w:rPr>
        <w:t>残联核实未响应招标文件要求的，由</w:t>
      </w:r>
      <w:r>
        <w:rPr>
          <w:rFonts w:hint="eastAsia" w:ascii="仿宋" w:hAnsi="仿宋" w:eastAsia="仿宋" w:cs="仿宋"/>
          <w:highlight w:val="none"/>
          <w:lang w:val="en-US" w:eastAsia="zh-CN"/>
        </w:rPr>
        <w:t>高淳区</w:t>
      </w:r>
      <w:r>
        <w:rPr>
          <w:rFonts w:hint="eastAsia" w:ascii="仿宋" w:hAnsi="仿宋" w:eastAsia="仿宋" w:cs="仿宋"/>
          <w:highlight w:val="none"/>
          <w:lang w:eastAsia="zh-CN"/>
        </w:rPr>
        <w:t>残联上报监管部门并取消其入围资格。</w:t>
      </w:r>
    </w:p>
    <w:p w14:paraId="683CA40F">
      <w:pPr>
        <w:pStyle w:val="238"/>
        <w:ind w:left="0" w:leftChars="0" w:firstLine="720" w:firstLineChars="300"/>
        <w:rPr>
          <w:rFonts w:hint="eastAsia" w:ascii="仿宋" w:hAnsi="仿宋" w:eastAsia="仿宋" w:cs="仿宋"/>
          <w:highlight w:val="none"/>
          <w:lang w:eastAsia="zh-CN"/>
        </w:rPr>
      </w:pPr>
      <w:r>
        <w:rPr>
          <w:rFonts w:hint="eastAsia" w:ascii="仿宋" w:hAnsi="仿宋" w:eastAsia="仿宋" w:cs="仿宋"/>
          <w:highlight w:val="none"/>
          <w:lang w:eastAsia="zh-CN"/>
        </w:rPr>
        <w:t>被取消入围资格或者被解除框架协议的供应商不得参加同一封闭式框架协议补充征集。供应商有上述第1至3项情形之一的，依照政府采购法等有关法律、行政法规处理，其他按相关规定处理。</w:t>
      </w:r>
    </w:p>
    <w:p w14:paraId="0FF3D1C2">
      <w:pPr>
        <w:pStyle w:val="238"/>
        <w:ind w:left="0" w:leftChars="0" w:firstLine="0" w:firstLineChars="0"/>
        <w:rPr>
          <w:rFonts w:hint="eastAsia" w:ascii="仿宋" w:hAnsi="仿宋" w:eastAsia="仿宋" w:cs="仿宋"/>
          <w:b/>
          <w:bCs/>
          <w:highlight w:val="none"/>
          <w:lang w:eastAsia="zh-CN"/>
        </w:rPr>
      </w:pPr>
      <w:r>
        <w:rPr>
          <w:rFonts w:hint="eastAsia" w:ascii="仿宋" w:hAnsi="仿宋" w:eastAsia="仿宋" w:cs="仿宋"/>
          <w:b/>
          <w:bCs/>
          <w:highlight w:val="none"/>
          <w:lang w:eastAsia="zh-CN"/>
        </w:rPr>
        <w:t xml:space="preserve">（二）补充规则 </w:t>
      </w:r>
    </w:p>
    <w:p w14:paraId="3D628A85">
      <w:pPr>
        <w:pStyle w:val="238"/>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征集公告发布后至封闭式框架协议期满前，不接受供应商提交加入框架协议的申请。如出现剩余入围供应商不足入围供应商总数70%的情形时，征集人报监管部门同意后，将进行补充征集供应商。补充征集的条件、程序、评审方法和淘汰比例与初次征集相同。补充征集遵守原框架协议的有效期。补充征集期间，原框架协议继续履行。</w:t>
      </w:r>
    </w:p>
    <w:p w14:paraId="6CCAB057">
      <w:pPr>
        <w:pStyle w:val="3"/>
        <w:jc w:val="center"/>
        <w:rPr>
          <w:rFonts w:hint="eastAsia" w:ascii="仿宋" w:hAnsi="仿宋" w:eastAsia="仿宋" w:cs="仿宋"/>
          <w:highlight w:val="yellow"/>
        </w:rPr>
        <w:sectPr>
          <w:pgSz w:w="11907" w:h="16839"/>
          <w:pgMar w:top="1440" w:right="1800" w:bottom="1440" w:left="1800" w:header="656" w:footer="958" w:gutter="0"/>
          <w:pgNumType w:fmt="decimal"/>
          <w:cols w:space="720" w:num="1"/>
        </w:sectPr>
      </w:pPr>
    </w:p>
    <w:bookmarkEnd w:id="3"/>
    <w:p w14:paraId="6FCE3855">
      <w:pPr>
        <w:pStyle w:val="3"/>
        <w:jc w:val="center"/>
        <w:rPr>
          <w:rFonts w:hint="eastAsia" w:ascii="仿宋" w:hAnsi="仿宋" w:eastAsia="仿宋" w:cs="仿宋"/>
          <w:bCs/>
          <w:sz w:val="44"/>
          <w:highlight w:val="none"/>
        </w:rPr>
      </w:pPr>
      <w:bookmarkStart w:id="116" w:name="_Toc30526"/>
      <w:r>
        <w:rPr>
          <w:rFonts w:hint="eastAsia" w:ascii="仿宋" w:hAnsi="仿宋" w:eastAsia="仿宋" w:cs="仿宋"/>
        </w:rPr>
        <w:t xml:space="preserve">六章 </w:t>
      </w:r>
      <w:r>
        <w:rPr>
          <w:rFonts w:hint="eastAsia" w:ascii="仿宋" w:hAnsi="仿宋" w:eastAsia="仿宋" w:cs="仿宋"/>
          <w:bCs/>
          <w:sz w:val="44"/>
          <w:highlight w:val="none"/>
        </w:rPr>
        <w:t>申请文件格式</w:t>
      </w:r>
      <w:bookmarkEnd w:id="116"/>
    </w:p>
    <w:p w14:paraId="71046E11">
      <w:pPr>
        <w:jc w:val="center"/>
        <w:rPr>
          <w:rFonts w:hint="eastAsia" w:ascii="仿宋" w:hAnsi="仿宋" w:eastAsia="仿宋" w:cs="仿宋"/>
          <w:b/>
          <w:sz w:val="72"/>
          <w:highlight w:val="none"/>
        </w:rPr>
      </w:pPr>
      <w:bookmarkStart w:id="117" w:name="_Hlt26955039"/>
      <w:bookmarkEnd w:id="117"/>
      <w:bookmarkStart w:id="118" w:name="_Hlt26671244"/>
      <w:bookmarkEnd w:id="118"/>
    </w:p>
    <w:p w14:paraId="7F736908">
      <w:pPr>
        <w:jc w:val="center"/>
        <w:rPr>
          <w:rFonts w:hint="eastAsia" w:ascii="仿宋" w:hAnsi="仿宋" w:eastAsia="仿宋" w:cs="仿宋"/>
          <w:b/>
          <w:sz w:val="72"/>
        </w:rPr>
      </w:pPr>
      <w:r>
        <w:rPr>
          <w:rFonts w:hint="eastAsia" w:ascii="仿宋" w:hAnsi="仿宋" w:eastAsia="仿宋" w:cs="仿宋"/>
          <w:b/>
          <w:sz w:val="72"/>
          <w:highlight w:val="none"/>
        </w:rPr>
        <w:t>申  请  文  件</w:t>
      </w:r>
    </w:p>
    <w:p w14:paraId="03EFD868">
      <w:pPr>
        <w:jc w:val="center"/>
        <w:rPr>
          <w:rFonts w:hint="eastAsia" w:ascii="仿宋" w:hAnsi="仿宋" w:eastAsia="仿宋" w:cs="仿宋"/>
          <w:b/>
          <w:sz w:val="72"/>
        </w:rPr>
      </w:pPr>
    </w:p>
    <w:p w14:paraId="21882BC6">
      <w:pPr>
        <w:jc w:val="center"/>
        <w:rPr>
          <w:rFonts w:hint="eastAsia" w:ascii="仿宋" w:hAnsi="仿宋" w:eastAsia="仿宋" w:cs="仿宋"/>
          <w:b/>
          <w:sz w:val="72"/>
        </w:rPr>
      </w:pPr>
    </w:p>
    <w:p w14:paraId="7D0D3B92">
      <w:pPr>
        <w:jc w:val="center"/>
        <w:rPr>
          <w:rFonts w:hint="eastAsia" w:ascii="仿宋" w:hAnsi="仿宋" w:eastAsia="仿宋" w:cs="仿宋"/>
          <w:b/>
          <w:sz w:val="36"/>
        </w:rPr>
      </w:pPr>
    </w:p>
    <w:p w14:paraId="13CAEB97">
      <w:pPr>
        <w:jc w:val="center"/>
        <w:rPr>
          <w:rFonts w:hint="eastAsia" w:ascii="仿宋" w:hAnsi="仿宋" w:eastAsia="仿宋" w:cs="仿宋"/>
          <w:b/>
          <w:sz w:val="36"/>
        </w:rPr>
      </w:pPr>
    </w:p>
    <w:p w14:paraId="547D9F12">
      <w:pPr>
        <w:jc w:val="center"/>
        <w:rPr>
          <w:rFonts w:hint="eastAsia" w:ascii="仿宋" w:hAnsi="仿宋" w:eastAsia="仿宋" w:cs="仿宋"/>
          <w:b/>
          <w:sz w:val="36"/>
        </w:rPr>
      </w:pPr>
    </w:p>
    <w:p w14:paraId="70E6FA64">
      <w:pPr>
        <w:jc w:val="center"/>
        <w:rPr>
          <w:rFonts w:hint="eastAsia" w:ascii="仿宋" w:hAnsi="仿宋" w:eastAsia="仿宋" w:cs="仿宋"/>
          <w:b/>
          <w:sz w:val="36"/>
        </w:rPr>
      </w:pPr>
    </w:p>
    <w:p w14:paraId="6D5C5888">
      <w:pPr>
        <w:rPr>
          <w:rFonts w:hint="eastAsia" w:ascii="仿宋" w:hAnsi="仿宋" w:eastAsia="仿宋" w:cs="仿宋"/>
          <w:b/>
          <w:sz w:val="36"/>
        </w:rPr>
      </w:pPr>
    </w:p>
    <w:p w14:paraId="3C4C2C84">
      <w:pPr>
        <w:jc w:val="center"/>
        <w:rPr>
          <w:rFonts w:hint="eastAsia" w:ascii="仿宋" w:hAnsi="仿宋" w:eastAsia="仿宋" w:cs="仿宋"/>
          <w:b/>
          <w:sz w:val="36"/>
        </w:rPr>
      </w:pPr>
    </w:p>
    <w:p w14:paraId="47475099">
      <w:pPr>
        <w:ind w:firstLine="1084"/>
        <w:rPr>
          <w:rFonts w:hint="eastAsia" w:ascii="仿宋" w:hAnsi="仿宋" w:eastAsia="仿宋" w:cs="仿宋"/>
          <w:b/>
          <w:sz w:val="36"/>
        </w:rPr>
      </w:pPr>
      <w:r>
        <w:rPr>
          <w:rFonts w:hint="eastAsia" w:ascii="仿宋" w:hAnsi="仿宋" w:eastAsia="仿宋" w:cs="仿宋"/>
          <w:b/>
          <w:sz w:val="36"/>
        </w:rPr>
        <w:t>项 目 名 称：</w:t>
      </w:r>
      <w:r>
        <w:rPr>
          <w:rFonts w:hint="eastAsia" w:ascii="仿宋" w:hAnsi="仿宋" w:eastAsia="仿宋" w:cs="仿宋"/>
          <w:b/>
          <w:sz w:val="36"/>
          <w:u w:val="single"/>
        </w:rPr>
        <w:t xml:space="preserve">               </w:t>
      </w:r>
    </w:p>
    <w:p w14:paraId="5AB1513D">
      <w:pPr>
        <w:ind w:firstLine="1084"/>
        <w:rPr>
          <w:rFonts w:hint="eastAsia" w:ascii="仿宋" w:hAnsi="仿宋" w:eastAsia="仿宋" w:cs="仿宋"/>
          <w:b/>
          <w:sz w:val="36"/>
          <w:u w:val="single"/>
        </w:rPr>
      </w:pPr>
      <w:r>
        <w:rPr>
          <w:rFonts w:hint="eastAsia" w:ascii="仿宋" w:hAnsi="仿宋" w:eastAsia="仿宋" w:cs="仿宋"/>
          <w:b/>
          <w:sz w:val="36"/>
        </w:rPr>
        <w:t>编       号：</w:t>
      </w:r>
      <w:r>
        <w:rPr>
          <w:rFonts w:hint="eastAsia" w:ascii="仿宋" w:hAnsi="仿宋" w:eastAsia="仿宋" w:cs="仿宋"/>
          <w:b/>
          <w:sz w:val="36"/>
          <w:u w:val="single"/>
        </w:rPr>
        <w:t xml:space="preserve">               </w:t>
      </w:r>
    </w:p>
    <w:p w14:paraId="4B287D75">
      <w:pPr>
        <w:ind w:firstLine="1084"/>
        <w:rPr>
          <w:rFonts w:hint="eastAsia" w:ascii="仿宋" w:hAnsi="仿宋" w:eastAsia="仿宋" w:cs="仿宋"/>
          <w:b/>
          <w:sz w:val="36"/>
          <w:u w:val="single"/>
        </w:rPr>
      </w:pPr>
      <w:r>
        <w:rPr>
          <w:rFonts w:hint="eastAsia" w:ascii="仿宋" w:hAnsi="仿宋" w:eastAsia="仿宋" w:cs="仿宋"/>
          <w:b/>
          <w:sz w:val="36"/>
        </w:rPr>
        <w:t>供应商名称 ：</w:t>
      </w:r>
      <w:r>
        <w:rPr>
          <w:rFonts w:hint="eastAsia" w:ascii="仿宋" w:hAnsi="仿宋" w:eastAsia="仿宋" w:cs="仿宋"/>
          <w:b/>
          <w:sz w:val="36"/>
          <w:u w:val="single"/>
        </w:rPr>
        <w:t>（加盖CA电子公章）</w:t>
      </w:r>
    </w:p>
    <w:p w14:paraId="03B90FBC">
      <w:pPr>
        <w:rPr>
          <w:rFonts w:hint="eastAsia" w:ascii="仿宋" w:hAnsi="仿宋" w:eastAsia="仿宋" w:cs="仿宋"/>
          <w:b/>
          <w:sz w:val="36"/>
          <w:u w:val="single"/>
        </w:rPr>
      </w:pPr>
      <w:r>
        <w:rPr>
          <w:rFonts w:hint="eastAsia" w:ascii="仿宋" w:hAnsi="仿宋" w:eastAsia="仿宋" w:cs="仿宋"/>
          <w:b/>
          <w:sz w:val="36"/>
        </w:rPr>
        <w:t xml:space="preserve">      日      期 ：</w:t>
      </w:r>
      <w:r>
        <w:rPr>
          <w:rFonts w:hint="eastAsia" w:ascii="仿宋" w:hAnsi="仿宋" w:eastAsia="仿宋" w:cs="仿宋"/>
          <w:b/>
          <w:sz w:val="36"/>
          <w:u w:val="single"/>
        </w:rPr>
        <w:t xml:space="preserve">               </w:t>
      </w:r>
    </w:p>
    <w:p w14:paraId="1112E393">
      <w:pPr>
        <w:spacing w:line="440" w:lineRule="exact"/>
        <w:jc w:val="center"/>
        <w:rPr>
          <w:rFonts w:hint="eastAsia" w:ascii="仿宋" w:hAnsi="仿宋" w:eastAsia="仿宋" w:cs="仿宋"/>
          <w:b/>
          <w:bCs/>
          <w:sz w:val="32"/>
          <w:szCs w:val="32"/>
        </w:rPr>
      </w:pPr>
    </w:p>
    <w:p w14:paraId="7E90FC25">
      <w:pPr>
        <w:spacing w:line="440" w:lineRule="exact"/>
        <w:jc w:val="center"/>
        <w:rPr>
          <w:rFonts w:hint="eastAsia" w:ascii="仿宋" w:hAnsi="仿宋" w:eastAsia="仿宋" w:cs="仿宋"/>
          <w:b/>
          <w:bCs/>
          <w:sz w:val="32"/>
          <w:szCs w:val="32"/>
        </w:rPr>
      </w:pPr>
    </w:p>
    <w:p w14:paraId="7A83A439">
      <w:pPr>
        <w:widowControl/>
        <w:kinsoku w:val="0"/>
        <w:autoSpaceDE w:val="0"/>
        <w:autoSpaceDN w:val="0"/>
        <w:adjustRightInd w:val="0"/>
        <w:snapToGrid w:val="0"/>
        <w:spacing w:before="91" w:line="220" w:lineRule="auto"/>
        <w:ind w:left="3902"/>
        <w:jc w:val="left"/>
        <w:textAlignment w:val="baseline"/>
        <w:outlineLvl w:val="0"/>
        <w:rPr>
          <w:rFonts w:hint="eastAsia" w:ascii="仿宋" w:hAnsi="仿宋" w:eastAsia="仿宋" w:cs="仿宋"/>
          <w:snapToGrid w:val="0"/>
          <w:color w:val="000000"/>
          <w:spacing w:val="-7"/>
          <w:kern w:val="0"/>
          <w:sz w:val="28"/>
          <w:szCs w:val="28"/>
          <w:lang w:eastAsia="en-US"/>
        </w:rPr>
        <w:sectPr>
          <w:headerReference r:id="rId6" w:type="default"/>
          <w:footerReference r:id="rId7" w:type="default"/>
          <w:pgSz w:w="11907" w:h="16839"/>
          <w:pgMar w:top="1440" w:right="1800" w:bottom="1440" w:left="1800" w:header="656" w:footer="958" w:gutter="0"/>
          <w:pgNumType w:fmt="decimal"/>
          <w:cols w:space="720" w:num="1"/>
        </w:sectPr>
      </w:pPr>
    </w:p>
    <w:p w14:paraId="6750A3AB">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申请文件目录</w:t>
      </w:r>
    </w:p>
    <w:p w14:paraId="1B2815B0">
      <w:pPr>
        <w:widowControl/>
        <w:spacing w:line="440" w:lineRule="exact"/>
        <w:jc w:val="center"/>
        <w:rPr>
          <w:rFonts w:hint="eastAsia" w:ascii="仿宋" w:hAnsi="仿宋" w:eastAsia="仿宋" w:cs="仿宋"/>
          <w:b w:val="0"/>
          <w:bCs w:val="0"/>
          <w:sz w:val="32"/>
          <w:szCs w:val="32"/>
          <w:highlight w:val="none"/>
        </w:rPr>
      </w:pPr>
    </w:p>
    <w:p w14:paraId="46622A31">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w:t>
      </w:r>
      <w:r>
        <w:rPr>
          <w:rFonts w:hint="eastAsia" w:ascii="仿宋" w:hAnsi="仿宋" w:eastAsia="仿宋" w:cs="仿宋"/>
          <w:kern w:val="0"/>
          <w:sz w:val="28"/>
          <w:szCs w:val="28"/>
          <w:highlight w:val="none"/>
          <w:lang w:val="en-US"/>
        </w:rPr>
        <w:t>供应商信用承诺函</w:t>
      </w:r>
    </w:p>
    <w:p w14:paraId="0B22687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i w:val="0"/>
          <w:sz w:val="28"/>
          <w:szCs w:val="28"/>
          <w:highlight w:val="none"/>
          <w:u w:val="none"/>
        </w:rPr>
      </w:pPr>
      <w:r>
        <w:rPr>
          <w:rFonts w:hint="eastAsia" w:ascii="仿宋" w:hAnsi="仿宋" w:eastAsia="仿宋" w:cs="仿宋"/>
          <w:b w:val="0"/>
          <w:bCs w:val="0"/>
          <w:sz w:val="28"/>
          <w:szCs w:val="28"/>
          <w:highlight w:val="none"/>
          <w:lang w:val="en-US" w:eastAsia="zh-CN"/>
        </w:rPr>
        <w:t>二、</w:t>
      </w:r>
      <w:r>
        <w:rPr>
          <w:rFonts w:hint="eastAsia" w:ascii="仿宋" w:hAnsi="仿宋" w:eastAsia="仿宋" w:cs="仿宋"/>
          <w:b w:val="0"/>
          <w:bCs w:val="0"/>
          <w:i w:val="0"/>
          <w:sz w:val="28"/>
          <w:szCs w:val="28"/>
          <w:highlight w:val="none"/>
          <w:u w:val="none"/>
          <w:lang w:val="en-US" w:eastAsia="zh-CN"/>
        </w:rPr>
        <w:t>满足</w:t>
      </w:r>
      <w:r>
        <w:rPr>
          <w:rFonts w:hint="eastAsia" w:ascii="仿宋" w:hAnsi="仿宋" w:eastAsia="仿宋" w:cs="仿宋"/>
          <w:b w:val="0"/>
          <w:bCs w:val="0"/>
          <w:i w:val="0"/>
          <w:sz w:val="28"/>
          <w:szCs w:val="28"/>
          <w:highlight w:val="none"/>
          <w:u w:val="none"/>
        </w:rPr>
        <w:t>特定资格要求的证明文件</w:t>
      </w:r>
    </w:p>
    <w:p w14:paraId="30E5FE90">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三、供应商业绩要求的证明文件</w:t>
      </w:r>
    </w:p>
    <w:p w14:paraId="00D5FB3D">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四、法人授权书</w:t>
      </w:r>
    </w:p>
    <w:p w14:paraId="2F58C39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五、响应函</w:t>
      </w:r>
    </w:p>
    <w:p w14:paraId="27670CF0">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六、报价一览表</w:t>
      </w:r>
    </w:p>
    <w:p w14:paraId="71E11DDA">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七、响应服务报价明细表</w:t>
      </w:r>
    </w:p>
    <w:p w14:paraId="0318A494">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八、评审标准中需要提供的证明文件</w:t>
      </w:r>
    </w:p>
    <w:p w14:paraId="655511A5">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九、商务要求响应及偏离表</w:t>
      </w:r>
    </w:p>
    <w:p w14:paraId="00B49FE2">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十、中小企业声明函</w:t>
      </w:r>
    </w:p>
    <w:p w14:paraId="6BFEB446">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十一、残疾人福利单位声明函</w:t>
      </w:r>
    </w:p>
    <w:p w14:paraId="3C62524B">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十二、实质性要求完全响应承诺书</w:t>
      </w:r>
    </w:p>
    <w:p w14:paraId="6CB518F5">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十三、其他需要提供的资料</w:t>
      </w:r>
    </w:p>
    <w:p w14:paraId="130BE163">
      <w:pPr>
        <w:keepNext w:val="0"/>
        <w:keepLines w:val="0"/>
        <w:pageBreakBefore w:val="0"/>
        <w:widowControl/>
        <w:tabs>
          <w:tab w:val="left" w:pos="563"/>
        </w:tabs>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十四、质疑函范本</w:t>
      </w:r>
    </w:p>
    <w:p w14:paraId="18BCFFAC">
      <w:pPr>
        <w:widowControl/>
        <w:spacing w:line="360" w:lineRule="auto"/>
        <w:ind w:firstLine="480"/>
        <w:jc w:val="left"/>
        <w:rPr>
          <w:rFonts w:hint="eastAsia" w:ascii="仿宋" w:hAnsi="仿宋" w:eastAsia="仿宋" w:cs="仿宋"/>
          <w:sz w:val="28"/>
          <w:szCs w:val="28"/>
        </w:rPr>
      </w:pPr>
    </w:p>
    <w:p w14:paraId="02A76FB5">
      <w:pPr>
        <w:pStyle w:val="60"/>
        <w:widowControl/>
        <w:jc w:val="left"/>
        <w:rPr>
          <w:rFonts w:hint="eastAsia" w:ascii="仿宋" w:hAnsi="仿宋" w:eastAsia="仿宋" w:cs="仿宋"/>
        </w:rPr>
      </w:pPr>
    </w:p>
    <w:p w14:paraId="47D6BFA5">
      <w:pPr>
        <w:widowControl/>
        <w:spacing w:line="440" w:lineRule="exact"/>
        <w:ind w:firstLine="480"/>
        <w:jc w:val="left"/>
        <w:rPr>
          <w:rFonts w:hint="eastAsia" w:ascii="仿宋" w:hAnsi="仿宋" w:eastAsia="仿宋" w:cs="仿宋"/>
          <w:sz w:val="24"/>
          <w:szCs w:val="20"/>
        </w:rPr>
      </w:pPr>
    </w:p>
    <w:p w14:paraId="01D513ED">
      <w:pPr>
        <w:widowControl/>
        <w:spacing w:line="440" w:lineRule="exact"/>
        <w:ind w:firstLine="480"/>
        <w:jc w:val="left"/>
        <w:rPr>
          <w:rFonts w:hint="eastAsia" w:ascii="仿宋" w:hAnsi="仿宋" w:eastAsia="仿宋" w:cs="仿宋"/>
          <w:sz w:val="24"/>
          <w:szCs w:val="20"/>
        </w:rPr>
      </w:pPr>
    </w:p>
    <w:p w14:paraId="758803A7">
      <w:pPr>
        <w:pStyle w:val="4"/>
        <w:bidi w:val="0"/>
        <w:jc w:val="left"/>
        <w:rPr>
          <w:rFonts w:hint="eastAsia" w:ascii="仿宋" w:hAnsi="仿宋" w:eastAsia="仿宋" w:cs="仿宋"/>
          <w:i w:val="0"/>
          <w:szCs w:val="32"/>
          <w:u w:val="none"/>
          <w:lang w:val="en-US" w:eastAsia="zh-CN"/>
        </w:rPr>
      </w:pPr>
      <w:r>
        <w:rPr>
          <w:rFonts w:hint="eastAsia" w:ascii="仿宋" w:hAnsi="仿宋" w:eastAsia="仿宋" w:cs="仿宋"/>
          <w:szCs w:val="20"/>
        </w:rPr>
        <w:br w:type="page" w:clear="all"/>
      </w:r>
      <w:bookmarkStart w:id="119" w:name="_Toc344"/>
      <w:bookmarkStart w:id="120" w:name="_Toc120614284"/>
      <w:r>
        <w:rPr>
          <w:rFonts w:hint="eastAsia" w:ascii="仿宋" w:hAnsi="仿宋" w:eastAsia="仿宋" w:cs="仿宋"/>
          <w:sz w:val="32"/>
          <w:szCs w:val="32"/>
          <w:lang w:val="en-US" w:eastAsia="zh-CN"/>
        </w:rPr>
        <w:t>一、供应商信用承诺函</w:t>
      </w:r>
      <w:bookmarkEnd w:id="119"/>
    </w:p>
    <w:p w14:paraId="104934BF">
      <w:pPr>
        <w:bidi w:val="0"/>
        <w:jc w:val="center"/>
        <w:rPr>
          <w:rFonts w:hint="eastAsia" w:ascii="仿宋" w:hAnsi="仿宋" w:eastAsia="仿宋" w:cs="仿宋"/>
          <w:b/>
          <w:bCs/>
          <w:sz w:val="24"/>
          <w:szCs w:val="28"/>
          <w:lang w:val="en-US"/>
        </w:rPr>
      </w:pPr>
      <w:r>
        <w:rPr>
          <w:rFonts w:hint="eastAsia" w:ascii="仿宋" w:hAnsi="仿宋" w:eastAsia="仿宋" w:cs="仿宋"/>
          <w:b/>
          <w:bCs/>
          <w:sz w:val="24"/>
          <w:szCs w:val="28"/>
          <w:lang w:val="en-US"/>
        </w:rPr>
        <w:t>供应商信用承诺函</w:t>
      </w:r>
    </w:p>
    <w:p w14:paraId="79E8B3CF">
      <w:pPr>
        <w:widowControl/>
        <w:spacing w:line="4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江苏领界科技有限公司</w:t>
      </w:r>
      <w:r>
        <w:rPr>
          <w:rFonts w:hint="eastAsia" w:ascii="仿宋" w:hAnsi="仿宋" w:eastAsia="仿宋" w:cs="仿宋"/>
          <w:color w:val="000000"/>
          <w:sz w:val="24"/>
          <w:szCs w:val="24"/>
        </w:rPr>
        <w:t>：</w:t>
      </w:r>
    </w:p>
    <w:p w14:paraId="5563EE14">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我公司</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（供应商名称）郑重承诺：</w:t>
      </w:r>
    </w:p>
    <w:p w14:paraId="33D13858">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我公司符合下列要求：</w:t>
      </w:r>
    </w:p>
    <w:p w14:paraId="3B5152D5">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14:paraId="5CB970F0">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14:paraId="4120E1E5">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14:paraId="1086539B">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14:paraId="0218A1B8">
      <w:pPr>
        <w:widowControl/>
        <w:spacing w:line="460" w:lineRule="exact"/>
        <w:ind w:firstLine="492"/>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(五)参加政府采购活动前三年内，在经营活动中没有重大违法记录</w:t>
      </w:r>
      <w:r>
        <w:rPr>
          <w:rFonts w:hint="eastAsia" w:ascii="仿宋" w:hAnsi="仿宋" w:eastAsia="仿宋" w:cs="仿宋"/>
          <w:color w:val="000000"/>
          <w:sz w:val="24"/>
          <w:szCs w:val="24"/>
          <w:lang w:eastAsia="zh-CN"/>
        </w:rPr>
        <w:t>。</w:t>
      </w:r>
    </w:p>
    <w:p w14:paraId="598C34E4">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如果我公司中标，将在中标结果公示后七个工作日内向采购人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或代理机构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提供下列材料核验：</w:t>
      </w:r>
    </w:p>
    <w:p w14:paraId="1AA376D5">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（1）营业执照副本或事业单位法人登记证书；</w:t>
      </w:r>
    </w:p>
    <w:p w14:paraId="3EA7FB15">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14:paraId="3450AFED">
      <w:pPr>
        <w:widowControl/>
        <w:spacing w:line="460" w:lineRule="exact"/>
        <w:ind w:firstLine="492"/>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履行合同所必需的设备和专业技术能力</w:t>
      </w:r>
      <w:r>
        <w:rPr>
          <w:rFonts w:hint="eastAsia" w:ascii="仿宋" w:hAnsi="仿宋" w:eastAsia="仿宋" w:cs="仿宋"/>
          <w:color w:val="000000"/>
          <w:sz w:val="24"/>
          <w:szCs w:val="24"/>
          <w:lang w:eastAsia="zh-CN"/>
        </w:rPr>
        <w:t>证明材料；</w:t>
      </w:r>
    </w:p>
    <w:p w14:paraId="2753CEA8">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）参加本次政府采购活动前一年内至少一个月依法缴纳税收和社会保障资金的证明材料。</w:t>
      </w:r>
    </w:p>
    <w:p w14:paraId="274FAB8C">
      <w:pPr>
        <w:widowControl/>
        <w:spacing w:line="460" w:lineRule="exact"/>
        <w:ind w:firstLine="492"/>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本公司对上述承诺</w:t>
      </w:r>
      <w:r>
        <w:rPr>
          <w:rFonts w:hint="eastAsia" w:ascii="仿宋" w:hAnsi="仿宋" w:eastAsia="仿宋" w:cs="仿宋"/>
          <w:color w:val="000000"/>
          <w:sz w:val="24"/>
          <w:szCs w:val="24"/>
          <w:lang w:eastAsia="zh-CN"/>
        </w:rPr>
        <w:t>内容</w:t>
      </w:r>
      <w:r>
        <w:rPr>
          <w:rFonts w:hint="eastAsia" w:ascii="仿宋" w:hAnsi="仿宋" w:eastAsia="仿宋" w:cs="仿宋"/>
          <w:color w:val="000000"/>
          <w:sz w:val="24"/>
          <w:szCs w:val="24"/>
        </w:rPr>
        <w:t>的真实性</w:t>
      </w:r>
      <w:r>
        <w:rPr>
          <w:rFonts w:hint="eastAsia" w:ascii="仿宋" w:hAnsi="仿宋" w:eastAsia="仿宋" w:cs="仿宋"/>
          <w:color w:val="000000"/>
          <w:sz w:val="24"/>
          <w:szCs w:val="24"/>
          <w:lang w:eastAsia="zh-CN"/>
        </w:rPr>
        <w:t>、合法性、有效性</w:t>
      </w:r>
      <w:r>
        <w:rPr>
          <w:rFonts w:hint="eastAsia" w:ascii="仿宋" w:hAnsi="仿宋" w:eastAsia="仿宋" w:cs="仿宋"/>
          <w:color w:val="000000"/>
          <w:sz w:val="24"/>
          <w:szCs w:val="24"/>
        </w:rPr>
        <w:t>负责，如有虚假，将依法承担相应责任。</w:t>
      </w:r>
    </w:p>
    <w:p w14:paraId="533A38AE">
      <w:pPr>
        <w:widowControl/>
        <w:spacing w:line="460" w:lineRule="exact"/>
        <w:ind w:firstLine="492"/>
        <w:jc w:val="left"/>
        <w:rPr>
          <w:rFonts w:hint="eastAsia" w:ascii="仿宋" w:hAnsi="仿宋" w:eastAsia="仿宋" w:cs="仿宋"/>
          <w:color w:val="000000"/>
          <w:sz w:val="24"/>
          <w:szCs w:val="24"/>
        </w:rPr>
      </w:pPr>
    </w:p>
    <w:p w14:paraId="34788EC8">
      <w:pPr>
        <w:pStyle w:val="246"/>
        <w:widowControl/>
        <w:rPr>
          <w:rFonts w:hint="eastAsia" w:ascii="仿宋" w:hAnsi="仿宋" w:eastAsia="仿宋" w:cs="仿宋"/>
          <w:color w:val="000000"/>
          <w:sz w:val="24"/>
          <w:szCs w:val="24"/>
        </w:rPr>
      </w:pPr>
    </w:p>
    <w:p w14:paraId="24B582EC">
      <w:pPr>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4"/>
        </w:rPr>
        <w:t>供应商名称：（加盖CA电子公章）</w:t>
      </w:r>
    </w:p>
    <w:p w14:paraId="21AE1D86">
      <w:pPr>
        <w:spacing w:line="560" w:lineRule="exact"/>
        <w:ind w:firstLine="4560" w:firstLineChars="1900"/>
        <w:rPr>
          <w:rFonts w:hint="eastAsia" w:ascii="仿宋" w:hAnsi="仿宋" w:eastAsia="仿宋" w:cs="仿宋"/>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年_</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__月__</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12031234">
      <w:pPr>
        <w:widowControl/>
        <w:jc w:val="left"/>
        <w:rPr>
          <w:rFonts w:hint="eastAsia" w:ascii="仿宋" w:hAnsi="仿宋" w:eastAsia="仿宋" w:cs="仿宋"/>
          <w:sz w:val="24"/>
          <w:szCs w:val="24"/>
        </w:rPr>
      </w:pPr>
    </w:p>
    <w:p w14:paraId="5D2FF353">
      <w:pPr>
        <w:widowControl/>
        <w:spacing w:line="440" w:lineRule="exact"/>
        <w:jc w:val="left"/>
        <w:rPr>
          <w:rFonts w:hint="eastAsia" w:ascii="仿宋" w:hAnsi="仿宋" w:eastAsia="仿宋" w:cs="仿宋"/>
          <w:sz w:val="24"/>
          <w:szCs w:val="24"/>
          <w:lang w:eastAsia="zh-CN"/>
        </w:rPr>
      </w:pPr>
    </w:p>
    <w:p w14:paraId="545BFD83">
      <w:pPr>
        <w:widowControl/>
        <w:spacing w:line="440" w:lineRule="exact"/>
        <w:ind w:firstLine="480" w:firstLineChars="200"/>
        <w:jc w:val="left"/>
        <w:rPr>
          <w:rFonts w:hint="eastAsia" w:ascii="仿宋" w:hAnsi="仿宋" w:eastAsia="仿宋" w:cs="仿宋"/>
          <w:b w:val="0"/>
          <w:bCs w:val="0"/>
          <w:sz w:val="24"/>
          <w:szCs w:val="24"/>
          <w:lang w:eastAsia="zh-CN"/>
        </w:rPr>
      </w:pPr>
    </w:p>
    <w:p w14:paraId="259D540D">
      <w:pPr>
        <w:pStyle w:val="60"/>
        <w:widowControl/>
        <w:jc w:val="left"/>
        <w:rPr>
          <w:rFonts w:hint="eastAsia" w:ascii="仿宋" w:hAnsi="仿宋" w:eastAsia="仿宋" w:cs="仿宋"/>
          <w:b/>
          <w:bCs/>
          <w:sz w:val="21"/>
          <w:szCs w:val="21"/>
          <w:lang w:eastAsia="zh-CN"/>
        </w:rPr>
      </w:pPr>
    </w:p>
    <w:p w14:paraId="67A4BE5D">
      <w:pPr>
        <w:pStyle w:val="60"/>
        <w:widowControl/>
        <w:jc w:val="left"/>
        <w:rPr>
          <w:rFonts w:hint="eastAsia" w:ascii="仿宋" w:hAnsi="仿宋" w:eastAsia="仿宋" w:cs="仿宋"/>
          <w:b/>
          <w:bCs/>
          <w:sz w:val="21"/>
          <w:szCs w:val="21"/>
          <w:lang w:eastAsia="zh-CN"/>
        </w:rPr>
      </w:pPr>
    </w:p>
    <w:p w14:paraId="12127F79">
      <w:pPr>
        <w:pStyle w:val="60"/>
        <w:widowControl/>
        <w:jc w:val="left"/>
        <w:rPr>
          <w:rFonts w:hint="eastAsia" w:ascii="仿宋" w:hAnsi="仿宋" w:eastAsia="仿宋" w:cs="仿宋"/>
          <w:b/>
          <w:bCs/>
          <w:sz w:val="21"/>
          <w:szCs w:val="21"/>
          <w:lang w:eastAsia="zh-CN"/>
        </w:rPr>
      </w:pPr>
    </w:p>
    <w:p w14:paraId="08567ED7">
      <w:pPr>
        <w:pStyle w:val="60"/>
        <w:widowControl/>
        <w:jc w:val="left"/>
        <w:rPr>
          <w:rFonts w:hint="eastAsia" w:ascii="仿宋" w:hAnsi="仿宋" w:eastAsia="仿宋" w:cs="仿宋"/>
          <w:b/>
          <w:bCs/>
          <w:sz w:val="21"/>
          <w:szCs w:val="21"/>
          <w:lang w:eastAsia="zh-CN"/>
        </w:rPr>
      </w:pPr>
    </w:p>
    <w:p w14:paraId="1E8CC864">
      <w:pPr>
        <w:pStyle w:val="4"/>
        <w:bidi w:val="0"/>
        <w:jc w:val="left"/>
        <w:rPr>
          <w:rFonts w:hint="eastAsia" w:ascii="仿宋" w:hAnsi="仿宋" w:eastAsia="仿宋" w:cs="仿宋"/>
          <w:sz w:val="32"/>
          <w:szCs w:val="32"/>
          <w:lang w:val="en-US" w:eastAsia="zh-CN"/>
        </w:rPr>
      </w:pPr>
      <w:bookmarkStart w:id="121" w:name="_Toc23657"/>
      <w:r>
        <w:rPr>
          <w:rFonts w:hint="eastAsia" w:ascii="仿宋" w:hAnsi="仿宋" w:eastAsia="仿宋" w:cs="仿宋"/>
          <w:sz w:val="32"/>
          <w:szCs w:val="32"/>
          <w:lang w:val="en-US" w:eastAsia="zh-CN"/>
        </w:rPr>
        <w:t>二、满足特定资格要求的证明文件</w:t>
      </w:r>
      <w:bookmarkEnd w:id="121"/>
    </w:p>
    <w:p w14:paraId="31928E4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bidi="ar-SA"/>
        </w:rPr>
      </w:pPr>
      <w:r>
        <w:rPr>
          <w:rFonts w:hint="eastAsia" w:ascii="仿宋" w:hAnsi="仿宋" w:eastAsia="仿宋" w:cs="仿宋"/>
          <w:kern w:val="2"/>
          <w:sz w:val="24"/>
          <w:szCs w:val="24"/>
          <w:lang w:val="en-US" w:eastAsia="zh-CN" w:bidi="ar-SA"/>
        </w:rPr>
        <w:t>本项目申请人的特定资格要求中要求提供的材料，</w:t>
      </w:r>
      <w:r>
        <w:rPr>
          <w:rFonts w:hint="eastAsia" w:ascii="仿宋" w:hAnsi="仿宋" w:eastAsia="仿宋" w:cs="仿宋"/>
          <w:sz w:val="24"/>
          <w:szCs w:val="24"/>
        </w:rPr>
        <w:t>必须提供</w:t>
      </w:r>
    </w:p>
    <w:p w14:paraId="1040C8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p>
    <w:p w14:paraId="0C604855">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1、分包一：视力康复服务机构</w:t>
      </w:r>
    </w:p>
    <w:p w14:paraId="69345383">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2、分包二：听力语言康复服务机构</w:t>
      </w:r>
    </w:p>
    <w:p w14:paraId="2A295D9E">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3、分包三：肢体康复服务机构</w:t>
      </w:r>
    </w:p>
    <w:p w14:paraId="58163BA8">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4、分包四：智力康复服务机构</w:t>
      </w:r>
    </w:p>
    <w:p w14:paraId="46777499">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5、分包五：孤独症康复服务机构</w:t>
      </w:r>
    </w:p>
    <w:p w14:paraId="6E70E953">
      <w:pPr>
        <w:keepNext w:val="0"/>
        <w:keepLines w:val="0"/>
        <w:pageBreakBefore w:val="0"/>
        <w:widowControl w:val="0"/>
        <w:numPr>
          <w:ilvl w:val="0"/>
          <w:numId w:val="0"/>
        </w:numPr>
        <w:kinsoku/>
        <w:wordWrap/>
        <w:overflowPunct/>
        <w:topLinePunct w:val="0"/>
        <w:autoSpaceDE/>
        <w:autoSpaceDN/>
        <w:bidi w:val="0"/>
        <w:adjustRightInd/>
        <w:snapToGrid/>
        <w:spacing w:line="552" w:lineRule="auto"/>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6、消防要求</w:t>
      </w:r>
    </w:p>
    <w:p w14:paraId="73DEBE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sz w:val="32"/>
          <w:szCs w:val="32"/>
          <w:highlight w:val="none"/>
          <w:u w:val="single"/>
        </w:rPr>
      </w:pPr>
    </w:p>
    <w:p w14:paraId="1B921FA1">
      <w:pPr>
        <w:pStyle w:val="4"/>
        <w:bidi w:val="0"/>
        <w:jc w:val="left"/>
        <w:rPr>
          <w:rFonts w:hint="eastAsia" w:ascii="仿宋" w:hAnsi="仿宋" w:eastAsia="仿宋" w:cs="仿宋"/>
          <w:sz w:val="32"/>
          <w:szCs w:val="32"/>
          <w:lang w:val="en-US" w:eastAsia="zh-CN"/>
        </w:rPr>
      </w:pPr>
      <w:bookmarkStart w:id="122" w:name="_Toc28359"/>
      <w:r>
        <w:rPr>
          <w:rFonts w:hint="eastAsia" w:ascii="仿宋" w:hAnsi="仿宋" w:eastAsia="仿宋" w:cs="仿宋"/>
          <w:sz w:val="32"/>
          <w:szCs w:val="32"/>
          <w:lang w:val="en-US" w:eastAsia="zh-CN"/>
        </w:rPr>
        <w:t>三、供应商业绩要求的证明文件</w:t>
      </w:r>
      <w:bookmarkEnd w:id="122"/>
    </w:p>
    <w:p w14:paraId="396CCD7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本项目申请人的业绩要求中要求提供的材料，</w:t>
      </w:r>
      <w:r>
        <w:rPr>
          <w:rFonts w:hint="eastAsia" w:ascii="仿宋" w:hAnsi="仿宋" w:eastAsia="仿宋" w:cs="仿宋"/>
          <w:sz w:val="24"/>
          <w:szCs w:val="24"/>
        </w:rPr>
        <w:t>必须提供</w:t>
      </w:r>
    </w:p>
    <w:p w14:paraId="7609769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kern w:val="2"/>
          <w:sz w:val="24"/>
          <w:szCs w:val="24"/>
          <w:lang w:val="en-US" w:eastAsia="zh-CN" w:bidi="ar-SA"/>
        </w:rPr>
      </w:pPr>
    </w:p>
    <w:p w14:paraId="77A37F1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lang w:val="en-US" w:eastAsia="zh-CN"/>
        </w:rPr>
        <w:t>视力康复服务机构</w:t>
      </w:r>
    </w:p>
    <w:p w14:paraId="5F8A0D5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p>
    <w:p w14:paraId="47F3B91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2、听力语言康复服务机构</w:t>
      </w:r>
    </w:p>
    <w:p w14:paraId="044F4F5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p>
    <w:p w14:paraId="49C71C5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3、肢体康复服务机构</w:t>
      </w:r>
    </w:p>
    <w:p w14:paraId="746C0F0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p>
    <w:p w14:paraId="3B7E82B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4、智力康复服务机构</w:t>
      </w:r>
    </w:p>
    <w:p w14:paraId="4433937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highlight w:val="none"/>
          <w:lang w:val="en-US" w:eastAsia="zh-CN"/>
        </w:rPr>
      </w:pPr>
    </w:p>
    <w:p w14:paraId="0F707B9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sz w:val="24"/>
          <w:szCs w:val="24"/>
          <w:highlight w:val="none"/>
          <w:lang w:val="en-US" w:eastAsia="zh-CN"/>
        </w:rPr>
        <w:t>5、孤独症康复服务机构</w:t>
      </w:r>
    </w:p>
    <w:p w14:paraId="592531A4">
      <w:pPr>
        <w:widowControl/>
        <w:shd w:val="clear" w:color="auto" w:fill="auto"/>
        <w:spacing w:line="240" w:lineRule="auto"/>
        <w:jc w:val="left"/>
        <w:rPr>
          <w:rFonts w:hint="eastAsia" w:ascii="仿宋" w:hAnsi="仿宋" w:eastAsia="仿宋" w:cs="仿宋"/>
          <w:i w:val="0"/>
          <w:sz w:val="32"/>
          <w:szCs w:val="32"/>
          <w:u w:val="none"/>
          <w:lang w:val="en-US" w:eastAsia="zh-CN"/>
        </w:rPr>
        <w:sectPr>
          <w:headerReference r:id="rId8" w:type="default"/>
          <w:footerReference r:id="rId9" w:type="default"/>
          <w:pgSz w:w="11906" w:h="16838"/>
          <w:pgMar w:top="1440" w:right="1800" w:bottom="1440" w:left="1800" w:header="851" w:footer="992" w:gutter="0"/>
          <w:pgNumType w:fmt="decimal"/>
          <w:cols w:space="720" w:num="1"/>
          <w:docGrid w:linePitch="360" w:charSpace="0"/>
        </w:sectPr>
      </w:pPr>
    </w:p>
    <w:p w14:paraId="46A93089">
      <w:pPr>
        <w:pStyle w:val="4"/>
        <w:bidi w:val="0"/>
        <w:jc w:val="left"/>
        <w:rPr>
          <w:rFonts w:hint="eastAsia" w:ascii="仿宋" w:hAnsi="仿宋" w:eastAsia="仿宋" w:cs="仿宋"/>
          <w:sz w:val="32"/>
          <w:szCs w:val="32"/>
          <w:lang w:val="en-US" w:eastAsia="zh-CN"/>
        </w:rPr>
      </w:pPr>
      <w:bookmarkStart w:id="123" w:name="_Toc24045"/>
      <w:r>
        <w:rPr>
          <w:rFonts w:hint="eastAsia" w:ascii="仿宋" w:hAnsi="仿宋" w:eastAsia="仿宋" w:cs="仿宋"/>
          <w:sz w:val="32"/>
          <w:szCs w:val="32"/>
          <w:lang w:val="en-US" w:eastAsia="zh-CN"/>
        </w:rPr>
        <w:t>四、法人授权书</w:t>
      </w:r>
      <w:bookmarkEnd w:id="123"/>
    </w:p>
    <w:p w14:paraId="44033CC1">
      <w:pPr>
        <w:bidi w:val="0"/>
        <w:jc w:val="center"/>
        <w:rPr>
          <w:rFonts w:hint="eastAsia" w:ascii="仿宋" w:hAnsi="仿宋" w:eastAsia="仿宋" w:cs="仿宋"/>
          <w:b/>
          <w:bCs/>
          <w:sz w:val="24"/>
          <w:szCs w:val="28"/>
          <w:lang w:val="en-US"/>
        </w:rPr>
      </w:pPr>
      <w:r>
        <w:rPr>
          <w:rFonts w:hint="eastAsia" w:ascii="仿宋" w:hAnsi="仿宋" w:eastAsia="仿宋" w:cs="仿宋"/>
          <w:b/>
          <w:bCs/>
          <w:sz w:val="24"/>
          <w:szCs w:val="28"/>
          <w:lang w:val="en-US"/>
        </w:rPr>
        <w:t>法人授权书</w:t>
      </w:r>
    </w:p>
    <w:p w14:paraId="458882BA">
      <w:pPr>
        <w:spacing w:line="420" w:lineRule="exact"/>
        <w:ind w:firstLine="480"/>
        <w:rPr>
          <w:rFonts w:hint="eastAsia" w:ascii="仿宋" w:hAnsi="仿宋" w:eastAsia="仿宋" w:cs="仿宋"/>
          <w:sz w:val="24"/>
          <w:szCs w:val="24"/>
          <w:lang w:val="en-US" w:eastAsia="zh-CN" w:bidi="ar-SA"/>
        </w:rPr>
      </w:pPr>
    </w:p>
    <w:p w14:paraId="0BDDA3B9">
      <w:pPr>
        <w:spacing w:line="480" w:lineRule="exact"/>
        <w:ind w:firstLine="48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本授权书声明：</w:t>
      </w:r>
      <w:r>
        <w:rPr>
          <w:rFonts w:hint="eastAsia" w:ascii="仿宋" w:hAnsi="仿宋" w:eastAsia="仿宋" w:cs="仿宋"/>
          <w:sz w:val="24"/>
          <w:szCs w:val="24"/>
          <w:u w:val="single"/>
          <w:lang w:val="en-US" w:eastAsia="zh-CN" w:bidi="ar-SA"/>
        </w:rPr>
        <w:t xml:space="preserve">            </w:t>
      </w:r>
      <w:r>
        <w:rPr>
          <w:rFonts w:hint="eastAsia" w:ascii="仿宋" w:hAnsi="仿宋" w:eastAsia="仿宋" w:cs="仿宋"/>
          <w:sz w:val="24"/>
          <w:szCs w:val="24"/>
          <w:lang w:val="en-US" w:eastAsia="zh-CN" w:bidi="ar-SA"/>
        </w:rPr>
        <w:t>（供应商名称）授权</w:t>
      </w:r>
      <w:r>
        <w:rPr>
          <w:rFonts w:hint="eastAsia" w:ascii="仿宋" w:hAnsi="仿宋" w:eastAsia="仿宋" w:cs="仿宋"/>
          <w:sz w:val="24"/>
          <w:szCs w:val="24"/>
          <w:u w:val="single"/>
          <w:lang w:val="en-US" w:eastAsia="zh-CN" w:bidi="ar-SA"/>
        </w:rPr>
        <w:t xml:space="preserve">                 </w:t>
      </w:r>
      <w:r>
        <w:rPr>
          <w:rFonts w:hint="eastAsia" w:ascii="仿宋" w:hAnsi="仿宋" w:eastAsia="仿宋" w:cs="仿宋"/>
          <w:sz w:val="24"/>
          <w:szCs w:val="24"/>
          <w:lang w:val="en-US" w:eastAsia="zh-CN" w:bidi="ar-SA"/>
        </w:rPr>
        <w:t>（被授权人姓名）作为我方参加编号为</w:t>
      </w:r>
      <w:r>
        <w:rPr>
          <w:rFonts w:hint="eastAsia" w:ascii="仿宋" w:hAnsi="仿宋" w:eastAsia="仿宋" w:cs="仿宋"/>
          <w:color w:val="000000"/>
          <w:sz w:val="24"/>
          <w:szCs w:val="24"/>
          <w:u w:val="single"/>
          <w:lang w:val="en-US" w:eastAsia="zh-CN" w:bidi="ar-SA"/>
        </w:rPr>
        <w:t xml:space="preserve">                             </w:t>
      </w:r>
      <w:r>
        <w:rPr>
          <w:rFonts w:hint="eastAsia" w:ascii="仿宋" w:hAnsi="仿宋" w:eastAsia="仿宋" w:cs="仿宋"/>
          <w:sz w:val="24"/>
          <w:szCs w:val="24"/>
          <w:u w:val="single"/>
          <w:lang w:val="en-US" w:eastAsia="zh-CN" w:bidi="ar-SA"/>
        </w:rPr>
        <w:t xml:space="preserve"> </w:t>
      </w:r>
      <w:r>
        <w:rPr>
          <w:rFonts w:hint="eastAsia" w:ascii="仿宋" w:hAnsi="仿宋" w:eastAsia="仿宋" w:cs="仿宋"/>
          <w:sz w:val="24"/>
          <w:szCs w:val="24"/>
          <w:lang w:val="en-US" w:eastAsia="zh-CN" w:bidi="ar-SA"/>
        </w:rPr>
        <w:t>项目采购活动的合法代理人，以本单位名义全权处理一切与该项目采购有关的事务。</w:t>
      </w:r>
    </w:p>
    <w:p w14:paraId="2820F684">
      <w:pPr>
        <w:spacing w:line="480" w:lineRule="exact"/>
        <w:ind w:firstLine="48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本授权书自______年____月____日起生效，特此声明。</w:t>
      </w:r>
    </w:p>
    <w:p w14:paraId="11DC3D41">
      <w:pPr>
        <w:spacing w:line="480" w:lineRule="exact"/>
        <w:ind w:firstLine="480" w:firstLineChars="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被授权人身份证号码：</w:t>
      </w:r>
    </w:p>
    <w:p w14:paraId="5FD7D13B">
      <w:pPr>
        <w:spacing w:line="480" w:lineRule="exact"/>
        <w:ind w:firstLine="480" w:firstLineChars="0"/>
        <w:rPr>
          <w:rFonts w:hint="eastAsia"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SA"/>
        </w:rPr>
        <w:t>被授权人联系电话：（手机）</w:t>
      </w:r>
    </w:p>
    <w:p w14:paraId="26A301AE">
      <w:pPr>
        <w:spacing w:line="480" w:lineRule="exact"/>
        <w:ind w:firstLine="468" w:firstLineChars="195"/>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单位名称：</w:t>
      </w:r>
      <w:r>
        <w:rPr>
          <w:rFonts w:hint="eastAsia" w:ascii="仿宋" w:hAnsi="仿宋" w:eastAsia="仿宋" w:cs="仿宋"/>
          <w:sz w:val="24"/>
          <w:szCs w:val="24"/>
          <w:u w:val="none"/>
          <w:lang w:val="en-US" w:eastAsia="zh-CN" w:bidi="ar-SA"/>
        </w:rPr>
        <w:t>（加盖电子公章）</w:t>
      </w:r>
    </w:p>
    <w:p w14:paraId="550576DE">
      <w:pPr>
        <w:spacing w:line="480" w:lineRule="exact"/>
        <w:ind w:firstLine="480"/>
        <w:rPr>
          <w:rFonts w:hint="eastAsia"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SA"/>
        </w:rPr>
        <w:t>单位地址：</w:t>
      </w:r>
    </w:p>
    <w:p w14:paraId="39B2515F">
      <w:pPr>
        <w:spacing w:line="480" w:lineRule="exact"/>
        <w:ind w:firstLine="48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日    期：</w:t>
      </w:r>
      <w:bookmarkStart w:id="124" w:name="_Hlt26671380"/>
      <w:bookmarkEnd w:id="124"/>
      <w:bookmarkStart w:id="125" w:name="_Hlt26955070"/>
      <w:bookmarkEnd w:id="125"/>
      <w:bookmarkStart w:id="126" w:name="_格式3__银行出具的资信证明"/>
      <w:bookmarkEnd w:id="126"/>
    </w:p>
    <w:p w14:paraId="5E574885">
      <w:pPr>
        <w:ind w:firstLine="480"/>
        <w:rPr>
          <w:rFonts w:hint="eastAsia" w:ascii="仿宋" w:hAnsi="仿宋" w:eastAsia="仿宋" w:cs="仿宋"/>
          <w:b w:val="0"/>
          <w:bCs w:val="0"/>
          <w:sz w:val="24"/>
          <w:szCs w:val="24"/>
          <w:highlight w:val="none"/>
          <w:lang w:val="en-US" w:eastAsia="zh-CN" w:bidi="ar-SA"/>
        </w:rPr>
      </w:pPr>
    </w:p>
    <w:p w14:paraId="05DD871E">
      <w:pPr>
        <w:pStyle w:val="248"/>
        <w:widowControl/>
        <w:ind w:firstLine="0"/>
        <w:jc w:val="left"/>
        <w:rPr>
          <w:rFonts w:hint="eastAsia" w:ascii="仿宋" w:hAnsi="仿宋" w:eastAsia="仿宋" w:cs="仿宋"/>
          <w:b w:val="0"/>
          <w:bCs w:val="0"/>
          <w:i/>
          <w:sz w:val="24"/>
          <w:szCs w:val="24"/>
          <w:highlight w:val="none"/>
          <w:u w:val="single"/>
        </w:rPr>
      </w:pPr>
    </w:p>
    <w:p w14:paraId="5588F5E3">
      <w:pPr>
        <w:pStyle w:val="248"/>
        <w:widowControl/>
        <w:ind w:firstLine="0"/>
        <w:jc w:val="left"/>
        <w:rPr>
          <w:rFonts w:hint="eastAsia" w:ascii="仿宋" w:hAnsi="仿宋" w:eastAsia="仿宋" w:cs="仿宋"/>
          <w:b w:val="0"/>
          <w:bCs w:val="0"/>
          <w:i/>
          <w:sz w:val="24"/>
          <w:szCs w:val="24"/>
          <w:highlight w:val="none"/>
          <w:u w:val="single"/>
        </w:rPr>
      </w:pPr>
    </w:p>
    <w:p w14:paraId="00A70B1A">
      <w:pPr>
        <w:pStyle w:val="248"/>
        <w:widowControl/>
        <w:ind w:firstLine="0"/>
        <w:jc w:val="left"/>
        <w:rPr>
          <w:rFonts w:hint="eastAsia" w:ascii="仿宋" w:hAnsi="仿宋" w:eastAsia="仿宋" w:cs="仿宋"/>
          <w:b w:val="0"/>
          <w:bCs w:val="0"/>
          <w:i/>
          <w:sz w:val="24"/>
          <w:szCs w:val="24"/>
          <w:highlight w:val="none"/>
          <w:u w:val="single"/>
        </w:rPr>
      </w:pPr>
    </w:p>
    <w:p w14:paraId="31C84444">
      <w:pPr>
        <w:pStyle w:val="248"/>
        <w:widowControl/>
        <w:ind w:firstLine="0"/>
        <w:jc w:val="left"/>
        <w:rPr>
          <w:rFonts w:hint="eastAsia" w:ascii="仿宋" w:hAnsi="仿宋" w:eastAsia="仿宋" w:cs="仿宋"/>
          <w:b w:val="0"/>
          <w:bCs w:val="0"/>
          <w:i/>
          <w:sz w:val="24"/>
          <w:szCs w:val="24"/>
          <w:highlight w:val="none"/>
          <w:u w:val="single"/>
        </w:rPr>
      </w:pPr>
    </w:p>
    <w:p w14:paraId="45C1FEC3">
      <w:pPr>
        <w:pStyle w:val="248"/>
        <w:widowControl/>
        <w:ind w:firstLine="0"/>
        <w:jc w:val="left"/>
        <w:rPr>
          <w:rFonts w:hint="eastAsia" w:ascii="仿宋" w:hAnsi="仿宋" w:eastAsia="仿宋" w:cs="仿宋"/>
          <w:b w:val="0"/>
          <w:bCs w:val="0"/>
          <w:i/>
          <w:sz w:val="24"/>
          <w:szCs w:val="24"/>
          <w:highlight w:val="none"/>
          <w:u w:val="single"/>
        </w:rPr>
      </w:pPr>
    </w:p>
    <w:p w14:paraId="2F042657">
      <w:pPr>
        <w:pStyle w:val="248"/>
        <w:widowControl/>
        <w:ind w:firstLine="0"/>
        <w:jc w:val="left"/>
        <w:rPr>
          <w:rFonts w:hint="eastAsia" w:ascii="仿宋" w:hAnsi="仿宋" w:eastAsia="仿宋" w:cs="仿宋"/>
          <w:b w:val="0"/>
          <w:bCs w:val="0"/>
          <w:i/>
          <w:sz w:val="24"/>
          <w:szCs w:val="24"/>
          <w:highlight w:val="none"/>
          <w:u w:val="single"/>
        </w:rPr>
      </w:pPr>
    </w:p>
    <w:p w14:paraId="720E70F8">
      <w:pPr>
        <w:pStyle w:val="248"/>
        <w:widowControl/>
        <w:ind w:firstLine="0"/>
        <w:jc w:val="left"/>
        <w:rPr>
          <w:rFonts w:hint="eastAsia" w:ascii="仿宋" w:hAnsi="仿宋" w:eastAsia="仿宋" w:cs="仿宋"/>
          <w:b w:val="0"/>
          <w:bCs w:val="0"/>
          <w:i/>
          <w:sz w:val="24"/>
          <w:szCs w:val="24"/>
          <w:highlight w:val="none"/>
          <w:u w:val="single"/>
        </w:rPr>
      </w:pPr>
    </w:p>
    <w:p w14:paraId="7E6D212F">
      <w:pPr>
        <w:widowControl/>
        <w:shd w:val="clear" w:color="auto" w:fill="auto"/>
        <w:spacing w:line="240" w:lineRule="auto"/>
        <w:jc w:val="left"/>
        <w:rPr>
          <w:rFonts w:hint="eastAsia" w:ascii="仿宋" w:hAnsi="仿宋" w:eastAsia="仿宋" w:cs="仿宋"/>
          <w:b w:val="0"/>
          <w:bCs w:val="0"/>
          <w:i/>
          <w:kern w:val="2"/>
          <w:sz w:val="32"/>
          <w:szCs w:val="32"/>
          <w:highlight w:val="none"/>
          <w:u w:val="single"/>
          <w:lang w:val="en-US" w:eastAsia="zh-CN" w:bidi="ar-SA"/>
        </w:rPr>
      </w:pPr>
    </w:p>
    <w:p w14:paraId="13B286DD">
      <w:pPr>
        <w:widowControl/>
        <w:shd w:val="clear" w:color="auto" w:fill="auto"/>
        <w:spacing w:line="240" w:lineRule="auto"/>
        <w:jc w:val="left"/>
        <w:rPr>
          <w:rFonts w:hint="eastAsia" w:ascii="仿宋" w:hAnsi="仿宋" w:eastAsia="仿宋" w:cs="仿宋"/>
          <w:i w:val="0"/>
          <w:sz w:val="32"/>
          <w:szCs w:val="32"/>
          <w:u w:val="none"/>
          <w:lang w:val="en-US" w:eastAsia="zh-CN"/>
        </w:rPr>
        <w:sectPr>
          <w:pgSz w:w="11906" w:h="16838"/>
          <w:pgMar w:top="1440" w:right="1800" w:bottom="1440" w:left="1800" w:header="851" w:footer="992" w:gutter="0"/>
          <w:pgNumType w:fmt="decimal"/>
          <w:cols w:space="720" w:num="1"/>
          <w:docGrid w:linePitch="360" w:charSpace="0"/>
        </w:sectPr>
      </w:pPr>
    </w:p>
    <w:p w14:paraId="1B3FCBCF">
      <w:pPr>
        <w:pStyle w:val="4"/>
        <w:bidi w:val="0"/>
        <w:jc w:val="left"/>
        <w:rPr>
          <w:rFonts w:hint="eastAsia" w:ascii="仿宋" w:hAnsi="仿宋" w:eastAsia="仿宋" w:cs="仿宋"/>
          <w:sz w:val="36"/>
          <w:szCs w:val="36"/>
          <w:lang w:val="en-US" w:eastAsia="zh-CN"/>
        </w:rPr>
      </w:pPr>
      <w:bookmarkStart w:id="127" w:name="_Toc10984"/>
      <w:r>
        <w:rPr>
          <w:rFonts w:hint="eastAsia" w:ascii="仿宋" w:hAnsi="仿宋" w:eastAsia="仿宋" w:cs="仿宋"/>
          <w:sz w:val="36"/>
          <w:szCs w:val="36"/>
          <w:lang w:val="en-US" w:eastAsia="zh-CN"/>
        </w:rPr>
        <w:t>五、响应函</w:t>
      </w:r>
      <w:bookmarkEnd w:id="127"/>
    </w:p>
    <w:p w14:paraId="3A80993E">
      <w:pPr>
        <w:numPr>
          <w:ilvl w:val="0"/>
          <w:numId w:val="0"/>
        </w:numPr>
        <w:spacing w:before="0" w:after="0" w:line="420" w:lineRule="exact"/>
        <w:ind w:firstLine="0" w:firstLineChars="0"/>
        <w:jc w:val="left"/>
        <w:rPr>
          <w:rFonts w:hint="eastAsia" w:ascii="仿宋" w:hAnsi="仿宋" w:eastAsia="仿宋" w:cs="仿宋"/>
          <w:b w:val="0"/>
          <w:bCs w:val="0"/>
          <w:sz w:val="24"/>
          <w:szCs w:val="21"/>
          <w:highlight w:val="none"/>
          <w:lang w:val="en-US" w:eastAsia="zh-CN" w:bidi="ar-SA"/>
        </w:rPr>
      </w:pPr>
      <w:r>
        <w:rPr>
          <w:rFonts w:hint="eastAsia" w:ascii="仿宋" w:hAnsi="仿宋" w:eastAsia="仿宋" w:cs="仿宋"/>
          <w:b w:val="0"/>
          <w:bCs w:val="0"/>
          <w:sz w:val="24"/>
          <w:szCs w:val="21"/>
          <w:highlight w:val="none"/>
          <w:lang w:val="en-US" w:eastAsia="en-US" w:bidi="ar-SA"/>
        </w:rPr>
        <w:t>致：</w:t>
      </w:r>
      <w:r>
        <w:rPr>
          <w:rFonts w:hint="eastAsia" w:ascii="仿宋" w:hAnsi="仿宋" w:eastAsia="仿宋" w:cs="仿宋"/>
          <w:b w:val="0"/>
          <w:bCs w:val="0"/>
          <w:sz w:val="24"/>
          <w:szCs w:val="21"/>
          <w:highlight w:val="none"/>
          <w:lang w:val="en-US" w:eastAsia="zh-CN" w:bidi="ar-SA"/>
        </w:rPr>
        <w:t>江苏领界科技有限公司</w:t>
      </w:r>
    </w:p>
    <w:p w14:paraId="1EE9645E">
      <w:pPr>
        <w:pStyle w:val="238"/>
        <w:spacing w:before="0" w:after="0" w:line="420" w:lineRule="exact"/>
        <w:ind w:firstLineChars="200"/>
        <w:rPr>
          <w:rFonts w:hint="eastAsia" w:ascii="仿宋" w:hAnsi="仿宋" w:eastAsia="仿宋" w:cs="仿宋"/>
          <w:kern w:val="2"/>
          <w:szCs w:val="21"/>
          <w:highlight w:val="none"/>
        </w:rPr>
      </w:pPr>
      <w:r>
        <w:rPr>
          <w:rFonts w:hint="eastAsia" w:ascii="仿宋" w:hAnsi="仿宋" w:eastAsia="仿宋" w:cs="仿宋"/>
          <w:kern w:val="2"/>
          <w:szCs w:val="21"/>
          <w:highlight w:val="none"/>
        </w:rPr>
        <w:t>根据贵方的</w:t>
      </w:r>
      <w:r>
        <w:rPr>
          <w:rFonts w:hint="eastAsia" w:ascii="仿宋" w:hAnsi="仿宋" w:eastAsia="仿宋" w:cs="仿宋"/>
          <w:b/>
          <w:sz w:val="36"/>
          <w:highlight w:val="none"/>
          <w:u w:val="single"/>
        </w:rPr>
        <w:t xml:space="preserve">            </w:t>
      </w:r>
      <w:r>
        <w:rPr>
          <w:rFonts w:hint="eastAsia" w:ascii="仿宋" w:hAnsi="仿宋" w:eastAsia="仿宋" w:cs="仿宋"/>
          <w:kern w:val="2"/>
          <w:szCs w:val="21"/>
          <w:highlight w:val="none"/>
        </w:rPr>
        <w:t>号</w:t>
      </w:r>
      <w:r>
        <w:rPr>
          <w:rFonts w:hint="eastAsia" w:ascii="仿宋" w:hAnsi="仿宋" w:eastAsia="仿宋" w:cs="仿宋"/>
          <w:kern w:val="2"/>
          <w:szCs w:val="21"/>
          <w:highlight w:val="none"/>
          <w:lang w:eastAsia="zh-CN"/>
        </w:rPr>
        <w:t>封闭式</w:t>
      </w:r>
      <w:r>
        <w:rPr>
          <w:rFonts w:hint="eastAsia" w:ascii="仿宋" w:hAnsi="仿宋" w:eastAsia="仿宋" w:cs="仿宋"/>
          <w:kern w:val="2"/>
          <w:szCs w:val="21"/>
          <w:highlight w:val="none"/>
        </w:rPr>
        <w:t>框架协议采购征集文件，正式授权下述签字人_________________(姓名)代表我方______________（供应商的名称），全权处理本项目的有关事宜。</w:t>
      </w:r>
    </w:p>
    <w:p w14:paraId="1FAD8493">
      <w:pPr>
        <w:pStyle w:val="238"/>
        <w:spacing w:before="0" w:after="0" w:line="420" w:lineRule="exact"/>
        <w:ind w:firstLineChars="200"/>
        <w:rPr>
          <w:rFonts w:hint="eastAsia" w:ascii="仿宋" w:hAnsi="仿宋" w:eastAsia="仿宋" w:cs="仿宋"/>
          <w:kern w:val="2"/>
          <w:szCs w:val="21"/>
          <w:highlight w:val="none"/>
        </w:rPr>
      </w:pPr>
      <w:r>
        <w:rPr>
          <w:rFonts w:hint="eastAsia" w:ascii="仿宋" w:hAnsi="仿宋" w:eastAsia="仿宋" w:cs="仿宋"/>
          <w:kern w:val="2"/>
          <w:szCs w:val="21"/>
          <w:highlight w:val="none"/>
        </w:rPr>
        <w:t>据此函，__________签字人兹宣布同意如下：</w:t>
      </w:r>
    </w:p>
    <w:p w14:paraId="512A76E9">
      <w:pPr>
        <w:pStyle w:val="238"/>
        <w:spacing w:before="0" w:after="0" w:line="420" w:lineRule="exact"/>
        <w:rPr>
          <w:rFonts w:hint="eastAsia" w:ascii="仿宋" w:hAnsi="仿宋" w:eastAsia="仿宋" w:cs="仿宋"/>
          <w:kern w:val="2"/>
          <w:szCs w:val="21"/>
          <w:highlight w:val="none"/>
        </w:rPr>
      </w:pPr>
      <w:r>
        <w:rPr>
          <w:rFonts w:hint="eastAsia" w:ascii="仿宋" w:hAnsi="仿宋" w:eastAsia="仿宋" w:cs="仿宋"/>
          <w:kern w:val="2"/>
          <w:szCs w:val="21"/>
          <w:highlight w:val="none"/>
        </w:rPr>
        <w:t>1.按征集文件规定的各项要求，向采购人提供所需</w:t>
      </w:r>
      <w:r>
        <w:rPr>
          <w:rFonts w:hint="eastAsia" w:ascii="仿宋" w:hAnsi="仿宋" w:eastAsia="仿宋" w:cs="仿宋"/>
          <w:kern w:val="2"/>
          <w:szCs w:val="21"/>
          <w:highlight w:val="none"/>
          <w:lang w:val="en-US" w:eastAsia="zh-CN"/>
        </w:rPr>
        <w:t>服务</w:t>
      </w:r>
      <w:r>
        <w:rPr>
          <w:rFonts w:hint="eastAsia" w:ascii="仿宋" w:hAnsi="仿宋" w:eastAsia="仿宋" w:cs="仿宋"/>
          <w:kern w:val="2"/>
          <w:szCs w:val="21"/>
          <w:highlight w:val="none"/>
        </w:rPr>
        <w:t>。</w:t>
      </w:r>
    </w:p>
    <w:p w14:paraId="5A0CBF78">
      <w:pPr>
        <w:pStyle w:val="238"/>
        <w:spacing w:before="0" w:after="0" w:line="420" w:lineRule="exact"/>
        <w:ind w:firstLineChars="200"/>
        <w:rPr>
          <w:rFonts w:hint="eastAsia" w:ascii="仿宋" w:hAnsi="仿宋" w:eastAsia="仿宋" w:cs="仿宋"/>
          <w:kern w:val="2"/>
          <w:szCs w:val="21"/>
          <w:highlight w:val="none"/>
        </w:rPr>
      </w:pPr>
      <w:r>
        <w:rPr>
          <w:rFonts w:hint="eastAsia" w:ascii="仿宋" w:hAnsi="仿宋" w:eastAsia="仿宋" w:cs="仿宋"/>
          <w:kern w:val="2"/>
          <w:szCs w:val="21"/>
          <w:highlight w:val="none"/>
        </w:rPr>
        <w:t>2.我们完全理解采购人不一定将采购合同授予协议价格最低的供应商。</w:t>
      </w:r>
    </w:p>
    <w:p w14:paraId="4B50A3B0">
      <w:pPr>
        <w:pStyle w:val="238"/>
        <w:spacing w:before="0" w:after="0" w:line="420" w:lineRule="exact"/>
        <w:ind w:firstLineChars="200"/>
        <w:rPr>
          <w:rFonts w:hint="eastAsia" w:ascii="仿宋" w:hAnsi="仿宋" w:eastAsia="仿宋" w:cs="仿宋"/>
          <w:kern w:val="2"/>
          <w:szCs w:val="21"/>
          <w:highlight w:val="none"/>
        </w:rPr>
      </w:pPr>
      <w:r>
        <w:rPr>
          <w:rFonts w:hint="eastAsia" w:ascii="仿宋" w:hAnsi="仿宋" w:eastAsia="仿宋" w:cs="仿宋"/>
          <w:kern w:val="2"/>
          <w:szCs w:val="21"/>
          <w:highlight w:val="none"/>
        </w:rPr>
        <w:t>3.我们已详细审核全部征集文件及其有效补充文件，我们知道必须放弃提出含糊不清或误解问题的权利。</w:t>
      </w:r>
    </w:p>
    <w:p w14:paraId="671BC66C">
      <w:pPr>
        <w:pStyle w:val="238"/>
        <w:spacing w:before="0" w:after="0" w:line="420" w:lineRule="exact"/>
        <w:rPr>
          <w:rFonts w:hint="eastAsia" w:ascii="仿宋" w:hAnsi="仿宋" w:eastAsia="仿宋" w:cs="仿宋"/>
          <w:kern w:val="2"/>
          <w:szCs w:val="21"/>
          <w:highlight w:val="none"/>
        </w:rPr>
      </w:pPr>
      <w:r>
        <w:rPr>
          <w:rFonts w:hint="eastAsia" w:ascii="仿宋" w:hAnsi="仿宋" w:eastAsia="仿宋" w:cs="仿宋"/>
          <w:kern w:val="2"/>
          <w:szCs w:val="21"/>
          <w:highlight w:val="none"/>
        </w:rPr>
        <w:t>4.我们同意从规定的提交申请文件截止时间起遵循本申请文件，并在入围结果公告期届满前均具有约束力。</w:t>
      </w:r>
    </w:p>
    <w:p w14:paraId="247110DD">
      <w:pPr>
        <w:pStyle w:val="238"/>
        <w:spacing w:before="0" w:after="0" w:line="420" w:lineRule="exact"/>
        <w:rPr>
          <w:rFonts w:hint="eastAsia" w:ascii="仿宋" w:hAnsi="仿宋" w:eastAsia="仿宋" w:cs="仿宋"/>
          <w:kern w:val="2"/>
          <w:szCs w:val="21"/>
          <w:highlight w:val="none"/>
        </w:rPr>
      </w:pPr>
      <w:r>
        <w:rPr>
          <w:rFonts w:hint="eastAsia" w:ascii="仿宋" w:hAnsi="仿宋" w:eastAsia="仿宋" w:cs="仿宋"/>
          <w:kern w:val="2"/>
          <w:szCs w:val="21"/>
          <w:highlight w:val="none"/>
        </w:rPr>
        <w:t>5.同意向贵方提供贵方可能另外要求的与本次采购活动有关的任何证据或资料，并保证我方已提供和将要提供的文件是真实的、准确的。</w:t>
      </w:r>
    </w:p>
    <w:p w14:paraId="50BA2861">
      <w:pPr>
        <w:pStyle w:val="238"/>
        <w:spacing w:before="0" w:after="0" w:line="420" w:lineRule="exact"/>
        <w:rPr>
          <w:rFonts w:hint="eastAsia" w:ascii="仿宋" w:hAnsi="仿宋" w:eastAsia="仿宋" w:cs="仿宋"/>
          <w:kern w:val="2"/>
          <w:szCs w:val="21"/>
          <w:highlight w:val="none"/>
        </w:rPr>
      </w:pPr>
      <w:r>
        <w:rPr>
          <w:rFonts w:hint="eastAsia" w:ascii="仿宋" w:hAnsi="仿宋" w:eastAsia="仿宋" w:cs="仿宋"/>
          <w:kern w:val="2"/>
          <w:szCs w:val="21"/>
          <w:highlight w:val="none"/>
        </w:rPr>
        <w:t>6.一旦我方成为入围供应商,我方将根据征集文件的规定，严格履行合同的责任和义务,并保证在采购合同规定的时间完成项目，交付采购人验收、使用。</w:t>
      </w:r>
    </w:p>
    <w:p w14:paraId="26B07823">
      <w:pPr>
        <w:pStyle w:val="238"/>
        <w:spacing w:before="0" w:after="0" w:line="420" w:lineRule="exact"/>
        <w:ind w:left="425" w:firstLine="0"/>
        <w:rPr>
          <w:rFonts w:hint="eastAsia" w:ascii="仿宋" w:hAnsi="仿宋" w:eastAsia="仿宋" w:cs="仿宋"/>
          <w:kern w:val="2"/>
          <w:szCs w:val="21"/>
          <w:highlight w:val="none"/>
        </w:rPr>
      </w:pPr>
      <w:r>
        <w:rPr>
          <w:rFonts w:hint="eastAsia" w:ascii="仿宋" w:hAnsi="仿宋" w:eastAsia="仿宋" w:cs="仿宋"/>
          <w:kern w:val="2"/>
          <w:szCs w:val="21"/>
          <w:highlight w:val="none"/>
        </w:rPr>
        <w:t>7.与本次采购活动有关的正式通讯地址为：</w:t>
      </w:r>
    </w:p>
    <w:p w14:paraId="0AEF3000">
      <w:pPr>
        <w:spacing w:before="0" w:after="0" w:line="420" w:lineRule="exact"/>
        <w:ind w:left="0" w:leftChars="0" w:firstLine="480" w:firstLineChars="200"/>
        <w:jc w:val="left"/>
        <w:rPr>
          <w:rFonts w:hint="eastAsia" w:ascii="仿宋" w:hAnsi="仿宋" w:eastAsia="仿宋" w:cs="仿宋"/>
          <w:kern w:val="2"/>
          <w:sz w:val="24"/>
          <w:szCs w:val="21"/>
          <w:lang w:val="en-US" w:eastAsia="en-US" w:bidi="ar-SA"/>
        </w:rPr>
      </w:pPr>
      <w:r>
        <w:rPr>
          <w:rFonts w:hint="eastAsia" w:ascii="仿宋" w:hAnsi="仿宋" w:eastAsia="仿宋" w:cs="仿宋"/>
          <w:kern w:val="2"/>
          <w:sz w:val="24"/>
          <w:szCs w:val="21"/>
          <w:lang w:val="en-US" w:eastAsia="en-US" w:bidi="ar-SA"/>
        </w:rPr>
        <w:t>地  址：</w:t>
      </w:r>
    </w:p>
    <w:p w14:paraId="642FB38F">
      <w:pPr>
        <w:spacing w:before="0" w:after="0" w:line="420" w:lineRule="exact"/>
        <w:ind w:left="0" w:leftChars="0" w:firstLine="480" w:firstLineChars="200"/>
        <w:jc w:val="left"/>
        <w:rPr>
          <w:rFonts w:hint="eastAsia" w:ascii="仿宋" w:hAnsi="仿宋" w:eastAsia="仿宋" w:cs="仿宋"/>
          <w:kern w:val="2"/>
          <w:sz w:val="24"/>
          <w:szCs w:val="21"/>
          <w:u w:val="none"/>
          <w:lang w:val="en-US" w:eastAsia="zh-CN" w:bidi="ar-SA"/>
        </w:rPr>
      </w:pPr>
      <w:r>
        <w:rPr>
          <w:rFonts w:hint="eastAsia" w:ascii="仿宋" w:hAnsi="仿宋" w:eastAsia="仿宋" w:cs="仿宋"/>
          <w:kern w:val="2"/>
          <w:sz w:val="24"/>
          <w:szCs w:val="21"/>
          <w:lang w:val="en-US" w:eastAsia="en-US" w:bidi="ar-SA"/>
        </w:rPr>
        <w:t>邮  编：</w:t>
      </w:r>
    </w:p>
    <w:p w14:paraId="111E3938">
      <w:pPr>
        <w:spacing w:before="0" w:after="0" w:line="420" w:lineRule="exact"/>
        <w:ind w:left="0" w:leftChars="0" w:firstLine="480" w:firstLineChars="200"/>
        <w:jc w:val="left"/>
        <w:rPr>
          <w:rFonts w:hint="eastAsia" w:ascii="仿宋" w:hAnsi="仿宋" w:eastAsia="仿宋" w:cs="仿宋"/>
          <w:kern w:val="2"/>
          <w:sz w:val="24"/>
          <w:szCs w:val="21"/>
          <w:u w:val="single"/>
          <w:lang w:val="en-US" w:eastAsia="zh-CN" w:bidi="ar-SA"/>
        </w:rPr>
      </w:pPr>
      <w:r>
        <w:rPr>
          <w:rFonts w:hint="eastAsia" w:ascii="仿宋" w:hAnsi="仿宋" w:eastAsia="仿宋" w:cs="仿宋"/>
          <w:kern w:val="2"/>
          <w:sz w:val="24"/>
          <w:szCs w:val="21"/>
          <w:lang w:val="en-US" w:eastAsia="en-US" w:bidi="ar-SA"/>
        </w:rPr>
        <w:t>电  话：</w:t>
      </w:r>
    </w:p>
    <w:p w14:paraId="29C48CD8">
      <w:pPr>
        <w:spacing w:before="0" w:after="0" w:line="420" w:lineRule="exact"/>
        <w:ind w:left="0" w:leftChars="0" w:firstLine="480" w:firstLineChars="200"/>
        <w:jc w:val="left"/>
        <w:rPr>
          <w:rFonts w:hint="eastAsia" w:ascii="仿宋" w:hAnsi="仿宋" w:eastAsia="仿宋" w:cs="仿宋"/>
          <w:kern w:val="2"/>
          <w:sz w:val="24"/>
          <w:szCs w:val="21"/>
          <w:u w:val="single"/>
          <w:lang w:val="en-US" w:eastAsia="zh-CN" w:bidi="ar-SA"/>
        </w:rPr>
      </w:pPr>
      <w:r>
        <w:rPr>
          <w:rFonts w:hint="eastAsia" w:ascii="仿宋" w:hAnsi="仿宋" w:eastAsia="仿宋" w:cs="仿宋"/>
          <w:kern w:val="2"/>
          <w:sz w:val="24"/>
          <w:szCs w:val="21"/>
          <w:lang w:val="en-US" w:eastAsia="en-US" w:bidi="ar-SA"/>
        </w:rPr>
        <w:t>传  真：</w:t>
      </w:r>
    </w:p>
    <w:p w14:paraId="2C39C89D">
      <w:pPr>
        <w:spacing w:before="0" w:after="0" w:line="420" w:lineRule="exact"/>
        <w:ind w:left="0" w:leftChars="0" w:firstLine="480" w:firstLineChars="200"/>
        <w:jc w:val="left"/>
        <w:rPr>
          <w:rFonts w:hint="eastAsia" w:ascii="仿宋" w:hAnsi="仿宋" w:eastAsia="仿宋" w:cs="仿宋"/>
          <w:kern w:val="2"/>
          <w:sz w:val="24"/>
          <w:szCs w:val="21"/>
          <w:u w:val="single"/>
          <w:lang w:val="en-US" w:eastAsia="zh-CN" w:bidi="ar-SA"/>
        </w:rPr>
      </w:pPr>
      <w:r>
        <w:rPr>
          <w:rFonts w:hint="eastAsia" w:ascii="仿宋" w:hAnsi="仿宋" w:eastAsia="仿宋" w:cs="仿宋"/>
          <w:kern w:val="2"/>
          <w:sz w:val="24"/>
          <w:szCs w:val="21"/>
          <w:lang w:val="en-US" w:eastAsia="en-US" w:bidi="ar-SA"/>
        </w:rPr>
        <w:t>开户行：</w:t>
      </w:r>
    </w:p>
    <w:p w14:paraId="40136ADE">
      <w:pPr>
        <w:spacing w:before="0" w:after="0" w:line="420" w:lineRule="exact"/>
        <w:ind w:left="0" w:leftChars="0" w:firstLine="480" w:firstLineChars="200"/>
        <w:jc w:val="left"/>
        <w:rPr>
          <w:rFonts w:hint="eastAsia" w:ascii="仿宋" w:hAnsi="仿宋" w:eastAsia="仿宋" w:cs="仿宋"/>
          <w:kern w:val="2"/>
          <w:sz w:val="24"/>
          <w:szCs w:val="21"/>
          <w:u w:val="single"/>
          <w:lang w:val="en-US" w:eastAsia="zh-CN" w:bidi="ar-SA"/>
        </w:rPr>
      </w:pPr>
      <w:r>
        <w:rPr>
          <w:rFonts w:hint="eastAsia" w:ascii="仿宋" w:hAnsi="仿宋" w:eastAsia="仿宋" w:cs="仿宋"/>
          <w:kern w:val="2"/>
          <w:sz w:val="24"/>
          <w:szCs w:val="21"/>
          <w:lang w:val="en-US" w:eastAsia="en-US" w:bidi="ar-SA"/>
        </w:rPr>
        <w:t>账  号：</w:t>
      </w:r>
    </w:p>
    <w:p w14:paraId="0A0EF58A">
      <w:pPr>
        <w:widowControl/>
        <w:spacing w:line="560" w:lineRule="exact"/>
        <w:ind w:right="180" w:firstLine="480" w:firstLineChars="200"/>
        <w:jc w:val="both"/>
        <w:rPr>
          <w:rFonts w:hint="eastAsia" w:ascii="仿宋" w:hAnsi="仿宋" w:eastAsia="仿宋" w:cs="仿宋"/>
          <w:sz w:val="24"/>
          <w:szCs w:val="24"/>
          <w:u w:val="none"/>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u w:val="none"/>
        </w:rPr>
        <w:t>（加盖电子公章）</w:t>
      </w:r>
    </w:p>
    <w:p w14:paraId="5A0F4C3E">
      <w:pPr>
        <w:spacing w:before="0" w:after="0" w:line="420" w:lineRule="exact"/>
        <w:ind w:left="0" w:leftChars="0" w:firstLine="480" w:firstLineChars="200"/>
        <w:jc w:val="left"/>
        <w:rPr>
          <w:rFonts w:hint="eastAsia" w:ascii="仿宋" w:hAnsi="仿宋" w:eastAsia="仿宋" w:cs="仿宋"/>
          <w:kern w:val="2"/>
          <w:sz w:val="24"/>
          <w:szCs w:val="21"/>
          <w:lang w:val="en-US" w:eastAsia="en-US" w:bidi="ar-SA"/>
        </w:rPr>
      </w:pPr>
      <w:r>
        <w:rPr>
          <w:rFonts w:hint="eastAsia" w:ascii="仿宋" w:hAnsi="仿宋" w:eastAsia="仿宋" w:cs="仿宋"/>
          <w:kern w:val="2"/>
          <w:sz w:val="24"/>
          <w:szCs w:val="21"/>
          <w:lang w:val="en-US" w:eastAsia="en-US" w:bidi="ar-SA"/>
        </w:rPr>
        <w:t>日  期：</w:t>
      </w:r>
    </w:p>
    <w:p w14:paraId="66F2B02B">
      <w:pPr>
        <w:widowControl/>
        <w:spacing w:line="560" w:lineRule="exact"/>
        <w:ind w:firstLine="240"/>
        <w:jc w:val="center"/>
        <w:rPr>
          <w:rFonts w:hint="eastAsia" w:ascii="仿宋" w:hAnsi="仿宋" w:eastAsia="仿宋" w:cs="仿宋"/>
          <w:b w:val="0"/>
          <w:bCs w:val="0"/>
          <w:sz w:val="24"/>
          <w:szCs w:val="20"/>
          <w:highlight w:val="none"/>
        </w:rPr>
      </w:pPr>
    </w:p>
    <w:p w14:paraId="1D071628">
      <w:pPr>
        <w:widowControl/>
        <w:spacing w:line="560" w:lineRule="exact"/>
        <w:ind w:firstLine="240"/>
        <w:jc w:val="center"/>
        <w:rPr>
          <w:rFonts w:hint="eastAsia" w:ascii="仿宋" w:hAnsi="仿宋" w:eastAsia="仿宋" w:cs="仿宋"/>
          <w:b w:val="0"/>
          <w:bCs w:val="0"/>
          <w:sz w:val="24"/>
          <w:szCs w:val="20"/>
          <w:highlight w:val="none"/>
        </w:rPr>
      </w:pPr>
    </w:p>
    <w:p w14:paraId="560BCE28">
      <w:pPr>
        <w:widowControl/>
        <w:spacing w:line="560" w:lineRule="exact"/>
        <w:jc w:val="both"/>
        <w:rPr>
          <w:rFonts w:hint="eastAsia" w:ascii="仿宋" w:hAnsi="仿宋" w:eastAsia="仿宋" w:cs="仿宋"/>
          <w:b w:val="0"/>
          <w:bCs w:val="0"/>
          <w:color w:val="000000"/>
          <w:sz w:val="32"/>
          <w:szCs w:val="32"/>
          <w:highlight w:val="none"/>
          <w:lang w:val="en-US" w:eastAsia="zh-CN" w:bidi="ar-SA"/>
        </w:rPr>
      </w:pPr>
    </w:p>
    <w:p w14:paraId="67CE741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rPr>
      </w:pPr>
    </w:p>
    <w:p w14:paraId="7D7043B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rPr>
        <w:sectPr>
          <w:pgSz w:w="11906" w:h="16838"/>
          <w:pgMar w:top="1440" w:right="1800" w:bottom="1440" w:left="1800" w:header="851" w:footer="992" w:gutter="0"/>
          <w:pgNumType w:fmt="decimal"/>
          <w:cols w:space="720" w:num="1"/>
          <w:docGrid w:linePitch="360" w:charSpace="0"/>
        </w:sectPr>
      </w:pPr>
    </w:p>
    <w:p w14:paraId="42E34106">
      <w:pPr>
        <w:pStyle w:val="4"/>
        <w:bidi w:val="0"/>
        <w:jc w:val="left"/>
        <w:rPr>
          <w:rFonts w:hint="eastAsia" w:ascii="仿宋" w:hAnsi="仿宋" w:eastAsia="仿宋" w:cs="仿宋"/>
          <w:sz w:val="36"/>
          <w:szCs w:val="36"/>
          <w:lang w:val="en-US" w:eastAsia="zh-CN"/>
        </w:rPr>
      </w:pPr>
      <w:bookmarkStart w:id="128" w:name="_Toc3365"/>
      <w:r>
        <w:rPr>
          <w:rFonts w:hint="eastAsia" w:ascii="仿宋" w:hAnsi="仿宋" w:eastAsia="仿宋" w:cs="仿宋"/>
          <w:sz w:val="36"/>
          <w:szCs w:val="36"/>
          <w:lang w:val="en-US" w:eastAsia="zh-CN"/>
        </w:rPr>
        <w:t>六、报价一览表</w:t>
      </w:r>
      <w:bookmarkEnd w:id="128"/>
    </w:p>
    <w:p w14:paraId="6FD162FB">
      <w:pPr>
        <w:bidi w:val="0"/>
        <w:jc w:val="both"/>
        <w:rPr>
          <w:rFonts w:hint="eastAsia" w:ascii="仿宋" w:hAnsi="仿宋" w:eastAsia="仿宋" w:cs="仿宋"/>
          <w:b/>
          <w:bCs/>
          <w:sz w:val="28"/>
          <w:szCs w:val="32"/>
          <w:highlight w:val="none"/>
          <w:lang w:val="en-US" w:eastAsia="zh-CN"/>
        </w:rPr>
      </w:pPr>
      <w:r>
        <w:rPr>
          <w:rFonts w:hint="eastAsia" w:ascii="仿宋" w:hAnsi="仿宋" w:eastAsia="仿宋" w:cs="仿宋"/>
          <w:b/>
          <w:bCs/>
          <w:sz w:val="28"/>
          <w:szCs w:val="32"/>
          <w:highlight w:val="none"/>
          <w:lang w:val="en-US" w:eastAsia="zh-CN"/>
        </w:rPr>
        <w:drawing>
          <wp:anchor distT="0" distB="0" distL="114300" distR="114300" simplePos="0" relativeHeight="251659264" behindDoc="0" locked="0" layoutInCell="1" allowOverlap="1">
            <wp:simplePos x="0" y="0"/>
            <wp:positionH relativeFrom="column">
              <wp:posOffset>-163195</wp:posOffset>
            </wp:positionH>
            <wp:positionV relativeFrom="paragraph">
              <wp:posOffset>144780</wp:posOffset>
            </wp:positionV>
            <wp:extent cx="5318760" cy="2561590"/>
            <wp:effectExtent l="0" t="0" r="15240" b="10160"/>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stretch>
                      <a:fillRect/>
                    </a:stretch>
                  </pic:blipFill>
                  <pic:spPr>
                    <a:xfrm>
                      <a:off x="0" y="0"/>
                      <a:ext cx="5318760" cy="2561590"/>
                    </a:xfrm>
                    <a:prstGeom prst="rect">
                      <a:avLst/>
                    </a:prstGeom>
                    <a:noFill/>
                    <a:ln>
                      <a:noFill/>
                    </a:ln>
                  </pic:spPr>
                </pic:pic>
              </a:graphicData>
            </a:graphic>
          </wp:anchor>
        </w:drawing>
      </w:r>
      <w:r>
        <w:rPr>
          <w:rFonts w:hint="eastAsia" w:ascii="仿宋" w:hAnsi="仿宋" w:eastAsia="仿宋" w:cs="仿宋"/>
          <w:b/>
          <w:bCs/>
          <w:sz w:val="28"/>
          <w:szCs w:val="32"/>
          <w:highlight w:val="none"/>
          <w:lang w:val="en-US" w:eastAsia="zh-CN"/>
        </w:rPr>
        <w:t>备注：供应商在苏采云系统中“报价一览表”报价填写“1”。</w:t>
      </w:r>
    </w:p>
    <w:p w14:paraId="73E9E5F3">
      <w:pPr>
        <w:bidi w:val="0"/>
        <w:rPr>
          <w:rFonts w:hint="eastAsia" w:ascii="仿宋" w:hAnsi="仿宋" w:eastAsia="仿宋" w:cs="仿宋"/>
          <w:highlight w:val="none"/>
          <w:lang w:val="en-US" w:eastAsia="zh-CN"/>
        </w:rPr>
      </w:pPr>
    </w:p>
    <w:p w14:paraId="6EC71BC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rPr>
      </w:pPr>
    </w:p>
    <w:p w14:paraId="27446D17">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rPr>
      </w:pPr>
    </w:p>
    <w:p w14:paraId="7F554EF7">
      <w:pPr>
        <w:pStyle w:val="4"/>
        <w:bidi w:val="0"/>
        <w:jc w:val="left"/>
        <w:rPr>
          <w:rFonts w:hint="eastAsia" w:ascii="仿宋" w:hAnsi="仿宋" w:eastAsia="仿宋" w:cs="仿宋"/>
          <w:sz w:val="36"/>
          <w:szCs w:val="36"/>
          <w:lang w:val="en-US" w:eastAsia="zh-CN"/>
        </w:rPr>
        <w:sectPr>
          <w:pgSz w:w="11906" w:h="16838"/>
          <w:pgMar w:top="1440" w:right="1800" w:bottom="1440" w:left="1800" w:header="851" w:footer="992" w:gutter="0"/>
          <w:pgNumType w:fmt="decimal"/>
          <w:cols w:space="720" w:num="1"/>
          <w:docGrid w:linePitch="360" w:charSpace="0"/>
        </w:sectPr>
      </w:pPr>
      <w:bookmarkStart w:id="137" w:name="_GoBack"/>
      <w:bookmarkEnd w:id="137"/>
    </w:p>
    <w:p w14:paraId="49AE4846">
      <w:pPr>
        <w:pStyle w:val="4"/>
        <w:bidi w:val="0"/>
        <w:jc w:val="left"/>
        <w:rPr>
          <w:rFonts w:hint="eastAsia" w:ascii="仿宋" w:hAnsi="仿宋" w:eastAsia="仿宋" w:cs="仿宋"/>
          <w:sz w:val="36"/>
          <w:szCs w:val="36"/>
          <w:lang w:val="en-US" w:eastAsia="zh-CN"/>
        </w:rPr>
      </w:pPr>
      <w:bookmarkStart w:id="129" w:name="_Toc402"/>
      <w:r>
        <w:rPr>
          <w:rFonts w:hint="eastAsia" w:ascii="仿宋" w:hAnsi="仿宋" w:eastAsia="仿宋" w:cs="仿宋"/>
          <w:sz w:val="36"/>
          <w:szCs w:val="36"/>
          <w:lang w:val="en-US" w:eastAsia="zh-CN"/>
        </w:rPr>
        <w:t>七、响应服务报价明细表</w:t>
      </w:r>
      <w:bookmarkEnd w:id="129"/>
    </w:p>
    <w:p w14:paraId="158922D2">
      <w:pPr>
        <w:widowControl/>
        <w:spacing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响应服务报价明细表</w:t>
      </w:r>
    </w:p>
    <w:tbl>
      <w:tblPr>
        <w:tblStyle w:val="40"/>
        <w:tblW w:w="8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2"/>
        <w:gridCol w:w="5100"/>
        <w:gridCol w:w="2008"/>
      </w:tblGrid>
      <w:tr w14:paraId="444B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20" w:hRule="atLeast"/>
          <w:jc w:val="center"/>
        </w:trPr>
        <w:tc>
          <w:tcPr>
            <w:tcW w:w="1062" w:type="dxa"/>
            <w:noWrap w:val="0"/>
            <w:vAlign w:val="center"/>
          </w:tcPr>
          <w:p w14:paraId="6EA450E6">
            <w:pPr>
              <w:widowControl/>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5100" w:type="dxa"/>
            <w:noWrap w:val="0"/>
            <w:vAlign w:val="center"/>
          </w:tcPr>
          <w:p w14:paraId="5505AE23">
            <w:pPr>
              <w:widowControl/>
              <w:jc w:val="center"/>
              <w:rPr>
                <w:rFonts w:hint="eastAsia" w:ascii="仿宋" w:hAnsi="仿宋" w:eastAsia="仿宋" w:cs="仿宋"/>
                <w:b/>
                <w:bCs/>
                <w:sz w:val="21"/>
                <w:szCs w:val="21"/>
              </w:rPr>
            </w:pPr>
            <w:r>
              <w:rPr>
                <w:rFonts w:hint="eastAsia" w:ascii="仿宋" w:hAnsi="仿宋" w:eastAsia="仿宋" w:cs="仿宋"/>
                <w:b/>
                <w:bCs/>
                <w:sz w:val="21"/>
                <w:szCs w:val="21"/>
              </w:rPr>
              <w:t>计费标准</w:t>
            </w:r>
          </w:p>
        </w:tc>
        <w:tc>
          <w:tcPr>
            <w:tcW w:w="2008" w:type="dxa"/>
            <w:noWrap w:val="0"/>
            <w:vAlign w:val="center"/>
          </w:tcPr>
          <w:p w14:paraId="546E3A01">
            <w:pPr>
              <w:widowControl/>
              <w:jc w:val="center"/>
              <w:rPr>
                <w:rFonts w:hint="eastAsia" w:ascii="仿宋" w:hAnsi="仿宋" w:eastAsia="仿宋" w:cs="仿宋"/>
                <w:b/>
                <w:bCs/>
                <w:sz w:val="21"/>
                <w:szCs w:val="21"/>
              </w:rPr>
            </w:pPr>
            <w:r>
              <w:rPr>
                <w:rFonts w:hint="eastAsia" w:ascii="仿宋" w:hAnsi="仿宋" w:eastAsia="仿宋" w:cs="仿宋"/>
                <w:b/>
                <w:bCs/>
                <w:sz w:val="21"/>
                <w:szCs w:val="21"/>
              </w:rPr>
              <w:t>是否完全响应</w:t>
            </w:r>
          </w:p>
          <w:p w14:paraId="56F3CDFB">
            <w:pPr>
              <w:pStyle w:val="60"/>
              <w:widowControl/>
              <w:jc w:val="center"/>
              <w:rPr>
                <w:rFonts w:hint="eastAsia" w:ascii="仿宋" w:hAnsi="仿宋" w:eastAsia="仿宋" w:cs="仿宋"/>
                <w:sz w:val="21"/>
                <w:szCs w:val="21"/>
              </w:rPr>
            </w:pPr>
            <w:r>
              <w:rPr>
                <w:rFonts w:hint="eastAsia" w:ascii="仿宋" w:hAnsi="仿宋" w:eastAsia="仿宋" w:cs="仿宋"/>
                <w:sz w:val="21"/>
                <w:szCs w:val="21"/>
              </w:rPr>
              <w:t>（下划线处打“√”）</w:t>
            </w:r>
          </w:p>
        </w:tc>
      </w:tr>
      <w:tr w14:paraId="311F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4" w:hRule="atLeast"/>
          <w:jc w:val="center"/>
        </w:trPr>
        <w:tc>
          <w:tcPr>
            <w:tcW w:w="1062" w:type="dxa"/>
            <w:noWrap w:val="0"/>
            <w:vAlign w:val="center"/>
          </w:tcPr>
          <w:p w14:paraId="6DD86A80">
            <w:pPr>
              <w:widowControl/>
              <w:jc w:val="center"/>
              <w:rPr>
                <w:rFonts w:hint="eastAsia" w:ascii="仿宋" w:hAnsi="仿宋" w:eastAsia="仿宋" w:cs="仿宋"/>
                <w:b/>
                <w:bCs/>
                <w:sz w:val="21"/>
                <w:szCs w:val="21"/>
              </w:rPr>
            </w:pPr>
            <w:r>
              <w:rPr>
                <w:rFonts w:hint="eastAsia" w:ascii="仿宋" w:hAnsi="仿宋" w:eastAsia="仿宋" w:cs="仿宋"/>
                <w:b/>
                <w:bCs/>
                <w:sz w:val="21"/>
                <w:szCs w:val="21"/>
              </w:rPr>
              <w:t>1</w:t>
            </w:r>
          </w:p>
        </w:tc>
        <w:tc>
          <w:tcPr>
            <w:tcW w:w="5100" w:type="dxa"/>
            <w:noWrap w:val="0"/>
            <w:vAlign w:val="center"/>
          </w:tcPr>
          <w:p w14:paraId="45C3CA3B">
            <w:pPr>
              <w:widowControl/>
              <w:jc w:val="left"/>
              <w:rPr>
                <w:rFonts w:hint="eastAsia" w:ascii="仿宋" w:hAnsi="仿宋" w:eastAsia="仿宋" w:cs="仿宋"/>
                <w:b/>
                <w:bCs/>
                <w:sz w:val="21"/>
                <w:szCs w:val="21"/>
              </w:rPr>
            </w:pPr>
            <w:r>
              <w:rPr>
                <w:rFonts w:hint="eastAsia" w:ascii="仿宋" w:hAnsi="仿宋" w:eastAsia="仿宋" w:cs="仿宋"/>
                <w:b/>
                <w:bCs/>
                <w:sz w:val="21"/>
                <w:szCs w:val="21"/>
              </w:rPr>
              <w:t>项目执行《关于调整南京市残疾儿童基本康复服务救助标准</w:t>
            </w:r>
            <w:r>
              <w:rPr>
                <w:rFonts w:hint="eastAsia" w:ascii="仿宋" w:hAnsi="仿宋" w:eastAsia="仿宋" w:cs="仿宋"/>
                <w:b/>
                <w:bCs/>
                <w:sz w:val="21"/>
                <w:szCs w:val="21"/>
                <w:lang w:val="en-US" w:eastAsia="zh-CN"/>
              </w:rPr>
              <w:t>和结算方式</w:t>
            </w:r>
            <w:r>
              <w:rPr>
                <w:rFonts w:hint="eastAsia" w:ascii="仿宋" w:hAnsi="仿宋" w:eastAsia="仿宋" w:cs="仿宋"/>
                <w:b/>
                <w:bCs/>
                <w:sz w:val="21"/>
                <w:szCs w:val="21"/>
              </w:rPr>
              <w:t>的通知》（宁残字〔202</w:t>
            </w: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20</w:t>
            </w:r>
            <w:r>
              <w:rPr>
                <w:rFonts w:hint="eastAsia" w:ascii="仿宋" w:hAnsi="仿宋" w:eastAsia="仿宋" w:cs="仿宋"/>
                <w:b/>
                <w:bCs/>
                <w:sz w:val="21"/>
                <w:szCs w:val="21"/>
              </w:rPr>
              <w:t>号）</w:t>
            </w:r>
          </w:p>
        </w:tc>
        <w:tc>
          <w:tcPr>
            <w:tcW w:w="2008" w:type="dxa"/>
            <w:noWrap w:val="0"/>
            <w:vAlign w:val="center"/>
          </w:tcPr>
          <w:p w14:paraId="054351B6">
            <w:pPr>
              <w:widowControl/>
              <w:jc w:val="left"/>
              <w:rPr>
                <w:rFonts w:hint="eastAsia" w:ascii="仿宋" w:hAnsi="仿宋" w:eastAsia="仿宋" w:cs="仿宋"/>
                <w:color w:val="000000"/>
                <w:sz w:val="21"/>
                <w:szCs w:val="21"/>
              </w:rPr>
            </w:pPr>
            <w:r>
              <w:rPr>
                <w:rFonts w:hint="eastAsia" w:ascii="仿宋" w:hAnsi="仿宋" w:eastAsia="仿宋" w:cs="仿宋"/>
                <w:sz w:val="21"/>
                <w:szCs w:val="21"/>
              </w:rPr>
              <w:t>是</w:t>
            </w:r>
            <w:r>
              <w:rPr>
                <w:rFonts w:hint="eastAsia" w:ascii="仿宋" w:hAnsi="仿宋" w:eastAsia="仿宋" w:cs="仿宋"/>
                <w:color w:val="000000"/>
                <w:sz w:val="21"/>
                <w:szCs w:val="21"/>
                <w:u w:val="single"/>
                <w:lang w:val="zh-CN"/>
              </w:rPr>
              <w:t></w:t>
            </w:r>
          </w:p>
          <w:p w14:paraId="3347F47D">
            <w:pPr>
              <w:widowControl/>
              <w:jc w:val="left"/>
              <w:rPr>
                <w:rFonts w:hint="eastAsia" w:ascii="仿宋" w:hAnsi="仿宋" w:eastAsia="仿宋" w:cs="仿宋"/>
                <w:b/>
                <w:bCs/>
                <w:sz w:val="21"/>
                <w:szCs w:val="21"/>
              </w:rPr>
            </w:pPr>
            <w:r>
              <w:rPr>
                <w:rFonts w:hint="eastAsia" w:ascii="仿宋" w:hAnsi="仿宋" w:eastAsia="仿宋" w:cs="仿宋"/>
                <w:color w:val="000000"/>
                <w:sz w:val="21"/>
                <w:szCs w:val="21"/>
              </w:rPr>
              <w:t>否</w:t>
            </w:r>
            <w:r>
              <w:rPr>
                <w:rFonts w:hint="eastAsia" w:ascii="仿宋" w:hAnsi="仿宋" w:eastAsia="仿宋" w:cs="仿宋"/>
                <w:color w:val="000000"/>
                <w:sz w:val="21"/>
                <w:szCs w:val="21"/>
                <w:u w:val="single"/>
                <w:lang w:val="zh-CN"/>
              </w:rPr>
              <w:t></w:t>
            </w:r>
          </w:p>
        </w:tc>
      </w:tr>
    </w:tbl>
    <w:p w14:paraId="62D1BA0F">
      <w:pPr>
        <w:widowControl/>
        <w:spacing w:line="360" w:lineRule="auto"/>
        <w:jc w:val="left"/>
        <w:rPr>
          <w:rFonts w:hint="eastAsia" w:ascii="仿宋" w:hAnsi="仿宋" w:eastAsia="仿宋" w:cs="仿宋"/>
          <w:sz w:val="24"/>
          <w:szCs w:val="20"/>
        </w:rPr>
      </w:pPr>
      <w:r>
        <w:rPr>
          <w:rFonts w:hint="eastAsia" w:ascii="仿宋" w:hAnsi="仿宋" w:eastAsia="仿宋" w:cs="仿宋"/>
          <w:sz w:val="24"/>
          <w:szCs w:val="20"/>
        </w:rPr>
        <w:t>注：本项目报价包含工资、福利、交通、食宿、税收、利润等所有为完成本项目所发生的费用，采购人除此以外，不再支付任何其他费用。</w:t>
      </w:r>
    </w:p>
    <w:p w14:paraId="021D670A">
      <w:pPr>
        <w:widowControl/>
        <w:spacing w:line="360" w:lineRule="auto"/>
        <w:jc w:val="both"/>
        <w:rPr>
          <w:rFonts w:hint="eastAsia" w:ascii="仿宋" w:hAnsi="仿宋" w:eastAsia="仿宋" w:cs="仿宋"/>
          <w:sz w:val="32"/>
          <w:szCs w:val="32"/>
        </w:rPr>
      </w:pPr>
    </w:p>
    <w:p w14:paraId="4ECF939A">
      <w:pPr>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0"/>
        </w:rPr>
        <w:t xml:space="preserve">                    </w:t>
      </w:r>
      <w:r>
        <w:rPr>
          <w:rFonts w:hint="eastAsia" w:ascii="仿宋" w:hAnsi="仿宋" w:eastAsia="仿宋" w:cs="仿宋"/>
          <w:sz w:val="24"/>
          <w:szCs w:val="24"/>
        </w:rPr>
        <w:t>供应商名称：（加盖CA电子公章）</w:t>
      </w:r>
    </w:p>
    <w:p w14:paraId="4D5029B8">
      <w:pPr>
        <w:spacing w:line="560" w:lineRule="exact"/>
        <w:ind w:firstLine="4560" w:firstLineChars="1900"/>
        <w:rPr>
          <w:rFonts w:hint="eastAsia" w:ascii="仿宋" w:hAnsi="仿宋" w:eastAsia="仿宋" w:cs="仿宋"/>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3CF1B2A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3360" w:firstLineChars="1400"/>
        <w:jc w:val="both"/>
        <w:textAlignment w:val="auto"/>
        <w:rPr>
          <w:rFonts w:hint="eastAsia" w:ascii="仿宋" w:hAnsi="仿宋" w:eastAsia="仿宋" w:cs="仿宋"/>
          <w:color w:val="000000"/>
          <w:kern w:val="0"/>
          <w:sz w:val="24"/>
          <w:szCs w:val="24"/>
          <w:lang w:val="en-US" w:eastAsia="zh-CN" w:bidi="ar-SA"/>
        </w:rPr>
      </w:pPr>
    </w:p>
    <w:p w14:paraId="16E20A5F">
      <w:pPr>
        <w:widowControl/>
        <w:jc w:val="left"/>
        <w:rPr>
          <w:rFonts w:hint="eastAsia" w:ascii="仿宋" w:hAnsi="仿宋" w:eastAsia="仿宋" w:cs="仿宋"/>
          <w:i/>
          <w:kern w:val="2"/>
          <w:sz w:val="32"/>
          <w:szCs w:val="32"/>
          <w:u w:val="single"/>
          <w:lang w:val="en-US" w:eastAsia="zh-CN"/>
        </w:rPr>
      </w:pPr>
    </w:p>
    <w:p w14:paraId="7A6F35D7">
      <w:pPr>
        <w:pStyle w:val="2"/>
        <w:ind w:left="0"/>
        <w:rPr>
          <w:rFonts w:hint="eastAsia" w:ascii="仿宋" w:hAnsi="仿宋" w:eastAsia="仿宋" w:cs="仿宋"/>
          <w:i w:val="0"/>
          <w:sz w:val="32"/>
          <w:szCs w:val="32"/>
          <w:u w:val="none"/>
          <w:lang w:val="en-US" w:eastAsia="zh-CN" w:bidi="ar-SA"/>
        </w:rPr>
        <w:sectPr>
          <w:pgSz w:w="11906" w:h="16838"/>
          <w:pgMar w:top="1440" w:right="1800" w:bottom="1440" w:left="1800" w:header="851" w:footer="992" w:gutter="0"/>
          <w:pgNumType w:fmt="decimal"/>
          <w:cols w:space="720" w:num="1"/>
          <w:docGrid w:linePitch="360" w:charSpace="0"/>
        </w:sectPr>
      </w:pPr>
    </w:p>
    <w:p w14:paraId="491085F3">
      <w:pPr>
        <w:pStyle w:val="4"/>
        <w:bidi w:val="0"/>
        <w:jc w:val="left"/>
        <w:rPr>
          <w:rFonts w:hint="eastAsia" w:ascii="仿宋" w:hAnsi="仿宋" w:eastAsia="仿宋" w:cs="仿宋"/>
          <w:sz w:val="36"/>
          <w:szCs w:val="36"/>
          <w:lang w:val="en-US" w:eastAsia="zh-CN"/>
        </w:rPr>
      </w:pPr>
      <w:bookmarkStart w:id="130" w:name="_Toc11977"/>
      <w:r>
        <w:rPr>
          <w:rFonts w:hint="eastAsia" w:ascii="仿宋" w:hAnsi="仿宋" w:eastAsia="仿宋" w:cs="仿宋"/>
          <w:sz w:val="36"/>
          <w:szCs w:val="36"/>
          <w:lang w:val="en-US" w:eastAsia="zh-CN"/>
        </w:rPr>
        <w:t>八、评审标准中需要提供的证明文件</w:t>
      </w:r>
      <w:bookmarkEnd w:id="130"/>
    </w:p>
    <w:p w14:paraId="6A90B2B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本项目评审标准中要求申请人提供的材料，</w:t>
      </w:r>
      <w:r>
        <w:rPr>
          <w:rFonts w:hint="eastAsia" w:ascii="仿宋" w:hAnsi="仿宋" w:eastAsia="仿宋" w:cs="仿宋"/>
          <w:sz w:val="24"/>
          <w:szCs w:val="24"/>
        </w:rPr>
        <w:t>必须提供</w:t>
      </w:r>
    </w:p>
    <w:p w14:paraId="05A87FC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bidi="ar-SA"/>
        </w:rPr>
      </w:pPr>
    </w:p>
    <w:p w14:paraId="06AC7E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bidi="ar-SA"/>
        </w:rPr>
      </w:pPr>
    </w:p>
    <w:p w14:paraId="79D221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bidi="ar-SA"/>
        </w:rPr>
      </w:pPr>
    </w:p>
    <w:p w14:paraId="0EC644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仿宋" w:hAnsi="仿宋" w:eastAsia="仿宋" w:cs="仿宋"/>
          <w:i w:val="0"/>
          <w:sz w:val="32"/>
          <w:szCs w:val="32"/>
          <w:u w:val="none"/>
          <w:lang w:val="en-US" w:eastAsia="zh-CN" w:bidi="ar-SA"/>
        </w:rPr>
      </w:pPr>
    </w:p>
    <w:p w14:paraId="4C000C1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left"/>
        <w:textAlignment w:val="auto"/>
        <w:rPr>
          <w:rFonts w:hint="eastAsia" w:ascii="仿宋" w:hAnsi="仿宋" w:eastAsia="仿宋" w:cs="仿宋"/>
          <w:i w:val="0"/>
          <w:sz w:val="32"/>
          <w:szCs w:val="32"/>
          <w:u w:val="none"/>
          <w:lang w:val="en-US" w:eastAsia="zh-CN"/>
        </w:rPr>
        <w:sectPr>
          <w:pgSz w:w="11906" w:h="16838"/>
          <w:pgMar w:top="1440" w:right="1800" w:bottom="1440" w:left="1800" w:header="851" w:footer="992" w:gutter="0"/>
          <w:pgNumType w:fmt="decimal"/>
          <w:cols w:space="720" w:num="1"/>
          <w:docGrid w:linePitch="360" w:charSpace="0"/>
        </w:sectPr>
      </w:pPr>
    </w:p>
    <w:p w14:paraId="542F33ED">
      <w:pPr>
        <w:pStyle w:val="4"/>
        <w:bidi w:val="0"/>
        <w:jc w:val="left"/>
        <w:rPr>
          <w:rFonts w:hint="eastAsia" w:ascii="仿宋" w:hAnsi="仿宋" w:eastAsia="仿宋" w:cs="仿宋"/>
          <w:sz w:val="36"/>
          <w:szCs w:val="36"/>
          <w:lang w:val="en-US" w:eastAsia="zh-CN"/>
        </w:rPr>
      </w:pPr>
      <w:bookmarkStart w:id="131" w:name="_Toc13278"/>
      <w:r>
        <w:rPr>
          <w:rFonts w:hint="eastAsia" w:ascii="仿宋" w:hAnsi="仿宋" w:eastAsia="仿宋" w:cs="仿宋"/>
          <w:sz w:val="36"/>
          <w:szCs w:val="36"/>
          <w:lang w:val="en-US" w:eastAsia="zh-CN"/>
        </w:rPr>
        <w:t>九、商务要求响应及偏离表</w:t>
      </w:r>
      <w:bookmarkEnd w:id="131"/>
    </w:p>
    <w:p w14:paraId="46C62E5E">
      <w:pPr>
        <w:widowControl/>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商务要求响应及偏离表</w:t>
      </w:r>
    </w:p>
    <w:tbl>
      <w:tblPr>
        <w:tblStyle w:val="40"/>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9"/>
        <w:gridCol w:w="2520"/>
        <w:gridCol w:w="3060"/>
      </w:tblGrid>
      <w:tr w14:paraId="1F92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14:paraId="63E34D21">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69" w:type="dxa"/>
            <w:noWrap w:val="0"/>
            <w:vAlign w:val="center"/>
          </w:tcPr>
          <w:p w14:paraId="79ECCCD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要求</w:t>
            </w:r>
          </w:p>
        </w:tc>
        <w:tc>
          <w:tcPr>
            <w:tcW w:w="2520" w:type="dxa"/>
            <w:noWrap w:val="0"/>
            <w:vAlign w:val="center"/>
          </w:tcPr>
          <w:p w14:paraId="4F59A37D">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响应情况</w:t>
            </w:r>
          </w:p>
        </w:tc>
        <w:tc>
          <w:tcPr>
            <w:tcW w:w="3060" w:type="dxa"/>
            <w:noWrap w:val="0"/>
            <w:vAlign w:val="center"/>
          </w:tcPr>
          <w:p w14:paraId="2670B801">
            <w:pPr>
              <w:widowControl/>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正偏离、无偏离或负偏离</w:t>
            </w:r>
          </w:p>
        </w:tc>
      </w:tr>
      <w:tr w14:paraId="1F3A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435448E0">
            <w:pPr>
              <w:widowControl/>
              <w:jc w:val="center"/>
              <w:rPr>
                <w:rFonts w:hint="eastAsia" w:ascii="仿宋" w:hAnsi="仿宋" w:eastAsia="仿宋" w:cs="仿宋"/>
                <w:color w:val="000000"/>
                <w:sz w:val="24"/>
                <w:szCs w:val="24"/>
              </w:rPr>
            </w:pPr>
          </w:p>
        </w:tc>
        <w:tc>
          <w:tcPr>
            <w:tcW w:w="2269" w:type="dxa"/>
            <w:noWrap w:val="0"/>
            <w:vAlign w:val="top"/>
          </w:tcPr>
          <w:p w14:paraId="5C8A942C">
            <w:pPr>
              <w:widowControl/>
              <w:jc w:val="center"/>
              <w:rPr>
                <w:rFonts w:hint="eastAsia" w:ascii="仿宋" w:hAnsi="仿宋" w:eastAsia="仿宋" w:cs="仿宋"/>
                <w:color w:val="000000"/>
                <w:sz w:val="24"/>
                <w:szCs w:val="24"/>
              </w:rPr>
            </w:pPr>
          </w:p>
        </w:tc>
        <w:tc>
          <w:tcPr>
            <w:tcW w:w="2520" w:type="dxa"/>
            <w:noWrap w:val="0"/>
            <w:vAlign w:val="top"/>
          </w:tcPr>
          <w:p w14:paraId="45FDA898">
            <w:pPr>
              <w:widowControl/>
              <w:jc w:val="center"/>
              <w:rPr>
                <w:rFonts w:hint="eastAsia" w:ascii="仿宋" w:hAnsi="仿宋" w:eastAsia="仿宋" w:cs="仿宋"/>
                <w:color w:val="000000"/>
                <w:sz w:val="24"/>
                <w:szCs w:val="24"/>
              </w:rPr>
            </w:pPr>
          </w:p>
        </w:tc>
        <w:tc>
          <w:tcPr>
            <w:tcW w:w="3060" w:type="dxa"/>
            <w:noWrap w:val="0"/>
            <w:vAlign w:val="top"/>
          </w:tcPr>
          <w:p w14:paraId="7EA1DEBB">
            <w:pPr>
              <w:widowControl/>
              <w:jc w:val="center"/>
              <w:rPr>
                <w:rFonts w:hint="eastAsia" w:ascii="仿宋" w:hAnsi="仿宋" w:eastAsia="仿宋" w:cs="仿宋"/>
                <w:color w:val="000000"/>
                <w:sz w:val="24"/>
                <w:szCs w:val="24"/>
              </w:rPr>
            </w:pPr>
          </w:p>
        </w:tc>
      </w:tr>
      <w:tr w14:paraId="6EFA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44AC68F1">
            <w:pPr>
              <w:widowControl/>
              <w:jc w:val="center"/>
              <w:rPr>
                <w:rFonts w:hint="eastAsia" w:ascii="仿宋" w:hAnsi="仿宋" w:eastAsia="仿宋" w:cs="仿宋"/>
                <w:color w:val="000000"/>
                <w:sz w:val="24"/>
                <w:szCs w:val="24"/>
              </w:rPr>
            </w:pPr>
          </w:p>
        </w:tc>
        <w:tc>
          <w:tcPr>
            <w:tcW w:w="2269" w:type="dxa"/>
            <w:noWrap w:val="0"/>
            <w:vAlign w:val="top"/>
          </w:tcPr>
          <w:p w14:paraId="39A3F8BA">
            <w:pPr>
              <w:widowControl/>
              <w:jc w:val="center"/>
              <w:rPr>
                <w:rFonts w:hint="eastAsia" w:ascii="仿宋" w:hAnsi="仿宋" w:eastAsia="仿宋" w:cs="仿宋"/>
                <w:color w:val="000000"/>
                <w:sz w:val="24"/>
                <w:szCs w:val="24"/>
              </w:rPr>
            </w:pPr>
          </w:p>
        </w:tc>
        <w:tc>
          <w:tcPr>
            <w:tcW w:w="2520" w:type="dxa"/>
            <w:noWrap w:val="0"/>
            <w:vAlign w:val="top"/>
          </w:tcPr>
          <w:p w14:paraId="74987EA0">
            <w:pPr>
              <w:widowControl/>
              <w:jc w:val="center"/>
              <w:rPr>
                <w:rFonts w:hint="eastAsia" w:ascii="仿宋" w:hAnsi="仿宋" w:eastAsia="仿宋" w:cs="仿宋"/>
                <w:color w:val="000000"/>
                <w:sz w:val="24"/>
                <w:szCs w:val="24"/>
              </w:rPr>
            </w:pPr>
          </w:p>
        </w:tc>
        <w:tc>
          <w:tcPr>
            <w:tcW w:w="3060" w:type="dxa"/>
            <w:noWrap w:val="0"/>
            <w:vAlign w:val="top"/>
          </w:tcPr>
          <w:p w14:paraId="0C7D59EF">
            <w:pPr>
              <w:widowControl/>
              <w:jc w:val="center"/>
              <w:rPr>
                <w:rFonts w:hint="eastAsia" w:ascii="仿宋" w:hAnsi="仿宋" w:eastAsia="仿宋" w:cs="仿宋"/>
                <w:color w:val="000000"/>
                <w:sz w:val="24"/>
                <w:szCs w:val="24"/>
              </w:rPr>
            </w:pPr>
          </w:p>
        </w:tc>
      </w:tr>
      <w:tr w14:paraId="6791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1802325A">
            <w:pPr>
              <w:widowControl/>
              <w:jc w:val="center"/>
              <w:rPr>
                <w:rFonts w:hint="eastAsia" w:ascii="仿宋" w:hAnsi="仿宋" w:eastAsia="仿宋" w:cs="仿宋"/>
                <w:color w:val="000000"/>
                <w:sz w:val="24"/>
                <w:szCs w:val="24"/>
              </w:rPr>
            </w:pPr>
          </w:p>
        </w:tc>
        <w:tc>
          <w:tcPr>
            <w:tcW w:w="2269" w:type="dxa"/>
            <w:noWrap w:val="0"/>
            <w:vAlign w:val="top"/>
          </w:tcPr>
          <w:p w14:paraId="5DE87703">
            <w:pPr>
              <w:widowControl/>
              <w:jc w:val="center"/>
              <w:rPr>
                <w:rFonts w:hint="eastAsia" w:ascii="仿宋" w:hAnsi="仿宋" w:eastAsia="仿宋" w:cs="仿宋"/>
                <w:color w:val="000000"/>
                <w:sz w:val="24"/>
                <w:szCs w:val="24"/>
              </w:rPr>
            </w:pPr>
          </w:p>
        </w:tc>
        <w:tc>
          <w:tcPr>
            <w:tcW w:w="2520" w:type="dxa"/>
            <w:noWrap w:val="0"/>
            <w:vAlign w:val="top"/>
          </w:tcPr>
          <w:p w14:paraId="4FBB21AA">
            <w:pPr>
              <w:widowControl/>
              <w:jc w:val="center"/>
              <w:rPr>
                <w:rFonts w:hint="eastAsia" w:ascii="仿宋" w:hAnsi="仿宋" w:eastAsia="仿宋" w:cs="仿宋"/>
                <w:color w:val="000000"/>
                <w:sz w:val="24"/>
                <w:szCs w:val="24"/>
              </w:rPr>
            </w:pPr>
          </w:p>
        </w:tc>
        <w:tc>
          <w:tcPr>
            <w:tcW w:w="3060" w:type="dxa"/>
            <w:noWrap w:val="0"/>
            <w:vAlign w:val="top"/>
          </w:tcPr>
          <w:p w14:paraId="72C48DB3">
            <w:pPr>
              <w:widowControl/>
              <w:jc w:val="center"/>
              <w:rPr>
                <w:rFonts w:hint="eastAsia" w:ascii="仿宋" w:hAnsi="仿宋" w:eastAsia="仿宋" w:cs="仿宋"/>
                <w:color w:val="000000"/>
                <w:sz w:val="24"/>
                <w:szCs w:val="24"/>
              </w:rPr>
            </w:pPr>
          </w:p>
        </w:tc>
      </w:tr>
      <w:tr w14:paraId="18BB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35EF8561">
            <w:pPr>
              <w:widowControl/>
              <w:jc w:val="center"/>
              <w:rPr>
                <w:rFonts w:hint="eastAsia" w:ascii="仿宋" w:hAnsi="仿宋" w:eastAsia="仿宋" w:cs="仿宋"/>
                <w:color w:val="000000"/>
                <w:sz w:val="24"/>
                <w:szCs w:val="24"/>
              </w:rPr>
            </w:pPr>
          </w:p>
        </w:tc>
        <w:tc>
          <w:tcPr>
            <w:tcW w:w="2269" w:type="dxa"/>
            <w:noWrap w:val="0"/>
            <w:vAlign w:val="top"/>
          </w:tcPr>
          <w:p w14:paraId="136F8284">
            <w:pPr>
              <w:widowControl/>
              <w:jc w:val="center"/>
              <w:rPr>
                <w:rFonts w:hint="eastAsia" w:ascii="仿宋" w:hAnsi="仿宋" w:eastAsia="仿宋" w:cs="仿宋"/>
                <w:color w:val="000000"/>
                <w:sz w:val="24"/>
                <w:szCs w:val="24"/>
              </w:rPr>
            </w:pPr>
          </w:p>
        </w:tc>
        <w:tc>
          <w:tcPr>
            <w:tcW w:w="2520" w:type="dxa"/>
            <w:noWrap w:val="0"/>
            <w:vAlign w:val="top"/>
          </w:tcPr>
          <w:p w14:paraId="37A8688F">
            <w:pPr>
              <w:widowControl/>
              <w:jc w:val="center"/>
              <w:rPr>
                <w:rFonts w:hint="eastAsia" w:ascii="仿宋" w:hAnsi="仿宋" w:eastAsia="仿宋" w:cs="仿宋"/>
                <w:color w:val="000000"/>
                <w:sz w:val="24"/>
                <w:szCs w:val="24"/>
              </w:rPr>
            </w:pPr>
          </w:p>
        </w:tc>
        <w:tc>
          <w:tcPr>
            <w:tcW w:w="3060" w:type="dxa"/>
            <w:noWrap w:val="0"/>
            <w:vAlign w:val="top"/>
          </w:tcPr>
          <w:p w14:paraId="1F5F3854">
            <w:pPr>
              <w:widowControl/>
              <w:jc w:val="center"/>
              <w:rPr>
                <w:rFonts w:hint="eastAsia" w:ascii="仿宋" w:hAnsi="仿宋" w:eastAsia="仿宋" w:cs="仿宋"/>
                <w:color w:val="000000"/>
                <w:sz w:val="24"/>
                <w:szCs w:val="24"/>
              </w:rPr>
            </w:pPr>
          </w:p>
        </w:tc>
      </w:tr>
      <w:tr w14:paraId="71E0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037D2503">
            <w:pPr>
              <w:widowControl/>
              <w:jc w:val="center"/>
              <w:rPr>
                <w:rFonts w:hint="eastAsia" w:ascii="仿宋" w:hAnsi="仿宋" w:eastAsia="仿宋" w:cs="仿宋"/>
                <w:color w:val="000000"/>
                <w:sz w:val="24"/>
                <w:szCs w:val="24"/>
              </w:rPr>
            </w:pPr>
          </w:p>
        </w:tc>
        <w:tc>
          <w:tcPr>
            <w:tcW w:w="2269" w:type="dxa"/>
            <w:noWrap w:val="0"/>
            <w:vAlign w:val="top"/>
          </w:tcPr>
          <w:p w14:paraId="66B33CEB">
            <w:pPr>
              <w:widowControl/>
              <w:jc w:val="center"/>
              <w:rPr>
                <w:rFonts w:hint="eastAsia" w:ascii="仿宋" w:hAnsi="仿宋" w:eastAsia="仿宋" w:cs="仿宋"/>
                <w:color w:val="000000"/>
                <w:sz w:val="24"/>
                <w:szCs w:val="24"/>
              </w:rPr>
            </w:pPr>
          </w:p>
        </w:tc>
        <w:tc>
          <w:tcPr>
            <w:tcW w:w="2520" w:type="dxa"/>
            <w:noWrap w:val="0"/>
            <w:vAlign w:val="top"/>
          </w:tcPr>
          <w:p w14:paraId="1E6CC5B5">
            <w:pPr>
              <w:widowControl/>
              <w:jc w:val="center"/>
              <w:rPr>
                <w:rFonts w:hint="eastAsia" w:ascii="仿宋" w:hAnsi="仿宋" w:eastAsia="仿宋" w:cs="仿宋"/>
                <w:color w:val="000000"/>
                <w:sz w:val="24"/>
                <w:szCs w:val="24"/>
              </w:rPr>
            </w:pPr>
          </w:p>
        </w:tc>
        <w:tc>
          <w:tcPr>
            <w:tcW w:w="3060" w:type="dxa"/>
            <w:noWrap w:val="0"/>
            <w:vAlign w:val="top"/>
          </w:tcPr>
          <w:p w14:paraId="79ADA8E3">
            <w:pPr>
              <w:widowControl/>
              <w:jc w:val="center"/>
              <w:rPr>
                <w:rFonts w:hint="eastAsia" w:ascii="仿宋" w:hAnsi="仿宋" w:eastAsia="仿宋" w:cs="仿宋"/>
                <w:color w:val="000000"/>
                <w:sz w:val="24"/>
                <w:szCs w:val="24"/>
              </w:rPr>
            </w:pPr>
          </w:p>
        </w:tc>
      </w:tr>
      <w:tr w14:paraId="05D5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5366370C">
            <w:pPr>
              <w:widowControl/>
              <w:jc w:val="center"/>
              <w:rPr>
                <w:rFonts w:hint="eastAsia" w:ascii="仿宋" w:hAnsi="仿宋" w:eastAsia="仿宋" w:cs="仿宋"/>
                <w:color w:val="000000"/>
                <w:sz w:val="24"/>
                <w:szCs w:val="24"/>
              </w:rPr>
            </w:pPr>
          </w:p>
        </w:tc>
        <w:tc>
          <w:tcPr>
            <w:tcW w:w="2269" w:type="dxa"/>
            <w:noWrap w:val="0"/>
            <w:vAlign w:val="top"/>
          </w:tcPr>
          <w:p w14:paraId="33F0B84A">
            <w:pPr>
              <w:widowControl/>
              <w:jc w:val="center"/>
              <w:rPr>
                <w:rFonts w:hint="eastAsia" w:ascii="仿宋" w:hAnsi="仿宋" w:eastAsia="仿宋" w:cs="仿宋"/>
                <w:color w:val="000000"/>
                <w:sz w:val="24"/>
                <w:szCs w:val="24"/>
              </w:rPr>
            </w:pPr>
          </w:p>
        </w:tc>
        <w:tc>
          <w:tcPr>
            <w:tcW w:w="2520" w:type="dxa"/>
            <w:noWrap w:val="0"/>
            <w:vAlign w:val="top"/>
          </w:tcPr>
          <w:p w14:paraId="4ED9B620">
            <w:pPr>
              <w:widowControl/>
              <w:jc w:val="center"/>
              <w:rPr>
                <w:rFonts w:hint="eastAsia" w:ascii="仿宋" w:hAnsi="仿宋" w:eastAsia="仿宋" w:cs="仿宋"/>
                <w:color w:val="000000"/>
                <w:sz w:val="24"/>
                <w:szCs w:val="24"/>
              </w:rPr>
            </w:pPr>
          </w:p>
        </w:tc>
        <w:tc>
          <w:tcPr>
            <w:tcW w:w="3060" w:type="dxa"/>
            <w:noWrap w:val="0"/>
            <w:vAlign w:val="top"/>
          </w:tcPr>
          <w:p w14:paraId="742BB3B7">
            <w:pPr>
              <w:widowControl/>
              <w:jc w:val="center"/>
              <w:rPr>
                <w:rFonts w:hint="eastAsia" w:ascii="仿宋" w:hAnsi="仿宋" w:eastAsia="仿宋" w:cs="仿宋"/>
                <w:color w:val="000000"/>
                <w:sz w:val="24"/>
                <w:szCs w:val="24"/>
              </w:rPr>
            </w:pPr>
          </w:p>
        </w:tc>
      </w:tr>
      <w:tr w14:paraId="1504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415329F2">
            <w:pPr>
              <w:widowControl/>
              <w:jc w:val="center"/>
              <w:rPr>
                <w:rFonts w:hint="eastAsia" w:ascii="仿宋" w:hAnsi="仿宋" w:eastAsia="仿宋" w:cs="仿宋"/>
                <w:color w:val="000000"/>
                <w:sz w:val="24"/>
                <w:szCs w:val="24"/>
              </w:rPr>
            </w:pPr>
          </w:p>
        </w:tc>
        <w:tc>
          <w:tcPr>
            <w:tcW w:w="2269" w:type="dxa"/>
            <w:noWrap w:val="0"/>
            <w:vAlign w:val="top"/>
          </w:tcPr>
          <w:p w14:paraId="61ACC2D6">
            <w:pPr>
              <w:widowControl/>
              <w:jc w:val="center"/>
              <w:rPr>
                <w:rFonts w:hint="eastAsia" w:ascii="仿宋" w:hAnsi="仿宋" w:eastAsia="仿宋" w:cs="仿宋"/>
                <w:color w:val="000000"/>
                <w:sz w:val="24"/>
                <w:szCs w:val="24"/>
              </w:rPr>
            </w:pPr>
          </w:p>
        </w:tc>
        <w:tc>
          <w:tcPr>
            <w:tcW w:w="2520" w:type="dxa"/>
            <w:noWrap w:val="0"/>
            <w:vAlign w:val="top"/>
          </w:tcPr>
          <w:p w14:paraId="1B317E54">
            <w:pPr>
              <w:widowControl/>
              <w:jc w:val="center"/>
              <w:rPr>
                <w:rFonts w:hint="eastAsia" w:ascii="仿宋" w:hAnsi="仿宋" w:eastAsia="仿宋" w:cs="仿宋"/>
                <w:color w:val="000000"/>
                <w:sz w:val="24"/>
                <w:szCs w:val="24"/>
              </w:rPr>
            </w:pPr>
          </w:p>
        </w:tc>
        <w:tc>
          <w:tcPr>
            <w:tcW w:w="3060" w:type="dxa"/>
            <w:noWrap w:val="0"/>
            <w:vAlign w:val="top"/>
          </w:tcPr>
          <w:p w14:paraId="4789BEF7">
            <w:pPr>
              <w:widowControl/>
              <w:jc w:val="center"/>
              <w:rPr>
                <w:rFonts w:hint="eastAsia" w:ascii="仿宋" w:hAnsi="仿宋" w:eastAsia="仿宋" w:cs="仿宋"/>
                <w:color w:val="000000"/>
                <w:sz w:val="24"/>
                <w:szCs w:val="24"/>
              </w:rPr>
            </w:pPr>
          </w:p>
        </w:tc>
      </w:tr>
      <w:tr w14:paraId="2FBA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5" w:type="dxa"/>
            <w:noWrap w:val="0"/>
            <w:vAlign w:val="top"/>
          </w:tcPr>
          <w:p w14:paraId="4E55E793">
            <w:pPr>
              <w:widowControl/>
              <w:jc w:val="center"/>
              <w:rPr>
                <w:rFonts w:hint="eastAsia" w:ascii="仿宋" w:hAnsi="仿宋" w:eastAsia="仿宋" w:cs="仿宋"/>
                <w:color w:val="000000"/>
                <w:sz w:val="24"/>
                <w:szCs w:val="24"/>
              </w:rPr>
            </w:pPr>
          </w:p>
        </w:tc>
        <w:tc>
          <w:tcPr>
            <w:tcW w:w="2269" w:type="dxa"/>
            <w:noWrap w:val="0"/>
            <w:vAlign w:val="top"/>
          </w:tcPr>
          <w:p w14:paraId="6589DFA9">
            <w:pPr>
              <w:widowControl/>
              <w:jc w:val="center"/>
              <w:rPr>
                <w:rFonts w:hint="eastAsia" w:ascii="仿宋" w:hAnsi="仿宋" w:eastAsia="仿宋" w:cs="仿宋"/>
                <w:sz w:val="20"/>
                <w:szCs w:val="20"/>
              </w:rPr>
            </w:pPr>
          </w:p>
          <w:p w14:paraId="2DF0D40B">
            <w:pPr>
              <w:pStyle w:val="39"/>
              <w:widowControl/>
              <w:jc w:val="left"/>
              <w:rPr>
                <w:rFonts w:hint="eastAsia" w:ascii="仿宋" w:hAnsi="仿宋" w:eastAsia="仿宋" w:cs="仿宋"/>
                <w:sz w:val="20"/>
              </w:rPr>
            </w:pPr>
          </w:p>
        </w:tc>
        <w:tc>
          <w:tcPr>
            <w:tcW w:w="2520" w:type="dxa"/>
            <w:noWrap w:val="0"/>
            <w:vAlign w:val="top"/>
          </w:tcPr>
          <w:p w14:paraId="348B4361">
            <w:pPr>
              <w:widowControl/>
              <w:jc w:val="center"/>
              <w:rPr>
                <w:rFonts w:hint="eastAsia" w:ascii="仿宋" w:hAnsi="仿宋" w:eastAsia="仿宋" w:cs="仿宋"/>
                <w:color w:val="000000"/>
                <w:sz w:val="24"/>
                <w:szCs w:val="24"/>
              </w:rPr>
            </w:pPr>
          </w:p>
        </w:tc>
        <w:tc>
          <w:tcPr>
            <w:tcW w:w="3060" w:type="dxa"/>
            <w:noWrap w:val="0"/>
            <w:vAlign w:val="top"/>
          </w:tcPr>
          <w:p w14:paraId="5C374A72">
            <w:pPr>
              <w:widowControl/>
              <w:jc w:val="center"/>
              <w:rPr>
                <w:rFonts w:hint="eastAsia" w:ascii="仿宋" w:hAnsi="仿宋" w:eastAsia="仿宋" w:cs="仿宋"/>
                <w:color w:val="000000"/>
                <w:sz w:val="24"/>
                <w:szCs w:val="24"/>
              </w:rPr>
            </w:pPr>
          </w:p>
        </w:tc>
      </w:tr>
    </w:tbl>
    <w:p w14:paraId="1DDB249C">
      <w:pPr>
        <w:widowControl/>
        <w:spacing w:line="560" w:lineRule="exact"/>
        <w:ind w:right="180" w:firstLine="480" w:firstLineChars="200"/>
        <w:jc w:val="both"/>
        <w:rPr>
          <w:rFonts w:hint="eastAsia" w:ascii="仿宋" w:hAnsi="仿宋" w:eastAsia="仿宋" w:cs="仿宋"/>
          <w:sz w:val="24"/>
          <w:szCs w:val="24"/>
          <w:lang w:val="en-US" w:eastAsia="zh-CN"/>
        </w:rPr>
      </w:pPr>
    </w:p>
    <w:p w14:paraId="7736D02A">
      <w:pPr>
        <w:widowControl/>
        <w:spacing w:line="560" w:lineRule="exact"/>
        <w:ind w:right="180" w:firstLine="480" w:firstLineChars="200"/>
        <w:jc w:val="both"/>
        <w:rPr>
          <w:rFonts w:hint="eastAsia" w:ascii="仿宋" w:hAnsi="仿宋" w:eastAsia="仿宋" w:cs="仿宋"/>
          <w:sz w:val="24"/>
          <w:szCs w:val="24"/>
          <w:u w:val="none"/>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u w:val="none"/>
        </w:rPr>
        <w:t>（加盖电子公章）</w:t>
      </w:r>
    </w:p>
    <w:p w14:paraId="158D5A7D">
      <w:pPr>
        <w:widowControl/>
        <w:ind w:firstLine="480" w:firstLineChars="200"/>
        <w:jc w:val="left"/>
        <w:rPr>
          <w:rFonts w:hint="eastAsia" w:ascii="仿宋" w:hAnsi="仿宋" w:eastAsia="仿宋" w:cs="仿宋"/>
          <w:color w:val="000000"/>
          <w:sz w:val="24"/>
          <w:szCs w:val="24"/>
          <w:lang w:val="en-US" w:eastAsia="zh-CN"/>
        </w:rPr>
      </w:pPr>
    </w:p>
    <w:p w14:paraId="4D17092A">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r>
        <w:rPr>
          <w:rFonts w:hint="eastAsia" w:ascii="仿宋" w:hAnsi="仿宋" w:eastAsia="仿宋" w:cs="仿宋"/>
          <w:color w:val="auto"/>
          <w:kern w:val="0"/>
          <w:sz w:val="24"/>
          <w:lang w:val="en-US" w:eastAsia="zh-CN" w:bidi="ar-SA"/>
        </w:rPr>
        <w:t xml:space="preserve">备注： </w:t>
      </w:r>
    </w:p>
    <w:p w14:paraId="10CDF805">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r>
        <w:rPr>
          <w:rFonts w:hint="eastAsia" w:ascii="仿宋" w:hAnsi="仿宋" w:eastAsia="仿宋" w:cs="仿宋"/>
          <w:color w:val="auto"/>
          <w:kern w:val="0"/>
          <w:sz w:val="24"/>
          <w:lang w:val="en-US" w:eastAsia="zh-CN" w:bidi="ar-SA"/>
        </w:rPr>
        <w:t>1.供应商须对征集文件商务要求中的实质性要求（斜体下划线内容或打“★”内容）做出明确响应，否则视为无效响应。</w:t>
      </w:r>
    </w:p>
    <w:p w14:paraId="77ADCA36">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r>
        <w:rPr>
          <w:rFonts w:hint="eastAsia" w:ascii="仿宋" w:hAnsi="仿宋" w:eastAsia="仿宋" w:cs="仿宋"/>
          <w:color w:val="auto"/>
          <w:kern w:val="0"/>
          <w:sz w:val="24"/>
          <w:lang w:val="en-US" w:eastAsia="zh-CN" w:bidi="ar-SA"/>
        </w:rPr>
        <w:t>2.行数不够，可自行添加。</w:t>
      </w:r>
      <w:bookmarkEnd w:id="120"/>
    </w:p>
    <w:p w14:paraId="0FC22B0F">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p w14:paraId="382CF687">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p w14:paraId="0A621455">
      <w:pPr>
        <w:bidi w:val="0"/>
        <w:rPr>
          <w:rFonts w:hint="eastAsia"/>
          <w:lang w:val="en-US" w:eastAsia="zh-CN"/>
        </w:rPr>
      </w:pPr>
    </w:p>
    <w:p w14:paraId="58B54172">
      <w:pPr>
        <w:pStyle w:val="4"/>
        <w:bidi w:val="0"/>
        <w:jc w:val="left"/>
        <w:rPr>
          <w:rFonts w:hint="eastAsia" w:ascii="仿宋" w:hAnsi="仿宋" w:eastAsia="仿宋" w:cs="仿宋"/>
          <w:sz w:val="36"/>
          <w:szCs w:val="36"/>
          <w:lang w:val="en-US" w:eastAsia="zh-CN"/>
        </w:rPr>
        <w:sectPr>
          <w:pgSz w:w="11906" w:h="16838"/>
          <w:pgMar w:top="1440" w:right="1800" w:bottom="1440" w:left="1800" w:header="851" w:footer="992" w:gutter="0"/>
          <w:pgNumType w:fmt="decimal"/>
          <w:cols w:space="720" w:num="1"/>
          <w:docGrid w:linePitch="360" w:charSpace="0"/>
        </w:sectPr>
      </w:pPr>
    </w:p>
    <w:p w14:paraId="74716F4D">
      <w:pPr>
        <w:pStyle w:val="4"/>
        <w:bidi w:val="0"/>
        <w:jc w:val="left"/>
        <w:rPr>
          <w:rFonts w:hint="eastAsia" w:ascii="仿宋" w:hAnsi="仿宋" w:eastAsia="仿宋" w:cs="仿宋"/>
          <w:sz w:val="36"/>
          <w:szCs w:val="36"/>
          <w:lang w:val="en-US" w:eastAsia="zh-CN"/>
        </w:rPr>
      </w:pPr>
      <w:bookmarkStart w:id="132" w:name="_Toc14821"/>
      <w:r>
        <w:rPr>
          <w:rFonts w:hint="eastAsia" w:ascii="仿宋" w:hAnsi="仿宋" w:eastAsia="仿宋" w:cs="仿宋"/>
          <w:sz w:val="36"/>
          <w:szCs w:val="36"/>
          <w:lang w:val="en-US" w:eastAsia="zh-CN"/>
        </w:rPr>
        <w:t>十、中小企业声明函</w:t>
      </w:r>
      <w:bookmarkEnd w:id="132"/>
    </w:p>
    <w:p w14:paraId="1DBB9BDD">
      <w:pPr>
        <w:widowControl w:val="0"/>
        <w:spacing w:line="360" w:lineRule="auto"/>
        <w:ind w:firstLine="360"/>
        <w:jc w:val="center"/>
        <w:rPr>
          <w:rFonts w:hint="eastAsia" w:ascii="仿宋" w:hAnsi="仿宋" w:eastAsia="仿宋" w:cs="仿宋"/>
          <w:sz w:val="24"/>
          <w:szCs w:val="24"/>
        </w:rPr>
      </w:pPr>
      <w:r>
        <w:rPr>
          <w:rFonts w:hint="eastAsia" w:ascii="仿宋" w:hAnsi="仿宋" w:eastAsia="仿宋" w:cs="仿宋"/>
          <w:sz w:val="24"/>
          <w:szCs w:val="24"/>
        </w:rPr>
        <w:t>中小企业声明函（服务）</w:t>
      </w:r>
    </w:p>
    <w:p w14:paraId="35D62815">
      <w:pPr>
        <w:widowControl w:val="0"/>
        <w:spacing w:line="360" w:lineRule="auto"/>
        <w:ind w:firstLine="36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本公司（联合体）郑重声明，根据《政府采购促进中小企业发展管理办法》(财库[2020]46号)的规定，本公司（联合体）参加南京市公共资源交易中心组织的</w:t>
      </w:r>
      <w:r>
        <w:rPr>
          <w:rFonts w:hint="eastAsia" w:ascii="仿宋" w:hAnsi="仿宋" w:eastAsia="仿宋" w:cs="仿宋"/>
          <w:sz w:val="24"/>
          <w:szCs w:val="24"/>
          <w:u w:val="single"/>
        </w:rPr>
        <w:t>（单位名称）</w:t>
      </w:r>
      <w:r>
        <w:rPr>
          <w:rFonts w:hint="eastAsia" w:ascii="仿宋" w:hAnsi="仿宋" w:eastAsia="仿宋" w:cs="仿宋"/>
          <w:sz w:val="24"/>
          <w:szCs w:val="24"/>
        </w:rPr>
        <w:t>采购编号为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（项目名称）（分包号：**）</w:t>
      </w:r>
      <w:r>
        <w:rPr>
          <w:rFonts w:hint="eastAsia" w:ascii="仿宋" w:hAnsi="仿宋" w:eastAsia="仿宋" w:cs="仿宋"/>
          <w:sz w:val="24"/>
          <w:szCs w:val="24"/>
        </w:rPr>
        <w:t>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75921133">
      <w:pPr>
        <w:widowControl w:val="0"/>
        <w:spacing w:line="360" w:lineRule="auto"/>
        <w:ind w:firstLine="360"/>
        <w:jc w:val="left"/>
        <w:rPr>
          <w:rFonts w:hint="eastAsia"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sz w:val="24"/>
          <w:szCs w:val="24"/>
          <w:vertAlign w:val="superscript"/>
        </w:rPr>
        <w:t>1</w:t>
      </w:r>
      <w:r>
        <w:rPr>
          <w:rFonts w:hint="eastAsia" w:ascii="仿宋" w:hAnsi="仿宋" w:eastAsia="仿宋" w:cs="仿宋"/>
          <w:sz w:val="24"/>
          <w:szCs w:val="24"/>
        </w:rPr>
        <w:t>，属于</w:t>
      </w:r>
      <w:r>
        <w:rPr>
          <w:rFonts w:hint="eastAsia" w:ascii="仿宋" w:hAnsi="仿宋" w:eastAsia="仿宋" w:cs="仿宋"/>
          <w:sz w:val="24"/>
          <w:szCs w:val="24"/>
          <w:u w:val="single"/>
        </w:rPr>
        <w:t>（中型企业、小型企业、微型企业）；</w:t>
      </w:r>
    </w:p>
    <w:p w14:paraId="093E380D">
      <w:pPr>
        <w:widowControl w:val="0"/>
        <w:spacing w:line="360" w:lineRule="auto"/>
        <w:ind w:firstLine="360"/>
        <w:jc w:val="left"/>
        <w:rPr>
          <w:rFonts w:hint="eastAsia"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sz w:val="24"/>
          <w:szCs w:val="24"/>
          <w:vertAlign w:val="superscript"/>
        </w:rPr>
        <w:t>1</w:t>
      </w:r>
      <w:r>
        <w:rPr>
          <w:rFonts w:hint="eastAsia" w:ascii="仿宋" w:hAnsi="仿宋" w:eastAsia="仿宋" w:cs="仿宋"/>
          <w:sz w:val="24"/>
          <w:szCs w:val="24"/>
        </w:rPr>
        <w:t>，属于</w:t>
      </w:r>
      <w:r>
        <w:rPr>
          <w:rFonts w:hint="eastAsia" w:ascii="仿宋" w:hAnsi="仿宋" w:eastAsia="仿宋" w:cs="仿宋"/>
          <w:sz w:val="24"/>
          <w:szCs w:val="24"/>
          <w:u w:val="single"/>
        </w:rPr>
        <w:t>（中型企业、小型企业、微型企业）；</w:t>
      </w:r>
    </w:p>
    <w:p w14:paraId="558D6DFD">
      <w:pPr>
        <w:widowControl w:val="0"/>
        <w:spacing w:line="360" w:lineRule="auto"/>
        <w:ind w:firstLine="360"/>
        <w:jc w:val="left"/>
        <w:rPr>
          <w:rFonts w:hint="eastAsia" w:ascii="仿宋" w:hAnsi="仿宋" w:eastAsia="仿宋" w:cs="仿宋"/>
          <w:sz w:val="24"/>
          <w:szCs w:val="24"/>
        </w:rPr>
      </w:pPr>
      <w:r>
        <w:rPr>
          <w:rFonts w:hint="eastAsia" w:ascii="仿宋" w:hAnsi="仿宋" w:eastAsia="仿宋" w:cs="仿宋"/>
          <w:sz w:val="24"/>
          <w:szCs w:val="24"/>
        </w:rPr>
        <w:t>……</w:t>
      </w:r>
    </w:p>
    <w:p w14:paraId="4480E846">
      <w:pPr>
        <w:widowControl w:val="0"/>
        <w:spacing w:line="360" w:lineRule="auto"/>
        <w:ind w:firstLine="360"/>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35338225">
      <w:pPr>
        <w:widowControl w:val="0"/>
        <w:spacing w:line="360" w:lineRule="auto"/>
        <w:ind w:firstLine="360"/>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80ABE05">
      <w:pPr>
        <w:widowControl w:val="0"/>
        <w:spacing w:line="360" w:lineRule="auto"/>
        <w:ind w:firstLine="360"/>
        <w:jc w:val="left"/>
        <w:rPr>
          <w:rFonts w:hint="eastAsia" w:ascii="仿宋" w:hAnsi="仿宋" w:eastAsia="仿宋" w:cs="仿宋"/>
          <w:sz w:val="24"/>
          <w:szCs w:val="24"/>
        </w:rPr>
      </w:pPr>
    </w:p>
    <w:p w14:paraId="5A4665F1">
      <w:pPr>
        <w:widowControl w:val="0"/>
        <w:spacing w:line="360" w:lineRule="auto"/>
        <w:ind w:firstLine="360"/>
        <w:jc w:val="left"/>
        <w:rPr>
          <w:rFonts w:hint="eastAsia" w:ascii="仿宋" w:hAnsi="仿宋" w:eastAsia="仿宋" w:cs="仿宋"/>
          <w:sz w:val="24"/>
          <w:szCs w:val="24"/>
        </w:rPr>
      </w:pPr>
      <w:r>
        <w:rPr>
          <w:rFonts w:hint="eastAsia" w:ascii="仿宋" w:hAnsi="仿宋" w:eastAsia="仿宋" w:cs="仿宋"/>
          <w:sz w:val="24"/>
          <w:szCs w:val="24"/>
        </w:rPr>
        <w:t>（备注：1、从业人员、营业收入、资产总额填报上一年度数据，无上一年度数据的新成立企业可不填报。2、投标人如不提供此声明函，不得参加专门面向中小企业采购项目或者不得享受小微企业价格扣除政策。此声明函将随成交结果同时公告，接受社会监督。3、服务采购项目中，服务的承接商应当为中小企业，不对其中涉及的货物的制造商、工程的承建商作出要求。）</w:t>
      </w:r>
    </w:p>
    <w:p w14:paraId="36FAE6B0">
      <w:pPr>
        <w:widowControl w:val="0"/>
        <w:spacing w:line="360" w:lineRule="auto"/>
        <w:ind w:right="180" w:firstLine="360"/>
        <w:jc w:val="right"/>
        <w:rPr>
          <w:rFonts w:hint="eastAsia" w:ascii="仿宋" w:hAnsi="仿宋" w:eastAsia="仿宋" w:cs="仿宋"/>
          <w:sz w:val="24"/>
          <w:szCs w:val="24"/>
        </w:rPr>
      </w:pPr>
      <w:r>
        <w:rPr>
          <w:rFonts w:hint="eastAsia" w:ascii="仿宋" w:hAnsi="仿宋" w:eastAsia="仿宋" w:cs="仿宋"/>
          <w:sz w:val="24"/>
          <w:szCs w:val="24"/>
        </w:rPr>
        <w:t>企业名称：（加盖CA电子公章）</w:t>
      </w:r>
    </w:p>
    <w:p w14:paraId="56C198E7">
      <w:pPr>
        <w:widowControl w:val="0"/>
        <w:spacing w:line="360" w:lineRule="auto"/>
        <w:ind w:firstLine="4800" w:firstLineChars="2000"/>
        <w:jc w:val="left"/>
        <w:rPr>
          <w:rFonts w:hint="eastAsia" w:ascii="仿宋" w:hAnsi="仿宋" w:eastAsia="仿宋" w:cs="仿宋"/>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年___月___日</w:t>
      </w:r>
    </w:p>
    <w:p w14:paraId="7ACE65D4">
      <w:pPr>
        <w:widowControl/>
        <w:spacing w:line="460" w:lineRule="exact"/>
        <w:jc w:val="both"/>
        <w:rPr>
          <w:rFonts w:hint="eastAsia" w:ascii="黑体" w:hAnsi="黑体" w:eastAsia="黑体" w:cs="Times New Roman"/>
          <w:iCs/>
          <w:sz w:val="32"/>
          <w:szCs w:val="32"/>
        </w:rPr>
      </w:pPr>
    </w:p>
    <w:p w14:paraId="2FD4C673">
      <w:pPr>
        <w:pStyle w:val="4"/>
        <w:bidi w:val="0"/>
        <w:jc w:val="left"/>
        <w:rPr>
          <w:rFonts w:hint="eastAsia" w:ascii="仿宋" w:hAnsi="仿宋" w:eastAsia="仿宋" w:cs="仿宋"/>
          <w:sz w:val="36"/>
          <w:szCs w:val="36"/>
          <w:lang w:val="en-US" w:eastAsia="zh-CN"/>
        </w:rPr>
      </w:pPr>
      <w:bookmarkStart w:id="133" w:name="_Toc30120"/>
      <w:r>
        <w:rPr>
          <w:rFonts w:hint="eastAsia" w:ascii="仿宋" w:hAnsi="仿宋" w:eastAsia="仿宋" w:cs="仿宋"/>
          <w:sz w:val="36"/>
          <w:szCs w:val="36"/>
          <w:lang w:val="en-US" w:eastAsia="zh-CN"/>
        </w:rPr>
        <w:t>十一、残疾人福利性单位声明函</w:t>
      </w:r>
      <w:bookmarkEnd w:id="133"/>
    </w:p>
    <w:p w14:paraId="29576172">
      <w:pPr>
        <w:widowControl/>
        <w:spacing w:line="588" w:lineRule="exact"/>
        <w:ind w:firstLine="480"/>
        <w:jc w:val="left"/>
        <w:rPr>
          <w:rFonts w:hint="eastAsia" w:ascii="仿宋" w:hAnsi="仿宋" w:eastAsia="仿宋" w:cs="仿宋"/>
          <w:sz w:val="24"/>
          <w:szCs w:val="20"/>
        </w:rPr>
      </w:pPr>
      <w:r>
        <w:rPr>
          <w:rFonts w:hint="eastAsia" w:ascii="仿宋" w:hAnsi="仿宋" w:eastAsia="仿宋" w:cs="仿宋"/>
          <w:sz w:val="24"/>
          <w:szCs w:val="20"/>
        </w:rPr>
        <w:t>残疾人福利性单位声明函</w:t>
      </w:r>
    </w:p>
    <w:p w14:paraId="2AF0D879">
      <w:pPr>
        <w:widowControl/>
        <w:spacing w:line="588" w:lineRule="exact"/>
        <w:ind w:firstLine="480"/>
        <w:jc w:val="left"/>
        <w:rPr>
          <w:rFonts w:hint="eastAsia" w:ascii="仿宋" w:hAnsi="仿宋" w:eastAsia="仿宋" w:cs="仿宋"/>
          <w:sz w:val="24"/>
          <w:szCs w:val="20"/>
        </w:rPr>
      </w:pPr>
      <w:r>
        <w:rPr>
          <w:rFonts w:hint="eastAsia" w:ascii="仿宋" w:hAnsi="仿宋" w:eastAsia="仿宋" w:cs="仿宋"/>
          <w:sz w:val="24"/>
          <w:szCs w:val="20"/>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0"/>
        </w:rPr>
        <w:t>的</w:t>
      </w:r>
      <w:r>
        <w:rPr>
          <w:rFonts w:hint="eastAsia" w:ascii="仿宋" w:hAnsi="仿宋" w:eastAsia="仿宋" w:cs="仿宋"/>
          <w:sz w:val="24"/>
          <w:szCs w:val="20"/>
          <w:u w:val="single"/>
        </w:rPr>
        <w:t xml:space="preserve">       </w:t>
      </w:r>
      <w:r>
        <w:rPr>
          <w:rFonts w:hint="eastAsia" w:ascii="仿宋" w:hAnsi="仿宋" w:eastAsia="仿宋" w:cs="仿宋"/>
          <w:sz w:val="24"/>
          <w:szCs w:val="20"/>
        </w:rPr>
        <w:t>项目（分包号：**）采购活动由本单位提供服务。</w:t>
      </w:r>
    </w:p>
    <w:p w14:paraId="1697A722">
      <w:pPr>
        <w:widowControl/>
        <w:spacing w:line="588" w:lineRule="exact"/>
        <w:ind w:firstLine="480"/>
        <w:jc w:val="left"/>
        <w:rPr>
          <w:rFonts w:hint="eastAsia" w:ascii="仿宋" w:hAnsi="仿宋" w:eastAsia="仿宋" w:cs="仿宋"/>
          <w:sz w:val="24"/>
          <w:szCs w:val="20"/>
        </w:rPr>
      </w:pPr>
      <w:r>
        <w:rPr>
          <w:rFonts w:hint="eastAsia" w:ascii="仿宋" w:hAnsi="仿宋" w:eastAsia="仿宋" w:cs="仿宋"/>
          <w:sz w:val="24"/>
          <w:szCs w:val="20"/>
        </w:rPr>
        <w:t>本单位对上述声明的真实性负责。如有虚假，将依法承担相应责任。</w:t>
      </w:r>
    </w:p>
    <w:p w14:paraId="75B2FD6F">
      <w:pPr>
        <w:widowControl/>
        <w:spacing w:line="588" w:lineRule="exact"/>
        <w:ind w:firstLine="480"/>
        <w:jc w:val="left"/>
        <w:rPr>
          <w:rFonts w:hint="eastAsia" w:ascii="仿宋" w:hAnsi="仿宋" w:eastAsia="仿宋" w:cs="仿宋"/>
          <w:sz w:val="24"/>
          <w:szCs w:val="20"/>
        </w:rPr>
      </w:pPr>
    </w:p>
    <w:p w14:paraId="39F779E2">
      <w:pPr>
        <w:widowControl/>
        <w:spacing w:line="588" w:lineRule="exact"/>
        <w:ind w:firstLine="480"/>
        <w:jc w:val="left"/>
        <w:rPr>
          <w:rFonts w:hint="eastAsia" w:ascii="仿宋" w:hAnsi="仿宋" w:eastAsia="仿宋" w:cs="仿宋"/>
          <w:sz w:val="24"/>
          <w:szCs w:val="20"/>
        </w:rPr>
      </w:pPr>
      <w:r>
        <w:rPr>
          <w:rFonts w:hint="eastAsia" w:ascii="仿宋" w:hAnsi="仿宋" w:eastAsia="仿宋" w:cs="仿宋"/>
          <w:sz w:val="24"/>
          <w:szCs w:val="20"/>
        </w:rPr>
        <w:t>（备注：1、供应商如不提供此声明函，价格将不做相应扣除。2、中标人为残疾人福利单位的，此声明函将随中标结果同时公告，接受社会监督。）</w:t>
      </w:r>
    </w:p>
    <w:p w14:paraId="296CA96D">
      <w:pPr>
        <w:widowControl/>
        <w:spacing w:line="588" w:lineRule="exact"/>
        <w:ind w:firstLine="624"/>
        <w:jc w:val="left"/>
        <w:rPr>
          <w:rFonts w:hint="eastAsia" w:ascii="仿宋" w:hAnsi="仿宋" w:eastAsia="仿宋" w:cs="仿宋"/>
          <w:spacing w:val="6"/>
          <w:sz w:val="30"/>
          <w:szCs w:val="30"/>
        </w:rPr>
      </w:pPr>
    </w:p>
    <w:p w14:paraId="584E4576">
      <w:pPr>
        <w:pStyle w:val="256"/>
        <w:widowControl/>
        <w:jc w:val="left"/>
        <w:rPr>
          <w:rFonts w:hint="eastAsia" w:ascii="仿宋" w:hAnsi="仿宋" w:eastAsia="仿宋" w:cs="仿宋"/>
        </w:rPr>
      </w:pPr>
    </w:p>
    <w:p w14:paraId="0F9C0815">
      <w:pPr>
        <w:widowControl/>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4"/>
        </w:rPr>
        <w:t>企业名称：（加盖CA电子公章）</w:t>
      </w:r>
    </w:p>
    <w:p w14:paraId="603EDC0E">
      <w:pPr>
        <w:widowControl/>
        <w:spacing w:line="560" w:lineRule="exact"/>
        <w:ind w:firstLine="1440" w:firstLineChars="600"/>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年___月___日</w:t>
      </w:r>
    </w:p>
    <w:p w14:paraId="2A7E80B2">
      <w:pPr>
        <w:widowControl/>
        <w:spacing w:line="560" w:lineRule="exact"/>
        <w:jc w:val="center"/>
        <w:rPr>
          <w:rFonts w:hint="eastAsia" w:ascii="仿宋" w:hAnsi="仿宋" w:eastAsia="仿宋" w:cs="仿宋"/>
          <w:sz w:val="32"/>
          <w:szCs w:val="32"/>
        </w:rPr>
      </w:pPr>
    </w:p>
    <w:p w14:paraId="5D49F2D8">
      <w:pPr>
        <w:pStyle w:val="4"/>
        <w:bidi w:val="0"/>
        <w:jc w:val="left"/>
        <w:rPr>
          <w:rFonts w:hint="eastAsia" w:ascii="仿宋" w:hAnsi="仿宋" w:eastAsia="仿宋" w:cs="仿宋"/>
          <w:sz w:val="36"/>
          <w:szCs w:val="36"/>
          <w:lang w:val="en-US" w:eastAsia="zh-CN"/>
        </w:rPr>
        <w:sectPr>
          <w:pgSz w:w="11906" w:h="16838"/>
          <w:pgMar w:top="1440" w:right="1800" w:bottom="1440" w:left="1800" w:header="851" w:footer="992" w:gutter="0"/>
          <w:pgNumType w:fmt="decimal"/>
          <w:cols w:space="720" w:num="1"/>
          <w:docGrid w:linePitch="360" w:charSpace="0"/>
        </w:sectPr>
      </w:pPr>
    </w:p>
    <w:p w14:paraId="0CEF36EB">
      <w:pPr>
        <w:pStyle w:val="4"/>
        <w:bidi w:val="0"/>
        <w:jc w:val="left"/>
        <w:rPr>
          <w:rFonts w:hint="eastAsia" w:ascii="仿宋" w:hAnsi="仿宋" w:eastAsia="仿宋" w:cs="仿宋"/>
          <w:sz w:val="36"/>
          <w:szCs w:val="36"/>
          <w:lang w:val="en-US" w:eastAsia="zh-CN"/>
        </w:rPr>
      </w:pPr>
      <w:bookmarkStart w:id="134" w:name="_Toc28612"/>
      <w:r>
        <w:rPr>
          <w:rFonts w:hint="eastAsia" w:ascii="仿宋" w:hAnsi="仿宋" w:eastAsia="仿宋" w:cs="仿宋"/>
          <w:sz w:val="36"/>
          <w:szCs w:val="36"/>
          <w:lang w:val="en-US" w:eastAsia="zh-CN"/>
        </w:rPr>
        <w:t>十二、实质性要求完全响应承诺书</w:t>
      </w:r>
      <w:bookmarkEnd w:id="134"/>
    </w:p>
    <w:p w14:paraId="0EC456EA">
      <w:pPr>
        <w:jc w:val="center"/>
        <w:rPr>
          <w:rFonts w:hint="eastAsia" w:ascii="黑体" w:hAnsi="黑体" w:eastAsia="黑体"/>
          <w:sz w:val="32"/>
          <w:szCs w:val="32"/>
        </w:rPr>
      </w:pPr>
      <w:r>
        <w:rPr>
          <w:rFonts w:hint="eastAsia" w:ascii="黑体" w:hAnsi="黑体" w:eastAsia="黑体"/>
          <w:sz w:val="32"/>
          <w:szCs w:val="32"/>
        </w:rPr>
        <w:t>实质性要求完全响应承诺书</w:t>
      </w:r>
    </w:p>
    <w:p w14:paraId="01C73C68">
      <w:pPr>
        <w:widowControl/>
        <w:spacing w:line="460" w:lineRule="exact"/>
        <w:jc w:val="left"/>
        <w:rPr>
          <w:rFonts w:hint="eastAsia" w:ascii="仿宋" w:hAnsi="仿宋" w:eastAsia="仿宋" w:cs="仿宋"/>
          <w:color w:val="000000"/>
          <w:sz w:val="24"/>
          <w:szCs w:val="24"/>
          <w:lang w:val="en-US" w:eastAsia="zh-CN"/>
        </w:rPr>
      </w:pPr>
    </w:p>
    <w:p w14:paraId="0E9F9C9C">
      <w:pPr>
        <w:widowControl/>
        <w:spacing w:line="4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江苏领界科技有限公司</w:t>
      </w:r>
      <w:r>
        <w:rPr>
          <w:rFonts w:hint="eastAsia" w:ascii="仿宋" w:hAnsi="仿宋" w:eastAsia="仿宋" w:cs="仿宋"/>
          <w:color w:val="000000"/>
          <w:sz w:val="24"/>
          <w:szCs w:val="24"/>
        </w:rPr>
        <w:t>：</w:t>
      </w:r>
    </w:p>
    <w:p w14:paraId="73B014F1">
      <w:pPr>
        <w:widowControl w:val="0"/>
        <w:spacing w:line="560" w:lineRule="exact"/>
        <w:ind w:firstLine="480"/>
        <w:rPr>
          <w:rFonts w:hint="eastAsia"/>
          <w:sz w:val="24"/>
          <w:szCs w:val="24"/>
          <w:highlight w:val="none"/>
        </w:rPr>
      </w:pPr>
      <w:r>
        <w:rPr>
          <w:rFonts w:hint="eastAsia"/>
          <w:sz w:val="24"/>
          <w:szCs w:val="24"/>
          <w:highlight w:val="none"/>
          <w:u w:val="single"/>
        </w:rPr>
        <w:t xml:space="preserve">                            </w:t>
      </w:r>
      <w:r>
        <w:rPr>
          <w:rFonts w:hint="eastAsia"/>
          <w:sz w:val="24"/>
          <w:szCs w:val="24"/>
          <w:highlight w:val="none"/>
        </w:rPr>
        <w:t>（供应商名称）承诺：</w:t>
      </w:r>
    </w:p>
    <w:p w14:paraId="2939CA67">
      <w:pPr>
        <w:keepNext w:val="0"/>
        <w:keepLines w:val="0"/>
        <w:pageBreakBefore w:val="0"/>
        <w:kinsoku/>
        <w:wordWrap/>
        <w:overflowPunct/>
        <w:topLinePunct w:val="0"/>
        <w:autoSpaceDE/>
        <w:autoSpaceDN/>
        <w:bidi w:val="0"/>
        <w:adjustRightInd/>
        <w:snapToGrid/>
        <w:spacing w:line="341" w:lineRule="auto"/>
        <w:ind w:firstLine="482"/>
        <w:textAlignment w:val="auto"/>
        <w:rPr>
          <w:rFonts w:hint="eastAsia"/>
          <w:sz w:val="24"/>
          <w:szCs w:val="24"/>
          <w:highlight w:val="none"/>
        </w:rPr>
      </w:pPr>
      <w:r>
        <w:rPr>
          <w:rFonts w:hint="eastAsia"/>
          <w:sz w:val="24"/>
          <w:szCs w:val="24"/>
          <w:highlight w:val="none"/>
        </w:rPr>
        <w:t>我公司完全响应</w:t>
      </w:r>
      <w:r>
        <w:rPr>
          <w:rFonts w:hint="eastAsia"/>
          <w:sz w:val="24"/>
          <w:szCs w:val="24"/>
          <w:highlight w:val="none"/>
          <w:u w:val="single"/>
        </w:rPr>
        <w:t xml:space="preserve"> XXXXXXXXXXXXXXXXXXXXX服务框架协议采购(项目编号</w:t>
      </w:r>
      <w:r>
        <w:rPr>
          <w:rFonts w:hint="eastAsia"/>
          <w:sz w:val="24"/>
          <w:szCs w:val="24"/>
          <w:highlight w:val="none"/>
        </w:rPr>
        <w:t>：</w:t>
      </w:r>
      <w:r>
        <w:rPr>
          <w:rFonts w:hint="eastAsia" w:ascii="仿宋" w:hAnsi="仿宋" w:eastAsia="仿宋" w:cs="仿宋"/>
          <w:sz w:val="24"/>
          <w:szCs w:val="24"/>
          <w:highlight w:val="none"/>
        </w:rPr>
        <w:t>JSZC-</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w:t>
      </w:r>
      <w:r>
        <w:rPr>
          <w:rFonts w:hint="eastAsia"/>
          <w:sz w:val="24"/>
          <w:szCs w:val="24"/>
          <w:highlight w:val="none"/>
        </w:rPr>
        <w:t>)征集文件“第四章 采购需求”中所有“实质性要求”（另有约定的除外）。</w:t>
      </w:r>
    </w:p>
    <w:p w14:paraId="44CE18B6">
      <w:pPr>
        <w:widowControl w:val="0"/>
        <w:spacing w:line="560" w:lineRule="exact"/>
        <w:ind w:firstLine="480"/>
        <w:rPr>
          <w:rFonts w:hint="eastAsia"/>
          <w:sz w:val="24"/>
          <w:szCs w:val="24"/>
          <w:highlight w:val="none"/>
        </w:rPr>
      </w:pPr>
      <w:r>
        <w:rPr>
          <w:rFonts w:hint="eastAsia"/>
          <w:sz w:val="24"/>
          <w:szCs w:val="24"/>
          <w:highlight w:val="none"/>
        </w:rPr>
        <w:t>我公司对上述承诺的真实性负责，如有虚假，将依法承担相应责任。</w:t>
      </w:r>
    </w:p>
    <w:p w14:paraId="3DB3D4EF">
      <w:pPr>
        <w:pStyle w:val="2"/>
        <w:rPr>
          <w:rFonts w:hint="eastAsia"/>
          <w:sz w:val="24"/>
          <w:szCs w:val="24"/>
          <w:highlight w:val="none"/>
        </w:rPr>
      </w:pPr>
    </w:p>
    <w:p w14:paraId="451B9A74">
      <w:pPr>
        <w:rPr>
          <w:rFonts w:hint="eastAsia"/>
          <w:sz w:val="24"/>
          <w:szCs w:val="24"/>
          <w:highlight w:val="none"/>
        </w:rPr>
      </w:pPr>
    </w:p>
    <w:p w14:paraId="7566FE5A">
      <w:pPr>
        <w:pStyle w:val="2"/>
        <w:rPr>
          <w:rFonts w:hint="eastAsia"/>
          <w:sz w:val="24"/>
          <w:szCs w:val="24"/>
          <w:highlight w:val="none"/>
        </w:rPr>
      </w:pPr>
    </w:p>
    <w:p w14:paraId="78A1E239">
      <w:pPr>
        <w:rPr>
          <w:rFonts w:hint="eastAsia"/>
          <w:sz w:val="24"/>
          <w:szCs w:val="24"/>
          <w:highlight w:val="none"/>
        </w:rPr>
      </w:pPr>
    </w:p>
    <w:p w14:paraId="6E2819A9">
      <w:pPr>
        <w:pStyle w:val="2"/>
        <w:rPr>
          <w:rFonts w:hint="eastAsia"/>
          <w:sz w:val="24"/>
          <w:szCs w:val="24"/>
        </w:rPr>
      </w:pPr>
    </w:p>
    <w:p w14:paraId="5A5B7ECF">
      <w:pPr>
        <w:rPr>
          <w:rFonts w:hint="eastAsia"/>
          <w:sz w:val="24"/>
          <w:szCs w:val="24"/>
        </w:rPr>
      </w:pPr>
    </w:p>
    <w:p w14:paraId="6D855399">
      <w:pPr>
        <w:pStyle w:val="2"/>
        <w:rPr>
          <w:rFonts w:hint="eastAsia"/>
          <w:sz w:val="24"/>
          <w:szCs w:val="24"/>
        </w:rPr>
      </w:pPr>
    </w:p>
    <w:p w14:paraId="2037CBDC">
      <w:pPr>
        <w:rPr>
          <w:rFonts w:hint="eastAsia"/>
          <w:sz w:val="24"/>
          <w:szCs w:val="24"/>
        </w:rPr>
      </w:pPr>
    </w:p>
    <w:p w14:paraId="50FF8A7E">
      <w:pPr>
        <w:pStyle w:val="2"/>
        <w:rPr>
          <w:rFonts w:hint="eastAsia"/>
          <w:sz w:val="24"/>
          <w:szCs w:val="24"/>
        </w:rPr>
      </w:pPr>
    </w:p>
    <w:p w14:paraId="30600E15">
      <w:pPr>
        <w:rPr>
          <w:rFonts w:hint="eastAsia"/>
          <w:sz w:val="24"/>
          <w:szCs w:val="24"/>
        </w:rPr>
      </w:pPr>
    </w:p>
    <w:p w14:paraId="5E3C9D73">
      <w:pPr>
        <w:pStyle w:val="2"/>
        <w:rPr>
          <w:rFonts w:hint="eastAsia"/>
          <w:sz w:val="24"/>
          <w:szCs w:val="24"/>
        </w:rPr>
      </w:pPr>
    </w:p>
    <w:p w14:paraId="3B037CB2">
      <w:pPr>
        <w:rPr>
          <w:rFonts w:hint="eastAsia"/>
          <w:sz w:val="24"/>
          <w:szCs w:val="24"/>
        </w:rPr>
      </w:pPr>
    </w:p>
    <w:p w14:paraId="46B374A3">
      <w:pPr>
        <w:pStyle w:val="2"/>
        <w:rPr>
          <w:rFonts w:hint="eastAsia"/>
          <w:sz w:val="24"/>
          <w:szCs w:val="24"/>
        </w:rPr>
      </w:pPr>
    </w:p>
    <w:p w14:paraId="7D883B77">
      <w:pPr>
        <w:rPr>
          <w:rFonts w:hint="eastAsia"/>
          <w:sz w:val="24"/>
          <w:szCs w:val="24"/>
        </w:rPr>
      </w:pPr>
    </w:p>
    <w:p w14:paraId="04F7C0A0">
      <w:pPr>
        <w:pStyle w:val="2"/>
        <w:rPr>
          <w:rFonts w:hint="eastAsia"/>
          <w:sz w:val="24"/>
          <w:szCs w:val="24"/>
        </w:rPr>
      </w:pPr>
    </w:p>
    <w:p w14:paraId="3AAED14A">
      <w:pPr>
        <w:rPr>
          <w:rFonts w:hint="eastAsia"/>
          <w:sz w:val="24"/>
          <w:szCs w:val="24"/>
        </w:rPr>
      </w:pPr>
    </w:p>
    <w:p w14:paraId="575222AC">
      <w:pPr>
        <w:pStyle w:val="2"/>
        <w:rPr>
          <w:rFonts w:hint="eastAsia"/>
          <w:sz w:val="24"/>
          <w:szCs w:val="24"/>
        </w:rPr>
      </w:pPr>
    </w:p>
    <w:p w14:paraId="2E51876E">
      <w:pPr>
        <w:rPr>
          <w:rFonts w:hint="eastAsia"/>
          <w:sz w:val="24"/>
          <w:szCs w:val="24"/>
        </w:rPr>
      </w:pPr>
    </w:p>
    <w:p w14:paraId="7A90C921">
      <w:pPr>
        <w:pStyle w:val="2"/>
        <w:rPr>
          <w:rFonts w:hint="eastAsia"/>
          <w:sz w:val="24"/>
          <w:szCs w:val="24"/>
        </w:rPr>
      </w:pPr>
    </w:p>
    <w:p w14:paraId="1C42F168">
      <w:pPr>
        <w:rPr>
          <w:rFonts w:hint="eastAsia"/>
          <w:sz w:val="24"/>
          <w:szCs w:val="24"/>
        </w:rPr>
      </w:pPr>
    </w:p>
    <w:p w14:paraId="11448984">
      <w:pPr>
        <w:pStyle w:val="2"/>
        <w:rPr>
          <w:rFonts w:hint="eastAsia"/>
          <w:sz w:val="24"/>
          <w:szCs w:val="24"/>
        </w:rPr>
      </w:pPr>
    </w:p>
    <w:p w14:paraId="7431C403">
      <w:pPr>
        <w:rPr>
          <w:rFonts w:hint="eastAsia"/>
          <w:sz w:val="24"/>
          <w:szCs w:val="24"/>
        </w:rPr>
      </w:pPr>
    </w:p>
    <w:p w14:paraId="6AA23EAB">
      <w:pPr>
        <w:pStyle w:val="2"/>
        <w:rPr>
          <w:rFonts w:hint="eastAsia"/>
          <w:sz w:val="24"/>
          <w:szCs w:val="24"/>
        </w:rPr>
      </w:pPr>
    </w:p>
    <w:p w14:paraId="70291F1D">
      <w:pPr>
        <w:rPr>
          <w:rFonts w:hint="eastAsia"/>
          <w:sz w:val="24"/>
          <w:szCs w:val="24"/>
        </w:rPr>
      </w:pPr>
    </w:p>
    <w:p w14:paraId="50B05AD2">
      <w:pPr>
        <w:pStyle w:val="2"/>
        <w:rPr>
          <w:rFonts w:hint="eastAsia"/>
          <w:sz w:val="24"/>
          <w:szCs w:val="24"/>
        </w:rPr>
      </w:pPr>
    </w:p>
    <w:p w14:paraId="6383747D">
      <w:pPr>
        <w:rPr>
          <w:rFonts w:hint="eastAsia"/>
          <w:sz w:val="24"/>
          <w:szCs w:val="24"/>
        </w:rPr>
      </w:pPr>
    </w:p>
    <w:p w14:paraId="6CCAE1DD">
      <w:pPr>
        <w:pStyle w:val="2"/>
        <w:rPr>
          <w:rFonts w:hint="eastAsia"/>
          <w:sz w:val="24"/>
          <w:szCs w:val="24"/>
        </w:rPr>
      </w:pPr>
    </w:p>
    <w:p w14:paraId="08C68EB8">
      <w:pPr>
        <w:rPr>
          <w:rFonts w:hint="eastAsia"/>
          <w:sz w:val="24"/>
          <w:szCs w:val="24"/>
        </w:rPr>
      </w:pPr>
    </w:p>
    <w:p w14:paraId="5AD9282D">
      <w:pPr>
        <w:pStyle w:val="2"/>
        <w:rPr>
          <w:rFonts w:hint="eastAsia"/>
          <w:sz w:val="24"/>
          <w:szCs w:val="24"/>
        </w:rPr>
      </w:pPr>
    </w:p>
    <w:p w14:paraId="2328A029">
      <w:pPr>
        <w:rPr>
          <w:rFonts w:hint="eastAsia"/>
          <w:sz w:val="24"/>
          <w:szCs w:val="24"/>
        </w:rPr>
      </w:pPr>
    </w:p>
    <w:p w14:paraId="73E0B080">
      <w:pPr>
        <w:pStyle w:val="4"/>
        <w:numPr>
          <w:ilvl w:val="0"/>
          <w:numId w:val="4"/>
        </w:numPr>
        <w:bidi w:val="0"/>
        <w:jc w:val="left"/>
        <w:rPr>
          <w:rFonts w:hint="eastAsia" w:ascii="仿宋" w:hAnsi="仿宋" w:eastAsia="仿宋" w:cs="仿宋"/>
          <w:sz w:val="36"/>
          <w:szCs w:val="36"/>
          <w:lang w:val="en-US" w:eastAsia="zh-CN"/>
        </w:rPr>
      </w:pPr>
      <w:bookmarkStart w:id="135" w:name="_Toc29810"/>
      <w:r>
        <w:rPr>
          <w:rFonts w:hint="eastAsia" w:ascii="仿宋" w:hAnsi="仿宋" w:eastAsia="仿宋" w:cs="仿宋"/>
          <w:sz w:val="36"/>
          <w:szCs w:val="36"/>
          <w:lang w:val="en-US" w:eastAsia="zh-CN"/>
        </w:rPr>
        <w:t>其他需要提供的资料（格式自拟）</w:t>
      </w:r>
      <w:bookmarkEnd w:id="135"/>
    </w:p>
    <w:p w14:paraId="01AFAC81">
      <w:pPr>
        <w:widowControl w:val="0"/>
        <w:numPr>
          <w:ilvl w:val="0"/>
          <w:numId w:val="0"/>
        </w:numPr>
        <w:jc w:val="both"/>
        <w:rPr>
          <w:rFonts w:hint="default"/>
          <w:lang w:val="en-US" w:eastAsia="zh-CN"/>
        </w:rPr>
      </w:pPr>
    </w:p>
    <w:p w14:paraId="118534C7">
      <w:pPr>
        <w:pStyle w:val="2"/>
        <w:rPr>
          <w:rFonts w:hint="default"/>
          <w:lang w:val="en-US" w:eastAsia="zh-CN"/>
        </w:rPr>
      </w:pPr>
    </w:p>
    <w:p w14:paraId="5BB39C07">
      <w:pPr>
        <w:rPr>
          <w:rFonts w:hint="default"/>
          <w:lang w:val="en-US" w:eastAsia="zh-CN"/>
        </w:rPr>
      </w:pPr>
    </w:p>
    <w:p w14:paraId="216A0EC9">
      <w:pPr>
        <w:pStyle w:val="2"/>
        <w:rPr>
          <w:rFonts w:hint="default"/>
          <w:lang w:val="en-US" w:eastAsia="zh-CN"/>
        </w:rPr>
      </w:pPr>
    </w:p>
    <w:p w14:paraId="5C636339">
      <w:pPr>
        <w:rPr>
          <w:rFonts w:hint="default"/>
          <w:lang w:val="en-US" w:eastAsia="zh-CN"/>
        </w:rPr>
      </w:pPr>
    </w:p>
    <w:p w14:paraId="3F3BD9A1">
      <w:pPr>
        <w:pStyle w:val="2"/>
        <w:rPr>
          <w:rFonts w:hint="default"/>
          <w:lang w:val="en-US" w:eastAsia="zh-CN"/>
        </w:rPr>
      </w:pPr>
    </w:p>
    <w:p w14:paraId="29579C1E">
      <w:pPr>
        <w:rPr>
          <w:rFonts w:hint="default"/>
          <w:lang w:val="en-US" w:eastAsia="zh-CN"/>
        </w:rPr>
      </w:pPr>
    </w:p>
    <w:p w14:paraId="62DC7F1D">
      <w:pPr>
        <w:pStyle w:val="2"/>
        <w:rPr>
          <w:rFonts w:hint="default"/>
          <w:lang w:val="en-US" w:eastAsia="zh-CN"/>
        </w:rPr>
      </w:pPr>
    </w:p>
    <w:p w14:paraId="76814DC9">
      <w:pPr>
        <w:rPr>
          <w:rFonts w:hint="default"/>
          <w:lang w:val="en-US" w:eastAsia="zh-CN"/>
        </w:rPr>
      </w:pPr>
    </w:p>
    <w:p w14:paraId="050E7701">
      <w:pPr>
        <w:pStyle w:val="2"/>
        <w:rPr>
          <w:rFonts w:hint="default"/>
          <w:lang w:val="en-US" w:eastAsia="zh-CN"/>
        </w:rPr>
      </w:pPr>
    </w:p>
    <w:p w14:paraId="5AA6D0F8">
      <w:pPr>
        <w:rPr>
          <w:rFonts w:hint="default"/>
          <w:lang w:val="en-US" w:eastAsia="zh-CN"/>
        </w:rPr>
      </w:pPr>
    </w:p>
    <w:p w14:paraId="40357C63">
      <w:pPr>
        <w:pStyle w:val="2"/>
        <w:rPr>
          <w:rFonts w:hint="default"/>
          <w:lang w:val="en-US" w:eastAsia="zh-CN"/>
        </w:rPr>
      </w:pPr>
    </w:p>
    <w:p w14:paraId="6908BFA0">
      <w:pPr>
        <w:rPr>
          <w:rFonts w:hint="default"/>
          <w:lang w:val="en-US" w:eastAsia="zh-CN"/>
        </w:rPr>
      </w:pPr>
    </w:p>
    <w:p w14:paraId="267D581B">
      <w:pPr>
        <w:pStyle w:val="2"/>
        <w:rPr>
          <w:rFonts w:hint="default"/>
          <w:lang w:val="en-US" w:eastAsia="zh-CN"/>
        </w:rPr>
      </w:pPr>
    </w:p>
    <w:p w14:paraId="346092A8">
      <w:pPr>
        <w:rPr>
          <w:rFonts w:hint="default"/>
          <w:lang w:val="en-US" w:eastAsia="zh-CN"/>
        </w:rPr>
      </w:pPr>
    </w:p>
    <w:p w14:paraId="5BDCBA3F">
      <w:pPr>
        <w:pStyle w:val="2"/>
        <w:rPr>
          <w:rFonts w:hint="default"/>
          <w:lang w:val="en-US" w:eastAsia="zh-CN"/>
        </w:rPr>
      </w:pPr>
    </w:p>
    <w:p w14:paraId="0DA58E6B">
      <w:pPr>
        <w:rPr>
          <w:rFonts w:hint="default"/>
          <w:lang w:val="en-US" w:eastAsia="zh-CN"/>
        </w:rPr>
      </w:pPr>
    </w:p>
    <w:p w14:paraId="392D2845">
      <w:pPr>
        <w:pStyle w:val="2"/>
        <w:rPr>
          <w:rFonts w:hint="default"/>
          <w:lang w:val="en-US" w:eastAsia="zh-CN"/>
        </w:rPr>
      </w:pPr>
    </w:p>
    <w:p w14:paraId="4B714A2A">
      <w:pPr>
        <w:rPr>
          <w:rFonts w:hint="default"/>
          <w:lang w:val="en-US" w:eastAsia="zh-CN"/>
        </w:rPr>
      </w:pPr>
    </w:p>
    <w:p w14:paraId="3844D4C1">
      <w:pPr>
        <w:pStyle w:val="2"/>
        <w:rPr>
          <w:rFonts w:hint="default"/>
          <w:lang w:val="en-US" w:eastAsia="zh-CN"/>
        </w:rPr>
      </w:pPr>
    </w:p>
    <w:p w14:paraId="7A020A5C">
      <w:pPr>
        <w:rPr>
          <w:rFonts w:hint="default"/>
          <w:lang w:val="en-US" w:eastAsia="zh-CN"/>
        </w:rPr>
      </w:pPr>
    </w:p>
    <w:p w14:paraId="222E1573">
      <w:pPr>
        <w:pStyle w:val="2"/>
        <w:rPr>
          <w:rFonts w:hint="default"/>
          <w:lang w:val="en-US" w:eastAsia="zh-CN"/>
        </w:rPr>
      </w:pPr>
    </w:p>
    <w:p w14:paraId="6BD96EE1">
      <w:pPr>
        <w:rPr>
          <w:rFonts w:hint="default"/>
          <w:lang w:val="en-US" w:eastAsia="zh-CN"/>
        </w:rPr>
      </w:pPr>
    </w:p>
    <w:p w14:paraId="1119020D">
      <w:pPr>
        <w:pStyle w:val="2"/>
        <w:rPr>
          <w:rFonts w:hint="default"/>
          <w:lang w:val="en-US" w:eastAsia="zh-CN"/>
        </w:rPr>
      </w:pPr>
    </w:p>
    <w:p w14:paraId="2FB70C29">
      <w:pPr>
        <w:rPr>
          <w:rFonts w:hint="default"/>
          <w:lang w:val="en-US" w:eastAsia="zh-CN"/>
        </w:rPr>
      </w:pPr>
    </w:p>
    <w:p w14:paraId="2EFB5819">
      <w:pPr>
        <w:pStyle w:val="2"/>
        <w:rPr>
          <w:rFonts w:hint="default"/>
          <w:lang w:val="en-US" w:eastAsia="zh-CN"/>
        </w:rPr>
      </w:pPr>
    </w:p>
    <w:p w14:paraId="00F6CA91">
      <w:pPr>
        <w:rPr>
          <w:rFonts w:hint="default"/>
          <w:lang w:val="en-US" w:eastAsia="zh-CN"/>
        </w:rPr>
      </w:pPr>
    </w:p>
    <w:p w14:paraId="79A05B3F">
      <w:pPr>
        <w:pStyle w:val="2"/>
        <w:rPr>
          <w:rFonts w:hint="default"/>
          <w:lang w:val="en-US" w:eastAsia="zh-CN"/>
        </w:rPr>
      </w:pPr>
    </w:p>
    <w:p w14:paraId="78979603">
      <w:pPr>
        <w:rPr>
          <w:rFonts w:hint="default"/>
          <w:lang w:val="en-US" w:eastAsia="zh-CN"/>
        </w:rPr>
      </w:pPr>
    </w:p>
    <w:p w14:paraId="5195F3B3">
      <w:pPr>
        <w:pStyle w:val="2"/>
        <w:rPr>
          <w:rFonts w:hint="default"/>
          <w:lang w:val="en-US" w:eastAsia="zh-CN"/>
        </w:rPr>
      </w:pPr>
    </w:p>
    <w:p w14:paraId="3DED7CBE">
      <w:pPr>
        <w:rPr>
          <w:rFonts w:hint="default"/>
          <w:lang w:val="en-US" w:eastAsia="zh-CN"/>
        </w:rPr>
      </w:pPr>
    </w:p>
    <w:p w14:paraId="74C746BB">
      <w:pPr>
        <w:pStyle w:val="2"/>
        <w:rPr>
          <w:rFonts w:hint="default"/>
          <w:lang w:val="en-US" w:eastAsia="zh-CN"/>
        </w:rPr>
      </w:pPr>
    </w:p>
    <w:p w14:paraId="72B4E768">
      <w:pPr>
        <w:rPr>
          <w:rFonts w:hint="default"/>
          <w:lang w:val="en-US" w:eastAsia="zh-CN"/>
        </w:rPr>
      </w:pPr>
    </w:p>
    <w:p w14:paraId="1196163C">
      <w:pPr>
        <w:pStyle w:val="2"/>
        <w:rPr>
          <w:rFonts w:hint="default"/>
          <w:lang w:val="en-US" w:eastAsia="zh-CN"/>
        </w:rPr>
      </w:pPr>
    </w:p>
    <w:p w14:paraId="29B19098">
      <w:pPr>
        <w:rPr>
          <w:rFonts w:hint="default"/>
          <w:lang w:val="en-US" w:eastAsia="zh-CN"/>
        </w:rPr>
      </w:pPr>
    </w:p>
    <w:p w14:paraId="0CA5D0D3">
      <w:pPr>
        <w:pStyle w:val="2"/>
        <w:rPr>
          <w:rFonts w:hint="default"/>
          <w:lang w:val="en-US" w:eastAsia="zh-CN"/>
        </w:rPr>
      </w:pPr>
    </w:p>
    <w:p w14:paraId="457D9911">
      <w:pPr>
        <w:rPr>
          <w:rFonts w:hint="default"/>
          <w:lang w:val="en-US" w:eastAsia="zh-CN"/>
        </w:rPr>
      </w:pPr>
    </w:p>
    <w:p w14:paraId="38FF9F2F">
      <w:pPr>
        <w:pStyle w:val="2"/>
        <w:rPr>
          <w:rFonts w:hint="default"/>
          <w:lang w:val="en-US" w:eastAsia="zh-CN"/>
        </w:rPr>
      </w:pPr>
    </w:p>
    <w:p w14:paraId="0837EB83">
      <w:pPr>
        <w:rPr>
          <w:rFonts w:hint="default"/>
          <w:lang w:val="en-US" w:eastAsia="zh-CN"/>
        </w:rPr>
      </w:pPr>
    </w:p>
    <w:p w14:paraId="402B7573">
      <w:pPr>
        <w:pStyle w:val="2"/>
        <w:rPr>
          <w:rFonts w:hint="default"/>
          <w:lang w:val="en-US" w:eastAsia="zh-CN"/>
        </w:rPr>
      </w:pPr>
    </w:p>
    <w:p w14:paraId="4DEF1EAA">
      <w:pPr>
        <w:rPr>
          <w:rFonts w:hint="default"/>
          <w:lang w:val="en-US" w:eastAsia="zh-CN"/>
        </w:rPr>
      </w:pPr>
    </w:p>
    <w:p w14:paraId="4C223EF8">
      <w:pPr>
        <w:pStyle w:val="2"/>
        <w:rPr>
          <w:rFonts w:hint="default"/>
          <w:lang w:val="en-US" w:eastAsia="zh-CN"/>
        </w:rPr>
      </w:pPr>
    </w:p>
    <w:p w14:paraId="1C76C777">
      <w:pPr>
        <w:rPr>
          <w:rFonts w:hint="default"/>
          <w:lang w:val="en-US" w:eastAsia="zh-CN"/>
        </w:rPr>
      </w:pPr>
    </w:p>
    <w:p w14:paraId="733CCD05">
      <w:pPr>
        <w:pStyle w:val="2"/>
        <w:rPr>
          <w:rFonts w:hint="default"/>
          <w:lang w:val="en-US" w:eastAsia="zh-CN"/>
        </w:rPr>
      </w:pPr>
    </w:p>
    <w:p w14:paraId="57275D9F">
      <w:pPr>
        <w:rPr>
          <w:rFonts w:hint="default"/>
          <w:lang w:val="en-US" w:eastAsia="zh-CN"/>
        </w:rPr>
      </w:pPr>
    </w:p>
    <w:p w14:paraId="1DB42B07">
      <w:pPr>
        <w:pStyle w:val="2"/>
        <w:rPr>
          <w:rFonts w:hint="default"/>
          <w:lang w:val="en-US" w:eastAsia="zh-CN"/>
        </w:rPr>
      </w:pPr>
    </w:p>
    <w:p w14:paraId="232C46ED">
      <w:pPr>
        <w:rPr>
          <w:rFonts w:hint="default"/>
          <w:lang w:val="en-US" w:eastAsia="zh-CN"/>
        </w:rPr>
      </w:pPr>
    </w:p>
    <w:p w14:paraId="360BEF5B">
      <w:pPr>
        <w:pStyle w:val="2"/>
        <w:rPr>
          <w:rFonts w:hint="default"/>
          <w:lang w:val="en-US" w:eastAsia="zh-CN"/>
        </w:rPr>
      </w:pPr>
    </w:p>
    <w:p w14:paraId="3F4B1C5A">
      <w:pPr>
        <w:rPr>
          <w:rFonts w:hint="default"/>
          <w:lang w:val="en-US" w:eastAsia="zh-CN"/>
        </w:rPr>
      </w:pPr>
    </w:p>
    <w:p w14:paraId="03543246">
      <w:pPr>
        <w:pStyle w:val="2"/>
        <w:rPr>
          <w:rFonts w:hint="default"/>
          <w:lang w:val="en-US" w:eastAsia="zh-CN"/>
        </w:rPr>
      </w:pPr>
    </w:p>
    <w:p w14:paraId="5190E569">
      <w:pPr>
        <w:pStyle w:val="4"/>
        <w:bidi w:val="0"/>
        <w:jc w:val="left"/>
        <w:rPr>
          <w:rFonts w:hint="eastAsia" w:ascii="仿宋" w:hAnsi="仿宋" w:eastAsia="仿宋" w:cs="仿宋"/>
          <w:sz w:val="36"/>
          <w:szCs w:val="36"/>
          <w:lang w:val="en-US" w:eastAsia="zh-CN"/>
        </w:rPr>
      </w:pPr>
      <w:bookmarkStart w:id="136" w:name="_Toc23510"/>
      <w:r>
        <w:rPr>
          <w:rFonts w:hint="eastAsia" w:ascii="仿宋" w:hAnsi="仿宋" w:eastAsia="仿宋" w:cs="仿宋"/>
          <w:sz w:val="36"/>
          <w:szCs w:val="36"/>
          <w:lang w:val="en-US" w:eastAsia="zh-CN"/>
        </w:rPr>
        <w:t>十四、质疑函范本</w:t>
      </w:r>
      <w:bookmarkEnd w:id="136"/>
    </w:p>
    <w:p w14:paraId="73525519">
      <w:pPr>
        <w:spacing w:before="24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093E4907">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质疑供应商：</w:t>
      </w:r>
      <w:r>
        <w:rPr>
          <w:rFonts w:hint="eastAsia" w:ascii="宋体" w:hAnsi="宋体" w:eastAsia="宋体" w:cs="宋体"/>
          <w:sz w:val="24"/>
          <w:szCs w:val="24"/>
          <w:u w:val="single"/>
        </w:rPr>
        <w:t xml:space="preserve">                                                              </w:t>
      </w:r>
    </w:p>
    <w:p w14:paraId="4970D03D">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14:paraId="09747E92">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45957EDF">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p>
    <w:p w14:paraId="50FEA0A0">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58E50F9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14:paraId="4CCB4AA6">
      <w:pPr>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3141E39F">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single"/>
        </w:rPr>
        <w:t xml:space="preserve">                                                          </w:t>
      </w:r>
    </w:p>
    <w:p w14:paraId="10BA654C">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single"/>
        </w:rPr>
        <w:t xml:space="preserve">                         </w:t>
      </w:r>
      <w:r>
        <w:rPr>
          <w:rFonts w:hint="eastAsia" w:ascii="宋体" w:hAnsi="宋体" w:eastAsia="宋体" w:cs="宋体"/>
          <w:sz w:val="24"/>
          <w:szCs w:val="24"/>
        </w:rPr>
        <w:t>包号：</w:t>
      </w:r>
      <w:r>
        <w:rPr>
          <w:rFonts w:hint="eastAsia" w:ascii="宋体" w:hAnsi="宋体" w:eastAsia="宋体" w:cs="宋体"/>
          <w:sz w:val="24"/>
          <w:szCs w:val="24"/>
          <w:u w:val="single"/>
        </w:rPr>
        <w:t xml:space="preserve">                           </w:t>
      </w:r>
    </w:p>
    <w:p w14:paraId="47CEFE66">
      <w:pPr>
        <w:spacing w:line="360" w:lineRule="auto"/>
        <w:rPr>
          <w:rFonts w:hint="eastAsia" w:ascii="宋体" w:hAnsi="宋体" w:eastAsia="宋体" w:cs="宋体"/>
          <w:sz w:val="24"/>
          <w:szCs w:val="24"/>
          <w:u w:val="single"/>
        </w:rPr>
      </w:pPr>
      <w:r>
        <w:rPr>
          <w:rFonts w:hint="eastAsia" w:ascii="宋体" w:hAnsi="宋体" w:eastAsia="宋体" w:cs="宋体"/>
          <w:sz w:val="24"/>
          <w:szCs w:val="24"/>
        </w:rPr>
        <w:t>采购人名称：</w:t>
      </w:r>
      <w:r>
        <w:rPr>
          <w:rFonts w:hint="eastAsia" w:ascii="宋体" w:hAnsi="宋体" w:eastAsia="宋体" w:cs="宋体"/>
          <w:sz w:val="24"/>
          <w:szCs w:val="24"/>
          <w:u w:val="single"/>
        </w:rPr>
        <w:t xml:space="preserve">                                                              </w:t>
      </w:r>
    </w:p>
    <w:p w14:paraId="0EAB4EEC">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single"/>
        </w:rPr>
        <w:t xml:space="preserve">                                                        </w:t>
      </w:r>
    </w:p>
    <w:p w14:paraId="42CAC0AE">
      <w:pPr>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47FBD42E">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质疑事项1：</w:t>
      </w:r>
      <w:r>
        <w:rPr>
          <w:rFonts w:hint="eastAsia" w:ascii="宋体" w:hAnsi="宋体" w:eastAsia="宋体" w:cs="宋体"/>
          <w:sz w:val="24"/>
          <w:szCs w:val="24"/>
          <w:u w:val="single"/>
        </w:rPr>
        <w:t xml:space="preserve">                                                              </w:t>
      </w:r>
    </w:p>
    <w:p w14:paraId="1CAA61CE">
      <w:pPr>
        <w:spacing w:line="360" w:lineRule="auto"/>
        <w:rPr>
          <w:rFonts w:hint="eastAsia" w:ascii="宋体" w:hAnsi="宋体" w:eastAsia="宋体" w:cs="宋体"/>
          <w:sz w:val="24"/>
          <w:szCs w:val="24"/>
          <w:u w:val="single"/>
        </w:rPr>
      </w:pPr>
      <w:r>
        <w:rPr>
          <w:rFonts w:hint="eastAsia" w:ascii="宋体" w:hAnsi="宋体" w:eastAsia="宋体" w:cs="宋体"/>
          <w:sz w:val="24"/>
          <w:szCs w:val="24"/>
        </w:rPr>
        <w:t>事实依据：</w:t>
      </w:r>
      <w:r>
        <w:rPr>
          <w:rFonts w:hint="eastAsia" w:ascii="宋体" w:hAnsi="宋体" w:eastAsia="宋体" w:cs="宋体"/>
          <w:sz w:val="24"/>
          <w:szCs w:val="24"/>
          <w:u w:val="single"/>
        </w:rPr>
        <w:t xml:space="preserve">                                                                </w:t>
      </w:r>
    </w:p>
    <w:p w14:paraId="2007B50D">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p>
    <w:p w14:paraId="1C3B77EB">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p>
    <w:p w14:paraId="739EA82C">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509A2544">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质疑事项2</w:t>
      </w:r>
    </w:p>
    <w:p w14:paraId="742D91D7">
      <w:pPr>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3D1D239B">
      <w:pPr>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483DC05A">
      <w:pPr>
        <w:spacing w:line="360" w:lineRule="auto"/>
        <w:rPr>
          <w:rFonts w:hint="eastAsia" w:ascii="宋体" w:hAnsi="宋体" w:eastAsia="宋体" w:cs="宋体"/>
          <w:sz w:val="24"/>
          <w:szCs w:val="24"/>
          <w:u w:val="single"/>
        </w:rPr>
      </w:pPr>
      <w:r>
        <w:rPr>
          <w:rFonts w:hint="eastAsia" w:ascii="宋体" w:hAnsi="宋体" w:eastAsia="宋体" w:cs="宋体"/>
          <w:sz w:val="24"/>
          <w:szCs w:val="24"/>
        </w:rPr>
        <w:t>请求：</w:t>
      </w:r>
      <w:r>
        <w:rPr>
          <w:rFonts w:hint="eastAsia" w:ascii="宋体" w:hAnsi="宋体" w:eastAsia="宋体" w:cs="宋体"/>
          <w:sz w:val="24"/>
          <w:szCs w:val="24"/>
          <w:u w:val="single"/>
        </w:rPr>
        <w:t xml:space="preserve">                                                                    </w:t>
      </w:r>
    </w:p>
    <w:p w14:paraId="29CDB90A">
      <w:pPr>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5954D841">
      <w:pPr>
        <w:rPr>
          <w:rFonts w:hint="eastAsia" w:ascii="宋体" w:hAnsi="宋体" w:eastAsia="宋体" w:cs="宋体"/>
          <w:sz w:val="24"/>
          <w:szCs w:val="24"/>
        </w:rPr>
      </w:pPr>
      <w:r>
        <w:rPr>
          <w:rFonts w:hint="eastAsia" w:ascii="宋体" w:hAnsi="宋体" w:eastAsia="宋体" w:cs="宋体"/>
          <w:sz w:val="24"/>
          <w:szCs w:val="24"/>
        </w:rPr>
        <w:t xml:space="preserve">日期：    </w:t>
      </w:r>
    </w:p>
    <w:p w14:paraId="2FC3A09A">
      <w:pPr>
        <w:spacing w:line="400" w:lineRule="exact"/>
        <w:rPr>
          <w:rFonts w:hint="eastAsia" w:ascii="宋体" w:hAnsi="宋体" w:eastAsia="宋体" w:cs="宋体"/>
          <w:b/>
          <w:sz w:val="24"/>
          <w:szCs w:val="24"/>
        </w:rPr>
      </w:pPr>
      <w:r>
        <w:rPr>
          <w:rFonts w:hint="eastAsia" w:ascii="宋体" w:hAnsi="宋体" w:eastAsia="宋体" w:cs="宋体"/>
          <w:b/>
          <w:sz w:val="24"/>
          <w:szCs w:val="24"/>
        </w:rPr>
        <w:t>质疑函制作说明：</w:t>
      </w:r>
    </w:p>
    <w:p w14:paraId="56C26A8E">
      <w:pPr>
        <w:spacing w:line="360" w:lineRule="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5ABFBA05">
      <w:pPr>
        <w:spacing w:line="360" w:lineRule="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A26423">
      <w:pPr>
        <w:spacing w:line="360" w:lineRule="auto"/>
        <w:rPr>
          <w:rFonts w:hint="eastAsia" w:ascii="宋体" w:hAnsi="宋体" w:eastAsia="宋体" w:cs="宋体"/>
          <w:sz w:val="24"/>
          <w:szCs w:val="24"/>
        </w:rPr>
      </w:pPr>
      <w:r>
        <w:rPr>
          <w:rFonts w:hint="eastAsia" w:ascii="宋体" w:hAnsi="宋体" w:eastAsia="宋体" w:cs="宋体"/>
          <w:sz w:val="24"/>
          <w:szCs w:val="24"/>
        </w:rPr>
        <w:t>3.质疑供应商若对项目的某一</w:t>
      </w:r>
      <w:r>
        <w:rPr>
          <w:rFonts w:hint="eastAsia" w:ascii="宋体" w:hAnsi="宋体" w:eastAsia="宋体" w:cs="宋体"/>
          <w:sz w:val="24"/>
          <w:szCs w:val="24"/>
          <w:lang w:eastAsia="zh-CN"/>
        </w:rPr>
        <w:t>采购包</w:t>
      </w:r>
      <w:r>
        <w:rPr>
          <w:rFonts w:hint="eastAsia" w:ascii="宋体" w:hAnsi="宋体" w:eastAsia="宋体" w:cs="宋体"/>
          <w:sz w:val="24"/>
          <w:szCs w:val="24"/>
        </w:rPr>
        <w:t>进行质疑，质疑函中应列明具体</w:t>
      </w:r>
      <w:r>
        <w:rPr>
          <w:rFonts w:hint="eastAsia" w:ascii="宋体" w:hAnsi="宋体" w:eastAsia="宋体" w:cs="宋体"/>
          <w:sz w:val="24"/>
          <w:szCs w:val="24"/>
          <w:lang w:eastAsia="zh-CN"/>
        </w:rPr>
        <w:t>采购包</w:t>
      </w:r>
      <w:r>
        <w:rPr>
          <w:rFonts w:hint="eastAsia" w:ascii="宋体" w:hAnsi="宋体" w:eastAsia="宋体" w:cs="宋体"/>
          <w:sz w:val="24"/>
          <w:szCs w:val="24"/>
        </w:rPr>
        <w:t>号。</w:t>
      </w:r>
    </w:p>
    <w:p w14:paraId="7B2AC6BD">
      <w:pPr>
        <w:spacing w:line="360" w:lineRule="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600A17F9">
      <w:pPr>
        <w:spacing w:line="360" w:lineRule="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0096A5C2">
      <w:pPr>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5C2CBE6F">
      <w:pPr>
        <w:pStyle w:val="2"/>
        <w:rPr>
          <w:rFonts w:hint="default"/>
          <w:lang w:val="en-US" w:eastAsia="zh-CN"/>
        </w:rPr>
      </w:pPr>
    </w:p>
    <w:p w14:paraId="166E40A5">
      <w:pPr>
        <w:rPr>
          <w:rFonts w:hint="default"/>
          <w:lang w:val="en-US" w:eastAsia="zh-CN"/>
        </w:rPr>
      </w:pPr>
    </w:p>
    <w:p w14:paraId="18FAA72E">
      <w:pPr>
        <w:pStyle w:val="2"/>
        <w:rPr>
          <w:rFonts w:hint="default"/>
          <w:lang w:val="en-US" w:eastAsia="zh-CN"/>
        </w:rPr>
      </w:pPr>
    </w:p>
    <w:p w14:paraId="60D3F961">
      <w:pPr>
        <w:rPr>
          <w:rFonts w:hint="default"/>
          <w:lang w:val="en-US" w:eastAsia="zh-CN"/>
        </w:rPr>
      </w:pPr>
    </w:p>
    <w:p w14:paraId="143FAFF9">
      <w:pPr>
        <w:pStyle w:val="2"/>
        <w:rPr>
          <w:rFonts w:hint="default"/>
          <w:lang w:val="en-US" w:eastAsia="zh-CN"/>
        </w:rPr>
      </w:pPr>
    </w:p>
    <w:p w14:paraId="4FAF690A">
      <w:pPr>
        <w:rPr>
          <w:rFonts w:hint="default"/>
          <w:lang w:val="en-US" w:eastAsia="zh-CN"/>
        </w:rPr>
      </w:pPr>
    </w:p>
    <w:p w14:paraId="4AD439A1">
      <w:pPr>
        <w:pStyle w:val="2"/>
        <w:rPr>
          <w:rFonts w:hint="default"/>
          <w:lang w:val="en-US" w:eastAsia="zh-CN"/>
        </w:rPr>
      </w:pPr>
    </w:p>
    <w:p w14:paraId="3C1E9CB1">
      <w:pPr>
        <w:rPr>
          <w:rFonts w:hint="default"/>
          <w:lang w:val="en-US" w:eastAsia="zh-CN"/>
        </w:rPr>
      </w:pPr>
    </w:p>
    <w:p w14:paraId="72C2D6F2">
      <w:pPr>
        <w:pStyle w:val="2"/>
        <w:rPr>
          <w:rFonts w:hint="default"/>
          <w:lang w:val="en-US" w:eastAsia="zh-CN"/>
        </w:rPr>
      </w:pPr>
    </w:p>
    <w:p w14:paraId="743D6FF2">
      <w:pPr>
        <w:rPr>
          <w:rFonts w:hint="default"/>
          <w:lang w:val="en-US" w:eastAsia="zh-CN"/>
        </w:rPr>
      </w:pPr>
    </w:p>
    <w:p w14:paraId="0863857E">
      <w:pPr>
        <w:rPr>
          <w:rFonts w:hint="eastAsia"/>
        </w:rPr>
      </w:pPr>
    </w:p>
    <w:p w14:paraId="5BD77583">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p w14:paraId="5EE6456A">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p w14:paraId="01D3C19D">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p w14:paraId="03F941C5">
      <w:pPr>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lang w:val="en-US" w:eastAsia="zh-CN" w:bidi="ar-SA"/>
        </w:rPr>
      </w:pPr>
    </w:p>
    <w:sectPr>
      <w:pgSz w:w="11906" w:h="16838"/>
      <w:pgMar w:top="1440" w:right="1800" w:bottom="1440" w:left="1800" w:header="851" w:footer="992"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88B3">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C3455">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0C3455">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F92C">
    <w:pPr>
      <w:widowControl/>
      <w:kinsoku w:val="0"/>
      <w:autoSpaceDE w:val="0"/>
      <w:autoSpaceDN w:val="0"/>
      <w:adjustRightInd w:val="0"/>
      <w:snapToGrid w:val="0"/>
      <w:spacing w:line="220" w:lineRule="auto"/>
      <w:ind w:left="4391"/>
      <w:jc w:val="left"/>
      <w:textAlignment w:val="baseline"/>
      <w:rPr>
        <w:rFonts w:hint="default"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E237F">
                          <w:pPr>
                            <w:pStyle w:val="2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6E237F">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1673">
    <w:pPr>
      <w:widowControl/>
      <w:kinsoku w:val="0"/>
      <w:autoSpaceDE w:val="0"/>
      <w:autoSpaceDN w:val="0"/>
      <w:adjustRightInd w:val="0"/>
      <w:snapToGrid w:val="0"/>
      <w:spacing w:line="220" w:lineRule="auto"/>
      <w:ind w:left="4391"/>
      <w:jc w:val="left"/>
      <w:textAlignment w:val="baseline"/>
      <w:rPr>
        <w:rFonts w:hint="default"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4F81B">
                          <w:pPr>
                            <w:pStyle w:val="2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4F81B">
                    <w:pPr>
                      <w:pStyle w:val="2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B57C">
    <w:pPr>
      <w:widowControl/>
      <w:kinsoku w:val="0"/>
      <w:autoSpaceDE w:val="0"/>
      <w:autoSpaceDN w:val="0"/>
      <w:adjustRightInd w:val="0"/>
      <w:snapToGrid w:val="0"/>
      <w:spacing w:line="220" w:lineRule="auto"/>
      <w:ind w:left="4389"/>
      <w:jc w:val="left"/>
      <w:textAlignment w:val="baseline"/>
      <w:rPr>
        <w:rFonts w:hint="default"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4F16C">
                          <w:pPr>
                            <w:pStyle w:val="2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A4F16C">
                    <w:pPr>
                      <w:pStyle w:val="2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5477">
    <w:pPr>
      <w:widowControl/>
      <w:pBdr>
        <w:bottom w:val="single" w:color="FFFFFF" w:sz="4" w:space="0"/>
      </w:pBdr>
      <w:kinsoku w:val="0"/>
      <w:autoSpaceDE w:val="0"/>
      <w:autoSpaceDN w:val="0"/>
      <w:adjustRightInd w:val="0"/>
      <w:snapToGrid w:val="0"/>
      <w:spacing w:before="48" w:line="214" w:lineRule="auto"/>
      <w:jc w:val="left"/>
      <w:textAlignment w:val="baseline"/>
      <w:rPr>
        <w:rFonts w:hint="default" w:ascii="黑体" w:hAnsi="黑体" w:eastAsia="黑体" w:cs="黑体"/>
        <w:snapToGrid w:val="0"/>
        <w:color w:val="000000"/>
        <w:kern w:val="0"/>
        <w:sz w:val="18"/>
        <w:szCs w:val="18"/>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DF07">
    <w:pPr>
      <w:widowControl/>
      <w:pBdr>
        <w:bottom w:val="single" w:color="FFFFFF" w:sz="4" w:space="0"/>
      </w:pBdr>
      <w:kinsoku w:val="0"/>
      <w:autoSpaceDE w:val="0"/>
      <w:autoSpaceDN w:val="0"/>
      <w:adjustRightInd w:val="0"/>
      <w:snapToGrid w:val="0"/>
      <w:spacing w:before="48" w:line="214" w:lineRule="auto"/>
      <w:jc w:val="left"/>
      <w:textAlignment w:val="baseline"/>
      <w:rPr>
        <w:rFonts w:hint="default" w:ascii="黑体" w:hAnsi="黑体" w:eastAsia="黑体" w:cs="黑体"/>
        <w:snapToGrid w:val="0"/>
        <w:color w:val="000000"/>
        <w:kern w:val="0"/>
        <w:sz w:val="18"/>
        <w:szCs w:val="18"/>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750D">
    <w:pPr>
      <w:pStyle w:val="28"/>
      <w:pBdr>
        <w:bottom w:val="single" w:color="FFFFFF" w:sz="6"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94C58"/>
    <w:multiLevelType w:val="singleLevel"/>
    <w:tmpl w:val="B8894C58"/>
    <w:lvl w:ilvl="0" w:tentative="0">
      <w:start w:val="13"/>
      <w:numFmt w:val="chineseCounting"/>
      <w:suff w:val="nothing"/>
      <w:lvlText w:val="%1、"/>
      <w:lvlJc w:val="left"/>
      <w:rPr>
        <w:rFonts w:hint="eastAsia"/>
      </w:rPr>
    </w:lvl>
  </w:abstractNum>
  <w:abstractNum w:abstractNumId="1">
    <w:nsid w:val="E3AB3ECF"/>
    <w:multiLevelType w:val="singleLevel"/>
    <w:tmpl w:val="E3AB3ECF"/>
    <w:lvl w:ilvl="0" w:tentative="0">
      <w:start w:val="7"/>
      <w:numFmt w:val="chineseCounting"/>
      <w:suff w:val="nothing"/>
      <w:lvlText w:val="%1、"/>
      <w:lvlJc w:val="left"/>
      <w:rPr>
        <w:rFonts w:hint="eastAsia"/>
      </w:rPr>
    </w:lvl>
  </w:abstractNum>
  <w:abstractNum w:abstractNumId="2">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F6B0565"/>
    <w:multiLevelType w:val="multilevel"/>
    <w:tmpl w:val="1F6B0565"/>
    <w:lvl w:ilvl="0" w:tentative="0">
      <w:start w:val="1"/>
      <w:numFmt w:val="decimal"/>
      <w:lvlText w:val="第 %1 章"/>
      <w:lvlJc w:val="left"/>
      <w:pPr>
        <w:ind w:left="-1260" w:firstLine="0"/>
      </w:pPr>
    </w:lvl>
    <w:lvl w:ilvl="1" w:tentative="0">
      <w:start w:val="1"/>
      <w:numFmt w:val="decimal"/>
      <w:lvlText w:val="%2 "/>
      <w:lvlJc w:val="left"/>
      <w:pPr>
        <w:ind w:left="0" w:firstLine="0"/>
      </w:pPr>
    </w:lvl>
    <w:lvl w:ilvl="2" w:tentative="0">
      <w:start w:val="1"/>
      <w:numFmt w:val="decimal"/>
      <w:lvlText w:val="%2.%3"/>
      <w:lvlJc w:val="left"/>
      <w:pPr>
        <w:ind w:left="-1260" w:firstLine="0"/>
      </w:pPr>
    </w:lvl>
    <w:lvl w:ilvl="3" w:tentative="0">
      <w:start w:val="1"/>
      <w:numFmt w:val="decimal"/>
      <w:pStyle w:val="52"/>
      <w:lvlText w:val="%2.%3.%4"/>
      <w:lvlJc w:val="left"/>
      <w:pPr>
        <w:ind w:left="-1260" w:firstLine="0"/>
      </w:pPr>
    </w:lvl>
    <w:lvl w:ilvl="4" w:tentative="0">
      <w:start w:val="1"/>
      <w:numFmt w:val="decimal"/>
      <w:lvlText w:val="%5."/>
      <w:lvlJc w:val="left"/>
      <w:pPr>
        <w:ind w:left="-1260" w:firstLine="0"/>
      </w:pPr>
    </w:lvl>
    <w:lvl w:ilvl="5" w:tentative="0">
      <w:start w:val="1"/>
      <w:numFmt w:val="decimal"/>
      <w:lvlText w:val="%6）"/>
      <w:lvlJc w:val="left"/>
      <w:pPr>
        <w:ind w:left="-1260" w:firstLine="0"/>
      </w:pPr>
    </w:lvl>
    <w:lvl w:ilvl="6" w:tentative="0">
      <w:start w:val="1"/>
      <w:numFmt w:val="decimal"/>
      <w:lvlText w:val="%2.%3.%4.%5.%6.%7"/>
      <w:lvlJc w:val="left"/>
      <w:pPr>
        <w:ind w:left="-1260" w:firstLine="0"/>
      </w:pPr>
    </w:lvl>
    <w:lvl w:ilvl="7" w:tentative="0">
      <w:start w:val="1"/>
      <w:numFmt w:val="decimal"/>
      <w:lvlText w:val="%2.%3.%4.%5.%6.%7.%8"/>
      <w:lvlJc w:val="left"/>
      <w:pPr>
        <w:ind w:left="-1260" w:firstLine="0"/>
      </w:pPr>
    </w:lvl>
    <w:lvl w:ilvl="8" w:tentative="0">
      <w:start w:val="1"/>
      <w:numFmt w:val="decimal"/>
      <w:lvlText w:val="%2.%3.%4.%5.%6.%7.%8.%9"/>
      <w:lvlJc w:val="left"/>
      <w:pPr>
        <w:ind w:left="-126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ZTIxM2RlYzkyMzUwOWFlZGJiYTc5NDM0MDFmMTEifQ=="/>
  </w:docVars>
  <w:rsids>
    <w:rsidRoot w:val="00000000"/>
    <w:rsid w:val="00172E78"/>
    <w:rsid w:val="00450EBE"/>
    <w:rsid w:val="00B31FD4"/>
    <w:rsid w:val="00B64990"/>
    <w:rsid w:val="01233A9E"/>
    <w:rsid w:val="01793995"/>
    <w:rsid w:val="029D33DC"/>
    <w:rsid w:val="02A97FD3"/>
    <w:rsid w:val="033159E6"/>
    <w:rsid w:val="03525F75"/>
    <w:rsid w:val="03541CED"/>
    <w:rsid w:val="037D56E7"/>
    <w:rsid w:val="03CE4651"/>
    <w:rsid w:val="03D746CC"/>
    <w:rsid w:val="03E80E13"/>
    <w:rsid w:val="03EE0393"/>
    <w:rsid w:val="045C54EB"/>
    <w:rsid w:val="04BF3ADE"/>
    <w:rsid w:val="04DF7408"/>
    <w:rsid w:val="05341DD6"/>
    <w:rsid w:val="05731CEB"/>
    <w:rsid w:val="05735E79"/>
    <w:rsid w:val="058017F2"/>
    <w:rsid w:val="058645FB"/>
    <w:rsid w:val="070D0B30"/>
    <w:rsid w:val="07800FF1"/>
    <w:rsid w:val="07F910B5"/>
    <w:rsid w:val="0817778D"/>
    <w:rsid w:val="088D0955"/>
    <w:rsid w:val="08D76038"/>
    <w:rsid w:val="08DC4C5E"/>
    <w:rsid w:val="0A7B4003"/>
    <w:rsid w:val="0AE946C7"/>
    <w:rsid w:val="0B0E20B4"/>
    <w:rsid w:val="0B1552FF"/>
    <w:rsid w:val="0B38050B"/>
    <w:rsid w:val="0B5036E2"/>
    <w:rsid w:val="0BB41CD9"/>
    <w:rsid w:val="0BDE0CED"/>
    <w:rsid w:val="0BF06782"/>
    <w:rsid w:val="0C8275D9"/>
    <w:rsid w:val="0C863553"/>
    <w:rsid w:val="0D523B33"/>
    <w:rsid w:val="0D844B0C"/>
    <w:rsid w:val="0EF40828"/>
    <w:rsid w:val="0F137688"/>
    <w:rsid w:val="0FA66950"/>
    <w:rsid w:val="0FA84B4F"/>
    <w:rsid w:val="10635C65"/>
    <w:rsid w:val="10A863FF"/>
    <w:rsid w:val="10AD7440"/>
    <w:rsid w:val="10D053AB"/>
    <w:rsid w:val="11047F89"/>
    <w:rsid w:val="1120054C"/>
    <w:rsid w:val="11835756"/>
    <w:rsid w:val="119D0D03"/>
    <w:rsid w:val="11A73DC0"/>
    <w:rsid w:val="11DF756D"/>
    <w:rsid w:val="120F1E87"/>
    <w:rsid w:val="123954CC"/>
    <w:rsid w:val="13FA68E0"/>
    <w:rsid w:val="141C0605"/>
    <w:rsid w:val="14B4083D"/>
    <w:rsid w:val="15155054"/>
    <w:rsid w:val="153D411F"/>
    <w:rsid w:val="158E1109"/>
    <w:rsid w:val="15E56205"/>
    <w:rsid w:val="15E84D96"/>
    <w:rsid w:val="16B72066"/>
    <w:rsid w:val="16E97D4E"/>
    <w:rsid w:val="17A776A1"/>
    <w:rsid w:val="17AC6144"/>
    <w:rsid w:val="17E27988"/>
    <w:rsid w:val="17E77A2F"/>
    <w:rsid w:val="18A101A1"/>
    <w:rsid w:val="191F3F63"/>
    <w:rsid w:val="192A37C4"/>
    <w:rsid w:val="199649B5"/>
    <w:rsid w:val="19E51499"/>
    <w:rsid w:val="1A002777"/>
    <w:rsid w:val="1AD339E7"/>
    <w:rsid w:val="1AD5775F"/>
    <w:rsid w:val="1AF23E6D"/>
    <w:rsid w:val="1B970EB9"/>
    <w:rsid w:val="1BC77C02"/>
    <w:rsid w:val="1BC9751D"/>
    <w:rsid w:val="1BF57C7F"/>
    <w:rsid w:val="1C1B3898"/>
    <w:rsid w:val="1C761991"/>
    <w:rsid w:val="1CC61FC7"/>
    <w:rsid w:val="1CFB0048"/>
    <w:rsid w:val="1D5801D4"/>
    <w:rsid w:val="1DE06B47"/>
    <w:rsid w:val="1DF640BB"/>
    <w:rsid w:val="1E480248"/>
    <w:rsid w:val="1EDD1C67"/>
    <w:rsid w:val="1EFE1B33"/>
    <w:rsid w:val="1F3802BD"/>
    <w:rsid w:val="1FC870F1"/>
    <w:rsid w:val="1FCE69DF"/>
    <w:rsid w:val="1FE40A21"/>
    <w:rsid w:val="20232D1B"/>
    <w:rsid w:val="20E37FAB"/>
    <w:rsid w:val="2149019B"/>
    <w:rsid w:val="216C24A0"/>
    <w:rsid w:val="21C00CAD"/>
    <w:rsid w:val="24034DE3"/>
    <w:rsid w:val="241B31A3"/>
    <w:rsid w:val="241E2177"/>
    <w:rsid w:val="246A0F18"/>
    <w:rsid w:val="246A53BC"/>
    <w:rsid w:val="24A24B56"/>
    <w:rsid w:val="24F133E8"/>
    <w:rsid w:val="24FB5A20"/>
    <w:rsid w:val="251167F1"/>
    <w:rsid w:val="25236AA0"/>
    <w:rsid w:val="252E0113"/>
    <w:rsid w:val="2593449F"/>
    <w:rsid w:val="25F85AAB"/>
    <w:rsid w:val="266100F9"/>
    <w:rsid w:val="26E176E5"/>
    <w:rsid w:val="26FE0D26"/>
    <w:rsid w:val="271A4799"/>
    <w:rsid w:val="27340DE6"/>
    <w:rsid w:val="27363334"/>
    <w:rsid w:val="27A42993"/>
    <w:rsid w:val="27F37477"/>
    <w:rsid w:val="28BA172F"/>
    <w:rsid w:val="28BB5D28"/>
    <w:rsid w:val="2908788A"/>
    <w:rsid w:val="29231FDE"/>
    <w:rsid w:val="296B05F1"/>
    <w:rsid w:val="2A0B41A4"/>
    <w:rsid w:val="2A336250"/>
    <w:rsid w:val="2AB078A1"/>
    <w:rsid w:val="2AFF0BB9"/>
    <w:rsid w:val="2B9335FF"/>
    <w:rsid w:val="2C5F68CE"/>
    <w:rsid w:val="2C730B86"/>
    <w:rsid w:val="2D6F75A0"/>
    <w:rsid w:val="2ED92E45"/>
    <w:rsid w:val="2F1E74CF"/>
    <w:rsid w:val="2F370591"/>
    <w:rsid w:val="2F776BDF"/>
    <w:rsid w:val="2FD1009E"/>
    <w:rsid w:val="2FE75B13"/>
    <w:rsid w:val="30670A02"/>
    <w:rsid w:val="31175F84"/>
    <w:rsid w:val="31B9703B"/>
    <w:rsid w:val="32923106"/>
    <w:rsid w:val="33672BEA"/>
    <w:rsid w:val="34A532A8"/>
    <w:rsid w:val="34C46423"/>
    <w:rsid w:val="352B3BC7"/>
    <w:rsid w:val="35DA3CDA"/>
    <w:rsid w:val="36311192"/>
    <w:rsid w:val="364517E5"/>
    <w:rsid w:val="367873E8"/>
    <w:rsid w:val="375F2433"/>
    <w:rsid w:val="37A9576E"/>
    <w:rsid w:val="37E90F98"/>
    <w:rsid w:val="38320DF7"/>
    <w:rsid w:val="38575325"/>
    <w:rsid w:val="38934A8A"/>
    <w:rsid w:val="38B60050"/>
    <w:rsid w:val="391F631E"/>
    <w:rsid w:val="392B4CC2"/>
    <w:rsid w:val="39BE3ABD"/>
    <w:rsid w:val="39D4488F"/>
    <w:rsid w:val="3A634C26"/>
    <w:rsid w:val="3AA34D2C"/>
    <w:rsid w:val="3AE3337B"/>
    <w:rsid w:val="3B152C7A"/>
    <w:rsid w:val="3B1E1061"/>
    <w:rsid w:val="3BBD3BCC"/>
    <w:rsid w:val="3BBF55C5"/>
    <w:rsid w:val="3BCF16CF"/>
    <w:rsid w:val="3D600CB3"/>
    <w:rsid w:val="3D7A20F3"/>
    <w:rsid w:val="3E3E2306"/>
    <w:rsid w:val="3E9450B8"/>
    <w:rsid w:val="3EF61BC2"/>
    <w:rsid w:val="3EFB386E"/>
    <w:rsid w:val="3EFE5326"/>
    <w:rsid w:val="3F4D7CD4"/>
    <w:rsid w:val="3F934657"/>
    <w:rsid w:val="3FAA090B"/>
    <w:rsid w:val="3FD46ACB"/>
    <w:rsid w:val="409C0254"/>
    <w:rsid w:val="40E37C31"/>
    <w:rsid w:val="421A1D78"/>
    <w:rsid w:val="42291FBB"/>
    <w:rsid w:val="42931FC8"/>
    <w:rsid w:val="42E6281B"/>
    <w:rsid w:val="432E6899"/>
    <w:rsid w:val="435E7881"/>
    <w:rsid w:val="43731A67"/>
    <w:rsid w:val="43DA2A71"/>
    <w:rsid w:val="449F6450"/>
    <w:rsid w:val="44F00B6E"/>
    <w:rsid w:val="459857FF"/>
    <w:rsid w:val="465F41FD"/>
    <w:rsid w:val="47427491"/>
    <w:rsid w:val="47D93B3C"/>
    <w:rsid w:val="47F95F8C"/>
    <w:rsid w:val="48A56114"/>
    <w:rsid w:val="48B12D0A"/>
    <w:rsid w:val="48DB0182"/>
    <w:rsid w:val="48DD58AD"/>
    <w:rsid w:val="4A0C170B"/>
    <w:rsid w:val="4A0D21C2"/>
    <w:rsid w:val="4A5E515C"/>
    <w:rsid w:val="4AC565F9"/>
    <w:rsid w:val="4B611E16"/>
    <w:rsid w:val="4DD33EE2"/>
    <w:rsid w:val="4E4D2A0C"/>
    <w:rsid w:val="4E8F13F8"/>
    <w:rsid w:val="4EE5726A"/>
    <w:rsid w:val="4EF31987"/>
    <w:rsid w:val="4F470B56"/>
    <w:rsid w:val="4F7E3B03"/>
    <w:rsid w:val="4F8D2468"/>
    <w:rsid w:val="4FB96E6B"/>
    <w:rsid w:val="50132660"/>
    <w:rsid w:val="51267D9E"/>
    <w:rsid w:val="51A02668"/>
    <w:rsid w:val="51B15B29"/>
    <w:rsid w:val="522602C5"/>
    <w:rsid w:val="52E23FBE"/>
    <w:rsid w:val="52F435F0"/>
    <w:rsid w:val="530E3233"/>
    <w:rsid w:val="535148CE"/>
    <w:rsid w:val="53B63409"/>
    <w:rsid w:val="541C372E"/>
    <w:rsid w:val="548155DF"/>
    <w:rsid w:val="549F0B68"/>
    <w:rsid w:val="55006BAB"/>
    <w:rsid w:val="554738F5"/>
    <w:rsid w:val="55D75B20"/>
    <w:rsid w:val="563B0445"/>
    <w:rsid w:val="56521689"/>
    <w:rsid w:val="569D042A"/>
    <w:rsid w:val="581F559B"/>
    <w:rsid w:val="58CA4588"/>
    <w:rsid w:val="59142C25"/>
    <w:rsid w:val="59624DA9"/>
    <w:rsid w:val="59C931D6"/>
    <w:rsid w:val="59E17476"/>
    <w:rsid w:val="59F72BFA"/>
    <w:rsid w:val="5C447CC6"/>
    <w:rsid w:val="5CFB497D"/>
    <w:rsid w:val="5D69082B"/>
    <w:rsid w:val="5D767440"/>
    <w:rsid w:val="5DAA7FFC"/>
    <w:rsid w:val="5DAF75FB"/>
    <w:rsid w:val="5DE714F6"/>
    <w:rsid w:val="5E272CB2"/>
    <w:rsid w:val="5EBF1885"/>
    <w:rsid w:val="5EC549C2"/>
    <w:rsid w:val="5F092B01"/>
    <w:rsid w:val="5F781A34"/>
    <w:rsid w:val="5F93686E"/>
    <w:rsid w:val="5FE570CA"/>
    <w:rsid w:val="60591E3F"/>
    <w:rsid w:val="609603E6"/>
    <w:rsid w:val="60B91793"/>
    <w:rsid w:val="61135EB8"/>
    <w:rsid w:val="611A350A"/>
    <w:rsid w:val="61534507"/>
    <w:rsid w:val="61776447"/>
    <w:rsid w:val="61E810F3"/>
    <w:rsid w:val="624E1BB0"/>
    <w:rsid w:val="62671541"/>
    <w:rsid w:val="627F22F7"/>
    <w:rsid w:val="62C40997"/>
    <w:rsid w:val="62E25B42"/>
    <w:rsid w:val="62FC7D0B"/>
    <w:rsid w:val="62FD37B1"/>
    <w:rsid w:val="632048BD"/>
    <w:rsid w:val="63974B7F"/>
    <w:rsid w:val="641C1D1E"/>
    <w:rsid w:val="647F5F17"/>
    <w:rsid w:val="64A77044"/>
    <w:rsid w:val="64E90A80"/>
    <w:rsid w:val="6506337D"/>
    <w:rsid w:val="650B7F81"/>
    <w:rsid w:val="651761F5"/>
    <w:rsid w:val="65906222"/>
    <w:rsid w:val="65C37EAD"/>
    <w:rsid w:val="66937F39"/>
    <w:rsid w:val="66A736CD"/>
    <w:rsid w:val="66F64647"/>
    <w:rsid w:val="671F1C42"/>
    <w:rsid w:val="67B048EE"/>
    <w:rsid w:val="67CB0FCB"/>
    <w:rsid w:val="67F56DC2"/>
    <w:rsid w:val="69110F2F"/>
    <w:rsid w:val="69A47FF6"/>
    <w:rsid w:val="69DA57C5"/>
    <w:rsid w:val="6A55692D"/>
    <w:rsid w:val="6B054AC4"/>
    <w:rsid w:val="6B2018FE"/>
    <w:rsid w:val="6B8F0831"/>
    <w:rsid w:val="6C3A079D"/>
    <w:rsid w:val="6C3F2939"/>
    <w:rsid w:val="6C5D4963"/>
    <w:rsid w:val="6C6605BA"/>
    <w:rsid w:val="6C7D40BB"/>
    <w:rsid w:val="6C960D96"/>
    <w:rsid w:val="6D0E79E8"/>
    <w:rsid w:val="6D490854"/>
    <w:rsid w:val="6E061D5D"/>
    <w:rsid w:val="6E623549"/>
    <w:rsid w:val="6E8442CF"/>
    <w:rsid w:val="6F0B6A9E"/>
    <w:rsid w:val="6F887A72"/>
    <w:rsid w:val="703D4EA1"/>
    <w:rsid w:val="71B50A2A"/>
    <w:rsid w:val="71B70E11"/>
    <w:rsid w:val="71C34D91"/>
    <w:rsid w:val="73303E26"/>
    <w:rsid w:val="73D20B92"/>
    <w:rsid w:val="73E8730E"/>
    <w:rsid w:val="7431087C"/>
    <w:rsid w:val="748850B7"/>
    <w:rsid w:val="74973306"/>
    <w:rsid w:val="749B21A0"/>
    <w:rsid w:val="7514046A"/>
    <w:rsid w:val="757C5983"/>
    <w:rsid w:val="759C6025"/>
    <w:rsid w:val="75DA2E68"/>
    <w:rsid w:val="75DE3308"/>
    <w:rsid w:val="75E43528"/>
    <w:rsid w:val="76F0487A"/>
    <w:rsid w:val="77371EE9"/>
    <w:rsid w:val="777A2459"/>
    <w:rsid w:val="77920316"/>
    <w:rsid w:val="7895788A"/>
    <w:rsid w:val="795F5CE7"/>
    <w:rsid w:val="79C773E8"/>
    <w:rsid w:val="7A156B1A"/>
    <w:rsid w:val="7B301DA5"/>
    <w:rsid w:val="7BC6204D"/>
    <w:rsid w:val="7BD61B65"/>
    <w:rsid w:val="7C1C3A1B"/>
    <w:rsid w:val="7C7E1F07"/>
    <w:rsid w:val="7CAE7B61"/>
    <w:rsid w:val="7CCB7772"/>
    <w:rsid w:val="7CEA1E70"/>
    <w:rsid w:val="7D577303"/>
    <w:rsid w:val="7D8F646F"/>
    <w:rsid w:val="7DAC43B3"/>
    <w:rsid w:val="7E36297D"/>
    <w:rsid w:val="7E71789B"/>
    <w:rsid w:val="7F2257ED"/>
    <w:rsid w:val="7F8813C8"/>
    <w:rsid w:val="7F9D30C5"/>
    <w:rsid w:val="7FA26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2" w:semiHidden="0" w:name="toc 9"/>
    <w:lsdException w:qFormat="1"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5"/>
    <w:autoRedefine/>
    <w:qFormat/>
    <w:uiPriority w:val="9"/>
    <w:pPr>
      <w:keepNext/>
      <w:keepLines/>
      <w:spacing w:before="340" w:after="330" w:line="578" w:lineRule="auto"/>
      <w:outlineLvl w:val="0"/>
    </w:pPr>
    <w:rPr>
      <w:rFonts w:ascii="Calibri" w:hAnsi="Calibri" w:eastAsia="宋体" w:cs="Times New Roman"/>
      <w:b/>
      <w:bCs/>
      <w:sz w:val="44"/>
      <w:szCs w:val="44"/>
    </w:rPr>
  </w:style>
  <w:style w:type="paragraph" w:styleId="4">
    <w:name w:val="heading 2"/>
    <w:basedOn w:val="1"/>
    <w:next w:val="1"/>
    <w:link w:val="22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link w:val="227"/>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8"/>
    <w:link w:val="228"/>
    <w:qFormat/>
    <w:uiPriority w:val="0"/>
    <w:pPr>
      <w:spacing w:before="280" w:after="290" w:line="376" w:lineRule="auto"/>
      <w:outlineLvl w:val="3"/>
    </w:pPr>
    <w:rPr>
      <w:rFonts w:ascii="Arial" w:hAnsi="Arial" w:eastAsia="黑体" w:cs="Times New Roman"/>
      <w:b/>
      <w:bCs/>
      <w:sz w:val="28"/>
      <w:szCs w:val="28"/>
    </w:rPr>
  </w:style>
  <w:style w:type="paragraph" w:styleId="9">
    <w:name w:val="heading 5"/>
    <w:basedOn w:val="1"/>
    <w:next w:val="1"/>
    <w:link w:val="82"/>
    <w:autoRedefine/>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83"/>
    <w:autoRedefine/>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84"/>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85"/>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86"/>
    <w:unhideWhenUsed/>
    <w:qFormat/>
    <w:uiPriority w:val="9"/>
    <w:pPr>
      <w:keepNext/>
      <w:keepLines/>
      <w:spacing w:before="320" w:after="200"/>
      <w:outlineLvl w:val="8"/>
    </w:pPr>
    <w:rPr>
      <w:rFonts w:ascii="Arial" w:hAnsi="Arial" w:eastAsia="Arial" w:cs="Arial"/>
      <w:i/>
      <w:iCs/>
      <w:sz w:val="21"/>
      <w:szCs w:val="21"/>
    </w:rPr>
  </w:style>
  <w:style w:type="character" w:default="1" w:styleId="42">
    <w:name w:val="Default Paragraph Font"/>
    <w:autoRedefine/>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customStyle="1" w:styleId="2">
    <w:name w:val="正文文本11"/>
    <w:basedOn w:val="1"/>
    <w:next w:val="1"/>
    <w:qFormat/>
    <w:uiPriority w:val="1"/>
    <w:pPr>
      <w:ind w:left="120"/>
    </w:pPr>
    <w:rPr>
      <w:rFonts w:ascii="宋体" w:hAnsi="宋体" w:eastAsia="宋体" w:cs="宋体"/>
      <w:sz w:val="21"/>
      <w:szCs w:val="21"/>
      <w:lang w:val="zh-CN" w:eastAsia="zh-CN" w:bidi="zh-CN"/>
    </w:rPr>
  </w:style>
  <w:style w:type="paragraph" w:styleId="6">
    <w:name w:val="Normal Indent"/>
    <w:basedOn w:val="1"/>
    <w:link w:val="229"/>
    <w:unhideWhenUsed/>
    <w:qFormat/>
    <w:uiPriority w:val="0"/>
    <w:pPr>
      <w:ind w:firstLine="420"/>
    </w:pPr>
    <w:rPr>
      <w:rFonts w:ascii="Times New Roman" w:hAnsi="Times New Roman"/>
    </w:rPr>
  </w:style>
  <w:style w:type="paragraph" w:customStyle="1" w:styleId="8">
    <w:name w:val="正文首缩两字"/>
    <w:autoRedefine/>
    <w:qFormat/>
    <w:uiPriority w:val="0"/>
    <w:pPr>
      <w:framePr w:wrap="around" w:vAnchor="margin" w:hAnchor="text" w:yAlign="top"/>
      <w:spacing w:afterLines="30" w:line="360" w:lineRule="auto"/>
      <w:ind w:left="210" w:right="210" w:firstLine="480" w:firstLineChars="200"/>
      <w:jc w:val="left"/>
    </w:pPr>
    <w:rPr>
      <w:rFonts w:ascii="宋体" w:hAnsi="宋体" w:eastAsia="仿宋_GB2312" w:cs="Times New Roman"/>
      <w:kern w:val="0"/>
      <w:sz w:val="24"/>
      <w:szCs w:val="24"/>
      <w:lang w:val="en-US" w:eastAsia="en-US" w:bidi="ar-SA"/>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autoRedefine/>
    <w:qFormat/>
    <w:uiPriority w:val="0"/>
    <w:pPr>
      <w:framePr w:wrap="around" w:vAnchor="margin" w:hAnchor="text" w:yAlign="top"/>
      <w:jc w:val="left"/>
    </w:pPr>
    <w:rPr>
      <w:rFonts w:ascii="Calibri" w:hAnsi="Calibri" w:eastAsia="宋体" w:cs="Times New Roman"/>
      <w:sz w:val="24"/>
      <w:szCs w:val="24"/>
      <w:lang w:val="en-US" w:eastAsia="en-US" w:bidi="ar-SA"/>
    </w:rPr>
  </w:style>
  <w:style w:type="paragraph" w:styleId="17">
    <w:name w:val="Body Text"/>
    <w:basedOn w:val="1"/>
    <w:next w:val="1"/>
    <w:link w:val="230"/>
    <w:qFormat/>
    <w:uiPriority w:val="99"/>
    <w:rPr>
      <w:rFonts w:ascii="楷体_GB2312" w:hAnsi="Arial" w:eastAsia="楷体_GB2312"/>
      <w:sz w:val="28"/>
      <w:szCs w:val="28"/>
    </w:rPr>
  </w:style>
  <w:style w:type="paragraph" w:styleId="18">
    <w:name w:val="Body Text Indent"/>
    <w:next w:val="19"/>
    <w:unhideWhenUsed/>
    <w:qFormat/>
    <w:uiPriority w:val="0"/>
    <w:pPr>
      <w:spacing w:after="120"/>
      <w:ind w:left="420" w:leftChars="200"/>
    </w:pPr>
    <w:rPr>
      <w:rFonts w:ascii="Times New Roman" w:hAnsi="Times New Roman" w:eastAsia="宋体" w:cs="Times New Roman"/>
      <w:lang w:val="en-US" w:eastAsia="zh-CN" w:bidi="ar-SA"/>
    </w:rPr>
  </w:style>
  <w:style w:type="paragraph" w:styleId="19">
    <w:name w:val="envelope return"/>
    <w:qFormat/>
    <w:uiPriority w:val="0"/>
    <w:pPr>
      <w:snapToGrid w:val="0"/>
    </w:pPr>
    <w:rPr>
      <w:rFonts w:ascii="Arial" w:hAnsi="Arial" w:eastAsia="宋体" w:cs="宋体"/>
      <w:lang w:val="en-US" w:eastAsia="zh-CN" w:bidi="ar-SA"/>
    </w:rPr>
  </w:style>
  <w:style w:type="paragraph" w:styleId="20">
    <w:name w:val="Block Text"/>
    <w:next w:val="17"/>
    <w:autoRedefine/>
    <w:qFormat/>
    <w:uiPriority w:val="0"/>
    <w:pPr>
      <w:framePr w:wrap="around" w:vAnchor="margin" w:hAnchor="text" w:yAlign="top"/>
      <w:spacing w:after="120"/>
      <w:ind w:left="1440" w:leftChars="700" w:right="1440" w:rightChars="700"/>
    </w:pPr>
    <w:rPr>
      <w:rFonts w:ascii="Calibri" w:hAnsi="Calibri" w:eastAsia="宋体" w:cs="Times New Roman"/>
      <w:sz w:val="24"/>
      <w:szCs w:val="24"/>
      <w:lang w:val="en-US" w:eastAsia="en-US" w:bidi="ar-SA"/>
    </w:rPr>
  </w:style>
  <w:style w:type="paragraph" w:styleId="21">
    <w:name w:val="index 4"/>
    <w:basedOn w:val="1"/>
    <w:next w:val="1"/>
    <w:qFormat/>
    <w:uiPriority w:val="0"/>
    <w:pPr>
      <w:ind w:left="600" w:leftChars="600"/>
    </w:pPr>
    <w:rPr>
      <w:rFonts w:ascii="Calibri" w:hAnsi="Calibri"/>
    </w:rPr>
  </w:style>
  <w:style w:type="paragraph" w:styleId="22">
    <w:name w:val="toc 5"/>
    <w:basedOn w:val="1"/>
    <w:next w:val="1"/>
    <w:autoRedefine/>
    <w:unhideWhenUsed/>
    <w:qFormat/>
    <w:uiPriority w:val="39"/>
    <w:pPr>
      <w:spacing w:after="57"/>
      <w:ind w:left="1134" w:right="0" w:firstLine="0"/>
    </w:pPr>
  </w:style>
  <w:style w:type="paragraph" w:styleId="23">
    <w:name w:val="toc 3"/>
    <w:basedOn w:val="1"/>
    <w:next w:val="1"/>
    <w:unhideWhenUsed/>
    <w:qFormat/>
    <w:uiPriority w:val="39"/>
    <w:pPr>
      <w:ind w:left="840"/>
    </w:pPr>
  </w:style>
  <w:style w:type="paragraph" w:styleId="24">
    <w:name w:val="Plain Text"/>
    <w:basedOn w:val="1"/>
    <w:link w:val="231"/>
    <w:unhideWhenUsed/>
    <w:qFormat/>
    <w:uiPriority w:val="99"/>
    <w:rPr>
      <w:rFonts w:ascii="宋体" w:hAnsi="Courier New" w:eastAsia="宋体" w:cs="Times New Roman"/>
      <w:sz w:val="20"/>
      <w:szCs w:val="21"/>
    </w:rPr>
  </w:style>
  <w:style w:type="paragraph" w:styleId="25">
    <w:name w:val="toc 8"/>
    <w:basedOn w:val="1"/>
    <w:next w:val="1"/>
    <w:autoRedefine/>
    <w:unhideWhenUsed/>
    <w:qFormat/>
    <w:uiPriority w:val="39"/>
    <w:pPr>
      <w:spacing w:after="57"/>
      <w:ind w:left="1984" w:right="0" w:firstLine="0"/>
    </w:pPr>
  </w:style>
  <w:style w:type="paragraph" w:styleId="26">
    <w:name w:val="endnote text"/>
    <w:basedOn w:val="1"/>
    <w:link w:val="223"/>
    <w:autoRedefine/>
    <w:semiHidden/>
    <w:unhideWhenUsed/>
    <w:qFormat/>
    <w:uiPriority w:val="99"/>
    <w:pPr>
      <w:spacing w:after="0" w:line="240" w:lineRule="auto"/>
    </w:pPr>
    <w:rPr>
      <w:sz w:val="20"/>
    </w:rPr>
  </w:style>
  <w:style w:type="paragraph" w:styleId="27">
    <w:name w:val="footer"/>
    <w:basedOn w:val="1"/>
    <w:link w:val="232"/>
    <w:autoRedefine/>
    <w:unhideWhenUsed/>
    <w:qFormat/>
    <w:uiPriority w:val="99"/>
    <w:pPr>
      <w:tabs>
        <w:tab w:val="center" w:pos="4153"/>
        <w:tab w:val="right" w:pos="8306"/>
      </w:tabs>
      <w:jc w:val="left"/>
    </w:pPr>
    <w:rPr>
      <w:sz w:val="18"/>
      <w:szCs w:val="18"/>
    </w:rPr>
  </w:style>
  <w:style w:type="paragraph" w:styleId="28">
    <w:name w:val="header"/>
    <w:basedOn w:val="1"/>
    <w:link w:val="233"/>
    <w:unhideWhenUsed/>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autoRedefine/>
    <w:unhideWhenUsed/>
    <w:qFormat/>
    <w:uiPriority w:val="39"/>
    <w:rPr>
      <w:rFonts w:ascii="Calibri" w:hAnsi="Calibri" w:eastAsia="宋体" w:cs="Times New Roman"/>
    </w:rPr>
  </w:style>
  <w:style w:type="paragraph" w:styleId="30">
    <w:name w:val="toc 4"/>
    <w:basedOn w:val="1"/>
    <w:next w:val="1"/>
    <w:autoRedefine/>
    <w:unhideWhenUsed/>
    <w:qFormat/>
    <w:uiPriority w:val="39"/>
    <w:pPr>
      <w:spacing w:after="57"/>
      <w:ind w:left="850" w:right="0" w:firstLine="0"/>
    </w:pPr>
  </w:style>
  <w:style w:type="paragraph" w:styleId="31">
    <w:name w:val="Subtitle"/>
    <w:basedOn w:val="1"/>
    <w:next w:val="1"/>
    <w:link w:val="89"/>
    <w:autoRedefine/>
    <w:qFormat/>
    <w:uiPriority w:val="11"/>
    <w:pPr>
      <w:spacing w:before="200" w:after="200"/>
    </w:pPr>
    <w:rPr>
      <w:sz w:val="24"/>
      <w:szCs w:val="24"/>
    </w:rPr>
  </w:style>
  <w:style w:type="paragraph" w:styleId="32">
    <w:name w:val="footnote text"/>
    <w:basedOn w:val="1"/>
    <w:link w:val="222"/>
    <w:autoRedefine/>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autoRedefine/>
    <w:unhideWhenUsed/>
    <w:qFormat/>
    <w:uiPriority w:val="99"/>
    <w:pPr>
      <w:spacing w:after="0" w:afterAutospacing="0"/>
    </w:pPr>
  </w:style>
  <w:style w:type="paragraph" w:styleId="35">
    <w:name w:val="toc 2"/>
    <w:basedOn w:val="1"/>
    <w:next w:val="1"/>
    <w:autoRedefine/>
    <w:unhideWhenUsed/>
    <w:qFormat/>
    <w:uiPriority w:val="39"/>
    <w:pPr>
      <w:ind w:left="420"/>
    </w:pPr>
  </w:style>
  <w:style w:type="paragraph" w:styleId="36">
    <w:name w:val="toc 9"/>
    <w:basedOn w:val="1"/>
    <w:next w:val="1"/>
    <w:autoRedefine/>
    <w:qFormat/>
    <w:uiPriority w:val="2"/>
    <w:pPr>
      <w:ind w:left="3360"/>
    </w:pPr>
  </w:style>
  <w:style w:type="paragraph" w:styleId="37">
    <w:name w:val="Normal (Web)"/>
    <w:basedOn w:val="1"/>
    <w:autoRedefine/>
    <w:qFormat/>
    <w:uiPriority w:val="0"/>
    <w:rPr>
      <w:rFonts w:ascii="Times New Roman" w:hAnsi="Times New Roman"/>
      <w:sz w:val="24"/>
    </w:rPr>
  </w:style>
  <w:style w:type="paragraph" w:styleId="38">
    <w:name w:val="Title"/>
    <w:basedOn w:val="1"/>
    <w:next w:val="1"/>
    <w:link w:val="88"/>
    <w:autoRedefine/>
    <w:qFormat/>
    <w:uiPriority w:val="10"/>
    <w:pPr>
      <w:spacing w:before="300" w:after="200"/>
      <w:contextualSpacing/>
    </w:pPr>
    <w:rPr>
      <w:sz w:val="48"/>
      <w:szCs w:val="48"/>
    </w:rPr>
  </w:style>
  <w:style w:type="paragraph" w:styleId="39">
    <w:name w:val="Body Text First Indent 2"/>
    <w:next w:val="1"/>
    <w:autoRedefine/>
    <w:qFormat/>
    <w:uiPriority w:val="0"/>
    <w:pPr>
      <w:spacing w:after="0" w:line="360" w:lineRule="auto"/>
      <w:ind w:left="0" w:leftChars="0" w:firstLine="420" w:firstLineChars="200"/>
    </w:pPr>
    <w:rPr>
      <w:rFonts w:ascii="宋体" w:hAnsi="宋体" w:eastAsia="宋体" w:cs="Times New Roman"/>
      <w:szCs w:val="20"/>
      <w:lang w:val="en-US" w:eastAsia="zh-CN" w:bidi="ar-SA"/>
    </w:rPr>
  </w:style>
  <w:style w:type="table" w:styleId="41">
    <w:name w:val="Table Grid"/>
    <w:basedOn w:val="40"/>
    <w:autoRedefine/>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autoRedefine/>
    <w:qFormat/>
    <w:uiPriority w:val="0"/>
    <w:rPr>
      <w:b/>
    </w:rPr>
  </w:style>
  <w:style w:type="character" w:styleId="44">
    <w:name w:val="endnote reference"/>
    <w:basedOn w:val="42"/>
    <w:semiHidden/>
    <w:unhideWhenUsed/>
    <w:qFormat/>
    <w:uiPriority w:val="99"/>
    <w:rPr>
      <w:vertAlign w:val="superscript"/>
    </w:rPr>
  </w:style>
  <w:style w:type="character" w:styleId="45">
    <w:name w:val="page number"/>
    <w:qFormat/>
    <w:uiPriority w:val="0"/>
  </w:style>
  <w:style w:type="character" w:styleId="46">
    <w:name w:val="FollowedHyperlink"/>
    <w:basedOn w:val="42"/>
    <w:unhideWhenUsed/>
    <w:qFormat/>
    <w:uiPriority w:val="99"/>
    <w:rPr>
      <w:color w:val="444444"/>
      <w:u w:val="none"/>
    </w:rPr>
  </w:style>
  <w:style w:type="character" w:styleId="47">
    <w:name w:val="Hyperlink"/>
    <w:basedOn w:val="42"/>
    <w:unhideWhenUsed/>
    <w:qFormat/>
    <w:uiPriority w:val="99"/>
    <w:rPr>
      <w:color w:val="444444"/>
      <w:u w:val="none"/>
    </w:rPr>
  </w:style>
  <w:style w:type="character" w:styleId="48">
    <w:name w:val="footnote reference"/>
    <w:basedOn w:val="42"/>
    <w:autoRedefine/>
    <w:unhideWhenUsed/>
    <w:qFormat/>
    <w:uiPriority w:val="99"/>
    <w:rPr>
      <w:vertAlign w:val="superscript"/>
    </w:rPr>
  </w:style>
  <w:style w:type="paragraph" w:customStyle="1" w:styleId="49">
    <w:name w:val="正文11"/>
    <w:next w:val="50"/>
    <w:qFormat/>
    <w:uiPriority w:val="0"/>
    <w:rPr>
      <w:rFonts w:ascii="Calibri" w:hAnsi="Calibri" w:eastAsia="宋体" w:cs="Calibri"/>
      <w:sz w:val="24"/>
      <w:szCs w:val="24"/>
      <w:lang w:val="en-US" w:eastAsia="zh-CN" w:bidi="ar-SA"/>
    </w:rPr>
  </w:style>
  <w:style w:type="paragraph" w:customStyle="1" w:styleId="50">
    <w:name w:val="文本块1"/>
    <w:basedOn w:val="51"/>
    <w:next w:val="52"/>
    <w:qFormat/>
    <w:uiPriority w:val="0"/>
    <w:pPr>
      <w:ind w:left="256" w:right="6" w:firstLine="624"/>
    </w:pPr>
    <w:rPr>
      <w:rFonts w:ascii="Calibri" w:hAnsi="Calibri" w:eastAsia="仿宋_GB2312"/>
      <w:sz w:val="28"/>
      <w:szCs w:val="20"/>
    </w:rPr>
  </w:style>
  <w:style w:type="paragraph" w:customStyle="1" w:styleId="51">
    <w:name w:val="正文1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
    <w:name w:val="标题 41"/>
    <w:basedOn w:val="53"/>
    <w:next w:val="49"/>
    <w:qFormat/>
    <w:uiPriority w:val="0"/>
    <w:pPr>
      <w:keepNext/>
      <w:keepLines/>
      <w:numPr>
        <w:ilvl w:val="3"/>
        <w:numId w:val="1"/>
      </w:numPr>
      <w:spacing w:line="360" w:lineRule="auto"/>
      <w:ind w:left="0"/>
      <w:outlineLvl w:val="3"/>
    </w:pPr>
    <w:rPr>
      <w:rFonts w:ascii="仿宋_GB2312" w:hAnsi="仿宋_GB2312" w:eastAsia="仿宋_GB2312"/>
      <w:b/>
      <w:bCs/>
      <w:sz w:val="24"/>
    </w:rPr>
  </w:style>
  <w:style w:type="paragraph" w:customStyle="1" w:styleId="53">
    <w:name w:val="正文1121"/>
    <w:next w:val="54"/>
    <w:qFormat/>
    <w:uiPriority w:val="0"/>
    <w:pPr>
      <w:widowControl w:val="0"/>
      <w:jc w:val="both"/>
    </w:pPr>
    <w:rPr>
      <w:rFonts w:ascii="Calibri" w:hAnsi="Calibri" w:eastAsia="宋体" w:cs="Times New Roman"/>
      <w:sz w:val="21"/>
      <w:szCs w:val="24"/>
      <w:lang w:val="en-US" w:eastAsia="zh-CN" w:bidi="ar-SA"/>
    </w:rPr>
  </w:style>
  <w:style w:type="paragraph" w:customStyle="1" w:styleId="54">
    <w:name w:val="正文文本111"/>
    <w:basedOn w:val="53"/>
    <w:next w:val="55"/>
    <w:qFormat/>
    <w:uiPriority w:val="0"/>
  </w:style>
  <w:style w:type="paragraph" w:customStyle="1" w:styleId="55">
    <w:name w:val="正文12"/>
    <w:next w:val="56"/>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56">
    <w:name w:val="脚注文本1"/>
    <w:next w:val="57"/>
    <w:qFormat/>
    <w:uiPriority w:val="0"/>
    <w:rPr>
      <w:rFonts w:ascii="Calibri" w:hAnsi="Calibri" w:eastAsia="宋体" w:cs="Times New Roman"/>
      <w:sz w:val="18"/>
      <w:szCs w:val="18"/>
      <w:lang w:val="en-US" w:eastAsia="zh-CN" w:bidi="ar-SA"/>
    </w:rPr>
  </w:style>
  <w:style w:type="paragraph" w:customStyle="1" w:styleId="57">
    <w:name w:val="索引 51"/>
    <w:basedOn w:val="58"/>
    <w:next w:val="59"/>
    <w:qFormat/>
    <w:uiPriority w:val="0"/>
    <w:pPr>
      <w:ind w:left="798"/>
      <w:jc w:val="left"/>
    </w:pPr>
  </w:style>
  <w:style w:type="paragraph" w:customStyle="1" w:styleId="58">
    <w:name w:val="文本块11"/>
    <w:basedOn w:val="55"/>
    <w:qFormat/>
    <w:uiPriority w:val="0"/>
    <w:pPr>
      <w:spacing w:after="120"/>
      <w:ind w:left="1440" w:right="1440"/>
    </w:pPr>
  </w:style>
  <w:style w:type="paragraph" w:customStyle="1" w:styleId="59">
    <w:name w:val="正文1"/>
    <w:autoRedefine/>
    <w:qFormat/>
    <w:uiPriority w:val="0"/>
    <w:pPr>
      <w:spacing w:after="200" w:line="276" w:lineRule="auto"/>
    </w:pPr>
    <w:rPr>
      <w:rFonts w:ascii="Calibri" w:hAnsi="Calibri" w:eastAsia="宋体" w:cs="Times New Roman"/>
      <w:sz w:val="22"/>
      <w:szCs w:val="22"/>
      <w:lang w:val="en-US" w:eastAsia="en-US" w:bidi="ar-SA"/>
    </w:rPr>
  </w:style>
  <w:style w:type="paragraph" w:customStyle="1" w:styleId="60">
    <w:name w:val="正文文本1"/>
    <w:basedOn w:val="61"/>
    <w:qFormat/>
    <w:uiPriority w:val="0"/>
    <w:rPr>
      <w:rFonts w:ascii="楷体_GB2312" w:hAnsi="Arial" w:eastAsia="楷体_GB2312" w:cs="Times New Roman"/>
      <w:sz w:val="28"/>
      <w:szCs w:val="28"/>
      <w:lang w:val="en-US" w:eastAsia="zh-CN" w:bidi="ar-SA"/>
    </w:rPr>
  </w:style>
  <w:style w:type="paragraph" w:customStyle="1" w:styleId="61">
    <w:name w:val="正文13"/>
    <w:next w:val="6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2">
    <w:name w:val="正文首行缩进1"/>
    <w:basedOn w:val="2"/>
    <w:next w:val="63"/>
    <w:qFormat/>
    <w:uiPriority w:val="0"/>
    <w:pPr>
      <w:spacing w:after="120"/>
      <w:ind w:firstLine="420"/>
    </w:pPr>
    <w:rPr>
      <w:rFonts w:ascii="Calibri" w:hAnsi="Calibri" w:cs="Times New Roman"/>
      <w:sz w:val="20"/>
      <w:szCs w:val="20"/>
      <w:lang w:val="en-US" w:bidi="ar-SA"/>
    </w:rPr>
  </w:style>
  <w:style w:type="paragraph" w:customStyle="1" w:styleId="63">
    <w:name w:val="正文首行缩进 211"/>
    <w:basedOn w:val="64"/>
    <w:next w:val="1"/>
    <w:qFormat/>
    <w:uiPriority w:val="99"/>
    <w:pPr>
      <w:spacing w:line="360" w:lineRule="auto"/>
      <w:ind w:firstLine="420"/>
    </w:pPr>
  </w:style>
  <w:style w:type="paragraph" w:customStyle="1" w:styleId="64">
    <w:name w:val="正文文本缩进11"/>
    <w:basedOn w:val="65"/>
    <w:next w:val="66"/>
    <w:qFormat/>
    <w:uiPriority w:val="0"/>
    <w:pPr>
      <w:spacing w:line="200" w:lineRule="exact"/>
      <w:ind w:firstLine="301"/>
    </w:pPr>
    <w:rPr>
      <w:rFonts w:ascii="宋体" w:hAnsi="宋体"/>
      <w:spacing w:val="-4"/>
      <w:sz w:val="18"/>
      <w:szCs w:val="20"/>
    </w:rPr>
  </w:style>
  <w:style w:type="paragraph" w:customStyle="1" w:styleId="65">
    <w:name w:val="正文112"/>
    <w:next w:val="6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6">
    <w:name w:val="寄信人地址1"/>
    <w:basedOn w:val="1"/>
    <w:qFormat/>
    <w:uiPriority w:val="0"/>
    <w:rPr>
      <w:rFonts w:ascii="Arial" w:hAnsi="Arial" w:cs="宋体"/>
    </w:rPr>
  </w:style>
  <w:style w:type="paragraph" w:customStyle="1" w:styleId="67">
    <w:name w:val="一级条标题"/>
    <w:basedOn w:val="68"/>
    <w:next w:val="6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69">
    <w:name w:val="段"/>
    <w:next w:val="7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70">
    <w:name w:val="正文 A"/>
    <w:next w:val="69"/>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71">
    <w:name w:val="正文（缩进）"/>
    <w:basedOn w:val="1"/>
    <w:next w:val="72"/>
    <w:qFormat/>
    <w:uiPriority w:val="0"/>
    <w:pPr>
      <w:spacing w:before="156" w:after="156"/>
      <w:ind w:firstLine="480"/>
    </w:pPr>
    <w:rPr>
      <w:rFonts w:cs="Times New Roman"/>
    </w:rPr>
  </w:style>
  <w:style w:type="paragraph" w:customStyle="1" w:styleId="72">
    <w:name w:val="Char Char Char Char Char Char Char Char Char"/>
    <w:basedOn w:val="1"/>
    <w:next w:val="73"/>
    <w:autoRedefine/>
    <w:qFormat/>
    <w:uiPriority w:val="0"/>
    <w:pPr>
      <w:ind w:left="360" w:firstLine="5784"/>
    </w:pPr>
  </w:style>
  <w:style w:type="paragraph" w:customStyle="1" w:styleId="73">
    <w:name w:val="正文文本 21"/>
    <w:basedOn w:val="1"/>
    <w:next w:val="74"/>
    <w:autoRedefine/>
    <w:qFormat/>
    <w:uiPriority w:val="0"/>
    <w:pPr>
      <w:widowControl/>
      <w:ind w:left="720" w:firstLine="5680"/>
    </w:pPr>
  </w:style>
  <w:style w:type="paragraph" w:customStyle="1" w:styleId="74">
    <w:name w:val="默认段落字体 Para Char Char Char Char Char Char Char"/>
    <w:basedOn w:val="1"/>
    <w:next w:val="75"/>
    <w:autoRedefine/>
    <w:qFormat/>
    <w:uiPriority w:val="0"/>
    <w:pPr>
      <w:ind w:firstLine="200"/>
    </w:pPr>
    <w:rPr>
      <w:rFonts w:cs="Arial"/>
    </w:rPr>
  </w:style>
  <w:style w:type="paragraph" w:customStyle="1" w:styleId="75">
    <w:name w:val="样式 首行缩进:  2 字符"/>
    <w:basedOn w:val="1"/>
    <w:next w:val="76"/>
    <w:autoRedefine/>
    <w:qFormat/>
    <w:uiPriority w:val="0"/>
    <w:pPr>
      <w:spacing w:line="360" w:lineRule="auto"/>
      <w:ind w:left="480" w:firstLine="5856"/>
    </w:pPr>
  </w:style>
  <w:style w:type="paragraph" w:customStyle="1" w:styleId="76">
    <w:name w:val="样式 段后: 0.25 行"/>
    <w:basedOn w:val="1"/>
    <w:next w:val="77"/>
    <w:autoRedefine/>
    <w:qFormat/>
    <w:uiPriority w:val="0"/>
    <w:pPr>
      <w:widowControl/>
      <w:spacing w:line="300" w:lineRule="auto"/>
      <w:ind w:left="420" w:firstLine="5796"/>
    </w:pPr>
  </w:style>
  <w:style w:type="paragraph" w:customStyle="1" w:styleId="77">
    <w:name w:val="正文 New New New New New New New New New New New New New New"/>
    <w:next w:val="36"/>
    <w:autoRedefine/>
    <w:qFormat/>
    <w:uiPriority w:val="0"/>
    <w:pPr>
      <w:widowControl w:val="0"/>
      <w:ind w:firstLine="2048"/>
      <w:jc w:val="both"/>
    </w:pPr>
    <w:rPr>
      <w:rFonts w:hint="default" w:ascii="Calibri" w:hAnsi="Calibri" w:eastAsia="宋体" w:cs="Times New Roman"/>
      <w:lang w:val="en-US" w:eastAsia="zh-CN" w:bidi="ar-SA"/>
    </w:rPr>
  </w:style>
  <w:style w:type="character" w:customStyle="1" w:styleId="78">
    <w:name w:val="Heading 1 Char"/>
    <w:basedOn w:val="42"/>
    <w:autoRedefine/>
    <w:qFormat/>
    <w:uiPriority w:val="9"/>
    <w:rPr>
      <w:rFonts w:ascii="Arial" w:hAnsi="Arial" w:eastAsia="Arial" w:cs="Arial"/>
      <w:sz w:val="40"/>
      <w:szCs w:val="40"/>
    </w:rPr>
  </w:style>
  <w:style w:type="character" w:customStyle="1" w:styleId="79">
    <w:name w:val="Heading 2 Char"/>
    <w:basedOn w:val="42"/>
    <w:autoRedefine/>
    <w:qFormat/>
    <w:uiPriority w:val="9"/>
    <w:rPr>
      <w:rFonts w:ascii="Arial" w:hAnsi="Arial" w:eastAsia="Arial" w:cs="Arial"/>
      <w:sz w:val="34"/>
    </w:rPr>
  </w:style>
  <w:style w:type="character" w:customStyle="1" w:styleId="80">
    <w:name w:val="Heading 3 Char"/>
    <w:basedOn w:val="42"/>
    <w:autoRedefine/>
    <w:qFormat/>
    <w:uiPriority w:val="9"/>
    <w:rPr>
      <w:rFonts w:ascii="Arial" w:hAnsi="Arial" w:eastAsia="Arial" w:cs="Arial"/>
      <w:sz w:val="30"/>
      <w:szCs w:val="30"/>
    </w:rPr>
  </w:style>
  <w:style w:type="character" w:customStyle="1" w:styleId="81">
    <w:name w:val="Heading 4 Char"/>
    <w:basedOn w:val="42"/>
    <w:qFormat/>
    <w:uiPriority w:val="9"/>
    <w:rPr>
      <w:rFonts w:ascii="Arial" w:hAnsi="Arial" w:eastAsia="Arial" w:cs="Arial"/>
      <w:b/>
      <w:bCs/>
      <w:sz w:val="26"/>
      <w:szCs w:val="26"/>
    </w:rPr>
  </w:style>
  <w:style w:type="character" w:customStyle="1" w:styleId="82">
    <w:name w:val="Heading 5 Char"/>
    <w:basedOn w:val="42"/>
    <w:link w:val="9"/>
    <w:autoRedefine/>
    <w:qFormat/>
    <w:uiPriority w:val="9"/>
    <w:rPr>
      <w:rFonts w:ascii="Arial" w:hAnsi="Arial" w:eastAsia="Arial" w:cs="Arial"/>
      <w:b/>
      <w:bCs/>
      <w:sz w:val="24"/>
      <w:szCs w:val="24"/>
    </w:rPr>
  </w:style>
  <w:style w:type="character" w:customStyle="1" w:styleId="83">
    <w:name w:val="Heading 6 Char"/>
    <w:basedOn w:val="42"/>
    <w:link w:val="10"/>
    <w:qFormat/>
    <w:uiPriority w:val="9"/>
    <w:rPr>
      <w:rFonts w:ascii="Arial" w:hAnsi="Arial" w:eastAsia="Arial" w:cs="Arial"/>
      <w:b/>
      <w:bCs/>
      <w:sz w:val="22"/>
      <w:szCs w:val="22"/>
    </w:rPr>
  </w:style>
  <w:style w:type="character" w:customStyle="1" w:styleId="84">
    <w:name w:val="Heading 7 Char"/>
    <w:basedOn w:val="42"/>
    <w:link w:val="11"/>
    <w:qFormat/>
    <w:uiPriority w:val="9"/>
    <w:rPr>
      <w:rFonts w:ascii="Arial" w:hAnsi="Arial" w:eastAsia="Arial" w:cs="Arial"/>
      <w:b/>
      <w:bCs/>
      <w:i/>
      <w:iCs/>
      <w:sz w:val="22"/>
      <w:szCs w:val="22"/>
    </w:rPr>
  </w:style>
  <w:style w:type="character" w:customStyle="1" w:styleId="85">
    <w:name w:val="Heading 8 Char"/>
    <w:basedOn w:val="42"/>
    <w:link w:val="12"/>
    <w:qFormat/>
    <w:uiPriority w:val="9"/>
    <w:rPr>
      <w:rFonts w:ascii="Arial" w:hAnsi="Arial" w:eastAsia="Arial" w:cs="Arial"/>
      <w:i/>
      <w:iCs/>
      <w:sz w:val="22"/>
      <w:szCs w:val="22"/>
    </w:rPr>
  </w:style>
  <w:style w:type="character" w:customStyle="1" w:styleId="86">
    <w:name w:val="Heading 9 Char"/>
    <w:basedOn w:val="42"/>
    <w:link w:val="13"/>
    <w:autoRedefine/>
    <w:qFormat/>
    <w:uiPriority w:val="9"/>
    <w:rPr>
      <w:rFonts w:ascii="Arial" w:hAnsi="Arial" w:eastAsia="Arial" w:cs="Arial"/>
      <w:i/>
      <w:iCs/>
      <w:sz w:val="21"/>
      <w:szCs w:val="21"/>
    </w:rPr>
  </w:style>
  <w:style w:type="paragraph" w:styleId="87">
    <w:name w:val="List Paragraph"/>
    <w:basedOn w:val="1"/>
    <w:next w:val="16"/>
    <w:autoRedefine/>
    <w:qFormat/>
    <w:uiPriority w:val="34"/>
    <w:pPr>
      <w:ind w:left="720"/>
      <w:contextualSpacing/>
    </w:pPr>
  </w:style>
  <w:style w:type="character" w:customStyle="1" w:styleId="88">
    <w:name w:val="Title Char"/>
    <w:basedOn w:val="42"/>
    <w:link w:val="38"/>
    <w:autoRedefine/>
    <w:qFormat/>
    <w:uiPriority w:val="10"/>
    <w:rPr>
      <w:sz w:val="48"/>
      <w:szCs w:val="48"/>
    </w:rPr>
  </w:style>
  <w:style w:type="character" w:customStyle="1" w:styleId="89">
    <w:name w:val="Subtitle Char"/>
    <w:basedOn w:val="42"/>
    <w:link w:val="31"/>
    <w:qFormat/>
    <w:uiPriority w:val="11"/>
    <w:rPr>
      <w:sz w:val="24"/>
      <w:szCs w:val="24"/>
    </w:rPr>
  </w:style>
  <w:style w:type="paragraph" w:styleId="90">
    <w:name w:val="Quote"/>
    <w:basedOn w:val="1"/>
    <w:next w:val="1"/>
    <w:link w:val="91"/>
    <w:autoRedefine/>
    <w:qFormat/>
    <w:uiPriority w:val="29"/>
    <w:pPr>
      <w:ind w:left="720" w:right="720"/>
    </w:pPr>
    <w:rPr>
      <w:i/>
    </w:rPr>
  </w:style>
  <w:style w:type="character" w:customStyle="1" w:styleId="91">
    <w:name w:val="Quote Char"/>
    <w:link w:val="90"/>
    <w:autoRedefine/>
    <w:qFormat/>
    <w:uiPriority w:val="29"/>
    <w:rPr>
      <w:i/>
    </w:rPr>
  </w:style>
  <w:style w:type="paragraph" w:styleId="92">
    <w:name w:val="Intense Quote"/>
    <w:basedOn w:val="1"/>
    <w:next w:val="1"/>
    <w:link w:val="9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93">
    <w:name w:val="Intense Quote Char"/>
    <w:link w:val="92"/>
    <w:autoRedefine/>
    <w:qFormat/>
    <w:uiPriority w:val="30"/>
    <w:rPr>
      <w:i/>
    </w:rPr>
  </w:style>
  <w:style w:type="character" w:customStyle="1" w:styleId="94">
    <w:name w:val="Header Char"/>
    <w:basedOn w:val="42"/>
    <w:qFormat/>
    <w:uiPriority w:val="99"/>
  </w:style>
  <w:style w:type="character" w:customStyle="1" w:styleId="95">
    <w:name w:val="Footer Char"/>
    <w:basedOn w:val="42"/>
    <w:autoRedefine/>
    <w:qFormat/>
    <w:uiPriority w:val="99"/>
  </w:style>
  <w:style w:type="character" w:customStyle="1" w:styleId="96">
    <w:name w:val="Caption Char"/>
    <w:autoRedefine/>
    <w:qFormat/>
    <w:uiPriority w:val="99"/>
  </w:style>
  <w:style w:type="table" w:customStyle="1" w:styleId="97">
    <w:name w:val="Table Grid Light"/>
    <w:basedOn w:val="40"/>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8">
    <w:name w:val="Plain Table 1"/>
    <w:basedOn w:val="4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9">
    <w:name w:val="Plain Table 2"/>
    <w:basedOn w:val="4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0">
    <w:name w:val="Plain Table 3"/>
    <w:basedOn w:val="40"/>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4"/>
    <w:basedOn w:val="40"/>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Plain Table 5"/>
    <w:basedOn w:val="40"/>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3">
    <w:name w:val="Grid Table 1 Light"/>
    <w:basedOn w:val="40"/>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4">
    <w:name w:val="Grid Table 1 Light - Accent 1"/>
    <w:basedOn w:val="4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5">
    <w:name w:val="Grid Table 1 Light - Accent 2"/>
    <w:basedOn w:val="40"/>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6">
    <w:name w:val="Grid Table 1 Light - Accent 3"/>
    <w:basedOn w:val="40"/>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7">
    <w:name w:val="Grid Table 1 Light - Accent 4"/>
    <w:basedOn w:val="40"/>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8">
    <w:name w:val="Grid Table 1 Light - Accent 5"/>
    <w:basedOn w:val="40"/>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9">
    <w:name w:val="Grid Table 1 Light - Accent 6"/>
    <w:basedOn w:val="40"/>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0">
    <w:name w:val="Grid Table 2"/>
    <w:basedOn w:val="40"/>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2 - Accent 1"/>
    <w:basedOn w:val="40"/>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2">
    <w:name w:val="Grid Table 2 - Accent 2"/>
    <w:basedOn w:val="4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3">
    <w:name w:val="Grid Table 2 - Accent 3"/>
    <w:basedOn w:val="4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4">
    <w:name w:val="Grid Table 2 - Accent 4"/>
    <w:basedOn w:val="40"/>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5">
    <w:name w:val="Grid Table 2 - Accent 5"/>
    <w:basedOn w:val="4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6">
    <w:name w:val="Grid Table 2 - Accent 6"/>
    <w:basedOn w:val="40"/>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7">
    <w:name w:val="Grid Table 3"/>
    <w:basedOn w:val="40"/>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3 - Accent 1"/>
    <w:basedOn w:val="4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9">
    <w:name w:val="Grid Table 3 - Accent 2"/>
    <w:basedOn w:val="4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0">
    <w:name w:val="Grid Table 3 - Accent 3"/>
    <w:basedOn w:val="40"/>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1">
    <w:name w:val="Grid Table 3 - Accent 4"/>
    <w:basedOn w:val="4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2">
    <w:name w:val="Grid Table 3 - Accent 5"/>
    <w:basedOn w:val="4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3">
    <w:name w:val="Grid Table 3 - Accent 6"/>
    <w:basedOn w:val="40"/>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4">
    <w:name w:val="Grid Table 4"/>
    <w:basedOn w:val="4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5">
    <w:name w:val="Grid Table 4 - Accent 1"/>
    <w:basedOn w:val="40"/>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6">
    <w:name w:val="Grid Table 4 - Accent 2"/>
    <w:basedOn w:val="40"/>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7">
    <w:name w:val="Grid Table 4 - Accent 3"/>
    <w:basedOn w:val="40"/>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8">
    <w:name w:val="Grid Table 4 - Accent 4"/>
    <w:basedOn w:val="40"/>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9">
    <w:name w:val="Grid Table 4 - Accent 5"/>
    <w:basedOn w:val="4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0">
    <w:name w:val="Grid Table 4 - Accent 6"/>
    <w:basedOn w:val="4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1">
    <w:name w:val="Grid Table 5 Dark"/>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2">
    <w:name w:val="Grid Table 5 Dark- Accent 1"/>
    <w:basedOn w:val="4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3">
    <w:name w:val="Grid Table 5 Dark - Accent 2"/>
    <w:basedOn w:val="4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4">
    <w:name w:val="Grid Table 5 Dark - Accent 3"/>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5">
    <w:name w:val="Grid Table 5 Dark- Accent 4"/>
    <w:basedOn w:val="4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6">
    <w:name w:val="Grid Table 5 Dark - Accent 5"/>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7">
    <w:name w:val="Grid Table 5 Dark - Accent 6"/>
    <w:basedOn w:val="40"/>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8">
    <w:name w:val="Grid Table 6 Colorful"/>
    <w:basedOn w:val="40"/>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Grid Table 6 Colorful - Accent 1"/>
    <w:basedOn w:val="4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0">
    <w:name w:val="Grid Table 6 Colorful - Accent 2"/>
    <w:basedOn w:val="40"/>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Grid Table 6 Colorful - Accent 3"/>
    <w:basedOn w:val="40"/>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2">
    <w:name w:val="Grid Table 6 Colorful - Accent 4"/>
    <w:basedOn w:val="40"/>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Grid Table 6 Colorful - Accent 5"/>
    <w:basedOn w:val="40"/>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4">
    <w:name w:val="Grid Table 6 Colorful - Accent 6"/>
    <w:basedOn w:val="40"/>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5">
    <w:name w:val="Grid Table 7 Colorful"/>
    <w:basedOn w:val="4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Grid Table 7 Colorful - Accent 1"/>
    <w:basedOn w:val="40"/>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7">
    <w:name w:val="Grid Table 7 Colorful - Accent 2"/>
    <w:basedOn w:val="4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Grid Table 7 Colorful - Accent 3"/>
    <w:basedOn w:val="40"/>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9">
    <w:name w:val="Grid Table 7 Colorful - Accent 4"/>
    <w:basedOn w:val="4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Grid Table 7 Colorful - Accent 5"/>
    <w:basedOn w:val="40"/>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1">
    <w:name w:val="Grid Table 7 Colorful - Accent 6"/>
    <w:basedOn w:val="40"/>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2">
    <w:name w:val="List Table 1 Light"/>
    <w:basedOn w:val="40"/>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3">
    <w:name w:val="List Table 1 Light - Accent 1"/>
    <w:basedOn w:val="40"/>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4">
    <w:name w:val="List Table 1 Light - Accent 2"/>
    <w:basedOn w:val="40"/>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5">
    <w:name w:val="List Table 1 Light - Accent 3"/>
    <w:basedOn w:val="40"/>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6">
    <w:name w:val="List Table 1 Light - Accent 4"/>
    <w:basedOn w:val="40"/>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7">
    <w:name w:val="List Table 1 Light - Accent 5"/>
    <w:basedOn w:val="4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8">
    <w:name w:val="List Table 1 Light - Accent 6"/>
    <w:basedOn w:val="40"/>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9">
    <w:name w:val="List Table 2"/>
    <w:basedOn w:val="4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2 - Accent 1"/>
    <w:basedOn w:val="40"/>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1">
    <w:name w:val="List Table 2 - Accent 2"/>
    <w:basedOn w:val="40"/>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2">
    <w:name w:val="List Table 2 - Accent 3"/>
    <w:basedOn w:val="40"/>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3">
    <w:name w:val="List Table 2 - Accent 4"/>
    <w:basedOn w:val="40"/>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4">
    <w:name w:val="List Table 2 - Accent 5"/>
    <w:basedOn w:val="4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5">
    <w:name w:val="List Table 2 - Accent 6"/>
    <w:basedOn w:val="40"/>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6">
    <w:name w:val="List Table 3"/>
    <w:basedOn w:val="40"/>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7">
    <w:name w:val="List Table 3 - Accent 1"/>
    <w:basedOn w:val="40"/>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8">
    <w:name w:val="List Table 3 - Accent 2"/>
    <w:basedOn w:val="4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9">
    <w:name w:val="List Table 3 - Accent 3"/>
    <w:basedOn w:val="4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0">
    <w:name w:val="List Table 3 - Accent 4"/>
    <w:basedOn w:val="4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1">
    <w:name w:val="List Table 3 - Accent 5"/>
    <w:basedOn w:val="40"/>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2">
    <w:name w:val="List Table 3 - Accent 6"/>
    <w:basedOn w:val="40"/>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3">
    <w:name w:val="List Table 4"/>
    <w:basedOn w:val="4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4">
    <w:name w:val="List Table 4 - Accent 1"/>
    <w:basedOn w:val="40"/>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5">
    <w:name w:val="List Table 4 - Accent 2"/>
    <w:basedOn w:val="40"/>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6">
    <w:name w:val="List Table 4 - Accent 3"/>
    <w:basedOn w:val="40"/>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7">
    <w:name w:val="List Table 4 - Accent 4"/>
    <w:basedOn w:val="40"/>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8">
    <w:name w:val="List Table 4 - Accent 5"/>
    <w:basedOn w:val="4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9">
    <w:name w:val="List Table 4 - Accent 6"/>
    <w:basedOn w:val="4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0">
    <w:name w:val="List Table 5 Dark"/>
    <w:basedOn w:val="40"/>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1">
    <w:name w:val="List Table 5 Dark - Accent 1"/>
    <w:basedOn w:val="40"/>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2">
    <w:name w:val="List Table 5 Dark - Accent 2"/>
    <w:basedOn w:val="40"/>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3">
    <w:name w:val="List Table 5 Dark - Accent 3"/>
    <w:basedOn w:val="40"/>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4">
    <w:name w:val="List Table 5 Dark - Accent 4"/>
    <w:basedOn w:val="4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5">
    <w:name w:val="List Table 5 Dark - Accent 5"/>
    <w:basedOn w:val="4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6">
    <w:name w:val="List Table 5 Dark - Accent 6"/>
    <w:basedOn w:val="40"/>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7">
    <w:name w:val="List Table 6 Colorful"/>
    <w:basedOn w:val="40"/>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8">
    <w:name w:val="List Table 6 Colorful - Accent 1"/>
    <w:basedOn w:val="4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9">
    <w:name w:val="List Table 6 Colorful - Accent 2"/>
    <w:basedOn w:val="40"/>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0">
    <w:name w:val="List Table 6 Colorful - Accent 3"/>
    <w:basedOn w:val="40"/>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1">
    <w:name w:val="List Table 6 Colorful - Accent 4"/>
    <w:basedOn w:val="40"/>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2">
    <w:name w:val="List Table 6 Colorful - Accent 5"/>
    <w:basedOn w:val="40"/>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3">
    <w:name w:val="List Table 6 Colorful - Accent 6"/>
    <w:basedOn w:val="4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4">
    <w:name w:val="List Table 7 Colorful"/>
    <w:basedOn w:val="40"/>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5">
    <w:name w:val="List Table 7 Colorful - Accent 1"/>
    <w:basedOn w:val="40"/>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6">
    <w:name w:val="List Table 7 Colorful - Accent 2"/>
    <w:basedOn w:val="40"/>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7">
    <w:name w:val="List Table 7 Colorful - Accent 3"/>
    <w:basedOn w:val="4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8">
    <w:name w:val="List Table 7 Colorful - Accent 4"/>
    <w:basedOn w:val="4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9">
    <w:name w:val="List Table 7 Colorful - Accent 5"/>
    <w:basedOn w:val="40"/>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0">
    <w:name w:val="List Table 7 Colorful - Accent 6"/>
    <w:basedOn w:val="4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1">
    <w:name w:val="Lined - Accent"/>
    <w:basedOn w:val="4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Lined - Accent 1"/>
    <w:basedOn w:val="40"/>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3">
    <w:name w:val="Lined - Accent 2"/>
    <w:basedOn w:val="40"/>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4">
    <w:name w:val="Lined - Accent 3"/>
    <w:basedOn w:val="40"/>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5">
    <w:name w:val="Lined - Accent 4"/>
    <w:basedOn w:val="40"/>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6">
    <w:name w:val="Lined - Accent 5"/>
    <w:basedOn w:val="4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7">
    <w:name w:val="Lined - Accent 6"/>
    <w:basedOn w:val="40"/>
    <w:autoRedefine/>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8">
    <w:name w:val="Bordered &amp; Lined - Accent"/>
    <w:basedOn w:val="40"/>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Bordered &amp; Lined - Accent 1"/>
    <w:basedOn w:val="4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0">
    <w:name w:val="Bordered &amp; Lined - Accent 2"/>
    <w:basedOn w:val="4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1">
    <w:name w:val="Bordered &amp; Lined - Accent 3"/>
    <w:basedOn w:val="4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2">
    <w:name w:val="Bordered &amp; Lined - Accent 4"/>
    <w:basedOn w:val="40"/>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3">
    <w:name w:val="Bordered &amp; Lined - Accent 5"/>
    <w:basedOn w:val="40"/>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4">
    <w:name w:val="Bordered &amp; Lined - Accent 6"/>
    <w:basedOn w:val="40"/>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5">
    <w:name w:val="Bordered"/>
    <w:basedOn w:val="40"/>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6">
    <w:name w:val="Bordered - Accent 1"/>
    <w:basedOn w:val="40"/>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7">
    <w:name w:val="Bordered - Accent 2"/>
    <w:basedOn w:val="40"/>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8">
    <w:name w:val="Bordered - Accent 3"/>
    <w:basedOn w:val="40"/>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9">
    <w:name w:val="Bordered - Accent 4"/>
    <w:basedOn w:val="40"/>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0">
    <w:name w:val="Bordered - Accent 5"/>
    <w:basedOn w:val="4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1">
    <w:name w:val="Bordered - Accent 6"/>
    <w:basedOn w:val="4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2">
    <w:name w:val="Footnote Text Char"/>
    <w:link w:val="32"/>
    <w:autoRedefine/>
    <w:qFormat/>
    <w:uiPriority w:val="99"/>
    <w:rPr>
      <w:sz w:val="18"/>
    </w:rPr>
  </w:style>
  <w:style w:type="character" w:customStyle="1" w:styleId="223">
    <w:name w:val="Endnote Text Char"/>
    <w:link w:val="26"/>
    <w:autoRedefine/>
    <w:qFormat/>
    <w:uiPriority w:val="99"/>
    <w:rPr>
      <w:sz w:val="20"/>
    </w:rPr>
  </w:style>
  <w:style w:type="paragraph" w:customStyle="1" w:styleId="224">
    <w:name w:val="TOC Heading"/>
    <w:unhideWhenUsed/>
    <w:qFormat/>
    <w:uiPriority w:val="39"/>
    <w:rPr>
      <w:rFonts w:hint="default" w:ascii="Times New Roman" w:hAnsi="Times New Roman" w:eastAsia="宋体" w:cs="Times New Roman"/>
    </w:rPr>
  </w:style>
  <w:style w:type="character" w:customStyle="1" w:styleId="225">
    <w:name w:val="标题 1 Char"/>
    <w:link w:val="3"/>
    <w:autoRedefine/>
    <w:qFormat/>
    <w:uiPriority w:val="9"/>
    <w:rPr>
      <w:rFonts w:ascii="Calibri" w:hAnsi="Calibri" w:eastAsia="宋体" w:cs="Times New Roman"/>
      <w:b/>
      <w:bCs/>
      <w:sz w:val="44"/>
      <w:szCs w:val="44"/>
    </w:rPr>
  </w:style>
  <w:style w:type="character" w:customStyle="1" w:styleId="226">
    <w:name w:val="标题 2 Char"/>
    <w:link w:val="4"/>
    <w:qFormat/>
    <w:uiPriority w:val="0"/>
    <w:rPr>
      <w:rFonts w:ascii="Arial" w:hAnsi="Arial" w:eastAsia="幼圆" w:cs="Arial"/>
      <w:b/>
      <w:bCs/>
      <w:sz w:val="44"/>
      <w:szCs w:val="44"/>
    </w:rPr>
  </w:style>
  <w:style w:type="character" w:customStyle="1" w:styleId="227">
    <w:name w:val="标题 3 Char"/>
    <w:link w:val="5"/>
    <w:autoRedefine/>
    <w:semiHidden/>
    <w:qFormat/>
    <w:uiPriority w:val="9"/>
    <w:rPr>
      <w:rFonts w:ascii="Times New Roman" w:hAnsi="Times New Roman" w:eastAsia="宋体" w:cs="Times New Roman"/>
      <w:b/>
      <w:bCs/>
      <w:sz w:val="32"/>
      <w:szCs w:val="32"/>
    </w:rPr>
  </w:style>
  <w:style w:type="character" w:customStyle="1" w:styleId="228">
    <w:name w:val="标题 4 Char"/>
    <w:link w:val="7"/>
    <w:autoRedefine/>
    <w:qFormat/>
    <w:uiPriority w:val="0"/>
    <w:rPr>
      <w:rFonts w:ascii="Arial" w:hAnsi="Arial" w:eastAsia="黑体" w:cs="Times New Roman"/>
      <w:b/>
      <w:bCs/>
      <w:sz w:val="28"/>
      <w:szCs w:val="28"/>
    </w:rPr>
  </w:style>
  <w:style w:type="character" w:customStyle="1" w:styleId="229">
    <w:name w:val="正文缩进 Char"/>
    <w:link w:val="6"/>
    <w:qFormat/>
    <w:uiPriority w:val="0"/>
    <w:rPr>
      <w:rFonts w:ascii="Times New Roman" w:hAnsi="Times New Roman"/>
    </w:rPr>
  </w:style>
  <w:style w:type="character" w:customStyle="1" w:styleId="230">
    <w:name w:val="正文文本 Char"/>
    <w:link w:val="17"/>
    <w:autoRedefine/>
    <w:qFormat/>
    <w:uiPriority w:val="99"/>
    <w:rPr>
      <w:rFonts w:ascii="楷体_GB2312" w:hAnsi="Arial" w:eastAsia="楷体_GB2312"/>
      <w:sz w:val="28"/>
      <w:szCs w:val="28"/>
    </w:rPr>
  </w:style>
  <w:style w:type="character" w:customStyle="1" w:styleId="231">
    <w:name w:val="纯文本 Char1"/>
    <w:link w:val="24"/>
    <w:autoRedefine/>
    <w:qFormat/>
    <w:uiPriority w:val="99"/>
    <w:rPr>
      <w:rFonts w:ascii="宋体" w:hAnsi="Courier New" w:eastAsia="宋体" w:cs="Times New Roman"/>
      <w:sz w:val="20"/>
      <w:szCs w:val="21"/>
    </w:rPr>
  </w:style>
  <w:style w:type="character" w:customStyle="1" w:styleId="232">
    <w:name w:val="页脚 Char"/>
    <w:link w:val="27"/>
    <w:autoRedefine/>
    <w:qFormat/>
    <w:uiPriority w:val="99"/>
    <w:rPr>
      <w:sz w:val="18"/>
      <w:szCs w:val="18"/>
    </w:rPr>
  </w:style>
  <w:style w:type="character" w:customStyle="1" w:styleId="233">
    <w:name w:val="页眉 Char"/>
    <w:link w:val="28"/>
    <w:autoRedefine/>
    <w:qFormat/>
    <w:uiPriority w:val="99"/>
    <w:rPr>
      <w:sz w:val="18"/>
      <w:szCs w:val="18"/>
    </w:rPr>
  </w:style>
  <w:style w:type="paragraph" w:customStyle="1" w:styleId="234">
    <w:name w:val="Char"/>
    <w:basedOn w:val="1"/>
    <w:autoRedefine/>
    <w:qFormat/>
    <w:uiPriority w:val="0"/>
    <w:pPr>
      <w:tabs>
        <w:tab w:val="left" w:pos="360"/>
      </w:tabs>
      <w:ind w:firstLine="200"/>
    </w:pPr>
    <w:rPr>
      <w:rFonts w:ascii="Times New Roman" w:hAnsi="Times New Roman" w:eastAsia="宋体" w:cs="Times New Roman"/>
      <w:sz w:val="28"/>
      <w:szCs w:val="30"/>
    </w:rPr>
  </w:style>
  <w:style w:type="character" w:customStyle="1" w:styleId="235">
    <w:name w:val="页眉 Char1"/>
    <w:autoRedefine/>
    <w:semiHidden/>
    <w:qFormat/>
    <w:uiPriority w:val="99"/>
    <w:rPr>
      <w:sz w:val="18"/>
      <w:szCs w:val="18"/>
    </w:rPr>
  </w:style>
  <w:style w:type="character" w:customStyle="1" w:styleId="236">
    <w:name w:val="页脚 Char1"/>
    <w:semiHidden/>
    <w:qFormat/>
    <w:uiPriority w:val="99"/>
    <w:rPr>
      <w:sz w:val="18"/>
      <w:szCs w:val="18"/>
    </w:rPr>
  </w:style>
  <w:style w:type="character" w:customStyle="1" w:styleId="237">
    <w:name w:val="正文文本 Char1"/>
    <w:basedOn w:val="42"/>
    <w:autoRedefine/>
    <w:semiHidden/>
    <w:qFormat/>
    <w:uiPriority w:val="99"/>
  </w:style>
  <w:style w:type="paragraph" w:customStyle="1" w:styleId="238">
    <w:name w:val="普通正文"/>
    <w:basedOn w:val="1"/>
    <w:link w:val="239"/>
    <w:qFormat/>
    <w:uiPriority w:val="0"/>
    <w:pPr>
      <w:spacing w:before="120" w:after="120" w:line="360" w:lineRule="auto"/>
      <w:ind w:firstLine="480"/>
      <w:jc w:val="left"/>
    </w:pPr>
    <w:rPr>
      <w:rFonts w:ascii="Arial" w:hAnsi="Arial" w:eastAsia="宋体" w:cs="Times New Roman"/>
      <w:sz w:val="24"/>
      <w:szCs w:val="24"/>
    </w:rPr>
  </w:style>
  <w:style w:type="character" w:customStyle="1" w:styleId="239">
    <w:name w:val="普通正文 Char"/>
    <w:link w:val="238"/>
    <w:autoRedefine/>
    <w:qFormat/>
    <w:uiPriority w:val="0"/>
    <w:rPr>
      <w:rFonts w:ascii="Arial" w:hAnsi="Arial" w:eastAsia="宋体" w:cs="Times New Roman"/>
      <w:sz w:val="24"/>
      <w:szCs w:val="24"/>
    </w:rPr>
  </w:style>
  <w:style w:type="paragraph" w:styleId="240">
    <w:name w:val="No Spacing"/>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241">
    <w:name w:val="纯文本 Char"/>
    <w:semiHidden/>
    <w:qFormat/>
    <w:uiPriority w:val="99"/>
    <w:rPr>
      <w:rFonts w:ascii="宋体" w:hAnsi="Courier New" w:eastAsia="宋体" w:cs="Courier New"/>
      <w:szCs w:val="21"/>
    </w:rPr>
  </w:style>
  <w:style w:type="paragraph" w:customStyle="1" w:styleId="242">
    <w:name w:val="Table Text"/>
    <w:basedOn w:val="1"/>
    <w:autoRedefine/>
    <w:semiHidden/>
    <w:qFormat/>
    <w:uiPriority w:val="0"/>
    <w:rPr>
      <w:rFonts w:ascii="宋体" w:hAnsi="宋体" w:eastAsia="宋体" w:cs="宋体"/>
      <w:sz w:val="21"/>
      <w:szCs w:val="21"/>
      <w:lang w:val="en-US" w:eastAsia="en-US" w:bidi="ar-SA"/>
    </w:rPr>
  </w:style>
  <w:style w:type="table" w:customStyle="1" w:styleId="243">
    <w:name w:val="Table Normal"/>
    <w:autoRedefine/>
    <w:semiHidden/>
    <w:unhideWhenUsed/>
    <w:qFormat/>
    <w:uiPriority w:val="0"/>
    <w:tblPr>
      <w:tblCellMar>
        <w:top w:w="0" w:type="dxa"/>
        <w:left w:w="0" w:type="dxa"/>
        <w:bottom w:w="0" w:type="dxa"/>
        <w:right w:w="0" w:type="dxa"/>
      </w:tblCellMar>
    </w:tblPr>
  </w:style>
  <w:style w:type="paragraph" w:customStyle="1" w:styleId="244">
    <w:name w:val="页眉与页脚"/>
    <w:autoRedefine/>
    <w:qFormat/>
    <w:uiPriority w:val="0"/>
    <w:pPr>
      <w:framePr w:wrap="around" w:vAnchor="margin" w:hAnchor="text" w:yAlign="top"/>
      <w:tabs>
        <w:tab w:val="right" w:pos="9020"/>
      </w:tabs>
    </w:pPr>
    <w:rPr>
      <w:rFonts w:ascii="Times New Roman" w:hAnsi="Times New Roman" w:eastAsia="Arial Unicode MS" w:cs="Arial Unicode MS"/>
      <w:color w:val="000000"/>
      <w:sz w:val="24"/>
      <w:szCs w:val="24"/>
      <w:lang w:val="en-US" w:eastAsia="zh-CN" w:bidi="ar-SA"/>
    </w:rPr>
  </w:style>
  <w:style w:type="paragraph" w:customStyle="1" w:styleId="245">
    <w:name w:val="纯文本1"/>
    <w:autoRedefine/>
    <w:qFormat/>
    <w:uiPriority w:val="0"/>
    <w:rPr>
      <w:rFonts w:ascii="宋体" w:hAnsi="Courier New" w:eastAsia="宋体" w:cs="Courier New"/>
      <w:lang w:val="en-US" w:eastAsia="zh-CN" w:bidi="ar-SA"/>
    </w:rPr>
  </w:style>
  <w:style w:type="paragraph" w:customStyle="1" w:styleId="246">
    <w:name w:val="正文文本 211"/>
    <w:autoRedefine/>
    <w:qFormat/>
    <w:uiPriority w:val="99"/>
    <w:pPr>
      <w:jc w:val="center"/>
    </w:pPr>
    <w:rPr>
      <w:rFonts w:ascii="Times New Roman" w:hAnsi="Times New Roman" w:eastAsia="宋体" w:cs="Times New Roman"/>
      <w:b/>
      <w:bCs/>
      <w:sz w:val="20"/>
      <w:szCs w:val="20"/>
      <w:lang w:val="en-US" w:eastAsia="zh-CN" w:bidi="ar-SA"/>
    </w:rPr>
  </w:style>
  <w:style w:type="paragraph" w:customStyle="1" w:styleId="247">
    <w:name w:val="索引 41"/>
    <w:next w:val="1"/>
    <w:autoRedefine/>
    <w:unhideWhenUsed/>
    <w:qFormat/>
    <w:uiPriority w:val="99"/>
    <w:pPr>
      <w:ind w:left="600"/>
    </w:pPr>
    <w:rPr>
      <w:rFonts w:ascii="Times New Roman" w:hAnsi="Times New Roman" w:eastAsia="宋体" w:cs="Times New Roman"/>
      <w:lang w:val="en-US" w:eastAsia="zh-CN" w:bidi="ar-SA"/>
    </w:rPr>
  </w:style>
  <w:style w:type="paragraph" w:customStyle="1" w:styleId="248">
    <w:name w:val="正文缩进1"/>
    <w:autoRedefine/>
    <w:qFormat/>
    <w:uiPriority w:val="0"/>
    <w:pPr>
      <w:ind w:firstLine="420"/>
    </w:pPr>
    <w:rPr>
      <w:rFonts w:ascii="Times New Roman" w:hAnsi="Times New Roman" w:eastAsia="宋体" w:cs="Times New Roman"/>
      <w:lang w:val="en-US" w:eastAsia="zh-CN" w:bidi="ar-SA"/>
    </w:rPr>
  </w:style>
  <w:style w:type="paragraph" w:customStyle="1" w:styleId="249">
    <w:name w:val="首行缩进"/>
    <w:autoRedefine/>
    <w:qFormat/>
    <w:uiPriority w:val="0"/>
    <w:pPr>
      <w:spacing w:line="360" w:lineRule="auto"/>
      <w:ind w:firstLine="420"/>
    </w:pPr>
    <w:rPr>
      <w:rFonts w:ascii="Times New Roman" w:hAnsi="Times New Roman" w:eastAsia="宋体" w:cs="Times New Roman"/>
      <w:sz w:val="20"/>
      <w:lang w:val="en-US" w:eastAsia="zh-CN" w:bidi="ar-SA"/>
    </w:rPr>
  </w:style>
  <w:style w:type="paragraph" w:customStyle="1" w:styleId="250">
    <w:name w:val="普通(网站)11"/>
    <w:autoRedefine/>
    <w:qFormat/>
    <w:uiPriority w:val="0"/>
    <w:pPr>
      <w:spacing w:before="100" w:beforeAutospacing="1" w:after="100" w:afterAutospacing="1"/>
      <w:ind w:left="0" w:right="0"/>
      <w:jc w:val="left"/>
    </w:pPr>
    <w:rPr>
      <w:rFonts w:ascii="Times New Roman" w:hAnsi="Times New Roman" w:eastAsia="宋体" w:cs="Times New Roman"/>
      <w:sz w:val="24"/>
      <w:lang w:val="en-US" w:eastAsia="zh-CN" w:bidi="ar-SA"/>
    </w:rPr>
  </w:style>
  <w:style w:type="paragraph" w:customStyle="1" w:styleId="251">
    <w:name w:val="标题 31"/>
    <w:next w:val="248"/>
    <w:autoRedefine/>
    <w:qFormat/>
    <w:uiPriority w:val="0"/>
    <w:pPr>
      <w:keepNext/>
      <w:keepLines/>
      <w:spacing w:before="260" w:after="260" w:line="416" w:lineRule="auto"/>
      <w:outlineLvl w:val="2"/>
    </w:pPr>
    <w:rPr>
      <w:rFonts w:ascii="Times New Roman" w:hAnsi="Times New Roman" w:eastAsia="宋体" w:cs="Times New Roman"/>
      <w:b/>
      <w:bCs/>
      <w:sz w:val="32"/>
      <w:szCs w:val="32"/>
      <w:lang w:val="en-US" w:eastAsia="zh-CN" w:bidi="ar-SA"/>
    </w:rPr>
  </w:style>
  <w:style w:type="paragraph" w:customStyle="1" w:styleId="252">
    <w:name w:val="WPSOffice手动目录 1"/>
    <w:qFormat/>
    <w:uiPriority w:val="0"/>
    <w:pPr>
      <w:ind w:leftChars="0"/>
    </w:pPr>
    <w:rPr>
      <w:rFonts w:ascii="Times New Roman" w:hAnsi="Times New Roman" w:eastAsia="宋体" w:cs="Times New Roman"/>
      <w:sz w:val="20"/>
      <w:szCs w:val="20"/>
    </w:rPr>
  </w:style>
  <w:style w:type="paragraph" w:customStyle="1" w:styleId="253">
    <w:name w:val="WPSOffice手动目录 2"/>
    <w:qFormat/>
    <w:uiPriority w:val="0"/>
    <w:pPr>
      <w:ind w:leftChars="200"/>
    </w:pPr>
    <w:rPr>
      <w:rFonts w:ascii="Times New Roman" w:hAnsi="Times New Roman" w:eastAsia="宋体" w:cs="Times New Roman"/>
      <w:sz w:val="20"/>
      <w:szCs w:val="20"/>
    </w:rPr>
  </w:style>
  <w:style w:type="paragraph" w:customStyle="1" w:styleId="254">
    <w:name w:val="WPSOffice手动目录 3"/>
    <w:qFormat/>
    <w:uiPriority w:val="0"/>
    <w:pPr>
      <w:ind w:leftChars="400"/>
    </w:pPr>
    <w:rPr>
      <w:rFonts w:ascii="Times New Roman" w:hAnsi="Times New Roman" w:eastAsia="宋体" w:cs="Times New Roman"/>
      <w:sz w:val="20"/>
      <w:szCs w:val="20"/>
    </w:rPr>
  </w:style>
  <w:style w:type="paragraph" w:customStyle="1" w:styleId="255">
    <w:name w:val="列表段落1"/>
    <w:basedOn w:val="1"/>
    <w:qFormat/>
    <w:uiPriority w:val="99"/>
    <w:pPr>
      <w:ind w:firstLine="420" w:firstLineChars="200"/>
    </w:pPr>
    <w:rPr>
      <w:szCs w:val="20"/>
    </w:rPr>
  </w:style>
  <w:style w:type="paragraph" w:customStyle="1" w:styleId="256">
    <w:name w:val="正文文本12"/>
    <w:qFormat/>
    <w:uiPriority w:val="1"/>
    <w:pPr>
      <w:ind w:left="12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17523</Words>
  <Characters>18734</Characters>
  <TotalTime>59</TotalTime>
  <ScaleCrop>false</ScaleCrop>
  <LinksUpToDate>false</LinksUpToDate>
  <CharactersWithSpaces>19659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2023-05-10T08:45:00Z</dcterms:created>
  <dc:creator>陈畅</dc:creator>
  <cp:lastModifiedBy>.</cp:lastModifiedBy>
  <cp:lastPrinted>2025-11-04T04:02:00Z</cp:lastPrinted>
  <dcterms:modified xsi:type="dcterms:W3CDTF">2025-11-04T07:29:23Z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3F90697697C94E3F8CA6498CE14FDD79_13</vt:lpwstr>
  </property>
  <property fmtid="{D5CDD505-2E9C-101B-9397-08002B2CF9AE}" pid="4" name="KSOTemplateDocerSaveRecord">
    <vt:lpwstr>eyJoZGlkIjoiNmIzZDU4ZDMxMzNiMTA1M2Q5MGY2MGNhNjEwNWJmYjQiLCJ1c2VySWQiOiIxMzgyNzI3ODYxIn0=</vt:lpwstr>
  </property>
</Properties>
</file>