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2"/>
        <w:jc w:val="left"/>
        <w:spacing w:line="360" w:lineRule="auto"/>
        <w:rPr>
          <w:rFonts w:hint="eastAsia" w:ascii="宋体" w:hAnsi="宋体" w:eastAsia="宋体" w:cs="宋体"/>
          <w:b/>
          <w:bCs/>
          <w:spacing w:val="80"/>
          <w:sz w:val="64"/>
          <w:szCs w:val="20"/>
        </w:rPr>
      </w:pPr>
      <w:r>
        <w:rPr>
          <w:rFonts w:hint="eastAsia" w:ascii="宋体" w:hAnsi="宋体" w:eastAsia="宋体" w:cs="宋体"/>
          <w:b/>
          <w:bCs/>
          <w:spacing w:val="80"/>
          <w:sz w:val="64"/>
          <w:szCs w:val="20"/>
        </w:rPr>
      </w:r>
      <w:r/>
    </w:p>
    <w:p>
      <w:pPr>
        <w:pStyle w:val="752"/>
        <w:jc w:val="center"/>
        <w:spacing w:line="360" w:lineRule="auto"/>
        <w:rPr>
          <w:rFonts w:hint="eastAsia" w:ascii="宋体" w:hAnsi="宋体" w:eastAsia="宋体" w:cs="宋体"/>
          <w:b/>
          <w:bCs/>
          <w:spacing w:val="80"/>
          <w:sz w:val="72"/>
          <w:szCs w:val="72"/>
        </w:rPr>
      </w:pPr>
      <w:r>
        <w:rPr>
          <w:rFonts w:hint="eastAsia" w:ascii="宋体" w:hAnsi="宋体" w:eastAsia="宋体" w:cs="宋体"/>
          <w:b/>
          <w:bCs/>
          <w:spacing w:val="80"/>
          <w:sz w:val="72"/>
          <w:szCs w:val="72"/>
        </w:rPr>
        <w:t xml:space="preserve">连云港市政府采购</w:t>
      </w:r>
      <w:r>
        <w:rPr>
          <w:rFonts w:hint="eastAsia" w:ascii="宋体" w:hAnsi="宋体" w:eastAsia="宋体" w:cs="宋体"/>
          <w:b/>
          <w:bCs/>
          <w:spacing w:val="80"/>
          <w:sz w:val="72"/>
          <w:szCs w:val="72"/>
        </w:rPr>
      </w:r>
      <w:r/>
    </w:p>
    <w:p>
      <w:pPr>
        <w:pStyle w:val="752"/>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752"/>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752"/>
        <w:jc w:val="center"/>
        <w:spacing w:line="360" w:lineRule="auto"/>
        <w:rPr>
          <w:rFonts w:hint="eastAsia" w:ascii="宋体" w:hAnsi="宋体" w:eastAsia="宋体" w:cs="宋体"/>
          <w:b/>
          <w:bCs/>
          <w:spacing w:val="80"/>
          <w:sz w:val="72"/>
          <w:szCs w:val="72"/>
        </w:rPr>
      </w:pPr>
      <w:r>
        <w:rPr>
          <w:rFonts w:hint="eastAsia" w:ascii="宋体" w:hAnsi="宋体" w:eastAsia="宋体" w:cs="宋体"/>
          <w:b/>
          <w:bCs/>
          <w:spacing w:val="80"/>
          <w:sz w:val="72"/>
          <w:szCs w:val="72"/>
        </w:rPr>
        <w:t xml:space="preserve">招标文件</w:t>
      </w:r>
      <w:r>
        <w:rPr>
          <w:rFonts w:hint="eastAsia" w:ascii="宋体" w:hAnsi="宋体" w:eastAsia="宋体" w:cs="宋体"/>
          <w:b/>
          <w:bCs/>
          <w:spacing w:val="80"/>
          <w:sz w:val="72"/>
          <w:szCs w:val="72"/>
        </w:rPr>
      </w:r>
      <w:r/>
    </w:p>
    <w:p>
      <w:pPr>
        <w:pStyle w:val="752"/>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752"/>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752"/>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752"/>
        <w:ind w:left="840" w:firstLine="611"/>
        <w:spacing w:line="360" w:lineRule="auto"/>
        <w:rPr>
          <w:rFonts w:ascii="宋体" w:hAnsi="宋体" w:eastAsia="宋体" w:cs="宋体"/>
          <w:b/>
          <w:bCs/>
          <w:spacing w:val="16"/>
          <w:sz w:val="44"/>
          <w:szCs w:val="24"/>
          <w:lang w:val="en-US"/>
        </w:rPr>
        <w:outlineLvl w:val="0"/>
      </w:pPr>
      <w:r>
        <w:rPr>
          <w:rFonts w:hint="eastAsia" w:ascii="宋体" w:hAnsi="宋体" w:eastAsia="宋体" w:cs="宋体"/>
          <w:b/>
          <w:bCs/>
          <w:sz w:val="32"/>
          <w:szCs w:val="24"/>
          <w:lang w:val="en-US" w:eastAsia="zh-CN"/>
        </w:rPr>
        <w:t xml:space="preserve">项目</w:t>
      </w:r>
      <w:r>
        <w:rPr>
          <w:rFonts w:hint="eastAsia" w:ascii="宋体" w:hAnsi="宋体" w:eastAsia="宋体" w:cs="宋体"/>
          <w:b/>
          <w:bCs/>
          <w:sz w:val="32"/>
          <w:szCs w:val="24"/>
        </w:rPr>
        <w:t xml:space="preserve">名称：</w:t>
      </w:r>
      <w:r>
        <w:rPr>
          <w:rFonts w:hint="eastAsia" w:ascii="宋体" w:hAnsi="宋体" w:eastAsia="宋体" w:cs="宋体"/>
          <w:b/>
          <w:bCs/>
          <w:sz w:val="32"/>
          <w:szCs w:val="24"/>
          <w:lang w:val="en-US" w:eastAsia="zh-CN"/>
        </w:rPr>
        <w:t xml:space="preserve">人工智能（AI）技术实训中心二次</w:t>
      </w:r>
      <w:r>
        <w:rPr>
          <w:rFonts w:ascii="宋体" w:hAnsi="宋体" w:eastAsia="宋体" w:cs="宋体"/>
          <w:b/>
          <w:bCs/>
          <w:spacing w:val="16"/>
          <w:sz w:val="44"/>
          <w:szCs w:val="24"/>
          <w:lang w:val="en-US"/>
        </w:rPr>
      </w:r>
      <w:r/>
    </w:p>
    <w:p>
      <w:pPr>
        <w:pStyle w:val="752"/>
        <w:ind w:left="840" w:firstLine="611"/>
        <w:spacing w:line="360" w:lineRule="auto"/>
        <w:rPr>
          <w:rFonts w:hint="eastAsia" w:ascii="宋体" w:hAnsi="宋体" w:eastAsia="宋体" w:cs="宋体"/>
          <w:b/>
          <w:bCs/>
          <w:color w:val="000000"/>
          <w:sz w:val="32"/>
          <w:szCs w:val="24"/>
          <w:lang w:val="en-US" w:eastAsia="zh-CN"/>
        </w:rPr>
        <w:outlineLvl w:val="0"/>
      </w:pPr>
      <w:r>
        <w:rPr>
          <w:rFonts w:hint="eastAsia" w:ascii="宋体" w:hAnsi="宋体" w:eastAsia="宋体" w:cs="宋体"/>
          <w:b/>
          <w:bCs/>
          <w:color w:val="000000"/>
          <w:sz w:val="32"/>
          <w:szCs w:val="24"/>
          <w:lang w:val="en-US" w:eastAsia="zh-CN"/>
        </w:rPr>
        <w:t xml:space="preserve">项目</w:t>
      </w:r>
      <w:r>
        <w:rPr>
          <w:rFonts w:hint="eastAsia" w:ascii="宋体" w:hAnsi="宋体" w:eastAsia="宋体" w:cs="宋体"/>
          <w:b/>
          <w:bCs/>
          <w:color w:val="000000"/>
          <w:sz w:val="32"/>
          <w:szCs w:val="24"/>
        </w:rPr>
        <w:t xml:space="preserve">编号：</w:t>
      </w:r>
      <w:r>
        <w:rPr>
          <w:rFonts w:hint="eastAsia" w:ascii="宋体" w:hAnsi="宋体" w:eastAsia="宋体" w:cs="宋体"/>
          <w:b/>
          <w:bCs/>
          <w:color w:val="000000"/>
          <w:sz w:val="32"/>
          <w:szCs w:val="24"/>
          <w:lang w:eastAsia="zh-CN"/>
        </w:rPr>
        <w:t xml:space="preserve">JSZC-320700-ZHDH-G2024-0032</w:t>
      </w:r>
      <w:r>
        <w:rPr>
          <w:rFonts w:hint="eastAsia" w:ascii="宋体" w:hAnsi="宋体" w:eastAsia="宋体" w:cs="宋体"/>
          <w:b/>
          <w:bCs/>
          <w:color w:val="000000"/>
          <w:sz w:val="32"/>
          <w:szCs w:val="24"/>
          <w:lang w:val="en-US" w:eastAsia="zh-CN"/>
        </w:rPr>
      </w:r>
      <w:r/>
    </w:p>
    <w:p>
      <w:pPr>
        <w:pStyle w:val="752"/>
        <w:spacing w:line="360" w:lineRule="auto"/>
        <w:rPr>
          <w:rFonts w:hint="eastAsia" w:ascii="宋体" w:hAnsi="宋体" w:eastAsia="宋体" w:cs="宋体"/>
          <w:szCs w:val="24"/>
        </w:rPr>
      </w:pPr>
      <w:r>
        <w:rPr>
          <w:rFonts w:hint="eastAsia" w:ascii="宋体" w:hAnsi="宋体" w:eastAsia="宋体" w:cs="宋体"/>
          <w:szCs w:val="24"/>
        </w:rPr>
      </w:r>
      <w:r/>
    </w:p>
    <w:p>
      <w:pPr>
        <w:pStyle w:val="752"/>
        <w:ind w:right="-993"/>
        <w:spacing w:line="360" w:lineRule="auto"/>
        <w:rPr>
          <w:rFonts w:hint="eastAsia" w:ascii="宋体" w:hAnsi="宋体" w:eastAsia="宋体" w:cs="宋体"/>
          <w:szCs w:val="20"/>
        </w:rPr>
      </w:pPr>
      <w:r>
        <w:rPr>
          <w:rFonts w:hint="eastAsia" w:ascii="宋体" w:hAnsi="宋体" w:eastAsia="宋体" w:cs="宋体"/>
          <w:szCs w:val="20"/>
        </w:rPr>
      </w:r>
      <w:r/>
    </w:p>
    <w:p>
      <w:pPr>
        <w:pStyle w:val="752"/>
        <w:ind w:right="-993"/>
        <w:spacing w:line="360" w:lineRule="auto"/>
        <w:rPr>
          <w:rFonts w:hint="eastAsia" w:ascii="宋体" w:hAnsi="宋体" w:eastAsia="宋体" w:cs="宋体"/>
          <w:szCs w:val="20"/>
        </w:rPr>
      </w:pPr>
      <w:r>
        <w:rPr>
          <w:rFonts w:hint="eastAsia" w:ascii="宋体" w:hAnsi="宋体" w:eastAsia="宋体" w:cs="宋体"/>
          <w:szCs w:val="20"/>
        </w:rPr>
      </w:r>
      <w:r/>
    </w:p>
    <w:p>
      <w:pPr>
        <w:pStyle w:val="752"/>
        <w:ind w:right="-993"/>
        <w:spacing w:line="360" w:lineRule="auto"/>
        <w:rPr>
          <w:rFonts w:hint="eastAsia" w:ascii="宋体" w:hAnsi="宋体" w:eastAsia="宋体" w:cs="宋体"/>
          <w:szCs w:val="20"/>
        </w:rPr>
      </w:pPr>
      <w:r>
        <w:rPr>
          <w:rFonts w:hint="eastAsia" w:ascii="宋体" w:hAnsi="宋体" w:eastAsia="宋体" w:cs="宋体"/>
          <w:szCs w:val="20"/>
        </w:rPr>
      </w:r>
      <w:r/>
    </w:p>
    <w:p>
      <w:pPr>
        <w:pStyle w:val="752"/>
        <w:ind w:left="840" w:firstLine="640"/>
        <w:spacing w:before="120" w:after="120" w:line="360" w:lineRule="auto"/>
        <w:rPr>
          <w:rFonts w:hint="eastAsia" w:ascii="宋体" w:hAnsi="宋体" w:eastAsia="宋体" w:cs="宋体"/>
          <w:bCs/>
          <w:sz w:val="32"/>
          <w:szCs w:val="24"/>
          <w:lang w:eastAsia="zh-CN"/>
        </w:rPr>
      </w:pPr>
      <w:r>
        <w:rPr>
          <w:rFonts w:hint="eastAsia" w:ascii="宋体" w:hAnsi="宋体" w:eastAsia="宋体" w:cs="宋体"/>
          <w:bCs/>
          <w:sz w:val="32"/>
          <w:szCs w:val="24"/>
        </w:rPr>
        <w:t xml:space="preserve">采   购   人：</w:t>
      </w:r>
      <w:r>
        <w:rPr>
          <w:rFonts w:hint="eastAsia" w:ascii="宋体" w:hAnsi="宋体" w:eastAsia="宋体" w:cs="宋体"/>
          <w:bCs/>
          <w:sz w:val="32"/>
          <w:szCs w:val="24"/>
          <w:lang w:eastAsia="zh-CN"/>
        </w:rPr>
        <w:t xml:space="preserve">连云港职业技术学院</w:t>
      </w:r>
      <w:r>
        <w:rPr>
          <w:rFonts w:hint="eastAsia" w:ascii="宋体" w:hAnsi="宋体" w:eastAsia="宋体" w:cs="宋体"/>
          <w:bCs/>
          <w:sz w:val="32"/>
          <w:szCs w:val="24"/>
          <w:lang w:eastAsia="zh-CN"/>
        </w:rPr>
      </w:r>
      <w:r/>
    </w:p>
    <w:p>
      <w:pPr>
        <w:pStyle w:val="752"/>
        <w:ind w:left="840" w:firstLine="640"/>
        <w:jc w:val="left"/>
        <w:spacing w:before="120" w:after="120" w:line="360" w:lineRule="auto"/>
        <w:rPr>
          <w:rFonts w:hint="eastAsia" w:ascii="宋体" w:hAnsi="宋体" w:eastAsia="宋体" w:cs="宋体"/>
          <w:bCs/>
          <w:sz w:val="32"/>
          <w:szCs w:val="24"/>
          <w:lang w:eastAsia="zh-CN"/>
        </w:rPr>
      </w:pPr>
      <w:r>
        <w:rPr>
          <w:rFonts w:hint="eastAsia" w:ascii="宋体" w:hAnsi="宋体" w:eastAsia="宋体" w:cs="宋体"/>
          <w:bCs/>
          <w:sz w:val="32"/>
          <w:szCs w:val="24"/>
        </w:rPr>
        <w:t xml:space="preserve">采购代理机构：</w:t>
      </w:r>
      <w:r>
        <w:rPr>
          <w:rFonts w:hint="eastAsia" w:ascii="宋体" w:hAnsi="宋体" w:eastAsia="宋体" w:cs="宋体"/>
          <w:bCs/>
          <w:sz w:val="32"/>
          <w:szCs w:val="24"/>
          <w:lang w:eastAsia="zh-CN"/>
        </w:rPr>
        <w:t xml:space="preserve">中和德汇工程技术有限公司</w:t>
      </w:r>
      <w:r>
        <w:rPr>
          <w:rFonts w:hint="eastAsia" w:ascii="宋体" w:hAnsi="宋体" w:eastAsia="宋体" w:cs="宋体"/>
          <w:bCs/>
          <w:sz w:val="32"/>
          <w:szCs w:val="24"/>
          <w:lang w:eastAsia="zh-CN"/>
        </w:rPr>
      </w:r>
      <w:r/>
    </w:p>
    <w:p>
      <w:pPr>
        <w:pStyle w:val="752"/>
        <w:ind w:right="-993"/>
        <w:jc w:val="center"/>
        <w:spacing w:line="360" w:lineRule="auto"/>
        <w:rPr>
          <w:rFonts w:hint="eastAsia" w:ascii="宋体" w:hAnsi="宋体" w:eastAsia="宋体" w:cs="宋体"/>
          <w:b/>
          <w:sz w:val="36"/>
          <w:szCs w:val="20"/>
        </w:rPr>
      </w:pPr>
      <w:r>
        <w:rPr>
          <w:rFonts w:hint="eastAsia" w:ascii="宋体" w:hAnsi="宋体" w:eastAsia="宋体" w:cs="宋体"/>
          <w:sz w:val="28"/>
          <w:szCs w:val="24"/>
        </w:rPr>
        <w:t xml:space="preserve">2024年</w:t>
      </w:r>
      <w:r>
        <w:rPr>
          <w:rFonts w:hint="eastAsia" w:ascii="宋体" w:hAnsi="宋体" w:eastAsia="宋体" w:cs="宋体"/>
          <w:sz w:val="28"/>
          <w:szCs w:val="24"/>
          <w:lang w:val="en-US" w:eastAsia="zh-CN"/>
        </w:rPr>
        <w:t xml:space="preserve">10</w:t>
      </w:r>
      <w:r>
        <w:rPr>
          <w:rFonts w:hint="eastAsia" w:ascii="宋体" w:hAnsi="宋体" w:eastAsia="宋体" w:cs="宋体"/>
          <w:sz w:val="28"/>
          <w:szCs w:val="24"/>
        </w:rPr>
        <w:t xml:space="preserve">月</w:t>
      </w:r>
      <w:r>
        <w:rPr>
          <w:rFonts w:hint="eastAsia" w:ascii="宋体" w:hAnsi="宋体" w:eastAsia="宋体" w:cs="宋体"/>
          <w:b/>
          <w:sz w:val="28"/>
          <w:szCs w:val="20"/>
        </w:rPr>
        <w:br w:type="page" w:clear="all"/>
      </w:r>
      <w:bookmarkStart w:id="0" w:name="_Toc3580"/>
      <w:r>
        <w:rPr>
          <w:rFonts w:hint="eastAsia" w:ascii="宋体" w:hAnsi="宋体" w:eastAsia="宋体" w:cs="宋体"/>
          <w:sz w:val="36"/>
          <w:szCs w:val="20"/>
        </w:rPr>
        <w:t xml:space="preserve">目     录</w:t>
      </w:r>
      <w:bookmarkEnd w:id="0"/>
      <w:r>
        <w:rPr>
          <w:rFonts w:hint="eastAsia" w:ascii="宋体" w:hAnsi="宋体" w:eastAsia="宋体" w:cs="宋体"/>
          <w:b/>
          <w:sz w:val="36"/>
          <w:szCs w:val="20"/>
        </w:rPr>
      </w:r>
      <w:r/>
    </w:p>
    <w:p>
      <w:pPr>
        <w:pStyle w:val="752"/>
        <w:spacing w:line="360" w:lineRule="auto"/>
        <w:tabs>
          <w:tab w:val="right" w:pos="9638" w:leader="dot"/>
        </w:tabs>
        <w:rPr>
          <w:rFonts w:hint="eastAsia" w:ascii="宋体" w:hAnsi="宋体" w:eastAsia="宋体" w:cs="宋体"/>
          <w:bCs/>
          <w:sz w:val="28"/>
          <w:szCs w:val="28"/>
        </w:rPr>
      </w:pPr>
      <w:r>
        <w:rPr>
          <w:rFonts w:hint="eastAsia" w:ascii="宋体" w:hAnsi="宋体" w:eastAsia="宋体" w:cs="宋体"/>
          <w:b/>
          <w:bCs/>
          <w:i/>
          <w:iCs/>
          <w:sz w:val="28"/>
          <w:szCs w:val="28"/>
        </w:rPr>
        <w:fldChar w:fldCharType="begin"/>
      </w:r>
      <w:r>
        <w:rPr>
          <w:rFonts w:hint="eastAsia" w:ascii="宋体" w:hAnsi="宋体" w:eastAsia="宋体" w:cs="宋体"/>
          <w:b/>
          <w:bCs/>
          <w:i/>
          <w:iCs/>
          <w:sz w:val="28"/>
          <w:szCs w:val="28"/>
        </w:rPr>
        <w:instrText xml:space="preserve">TOC \o "1-1" \h \u </w:instrText>
      </w:r>
      <w:r>
        <w:rPr>
          <w:rFonts w:hint="eastAsia" w:ascii="宋体" w:hAnsi="宋体" w:eastAsia="宋体" w:cs="宋体"/>
          <w:b/>
          <w:bCs/>
          <w:i/>
          <w:iCs/>
          <w:sz w:val="28"/>
          <w:szCs w:val="28"/>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"_Toc15864" </w:instrText>
      </w:r>
      <w:r>
        <w:rPr>
          <w:rFonts w:hint="eastAsia" w:ascii="宋体" w:hAnsi="宋体" w:eastAsia="宋体" w:cs="宋体"/>
        </w:rPr>
        <w:fldChar w:fldCharType="separate"/>
      </w:r>
      <w:r>
        <w:rPr>
          <w:rFonts w:hint="eastAsia" w:ascii="宋体" w:hAnsi="宋体" w:eastAsia="宋体" w:cs="宋体"/>
          <w:bCs/>
          <w:sz w:val="28"/>
          <w:szCs w:val="28"/>
        </w:rPr>
        <w:t xml:space="preserve">第一章  投标邀请</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rPr>
        <w:fldChar w:fldCharType="end"/>
      </w:r>
      <w:r>
        <w:rPr>
          <w:rFonts w:hint="eastAsia" w:ascii="宋体" w:hAnsi="宋体" w:eastAsia="宋体" w:cs="宋体"/>
          <w:bCs/>
          <w:sz w:val="28"/>
          <w:szCs w:val="28"/>
        </w:rPr>
      </w:r>
      <w:r/>
    </w:p>
    <w:p>
      <w:pPr>
        <w:pStyle w:val="752"/>
        <w:spacing w:line="360" w:lineRule="auto"/>
        <w:tabs>
          <w:tab w:val="right" w:pos="9638" w:leader="dot"/>
        </w:tabs>
        <w:rPr>
          <w:rFonts w:hint="eastAsia" w:ascii="宋体" w:hAnsi="宋体" w:eastAsia="宋体" w:cs="宋体"/>
          <w:bCs/>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"_Toc21118" </w:instrText>
      </w:r>
      <w:r>
        <w:rPr>
          <w:rFonts w:hint="eastAsia" w:ascii="宋体" w:hAnsi="宋体" w:eastAsia="宋体" w:cs="宋体"/>
        </w:rPr>
        <w:fldChar w:fldCharType="separate"/>
      </w:r>
      <w:r>
        <w:rPr>
          <w:rFonts w:hint="eastAsia" w:ascii="宋体" w:hAnsi="宋体" w:eastAsia="宋体" w:cs="宋体"/>
          <w:bCs/>
          <w:sz w:val="28"/>
          <w:szCs w:val="28"/>
        </w:rPr>
        <w:t xml:space="preserve">第二章  投标人须知</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6</w:t>
      </w:r>
      <w:r>
        <w:rPr>
          <w:rFonts w:hint="eastAsia" w:ascii="宋体" w:hAnsi="宋体" w:eastAsia="宋体" w:cs="宋体"/>
          <w:bCs/>
          <w:sz w:val="28"/>
          <w:szCs w:val="28"/>
        </w:rPr>
        <w:fldChar w:fldCharType="end"/>
      </w:r>
      <w:r>
        <w:rPr>
          <w:rFonts w:hint="eastAsia" w:ascii="宋体" w:hAnsi="宋体" w:eastAsia="宋体" w:cs="宋体"/>
          <w:bCs/>
          <w:sz w:val="28"/>
          <w:szCs w:val="28"/>
        </w:rPr>
      </w:r>
      <w:r/>
    </w:p>
    <w:p>
      <w:pPr>
        <w:pStyle w:val="752"/>
        <w:spacing w:line="360" w:lineRule="auto"/>
        <w:tabs>
          <w:tab w:val="right" w:pos="9638" w:leader="dot"/>
        </w:tabs>
        <w:rPr>
          <w:rFonts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"_Toc32045" </w:instrText>
      </w:r>
      <w:r>
        <w:rPr>
          <w:rFonts w:hint="eastAsia" w:ascii="宋体" w:hAnsi="宋体" w:eastAsia="宋体" w:cs="宋体"/>
        </w:rPr>
        <w:fldChar w:fldCharType="separate"/>
      </w:r>
      <w:r>
        <w:rPr>
          <w:rFonts w:hint="eastAsia" w:ascii="宋体" w:hAnsi="宋体" w:eastAsia="宋体" w:cs="宋体"/>
          <w:bCs/>
          <w:sz w:val="28"/>
          <w:szCs w:val="28"/>
        </w:rPr>
        <w:t xml:space="preserve">第三章  政府采购合同格式</w:t>
      </w:r>
      <w:r>
        <w:rPr>
          <w:rFonts w:hint="eastAsia" w:ascii="宋体" w:hAnsi="宋体" w:eastAsia="宋体" w:cs="宋体"/>
          <w:bCs/>
          <w:sz w:val="28"/>
          <w:szCs w:val="28"/>
        </w:rPr>
        <w:tab/>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 xml:space="preserve">21</w:t>
      </w:r>
      <w:r>
        <w:rPr>
          <w:rFonts w:ascii="宋体" w:hAnsi="宋体" w:eastAsia="宋体" w:cs="宋体"/>
          <w:bCs/>
          <w:sz w:val="28"/>
          <w:szCs w:val="28"/>
          <w:lang w:val="en-US" w:eastAsia="zh-CN"/>
        </w:rPr>
      </w:r>
      <w:r/>
    </w:p>
    <w:p>
      <w:pPr>
        <w:pStyle w:val="752"/>
        <w:spacing w:line="360" w:lineRule="auto"/>
        <w:tabs>
          <w:tab w:val="right" w:pos="9638" w:leader="dot"/>
        </w:tabs>
        <w:rPr>
          <w:rFonts w:hint="eastAsia"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"_Toc841" </w:instrText>
      </w:r>
      <w:r>
        <w:rPr>
          <w:rFonts w:hint="eastAsia" w:ascii="宋体" w:hAnsi="宋体" w:eastAsia="宋体" w:cs="宋体"/>
        </w:rPr>
        <w:fldChar w:fldCharType="separate"/>
      </w:r>
      <w:r>
        <w:rPr>
          <w:rFonts w:hint="eastAsia" w:ascii="宋体" w:hAnsi="宋体" w:eastAsia="宋体" w:cs="宋体"/>
          <w:bCs/>
          <w:sz w:val="28"/>
          <w:szCs w:val="28"/>
        </w:rPr>
        <w:t xml:space="preserve">第四章  投标文件格式</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 xml:space="preserve">6</w:t>
      </w:r>
      <w:r>
        <w:rPr>
          <w:rFonts w:hint="eastAsia" w:ascii="宋体" w:hAnsi="宋体" w:eastAsia="宋体" w:cs="宋体"/>
          <w:bCs/>
          <w:sz w:val="28"/>
          <w:szCs w:val="28"/>
          <w:lang w:val="en-US" w:eastAsia="zh-CN"/>
        </w:rPr>
      </w:r>
      <w:r/>
    </w:p>
    <w:p>
      <w:pPr>
        <w:pStyle w:val="752"/>
        <w:spacing w:line="360" w:lineRule="auto"/>
        <w:tabs>
          <w:tab w:val="right" w:pos="9638" w:leader="dot"/>
        </w:tabs>
        <w:rPr>
          <w:rFonts w:hint="eastAsia"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"_Toc25008" </w:instrText>
      </w:r>
      <w:r>
        <w:rPr>
          <w:rFonts w:hint="eastAsia" w:ascii="宋体" w:hAnsi="宋体" w:eastAsia="宋体" w:cs="宋体"/>
        </w:rPr>
        <w:fldChar w:fldCharType="separate"/>
      </w:r>
      <w:r>
        <w:rPr>
          <w:rFonts w:hint="eastAsia" w:ascii="宋体" w:hAnsi="宋体" w:eastAsia="宋体" w:cs="宋体"/>
          <w:bCs/>
          <w:sz w:val="28"/>
          <w:szCs w:val="28"/>
        </w:rPr>
        <w:t xml:space="preserve">第五章  合同专用条款表</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lang w:val="en-US" w:eastAsia="zh-CN"/>
        </w:rPr>
      </w:r>
      <w:r/>
    </w:p>
    <w:p>
      <w:pPr>
        <w:pStyle w:val="752"/>
        <w:spacing w:line="360" w:lineRule="auto"/>
        <w:tabs>
          <w:tab w:val="right" w:pos="9638" w:leader="dot"/>
        </w:tabs>
        <w:rPr>
          <w:rFonts w:hint="eastAsia"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"_Toc10937" </w:instrText>
      </w:r>
      <w:r>
        <w:rPr>
          <w:rFonts w:hint="eastAsia" w:ascii="宋体" w:hAnsi="宋体" w:eastAsia="宋体" w:cs="宋体"/>
        </w:rPr>
        <w:fldChar w:fldCharType="separate"/>
      </w:r>
      <w:r>
        <w:rPr>
          <w:rFonts w:hint="eastAsia" w:ascii="宋体" w:hAnsi="宋体" w:eastAsia="宋体" w:cs="宋体"/>
          <w:bCs/>
          <w:sz w:val="28"/>
          <w:szCs w:val="28"/>
        </w:rPr>
        <w:t xml:space="preserve">第六章  项目需求</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lang w:val="en-US" w:eastAsia="zh-CN"/>
        </w:rPr>
      </w:r>
      <w:r/>
    </w:p>
    <w:p>
      <w:pPr>
        <w:pStyle w:val="752"/>
        <w:spacing w:line="360" w:lineRule="auto"/>
        <w:tabs>
          <w:tab w:val="right" w:pos="9638" w:leader="dot"/>
        </w:tabs>
        <w:rPr>
          <w:rFonts w:ascii="宋体" w:hAnsi="宋体" w:eastAsia="宋体" w:cs="宋体"/>
          <w:b/>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"_Toc16271" </w:instrText>
      </w:r>
      <w:r>
        <w:rPr>
          <w:rFonts w:hint="eastAsia" w:ascii="宋体" w:hAnsi="宋体" w:eastAsia="宋体" w:cs="宋体"/>
        </w:rPr>
        <w:fldChar w:fldCharType="separate"/>
      </w:r>
      <w:r>
        <w:rPr>
          <w:rFonts w:hint="eastAsia" w:ascii="宋体" w:hAnsi="宋体" w:eastAsia="宋体" w:cs="宋体"/>
          <w:bCs/>
          <w:sz w:val="28"/>
          <w:szCs w:val="28"/>
        </w:rPr>
        <w:t xml:space="preserve">第七章  评标办法</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val="0"/>
          <w:bCs w:val="0"/>
          <w:sz w:val="28"/>
          <w:szCs w:val="28"/>
          <w:lang w:val="en-US" w:eastAsia="zh-CN"/>
        </w:rPr>
        <w:t xml:space="preserve">01</w:t>
      </w:r>
      <w:r>
        <w:rPr>
          <w:rFonts w:ascii="宋体" w:hAnsi="宋体" w:eastAsia="宋体" w:cs="宋体"/>
          <w:b/>
          <w:bCs/>
          <w:sz w:val="28"/>
          <w:szCs w:val="28"/>
          <w:lang w:val="en-US" w:eastAsia="zh-CN"/>
        </w:rPr>
      </w:r>
      <w:r/>
    </w:p>
    <w:p>
      <w:pPr>
        <w:pStyle w:val="752"/>
        <w:spacing w:line="360" w:lineRule="auto"/>
        <w:tabs>
          <w:tab w:val="right" w:pos="9638" w:leader="dot"/>
        </w:tabs>
        <w:rPr>
          <w:rFonts w:hint="eastAsia" w:ascii="宋体" w:hAnsi="宋体" w:eastAsia="宋体" w:cs="宋体"/>
          <w:b/>
          <w:bCs/>
          <w:sz w:val="28"/>
          <w:szCs w:val="28"/>
        </w:rPr>
      </w:pPr>
      <w:r>
        <w:rPr>
          <w:rFonts w:hint="eastAsia" w:ascii="宋体" w:hAnsi="宋体" w:eastAsia="宋体" w:cs="宋体"/>
          <w:b/>
          <w:bCs/>
          <w:sz w:val="28"/>
          <w:szCs w:val="28"/>
        </w:rPr>
      </w:r>
      <w:r/>
    </w:p>
    <w:p>
      <w:pPr>
        <w:pStyle w:val="752"/>
        <w:jc w:val="center"/>
        <w:keepLines/>
        <w:keepNext/>
        <w:spacing w:line="360" w:lineRule="auto"/>
        <w:rPr>
          <w:rFonts w:hint="eastAsia" w:ascii="宋体" w:hAnsi="宋体" w:eastAsia="宋体" w:cs="宋体"/>
          <w:sz w:val="36"/>
          <w:szCs w:val="20"/>
        </w:rPr>
        <w:sectPr>
          <w:headerReference w:type="default" r:id="rId9"/>
          <w:headerReference w:type="even" r:id="rId10"/>
          <w:headerReference w:type="first" r:id="rId11"/>
          <w:footerReference w:type="even" r:id="rId12"/>
          <w:footnotePr/>
          <w:endnotePr/>
          <w:type w:val="nextPage"/>
          <w:pgSz w:w="11906" w:h="16838" w:orient="portrait"/>
          <w:pgMar w:top="1134" w:right="1134" w:bottom="1134" w:left="1134" w:header="720" w:footer="720" w:gutter="0"/>
          <w:pgNumType w:start="1"/>
          <w:cols w:num="1" w:sep="0" w:space="1701" w:equalWidth="1"/>
          <w:docGrid w:linePitch="360"/>
          <w:titlePg/>
        </w:sectPr>
        <w:outlineLvl w:val="9"/>
      </w:pPr>
      <w:r/>
      <w:bookmarkStart w:id="1" w:name="_Toc15864"/>
      <w:r/>
      <w:bookmarkStart w:id="2" w:name="_Toc513622226"/>
      <w:r/>
      <w:bookmarkStart w:id="3" w:name="_Toc139967210"/>
      <w:r/>
      <w:bookmarkStart w:id="4" w:name="_Toc139966426"/>
      <w:r>
        <w:rPr>
          <w:rFonts w:hint="eastAsia" w:ascii="宋体" w:hAnsi="宋体" w:eastAsia="宋体" w:cs="宋体"/>
          <w:sz w:val="36"/>
          <w:szCs w:val="20"/>
        </w:rPr>
      </w:r>
      <w:r/>
    </w:p>
    <w:p>
      <w:pPr>
        <w:pStyle w:val="752"/>
        <w:jc w:val="center"/>
        <w:keepLines/>
        <w:keepNext/>
        <w:spacing w:line="360" w:lineRule="auto"/>
        <w:rPr>
          <w:rFonts w:hint="eastAsia" w:ascii="宋体" w:hAnsi="宋体" w:eastAsia="宋体" w:cs="宋体"/>
          <w:sz w:val="36"/>
          <w:szCs w:val="20"/>
        </w:rPr>
        <w:outlineLvl w:val="0"/>
      </w:pPr>
      <w:r>
        <w:rPr>
          <w:rFonts w:hint="eastAsia" w:ascii="宋体" w:hAnsi="宋体" w:eastAsia="宋体" w:cs="宋体"/>
          <w:sz w:val="36"/>
          <w:szCs w:val="20"/>
        </w:rPr>
        <w:t xml:space="preserve">第一章  投标邀请</w:t>
      </w:r>
      <w:bookmarkEnd w:id="1"/>
      <w:r/>
      <w:bookmarkEnd w:id="2"/>
      <w:r>
        <w:rPr>
          <w:rFonts w:hint="eastAsia" w:ascii="宋体" w:hAnsi="宋体" w:eastAsia="宋体" w:cs="宋体"/>
          <w:sz w:val="36"/>
          <w:szCs w:val="20"/>
        </w:rPr>
      </w:r>
      <w:r/>
    </w:p>
    <w:p>
      <w:pPr>
        <w:pStyle w:val="752"/>
        <w:ind w:firstLine="420"/>
        <w:spacing w:line="360" w:lineRule="auto"/>
        <w:rPr>
          <w:rFonts w:hint="eastAsia" w:ascii="宋体" w:hAnsi="宋体" w:eastAsia="宋体" w:cs="宋体"/>
          <w:szCs w:val="24"/>
        </w:rPr>
      </w:pPr>
      <w:r/>
      <w:bookmarkStart w:id="5" w:name="OLE_LINK2"/>
      <w:r/>
      <w:bookmarkStart w:id="6" w:name="OLE_LINK1"/>
      <w:r>
        <w:rPr>
          <w:rFonts w:hint="eastAsia" w:ascii="宋体" w:hAnsi="宋体" w:eastAsia="宋体" w:cs="宋体"/>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752"/>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项目概况</w:t>
            </w:r>
            <w:r>
              <w:rPr>
                <w:rFonts w:hint="eastAsia" w:ascii="宋体" w:hAnsi="宋体" w:eastAsia="宋体" w:cs="宋体"/>
                <w:sz w:val="24"/>
                <w:szCs w:val="24"/>
                <w:lang w:val="en-US" w:eastAsia="zh-CN" w:bidi="ar-SA"/>
              </w:rPr>
            </w:r>
            <w:r/>
          </w:p>
          <w:p>
            <w:pPr>
              <w:pStyle w:val="752"/>
              <w:ind w:left="0" w:right="0" w:firstLine="0"/>
              <w:jc w:val="both"/>
              <w:spacing w:before="0" w:after="0"/>
              <w:widowControl w:val="off"/>
              <w:rPr>
                <w:rFonts w:ascii="Calibri" w:hAnsi="Calibri" w:eastAsia="Arial" w:cs="Arial"/>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u w:val="single"/>
                <w:lang w:val="en-US" w:eastAsia="zh-CN" w:bidi="ar-SA"/>
              </w:rPr>
              <w:t xml:space="preserve">人工智能（AI）技术实训中心二次</w:t>
            </w:r>
            <w:r>
              <w:rPr>
                <w:rFonts w:hint="eastAsia" w:ascii="宋体" w:hAnsi="宋体" w:eastAsia="宋体" w:cs="宋体"/>
                <w:sz w:val="24"/>
                <w:szCs w:val="24"/>
                <w:lang w:val="en-US" w:eastAsia="zh-CN" w:bidi="ar-SA"/>
              </w:rPr>
              <w:t xml:space="preserve">招标项目的潜在投标人应在</w:t>
            </w:r>
            <w:r>
              <w:rPr>
                <w:rFonts w:hint="eastAsia" w:ascii="宋体" w:hAnsi="宋体" w:eastAsia="宋体" w:cs="宋体"/>
                <w:sz w:val="24"/>
                <w:szCs w:val="24"/>
                <w:u w:val="single"/>
                <w:lang w:val="en-US" w:eastAsia="zh-CN" w:bidi="ar-SA"/>
              </w:rPr>
              <w:t xml:space="preserve">江苏政府采购网</w:t>
            </w:r>
            <w:r>
              <w:rPr>
                <w:rFonts w:hint="eastAsia" w:ascii="宋体" w:hAnsi="宋体" w:eastAsia="宋体" w:cs="宋体"/>
                <w:sz w:val="24"/>
                <w:szCs w:val="24"/>
                <w:lang w:val="en-US" w:eastAsia="zh-CN" w:bidi="ar-SA"/>
              </w:rPr>
              <w:t xml:space="preserve">获取招标文件，并</w:t>
            </w:r>
            <w:r>
              <w:rPr>
                <w:rFonts w:ascii="宋体" w:hAnsi="宋体" w:eastAsia="宋体" w:cs="宋体"/>
                <w:color w:val="000000"/>
                <w:sz w:val="24"/>
                <w:szCs w:val="22"/>
                <w:lang w:val="en-US" w:eastAsia="zh-CN" w:bidi="ar-SA"/>
              </w:rPr>
              <w:t xml:space="preserve">于</w:t>
            </w:r>
            <w:r>
              <w:rPr>
                <w:rFonts w:ascii="宋体" w:hAnsi="宋体" w:eastAsia="宋体" w:cs="宋体"/>
                <w:color w:val="000000"/>
                <w:sz w:val="24"/>
                <w:szCs w:val="22"/>
                <w:u w:val="single"/>
                <w:lang w:val="en-US" w:eastAsia="zh-CN" w:bidi="ar-SA"/>
              </w:rPr>
              <w:t xml:space="preserve">2024年1</w:t>
            </w:r>
            <w:r>
              <w:rPr>
                <w:rFonts w:hint="eastAsia" w:ascii="宋体" w:hAnsi="宋体" w:eastAsia="宋体" w:cs="宋体"/>
                <w:color w:val="000000"/>
                <w:sz w:val="24"/>
                <w:szCs w:val="22"/>
                <w:u w:val="single"/>
                <w:lang w:val="en-US" w:eastAsia="zh-CN" w:bidi="ar-SA"/>
              </w:rPr>
              <w:t xml:space="preserve">1</w:t>
            </w:r>
            <w:r>
              <w:rPr>
                <w:rFonts w:ascii="宋体" w:hAnsi="宋体" w:eastAsia="宋体" w:cs="宋体"/>
                <w:color w:val="000000"/>
                <w:sz w:val="24"/>
                <w:szCs w:val="22"/>
                <w:u w:val="single"/>
                <w:lang w:val="en-US" w:eastAsia="zh-CN" w:bidi="ar-SA"/>
              </w:rPr>
              <w:t xml:space="preserve"> 月1</w:t>
            </w:r>
            <w:r>
              <w:rPr>
                <w:rFonts w:hint="eastAsia" w:ascii="宋体" w:hAnsi="宋体" w:eastAsia="宋体" w:cs="宋体"/>
                <w:color w:val="000000"/>
                <w:sz w:val="24"/>
                <w:szCs w:val="22"/>
                <w:u w:val="single"/>
                <w:lang w:val="en-US" w:eastAsia="zh-CN" w:bidi="ar-SA"/>
              </w:rPr>
              <w:t xml:space="preserve">1</w:t>
            </w:r>
            <w:r>
              <w:rPr>
                <w:rFonts w:ascii="宋体" w:hAnsi="宋体" w:eastAsia="宋体" w:cs="宋体"/>
                <w:color w:val="000000"/>
                <w:sz w:val="24"/>
                <w:szCs w:val="22"/>
                <w:u w:val="single"/>
                <w:lang w:val="en-US" w:eastAsia="zh-CN" w:bidi="ar-SA"/>
              </w:rPr>
              <w:t xml:space="preserve"> 日10点30分</w:t>
            </w:r>
            <w:r>
              <w:rPr>
                <w:rFonts w:ascii="宋体" w:hAnsi="宋体" w:eastAsia="宋体" w:cs="宋体"/>
                <w:color w:val="000000"/>
                <w:sz w:val="24"/>
                <w:szCs w:val="22"/>
                <w:lang w:val="en-US" w:eastAsia="zh-CN" w:bidi="ar-SA"/>
              </w:rPr>
              <w:t xml:space="preserve">（北京时间）前</w:t>
            </w:r>
            <w:r>
              <w:rPr>
                <w:rFonts w:ascii="宋体" w:hAnsi="宋体" w:eastAsia="宋体" w:cs="宋体"/>
                <w:b/>
                <w:color w:val="000000"/>
                <w:sz w:val="24"/>
                <w:szCs w:val="22"/>
                <w:lang w:val="en-US" w:eastAsia="zh-CN" w:bidi="ar-SA"/>
              </w:rPr>
              <w:t xml:space="preserve">上传电子投标文件</w:t>
            </w:r>
            <w:r>
              <w:rPr>
                <w:rFonts w:ascii="宋体" w:hAnsi="宋体" w:eastAsia="宋体" w:cs="宋体"/>
                <w:color w:val="000000"/>
                <w:sz w:val="24"/>
                <w:szCs w:val="22"/>
                <w:lang w:val="en-US" w:eastAsia="zh-CN" w:bidi="ar-SA"/>
              </w:rPr>
              <w:t xml:space="preserve">。</w:t>
            </w:r>
            <w:r>
              <w:rPr>
                <w:rFonts w:ascii="Calibri" w:hAnsi="Calibri" w:eastAsia="Arial" w:cs="Arial"/>
                <w:sz w:val="21"/>
                <w:szCs w:val="22"/>
                <w:lang w:val="en-US" w:eastAsia="zh-CN" w:bidi="ar-SA"/>
              </w:rPr>
            </w:r>
            <w:r/>
          </w:p>
          <w:p>
            <w:pPr>
              <w:pStyle w:val="752"/>
              <w:ind w:firstLine="480"/>
              <w:jc w:val="both"/>
              <w:spacing w:line="360"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tc>
      </w:tr>
    </w:tbl>
    <w:p>
      <w:pPr>
        <w:pStyle w:val="75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一、项目基本情况</w:t>
      </w:r>
      <w:r>
        <w:rPr>
          <w:rFonts w:hint="eastAsia" w:ascii="宋体" w:hAnsi="宋体" w:eastAsia="宋体" w:cs="宋体"/>
          <w:b/>
          <w:sz w:val="28"/>
          <w:szCs w:val="20"/>
        </w:rPr>
      </w:r>
      <w:r/>
    </w:p>
    <w:p>
      <w:pPr>
        <w:pStyle w:val="752"/>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编号</w:t>
      </w:r>
      <w:r>
        <w:rPr>
          <w:rFonts w:hint="eastAsia" w:ascii="宋体" w:hAnsi="宋体" w:eastAsia="宋体" w:cs="宋体"/>
          <w:color w:val="000000"/>
          <w:sz w:val="24"/>
          <w:szCs w:val="24"/>
          <w:lang w:val="en-US" w:eastAsia="zh-CN"/>
        </w:rPr>
        <w:t xml:space="preserve">：JSZC-320700-ZHDH-G2024-0032</w:t>
      </w:r>
      <w:r>
        <w:rPr>
          <w:rFonts w:hint="eastAsia" w:ascii="宋体" w:hAnsi="宋体" w:eastAsia="宋体" w:cs="宋体"/>
          <w:color w:val="000000"/>
          <w:sz w:val="24"/>
          <w:szCs w:val="24"/>
          <w:lang w:val="en-US" w:eastAsia="zh-CN"/>
        </w:rPr>
      </w:r>
      <w:r/>
    </w:p>
    <w:p>
      <w:pPr>
        <w:pStyle w:val="752"/>
        <w:ind w:firstLine="480"/>
        <w:spacing w:line="360" w:lineRule="auto"/>
        <w:rPr>
          <w:rFonts w:hint="eastAsia" w:ascii="宋体" w:hAnsi="宋体" w:eastAsia="宋体" w:cs="宋体"/>
          <w:sz w:val="24"/>
          <w:szCs w:val="24"/>
          <w:lang w:eastAsia="zh-CN"/>
        </w:rPr>
        <w:outlineLvl w:val="2"/>
      </w:pP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人工智能（AI）技术实训中心二次</w:t>
      </w:r>
      <w:r>
        <w:rPr>
          <w:rFonts w:hint="eastAsia" w:ascii="宋体" w:hAnsi="宋体" w:eastAsia="宋体" w:cs="宋体"/>
          <w:sz w:val="24"/>
          <w:szCs w:val="24"/>
          <w:lang w:eastAsia="zh-CN"/>
        </w:rPr>
      </w:r>
      <w:r/>
    </w:p>
    <w:p>
      <w:pPr>
        <w:pStyle w:val="752"/>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分包一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数字媒体、云计算及算力配套设备采购（标段编号：</w:t>
      </w:r>
      <w:r>
        <w:rPr>
          <w:rFonts w:hint="eastAsia" w:ascii="宋体" w:hAnsi="宋体" w:eastAsia="宋体" w:cs="宋体"/>
          <w:color w:val="000000"/>
          <w:sz w:val="24"/>
          <w:szCs w:val="24"/>
          <w:highlight w:val="none"/>
          <w:lang w:val="en-US" w:eastAsia="zh-CN"/>
        </w:rPr>
        <w:t xml:space="preserve">JSZC-320700-ZHDH-G2024-0032-1）</w:t>
      </w:r>
      <w:r>
        <w:rPr>
          <w:rFonts w:hint="eastAsia" w:ascii="宋体" w:hAnsi="宋体" w:eastAsia="宋体" w:cs="宋体"/>
          <w:color w:val="000000"/>
          <w:sz w:val="24"/>
          <w:szCs w:val="24"/>
          <w:highlight w:val="none"/>
          <w:lang w:val="en-US" w:eastAsia="zh-CN"/>
        </w:rPr>
      </w:r>
      <w:r/>
    </w:p>
    <w:p>
      <w:pPr>
        <w:pStyle w:val="752"/>
        <w:ind w:firstLine="480"/>
        <w:spacing w:line="360" w:lineRule="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 xml:space="preserve">分包二：人工智能与大数据设备采购（标段编号：JSZC-320700-ZHDH-G2024-0032-2）</w:t>
      </w:r>
      <w:r>
        <w:rPr>
          <w:rFonts w:hint="eastAsia" w:ascii="宋体" w:hAnsi="宋体" w:eastAsia="宋体" w:cs="宋体"/>
          <w:sz w:val="24"/>
          <w:szCs w:val="24"/>
          <w:highlight w:val="yellow"/>
          <w:lang w:val="en-US" w:eastAsia="zh-CN"/>
        </w:rPr>
      </w:r>
      <w:r/>
    </w:p>
    <w:p>
      <w:pPr>
        <w:pStyle w:val="752"/>
        <w:ind w:firstLine="480"/>
        <w:spacing w:line="360" w:lineRule="auto"/>
        <w:rPr>
          <w:rFonts w:hint="eastAsia" w:ascii="宋体" w:hAnsi="宋体" w:eastAsia="宋体" w:cs="宋体"/>
          <w:b w:val="0"/>
          <w:bCs/>
          <w:sz w:val="24"/>
          <w:szCs w:val="24"/>
          <w:lang w:eastAsia="zh-CN"/>
        </w:rPr>
      </w:pPr>
      <w:r>
        <w:rPr>
          <w:rFonts w:hint="eastAsia" w:ascii="宋体" w:hAnsi="宋体" w:eastAsia="宋体" w:cs="宋体"/>
          <w:sz w:val="24"/>
          <w:szCs w:val="24"/>
        </w:rPr>
        <w:t xml:space="preserve">预算金额：</w:t>
      </w:r>
      <w:r>
        <w:rPr>
          <w:rFonts w:hint="eastAsia" w:ascii="宋体" w:hAnsi="宋体" w:eastAsia="宋体" w:cs="宋体"/>
          <w:sz w:val="24"/>
          <w:szCs w:val="24"/>
          <w:lang w:val="en-US" w:eastAsia="zh-CN"/>
        </w:rPr>
        <w:t xml:space="preserve">总预算1368.778</w:t>
      </w:r>
      <w:r>
        <w:rPr>
          <w:rFonts w:hint="eastAsia" w:ascii="宋体" w:hAnsi="宋体" w:eastAsia="宋体" w:cs="宋体"/>
          <w:b w:val="0"/>
          <w:bCs/>
          <w:sz w:val="24"/>
          <w:szCs w:val="24"/>
        </w:rPr>
        <w:t xml:space="preserve">万元</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eastAsia="zh-CN"/>
        </w:rPr>
      </w:r>
      <w:r/>
    </w:p>
    <w:p>
      <w:pPr>
        <w:pStyle w:val="752"/>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分包一预算为433.558万元，报价超过预算价的按无效响应处理；</w:t>
      </w:r>
      <w:r>
        <w:rPr>
          <w:rFonts w:hint="eastAsia" w:ascii="宋体" w:hAnsi="宋体" w:eastAsia="宋体" w:cs="宋体"/>
          <w:sz w:val="24"/>
          <w:szCs w:val="24"/>
          <w:lang w:val="en-US" w:eastAsia="zh-CN"/>
        </w:rPr>
      </w:r>
      <w:r/>
    </w:p>
    <w:p>
      <w:pPr>
        <w:pStyle w:val="752"/>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分包二预算为935.22万元，最高限价</w:t>
      </w:r>
      <w:r>
        <w:rPr>
          <w:rFonts w:hint="eastAsia" w:ascii="宋体" w:hAnsi="宋体" w:eastAsia="宋体" w:cs="宋体"/>
          <w:sz w:val="24"/>
          <w:szCs w:val="24"/>
          <w:highlight w:val="none"/>
          <w:lang w:val="en-US" w:eastAsia="zh-CN"/>
        </w:rPr>
        <w:t xml:space="preserve">：890.97万元</w:t>
      </w:r>
      <w:r>
        <w:rPr>
          <w:rFonts w:hint="eastAsia" w:ascii="宋体" w:hAnsi="宋体" w:eastAsia="宋体" w:cs="宋体"/>
          <w:sz w:val="24"/>
          <w:szCs w:val="24"/>
          <w:lang w:val="en-US" w:eastAsia="zh-CN"/>
        </w:rPr>
        <w:t xml:space="preserve">，报价超过最高限价的按无效响应处理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2"/>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采购需</w:t>
      </w:r>
      <w:r>
        <w:rPr>
          <w:rFonts w:hint="eastAsia" w:ascii="宋体" w:hAnsi="宋体" w:eastAsia="宋体" w:cs="宋体"/>
          <w:sz w:val="24"/>
          <w:szCs w:val="24"/>
          <w:lang w:eastAsia="zh-CN"/>
        </w:rPr>
        <w:t xml:space="preserve">求：本项目主要完成人工智能（AI）技术实训中心二次所属</w:t>
      </w:r>
      <w:r>
        <w:rPr>
          <w:rFonts w:hint="eastAsia" w:ascii="宋体" w:hAnsi="宋体" w:eastAsia="宋体" w:cs="宋体"/>
          <w:bCs/>
          <w:sz w:val="24"/>
          <w:szCs w:val="24"/>
        </w:rPr>
        <w:t xml:space="preserve">数字媒体技术、云计算技术等实训室所需设备采购</w:t>
      </w:r>
      <w:r>
        <w:rPr>
          <w:rFonts w:hint="eastAsia" w:ascii="宋体" w:hAnsi="宋体" w:eastAsia="宋体" w:cs="宋体"/>
          <w:bCs/>
          <w:sz w:val="24"/>
          <w:szCs w:val="24"/>
          <w:lang w:eastAsia="zh-CN"/>
        </w:rPr>
        <w:t xml:space="preserve">、</w:t>
      </w:r>
      <w:r>
        <w:rPr>
          <w:rFonts w:hint="eastAsia"/>
          <w:sz w:val="24"/>
          <w:szCs w:val="24"/>
          <w:lang w:eastAsia="zh-CN"/>
        </w:rPr>
        <w:t xml:space="preserve">人工智能（AI）技术实践中心所属人工智能技术、大数据技术应用、数字媒体技术</w:t>
      </w:r>
      <w:r>
        <w:rPr>
          <w:rFonts w:hint="eastAsia"/>
          <w:sz w:val="24"/>
          <w:szCs w:val="24"/>
          <w:lang w:val="en-US" w:eastAsia="zh-CN"/>
        </w:rPr>
        <w:t xml:space="preserve">等</w:t>
      </w:r>
      <w:r>
        <w:rPr>
          <w:rFonts w:hint="eastAsia"/>
          <w:sz w:val="24"/>
          <w:szCs w:val="24"/>
          <w:lang w:eastAsia="zh-CN"/>
        </w:rPr>
        <w:t xml:space="preserve">，</w:t>
      </w:r>
      <w:r>
        <w:rPr>
          <w:rFonts w:hint="eastAsia" w:ascii="宋体" w:hAnsi="宋体" w:eastAsia="宋体" w:cs="宋体"/>
          <w:sz w:val="24"/>
          <w:szCs w:val="24"/>
        </w:rPr>
        <w:t xml:space="preserve">具体要求详见招标文件第六章项目需求。</w:t>
      </w:r>
      <w:r>
        <w:rPr>
          <w:rFonts w:ascii="宋体" w:hAnsi="宋体" w:eastAsia="宋体" w:cs="宋体"/>
          <w:sz w:val="24"/>
          <w:szCs w:val="24"/>
        </w:rPr>
      </w:r>
      <w:r/>
    </w:p>
    <w:p>
      <w:pPr>
        <w:pStyle w:val="752"/>
        <w:ind w:firstLine="482"/>
        <w:spacing w:line="360" w:lineRule="auto"/>
        <w:rPr>
          <w:rFonts w:hint="eastAsia" w:ascii="宋体" w:hAnsi="宋体" w:eastAsia="宋体" w:cs="宋体"/>
          <w:color w:val="ff0000"/>
          <w:sz w:val="24"/>
          <w:szCs w:val="24"/>
        </w:rPr>
      </w:pPr>
      <w:r>
        <w:rPr>
          <w:rFonts w:hint="eastAsia" w:ascii="宋体" w:hAnsi="宋体" w:eastAsia="宋体" w:cs="宋体"/>
          <w:b/>
          <w:bCs/>
          <w:sz w:val="24"/>
          <w:szCs w:val="24"/>
        </w:rPr>
        <w:t xml:space="preserve">对项目采购需求部分的询问、质疑请与采购人联系，由采购人负责答复。</w:t>
      </w:r>
      <w:r>
        <w:rPr>
          <w:rFonts w:hint="eastAsia" w:ascii="宋体" w:hAnsi="宋体" w:eastAsia="宋体" w:cs="宋体"/>
          <w:color w:val="ff0000"/>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合同履行期限：合同签订后</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天内完成安装调试，达到预期效果。</w:t>
      </w:r>
      <w:r>
        <w:rPr>
          <w:rFonts w:hint="eastAsia" w:ascii="宋体" w:hAnsi="宋体" w:eastAsia="宋体" w:cs="宋体"/>
          <w:color w:val="000000"/>
          <w:sz w:val="24"/>
          <w:szCs w:val="24"/>
        </w:rPr>
      </w:r>
      <w:r/>
    </w:p>
    <w:p>
      <w:pPr>
        <w:pStyle w:val="752"/>
        <w:ind w:firstLine="48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本项目（是/否√）接受联合体投标</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752"/>
        <w:ind w:firstLine="482"/>
        <w:spacing w:line="30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供应商</w:t>
      </w:r>
      <w:r>
        <w:rPr>
          <w:rFonts w:hint="eastAsia" w:ascii="宋体" w:hAnsi="宋体" w:eastAsia="宋体" w:cs="宋体"/>
          <w:b/>
          <w:bCs/>
          <w:color w:val="000000"/>
          <w:sz w:val="24"/>
          <w:szCs w:val="24"/>
          <w:lang w:val="en-US" w:eastAsia="zh-CN"/>
        </w:rPr>
        <w:t xml:space="preserve">二个分包皆可投</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rPr>
      </w:r>
      <w:r/>
    </w:p>
    <w:p>
      <w:pPr>
        <w:pStyle w:val="75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二、申请人的资格要求</w:t>
      </w:r>
      <w:r>
        <w:rPr>
          <w:rFonts w:hint="eastAsia" w:ascii="宋体" w:hAnsi="宋体" w:eastAsia="宋体" w:cs="宋体"/>
          <w:b/>
          <w:sz w:val="28"/>
          <w:szCs w:val="20"/>
        </w:rPr>
      </w:r>
      <w:r/>
    </w:p>
    <w:p>
      <w:pPr>
        <w:pStyle w:val="752"/>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1.满足《中华人民共和国政府采购法》第二十二条规定，提供下列材料：</w:t>
      </w:r>
      <w:r>
        <w:rPr>
          <w:rFonts w:ascii="宋体" w:hAnsi="宋体" w:eastAsia="宋体" w:cs="宋体"/>
          <w:sz w:val="24"/>
          <w:szCs w:val="24"/>
        </w:rPr>
      </w:r>
      <w:r/>
    </w:p>
    <w:p>
      <w:pPr>
        <w:pStyle w:val="752"/>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rPr>
          <w:rFonts w:ascii="宋体" w:hAnsi="宋体" w:eastAsia="宋体" w:cs="宋体"/>
          <w:sz w:val="24"/>
          <w:szCs w:val="24"/>
        </w:rPr>
      </w:r>
      <w:r/>
    </w:p>
    <w:p>
      <w:pPr>
        <w:pStyle w:val="752"/>
        <w:ind w:firstLine="480"/>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8"/>
        </w:rPr>
        <w:t xml:space="preserve">2023年度经审计的财务状况报告或银行出具的资信证明，成立不满一个年的不需提供。</w:t>
      </w:r>
      <w:r>
        <w:rPr>
          <w:rFonts w:hint="eastAsia" w:ascii="宋体" w:hAnsi="宋体" w:eastAsia="宋体" w:cs="宋体"/>
          <w:b/>
          <w:bCs/>
          <w:color w:val="000000"/>
          <w:sz w:val="24"/>
          <w:szCs w:val="24"/>
        </w:rPr>
        <w:t xml:space="preserve">（按连财购〔2023〕4号文件要求，符合要求的可提交《财务状况报告及税收、社会保障资金缴纳情况承诺函》，格式详见招标文件）</w:t>
      </w:r>
      <w:r>
        <w:rPr>
          <w:rFonts w:hint="eastAsia" w:ascii="宋体" w:hAnsi="宋体" w:eastAsia="宋体" w:cs="宋体"/>
          <w:b/>
          <w:bCs/>
          <w:sz w:val="24"/>
          <w:szCs w:val="24"/>
        </w:rPr>
        <w:t xml:space="preserve">；</w:t>
      </w:r>
      <w:r>
        <w:rPr>
          <w:rFonts w:ascii="宋体" w:hAnsi="宋体" w:eastAsia="宋体" w:cs="宋体"/>
          <w:b/>
          <w:bCs/>
          <w:sz w:val="24"/>
          <w:szCs w:val="24"/>
        </w:rPr>
      </w:r>
      <w:r/>
    </w:p>
    <w:p>
      <w:pPr>
        <w:pStyle w:val="752"/>
        <w:ind w:firstLine="480"/>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（3）依法缴纳税收和社会保障资金的相关证明材料</w:t>
      </w:r>
      <w:r>
        <w:rPr>
          <w:rFonts w:hint="eastAsia" w:ascii="宋体" w:hAnsi="宋体" w:eastAsia="宋体" w:cs="宋体"/>
          <w:b/>
          <w:bCs/>
          <w:color w:val="000000"/>
          <w:sz w:val="24"/>
          <w:szCs w:val="24"/>
        </w:rPr>
        <w:t xml:space="preserve">（按连财购〔2023〕4号文件要求，符合要求的可提交《财务状况报告及税收、社会保障资金缴纳情况承诺函》，格式详见招标文件）</w:t>
      </w:r>
      <w:r>
        <w:rPr>
          <w:rFonts w:hint="eastAsia" w:ascii="宋体" w:hAnsi="宋体" w:eastAsia="宋体" w:cs="宋体"/>
          <w:b/>
          <w:bCs/>
          <w:sz w:val="24"/>
          <w:szCs w:val="24"/>
        </w:rPr>
        <w:t xml:space="preserve">；</w:t>
      </w:r>
      <w:r>
        <w:rPr>
          <w:rFonts w:ascii="宋体" w:hAnsi="宋体" w:eastAsia="宋体" w:cs="宋体"/>
          <w:b/>
          <w:bCs/>
          <w:sz w:val="24"/>
          <w:szCs w:val="24"/>
        </w:rPr>
      </w:r>
      <w:r/>
    </w:p>
    <w:p>
      <w:pPr>
        <w:pStyle w:val="752"/>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（4）具备履行合同所必需的设备和专业技术能力的声明及证明材料（承诺文件见采购</w:t>
      </w:r>
      <w:r>
        <w:rPr>
          <w:rFonts w:ascii="宋体" w:hAnsi="宋体" w:eastAsia="宋体" w:cs="宋体"/>
          <w:sz w:val="24"/>
          <w:szCs w:val="24"/>
        </w:rPr>
      </w:r>
      <w:r/>
    </w:p>
    <w:p>
      <w:pPr>
        <w:pStyle w:val="752"/>
        <w:jc w:val="left"/>
        <w:spacing w:line="360" w:lineRule="auto"/>
        <w:rPr>
          <w:rFonts w:ascii="宋体" w:hAnsi="宋体" w:eastAsia="宋体" w:cs="宋体"/>
          <w:sz w:val="24"/>
          <w:szCs w:val="24"/>
        </w:rPr>
      </w:pPr>
      <w:r>
        <w:rPr>
          <w:rFonts w:hint="eastAsia" w:ascii="宋体" w:hAnsi="宋体" w:eastAsia="宋体" w:cs="宋体"/>
          <w:sz w:val="24"/>
          <w:szCs w:val="24"/>
        </w:rPr>
        <w:t xml:space="preserve">文件格式，后附证明材料）；</w:t>
      </w:r>
      <w:r>
        <w:rPr>
          <w:rFonts w:ascii="宋体" w:hAnsi="宋体" w:eastAsia="宋体" w:cs="宋体"/>
          <w:sz w:val="24"/>
          <w:szCs w:val="24"/>
        </w:rPr>
      </w:r>
      <w:r/>
    </w:p>
    <w:p>
      <w:pPr>
        <w:pStyle w:val="752"/>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（5）参加政府采购活动前三年内在经营活动中没有重大违法记录的书面声明（承诺文</w:t>
      </w:r>
      <w:r>
        <w:rPr>
          <w:rFonts w:ascii="宋体" w:hAnsi="宋体" w:eastAsia="宋体" w:cs="宋体"/>
          <w:sz w:val="24"/>
          <w:szCs w:val="24"/>
        </w:rPr>
      </w:r>
      <w:r/>
    </w:p>
    <w:p>
      <w:pPr>
        <w:pStyle w:val="752"/>
        <w:jc w:val="left"/>
        <w:spacing w:line="360" w:lineRule="auto"/>
        <w:rPr>
          <w:rFonts w:ascii="宋体" w:hAnsi="宋体" w:eastAsia="宋体" w:cs="宋体"/>
          <w:sz w:val="24"/>
          <w:szCs w:val="24"/>
        </w:rPr>
      </w:pPr>
      <w:r>
        <w:rPr>
          <w:rFonts w:hint="eastAsia" w:ascii="宋体" w:hAnsi="宋体" w:eastAsia="宋体" w:cs="宋体"/>
          <w:sz w:val="24"/>
          <w:szCs w:val="24"/>
        </w:rPr>
        <w:t xml:space="preserve">件见采购文件格式）。</w:t>
      </w:r>
      <w:r>
        <w:rPr>
          <w:rFonts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落实政府采购需满足的资格要求：本项目</w:t>
      </w:r>
      <w:r>
        <w:rPr>
          <w:rFonts w:hint="eastAsia" w:ascii="宋体" w:hAnsi="宋体" w:eastAsia="宋体" w:cs="宋体"/>
          <w:sz w:val="24"/>
          <w:szCs w:val="24"/>
          <w:lang w:val="en-US" w:eastAsia="zh-CN"/>
        </w:rPr>
        <w:t xml:space="preserve">分包一</w:t>
      </w:r>
      <w:r>
        <w:rPr>
          <w:rFonts w:hint="eastAsia" w:ascii="宋体" w:hAnsi="宋体" w:eastAsia="宋体" w:cs="宋体"/>
          <w:sz w:val="24"/>
          <w:szCs w:val="24"/>
        </w:rPr>
        <w:t xml:space="preserve">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注：分包二因确需使用不可替代的专利、专有技术，基础设施限制，或者提供特定公共服务等原因，只能从中小企业之外的供应商处采购，故不落实。</w:t>
      </w:r>
      <w:r>
        <w:rPr>
          <w:rFonts w:hint="eastAsia" w:ascii="宋体" w:hAnsi="宋体" w:eastAsia="宋体" w:cs="宋体"/>
          <w:b/>
          <w:bCs/>
          <w:sz w:val="24"/>
          <w:szCs w:val="24"/>
          <w:highlight w:val="none"/>
          <w:lang w:val="en-US" w:eastAsia="zh-CN"/>
        </w:rPr>
      </w:r>
      <w:r/>
    </w:p>
    <w:p>
      <w:pPr>
        <w:pStyle w:val="752"/>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3.本项目的特定资格要求：无。</w:t>
      </w:r>
      <w:r>
        <w:rPr>
          <w:rFonts w:hint="eastAsia" w:ascii="宋体" w:hAnsi="宋体" w:eastAsia="宋体" w:cs="宋体"/>
          <w:sz w:val="24"/>
          <w:szCs w:val="24"/>
          <w:lang w:val="en-US" w:eastAsia="zh-CN"/>
        </w:rPr>
      </w:r>
      <w:r/>
    </w:p>
    <w:p>
      <w:pPr>
        <w:pStyle w:val="752"/>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4.本项目的其他资格要求：</w:t>
      </w:r>
      <w:r>
        <w:rPr>
          <w:rFonts w:ascii="宋体" w:hAnsi="宋体" w:eastAsia="宋体" w:cs="宋体"/>
          <w:sz w:val="24"/>
          <w:szCs w:val="24"/>
        </w:rPr>
      </w:r>
      <w:r/>
    </w:p>
    <w:p>
      <w:pPr>
        <w:pStyle w:val="752"/>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（1）投标文件递交截止前，被信用中国、中国政府采购网列入失信被执行人、税收违法黑名单、政府采购严重违法失信行为记录名单的供应商，拒绝其参与政府采购活动。</w:t>
      </w:r>
      <w:r>
        <w:rPr>
          <w:rFonts w:ascii="宋体" w:hAnsi="宋体" w:eastAsia="宋体" w:cs="宋体"/>
          <w:sz w:val="24"/>
          <w:szCs w:val="24"/>
        </w:rPr>
      </w:r>
      <w:r/>
    </w:p>
    <w:p>
      <w:pPr>
        <w:pStyle w:val="752"/>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备注：采购人或采购代理机构在资格审查环节现场通过信用中国网站（www.creditchina.gov.cn）、中国政府采购网（www.ccgp.gov.cn），对供应商信用记录情况进行查询，查询结果页面打印留存。</w:t>
      </w:r>
      <w:r>
        <w:rPr>
          <w:rFonts w:ascii="宋体" w:hAnsi="宋体" w:eastAsia="宋体" w:cs="宋体"/>
          <w:sz w:val="24"/>
          <w:szCs w:val="24"/>
        </w:rPr>
      </w:r>
      <w:r/>
    </w:p>
    <w:p>
      <w:pPr>
        <w:pStyle w:val="752"/>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rPr>
        <w:t xml:space="preserve">本项目不接受进口产品</w:t>
      </w:r>
      <w:r>
        <w:rPr>
          <w:rFonts w:hint="eastAsia" w:ascii="宋体" w:hAnsi="宋体" w:eastAsia="宋体" w:cs="宋体"/>
          <w:sz w:val="24"/>
          <w:szCs w:val="24"/>
        </w:rPr>
        <w:t xml:space="preserve">（进口产品是指通过中国海关报关验放进入中国境内且产自关境外的产品），中标后不允许分包或转包。</w:t>
      </w:r>
      <w:r>
        <w:rPr>
          <w:rFonts w:ascii="宋体" w:hAnsi="宋体" w:eastAsia="宋体" w:cs="宋体"/>
          <w:sz w:val="24"/>
          <w:szCs w:val="24"/>
        </w:rPr>
      </w:r>
      <w:r/>
    </w:p>
    <w:p>
      <w:pPr>
        <w:pStyle w:val="752"/>
        <w:ind w:firstLine="480"/>
        <w:jc w:val="left"/>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5.法律法规规定的其他条件。</w:t>
      </w:r>
      <w:r>
        <w:rPr>
          <w:rFonts w:ascii="宋体" w:hAnsi="宋体" w:eastAsia="宋体" w:cs="宋体"/>
          <w:sz w:val="24"/>
          <w:szCs w:val="24"/>
        </w:rPr>
      </w:r>
      <w:r/>
    </w:p>
    <w:p>
      <w:pPr>
        <w:pStyle w:val="75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三、获取招标文件</w:t>
      </w:r>
      <w:r>
        <w:rPr>
          <w:rFonts w:hint="eastAsia" w:ascii="宋体" w:hAnsi="宋体" w:eastAsia="宋体" w:cs="宋体"/>
          <w:b/>
          <w:sz w:val="28"/>
          <w:szCs w:val="20"/>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w:t>
      </w:r>
      <w:r>
        <w:rPr>
          <w:rFonts w:hint="eastAsia" w:ascii="宋体" w:hAnsi="宋体"/>
          <w:color w:val="000000"/>
          <w:sz w:val="24"/>
          <w:highlight w:val="none"/>
        </w:rPr>
        <w:t xml:space="preserve">2024年</w:t>
      </w:r>
      <w:r>
        <w:rPr>
          <w:rFonts w:hint="eastAsia" w:ascii="宋体" w:hAnsi="宋体" w:eastAsia="宋体"/>
          <w:color w:val="000000"/>
          <w:sz w:val="24"/>
          <w:highlight w:val="none"/>
          <w:lang w:val="en-US" w:eastAsia="zh-CN"/>
        </w:rPr>
        <w:t xml:space="preserve">10</w:t>
      </w:r>
      <w:r>
        <w:rPr>
          <w:rFonts w:hint="eastAsia" w:ascii="宋体" w:hAnsi="宋体"/>
          <w:color w:val="000000"/>
          <w:sz w:val="24"/>
          <w:highlight w:val="none"/>
        </w:rPr>
        <w:t xml:space="preserve">月</w:t>
      </w:r>
      <w:r>
        <w:rPr>
          <w:rFonts w:hint="eastAsia" w:ascii="宋体" w:hAnsi="宋体" w:eastAsia="宋体"/>
          <w:color w:val="000000"/>
          <w:sz w:val="24"/>
          <w:highlight w:val="none"/>
          <w:lang w:val="en-US" w:eastAsia="zh-CN"/>
        </w:rPr>
        <w:t xml:space="preserve">22</w:t>
      </w:r>
      <w:r>
        <w:rPr>
          <w:rFonts w:hint="eastAsia" w:ascii="宋体" w:hAnsi="宋体"/>
          <w:color w:val="000000"/>
          <w:sz w:val="24"/>
          <w:highlight w:val="none"/>
        </w:rPr>
        <w:t xml:space="preserve">日至2024年</w:t>
      </w:r>
      <w:r>
        <w:rPr>
          <w:rFonts w:hint="eastAsia" w:ascii="宋体" w:hAnsi="宋体" w:eastAsia="宋体"/>
          <w:color w:val="000000"/>
          <w:sz w:val="24"/>
          <w:highlight w:val="none"/>
          <w:lang w:val="en-US" w:eastAsia="zh-CN"/>
        </w:rPr>
        <w:t xml:space="preserve">10</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 29</w:t>
      </w:r>
      <w:r>
        <w:rPr>
          <w:rFonts w:hint="eastAsia" w:ascii="宋体" w:hAnsi="宋体"/>
          <w:color w:val="000000"/>
          <w:sz w:val="24"/>
          <w:highlight w:val="none"/>
        </w:rPr>
        <w:t xml:space="preserve">日23时59分止</w:t>
      </w:r>
      <w:r>
        <w:rPr>
          <w:rFonts w:hint="eastAsia" w:ascii="宋体" w:hAnsi="宋体" w:eastAsia="宋体" w:cs="宋体"/>
          <w:color w:val="000000"/>
          <w:sz w:val="24"/>
          <w:szCs w:val="24"/>
        </w:rPr>
        <w:t xml:space="preserve">（北京时间）</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2．获取方式：本项目采用网上注册登记方式。</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2.1潜在投标人访问电子招标投标交易平台的网络地址和方法：</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outlineLvl w:val="4"/>
      </w:pPr>
      <w:r>
        <w:rPr>
          <w:rFonts w:hint="eastAsia" w:ascii="宋体" w:hAnsi="宋体" w:eastAsia="宋体" w:cs="宋体"/>
          <w:color w:val="000000"/>
          <w:sz w:val="24"/>
          <w:szCs w:val="24"/>
        </w:rPr>
        <w:t xml:space="preserve">（2）潜在供应商访问“苏采云”系统的网络地址和方法：</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“苏采云”系统的网址：http://jszfcg.jsczt.cn/。</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outlineLvl w:val="4"/>
      </w:pPr>
      <w:r>
        <w:rPr>
          <w:rFonts w:hint="eastAsia" w:ascii="宋体" w:hAnsi="宋体" w:eastAsia="宋体" w:cs="宋体"/>
          <w:color w:val="000000"/>
          <w:sz w:val="24"/>
          <w:szCs w:val="24"/>
        </w:rPr>
        <w:t xml:space="preserve">（3）“CA数字证书”的获取：</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（4）采购文件（后缀名为“.kedt”）、供应商操作手册及政府采购客户端工具可通过“苏采云”系统--已报名项目--报名详情页面内相应链接进行下载。</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（5）招标代理机构（采购代理机构）将数据电文形式的采购文件加载至“苏采云”系统，供潜在供应商下载或者查阅。</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outlineLvl w:val="4"/>
      </w:pPr>
      <w:r>
        <w:rPr>
          <w:rFonts w:hint="eastAsia" w:ascii="宋体" w:hAnsi="宋体" w:eastAsia="宋体" w:cs="宋体"/>
          <w:color w:val="000000"/>
          <w:sz w:val="24"/>
          <w:szCs w:val="24"/>
        </w:rPr>
        <w:t xml:space="preserve">（6）苏采云系统使用谷歌浏览器参与不见面开标。</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3.地点：网上注册登记成功后系统内免费下载。</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4.售价：免费</w:t>
      </w:r>
      <w:r>
        <w:rPr>
          <w:rFonts w:hint="eastAsia" w:ascii="宋体" w:hAnsi="宋体" w:eastAsia="宋体" w:cs="宋体"/>
          <w:color w:val="000000"/>
          <w:sz w:val="24"/>
          <w:szCs w:val="24"/>
        </w:rPr>
      </w:r>
      <w:r/>
    </w:p>
    <w:p>
      <w:pPr>
        <w:pStyle w:val="75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四、提交投标文件截止时间、开标时间和地点</w:t>
      </w:r>
      <w:r>
        <w:rPr>
          <w:rFonts w:hint="eastAsia" w:ascii="宋体" w:hAnsi="宋体" w:eastAsia="宋体" w:cs="宋体"/>
          <w:b/>
          <w:sz w:val="28"/>
          <w:szCs w:val="20"/>
        </w:rPr>
      </w:r>
      <w:r/>
    </w:p>
    <w:p>
      <w:pPr>
        <w:pStyle w:val="752"/>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1.投标文件接收时间与地点</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投标文件接收截止时间：</w:t>
      </w:r>
      <w:r>
        <w:rPr>
          <w:rFonts w:hint="eastAsia" w:ascii="宋体" w:hAnsi="宋体"/>
          <w:color w:val="000000"/>
          <w:sz w:val="24"/>
          <w:highlight w:val="none"/>
        </w:rPr>
        <w:t xml:space="preserve">2024年</w:t>
      </w:r>
      <w:r>
        <w:rPr>
          <w:rFonts w:hint="eastAsia" w:ascii="宋体" w:hAnsi="宋体"/>
          <w:color w:val="000000"/>
          <w:sz w:val="24"/>
          <w:highlight w:val="none"/>
          <w:lang w:val="en-US" w:eastAsia="zh-CN"/>
        </w:rPr>
        <w:t xml:space="preserve"> 11</w:t>
      </w:r>
      <w:r>
        <w:rPr>
          <w:rFonts w:hint="eastAsia" w:ascii="宋体" w:hAnsi="宋体"/>
          <w:color w:val="000000"/>
          <w:sz w:val="24"/>
          <w:highlight w:val="none"/>
        </w:rPr>
        <w:t xml:space="preserve">月</w:t>
      </w:r>
      <w:r>
        <w:rPr>
          <w:rFonts w:hint="eastAsia" w:ascii="宋体" w:hAnsi="宋体" w:eastAsia="宋体"/>
          <w:color w:val="000000"/>
          <w:sz w:val="24"/>
          <w:highlight w:val="none"/>
          <w:lang w:val="en-US" w:eastAsia="zh-CN"/>
        </w:rPr>
        <w:t xml:space="preserve">11</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日10:</w:t>
      </w:r>
      <w:r>
        <w:rPr>
          <w:rFonts w:hint="eastAsia" w:ascii="宋体" w:hAnsi="宋体"/>
          <w:color w:val="000000"/>
          <w:sz w:val="24"/>
          <w:highlight w:val="none"/>
          <w:lang w:val="en-US" w:eastAsia="zh-CN"/>
        </w:rPr>
        <w:t xml:space="preserve">30</w:t>
      </w:r>
      <w:r>
        <w:rPr>
          <w:rFonts w:hint="eastAsia" w:ascii="宋体" w:hAnsi="宋体"/>
          <w:color w:val="000000"/>
          <w:sz w:val="24"/>
          <w:highlight w:val="none"/>
        </w:rPr>
        <w:t xml:space="preserve">:00</w:t>
      </w:r>
      <w:r>
        <w:rPr>
          <w:rFonts w:hint="eastAsia" w:ascii="宋体" w:hAnsi="宋体" w:eastAsia="宋体" w:cs="宋体"/>
          <w:color w:val="000000"/>
          <w:sz w:val="24"/>
          <w:szCs w:val="24"/>
        </w:rPr>
        <w:t xml:space="preserve">（北京时间）</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2.开标时间与地点</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w:t>
      </w:r>
      <w:r>
        <w:rPr>
          <w:rFonts w:hint="eastAsia" w:ascii="宋体" w:hAnsi="宋体"/>
          <w:color w:val="000000"/>
          <w:sz w:val="24"/>
          <w:highlight w:val="none"/>
        </w:rPr>
        <w:t xml:space="preserve">2024年</w:t>
      </w:r>
      <w:r>
        <w:rPr>
          <w:rFonts w:hint="eastAsia" w:ascii="宋体" w:hAnsi="宋体" w:eastAsia="宋体"/>
          <w:color w:val="000000"/>
          <w:sz w:val="24"/>
          <w:highlight w:val="none"/>
          <w:lang w:val="en-US" w:eastAsia="zh-CN"/>
        </w:rPr>
        <w:t xml:space="preserve">11</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月</w:t>
      </w:r>
      <w:r>
        <w:rPr>
          <w:rFonts w:hint="eastAsia" w:ascii="宋体" w:hAnsi="宋体" w:eastAsia="宋体"/>
          <w:color w:val="000000"/>
          <w:sz w:val="24"/>
          <w:highlight w:val="none"/>
          <w:lang w:val="en-US" w:eastAsia="zh-CN"/>
        </w:rPr>
        <w:t xml:space="preserve">11</w:t>
      </w:r>
      <w:r>
        <w:rPr>
          <w:rFonts w:hint="eastAsia" w:ascii="宋体" w:hAnsi="宋体"/>
          <w:color w:val="000000"/>
          <w:sz w:val="24"/>
          <w:highlight w:val="none"/>
        </w:rPr>
        <w:t xml:space="preserve">日10:3</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:00</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开标地点：</w:t>
      </w:r>
      <w:r>
        <w:rPr>
          <w:rFonts w:hint="eastAsia" w:ascii="宋体" w:hAnsi="宋体" w:eastAsia="宋体" w:cs="宋体"/>
          <w:color w:val="000000"/>
          <w:sz w:val="24"/>
          <w:szCs w:val="24"/>
        </w:rPr>
        <w:t xml:space="preserve">“苏采云”系统 “开标大厅”</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开标大厅网址：</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http://jszfcg.jsczt.cn/</w:t>
      </w:r>
      <w:r>
        <w:rPr>
          <w:rFonts w:hint="eastAsia" w:ascii="宋体" w:hAnsi="宋体" w:eastAsia="宋体" w:cs="宋体"/>
          <w:color w:val="000000"/>
          <w:sz w:val="24"/>
          <w:szCs w:val="24"/>
        </w:rPr>
      </w:r>
      <w:r/>
    </w:p>
    <w:p>
      <w:pPr>
        <w:pStyle w:val="75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五、公告期限</w:t>
      </w:r>
      <w:r>
        <w:rPr>
          <w:rFonts w:hint="eastAsia" w:ascii="宋体" w:hAnsi="宋体" w:eastAsia="宋体" w:cs="宋体"/>
          <w:b/>
          <w:sz w:val="28"/>
          <w:szCs w:val="20"/>
        </w:rPr>
      </w:r>
      <w:r/>
    </w:p>
    <w:p>
      <w:pPr>
        <w:pStyle w:val="752"/>
        <w:ind w:firstLine="480"/>
        <w:keepNext/>
        <w:spacing w:line="360" w:lineRule="auto"/>
        <w:rPr>
          <w:rFonts w:hint="eastAsia" w:ascii="宋体" w:hAnsi="宋体" w:eastAsia="宋体" w:cs="宋体"/>
          <w:color w:val="000000"/>
          <w:sz w:val="24"/>
          <w:szCs w:val="24"/>
        </w:rPr>
        <w:outlineLvl w:val="2"/>
      </w:pPr>
      <w:r>
        <w:rPr>
          <w:rFonts w:hint="eastAsia" w:ascii="宋体" w:hAnsi="宋体" w:eastAsia="宋体" w:cs="宋体"/>
          <w:i w:val="0"/>
          <w:iCs w:val="0"/>
          <w:color w:val="000000"/>
          <w:sz w:val="24"/>
          <w:szCs w:val="24"/>
          <w:highlight w:val="white"/>
        </w:rPr>
        <w:t xml:space="preserve">公告期限为自本公告发布之日起</w:t>
      </w:r>
      <w:r>
        <w:rPr>
          <w:rFonts w:hint="eastAsia" w:ascii="宋体" w:hAnsi="宋体" w:eastAsia="宋体" w:cs="宋体"/>
          <w:i w:val="0"/>
          <w:iCs w:val="0"/>
          <w:color w:val="000000"/>
          <w:sz w:val="24"/>
          <w:szCs w:val="24"/>
          <w:highlight w:val="white"/>
          <w:lang w:val="en-US" w:eastAsia="zh-CN"/>
        </w:rPr>
        <w:t xml:space="preserve">5</w:t>
      </w:r>
      <w:r>
        <w:rPr>
          <w:rFonts w:hint="eastAsia" w:ascii="宋体" w:hAnsi="宋体" w:eastAsia="宋体" w:cs="宋体"/>
          <w:i w:val="0"/>
          <w:iCs w:val="0"/>
          <w:color w:val="000000"/>
          <w:sz w:val="24"/>
          <w:szCs w:val="24"/>
          <w:highlight w:val="white"/>
        </w:rPr>
        <w:t xml:space="preserve">个工作日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75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六、其他补充事宜</w:t>
      </w:r>
      <w:r>
        <w:rPr>
          <w:rFonts w:hint="eastAsia" w:ascii="宋体" w:hAnsi="宋体" w:eastAsia="宋体" w:cs="宋体"/>
          <w:b/>
          <w:sz w:val="28"/>
          <w:szCs w:val="20"/>
        </w:rPr>
      </w:r>
      <w:r/>
    </w:p>
    <w:p>
      <w:pPr>
        <w:pStyle w:val="752"/>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1.本次公开招标不收取投标保证金。</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bCs/>
          <w:color w:val="000000"/>
          <w:sz w:val="24"/>
          <w:szCs w:val="24"/>
        </w:rPr>
        <w:t xml:space="preserve">本招标文件中标注★的款项为实质性响应要求和条件，必须逐条做出满足要求和条件的响应，否则将按无效响应处理</w:t>
      </w:r>
      <w:r>
        <w:rPr>
          <w:rFonts w:hint="eastAsia" w:ascii="宋体" w:hAnsi="宋体" w:eastAsia="宋体" w:cs="宋体"/>
          <w:b/>
          <w:bCs/>
          <w:sz w:val="24"/>
          <w:szCs w:val="24"/>
        </w:rPr>
        <w:t xml:space="preserve">。</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color w:val="000000"/>
          <w:sz w:val="24"/>
          <w:szCs w:val="24"/>
        </w:rPr>
        <w:t xml:space="preserve"> 无论出于何种原因，采购人在采购活动开始前可对招标文件进行修改、补充或变更，其内容作为招标文件的重要组成部分，请各供应商关注</w:t>
      </w:r>
      <w:r>
        <w:rPr>
          <w:rFonts w:hint="eastAsia" w:ascii="宋体" w:hAnsi="宋体" w:eastAsia="宋体" w:cs="宋体"/>
          <w:color w:val="000000"/>
          <w:sz w:val="24"/>
          <w:szCs w:val="24"/>
          <w:lang w:val="en-US" w:eastAsia="zh-CN"/>
        </w:rPr>
        <w:t xml:space="preserve">江苏省政府采购网</w:t>
      </w:r>
      <w:r>
        <w:rPr>
          <w:rFonts w:hint="eastAsia" w:ascii="宋体" w:hAnsi="宋体" w:eastAsia="宋体" w:cs="宋体"/>
          <w:color w:val="000000"/>
          <w:sz w:val="24"/>
          <w:szCs w:val="24"/>
        </w:rPr>
        <w:t xml:space="preserve">。若因供应商自身原因未及时关注本项目有关修改、补充或变更信息，导致投标文件编制或提交失误，由此造成的一切损失由供应商自行承担。</w:t>
      </w:r>
      <w:r>
        <w:rPr>
          <w:rFonts w:hint="eastAsia" w:ascii="宋体" w:hAnsi="宋体" w:eastAsia="宋体" w:cs="宋体"/>
          <w:sz w:val="24"/>
          <w:szCs w:val="24"/>
        </w:rPr>
      </w:r>
      <w:r/>
    </w:p>
    <w:p>
      <w:pPr>
        <w:pStyle w:val="75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七、对本次招标提出询问，请按以下方式联系。</w:t>
      </w:r>
      <w:r>
        <w:rPr>
          <w:rFonts w:hint="eastAsia" w:ascii="宋体" w:hAnsi="宋体" w:eastAsia="宋体" w:cs="宋体"/>
          <w:b/>
          <w:sz w:val="28"/>
          <w:szCs w:val="20"/>
        </w:rPr>
      </w:r>
      <w:r/>
    </w:p>
    <w:p>
      <w:pPr>
        <w:pStyle w:val="752"/>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1.采购人信息</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连云港职业技术学院</w:t>
      </w:r>
      <w:r>
        <w:rPr>
          <w:rFonts w:hint="eastAsia" w:ascii="宋体" w:hAnsi="宋体" w:eastAsia="宋体" w:cs="宋体"/>
          <w:sz w:val="24"/>
          <w:szCs w:val="24"/>
          <w:lang w:eastAsia="zh-CN"/>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color w:val="000000"/>
          <w:sz w:val="24"/>
          <w:szCs w:val="24"/>
          <w:u w:val="none"/>
        </w:rPr>
        <w:t xml:space="preserve">连云港市海州区</w:t>
      </w:r>
      <w:r>
        <w:rPr>
          <w:rFonts w:hint="eastAsia" w:ascii="宋体" w:hAnsi="宋体" w:eastAsia="宋体" w:cs="宋体"/>
          <w:color w:val="000000"/>
          <w:sz w:val="24"/>
          <w:szCs w:val="24"/>
          <w:u w:val="none"/>
          <w:lang w:eastAsia="zh-CN"/>
        </w:rPr>
        <w:t xml:space="preserve">花果山大道晨光路2号</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冯</w:t>
      </w:r>
      <w:r>
        <w:rPr>
          <w:rFonts w:hint="eastAsia" w:ascii="宋体" w:hAnsi="宋体" w:eastAsia="宋体" w:cs="宋体"/>
          <w:color w:val="000000"/>
          <w:sz w:val="24"/>
          <w:szCs w:val="24"/>
          <w:lang w:val="en-US" w:eastAsia="zh-CN"/>
        </w:rPr>
        <w:t xml:space="preserve">老师  </w:t>
      </w:r>
      <w:r>
        <w:rPr>
          <w:rFonts w:hint="eastAsia" w:ascii="宋体" w:hAnsi="宋体" w:eastAsia="宋体" w:cs="宋体"/>
          <w:sz w:val="24"/>
          <w:szCs w:val="24"/>
        </w:rPr>
        <w:t xml:space="preserve">0518-8</w:t>
      </w:r>
      <w:r>
        <w:rPr>
          <w:rFonts w:hint="eastAsia" w:ascii="宋体" w:hAnsi="宋体" w:eastAsia="宋体" w:cs="宋体"/>
          <w:sz w:val="24"/>
          <w:szCs w:val="24"/>
          <w:lang w:val="en-US" w:eastAsia="zh-CN"/>
        </w:rPr>
        <w:t xml:space="preserve">5985566</w:t>
      </w:r>
      <w:r>
        <w:rPr>
          <w:rFonts w:hint="eastAsia" w:ascii="宋体" w:hAnsi="宋体" w:eastAsia="宋体" w:cs="宋体"/>
          <w:sz w:val="24"/>
          <w:szCs w:val="24"/>
          <w:lang w:val="en-US" w:eastAsia="zh-CN"/>
        </w:rPr>
      </w:r>
      <w:r/>
    </w:p>
    <w:p>
      <w:pPr>
        <w:pStyle w:val="752"/>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2.采购代理机构信息</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中和德汇工程技术有限公司</w:t>
      </w:r>
      <w:r>
        <w:rPr>
          <w:rFonts w:hint="eastAsia" w:ascii="宋体" w:hAnsi="宋体" w:eastAsia="宋体" w:cs="宋体"/>
          <w:sz w:val="24"/>
          <w:szCs w:val="24"/>
          <w:lang w:eastAsia="zh-CN"/>
        </w:rPr>
      </w:r>
      <w:r/>
    </w:p>
    <w:p>
      <w:pPr>
        <w:pStyle w:val="752"/>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连云港市朝阳东路南瀛洲路东盛世嘉缘1幢3层5号</w:t>
      </w:r>
      <w:r>
        <w:rPr>
          <w:rFonts w:hint="eastAsia" w:ascii="宋体" w:hAnsi="宋体" w:eastAsia="宋体" w:cs="宋体"/>
          <w:sz w:val="24"/>
          <w:szCs w:val="24"/>
          <w:lang w:eastAsia="zh-CN"/>
        </w:rPr>
      </w:r>
      <w:r/>
    </w:p>
    <w:p>
      <w:pPr>
        <w:pStyle w:val="752"/>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lang w:val="en-US" w:eastAsia="zh-CN"/>
        </w:rPr>
        <w:t xml:space="preserve">陈</w:t>
      </w:r>
      <w:r>
        <w:rPr>
          <w:rFonts w:hint="eastAsia" w:ascii="宋体" w:hAnsi="宋体" w:eastAsia="宋体" w:cs="宋体"/>
          <w:sz w:val="24"/>
        </w:rPr>
        <w:t xml:space="preserve">工  </w:t>
      </w:r>
      <w:r>
        <w:rPr>
          <w:rFonts w:hint="eastAsia" w:ascii="宋体" w:hAnsi="宋体" w:eastAsia="宋体" w:cs="宋体"/>
          <w:sz w:val="24"/>
          <w:lang w:val="en-US" w:eastAsia="zh-CN"/>
        </w:rPr>
        <w:t xml:space="preserve">15805130180</w:t>
      </w:r>
      <w:r>
        <w:rPr>
          <w:rFonts w:hint="eastAsia" w:ascii="宋体" w:hAnsi="宋体" w:eastAsia="宋体" w:cs="宋体"/>
          <w:sz w:val="24"/>
          <w:szCs w:val="24"/>
          <w:lang w:val="en-US" w:eastAsia="zh-CN"/>
        </w:rPr>
      </w:r>
      <w:r/>
    </w:p>
    <w:p>
      <w:pPr>
        <w:pStyle w:val="752"/>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3.项目联系方式</w:t>
      </w:r>
      <w:r>
        <w:rPr>
          <w:rFonts w:hint="eastAsia" w:ascii="宋体" w:hAnsi="宋体" w:eastAsia="宋体" w:cs="宋体"/>
          <w:sz w:val="24"/>
          <w:szCs w:val="24"/>
        </w:rPr>
      </w:r>
      <w:r/>
    </w:p>
    <w:p>
      <w:pPr>
        <w:pStyle w:val="752"/>
        <w:ind w:firstLine="48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陈老师</w:t>
      </w:r>
      <w:r>
        <w:rPr>
          <w:rFonts w:ascii="宋体" w:hAnsi="宋体" w:eastAsia="宋体" w:cs="宋体"/>
          <w:sz w:val="24"/>
          <w:szCs w:val="24"/>
          <w:lang w:val="en-US" w:eastAsia="zh-CN"/>
        </w:rPr>
      </w:r>
      <w:r/>
    </w:p>
    <w:p>
      <w:pPr>
        <w:pStyle w:val="752"/>
        <w:ind w:firstLine="48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lang w:eastAsia="zh-CN"/>
        </w:rPr>
        <w:t xml:space="preserve">电      话：</w:t>
      </w:r>
      <w:r>
        <w:rPr>
          <w:rFonts w:hint="eastAsia" w:ascii="宋体" w:hAnsi="宋体" w:eastAsia="宋体" w:cs="宋体"/>
          <w:sz w:val="24"/>
          <w:szCs w:val="24"/>
          <w:lang w:val="en-US" w:eastAsia="zh-CN"/>
        </w:rPr>
        <w:t xml:space="preserve">15351868768</w:t>
      </w:r>
      <w:r>
        <w:rPr>
          <w:rFonts w:ascii="宋体" w:hAnsi="宋体" w:eastAsia="宋体" w:cs="宋体"/>
          <w:sz w:val="24"/>
          <w:szCs w:val="24"/>
          <w:lang w:val="en-US" w:eastAsia="zh-CN"/>
        </w:rPr>
      </w:r>
      <w:r/>
    </w:p>
    <w:p>
      <w:pPr>
        <w:pStyle w:val="75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八、电子招投标说明</w:t>
      </w:r>
      <w:bookmarkEnd w:id="5"/>
      <w:r/>
      <w:bookmarkEnd w:id="6"/>
      <w:r>
        <w:rPr>
          <w:rFonts w:hint="eastAsia" w:ascii="宋体" w:hAnsi="宋体" w:eastAsia="宋体" w:cs="宋体"/>
          <w:b/>
          <w:sz w:val="28"/>
          <w:szCs w:val="20"/>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1.本项目采用电子招标投标，请供应商严格按照招标文件的规定编制、提交投标文件，否则所造成的一切不利后果由供应商自行承担。</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2.投标人应当通过“苏采云”系统提交数据电文形式的投标文件（即电子投标）。</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特别说明：通过“苏采云”系统提交政府采购客户端工具导出加密的投标文件（后缀名为zip）。投标文件不得超过150MB！</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说明：本项目采用线上投标，即供应商投标文件从政府采购客户端工具制作通过“苏采云”系统提交，未提供线上投标文件的，投标无效。</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投标人应在达到开标时间后，使用CA数字证书解密各自投标文件。</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color w:val="000000"/>
          <w:sz w:val="24"/>
          <w:szCs w:val="24"/>
        </w:rPr>
      </w:r>
      <w:r/>
    </w:p>
    <w:p>
      <w:pPr>
        <w:pStyle w:val="75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所有投标人解密（或解密时间）结束后，“苏采云”系统生成开标记录并向社会公众公布，但依法应当保密的除外。</w:t>
      </w:r>
      <w:r>
        <w:rPr>
          <w:rFonts w:hint="eastAsia" w:ascii="宋体" w:hAnsi="宋体" w:eastAsia="宋体" w:cs="宋体"/>
          <w:color w:val="000000"/>
          <w:sz w:val="24"/>
          <w:szCs w:val="24"/>
        </w:rPr>
      </w:r>
      <w:r/>
    </w:p>
    <w:p>
      <w:pPr>
        <w:pStyle w:val="752"/>
        <w:ind w:firstLine="480"/>
        <w:jc w:val="righ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中和德汇工程技术有限公司</w:t>
      </w:r>
      <w:r>
        <w:rPr>
          <w:rFonts w:hint="eastAsia" w:ascii="宋体" w:hAnsi="宋体" w:eastAsia="宋体" w:cs="宋体"/>
          <w:sz w:val="24"/>
          <w:szCs w:val="24"/>
          <w:lang w:eastAsia="zh-CN"/>
        </w:rPr>
      </w:r>
      <w:r/>
    </w:p>
    <w:p>
      <w:pPr>
        <w:pStyle w:val="752"/>
        <w:ind w:firstLine="480"/>
        <w:jc w:val="right"/>
        <w:keepLines/>
        <w:keepNex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2024年</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752"/>
        <w:jc w:val="right"/>
        <w:keepLines/>
        <w:keepNext/>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p>
      <w:pPr>
        <w:pStyle w:val="752"/>
        <w:jc w:val="center"/>
        <w:keepLines/>
        <w:keepNext/>
        <w:spacing w:line="360" w:lineRule="auto"/>
        <w:rPr>
          <w:rFonts w:hint="eastAsia" w:ascii="宋体" w:hAnsi="宋体" w:eastAsia="宋体" w:cs="宋体"/>
          <w:b/>
          <w:sz w:val="36"/>
          <w:szCs w:val="36"/>
        </w:rPr>
        <w:outlineLvl w:val="0"/>
      </w:pPr>
      <w:r>
        <w:rPr>
          <w:rFonts w:hint="eastAsia" w:ascii="宋体" w:hAnsi="宋体" w:eastAsia="宋体" w:cs="宋体"/>
          <w:b/>
          <w:sz w:val="36"/>
          <w:szCs w:val="20"/>
        </w:rPr>
        <w:br w:type="page" w:clear="all"/>
      </w:r>
      <w:bookmarkStart w:id="7" w:name="_Toc513622227"/>
      <w:r/>
      <w:bookmarkStart w:id="8" w:name="_Toc21118"/>
      <w:r>
        <w:rPr>
          <w:rFonts w:hint="eastAsia" w:ascii="宋体" w:hAnsi="宋体" w:eastAsia="宋体" w:cs="宋体"/>
          <w:sz w:val="36"/>
          <w:szCs w:val="20"/>
        </w:rPr>
        <w:t xml:space="preserve">第二章  投标人须知</w:t>
      </w:r>
      <w:bookmarkEnd w:id="3"/>
      <w:r/>
      <w:bookmarkEnd w:id="4"/>
      <w:r/>
      <w:bookmarkEnd w:id="7"/>
      <w:r/>
      <w:bookmarkEnd w:id="8"/>
      <w:r>
        <w:rPr>
          <w:rFonts w:hint="eastAsia" w:ascii="宋体" w:hAnsi="宋体" w:eastAsia="宋体" w:cs="宋体"/>
          <w:b/>
          <w:sz w:val="36"/>
          <w:szCs w:val="36"/>
        </w:rPr>
      </w:r>
      <w:r/>
    </w:p>
    <w:p>
      <w:pPr>
        <w:pStyle w:val="752"/>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一、总则</w:t>
      </w:r>
      <w:r>
        <w:rPr>
          <w:rFonts w:hint="eastAsia" w:ascii="宋体" w:hAnsi="宋体" w:eastAsia="宋体" w:cs="宋体"/>
          <w:b/>
          <w:sz w:val="28"/>
          <w:szCs w:val="20"/>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采购人、项目（标段）名称及编号，详见第一章“投标邀请”。</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 采购预算</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2.1 本项目的采购预算，详见第一章“投标邀请”。</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 资金来源</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“投标邀请”中所述的采购人已获得一笔政府采购资金，用于采购第六章“项目需求”所列内容。</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4. 采购方式</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 本项目采用公开招标采购方式，招标、投标、开标、评标和中标结果发布全程电子化。</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5. 合格的投标人</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 投标人应符合第一章“投标邀请”中规定的条件，</w:t>
      </w:r>
      <w:r>
        <w:rPr>
          <w:rFonts w:hint="eastAsia" w:ascii="宋体" w:hAnsi="宋体" w:eastAsia="宋体" w:cs="宋体"/>
          <w:b/>
          <w:bCs/>
          <w:sz w:val="24"/>
          <w:szCs w:val="24"/>
        </w:rPr>
        <w:t xml:space="preserve">否则投标无效</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 投标人不得直接或间接地与为本次采购的标的进行设计、编制规范和其他文件的咨询公司、采购（代理）机构或其附属机构有任何关联。 </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w:t>
      </w:r>
      <w:r>
        <w:rPr>
          <w:rFonts w:hint="eastAsia" w:ascii="宋体" w:hAnsi="宋体" w:eastAsia="宋体" w:cs="宋体"/>
          <w:color w:val="000000"/>
          <w:sz w:val="24"/>
          <w:szCs w:val="24"/>
          <w:highlight w:val="none"/>
        </w:rPr>
        <w:t xml:space="preserve"> 银行、保险、石油石化、电力、电信等特殊行业法人的分支机构</w:t>
      </w:r>
      <w:r>
        <w:rPr>
          <w:rFonts w:hint="eastAsia" w:ascii="宋体" w:hAnsi="宋体" w:eastAsia="宋体" w:cs="宋体"/>
          <w:sz w:val="24"/>
          <w:szCs w:val="24"/>
          <w:highlight w:val="none"/>
        </w:rPr>
        <w:t xml:space="preserve">（不具有独立的法人资格）参加政府采购活动的，应当提供总公司出具的愿为其参与政府采购活动以及履约行为承担民事责任的承诺书（或授权书）。</w:t>
      </w:r>
      <w:r>
        <w:rPr>
          <w:rFonts w:hint="eastAsia" w:ascii="宋体" w:hAnsi="宋体" w:eastAsia="宋体" w:cs="宋体"/>
          <w:sz w:val="24"/>
          <w:szCs w:val="24"/>
          <w:highlight w:val="none"/>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5.4 符合上述条件的投标人应承担投标及履约过程应承担的全部责任与义务。</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6. 投标费用</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6.1 不论投标结果如何，投标人均应自行承担所有与编写和提交投标文件有关的全部费用。</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7.质疑</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7.1 质疑的提出</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7.1.1 提出质疑的供应商应当是参与所质疑项目采购活动的供应商。</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sz w:val="24"/>
          <w:szCs w:val="24"/>
          <w:lang w:eastAsia="zh-CN"/>
        </w:rPr>
        <w:t xml:space="preserve">中和德汇工程技术有限公司</w:t>
      </w:r>
      <w:r>
        <w:rPr>
          <w:rFonts w:hint="eastAsia" w:ascii="宋体" w:hAnsi="宋体" w:eastAsia="宋体" w:cs="宋体"/>
          <w:sz w:val="24"/>
          <w:szCs w:val="24"/>
        </w:rPr>
        <w:t xml:space="preserve">提出质疑。供应商应当在法定质疑期内一次性提出针对同一采购程序环节的质疑。</w:t>
      </w:r>
      <w:r>
        <w:rPr>
          <w:rFonts w:hint="eastAsia" w:ascii="宋体" w:hAnsi="宋体" w:eastAsia="宋体" w:cs="宋体"/>
          <w:b/>
          <w:bCs/>
          <w:sz w:val="24"/>
          <w:szCs w:val="24"/>
        </w:rPr>
        <w:t xml:space="preserve">未依照第一章投标邀请要求获取招标文件的供应商，视为未参与该项目的采购活动，不具备对该招标文件提出质疑的法定权利。</w:t>
      </w:r>
      <w:r>
        <w:rPr>
          <w:rFonts w:hint="eastAsia" w:ascii="宋体" w:hAnsi="宋体" w:eastAsia="宋体" w:cs="宋体"/>
          <w:b/>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7.1.3 提出质疑时，必须坚持“谁主张，谁举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7.1.4 </w:t>
      </w:r>
      <w:r>
        <w:rPr>
          <w:rFonts w:hint="eastAsia" w:ascii="宋体" w:hAnsi="宋体" w:eastAsia="宋体" w:cs="宋体"/>
          <w:b/>
          <w:sz w:val="24"/>
          <w:szCs w:val="24"/>
        </w:rPr>
        <w:t xml:space="preserve">质疑函的接收方式为供应商书面原件提交</w:t>
      </w:r>
      <w:r>
        <w:rPr>
          <w:rFonts w:hint="eastAsia" w:ascii="宋体" w:hAnsi="宋体" w:eastAsia="宋体" w:cs="宋体"/>
          <w:sz w:val="24"/>
          <w:szCs w:val="24"/>
        </w:rPr>
        <w:t xml:space="preserve">。联系部门、联系电话和通讯地址详见第一章“投标邀请”。质疑实行实名制，不得进行虚假、恶意质疑。</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7.1.5 质疑函应当使用范本（详见连云港市政府采购交易平台-监管信息-意见反馈）。</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供应商提出质疑</w:t>
      </w:r>
      <w:r>
        <w:rPr>
          <w:rFonts w:hint="eastAsia" w:ascii="宋体" w:hAnsi="宋体" w:eastAsia="宋体" w:cs="宋体"/>
          <w:b/>
          <w:sz w:val="24"/>
          <w:szCs w:val="24"/>
        </w:rPr>
        <w:t xml:space="preserve">应当提交质疑函和必要的证明材料</w:t>
      </w:r>
      <w:r>
        <w:rPr>
          <w:rFonts w:hint="eastAsia" w:ascii="宋体" w:hAnsi="宋体" w:eastAsia="宋体" w:cs="宋体"/>
          <w:sz w:val="24"/>
          <w:szCs w:val="24"/>
        </w:rPr>
        <w:t xml:space="preserve">，应当包括下列内容：</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w:t>
      </w:r>
      <w:r>
        <w:rPr>
          <w:rFonts w:hint="eastAsia" w:ascii="宋体" w:hAnsi="宋体" w:eastAsia="宋体" w:cs="宋体"/>
          <w:b/>
          <w:sz w:val="24"/>
          <w:szCs w:val="24"/>
        </w:rPr>
        <w:t xml:space="preserve">必要的证明材料；</w:t>
      </w:r>
      <w:r>
        <w:rPr>
          <w:rFonts w:hint="eastAsia" w:ascii="宋体" w:hAnsi="宋体" w:eastAsia="宋体" w:cs="宋体"/>
          <w:b/>
          <w:sz w:val="24"/>
          <w:szCs w:val="24"/>
        </w:rPr>
      </w:r>
      <w:r/>
    </w:p>
    <w:p>
      <w:pPr>
        <w:pStyle w:val="752"/>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（8）采购文件(交易文件)下载回执函；</w:t>
      </w:r>
      <w:r>
        <w:rPr>
          <w:rFonts w:hint="eastAsia" w:ascii="宋体" w:hAnsi="宋体" w:eastAsia="宋体" w:cs="宋体"/>
          <w:b/>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（9）营业执照复印件及法定代表人授权委托书、法定代表人身份证复印件、委托代理人身份证复印件。</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供应商为自然人的，应当由本人签字；供应商为法人或者其他组织的，应当由法定代表人、主要负责人，或者其授权代理人签字或者盖章，并加盖单位公章。</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7.3 质疑函的受理和答复</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7.3.1 质疑供应商应当保证其提出的质疑事项及必要的证明材料的真实性及来源的合法性，并承担相应的法律责任。</w:t>
      </w:r>
      <w:r>
        <w:rPr>
          <w:rFonts w:hint="eastAsia" w:ascii="宋体" w:hAnsi="宋体" w:eastAsia="宋体" w:cs="宋体"/>
          <w:b/>
          <w:sz w:val="24"/>
          <w:szCs w:val="24"/>
        </w:rPr>
        <w:t xml:space="preserve">对不能提供必要的证明材料的、涉及商业秘密的、非书面原件形式的、匿名的质疑函将不予受理</w:t>
      </w:r>
      <w:r>
        <w:rPr>
          <w:rFonts w:hint="eastAsia" w:ascii="宋体" w:hAnsi="宋体" w:eastAsia="宋体" w:cs="宋体"/>
          <w:sz w:val="24"/>
          <w:szCs w:val="24"/>
        </w:rPr>
        <w:t xml:space="preserve">。必要的证明材料要具备客观性、关联性、合法性，无法查实的（如宣传册、媒体报道、猜测、推理等）不能作为证明材料。采购人、代理机构不负责搜集必要的证明材料等工作。</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7.3.3 对不符合质疑要求的，采购人、代理机构有权要求其补充必要的证明材料，质疑供应商未在法定的时间内提供补充必要的证明材料的，视同放弃质疑。</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7.4 质疑处理</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7.4.1 质疑供应商未按照法定程序进行质疑投诉的，视为一般失信行为。</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7.4.2 质疑供应商不配合或者采用不正当手段干扰政府采购质疑、投诉处理工作的，视为一般失信行为。</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7.4.3 质疑供应商投诉受理期间，就同一事项多头举报，干扰财政部门投诉处理的，视为一般失信行为。</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7.4.4 质疑供应商在全国范围12个月内三次以上质疑查无实据的，视为一般失信行为。</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7.4.6 质疑供应商在全国范围12个月内三次以上投诉查无实据的，视为严重失信行为。</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7.5 未尽事宜，依照有关法律、法规执行。</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8. 投诉</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bCs/>
          <w:sz w:val="24"/>
          <w:szCs w:val="24"/>
        </w:rPr>
        <w:outlineLvl w:val="3"/>
      </w:pPr>
      <w:r>
        <w:rPr>
          <w:rFonts w:hint="eastAsia" w:ascii="宋体" w:hAnsi="宋体" w:eastAsia="宋体" w:cs="宋体"/>
          <w:sz w:val="24"/>
          <w:szCs w:val="24"/>
        </w:rPr>
        <w:t xml:space="preserve">8.1 投诉事项依照有关法律、法规执行。</w:t>
      </w:r>
      <w:r>
        <w:rPr>
          <w:rFonts w:hint="eastAsia" w:ascii="宋体" w:hAnsi="宋体" w:eastAsia="宋体" w:cs="宋体"/>
          <w:bCs/>
          <w:sz w:val="24"/>
          <w:szCs w:val="24"/>
        </w:rPr>
      </w:r>
      <w:r/>
    </w:p>
    <w:p>
      <w:pPr>
        <w:pStyle w:val="752"/>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二、招标文件</w:t>
      </w:r>
      <w:r>
        <w:rPr>
          <w:rFonts w:hint="eastAsia" w:ascii="宋体" w:hAnsi="宋体" w:eastAsia="宋体" w:cs="宋体"/>
          <w:b/>
          <w:sz w:val="28"/>
          <w:szCs w:val="20"/>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9. 招标文件构成</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要求提供的货物、招标过程及合同条款在招标文件中均有说明，招标文件分为七章，各章的内容如下：</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第一章  投标邀请</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第二章  投标人须知</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  政府采购合同格式</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  投标文件格式</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第五章  合同专用条款表</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第六章  项目需求</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第七章  评标办法</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10. 招标文件的澄清或修改</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 采购人或者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 澄清或者修改的内容可能影响投标文件编制的，采购人或者代理机构应当在投标截止时间至少15日前，在</w:t>
      </w:r>
      <w:r>
        <w:rPr>
          <w:rFonts w:hint="eastAsia" w:ascii="宋体" w:hAnsi="宋体" w:eastAsia="宋体" w:cs="宋体"/>
          <w:sz w:val="24"/>
          <w:szCs w:val="24"/>
          <w:lang w:val="en-US" w:eastAsia="zh-CN"/>
        </w:rPr>
        <w:t xml:space="preserve">江苏省政府采购网</w:t>
      </w:r>
      <w:r>
        <w:rPr>
          <w:rFonts w:hint="eastAsia" w:ascii="宋体" w:hAnsi="宋体" w:eastAsia="宋体" w:cs="宋体"/>
          <w:sz w:val="24"/>
          <w:szCs w:val="24"/>
        </w:rPr>
        <w:t xml:space="preserve">交易平台上发布公告形式通知所有获取招标文件的潜在投标人；不足15日的，采购人或者代理机构应当顺延提交投标文件的截止时间。</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 澄清或者修改的内容可能影响资格预审申请文件编制的，采购人或者代理机构应当在提交资格预审申请文件截止时间至少3日前，以在</w:t>
      </w:r>
      <w:r>
        <w:rPr>
          <w:rFonts w:hint="eastAsia" w:ascii="宋体" w:hAnsi="宋体" w:eastAsia="宋体" w:cs="宋体"/>
          <w:sz w:val="24"/>
          <w:szCs w:val="24"/>
          <w:lang w:val="en-US" w:eastAsia="zh-CN"/>
        </w:rPr>
        <w:t xml:space="preserve">江苏省政府采购网</w:t>
      </w:r>
      <w:r>
        <w:rPr>
          <w:rFonts w:hint="eastAsia" w:ascii="宋体" w:hAnsi="宋体" w:eastAsia="宋体" w:cs="宋体"/>
          <w:sz w:val="24"/>
          <w:szCs w:val="24"/>
        </w:rPr>
        <w:t xml:space="preserve">交易平台上发布公告形式通知所有获取资格预审文件的潜在投标人；不足3日的，采购人或者代理机构应当顺延提交资格预审申请文件的截止时间。</w:t>
      </w:r>
      <w:r>
        <w:rPr>
          <w:rFonts w:hint="eastAsia" w:ascii="宋体" w:hAnsi="宋体" w:eastAsia="宋体" w:cs="宋体"/>
          <w:sz w:val="24"/>
          <w:szCs w:val="24"/>
        </w:rPr>
      </w:r>
      <w:r/>
    </w:p>
    <w:p>
      <w:pPr>
        <w:pStyle w:val="752"/>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三、投标文件的编制</w:t>
      </w:r>
      <w:r>
        <w:rPr>
          <w:rFonts w:hint="eastAsia" w:ascii="宋体" w:hAnsi="宋体" w:eastAsia="宋体" w:cs="宋体"/>
          <w:b/>
          <w:sz w:val="28"/>
          <w:szCs w:val="20"/>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11. 投标文件编写注意事项</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sz w:val="24"/>
          <w:szCs w:val="24"/>
        </w:rPr>
        <w:t xml:space="preserve">无效响应处理</w:t>
      </w:r>
      <w:r>
        <w:rPr>
          <w:rFonts w:hint="eastAsia" w:ascii="宋体" w:hAnsi="宋体" w:eastAsia="宋体" w:cs="宋体"/>
          <w:sz w:val="24"/>
          <w:szCs w:val="24"/>
        </w:rPr>
        <w:t xml:space="preserve">。</w:t>
      </w:r>
      <w:r>
        <w:rPr>
          <w:rFonts w:hint="eastAsia" w:ascii="宋体" w:hAnsi="宋体" w:eastAsia="宋体" w:cs="宋体"/>
          <w:bCs/>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sz w:val="24"/>
          <w:szCs w:val="24"/>
        </w:rPr>
        <w:t xml:space="preserve">作出满足或者优于原要求和条件的响应</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11.3 </w:t>
      </w:r>
      <w:r>
        <w:rPr>
          <w:rFonts w:hint="eastAsia" w:ascii="宋体" w:hAnsi="宋体" w:eastAsia="宋体" w:cs="宋体"/>
          <w:b/>
          <w:bCs/>
          <w:sz w:val="24"/>
          <w:szCs w:val="24"/>
        </w:rPr>
        <w:t xml:space="preserve">招标文件中标注★号的部分为实质性要求和条件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12. 投标的语言及计量单位</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投标人的投标文件以及投标人与代理机构就有关投标的所有来往函电统一使用中文（特别规定除外），既有中文也有外文的，以中文意义为准。</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投标文件中使用的计量单位除招标文件中有特殊规定外，一律使用中国法定计量单位。</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13. 投标报价</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（1）投标的货物总价；</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投标人可就第六章“项目需求”中的某个分标货物内容作完整唯一报价，也可就所有分标或某几个分标货物内容分别作完整唯一报价。</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14. 投标货币</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14.1 投标应以人民币报价。</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15. 投标文件有效期</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 本项目投标文件有效期为：投标文件接收截止时间结束后60天内，投标文件有效期不符合招标文件要求的，该投标人投标无效。</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 在特殊情况下，代理机构可与投标人协商延长投标文件的有效期，这种要求与答复均应以书面形式提交。</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16. 投标保证金</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本项目不收取投标保证金。</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17. 投标文件制作工具</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17.1 </w:t>
      </w:r>
      <w:r>
        <w:rPr>
          <w:rFonts w:hint="eastAsia" w:ascii="宋体" w:hAnsi="宋体" w:eastAsia="宋体" w:cs="宋体"/>
          <w:color w:val="000000"/>
          <w:sz w:val="24"/>
          <w:szCs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18. 投标文件构成</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投标人编制的投标文件应包括</w:t>
      </w:r>
      <w:r>
        <w:rPr>
          <w:rFonts w:hint="eastAsia" w:ascii="宋体" w:hAnsi="宋体" w:eastAsia="宋体" w:cs="宋体"/>
          <w:b/>
          <w:sz w:val="24"/>
          <w:szCs w:val="24"/>
        </w:rPr>
        <w:t xml:space="preserve">商务文件、技术文件、评审因素所需材料和其他材料</w:t>
      </w:r>
      <w:r>
        <w:rPr>
          <w:rFonts w:hint="eastAsia" w:ascii="宋体" w:hAnsi="宋体" w:eastAsia="宋体" w:cs="宋体"/>
          <w:sz w:val="24"/>
          <w:szCs w:val="24"/>
        </w:rPr>
        <w:t xml:space="preserve">等内容，相关文件的提交如未特别注明可提供扫描件。</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18.1 </w:t>
      </w:r>
      <w:r>
        <w:rPr>
          <w:rFonts w:hint="eastAsia" w:ascii="宋体" w:hAnsi="宋体" w:eastAsia="宋体" w:cs="宋体"/>
          <w:b/>
          <w:sz w:val="24"/>
          <w:szCs w:val="24"/>
        </w:rPr>
        <w:t xml:space="preserve">投标文件格式：</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Cs w:val="24"/>
        </w:rPr>
      </w:pPr>
      <w:r>
        <w:rPr>
          <w:rFonts w:hint="eastAsia" w:ascii="宋体" w:hAnsi="宋体" w:eastAsia="宋体" w:cs="宋体"/>
          <w:sz w:val="24"/>
          <w:szCs w:val="24"/>
        </w:rPr>
        <w:t xml:space="preserve">填写投标人名称、投标人地址、法定代表人、委托代理人、日期等内容。</w:t>
      </w:r>
      <w:r>
        <w:rPr>
          <w:rFonts w:hint="eastAsia" w:ascii="宋体" w:hAnsi="宋体" w:eastAsia="宋体" w:cs="宋体"/>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18.2 </w:t>
      </w:r>
      <w:r>
        <w:rPr>
          <w:rFonts w:hint="eastAsia" w:ascii="宋体" w:hAnsi="宋体" w:eastAsia="宋体" w:cs="宋体"/>
          <w:b/>
          <w:sz w:val="24"/>
          <w:szCs w:val="24"/>
        </w:rPr>
        <w:t xml:space="preserve">商务文件：（政府采购政策有关材料可选提交；委托代理时必须提交法定代表人授权委托书，否则投标无效；其他文件必须提交，否则投标无效）</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（1）响应函：请按给定格式及要求填写。</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（2）开标一览表：请按给定格式及要求填写。</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（3）报价明细表：请按第四章“投标文件格式”提供的“报价明细表”格式及要求填写。</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（4）政府采购政策：中小企业声明函、残疾人福利性单位声明函及省级以上监狱管理局、戒毒管理局（含新疆生产建设兵团）出具的属于监狱企业的证明文件，填报要求详见“八、政策功能”。</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（5）资格审查材料：</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（6）法定代表人授权委托书：请按给定格式及要求填写。</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（7）商务条款偏离表：请按给定格式及要求，并根据投标人投标承诺的商务条件与“合同条款”“合同专用条款表”“项目需求”等的差异填写。</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（8）售后服务承诺书：请按给定格式及要求填写。</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18.3 </w:t>
      </w:r>
      <w:r>
        <w:rPr>
          <w:rFonts w:hint="eastAsia" w:ascii="宋体" w:hAnsi="宋体" w:eastAsia="宋体" w:cs="宋体"/>
          <w:b/>
          <w:sz w:val="24"/>
          <w:szCs w:val="24"/>
        </w:rPr>
        <w:t xml:space="preserve">技术文件：（以下文件必须提交，否则该投标人投标无效）</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（1）技术标：可以但不限于技术方案、产品技术资料、招标文件规定的其他文件等，格式自定。</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（2）技术规格偏离表：按第四章“投标文件格式”提供的“技术规格偏离表”的格式及要求，根据投标人投标的货物与“项目需求”相关技术规格要求的差异填写。</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（3）项目需求响应：格式自拟。</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b/>
          <w:sz w:val="24"/>
          <w:szCs w:val="24"/>
        </w:rPr>
        <w:outlineLvl w:val="3"/>
      </w:pPr>
      <w:r>
        <w:rPr>
          <w:rFonts w:hint="eastAsia" w:ascii="宋体" w:hAnsi="宋体" w:eastAsia="宋体" w:cs="宋体"/>
          <w:sz w:val="24"/>
          <w:szCs w:val="24"/>
        </w:rPr>
        <w:t xml:space="preserve">18.4 </w:t>
      </w:r>
      <w:r>
        <w:rPr>
          <w:rFonts w:hint="eastAsia" w:ascii="宋体" w:hAnsi="宋体" w:eastAsia="宋体" w:cs="宋体"/>
          <w:b/>
          <w:sz w:val="24"/>
          <w:szCs w:val="24"/>
        </w:rPr>
        <w:t xml:space="preserve">评审因素所需材料：</w:t>
      </w:r>
      <w:r>
        <w:rPr>
          <w:rFonts w:hint="eastAsia" w:ascii="宋体" w:hAnsi="宋体" w:eastAsia="宋体" w:cs="宋体"/>
          <w:b/>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如有，请按招标文件要求提供。</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b/>
          <w:sz w:val="24"/>
          <w:szCs w:val="24"/>
        </w:rPr>
        <w:outlineLvl w:val="3"/>
      </w:pPr>
      <w:r>
        <w:rPr>
          <w:rFonts w:hint="eastAsia" w:ascii="宋体" w:hAnsi="宋体" w:eastAsia="宋体" w:cs="宋体"/>
          <w:sz w:val="24"/>
          <w:szCs w:val="24"/>
        </w:rPr>
        <w:t xml:space="preserve">18.5 </w:t>
      </w:r>
      <w:r>
        <w:rPr>
          <w:rFonts w:hint="eastAsia" w:ascii="宋体" w:hAnsi="宋体" w:eastAsia="宋体" w:cs="宋体"/>
          <w:b/>
          <w:sz w:val="24"/>
          <w:szCs w:val="24"/>
        </w:rPr>
        <w:t xml:space="preserve">其他材料：</w:t>
      </w:r>
      <w:r>
        <w:rPr>
          <w:rFonts w:hint="eastAsia" w:ascii="宋体" w:hAnsi="宋体" w:eastAsia="宋体" w:cs="宋体"/>
          <w:b/>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如有，请按招标文件要求提供。</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19. 生成投标文件</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19.1 投标文件应由</w:t>
      </w:r>
      <w:r>
        <w:rPr>
          <w:rFonts w:hint="eastAsia" w:ascii="宋体" w:hAnsi="宋体" w:eastAsia="宋体" w:cs="宋体"/>
          <w:b/>
          <w:sz w:val="24"/>
          <w:szCs w:val="24"/>
        </w:rPr>
        <w:t xml:space="preserve">法定代表人或其委托代理人</w:t>
      </w:r>
      <w:r>
        <w:rPr>
          <w:rFonts w:hint="eastAsia" w:ascii="宋体" w:hAnsi="宋体" w:eastAsia="宋体" w:cs="宋体"/>
          <w:b/>
          <w:bCs/>
          <w:sz w:val="24"/>
          <w:szCs w:val="24"/>
        </w:rPr>
        <w:t xml:space="preserve">在凡规定签章处逐一签字或盖章并加盖投标人公章（相关内容可以打印、签字、盖章后扫描电子件）或</w:t>
      </w:r>
      <w:r>
        <w:rPr>
          <w:rFonts w:hint="eastAsia" w:ascii="宋体" w:hAnsi="宋体" w:eastAsia="宋体" w:cs="宋体"/>
          <w:b/>
          <w:sz w:val="24"/>
          <w:szCs w:val="24"/>
        </w:rPr>
        <w:t xml:space="preserve">使用电子签章</w:t>
      </w:r>
      <w:r>
        <w:rPr>
          <w:rFonts w:hint="eastAsia" w:ascii="宋体" w:hAnsi="宋体" w:eastAsia="宋体" w:cs="宋体"/>
          <w:sz w:val="24"/>
          <w:szCs w:val="24"/>
        </w:rPr>
        <w:t xml:space="preserve">，本招标文件所表述的公章是指刻有投标人法定名称的印章，不包括合同、财务、税务、发票等形式的业务专用章。</w:t>
      </w:r>
      <w:r>
        <w:rPr>
          <w:rFonts w:hint="eastAsia" w:ascii="宋体" w:hAnsi="宋体" w:eastAsia="宋体" w:cs="宋体"/>
          <w:b/>
          <w:bCs/>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 电子投标文件不得涂改、行间插字或删除，如出现上述情况应重新编制。</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19.3 投标文件制作工具生成内容相同、加密与未加密两个版本电子投标文件，加密版本用于提交上传，未加密版本用于特殊情况处理。</w:t>
      </w:r>
      <w:r>
        <w:rPr>
          <w:rFonts w:hint="eastAsia" w:ascii="宋体" w:hAnsi="宋体" w:eastAsia="宋体" w:cs="宋体"/>
          <w:sz w:val="24"/>
          <w:szCs w:val="24"/>
        </w:rPr>
      </w:r>
      <w:r/>
    </w:p>
    <w:p>
      <w:pPr>
        <w:pStyle w:val="752"/>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四、投标文件及样品的提交</w:t>
      </w:r>
      <w:r>
        <w:rPr>
          <w:rFonts w:hint="eastAsia" w:ascii="宋体" w:hAnsi="宋体" w:eastAsia="宋体" w:cs="宋体"/>
          <w:b/>
          <w:sz w:val="28"/>
          <w:szCs w:val="20"/>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20. 投标文件的上传、修改和撤回</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 投标人应当使用投标文件制作工具，生成加密电子投标文件一份，在规定的截止时间前上传，迟于截止时间的</w:t>
      </w:r>
      <w:r>
        <w:rPr>
          <w:rFonts w:hint="eastAsia" w:ascii="宋体" w:hAnsi="宋体" w:eastAsia="宋体" w:cs="宋体"/>
          <w:b/>
          <w:sz w:val="24"/>
          <w:szCs w:val="24"/>
        </w:rPr>
        <w:t xml:space="preserve">不予接收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20.2 投标人在上传投标文件后可以对其修改或撤回，但这种修改或撤回，必须在规定的投标截止时间前。</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20.3 对电子投标文件的修改，投标人可以在投标截止时间前登录电子交易平台撤回文件，并上传新的投标文件，投标文件以最终完成上传的为准。</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Cs w:val="24"/>
        </w:rPr>
      </w:pPr>
      <w:r>
        <w:rPr>
          <w:rFonts w:hint="eastAsia" w:ascii="宋体" w:hAnsi="宋体" w:eastAsia="宋体" w:cs="宋体"/>
          <w:sz w:val="24"/>
          <w:szCs w:val="24"/>
        </w:rPr>
        <w:t xml:space="preserve">20.4 投标人不得在投标截止时间后修改投标文件，也不得在投标截止时间起至投标有效期满前撤回投标文件。</w:t>
      </w:r>
      <w:r>
        <w:rPr>
          <w:rFonts w:hint="eastAsia" w:ascii="宋体" w:hAnsi="宋体" w:eastAsia="宋体" w:cs="宋体"/>
          <w:szCs w:val="24"/>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21. 提交投标样品截止时间和地点（本项目不需要提交样品）</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 采购项目如需要提交样品的，投标人应当于招标文件规定的样品接收截止</w:t>
      </w:r>
      <w:r>
        <w:rPr>
          <w:rFonts w:hint="eastAsia" w:ascii="宋体" w:hAnsi="宋体" w:eastAsia="宋体" w:cs="宋体"/>
          <w:bCs/>
          <w:sz w:val="24"/>
          <w:szCs w:val="24"/>
        </w:rPr>
        <w:t xml:space="preserve">时间前将样品送达指定地点并登记完毕，</w:t>
      </w:r>
      <w:r>
        <w:rPr>
          <w:rFonts w:hint="eastAsia" w:ascii="宋体" w:hAnsi="宋体" w:eastAsia="宋体" w:cs="宋体"/>
          <w:b/>
          <w:bCs/>
          <w:sz w:val="24"/>
          <w:szCs w:val="24"/>
        </w:rPr>
        <w:t xml:space="preserve">否则不予接收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中标人提供的样品由采购人封存、保管，作为履约验收的参考。未中标人提供的样品，投标人应在中标结果公布后两个工作日内领回，否则按无主物品处理。</w:t>
      </w:r>
      <w:r>
        <w:rPr>
          <w:rFonts w:hint="eastAsia" w:ascii="宋体" w:hAnsi="宋体" w:eastAsia="宋体" w:cs="宋体"/>
          <w:sz w:val="24"/>
          <w:szCs w:val="24"/>
        </w:rPr>
      </w:r>
      <w:r/>
    </w:p>
    <w:p>
      <w:pPr>
        <w:pStyle w:val="752"/>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五、开标与评标</w:t>
      </w:r>
      <w:r>
        <w:rPr>
          <w:rFonts w:hint="eastAsia" w:ascii="宋体" w:hAnsi="宋体" w:eastAsia="宋体" w:cs="宋体"/>
          <w:b/>
          <w:sz w:val="28"/>
          <w:szCs w:val="20"/>
        </w:rPr>
      </w:r>
      <w:r/>
    </w:p>
    <w:p>
      <w:pPr>
        <w:pStyle w:val="752"/>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22. 开标</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22.1 代理机构将在第一章“投标邀请”规定的时间和地点进行开标，投标人的法定代表人或其委托代理人应</w:t>
      </w:r>
      <w:r>
        <w:rPr>
          <w:rFonts w:hint="eastAsia" w:ascii="宋体" w:hAnsi="宋体" w:eastAsia="宋体" w:cs="宋体"/>
          <w:b/>
          <w:sz w:val="24"/>
          <w:szCs w:val="24"/>
        </w:rPr>
        <w:t xml:space="preserve">准备身份证件和用于生成、加密和上传电子投标文件的CA数字证书参加开标会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线下开标的，供应商必须按规定时间递交CA数字证书，</w:t>
      </w:r>
      <w:r>
        <w:rPr>
          <w:rFonts w:hint="eastAsia" w:ascii="宋体" w:hAnsi="宋体" w:eastAsia="宋体" w:cs="宋体"/>
          <w:b/>
          <w:sz w:val="24"/>
          <w:szCs w:val="24"/>
        </w:rPr>
        <w:t xml:space="preserve">超过截止时间的代理机构有权拒收，视为放弃投标（响应）和放弃对开标（开启）全过程提出疑义的权利，并承担由此导致的一切后果。</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不见面交易的，供应商必须提前登录不见面开标大厅并在投标文件递交截止时间之前完成签到，</w:t>
      </w:r>
      <w:r>
        <w:rPr>
          <w:rFonts w:hint="eastAsia" w:ascii="宋体" w:hAnsi="宋体" w:eastAsia="宋体" w:cs="宋体"/>
          <w:b/>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供应商未参加开标会的，视同认可开标结果。</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22.2 开标程序：</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（1）开标会由代理机构主持，主持人宣布开标会议开始；</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（2）投标人解密投标文件；</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（3）唱标及勘误：唱标时将当众宣读每份电子投标文件中“开标一览表”的各项内容以及代理机构认为有必要宣读的其他内容，唱标顺序按开标系统投标人先后顺序进行；</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（4）宣布评标期间的有关事项；</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（5）开标会议结束。</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22.3 代理机构将做开标记录（包括投标人名称、投标总报价、分标报价、交货期等）。</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22.4 开标结束后，采购人依法对投标人的资格进行审查。</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23. 评标</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23.1 成立评标委员会。评标委员会由采购人代表和评审专家组成。</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23.2 评标的方式。本采购项目采用不公开方式评标，评标的依据为招标文件和投标文件。</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23.3 </w:t>
      </w:r>
      <w:r>
        <w:rPr>
          <w:rFonts w:hint="eastAsia" w:ascii="宋体" w:hAnsi="宋体" w:eastAsia="宋体" w:cs="宋体"/>
          <w:bCs/>
          <w:sz w:val="24"/>
          <w:szCs w:val="24"/>
        </w:rPr>
        <w:t xml:space="preserve">评标工作程序</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（1）评标委员会负责具体评标事务，并独立履行下列职责：</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①审查、评价投标文件是否符合招标文件的商务、技术等实质性要求；</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②要求投标人对投标文件有关事项作出澄清或者说明；</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③对投标文件进行比较和评价（对商务、技术及其他内容的比较和评价结束前，评标委员会不得比较和评价投标报价）；</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④确定中标候选人名单，以及根据采购人授权直接确定中标人；</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⑤向采购人、代理机构或者有关部门报告评标中发现的违法行为；</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⑥编写评标报告。</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（2）评标委员会对符合资格的投标人的投标文件进行符合性审查，以确定其是否满足招标文件的实质性要求。</w:t>
      </w:r>
      <w:r>
        <w:rPr>
          <w:rFonts w:hint="eastAsia" w:ascii="宋体" w:hAnsi="宋体" w:eastAsia="宋体" w:cs="宋体"/>
          <w:sz w:val="24"/>
          <w:szCs w:val="24"/>
        </w:rPr>
      </w:r>
      <w:r/>
    </w:p>
    <w:p>
      <w:pPr>
        <w:pStyle w:val="752"/>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符合性检查</w:t>
      </w:r>
      <w:r>
        <w:rPr>
          <w:rFonts w:hint="eastAsia" w:ascii="宋体" w:hAnsi="宋体" w:eastAsia="宋体" w:cs="宋体"/>
          <w:sz w:val="24"/>
          <w:szCs w:val="24"/>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rPr>
          <w:rFonts w:hint="eastAsia" w:ascii="宋体" w:hAnsi="宋体" w:eastAsia="宋体" w:cs="宋体"/>
          <w:sz w:val="24"/>
          <w:szCs w:val="24"/>
        </w:rPr>
      </w:r>
      <w:r/>
    </w:p>
    <w:p>
      <w:pPr>
        <w:pStyle w:val="752"/>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所谓重大偏离或保留</w:t>
      </w:r>
      <w:r>
        <w:rPr>
          <w:rFonts w:hint="eastAsia" w:ascii="宋体" w:hAnsi="宋体" w:eastAsia="宋体" w:cs="宋体"/>
          <w:sz w:val="24"/>
          <w:szCs w:val="24"/>
        </w:rPr>
        <w:t xml:space="preserve">，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2/3及以上成员的认定。</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评标委员会决定投标文件的响应性仅基于投标文件本身的内容，而不寻求外部证据。</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评标委员会将拒绝被确定为非实质性响应的投标人，投标人不能通过修正或撤销不符之处而使其投标成为实质性响应的投标。</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color w:val="000000"/>
          <w:sz w:val="24"/>
          <w:szCs w:val="24"/>
        </w:rPr>
        <w:t xml:space="preserve">澄清</w:t>
      </w:r>
      <w:r>
        <w:rPr>
          <w:rFonts w:hint="eastAsia" w:ascii="宋体" w:hAnsi="宋体" w:eastAsia="宋体" w:cs="宋体"/>
          <w:color w:val="000000"/>
          <w:sz w:val="24"/>
          <w:szCs w:val="24"/>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23.4 评标过程的保密</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24. 投标文件报价出现前后不一致的，按照下列规定修正：</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（1）投标文件中开标一览表（报价表）内容与投标文件中相应内容不一致的，以开标一览表（报价表）为准；</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（2）大写金额和小写金额不一致的，以大写金额为准；</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同时出现两种以上不一致的，按照前款规定的顺序修正。修正后的报价按照政府采购有关规定经投标人确认后产生约束力，投标人不确认的，其投标无效。</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25. </w:t>
      </w:r>
      <w:r>
        <w:rPr>
          <w:rFonts w:hint="eastAsia" w:ascii="宋体" w:hAnsi="宋体" w:eastAsia="宋体" w:cs="宋体"/>
          <w:b/>
          <w:sz w:val="24"/>
          <w:szCs w:val="24"/>
        </w:rPr>
        <w:t xml:space="preserve">投标人有下列情况之一的，投标无效：</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（1）未按照招标文件的规定提交投标保证金的；</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（2）投标文件未按招标文件要求编制、签署、盖章的；</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（3）不具备招标文件中规定的资格要求的；</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（4）报价超过招标文件中规定的预算金额或者最高限价的；</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（5）投标文件含有采购人不能接受的附加条件的；</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（6）未按招标文件要求提供电子投标文件或者电子投标文件未能解密（指投标人自身原因）且按照招标文件明确的投标文件解密失败后补救方案（仅现场开标适用）补救不成功的；</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（7）投标人提交的电子投标文件、投标文件备份U盘（仅现场开标适用）均因其自身原因出现问题导致无法电子评标的；</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（8）法律、法规和招标文件规定的其他无效情形。</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b/>
          <w:sz w:val="24"/>
          <w:szCs w:val="24"/>
        </w:rPr>
        <w:outlineLvl w:val="2"/>
      </w:pPr>
      <w:r>
        <w:rPr>
          <w:rFonts w:hint="eastAsia" w:ascii="宋体" w:hAnsi="宋体" w:eastAsia="宋体" w:cs="宋体"/>
          <w:sz w:val="24"/>
          <w:szCs w:val="24"/>
        </w:rPr>
        <w:t xml:space="preserve">26. </w:t>
      </w:r>
      <w:r>
        <w:rPr>
          <w:rFonts w:hint="eastAsia" w:ascii="宋体" w:hAnsi="宋体" w:eastAsia="宋体" w:cs="宋体"/>
          <w:b/>
          <w:sz w:val="24"/>
          <w:szCs w:val="24"/>
        </w:rPr>
        <w:t xml:space="preserve">有下列情形之一的，视为投标人串通投标，其投标无效：</w:t>
      </w:r>
      <w:r>
        <w:rPr>
          <w:rFonts w:hint="eastAsia" w:ascii="宋体" w:hAnsi="宋体" w:eastAsia="宋体" w:cs="宋体"/>
          <w:b/>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（6）不同投标人的投标保证金从同一单位或者个人的账户转出。</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27. </w:t>
      </w:r>
      <w:r>
        <w:rPr>
          <w:rFonts w:hint="eastAsia" w:ascii="宋体" w:hAnsi="宋体" w:eastAsia="宋体" w:cs="宋体"/>
          <w:b/>
          <w:sz w:val="24"/>
          <w:szCs w:val="24"/>
        </w:rPr>
        <w:t xml:space="preserve">在招标采购中，出现下列情形之一的，应予废标：</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（1）符合专业条件的供应商或者对招标文件作实质响应的供应商不足3家的；</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（2）出现影响采购公正的违法、违规行为的；</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（3）投标人的报价均超过了采购预算（最高限价），采购人不能支付的；</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（4）因重大变故，采购任务取消的。</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28. 评标原则、评标办法和特殊情况处理</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28.1 评标原则</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28.2 评标办法</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详见第七章“评标办法”。</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28.3 现场开标特殊情况处理（采用不见面交易方式招标的本条款不适用）</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因“开评标系统”自身故障，开标活动无法正常进行时，将使用投标文件备份U盘继续进行开标活动。</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“开评标系统”自身故障是指非投标人原因造成所有投标人电子投标文件均无法解密的情形，部分投标文件无法解密的，不适用本条款。</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对于不同载体的投标文件，开标、评标及认定顺序为电子投标文件、投标备份U盘，前项不能读取的可按后项评审。</w:t>
      </w:r>
      <w:r>
        <w:rPr>
          <w:rFonts w:hint="eastAsia" w:ascii="宋体" w:hAnsi="宋体" w:eastAsia="宋体" w:cs="宋体"/>
          <w:sz w:val="24"/>
          <w:szCs w:val="24"/>
        </w:rPr>
      </w:r>
      <w:r/>
    </w:p>
    <w:p>
      <w:pPr>
        <w:pStyle w:val="752"/>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六、中标结果</w:t>
      </w:r>
      <w:r>
        <w:rPr>
          <w:rFonts w:hint="eastAsia" w:ascii="宋体" w:hAnsi="宋体" w:eastAsia="宋体" w:cs="宋体"/>
          <w:b/>
          <w:sz w:val="28"/>
          <w:szCs w:val="20"/>
        </w:rPr>
      </w:r>
      <w:r/>
    </w:p>
    <w:p>
      <w:pPr>
        <w:pStyle w:val="752"/>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29. 中标人的确定</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29.1 评标委员会按照评审得分由高到低顺序推荐3名中标候选人。</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 根据采购人的授权，由评标委员会直接确定排名第一的中标候选人为中标人。</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30. 中标通知书</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30.1 中标人确定后，中标结果由代理机构公告，中标公告期限为1个工作日。</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30.2 在公告中标结果的同时，由代理机构向中标人发出中标通知书，</w:t>
      </w:r>
      <w:r>
        <w:rPr>
          <w:rFonts w:hint="eastAsia" w:ascii="宋体" w:hAnsi="宋体" w:eastAsia="宋体" w:cs="宋体"/>
          <w:b/>
          <w:sz w:val="24"/>
          <w:szCs w:val="24"/>
        </w:rPr>
        <w:t xml:space="preserve">中标供应商在领取中标通知书时，需提供一正三副与电子投标文件一致的纸质打印投标文件（须胶装并盖章）</w:t>
      </w:r>
      <w:r>
        <w:rPr>
          <w:rFonts w:hint="eastAsia" w:ascii="宋体" w:hAnsi="宋体" w:eastAsia="宋体" w:cs="宋体"/>
          <w:sz w:val="24"/>
          <w:szCs w:val="24"/>
        </w:rPr>
        <w:t xml:space="preserve">；对未通过资格审查的投标人，应当告知其未通过的原因；采用综合评分法评审的，还应当告知未中标人本人的评审得分与排序。</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30.3 代理机构无义务向未中标投标人解释落标原因和退回投标文件。</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31. 签订合同</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31.1 中标人收到中标通知书后，应当按招标文件、投标文件及有关澄清承诺书的要求与采购人在三十日内签订合同，并送交代理机构见证，否则，财政部门将延期支付合同款，直至停止采购资金计划执行。采购人在采购合同签订之日起七个工作日内送一份至政府采购监督管理部门备案。</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31.2 中标人因不可抗力或者自身原因不能履行政府采购合同的，按政府采购有关法律法规执行。</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32. 履约保证金</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32.1 履约保证金的数额不得超过政府采购合同金额的10%。中标人应当以支票、汇票、本票或者金融机构、担保机构出具的保函等非现金形式在合同签订前提交。</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32.2 中标人违约的，采购人将按照合同约定扣除其全部或部分履约保证金。如中标人违约给采购人造成的损失超过履约保证金的，应当依法赔偿超过部分的损失。</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32.3 履约保证金自合同生效之日起至合同约定的中标人主要义务履行完毕止，采购人应当按合同约定及时退还履约保证金。</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32.4 本项目履约保证金要求详见招标文件第五章“合同专用条款表”。</w:t>
      </w:r>
      <w:r>
        <w:rPr>
          <w:rFonts w:hint="eastAsia" w:ascii="宋体" w:hAnsi="宋体" w:eastAsia="宋体" w:cs="宋体"/>
          <w:sz w:val="24"/>
          <w:szCs w:val="24"/>
        </w:rPr>
      </w:r>
      <w:r/>
    </w:p>
    <w:p>
      <w:pPr>
        <w:pStyle w:val="752"/>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七、其他事项</w:t>
      </w:r>
      <w:r>
        <w:rPr>
          <w:rFonts w:hint="eastAsia" w:ascii="宋体" w:hAnsi="宋体" w:eastAsia="宋体" w:cs="宋体"/>
          <w:b/>
          <w:sz w:val="28"/>
          <w:szCs w:val="20"/>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33. 采购代理服务费</w:t>
      </w:r>
      <w:r>
        <w:rPr>
          <w:rFonts w:hint="eastAsia" w:ascii="宋体" w:hAnsi="宋体" w:eastAsia="宋体" w:cs="宋体"/>
          <w:sz w:val="24"/>
          <w:szCs w:val="24"/>
        </w:rPr>
      </w:r>
      <w:r/>
    </w:p>
    <w:p>
      <w:pPr>
        <w:pStyle w:val="752"/>
        <w:ind w:firstLine="480"/>
        <w:keepLines w:val="0"/>
        <w:keepNext w:val="0"/>
        <w:pageBreakBefore w:val="0"/>
        <w:spacing w:line="500" w:lineRule="exact"/>
        <w:widowControl w:val="off"/>
        <w:rPr>
          <w:rFonts w:ascii="宋体" w:hAnsi="宋体" w:eastAsia="宋体" w:cs="宋体"/>
          <w:color w:val="ff0000"/>
          <w:sz w:val="24"/>
          <w:szCs w:val="24"/>
          <w:lang w:val="en-US" w:eastAsia="zh-CN"/>
        </w:rPr>
      </w:pPr>
      <w:r>
        <w:rPr>
          <w:rFonts w:hint="eastAsia" w:ascii="宋体" w:hAnsi="宋体" w:eastAsia="宋体" w:cs="宋体"/>
          <w:color w:val="000000"/>
          <w:sz w:val="24"/>
          <w:szCs w:val="24"/>
        </w:rPr>
        <w:t xml:space="preserve">33.1 </w:t>
      </w:r>
      <w:r>
        <w:rPr>
          <w:rFonts w:hint="eastAsia" w:ascii="宋体" w:hAnsi="宋体" w:eastAsia="宋体" w:cs="Times New Roman"/>
          <w:color w:val="000000"/>
          <w:sz w:val="24"/>
        </w:rPr>
        <w:t xml:space="preserve">投标人应自行承担所有与参加投标有关的费用，无论投标过程中的做法和结果如何，</w:t>
      </w:r>
      <w:r>
        <w:rPr>
          <w:rFonts w:hint="eastAsia" w:ascii="宋体" w:hAnsi="宋体" w:cs="Times New Roman"/>
          <w:color w:val="000000"/>
          <w:sz w:val="24"/>
          <w:lang w:eastAsia="zh-CN"/>
        </w:rPr>
        <w:t xml:space="preserve">中和德汇工程技术有限公司</w:t>
      </w:r>
      <w:r>
        <w:rPr>
          <w:rFonts w:hint="eastAsia" w:ascii="宋体" w:hAnsi="宋体" w:eastAsia="宋体" w:cs="Times New Roman"/>
          <w:color w:val="000000"/>
          <w:sz w:val="24"/>
        </w:rPr>
        <w:t xml:space="preserve">（以下简称</w:t>
      </w:r>
      <w:r>
        <w:rPr>
          <w:rFonts w:hint="eastAsia" w:ascii="宋体" w:hAnsi="宋体" w:eastAsia="宋体" w:cs="Times New Roman"/>
          <w:color w:val="000000"/>
          <w:sz w:val="24"/>
          <w:lang w:val="en-US" w:eastAsia="zh-CN"/>
        </w:rPr>
        <w:t xml:space="preserve">采购代理机构</w:t>
      </w:r>
      <w:r>
        <w:rPr>
          <w:rFonts w:hint="eastAsia" w:ascii="宋体" w:hAnsi="宋体" w:eastAsia="宋体" w:cs="Times New Roman"/>
          <w:color w:val="000000"/>
          <w:sz w:val="24"/>
        </w:rPr>
        <w:t xml:space="preserve">）在任何情况下均无义务和责任承担这些费用。</w:t>
      </w:r>
      <w:r>
        <w:rPr>
          <w:rFonts w:ascii="宋体" w:hAnsi="宋体" w:eastAsia="宋体" w:cs="宋体"/>
          <w:color w:val="ff0000"/>
          <w:sz w:val="24"/>
          <w:szCs w:val="24"/>
          <w:lang w:val="en-US" w:eastAsia="zh-CN"/>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34. 解释权</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34.1 本招标文件根据《中华人民共和国政府采购法》《中华人民共和国政府采购法实施条例》《政府采购货物和服务招标投标管理办法》及相关法律法规编制，解释权归代理机构。</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35. 有关事宜</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35.1 所有与本招标文件有关的函电和通讯地址见第一章“投标邀请”。</w:t>
      </w:r>
      <w:r>
        <w:rPr>
          <w:rFonts w:hint="eastAsia" w:ascii="宋体" w:hAnsi="宋体" w:eastAsia="宋体" w:cs="宋体"/>
          <w:sz w:val="24"/>
          <w:szCs w:val="24"/>
        </w:rPr>
      </w:r>
      <w:r/>
    </w:p>
    <w:p>
      <w:pPr>
        <w:pStyle w:val="752"/>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八、政策功能</w:t>
      </w:r>
      <w:r>
        <w:rPr>
          <w:rFonts w:hint="eastAsia" w:ascii="宋体" w:hAnsi="宋体" w:eastAsia="宋体" w:cs="宋体"/>
          <w:b/>
          <w:sz w:val="28"/>
          <w:szCs w:val="20"/>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36. </w:t>
      </w:r>
      <w:r>
        <w:rPr>
          <w:rFonts w:hint="eastAsia" w:ascii="宋体" w:hAnsi="宋体" w:eastAsia="宋体" w:cs="宋体"/>
          <w:color w:val="000000"/>
          <w:sz w:val="24"/>
          <w:szCs w:val="24"/>
        </w:rPr>
        <w:t xml:space="preserve">对于小型企业、微型企业、监狱企业、残疾人福利性单位报价以扣除优惠比率后的价格参与评审，但不作为中标价和合同签约价。中标价和合同签约价仍以其投标文件中的一次报价为准。</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37. 价格给予扣除标准：</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4"/>
          <w:szCs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%的扣除，用扣除后的价格参与评审（供应商提供的货物既有中小企业制造货物，也有大型企业制造货物的，不享受该扶持政策）：</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本项目价格扣除计算方法如下：参与报价得分计算的价格＝投标人的投标报价-小型企业、微型企业、监狱企业、残疾人福利性单位的投标报价×</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 参加政府采购活动的供应商享受价格评审优惠的应当提供的材料：</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38.1 供应商提供的货物全部由小型企业、微型企业制造的，提供《中小企业声明函》（第四章“投标文件格式”）。</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38.2 供应商为残疾人福利性单位且提供的货物全部由残疾人福利性单位制造的，符合财库〔2017〕141号文件规定条件的残疾人福利性单位视同小型企业、微型企业，提供《残疾人福利性单位声明函》（第四章“投标文件格式”）。</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38.3 供应商为监狱企业或提供的货物由监狱企业制造的，提供省级以上监狱管理局、戒毒管理局（含新疆生产建设兵团）出具的属于监狱企业的证明文件。</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根据《财政部司法部</w:t>
      </w:r>
      <w:r>
        <w:rPr>
          <w:rFonts w:hint="eastAsia" w:ascii="宋体" w:hAnsi="宋体" w:eastAsia="宋体" w:cs="宋体"/>
          <w:color w:val="000000"/>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40坚持绿色发展：</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41政府采购项目执行《财政部生态环境部工业和信息化部关于印发&lt;绿色数据中心政府采购需求标准（试行）&gt;的通知》（财库〔2023〕7 号）相关要求。</w:t>
      </w:r>
      <w:r>
        <w:rPr>
          <w:rFonts w:hint="eastAsia" w:ascii="宋体" w:hAnsi="宋体" w:eastAsia="宋体" w:cs="宋体"/>
          <w:color w:val="000000"/>
          <w:sz w:val="24"/>
          <w:szCs w:val="24"/>
        </w:rPr>
      </w:r>
      <w:r/>
    </w:p>
    <w:p>
      <w:pPr>
        <w:pStyle w:val="752"/>
        <w:jc w:val="center"/>
        <w:keepLines/>
        <w:keepNext/>
        <w:spacing w:line="360" w:lineRule="auto"/>
        <w:rPr>
          <w:rFonts w:hint="eastAsia" w:ascii="宋体" w:hAnsi="宋体" w:eastAsia="宋体" w:cs="宋体"/>
          <w:b/>
          <w:sz w:val="36"/>
          <w:szCs w:val="20"/>
        </w:rPr>
        <w:outlineLvl w:val="0"/>
      </w:pPr>
      <w:r>
        <w:rPr>
          <w:rFonts w:hint="eastAsia" w:ascii="宋体" w:hAnsi="宋体" w:eastAsia="宋体" w:cs="宋体"/>
          <w:b/>
          <w:sz w:val="36"/>
          <w:szCs w:val="20"/>
        </w:rPr>
        <w:br w:type="page" w:clear="all"/>
      </w:r>
      <w:bookmarkStart w:id="9" w:name="_Toc513622228"/>
      <w:r/>
      <w:bookmarkStart w:id="10" w:name="_Toc139967211"/>
      <w:r/>
      <w:bookmarkStart w:id="11" w:name="_Toc32045"/>
      <w:r/>
      <w:bookmarkStart w:id="12" w:name="_Toc139966427"/>
      <w:r>
        <w:rPr>
          <w:rFonts w:hint="eastAsia" w:ascii="宋体" w:hAnsi="宋体" w:eastAsia="宋体" w:cs="宋体"/>
          <w:sz w:val="36"/>
          <w:szCs w:val="20"/>
        </w:rPr>
        <w:t xml:space="preserve">第三章  政府采购合同格式</w:t>
      </w:r>
      <w:bookmarkEnd w:id="9"/>
      <w:r/>
      <w:bookmarkEnd w:id="10"/>
      <w:r/>
      <w:bookmarkEnd w:id="11"/>
      <w:r/>
      <w:bookmarkEnd w:id="12"/>
      <w:r>
        <w:rPr>
          <w:rFonts w:hint="eastAsia" w:ascii="宋体" w:hAnsi="宋体" w:eastAsia="宋体" w:cs="宋体"/>
          <w:b/>
          <w:sz w:val="36"/>
          <w:szCs w:val="20"/>
        </w:rPr>
      </w:r>
      <w:r/>
    </w:p>
    <w:p>
      <w:pPr>
        <w:pStyle w:val="752"/>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752"/>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752"/>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752"/>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752"/>
        <w:ind w:firstLine="2078"/>
        <w:spacing w:line="360" w:lineRule="auto"/>
        <w:rPr>
          <w:rFonts w:hint="eastAsia" w:ascii="宋体" w:hAnsi="宋体" w:eastAsia="宋体" w:cs="宋体"/>
          <w:b/>
          <w:bCs/>
          <w:sz w:val="52"/>
          <w:szCs w:val="24"/>
        </w:rPr>
      </w:pPr>
      <w:r>
        <w:rPr>
          <w:rFonts w:hint="eastAsia" w:ascii="宋体" w:hAnsi="宋体" w:eastAsia="宋体" w:cs="宋体"/>
          <w:b/>
          <w:bCs/>
          <w:sz w:val="52"/>
          <w:szCs w:val="24"/>
        </w:rPr>
        <w:t xml:space="preserve">连 云 港 市 政 府 采 购</w:t>
      </w:r>
      <w:r>
        <w:rPr>
          <w:rFonts w:hint="eastAsia" w:ascii="宋体" w:hAnsi="宋体" w:eastAsia="宋体" w:cs="宋体"/>
          <w:b/>
          <w:bCs/>
          <w:sz w:val="52"/>
          <w:szCs w:val="24"/>
        </w:rPr>
      </w:r>
      <w:r/>
    </w:p>
    <w:p>
      <w:pPr>
        <w:pStyle w:val="752"/>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752"/>
        <w:ind w:firstLine="883"/>
        <w:jc w:val="center"/>
        <w:spacing w:line="360" w:lineRule="auto"/>
        <w:rPr>
          <w:rFonts w:hint="eastAsia" w:ascii="宋体" w:hAnsi="宋体" w:eastAsia="宋体" w:cs="宋体"/>
          <w:b/>
          <w:bCs/>
          <w:sz w:val="44"/>
          <w:szCs w:val="24"/>
        </w:rPr>
        <w:outlineLvl w:val="1"/>
      </w:pPr>
      <w:r>
        <w:rPr>
          <w:rFonts w:hint="eastAsia" w:ascii="宋体" w:hAnsi="宋体" w:eastAsia="宋体" w:cs="宋体"/>
          <w:b/>
          <w:bCs/>
          <w:sz w:val="44"/>
          <w:szCs w:val="24"/>
          <w:u w:val="single"/>
        </w:rPr>
        <w:t xml:space="preserve">                    </w:t>
      </w:r>
      <w:r>
        <w:rPr>
          <w:rFonts w:hint="eastAsia" w:ascii="宋体" w:hAnsi="宋体" w:eastAsia="宋体" w:cs="宋体"/>
          <w:b/>
          <w:bCs/>
          <w:sz w:val="44"/>
          <w:szCs w:val="24"/>
        </w:rPr>
        <w:t xml:space="preserve">合同</w:t>
      </w:r>
      <w:r>
        <w:rPr>
          <w:rFonts w:hint="eastAsia" w:ascii="宋体" w:hAnsi="宋体" w:eastAsia="宋体" w:cs="宋体"/>
          <w:b/>
          <w:bCs/>
          <w:sz w:val="44"/>
          <w:szCs w:val="24"/>
        </w:rPr>
      </w:r>
      <w:r/>
    </w:p>
    <w:p>
      <w:pPr>
        <w:pStyle w:val="752"/>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752"/>
        <w:ind w:firstLine="3507"/>
        <w:spacing w:line="360" w:lineRule="auto"/>
        <w:rPr>
          <w:rFonts w:hint="eastAsia" w:ascii="宋体" w:hAnsi="宋体" w:eastAsia="宋体" w:cs="宋体"/>
          <w:b/>
          <w:bCs/>
          <w:sz w:val="44"/>
          <w:szCs w:val="24"/>
        </w:rPr>
      </w:pPr>
      <w:r>
        <w:rPr>
          <w:rFonts w:hint="eastAsia" w:ascii="宋体" w:hAnsi="宋体" w:eastAsia="宋体" w:cs="宋体"/>
          <w:b/>
          <w:bCs/>
          <w:sz w:val="44"/>
          <w:szCs w:val="24"/>
        </w:rPr>
      </w:r>
      <w:r/>
    </w:p>
    <w:p>
      <w:pPr>
        <w:pStyle w:val="752"/>
        <w:ind w:firstLine="3507"/>
        <w:spacing w:line="360" w:lineRule="auto"/>
        <w:rPr>
          <w:rFonts w:hint="eastAsia" w:ascii="宋体" w:hAnsi="宋体" w:eastAsia="宋体" w:cs="宋体"/>
          <w:b/>
          <w:bCs/>
          <w:sz w:val="44"/>
          <w:szCs w:val="24"/>
        </w:rPr>
      </w:pPr>
      <w:r>
        <w:rPr>
          <w:rFonts w:hint="eastAsia" w:ascii="宋体" w:hAnsi="宋体" w:eastAsia="宋体" w:cs="宋体"/>
          <w:b/>
          <w:bCs/>
          <w:sz w:val="44"/>
          <w:szCs w:val="24"/>
        </w:rPr>
      </w:r>
      <w:r/>
    </w:p>
    <w:p>
      <w:pPr>
        <w:pStyle w:val="752"/>
        <w:ind w:firstLine="3507"/>
        <w:spacing w:line="360" w:lineRule="auto"/>
        <w:rPr>
          <w:rFonts w:hint="eastAsia" w:ascii="宋体" w:hAnsi="宋体" w:eastAsia="宋体" w:cs="宋体"/>
          <w:b/>
          <w:bCs/>
          <w:sz w:val="44"/>
          <w:szCs w:val="24"/>
        </w:rPr>
      </w:pPr>
      <w:r>
        <w:rPr>
          <w:rFonts w:hint="eastAsia" w:ascii="宋体" w:hAnsi="宋体" w:eastAsia="宋体" w:cs="宋体"/>
          <w:b/>
          <w:bCs/>
          <w:sz w:val="44"/>
          <w:szCs w:val="24"/>
        </w:rPr>
      </w:r>
      <w:r/>
    </w:p>
    <w:p>
      <w:pPr>
        <w:pStyle w:val="752"/>
        <w:ind w:firstLine="1802"/>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合同编号：</w:t>
      </w:r>
      <w:r>
        <w:rPr>
          <w:rFonts w:hint="eastAsia" w:ascii="宋体" w:hAnsi="宋体" w:eastAsia="宋体" w:cs="宋体"/>
          <w:b/>
          <w:bCs/>
          <w:sz w:val="44"/>
          <w:szCs w:val="44"/>
        </w:rPr>
      </w:r>
      <w:r/>
    </w:p>
    <w:p>
      <w:pPr>
        <w:pStyle w:val="752"/>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752"/>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752"/>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752"/>
        <w:ind w:firstLine="1758"/>
        <w:spacing w:line="360" w:lineRule="auto"/>
        <w:rPr>
          <w:rFonts w:hint="eastAsia" w:ascii="宋体" w:hAnsi="宋体" w:eastAsia="宋体" w:cs="宋体"/>
          <w:b/>
          <w:bCs/>
          <w:sz w:val="44"/>
          <w:szCs w:val="24"/>
        </w:rPr>
      </w:pPr>
      <w:r>
        <w:rPr>
          <w:rFonts w:hint="eastAsia" w:ascii="宋体" w:hAnsi="宋体" w:eastAsia="宋体" w:cs="宋体"/>
          <w:b/>
          <w:bCs/>
          <w:sz w:val="44"/>
          <w:szCs w:val="24"/>
        </w:rPr>
        <w:t xml:space="preserve">采购人：</w:t>
      </w:r>
      <w:r>
        <w:rPr>
          <w:rFonts w:hint="eastAsia" w:ascii="宋体" w:hAnsi="宋体" w:eastAsia="宋体" w:cs="宋体"/>
          <w:b/>
          <w:bCs/>
          <w:sz w:val="44"/>
          <w:szCs w:val="24"/>
        </w:rPr>
      </w:r>
      <w:r/>
    </w:p>
    <w:p>
      <w:pPr>
        <w:pStyle w:val="752"/>
        <w:ind w:firstLine="1758"/>
        <w:spacing w:line="360" w:lineRule="auto"/>
        <w:rPr>
          <w:rFonts w:hint="eastAsia" w:ascii="宋体" w:hAnsi="宋体" w:eastAsia="宋体" w:cs="宋体"/>
          <w:b/>
          <w:bCs/>
          <w:sz w:val="44"/>
          <w:szCs w:val="24"/>
        </w:rPr>
      </w:pPr>
      <w:r>
        <w:rPr>
          <w:rFonts w:hint="eastAsia" w:ascii="宋体" w:hAnsi="宋体" w:eastAsia="宋体" w:cs="宋体"/>
          <w:b/>
          <w:bCs/>
          <w:sz w:val="44"/>
          <w:szCs w:val="24"/>
        </w:rPr>
        <w:t xml:space="preserve">中标人：</w:t>
      </w:r>
      <w:r>
        <w:rPr>
          <w:rFonts w:hint="eastAsia" w:ascii="宋体" w:hAnsi="宋体" w:eastAsia="宋体" w:cs="宋体"/>
          <w:b/>
          <w:bCs/>
          <w:sz w:val="44"/>
          <w:szCs w:val="24"/>
        </w:rPr>
      </w:r>
      <w:r/>
    </w:p>
    <w:p>
      <w:pPr>
        <w:pStyle w:val="752"/>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752"/>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752"/>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752"/>
        <w:ind w:firstLine="560"/>
        <w:spacing w:line="360" w:lineRule="auto"/>
        <w:rPr>
          <w:rFonts w:hint="eastAsia" w:ascii="宋体" w:hAnsi="宋体" w:eastAsia="宋体" w:cs="宋体"/>
          <w:sz w:val="28"/>
          <w:szCs w:val="24"/>
        </w:rPr>
      </w:pPr>
      <w:r>
        <w:rPr>
          <w:rFonts w:hint="eastAsia" w:ascii="宋体" w:hAnsi="宋体" w:eastAsia="宋体" w:cs="宋体"/>
          <w:sz w:val="28"/>
          <w:szCs w:val="24"/>
        </w:rPr>
      </w:r>
      <w:r/>
    </w:p>
    <w:p>
      <w:pPr>
        <w:pStyle w:val="752"/>
        <w:ind w:left="359" w:firstLine="227"/>
        <w:jc w:val="center"/>
        <w:spacing w:line="360" w:lineRule="auto"/>
        <w:rPr>
          <w:rFonts w:hint="eastAsia" w:ascii="宋体" w:hAnsi="宋体" w:eastAsia="宋体" w:cs="宋体"/>
          <w:sz w:val="32"/>
          <w:szCs w:val="32"/>
        </w:rPr>
      </w:pPr>
      <w:r>
        <w:rPr>
          <w:rFonts w:hint="eastAsia" w:ascii="宋体" w:hAnsi="宋体" w:eastAsia="宋体" w:cs="宋体"/>
          <w:sz w:val="32"/>
          <w:szCs w:val="32"/>
        </w:rPr>
        <w:t xml:space="preserve">目  录</w:t>
      </w:r>
      <w:r>
        <w:rPr>
          <w:rFonts w:hint="eastAsia" w:ascii="宋体" w:hAnsi="宋体" w:eastAsia="宋体" w:cs="宋体"/>
          <w:sz w:val="32"/>
          <w:szCs w:val="32"/>
        </w:rPr>
      </w:r>
      <w:r/>
    </w:p>
    <w:p>
      <w:pPr>
        <w:pStyle w:val="752"/>
        <w:ind w:left="359" w:firstLine="198"/>
        <w:spacing w:line="360" w:lineRule="auto"/>
        <w:tabs>
          <w:tab w:val="left" w:pos="1170" w:leader="none"/>
        </w:tabs>
        <w:rPr>
          <w:rFonts w:hint="eastAsia" w:ascii="宋体" w:hAnsi="宋体" w:eastAsia="宋体" w:cs="宋体"/>
          <w:sz w:val="28"/>
          <w:szCs w:val="24"/>
        </w:rPr>
      </w:pPr>
      <w:r>
        <w:rPr>
          <w:rFonts w:hint="eastAsia" w:ascii="宋体" w:hAnsi="宋体" w:eastAsia="宋体" w:cs="宋体"/>
          <w:sz w:val="28"/>
          <w:szCs w:val="24"/>
        </w:rPr>
        <w:tab/>
      </w:r>
      <w:r>
        <w:rPr>
          <w:rFonts w:hint="eastAsia" w:ascii="宋体" w:hAnsi="宋体" w:eastAsia="宋体" w:cs="宋体"/>
          <w:sz w:val="28"/>
          <w:szCs w:val="24"/>
        </w:rPr>
      </w:r>
      <w:r/>
    </w:p>
    <w:p>
      <w:pPr>
        <w:pStyle w:val="752"/>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合同书</w:t>
      </w:r>
      <w:r>
        <w:rPr>
          <w:rFonts w:hint="eastAsia" w:ascii="宋体" w:hAnsi="宋体" w:eastAsia="宋体" w:cs="宋体"/>
          <w:sz w:val="28"/>
          <w:szCs w:val="24"/>
        </w:rPr>
      </w:r>
      <w:r/>
    </w:p>
    <w:p>
      <w:pPr>
        <w:pStyle w:val="752"/>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中标通知书</w:t>
      </w:r>
      <w:r>
        <w:rPr>
          <w:rFonts w:hint="eastAsia" w:ascii="宋体" w:hAnsi="宋体" w:eastAsia="宋体" w:cs="宋体"/>
          <w:sz w:val="28"/>
          <w:szCs w:val="24"/>
        </w:rPr>
      </w:r>
      <w:r/>
    </w:p>
    <w:p>
      <w:pPr>
        <w:pStyle w:val="752"/>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履约保证金交纳证明</w:t>
      </w:r>
      <w:r>
        <w:rPr>
          <w:rFonts w:hint="eastAsia" w:ascii="宋体" w:hAnsi="宋体" w:eastAsia="宋体" w:cs="宋体"/>
          <w:sz w:val="28"/>
          <w:szCs w:val="24"/>
        </w:rPr>
      </w:r>
      <w:r/>
    </w:p>
    <w:p>
      <w:pPr>
        <w:pStyle w:val="752"/>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招标文件项目需求</w:t>
      </w:r>
      <w:r>
        <w:rPr>
          <w:rFonts w:hint="eastAsia" w:ascii="宋体" w:hAnsi="宋体" w:eastAsia="宋体" w:cs="宋体"/>
          <w:sz w:val="28"/>
          <w:szCs w:val="24"/>
        </w:rPr>
      </w:r>
      <w:r/>
    </w:p>
    <w:p>
      <w:pPr>
        <w:pStyle w:val="752"/>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项目更改及补充文件</w:t>
      </w:r>
      <w:r>
        <w:rPr>
          <w:rFonts w:hint="eastAsia" w:ascii="宋体" w:hAnsi="宋体" w:eastAsia="宋体" w:cs="宋体"/>
          <w:sz w:val="28"/>
          <w:szCs w:val="24"/>
        </w:rPr>
      </w:r>
      <w:r/>
    </w:p>
    <w:p>
      <w:pPr>
        <w:pStyle w:val="752"/>
        <w:numPr>
          <w:ilvl w:val="0"/>
          <w:numId w:val="2"/>
        </w:numPr>
        <w:ind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投标报价表</w:t>
      </w:r>
      <w:r>
        <w:rPr>
          <w:rFonts w:hint="eastAsia" w:ascii="宋体" w:hAnsi="宋体" w:eastAsia="宋体" w:cs="宋体"/>
          <w:sz w:val="28"/>
          <w:szCs w:val="24"/>
        </w:rPr>
      </w:r>
      <w:r/>
    </w:p>
    <w:p>
      <w:pPr>
        <w:pStyle w:val="752"/>
        <w:numPr>
          <w:ilvl w:val="0"/>
          <w:numId w:val="2"/>
        </w:numPr>
        <w:ind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商务条款偏离表、技术规格偏离表</w:t>
      </w:r>
      <w:r>
        <w:rPr>
          <w:rFonts w:hint="eastAsia" w:ascii="宋体" w:hAnsi="宋体" w:eastAsia="宋体" w:cs="宋体"/>
          <w:sz w:val="28"/>
          <w:szCs w:val="24"/>
        </w:rPr>
      </w:r>
      <w:r/>
    </w:p>
    <w:p>
      <w:pPr>
        <w:pStyle w:val="752"/>
        <w:numPr>
          <w:ilvl w:val="0"/>
          <w:numId w:val="2"/>
        </w:numPr>
        <w:ind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中标供应商澄清函</w:t>
      </w:r>
      <w:r>
        <w:rPr>
          <w:rFonts w:hint="eastAsia" w:ascii="宋体" w:hAnsi="宋体" w:eastAsia="宋体" w:cs="宋体"/>
          <w:sz w:val="28"/>
          <w:szCs w:val="24"/>
        </w:rPr>
      </w:r>
      <w:r/>
    </w:p>
    <w:p>
      <w:pPr>
        <w:pStyle w:val="752"/>
        <w:ind w:firstLine="560"/>
        <w:spacing w:line="560" w:lineRule="exact"/>
        <w:rPr>
          <w:rFonts w:hint="eastAsia" w:ascii="宋体" w:hAnsi="宋体" w:eastAsia="宋体" w:cs="宋体"/>
          <w:sz w:val="28"/>
          <w:szCs w:val="24"/>
        </w:rPr>
      </w:pPr>
      <w:r>
        <w:rPr>
          <w:rFonts w:hint="eastAsia" w:ascii="宋体" w:hAnsi="宋体" w:eastAsia="宋体" w:cs="宋体"/>
          <w:sz w:val="28"/>
          <w:szCs w:val="24"/>
        </w:rPr>
        <w:br w:type="page" w:clear="all"/>
      </w:r>
      <w:r>
        <w:rPr>
          <w:rFonts w:hint="eastAsia" w:ascii="宋体" w:hAnsi="宋体" w:eastAsia="宋体" w:cs="宋体"/>
          <w:b/>
          <w:bCs/>
          <w:color w:val="000000"/>
          <w:sz w:val="24"/>
        </w:rPr>
        <w:t xml:space="preserve">以下为中标后签订本项目合同的通用条款，中标供应商不得提出实质性的修改，关于专用条款将由采购人与中标供应商结合本项目具体情况协商后签订。</w:t>
      </w:r>
      <w:r>
        <w:rPr>
          <w:rFonts w:hint="eastAsia" w:ascii="宋体" w:hAnsi="宋体" w:eastAsia="宋体" w:cs="宋体"/>
          <w:sz w:val="28"/>
          <w:szCs w:val="24"/>
        </w:rPr>
      </w:r>
      <w:r/>
    </w:p>
    <w:p>
      <w:pPr>
        <w:pStyle w:val="752"/>
        <w:ind w:firstLine="643"/>
        <w:jc w:val="center"/>
        <w:spacing w:line="560" w:lineRule="exact"/>
        <w:rPr>
          <w:rFonts w:hint="eastAsia" w:ascii="宋体" w:hAnsi="宋体" w:eastAsia="宋体" w:cs="宋体"/>
          <w:bCs/>
          <w:szCs w:val="24"/>
        </w:rPr>
      </w:pPr>
      <w:r>
        <w:rPr>
          <w:rFonts w:hint="eastAsia" w:ascii="宋体" w:hAnsi="宋体" w:eastAsia="宋体" w:cs="宋体"/>
          <w:b/>
          <w:sz w:val="32"/>
          <w:szCs w:val="32"/>
        </w:rPr>
        <w:t xml:space="preserve">连云港市政府采购合同</w:t>
      </w:r>
      <w:r>
        <w:rPr>
          <w:rFonts w:hint="eastAsia" w:ascii="宋体" w:hAnsi="宋体" w:eastAsia="宋体" w:cs="宋体"/>
          <w:bCs/>
          <w:szCs w:val="24"/>
        </w:rPr>
      </w:r>
      <w:r/>
    </w:p>
    <w:p>
      <w:pPr>
        <w:pStyle w:val="752"/>
        <w:ind w:firstLine="643"/>
        <w:jc w:val="center"/>
        <w:spacing w:line="360" w:lineRule="auto"/>
        <w:rPr>
          <w:rFonts w:hint="eastAsia" w:ascii="宋体" w:hAnsi="宋体" w:eastAsia="宋体" w:cs="宋体"/>
          <w:b/>
          <w:sz w:val="32"/>
          <w:szCs w:val="20"/>
        </w:rPr>
      </w:pPr>
      <w:r>
        <w:rPr>
          <w:rFonts w:hint="eastAsia" w:ascii="宋体" w:hAnsi="宋体" w:eastAsia="宋体" w:cs="宋体"/>
          <w:b/>
          <w:sz w:val="32"/>
          <w:szCs w:val="20"/>
        </w:rPr>
      </w:r>
      <w:r/>
    </w:p>
    <w:p>
      <w:pPr>
        <w:pStyle w:val="752"/>
        <w:jc w:val="center"/>
        <w:spacing w:line="500" w:lineRule="exact"/>
        <w:rPr>
          <w:rFonts w:hint="eastAsia" w:ascii="宋体" w:hAnsi="宋体" w:eastAsia="宋体" w:cs="宋体"/>
          <w:sz w:val="32"/>
          <w:szCs w:val="24"/>
        </w:rPr>
      </w:pPr>
      <w:r>
        <w:rPr>
          <w:rFonts w:hint="eastAsia" w:ascii="宋体" w:hAnsi="宋体" w:eastAsia="宋体" w:cs="宋体"/>
          <w:sz w:val="32"/>
          <w:szCs w:val="24"/>
        </w:rPr>
        <w:t xml:space="preserve">连云港市政府采购合同（货物）</w:t>
      </w:r>
      <w:r>
        <w:rPr>
          <w:rFonts w:hint="eastAsia" w:ascii="宋体" w:hAnsi="宋体" w:eastAsia="宋体" w:cs="宋体"/>
          <w:sz w:val="32"/>
          <w:szCs w:val="24"/>
        </w:rPr>
      </w:r>
      <w:r/>
    </w:p>
    <w:p>
      <w:pPr>
        <w:pStyle w:val="752"/>
        <w:jc w:val="center"/>
        <w:spacing w:line="500" w:lineRule="exact"/>
        <w:rPr>
          <w:rFonts w:hint="eastAsia" w:ascii="宋体" w:hAnsi="宋体" w:eastAsia="宋体" w:cs="宋体"/>
          <w:sz w:val="28"/>
          <w:szCs w:val="24"/>
        </w:rPr>
      </w:pPr>
      <w:r>
        <w:rPr>
          <w:rFonts w:hint="eastAsia" w:ascii="宋体" w:hAnsi="宋体" w:eastAsia="宋体" w:cs="宋体"/>
          <w:sz w:val="28"/>
          <w:szCs w:val="24"/>
        </w:rPr>
        <w:t xml:space="preserve">（合同编号：***）</w:t>
      </w:r>
      <w:r>
        <w:rPr>
          <w:rFonts w:hint="eastAsia" w:ascii="宋体" w:hAnsi="宋体" w:eastAsia="宋体" w:cs="宋体"/>
          <w:sz w:val="28"/>
          <w:szCs w:val="24"/>
        </w:rPr>
      </w:r>
      <w:r/>
    </w:p>
    <w:p>
      <w:pPr>
        <w:pStyle w:val="752"/>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甲方：（买方）_________</w:t>
      </w:r>
      <w:r>
        <w:rPr>
          <w:rFonts w:hint="eastAsia" w:ascii="宋体" w:hAnsi="宋体" w:eastAsia="宋体" w:cs="宋体"/>
          <w:sz w:val="24"/>
          <w:szCs w:val="24"/>
        </w:rPr>
      </w:r>
      <w:r/>
    </w:p>
    <w:p>
      <w:pPr>
        <w:pStyle w:val="752"/>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乙方：（卖方）_________</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）公开招标的结果，签订本合同。</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一、合同内容</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标的名称：</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 标的质量：</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 标的数量（规模）：</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 履行时间（期限）：</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 履行地点：</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 履行方式：</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1.7 包装方式：</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二、合同金额</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本合同价款包含所有乙方提供合同约定产品和服务的报酬及乙方提供合同中产品和服务所支出的必要费用，甲方在上述合同价款之外不再向乙方支付其他任何费用。</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三、技术资料</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乙方应按招标文件规定的时间向甲方提供使用货物（包含与货物相关的服务）的有关技术资料。</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四、知识产权</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乙方应保证甲方在使用、接受本合同货物（包含与货物相关的服务）或其任何一部分时不受第三方提出侵犯其专利权、版权、商标权和工业设计权等知识产权的起诉。一旦出现侵权，由乙方负全部责任。</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五、产权担保</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乙方保证所交付的货物（包含与货物相关的服务）的所有权完全属于乙方且无任何抵押、查封等产权瑕疵。</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六、履约保证金</w:t>
      </w:r>
      <w:r>
        <w:rPr>
          <w:rFonts w:hint="eastAsia" w:ascii="宋体" w:hAnsi="宋体" w:eastAsia="宋体" w:cs="宋体"/>
          <w:color w:val="000000"/>
          <w:sz w:val="24"/>
          <w:szCs w:val="24"/>
        </w:rPr>
      </w:r>
      <w:r/>
    </w:p>
    <w:p>
      <w:pPr>
        <w:pStyle w:val="752"/>
        <w:ind w:firstLine="480"/>
        <w:jc w:val="left"/>
        <w:spacing w:line="500" w:lineRule="exact"/>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6.1 本合同不收取履约保证金。</w:t>
      </w:r>
      <w:r>
        <w:rPr>
          <w:rFonts w:hint="eastAsia" w:ascii="宋体" w:hAnsi="宋体" w:eastAsia="宋体" w:cs="宋体"/>
          <w:color w:val="000000"/>
          <w:sz w:val="24"/>
          <w:szCs w:val="24"/>
        </w:rPr>
      </w:r>
      <w:r/>
    </w:p>
    <w:p>
      <w:pPr>
        <w:pStyle w:val="752"/>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七、合同转包或分包</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本合同范围内产品或服务，应由乙方直接供应，不得转让他人供应或部分分包给他人供应。</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7.2 如有转让和未经甲方同意的分包行为，甲方有权终止合同。</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八、合同款项支付</w:t>
      </w:r>
      <w:r>
        <w:rPr>
          <w:rFonts w:hint="eastAsia" w:ascii="宋体" w:hAnsi="宋体" w:eastAsia="宋体" w:cs="宋体"/>
          <w:sz w:val="24"/>
          <w:szCs w:val="24"/>
        </w:rPr>
      </w:r>
      <w:r/>
    </w:p>
    <w:p>
      <w:pPr>
        <w:pStyle w:val="752"/>
        <w:ind w:firstLine="480"/>
        <w:jc w:val="lef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8.1 </w:t>
      </w:r>
      <w:r>
        <w:rPr>
          <w:rFonts w:hint="eastAsia" w:ascii="宋体" w:hAnsi="宋体" w:eastAsia="宋体" w:cs="宋体"/>
          <w:color w:val="000000"/>
          <w:sz w:val="24"/>
          <w:szCs w:val="24"/>
        </w:rPr>
      </w:r>
      <w:r/>
    </w:p>
    <w:p>
      <w:pPr>
        <w:pStyle w:val="752"/>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 </w:t>
      </w:r>
      <w:r>
        <w:rPr>
          <w:rFonts w:hint="eastAsia" w:ascii="宋体" w:hAnsi="宋体" w:eastAsia="宋体" w:cs="宋体"/>
          <w:color w:val="000000"/>
          <w:sz w:val="24"/>
          <w:szCs w:val="24"/>
        </w:rPr>
      </w:r>
      <w:r/>
    </w:p>
    <w:p>
      <w:pPr>
        <w:pStyle w:val="752"/>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九、税费</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9.1 本合同执行中相关的一切税费均由乙方负担。</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十、质量保修范围和保修期及售后服务</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乙方应按招标文件规定的货物性能、技术要求、质量标准向甲方提供未经使用的全新产品。</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乙方提供的货物在质量期内因货物本身的质量问题发生故障，乙方应负责免费更换。对达不到技术要求者，根据实际情况，经双方协商，可按以下办法处理：</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（1）更换：由乙方承担所发生的全部费用。</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（2）贬值处理：由甲乙双方合议定价。</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（3）退货处理：乙方应退还甲方支付的合同款，同时应承担该货物的直接费用（运输、保险、检验、货款利息及银行手续费等）。</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10.3 如在使用过程中发生质量问题，乙方在接到甲方通知后在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小时内到达甲方现场。</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10.4 在质保期内，乙方应对货物出现的质量及安全问题负责处理解决并承担一切费用。</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10.5 上述的货物免费保修期为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年（自交货验收合格之日起计），因人为因素出现的故障不在免费保修范围内。超过保修期的机器设备，终生维修，维修时只收部件成本费。</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十一、项目验收</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11.1 甲方依法组织履约验收工作。</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11.3 对于实际使用人和甲方分离的项目，甲方邀请实际使用人参与验收。</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11.4 如有必要，甲方邀请参加本项目的其他供应商或第三方专业机构及专家参与验收，相关意见将作为验收书的参考资料。</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十二、货物的包装、发运及运输</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使用说明书、质量检验证明书、随配附件和工具以及清单一并附于货物内。</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12.4 货物在交付甲方前发生的风险均由乙方负责。</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十三、违约责任</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甲方无正当理由拒收货物的，甲方向乙方偿付拒收货款总值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甲方无故逾期验收和办理货款支付手续的，甲方应按逾期付款总额每日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向乙方支付违约金，</w:t>
      </w:r>
      <w:r>
        <w:rPr>
          <w:rFonts w:hint="eastAsia" w:ascii="宋体" w:hAnsi="宋体" w:eastAsia="宋体" w:cs="宋体"/>
          <w:color w:val="000000"/>
          <w:sz w:val="24"/>
          <w:szCs w:val="24"/>
        </w:rPr>
        <w:t xml:space="preserve">最高限额为本合同总额的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十四、不可抗力事件处理</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在合同有效期内，任何一方因不可抗力事件导致不能履行合同，则合同履行期可延长，其延长期与不可抗力影响期相同。</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不可抗力事件发生后，应立即通知对方，并寄送有关权威机构出具的证明。</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14.3 不可抗力事件延续120天以上，双方应通过友好协商，确定是否继续履行合同。</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十五、解决争议的方法</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甲乙双方因合同签订、履行而发生的一切争议，应通过友好协商解决。如协商不成，按下列第</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种方式解决：</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（1）向连云港仲裁委员会申请仲裁。</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（2）向合同签订地法院起诉，合同签订地在此约定为连云港市。</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十六、合同生效及其他</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 合同经双方法定代表人或授权代表签字并加盖单位公章后生效。</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16.2 本合同未尽事宜，遵照</w:t>
      </w:r>
      <w:r>
        <w:rPr>
          <w:rFonts w:hint="eastAsia" w:ascii="宋体" w:hAnsi="宋体" w:eastAsia="宋体" w:cs="宋体"/>
          <w:color w:val="000000"/>
          <w:sz w:val="24"/>
        </w:rPr>
        <w:t xml:space="preserve">《中华人民共和国民法典》</w:t>
      </w:r>
      <w:r>
        <w:rPr>
          <w:rFonts w:hint="eastAsia" w:ascii="宋体" w:hAnsi="宋体" w:eastAsia="宋体" w:cs="宋体"/>
          <w:sz w:val="24"/>
          <w:szCs w:val="24"/>
        </w:rPr>
        <w:t xml:space="preserve">、《</w:t>
      </w:r>
      <w:r>
        <w:rPr>
          <w:rFonts w:hint="eastAsia" w:ascii="宋体" w:hAnsi="宋体" w:eastAsia="宋体" w:cs="宋体"/>
          <w:color w:val="000000"/>
          <w:sz w:val="24"/>
        </w:rPr>
        <w:t xml:space="preserve">中华人民共和国</w:t>
      </w:r>
      <w:r>
        <w:rPr>
          <w:rFonts w:hint="eastAsia" w:ascii="宋体" w:hAnsi="宋体" w:eastAsia="宋体" w:cs="宋体"/>
          <w:sz w:val="24"/>
          <w:szCs w:val="24"/>
        </w:rPr>
        <w:t xml:space="preserve">政府采购法》有关条文执行。</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16.3 本合同正本一式两份，具有同等法律效力，甲方、乙方各执一份。</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                        乙方： </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地址：                        地址： </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752"/>
        <w:ind w:firstLine="480"/>
        <w:jc w:val="right"/>
        <w:spacing w:line="500" w:lineRule="exact"/>
        <w:rPr>
          <w:rFonts w:hint="eastAsia" w:ascii="宋体" w:hAnsi="宋体" w:eastAsia="宋体" w:cs="宋体"/>
          <w:sz w:val="24"/>
          <w:szCs w:val="24"/>
        </w:rPr>
      </w:pPr>
      <w:r>
        <w:rPr>
          <w:rFonts w:hint="eastAsia" w:ascii="宋体" w:hAnsi="宋体" w:eastAsia="宋体" w:cs="宋体"/>
          <w:sz w:val="24"/>
          <w:szCs w:val="24"/>
        </w:rPr>
        <w:t xml:space="preserve">签订日期：       年    月    日</w:t>
      </w:r>
      <w:r>
        <w:rPr>
          <w:rFonts w:hint="eastAsia" w:ascii="宋体" w:hAnsi="宋体" w:eastAsia="宋体" w:cs="宋体"/>
          <w:sz w:val="24"/>
          <w:szCs w:val="24"/>
        </w:rPr>
      </w:r>
      <w:r/>
    </w:p>
    <w:p>
      <w:pPr>
        <w:pStyle w:val="752"/>
        <w:jc w:val="center"/>
        <w:keepLines/>
        <w:keepNext/>
        <w:spacing w:line="360" w:lineRule="auto"/>
        <w:rPr>
          <w:rFonts w:hint="eastAsia" w:ascii="宋体" w:hAnsi="宋体" w:eastAsia="宋体" w:cs="宋体"/>
          <w:sz w:val="36"/>
          <w:szCs w:val="20"/>
        </w:rPr>
        <w:outlineLvl w:val="0"/>
      </w:pPr>
      <w:r>
        <w:rPr>
          <w:rFonts w:hint="eastAsia" w:ascii="宋体" w:hAnsi="宋体" w:eastAsia="宋体" w:cs="宋体"/>
          <w:b/>
          <w:sz w:val="36"/>
          <w:szCs w:val="24"/>
        </w:rPr>
        <w:br w:type="page" w:clear="all"/>
      </w:r>
      <w:bookmarkStart w:id="13" w:name="_Toc841"/>
      <w:r/>
      <w:bookmarkStart w:id="14" w:name="_Toc513622229"/>
      <w:r/>
      <w:bookmarkStart w:id="15" w:name="_Toc139967212"/>
      <w:r/>
      <w:bookmarkStart w:id="16" w:name="_Toc139966428"/>
      <w:r>
        <w:rPr>
          <w:rFonts w:hint="eastAsia" w:ascii="宋体" w:hAnsi="宋体" w:eastAsia="宋体" w:cs="宋体"/>
          <w:sz w:val="36"/>
          <w:szCs w:val="20"/>
        </w:rPr>
        <w:t xml:space="preserve">第四章  投标文件格式</w:t>
      </w:r>
      <w:bookmarkEnd w:id="13"/>
      <w:r/>
      <w:bookmarkEnd w:id="14"/>
      <w:r/>
      <w:bookmarkEnd w:id="15"/>
      <w:r/>
      <w:bookmarkEnd w:id="16"/>
      <w:r>
        <w:rPr>
          <w:rFonts w:hint="eastAsia" w:ascii="宋体" w:hAnsi="宋体" w:eastAsia="宋体" w:cs="宋体"/>
          <w:sz w:val="36"/>
          <w:szCs w:val="20"/>
        </w:rPr>
      </w:r>
      <w:r/>
    </w:p>
    <w:p>
      <w:pPr>
        <w:pStyle w:val="752"/>
        <w:ind w:firstLine="1044"/>
        <w:jc w:val="center"/>
        <w:spacing w:line="360" w:lineRule="auto"/>
        <w:rPr>
          <w:rFonts w:hint="eastAsia" w:ascii="宋体" w:hAnsi="宋体" w:eastAsia="宋体" w:cs="宋体"/>
          <w:b/>
          <w:sz w:val="52"/>
          <w:szCs w:val="52"/>
        </w:rPr>
      </w:pPr>
      <w:r>
        <w:rPr>
          <w:rFonts w:hint="eastAsia" w:ascii="宋体" w:hAnsi="宋体" w:eastAsia="宋体" w:cs="宋体"/>
          <w:b/>
          <w:sz w:val="52"/>
          <w:szCs w:val="52"/>
        </w:rPr>
      </w:r>
      <w:r/>
    </w:p>
    <w:p>
      <w:pPr>
        <w:pStyle w:val="752"/>
        <w:jc w:val="center"/>
        <w:spacing w:line="360" w:lineRule="auto"/>
        <w:rPr>
          <w:rFonts w:hint="eastAsia" w:ascii="宋体" w:hAnsi="宋体" w:eastAsia="宋体" w:cs="宋体"/>
          <w:b/>
          <w:sz w:val="52"/>
          <w:szCs w:val="52"/>
        </w:rPr>
      </w:pPr>
      <w:r>
        <w:rPr>
          <w:rFonts w:hint="eastAsia" w:ascii="宋体" w:hAnsi="宋体" w:eastAsia="宋体" w:cs="宋体"/>
          <w:b/>
          <w:sz w:val="52"/>
          <w:szCs w:val="52"/>
        </w:rPr>
        <w:t xml:space="preserve">连 云 港 市 政 府 采 购</w:t>
      </w:r>
      <w:r>
        <w:rPr>
          <w:rFonts w:hint="eastAsia" w:ascii="宋体" w:hAnsi="宋体" w:eastAsia="宋体" w:cs="宋体"/>
          <w:b/>
          <w:sz w:val="52"/>
          <w:szCs w:val="52"/>
        </w:rPr>
      </w:r>
      <w:r/>
    </w:p>
    <w:p>
      <w:pPr>
        <w:pStyle w:val="752"/>
        <w:jc w:val="center"/>
        <w:spacing w:line="360" w:lineRule="auto"/>
        <w:rPr>
          <w:rFonts w:hint="eastAsia" w:ascii="宋体" w:hAnsi="宋体" w:eastAsia="宋体" w:cs="宋体"/>
          <w:b/>
          <w:sz w:val="72"/>
          <w:szCs w:val="21"/>
        </w:rPr>
      </w:pPr>
      <w:r>
        <w:rPr>
          <w:rFonts w:hint="eastAsia" w:ascii="宋体" w:hAnsi="宋体" w:eastAsia="宋体" w:cs="宋体"/>
          <w:b/>
          <w:sz w:val="72"/>
          <w:szCs w:val="21"/>
        </w:rPr>
        <w:t xml:space="preserve">投标文件</w:t>
      </w:r>
      <w:r>
        <w:rPr>
          <w:rFonts w:hint="eastAsia" w:ascii="宋体" w:hAnsi="宋体" w:eastAsia="宋体" w:cs="宋体"/>
          <w:b/>
          <w:sz w:val="72"/>
          <w:szCs w:val="21"/>
        </w:rPr>
      </w:r>
      <w:r/>
    </w:p>
    <w:p>
      <w:pPr>
        <w:pStyle w:val="752"/>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52"/>
        <w:ind w:firstLine="1084"/>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pStyle w:val="752"/>
        <w:jc w:val="left"/>
        <w:rPr>
          <w:rFonts w:hint="eastAsia" w:ascii="宋体" w:hAnsi="宋体" w:eastAsia="宋体" w:cs="宋体"/>
          <w:szCs w:val="24"/>
        </w:rPr>
      </w:pPr>
      <w:r>
        <w:rPr>
          <w:rFonts w:hint="eastAsia" w:ascii="宋体" w:hAnsi="宋体" w:eastAsia="宋体" w:cs="宋体"/>
          <w:szCs w:val="24"/>
        </w:rPr>
      </w:r>
      <w:r/>
    </w:p>
    <w:p>
      <w:pPr>
        <w:pStyle w:val="752"/>
        <w:jc w:val="left"/>
        <w:rPr>
          <w:rFonts w:hint="eastAsia" w:ascii="宋体" w:hAnsi="宋体" w:eastAsia="宋体" w:cs="宋体"/>
          <w:szCs w:val="24"/>
        </w:rPr>
      </w:pPr>
      <w:r>
        <w:rPr>
          <w:rFonts w:hint="eastAsia" w:ascii="宋体" w:hAnsi="宋体" w:eastAsia="宋体" w:cs="宋体"/>
          <w:szCs w:val="24"/>
        </w:rPr>
      </w:r>
      <w:r/>
    </w:p>
    <w:p>
      <w:pPr>
        <w:pStyle w:val="752"/>
        <w:jc w:val="left"/>
        <w:rPr>
          <w:rFonts w:hint="eastAsia" w:ascii="宋体" w:hAnsi="宋体" w:eastAsia="宋体" w:cs="宋体"/>
          <w:szCs w:val="24"/>
        </w:rPr>
      </w:pPr>
      <w:r>
        <w:rPr>
          <w:rFonts w:hint="eastAsia" w:ascii="宋体" w:hAnsi="宋体" w:eastAsia="宋体" w:cs="宋体"/>
          <w:szCs w:val="24"/>
        </w:rPr>
      </w:r>
      <w:r/>
    </w:p>
    <w:p>
      <w:pPr>
        <w:pStyle w:val="752"/>
        <w:jc w:val="left"/>
        <w:rPr>
          <w:rFonts w:hint="eastAsia" w:ascii="宋体" w:hAnsi="宋体" w:eastAsia="宋体" w:cs="宋体"/>
          <w:szCs w:val="24"/>
        </w:rPr>
      </w:pPr>
      <w:r>
        <w:rPr>
          <w:rFonts w:hint="eastAsia" w:ascii="宋体" w:hAnsi="宋体" w:eastAsia="宋体" w:cs="宋体"/>
          <w:szCs w:val="24"/>
        </w:rPr>
      </w:r>
      <w:r/>
    </w:p>
    <w:p>
      <w:pPr>
        <w:pStyle w:val="752"/>
        <w:ind w:firstLine="1084"/>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pStyle w:val="752"/>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标 段 名 称： </w:t>
      </w:r>
      <w:r>
        <w:rPr>
          <w:rFonts w:hint="eastAsia" w:ascii="宋体" w:hAnsi="宋体" w:eastAsia="宋体" w:cs="宋体"/>
          <w:b/>
          <w:sz w:val="36"/>
          <w:szCs w:val="24"/>
        </w:rPr>
      </w:r>
      <w:r/>
    </w:p>
    <w:p>
      <w:pPr>
        <w:pStyle w:val="752"/>
        <w:ind w:firstLine="1084"/>
        <w:spacing w:line="360" w:lineRule="auto"/>
        <w:rPr>
          <w:rFonts w:hint="eastAsia" w:ascii="宋体" w:hAnsi="宋体" w:eastAsia="宋体" w:cs="宋体"/>
          <w:b/>
          <w:color w:val="000000"/>
          <w:sz w:val="36"/>
          <w:szCs w:val="24"/>
        </w:rPr>
      </w:pPr>
      <w:r>
        <w:rPr>
          <w:rFonts w:hint="eastAsia" w:ascii="宋体" w:hAnsi="宋体" w:eastAsia="宋体" w:cs="宋体"/>
          <w:b/>
          <w:color w:val="000000"/>
          <w:sz w:val="36"/>
          <w:szCs w:val="24"/>
        </w:rPr>
        <w:t xml:space="preserve">标 段 编 号： </w:t>
      </w:r>
      <w:r>
        <w:rPr>
          <w:rFonts w:hint="eastAsia" w:ascii="宋体" w:hAnsi="宋体" w:eastAsia="宋体" w:cs="宋体"/>
          <w:b/>
          <w:color w:val="000000"/>
          <w:sz w:val="36"/>
          <w:szCs w:val="24"/>
        </w:rPr>
      </w:r>
      <w:r/>
    </w:p>
    <w:p>
      <w:pPr>
        <w:pStyle w:val="752"/>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r>
      <w:r/>
    </w:p>
    <w:p>
      <w:pPr>
        <w:pStyle w:val="752"/>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投标人名称：</w:t>
      </w:r>
      <w:r>
        <w:rPr>
          <w:rFonts w:hint="eastAsia" w:ascii="宋体" w:hAnsi="宋体" w:eastAsia="宋体" w:cs="宋体"/>
          <w:b/>
          <w:sz w:val="36"/>
          <w:szCs w:val="24"/>
        </w:rPr>
      </w:r>
      <w:r/>
    </w:p>
    <w:p>
      <w:pPr>
        <w:pStyle w:val="752"/>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投标人地址： </w:t>
      </w:r>
      <w:r>
        <w:rPr>
          <w:rFonts w:hint="eastAsia" w:ascii="宋体" w:hAnsi="宋体" w:eastAsia="宋体" w:cs="宋体"/>
          <w:b/>
          <w:sz w:val="36"/>
          <w:szCs w:val="24"/>
        </w:rPr>
      </w:r>
      <w:r/>
    </w:p>
    <w:p>
      <w:pPr>
        <w:pStyle w:val="752"/>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法定代表人：</w:t>
      </w:r>
      <w:r>
        <w:rPr>
          <w:rFonts w:hint="eastAsia" w:ascii="宋体" w:hAnsi="宋体" w:eastAsia="宋体" w:cs="宋体"/>
          <w:b/>
          <w:sz w:val="36"/>
          <w:szCs w:val="24"/>
        </w:rPr>
      </w:r>
      <w:r/>
    </w:p>
    <w:p>
      <w:pPr>
        <w:pStyle w:val="752"/>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委托代理人（委托代理时填写）：</w:t>
      </w:r>
      <w:r>
        <w:rPr>
          <w:rFonts w:hint="eastAsia" w:ascii="宋体" w:hAnsi="宋体" w:eastAsia="宋体" w:cs="宋体"/>
          <w:b/>
          <w:sz w:val="36"/>
          <w:szCs w:val="24"/>
        </w:rPr>
      </w:r>
      <w:r/>
    </w:p>
    <w:p>
      <w:pPr>
        <w:pStyle w:val="752"/>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日      期：</w:t>
      </w:r>
      <w:r>
        <w:rPr>
          <w:rFonts w:hint="eastAsia" w:ascii="宋体" w:hAnsi="宋体" w:eastAsia="宋体" w:cs="宋体"/>
          <w:b/>
          <w:sz w:val="36"/>
          <w:szCs w:val="24"/>
        </w:rPr>
      </w:r>
      <w:r/>
    </w:p>
    <w:p>
      <w:pPr>
        <w:pStyle w:val="752"/>
        <w:keepNext/>
        <w:spacing w:line="360" w:lineRule="auto"/>
        <w:rPr>
          <w:rFonts w:hint="eastAsia" w:ascii="宋体" w:hAnsi="宋体" w:eastAsia="宋体" w:cs="宋体"/>
          <w:sz w:val="24"/>
          <w:szCs w:val="24"/>
        </w:rPr>
        <w:outlineLvl w:val="1"/>
      </w:pPr>
      <w:r>
        <w:rPr>
          <w:rFonts w:hint="eastAsia" w:ascii="宋体" w:hAnsi="宋体" w:eastAsia="宋体" w:cs="宋体"/>
          <w:b/>
          <w:sz w:val="36"/>
          <w:szCs w:val="20"/>
        </w:rPr>
        <w:br w:type="page" w:clear="all"/>
      </w:r>
      <w:bookmarkStart w:id="17" w:name="_Toc139966431"/>
      <w:r/>
      <w:bookmarkStart w:id="18" w:name="_Toc139967215"/>
      <w:r>
        <w:rPr>
          <w:rFonts w:hint="eastAsia" w:ascii="宋体" w:hAnsi="宋体" w:eastAsia="宋体" w:cs="宋体"/>
          <w:sz w:val="24"/>
          <w:szCs w:val="24"/>
        </w:rPr>
        <w:t xml:space="preserve">格式1、响应函</w:t>
      </w:r>
      <w:r>
        <w:rPr>
          <w:rFonts w:hint="eastAsia" w:ascii="宋体" w:hAnsi="宋体" w:eastAsia="宋体" w:cs="宋体"/>
          <w:sz w:val="24"/>
          <w:szCs w:val="24"/>
        </w:rPr>
      </w:r>
      <w:r/>
    </w:p>
    <w:p>
      <w:pPr>
        <w:pStyle w:val="752"/>
        <w:jc w:val="center"/>
        <w:rPr>
          <w:rFonts w:hint="eastAsia" w:ascii="宋体" w:hAnsi="宋体" w:eastAsia="宋体" w:cs="宋体"/>
          <w:bCs/>
          <w:sz w:val="36"/>
          <w:szCs w:val="28"/>
        </w:rPr>
      </w:pPr>
      <w:r>
        <w:rPr>
          <w:rFonts w:hint="eastAsia" w:ascii="宋体" w:hAnsi="宋体" w:eastAsia="宋体" w:cs="宋体"/>
          <w:bCs/>
          <w:sz w:val="36"/>
          <w:szCs w:val="28"/>
        </w:rPr>
        <w:t xml:space="preserve">响应函</w:t>
      </w:r>
      <w:r>
        <w:rPr>
          <w:rFonts w:hint="eastAsia" w:ascii="宋体" w:hAnsi="宋体" w:eastAsia="宋体" w:cs="宋体"/>
          <w:bCs/>
          <w:sz w:val="36"/>
          <w:szCs w:val="28"/>
        </w:rPr>
      </w:r>
      <w:r/>
    </w:p>
    <w:p>
      <w:pPr>
        <w:pStyle w:val="752"/>
        <w:spacing w:line="480" w:lineRule="exact"/>
        <w:rPr>
          <w:rFonts w:hint="eastAsia" w:ascii="宋体" w:hAnsi="宋体" w:eastAsia="宋体" w:cs="宋体"/>
          <w:szCs w:val="24"/>
          <w:lang w:eastAsia="zh-CN"/>
        </w:rPr>
      </w:pPr>
      <w:r>
        <w:rPr>
          <w:rFonts w:hint="eastAsia" w:ascii="宋体" w:hAnsi="宋体" w:eastAsia="宋体" w:cs="宋体"/>
          <w:szCs w:val="24"/>
        </w:rPr>
        <w:t xml:space="preserve">致：</w:t>
      </w:r>
      <w:r>
        <w:rPr>
          <w:rFonts w:hint="eastAsia" w:ascii="宋体" w:hAnsi="宋体" w:eastAsia="宋体" w:cs="宋体"/>
          <w:szCs w:val="24"/>
          <w:lang w:eastAsia="zh-CN"/>
        </w:rPr>
        <w:t xml:space="preserve">连云港职业技术学院</w:t>
      </w:r>
      <w:r>
        <w:rPr>
          <w:rFonts w:hint="eastAsia" w:ascii="宋体" w:hAnsi="宋体" w:eastAsia="宋体" w:cs="宋体"/>
          <w:szCs w:val="24"/>
          <w:lang w:eastAsia="zh-CN"/>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根据贵方</w:t>
      </w:r>
      <w:r>
        <w:rPr>
          <w:rFonts w:hint="eastAsia" w:ascii="宋体" w:hAnsi="宋体" w:eastAsia="宋体" w:cs="宋体"/>
          <w:szCs w:val="24"/>
          <w:u w:val="single"/>
        </w:rPr>
        <w:t xml:space="preserve">     </w:t>
      </w:r>
      <w:r>
        <w:rPr>
          <w:rFonts w:hint="eastAsia" w:ascii="宋体" w:hAnsi="宋体" w:eastAsia="宋体" w:cs="宋体"/>
          <w:szCs w:val="24"/>
        </w:rPr>
        <w:t xml:space="preserve">标段（标段编号：</w:t>
      </w:r>
      <w:r>
        <w:rPr>
          <w:rFonts w:hint="eastAsia" w:ascii="宋体" w:hAnsi="宋体" w:eastAsia="宋体" w:cs="宋体"/>
          <w:szCs w:val="24"/>
          <w:u w:val="single"/>
        </w:rPr>
        <w:t xml:space="preserve">     </w:t>
      </w:r>
      <w:r>
        <w:rPr>
          <w:rFonts w:hint="eastAsia" w:ascii="宋体" w:hAnsi="宋体" w:eastAsia="宋体" w:cs="宋体"/>
          <w:szCs w:val="24"/>
        </w:rPr>
        <w:t xml:space="preserve">）采购文件，正式授权下述签字人</w:t>
      </w:r>
      <w:r>
        <w:rPr>
          <w:rFonts w:hint="eastAsia" w:ascii="宋体" w:hAnsi="宋体" w:eastAsia="宋体" w:cs="宋体"/>
          <w:szCs w:val="24"/>
          <w:u w:val="single"/>
        </w:rPr>
        <w:t xml:space="preserve">     </w:t>
      </w:r>
      <w:r>
        <w:rPr>
          <w:rFonts w:hint="eastAsia" w:ascii="宋体" w:hAnsi="宋体" w:eastAsia="宋体" w:cs="宋体"/>
          <w:szCs w:val="24"/>
        </w:rPr>
        <w:t xml:space="preserve">全权代表</w:t>
      </w:r>
      <w:r>
        <w:rPr>
          <w:rFonts w:hint="eastAsia" w:ascii="宋体" w:hAnsi="宋体" w:eastAsia="宋体" w:cs="宋体"/>
          <w:szCs w:val="24"/>
          <w:u w:val="single"/>
        </w:rPr>
        <w:t xml:space="preserve">     </w:t>
      </w:r>
      <w:r>
        <w:rPr>
          <w:rFonts w:hint="eastAsia" w:ascii="宋体" w:hAnsi="宋体" w:eastAsia="宋体" w:cs="宋体"/>
          <w:szCs w:val="24"/>
        </w:rPr>
        <w:t xml:space="preserve">参加贵方组织的采购活动，按照采购文件要求提交响应文件。</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据此函，签字人兹宣布同意如下：</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1.按采购文件项目需求提交响应报价，报价、交货期等详见开标一览表。</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2.我方同意在本标段采购文件中规定的响应文件递交截止之日起60天内遵守本响应文件中的承诺且在此期限期满之前均具有约束力。</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3.我方承诺已经具备《中华人民共和国政府采购法》中规定的参加政府采购活动的供应商应当具备的条件：</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(1)具有独立承担民事责任的能力；</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(2)具有良好的商业信誉和健全的财务会计制度；</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(3)具有履行合同所必需的设备和专业技术能力；</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(4)有依法缴纳税收和社会保障资金的良好记录；</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(5)参加此项采购活动前三年内，在经营活动中没有重大违法记录。</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outlineLvl w:val="1"/>
      </w:pPr>
      <w:r>
        <w:rPr>
          <w:rFonts w:hint="eastAsia" w:ascii="宋体" w:hAnsi="宋体" w:eastAsia="宋体" w:cs="宋体"/>
          <w:szCs w:val="24"/>
        </w:rPr>
        <w:t xml:space="preserve">4.我方根据采购文件的规定，承担完成合同的责任和义务。</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5.我方已详细审核采购文件，我方知道必须放弃提出含糊不清或误解问题的权利。</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6.如果在响应文件有效期内撤回或者有其他违约行为，我方的保证金可被贵方全部或部分没收。</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7.同意应贵方要求提供与本次采购活动有关的任何数据或资料。</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8.我方完全理解，最低报价不是中标（成交）的唯一条件。</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9.若贵方需要，我方愿意提供我方作出的一切承诺的证明材料。</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(1)提供虚假材料谋取中标、成交的；</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(2)采取不正当手段诋毁、排挤其他供应商的；</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(3)与采购人、其他供应商或者采购代理机构恶意串通的；</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(4)向采购人、采购代理机构行贿或者提供其他不正当利益的；</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(5)在招标采购过程中与采购人进行协商谈判的；</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(6)拒绝有关部门监督检查或提供虚假情况的。</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法定代表人或其委托代理人签字（或盖章）： 　　</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供应商公章： </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日期： </w:t>
      </w:r>
      <w:r>
        <w:rPr>
          <w:rFonts w:hint="eastAsia" w:ascii="宋体" w:hAnsi="宋体" w:eastAsia="宋体" w:cs="宋体"/>
          <w:szCs w:val="24"/>
        </w:rPr>
      </w:r>
      <w:r/>
    </w:p>
    <w:p>
      <w:pPr>
        <w:pStyle w:val="752"/>
        <w:ind w:firstLine="420"/>
        <w:spacing w:line="480" w:lineRule="exact"/>
        <w:rPr>
          <w:rFonts w:hint="eastAsia"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szCs w:val="24"/>
        </w:rPr>
      </w:r>
      <w:r/>
    </w:p>
    <w:p>
      <w:pPr>
        <w:pStyle w:val="752"/>
        <w:ind w:firstLine="420"/>
        <w:spacing w:line="480" w:lineRule="exact"/>
        <w:rPr>
          <w:rFonts w:hint="eastAsia" w:ascii="宋体" w:hAnsi="宋体" w:eastAsia="宋体" w:cs="宋体"/>
          <w:sz w:val="36"/>
          <w:szCs w:val="36"/>
          <w:lang w:val="zh-CN"/>
        </w:rPr>
      </w:pPr>
      <w:r>
        <w:rPr>
          <w:rFonts w:hint="eastAsia" w:ascii="宋体" w:hAnsi="宋体" w:eastAsia="宋体" w:cs="宋体"/>
          <w:szCs w:val="24"/>
        </w:rPr>
        <w:t xml:space="preserve">注：未按照本响应函的格式要求填写的，将造成非实质响应，从而导致该供应商响应无效。</w:t>
      </w:r>
      <w:r>
        <w:rPr>
          <w:rFonts w:hint="eastAsia" w:ascii="宋体" w:hAnsi="宋体" w:eastAsia="宋体" w:cs="宋体"/>
          <w:sz w:val="36"/>
          <w:szCs w:val="36"/>
          <w:lang w:val="zh-CN"/>
        </w:rPr>
      </w:r>
      <w:r/>
    </w:p>
    <w:p>
      <w:pPr>
        <w:pStyle w:val="752"/>
        <w:keepNext/>
        <w:spacing w:line="360" w:lineRule="auto"/>
        <w:rPr>
          <w:rFonts w:hint="eastAsia" w:ascii="宋体" w:hAnsi="宋体" w:eastAsia="宋体" w:cs="宋体"/>
          <w:b/>
          <w:sz w:val="28"/>
          <w:szCs w:val="20"/>
        </w:rPr>
        <w:outlineLvl w:val="2"/>
      </w:pPr>
      <w:r>
        <w:rPr>
          <w:rFonts w:hint="eastAsia" w:ascii="宋体" w:hAnsi="宋体" w:eastAsia="宋体" w:cs="宋体"/>
          <w:sz w:val="28"/>
          <w:szCs w:val="20"/>
        </w:rPr>
        <w:br w:type="page" w:clear="all"/>
      </w:r>
      <w:r>
        <w:rPr>
          <w:rFonts w:hint="eastAsia" w:ascii="宋体" w:hAnsi="宋体" w:eastAsia="宋体" w:cs="宋体"/>
          <w:sz w:val="24"/>
          <w:szCs w:val="24"/>
        </w:rPr>
        <w:t xml:space="preserve">格式2、开标一览表</w:t>
      </w:r>
      <w:r>
        <w:rPr>
          <w:rFonts w:hint="eastAsia" w:ascii="宋体" w:hAnsi="宋体" w:eastAsia="宋体" w:cs="宋体"/>
          <w:b/>
          <w:sz w:val="28"/>
          <w:szCs w:val="20"/>
        </w:rPr>
      </w:r>
      <w:r/>
    </w:p>
    <w:p>
      <w:pPr>
        <w:pStyle w:val="752"/>
        <w:jc w:val="center"/>
        <w:rPr>
          <w:rFonts w:hint="eastAsia" w:ascii="宋体" w:hAnsi="宋体" w:eastAsia="宋体" w:cs="宋体"/>
          <w:bCs/>
          <w:sz w:val="36"/>
          <w:szCs w:val="28"/>
        </w:rPr>
      </w:pPr>
      <w:r>
        <w:rPr>
          <w:rFonts w:hint="eastAsia" w:ascii="宋体" w:hAnsi="宋体" w:eastAsia="宋体" w:cs="宋体"/>
          <w:bCs/>
          <w:sz w:val="36"/>
          <w:szCs w:val="28"/>
        </w:rPr>
        <w:t xml:space="preserve">开标一览表</w:t>
      </w:r>
      <w:r>
        <w:rPr>
          <w:rFonts w:hint="eastAsia" w:ascii="宋体" w:hAnsi="宋体" w:eastAsia="宋体" w:cs="宋体"/>
          <w:bCs/>
          <w:sz w:val="36"/>
          <w:szCs w:val="28"/>
        </w:rPr>
      </w:r>
      <w:r/>
    </w:p>
    <w:p>
      <w:pPr>
        <w:pStyle w:val="784"/>
        <w:widowControl/>
        <w:rPr>
          <w:rFonts w:hint="eastAsia" w:ascii="宋体" w:hAnsi="宋体" w:eastAsia="宋体" w:cs="宋体"/>
        </w:rPr>
      </w:pPr>
      <w:r>
        <w:rPr>
          <w:rFonts w:hint="eastAsia" w:ascii="宋体" w:hAnsi="宋体" w:eastAsia="宋体" w:cs="宋体"/>
        </w:rPr>
        <w:t xml:space="preserve">投标人全称（CA公章）：</w:t>
      </w:r>
      <w:r>
        <w:rPr>
          <w:rFonts w:hint="eastAsia" w:ascii="宋体" w:hAnsi="宋体" w:eastAsia="宋体" w:cs="宋体"/>
          <w:shd w:val="clear" w:color="auto" w:fill="ffffff"/>
        </w:rPr>
        <w:t xml:space="preserve">供应商名称</w:t>
      </w:r>
      <w:r>
        <w:rPr>
          <w:rFonts w:hint="eastAsia" w:ascii="宋体" w:hAnsi="宋体" w:eastAsia="宋体" w:cs="宋体"/>
        </w:rPr>
        <w:t xml:space="preserve"> </w:t>
      </w:r>
      <w:r>
        <w:rPr>
          <w:rFonts w:hint="eastAsia" w:ascii="宋体" w:hAnsi="宋体" w:eastAsia="宋体" w:cs="宋体"/>
        </w:rPr>
      </w:r>
      <w:r/>
    </w:p>
    <w:p>
      <w:pPr>
        <w:pStyle w:val="784"/>
        <w:widowControl/>
        <w:rPr>
          <w:rFonts w:hint="eastAsia" w:ascii="宋体" w:hAnsi="宋体" w:eastAsia="宋体" w:cs="宋体"/>
        </w:rPr>
      </w:pPr>
      <w:r>
        <w:rPr>
          <w:rFonts w:hint="eastAsia" w:ascii="宋体" w:hAnsi="宋体" w:eastAsia="宋体" w:cs="宋体"/>
        </w:rPr>
        <w:t xml:space="preserve">项目名称：</w:t>
      </w:r>
      <w:r>
        <w:rPr>
          <w:rFonts w:hint="eastAsia" w:ascii="宋体" w:hAnsi="宋体" w:eastAsia="宋体" w:cs="宋体"/>
          <w:shd w:val="clear" w:color="auto" w:fill="ffffff"/>
        </w:rPr>
        <w:t xml:space="preserve">项目名称</w:t>
      </w:r>
      <w:r>
        <w:rPr>
          <w:rFonts w:hint="eastAsia" w:ascii="宋体" w:hAnsi="宋体" w:eastAsia="宋体" w:cs="宋体"/>
        </w:rPr>
        <w:t xml:space="preserve"> </w:t>
      </w:r>
      <w:r>
        <w:rPr>
          <w:rFonts w:hint="eastAsia" w:ascii="宋体" w:hAnsi="宋体" w:eastAsia="宋体" w:cs="宋体"/>
        </w:rPr>
      </w:r>
      <w:r/>
    </w:p>
    <w:p>
      <w:pPr>
        <w:pStyle w:val="784"/>
        <w:widowControl/>
        <w:rPr>
          <w:rFonts w:hint="eastAsia" w:ascii="宋体" w:hAnsi="宋体" w:eastAsia="宋体" w:cs="宋体"/>
        </w:rPr>
      </w:pPr>
      <w:r>
        <w:rPr>
          <w:rFonts w:hint="eastAsia" w:ascii="宋体" w:hAnsi="宋体" w:eastAsia="宋体" w:cs="宋体"/>
        </w:rPr>
        <w:t xml:space="preserve">项目编号：</w:t>
      </w:r>
      <w:r>
        <w:rPr>
          <w:rFonts w:hint="eastAsia" w:ascii="宋体" w:hAnsi="宋体" w:eastAsia="宋体" w:cs="宋体"/>
          <w:shd w:val="clear" w:color="auto" w:fill="ffffff"/>
        </w:rPr>
        <w:t xml:space="preserve">项目编号</w:t>
      </w:r>
      <w:r>
        <w:rPr>
          <w:rFonts w:hint="eastAsia" w:ascii="宋体" w:hAnsi="宋体" w:eastAsia="宋体" w:cs="宋体"/>
        </w:rPr>
        <w:t xml:space="preserve"> </w:t>
      </w:r>
      <w:r>
        <w:rPr>
          <w:rFonts w:hint="eastAsia" w:ascii="宋体" w:hAnsi="宋体" w:eastAsia="宋体" w:cs="宋体"/>
        </w:rPr>
      </w:r>
      <w:r/>
    </w:p>
    <w:p>
      <w:pPr>
        <w:pStyle w:val="784"/>
        <w:widowControl/>
        <w:rPr>
          <w:rFonts w:hint="eastAsia" w:ascii="宋体" w:hAnsi="宋体" w:eastAsia="宋体" w:cs="宋体"/>
        </w:rPr>
      </w:pPr>
      <w:r>
        <w:rPr>
          <w:rFonts w:hint="eastAsia" w:ascii="宋体" w:hAnsi="宋体" w:eastAsia="宋体" w:cs="宋体"/>
        </w:rPr>
        <w:t xml:space="preserve">分包号：</w:t>
      </w:r>
      <w:r>
        <w:rPr>
          <w:rFonts w:hint="eastAsia" w:ascii="宋体" w:hAnsi="宋体" w:eastAsia="宋体" w:cs="宋体"/>
          <w:shd w:val="clear" w:color="auto" w:fill="ffffff"/>
        </w:rPr>
        <w:t xml:space="preserve">分包号</w:t>
      </w:r>
      <w:r>
        <w:rPr>
          <w:rFonts w:hint="eastAsia" w:ascii="宋体" w:hAnsi="宋体" w:eastAsia="宋体" w:cs="宋体"/>
        </w:rPr>
        <w:t xml:space="preserve"> </w:t>
      </w:r>
      <w:r>
        <w:rPr>
          <w:rFonts w:hint="eastAsia" w:ascii="宋体" w:hAnsi="宋体" w:eastAsia="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752"/>
              <w:ind w:firstLine="560"/>
              <w:jc w:val="center"/>
              <w:spacing w:line="360" w:lineRule="auto"/>
              <w:widowControl w:val="off"/>
              <w:rPr>
                <w:rFonts w:hint="eastAsia" w:ascii="宋体" w:hAnsi="宋体" w:eastAsia="宋体" w:cs="宋体"/>
                <w:bCs/>
                <w:sz w:val="28"/>
                <w:szCs w:val="28"/>
                <w:lang w:val="en-US" w:eastAsia="zh-CN" w:bidi="ar-SA"/>
              </w:rPr>
            </w:pPr>
            <w:r>
              <w:rPr>
                <w:rFonts w:hint="eastAsia" w:ascii="宋体" w:hAnsi="宋体" w:eastAsia="宋体" w:cs="宋体"/>
                <w:sz w:val="24"/>
                <w:szCs w:val="24"/>
                <w:lang w:val="en-US" w:eastAsia="zh-CN" w:bidi="ar-SA"/>
              </w:rPr>
              <w:t xml:space="preserve">投标货物名称</w:t>
            </w:r>
            <w:r>
              <w:rPr>
                <w:rFonts w:hint="eastAsia" w:ascii="宋体" w:hAnsi="宋体" w:eastAsia="宋体" w:cs="宋体"/>
                <w:bCs/>
                <w:sz w:val="28"/>
                <w:szCs w:val="28"/>
                <w:lang w:val="en-US" w:eastAsia="zh-CN" w:bidi="ar-SA"/>
              </w:rPr>
            </w:r>
            <w:r/>
          </w:p>
        </w:tc>
        <w:tc>
          <w:tcPr>
            <w:tcW w:w="3651" w:type="dxa"/>
            <w:vAlign w:val="center"/>
            <w:textDirection w:val="lrTb"/>
            <w:noWrap w:val="false"/>
          </w:tcPr>
          <w:p>
            <w:pPr>
              <w:pStyle w:val="752"/>
              <w:ind w:firstLine="560"/>
              <w:jc w:val="center"/>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总价（小写）</w:t>
            </w:r>
            <w:r>
              <w:rPr>
                <w:rFonts w:hint="eastAsia" w:ascii="宋体" w:hAnsi="宋体" w:eastAsia="宋体" w:cs="宋体"/>
                <w:sz w:val="28"/>
                <w:szCs w:val="28"/>
                <w:lang w:val="en-US" w:eastAsia="zh-CN" w:bidi="ar-SA"/>
              </w:rPr>
            </w:r>
            <w:r/>
          </w:p>
        </w:tc>
      </w:tr>
      <w:tr>
        <w:trPr>
          <w:cantSplit/>
          <w:trHeight w:val="1310"/>
        </w:trPr>
        <w:tc>
          <w:tcPr>
            <w:tcW w:w="3653" w:type="dxa"/>
            <w:vAlign w:val="center"/>
            <w:textDirection w:val="lrTb"/>
            <w:noWrap w:val="false"/>
          </w:tcPr>
          <w:p>
            <w:pPr>
              <w:pStyle w:val="752"/>
              <w:ind w:firstLine="560"/>
              <w:jc w:val="center"/>
              <w:spacing w:line="360" w:lineRule="auto"/>
              <w:widowControl w:val="off"/>
              <w:rPr>
                <w:rFonts w:hint="eastAsia" w:ascii="宋体" w:hAnsi="宋体" w:eastAsia="宋体" w:cs="宋体"/>
                <w:bCs/>
                <w:sz w:val="28"/>
                <w:szCs w:val="28"/>
                <w:lang w:val="en-US" w:eastAsia="zh-CN" w:bidi="ar-SA"/>
              </w:rPr>
            </w:pPr>
            <w:r>
              <w:rPr>
                <w:rFonts w:hint="eastAsia" w:ascii="宋体" w:hAnsi="宋体" w:eastAsia="宋体" w:cs="宋体"/>
                <w:sz w:val="24"/>
                <w:szCs w:val="24"/>
                <w:shd w:val="clear" w:color="auto" w:fill="ffffff"/>
                <w:lang w:val="en-US" w:eastAsia="zh-CN" w:bidi="ar-SA"/>
              </w:rPr>
              <w:t xml:space="preserve">投标产品名称</w:t>
            </w:r>
            <w:r>
              <w:rPr>
                <w:rFonts w:hint="eastAsia" w:ascii="宋体" w:hAnsi="宋体" w:eastAsia="宋体" w:cs="宋体"/>
                <w:sz w:val="24"/>
                <w:szCs w:val="24"/>
                <w:lang w:val="en-US" w:eastAsia="zh-CN" w:bidi="ar-SA"/>
              </w:rPr>
              <w:t xml:space="preserve"> </w:t>
            </w:r>
            <w:r>
              <w:rPr>
                <w:rFonts w:hint="eastAsia" w:ascii="宋体" w:hAnsi="宋体" w:eastAsia="宋体" w:cs="宋体"/>
                <w:bCs/>
                <w:sz w:val="28"/>
                <w:szCs w:val="28"/>
                <w:lang w:val="en-US" w:eastAsia="zh-CN" w:bidi="ar-SA"/>
              </w:rPr>
            </w:r>
            <w:r/>
          </w:p>
        </w:tc>
        <w:tc>
          <w:tcPr>
            <w:tcW w:w="3651" w:type="dxa"/>
            <w:vAlign w:val="center"/>
            <w:textDirection w:val="lrTb"/>
            <w:noWrap w:val="false"/>
          </w:tcPr>
          <w:p>
            <w:pPr>
              <w:pStyle w:val="752"/>
              <w:ind w:firstLine="560"/>
              <w:jc w:val="center"/>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元</w:t>
            </w:r>
            <w:r>
              <w:rPr>
                <w:rFonts w:hint="eastAsia" w:ascii="宋体" w:hAnsi="宋体" w:eastAsia="宋体" w:cs="宋体"/>
                <w:sz w:val="28"/>
                <w:szCs w:val="28"/>
                <w:lang w:val="en-US" w:eastAsia="zh-CN" w:bidi="ar-SA"/>
              </w:rPr>
            </w:r>
            <w:r/>
          </w:p>
        </w:tc>
      </w:tr>
      <w:tr>
        <w:trPr>
          <w:cantSplit/>
          <w:trHeight w:val="1310"/>
        </w:trPr>
        <w:tc>
          <w:tcPr>
            <w:tcW w:w="3653" w:type="dxa"/>
            <w:vAlign w:val="center"/>
            <w:textDirection w:val="lrTb"/>
            <w:noWrap w:val="false"/>
          </w:tcPr>
          <w:p>
            <w:pPr>
              <w:pStyle w:val="752"/>
              <w:ind w:firstLine="560"/>
              <w:jc w:val="center"/>
              <w:spacing w:line="360" w:lineRule="auto"/>
              <w:widowControl w:val="off"/>
              <w:rPr>
                <w:rFonts w:hint="eastAsia" w:ascii="宋体" w:hAnsi="宋体" w:eastAsia="宋体" w:cs="宋体"/>
                <w:bCs/>
                <w:sz w:val="28"/>
                <w:szCs w:val="28"/>
                <w:lang w:val="en-US" w:eastAsia="zh-CN" w:bidi="ar-SA"/>
              </w:rPr>
            </w:pPr>
            <w:r>
              <w:rPr>
                <w:rFonts w:hint="eastAsia" w:ascii="宋体" w:hAnsi="宋体" w:eastAsia="宋体" w:cs="宋体"/>
                <w:sz w:val="24"/>
                <w:szCs w:val="24"/>
                <w:lang w:val="en-US" w:eastAsia="zh-CN" w:bidi="ar-SA"/>
              </w:rPr>
              <w:t xml:space="preserve">核心产品</w:t>
            </w:r>
            <w:r>
              <w:rPr>
                <w:rFonts w:hint="eastAsia" w:ascii="宋体" w:hAnsi="宋体" w:eastAsia="宋体" w:cs="宋体"/>
                <w:bCs/>
                <w:sz w:val="28"/>
                <w:szCs w:val="28"/>
                <w:lang w:val="en-US" w:eastAsia="zh-CN" w:bidi="ar-SA"/>
              </w:rPr>
            </w:r>
            <w:r/>
          </w:p>
        </w:tc>
        <w:tc>
          <w:tcPr>
            <w:tcW w:w="3651" w:type="dxa"/>
            <w:vAlign w:val="center"/>
            <w:textDirection w:val="lrTb"/>
            <w:noWrap w:val="false"/>
          </w:tcPr>
          <w:p>
            <w:pPr>
              <w:pStyle w:val="752"/>
              <w:ind w:firstLine="560"/>
              <w:jc w:val="center"/>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pStyle w:val="752"/>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752"/>
        <w:ind w:firstLine="420"/>
        <w:jc w:val="center"/>
        <w:spacing w:line="360" w:lineRule="auto"/>
        <w:rPr>
          <w:rFonts w:hint="eastAsia" w:ascii="宋体" w:hAnsi="宋体" w:eastAsia="宋体" w:cs="宋体"/>
          <w:szCs w:val="24"/>
        </w:rPr>
      </w:pPr>
      <w:r>
        <w:rPr>
          <w:rFonts w:hint="eastAsia" w:ascii="宋体" w:hAnsi="宋体" w:eastAsia="宋体" w:cs="宋体"/>
          <w:szCs w:val="24"/>
        </w:rPr>
        <w:t xml:space="preserve">年     月     日</w:t>
      </w:r>
      <w:r>
        <w:rPr>
          <w:rFonts w:hint="eastAsia" w:ascii="宋体" w:hAnsi="宋体" w:eastAsia="宋体" w:cs="宋体"/>
          <w:szCs w:val="24"/>
        </w:rPr>
      </w:r>
      <w:r/>
    </w:p>
    <w:p>
      <w:pPr>
        <w:pStyle w:val="752"/>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752"/>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p>
      <w:pPr>
        <w:pStyle w:val="752"/>
        <w:keepNext/>
        <w:spacing w:line="360" w:lineRule="auto"/>
        <w:rPr>
          <w:rFonts w:hint="eastAsia" w:ascii="宋体" w:hAnsi="宋体" w:eastAsia="宋体" w:cs="宋体"/>
          <w:sz w:val="32"/>
          <w:szCs w:val="20"/>
        </w:rPr>
        <w:outlineLvl w:val="1"/>
      </w:pPr>
      <w:r>
        <w:rPr>
          <w:rFonts w:hint="eastAsia" w:ascii="宋体" w:hAnsi="宋体" w:eastAsia="宋体" w:cs="宋体"/>
          <w:sz w:val="24"/>
          <w:szCs w:val="24"/>
        </w:rPr>
        <w:t xml:space="preserve">格式3、报价明细表</w:t>
      </w:r>
      <w:r>
        <w:rPr>
          <w:rFonts w:hint="eastAsia" w:ascii="宋体" w:hAnsi="宋体" w:eastAsia="宋体" w:cs="宋体"/>
          <w:sz w:val="32"/>
          <w:szCs w:val="20"/>
        </w:rPr>
      </w:r>
      <w:r/>
    </w:p>
    <w:p>
      <w:pPr>
        <w:pStyle w:val="752"/>
        <w:jc w:val="center"/>
        <w:rPr>
          <w:rFonts w:hint="eastAsia" w:ascii="宋体" w:hAnsi="宋体" w:eastAsia="宋体" w:cs="宋体"/>
          <w:bCs/>
          <w:sz w:val="36"/>
          <w:szCs w:val="28"/>
        </w:rPr>
      </w:pPr>
      <w:r>
        <w:rPr>
          <w:rFonts w:hint="eastAsia" w:ascii="宋体" w:hAnsi="宋体" w:eastAsia="宋体" w:cs="宋体"/>
          <w:bCs/>
          <w:sz w:val="36"/>
          <w:szCs w:val="28"/>
        </w:rPr>
        <w:t xml:space="preserve">报价明细表</w:t>
      </w:r>
      <w:r>
        <w:rPr>
          <w:rFonts w:hint="eastAsia" w:ascii="宋体" w:hAnsi="宋体" w:eastAsia="宋体" w:cs="宋体"/>
          <w:bCs/>
          <w:sz w:val="36"/>
          <w:szCs w:val="28"/>
        </w:rPr>
      </w:r>
      <w:r/>
    </w:p>
    <w:p>
      <w:pPr>
        <w:pStyle w:val="7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标段名称：                       </w:t>
      </w:r>
      <w:r>
        <w:rPr>
          <w:rFonts w:hint="eastAsia" w:ascii="宋体" w:hAnsi="宋体" w:eastAsia="宋体" w:cs="宋体"/>
          <w:sz w:val="24"/>
          <w:szCs w:val="24"/>
        </w:rPr>
      </w:r>
      <w:r/>
    </w:p>
    <w:p>
      <w:pPr>
        <w:pStyle w:val="752"/>
        <w:jc w:val="left"/>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标段编号： </w:t>
      </w:r>
      <w:r>
        <w:rPr>
          <w:rFonts w:hint="eastAsia" w:ascii="宋体" w:hAnsi="宋体" w:eastAsia="宋体" w:cs="宋体"/>
          <w:bCs/>
          <w:sz w:val="24"/>
          <w:szCs w:val="24"/>
        </w:rPr>
      </w:r>
      <w:r/>
    </w:p>
    <w:p>
      <w:pPr>
        <w:pStyle w:val="752"/>
        <w:jc w:val="right"/>
        <w:spacing w:line="360" w:lineRule="auto"/>
        <w:rPr>
          <w:rFonts w:hint="eastAsia" w:ascii="宋体" w:hAnsi="宋体" w:eastAsia="宋体" w:cs="宋体"/>
          <w:szCs w:val="24"/>
        </w:rPr>
      </w:pPr>
      <w:r>
        <w:rPr>
          <w:rFonts w:hint="eastAsia" w:ascii="宋体" w:hAnsi="宋体" w:eastAsia="宋体" w:cs="宋体"/>
          <w:szCs w:val="24"/>
        </w:rPr>
        <w:t xml:space="preserve">单位：元</w:t>
      </w:r>
      <w:r>
        <w:rPr>
          <w:rFonts w:hint="eastAsia" w:ascii="宋体" w:hAnsi="宋体" w:eastAsia="宋体" w:cs="宋体"/>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tcPr>
          <w:p>
            <w:pPr>
              <w:pStyle w:val="752"/>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项号</w:t>
            </w:r>
            <w:r>
              <w:rPr>
                <w:rFonts w:hint="eastAsia" w:ascii="宋体" w:hAnsi="宋体" w:eastAsia="宋体" w:cs="宋体"/>
                <w:bCs/>
                <w:sz w:val="21"/>
                <w:szCs w:val="24"/>
                <w:lang w:val="en-US" w:eastAsia="zh-CN" w:bidi="ar-SA"/>
              </w:rPr>
            </w:r>
            <w:r/>
          </w:p>
        </w:tc>
        <w:tc>
          <w:tcPr>
            <w:tcW w:w="1134" w:type="dxa"/>
            <w:vAlign w:val="center"/>
            <w:textDirection w:val="lrTb"/>
            <w:noWrap w:val="false"/>
          </w:tcPr>
          <w:p>
            <w:pPr>
              <w:pStyle w:val="752"/>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货物名称</w:t>
            </w:r>
            <w:r>
              <w:rPr>
                <w:rFonts w:hint="eastAsia" w:ascii="宋体" w:hAnsi="宋体" w:eastAsia="宋体" w:cs="宋体"/>
                <w:bCs/>
                <w:sz w:val="21"/>
                <w:szCs w:val="24"/>
                <w:lang w:val="en-US" w:eastAsia="zh-CN" w:bidi="ar-SA"/>
              </w:rPr>
            </w:r>
            <w:r/>
          </w:p>
        </w:tc>
        <w:tc>
          <w:tcPr>
            <w:tcW w:w="709" w:type="dxa"/>
            <w:vAlign w:val="center"/>
            <w:textDirection w:val="lrTb"/>
            <w:noWrap w:val="false"/>
          </w:tcPr>
          <w:p>
            <w:pPr>
              <w:pStyle w:val="752"/>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品牌</w:t>
            </w:r>
            <w:r>
              <w:rPr>
                <w:rFonts w:hint="eastAsia" w:ascii="宋体" w:hAnsi="宋体" w:eastAsia="宋体" w:cs="宋体"/>
                <w:bCs/>
                <w:sz w:val="21"/>
                <w:szCs w:val="24"/>
                <w:lang w:val="en-US" w:eastAsia="zh-CN" w:bidi="ar-SA"/>
              </w:rPr>
            </w:r>
            <w:r/>
          </w:p>
        </w:tc>
        <w:tc>
          <w:tcPr>
            <w:tcW w:w="1134" w:type="dxa"/>
            <w:vAlign w:val="center"/>
            <w:textDirection w:val="lrTb"/>
            <w:noWrap w:val="false"/>
          </w:tcPr>
          <w:p>
            <w:pPr>
              <w:pStyle w:val="752"/>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规格型号</w:t>
            </w:r>
            <w:r>
              <w:rPr>
                <w:rFonts w:hint="eastAsia" w:ascii="宋体" w:hAnsi="宋体" w:eastAsia="宋体" w:cs="宋体"/>
                <w:bCs/>
                <w:sz w:val="21"/>
                <w:szCs w:val="24"/>
                <w:lang w:val="en-US" w:eastAsia="zh-CN" w:bidi="ar-SA"/>
              </w:rPr>
            </w:r>
            <w:r/>
          </w:p>
        </w:tc>
        <w:tc>
          <w:tcPr>
            <w:tcW w:w="850" w:type="dxa"/>
            <w:vAlign w:val="center"/>
            <w:textDirection w:val="lrTb"/>
            <w:noWrap w:val="false"/>
          </w:tcPr>
          <w:p>
            <w:pPr>
              <w:pStyle w:val="752"/>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制造商</w:t>
            </w:r>
            <w:r>
              <w:rPr>
                <w:rFonts w:hint="eastAsia" w:ascii="宋体" w:hAnsi="宋体" w:eastAsia="宋体" w:cs="宋体"/>
                <w:bCs/>
                <w:sz w:val="21"/>
                <w:szCs w:val="24"/>
                <w:lang w:val="en-US" w:eastAsia="zh-CN" w:bidi="ar-SA"/>
              </w:rPr>
            </w:r>
            <w:r/>
          </w:p>
        </w:tc>
        <w:tc>
          <w:tcPr>
            <w:tcW w:w="1134" w:type="dxa"/>
            <w:vAlign w:val="center"/>
            <w:textDirection w:val="lrTb"/>
            <w:noWrap w:val="false"/>
          </w:tcPr>
          <w:p>
            <w:pPr>
              <w:pStyle w:val="752"/>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制造商企业类型</w:t>
            </w:r>
            <w:r>
              <w:rPr>
                <w:rFonts w:hint="eastAsia" w:ascii="宋体" w:hAnsi="宋体" w:eastAsia="宋体" w:cs="宋体"/>
                <w:bCs/>
                <w:sz w:val="21"/>
                <w:szCs w:val="24"/>
                <w:lang w:val="en-US" w:eastAsia="zh-CN" w:bidi="ar-SA"/>
              </w:rPr>
            </w:r>
            <w:r/>
          </w:p>
        </w:tc>
        <w:tc>
          <w:tcPr>
            <w:tcW w:w="709" w:type="dxa"/>
            <w:vAlign w:val="center"/>
            <w:textDirection w:val="lrTb"/>
            <w:noWrap w:val="false"/>
          </w:tcPr>
          <w:p>
            <w:pPr>
              <w:pStyle w:val="752"/>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单价</w:t>
            </w:r>
            <w:r>
              <w:rPr>
                <w:rFonts w:hint="eastAsia" w:ascii="宋体" w:hAnsi="宋体" w:eastAsia="宋体" w:cs="宋体"/>
                <w:bCs/>
                <w:sz w:val="21"/>
                <w:szCs w:val="24"/>
                <w:lang w:val="en-US" w:eastAsia="zh-CN" w:bidi="ar-SA"/>
              </w:rPr>
            </w:r>
            <w:r/>
          </w:p>
        </w:tc>
        <w:tc>
          <w:tcPr>
            <w:tcW w:w="1134" w:type="dxa"/>
            <w:vAlign w:val="center"/>
            <w:textDirection w:val="lrTb"/>
            <w:noWrap w:val="false"/>
          </w:tcPr>
          <w:p>
            <w:pPr>
              <w:pStyle w:val="752"/>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采购数量</w:t>
            </w:r>
            <w:r>
              <w:rPr>
                <w:rFonts w:hint="eastAsia" w:ascii="宋体" w:hAnsi="宋体" w:eastAsia="宋体" w:cs="宋体"/>
                <w:bCs/>
                <w:sz w:val="21"/>
                <w:szCs w:val="24"/>
                <w:lang w:val="en-US" w:eastAsia="zh-CN" w:bidi="ar-SA"/>
              </w:rPr>
            </w:r>
            <w:r/>
          </w:p>
        </w:tc>
        <w:tc>
          <w:tcPr>
            <w:tcW w:w="1094" w:type="dxa"/>
            <w:vAlign w:val="center"/>
            <w:textDirection w:val="lrTb"/>
            <w:noWrap w:val="false"/>
          </w:tcPr>
          <w:p>
            <w:pPr>
              <w:pStyle w:val="752"/>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计量单位</w:t>
            </w:r>
            <w:r>
              <w:rPr>
                <w:rFonts w:hint="eastAsia" w:ascii="宋体" w:hAnsi="宋体" w:eastAsia="宋体" w:cs="宋体"/>
                <w:bCs/>
                <w:sz w:val="21"/>
                <w:szCs w:val="24"/>
                <w:lang w:val="en-US" w:eastAsia="zh-CN" w:bidi="ar-SA"/>
              </w:rPr>
            </w:r>
            <w:r/>
          </w:p>
        </w:tc>
        <w:tc>
          <w:tcPr>
            <w:tcW w:w="1047" w:type="dxa"/>
            <w:vAlign w:val="center"/>
            <w:textDirection w:val="lrTb"/>
            <w:noWrap w:val="false"/>
          </w:tcPr>
          <w:p>
            <w:pPr>
              <w:pStyle w:val="752"/>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总价</w:t>
            </w:r>
            <w:r>
              <w:rPr>
                <w:rFonts w:hint="eastAsia" w:ascii="宋体" w:hAnsi="宋体" w:eastAsia="宋体" w:cs="宋体"/>
                <w:bCs/>
                <w:sz w:val="21"/>
                <w:szCs w:val="24"/>
                <w:lang w:val="en-US" w:eastAsia="zh-CN" w:bidi="ar-SA"/>
              </w:rPr>
            </w:r>
            <w:r/>
          </w:p>
        </w:tc>
      </w:tr>
      <w:tr>
        <w:trPr>
          <w:trHeight w:val="581"/>
        </w:trPr>
        <w:tc>
          <w:tcPr>
            <w:tcW w:w="726"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val="false"/>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548"/>
        </w:trPr>
        <w:tc>
          <w:tcPr>
            <w:tcW w:w="726"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val="false"/>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551"/>
        </w:trPr>
        <w:tc>
          <w:tcPr>
            <w:tcW w:w="726"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val="false"/>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547"/>
        </w:trPr>
        <w:tc>
          <w:tcPr>
            <w:tcW w:w="726"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567"/>
        </w:trPr>
        <w:tc>
          <w:tcPr>
            <w:tcW w:w="726"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752"/>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bl>
    <w:p>
      <w:pPr>
        <w:pStyle w:val="752"/>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752"/>
        <w:ind w:firstLine="420"/>
        <w:spacing w:line="360" w:lineRule="auto"/>
        <w:rPr>
          <w:rFonts w:hint="eastAsia" w:ascii="宋体" w:hAnsi="宋体" w:eastAsia="宋体" w:cs="宋体"/>
          <w:szCs w:val="24"/>
        </w:rPr>
      </w:pPr>
      <w:r>
        <w:rPr>
          <w:rFonts w:hint="eastAsia" w:ascii="宋体" w:hAnsi="宋体" w:eastAsia="宋体" w:cs="宋体"/>
          <w:szCs w:val="24"/>
        </w:rPr>
        <w:t xml:space="preserve">投标人（盖章）：</w:t>
      </w:r>
      <w:r>
        <w:rPr>
          <w:rFonts w:hint="eastAsia" w:ascii="宋体" w:hAnsi="宋体" w:eastAsia="宋体" w:cs="宋体"/>
          <w:szCs w:val="24"/>
        </w:rPr>
      </w:r>
      <w:r/>
    </w:p>
    <w:p>
      <w:pPr>
        <w:pStyle w:val="752"/>
        <w:ind w:firstLine="420"/>
        <w:spacing w:line="360" w:lineRule="auto"/>
        <w:rPr>
          <w:rFonts w:hint="eastAsia" w:ascii="宋体" w:hAnsi="宋体" w:eastAsia="宋体" w:cs="宋体"/>
          <w:szCs w:val="24"/>
        </w:rPr>
      </w:pPr>
      <w:r>
        <w:rPr>
          <w:rFonts w:hint="eastAsia" w:ascii="宋体" w:hAnsi="宋体" w:eastAsia="宋体" w:cs="宋体"/>
          <w:szCs w:val="24"/>
        </w:rPr>
        <w:t xml:space="preserve">法定代表人或委托代理人（签字或盖章）：</w:t>
      </w:r>
      <w:r>
        <w:rPr>
          <w:rFonts w:hint="eastAsia" w:ascii="宋体" w:hAnsi="宋体" w:eastAsia="宋体" w:cs="宋体"/>
          <w:szCs w:val="24"/>
        </w:rPr>
      </w:r>
      <w:r/>
    </w:p>
    <w:p>
      <w:pPr>
        <w:pStyle w:val="752"/>
        <w:ind w:firstLine="420"/>
        <w:spacing w:line="360" w:lineRule="auto"/>
        <w:rPr>
          <w:rFonts w:hint="eastAsia" w:ascii="宋体" w:hAnsi="宋体" w:eastAsia="宋体" w:cs="宋体"/>
          <w:szCs w:val="24"/>
        </w:rPr>
      </w:pPr>
      <w:r>
        <w:rPr>
          <w:rFonts w:hint="eastAsia" w:ascii="宋体" w:hAnsi="宋体" w:eastAsia="宋体" w:cs="宋体"/>
          <w:szCs w:val="24"/>
        </w:rPr>
        <w:t xml:space="preserve">日期：    年     月     日</w:t>
      </w:r>
      <w:r>
        <w:rPr>
          <w:rFonts w:hint="eastAsia" w:ascii="宋体" w:hAnsi="宋体" w:eastAsia="宋体" w:cs="宋体"/>
          <w:szCs w:val="24"/>
        </w:rPr>
      </w:r>
      <w:r/>
    </w:p>
    <w:p>
      <w:pPr>
        <w:pStyle w:val="752"/>
        <w:spacing w:line="360" w:lineRule="auto"/>
        <w:rPr>
          <w:rFonts w:hint="eastAsia" w:ascii="宋体" w:hAnsi="宋体" w:eastAsia="宋体" w:cs="宋体"/>
          <w:szCs w:val="20"/>
        </w:rPr>
      </w:pPr>
      <w:r>
        <w:rPr>
          <w:rFonts w:hint="eastAsia" w:ascii="宋体" w:hAnsi="宋体" w:eastAsia="宋体" w:cs="宋体"/>
          <w:szCs w:val="20"/>
        </w:rPr>
      </w:r>
      <w:r/>
    </w:p>
    <w:p>
      <w:pPr>
        <w:pStyle w:val="752"/>
        <w:ind w:firstLine="420"/>
        <w:spacing w:line="360" w:lineRule="auto"/>
        <w:rPr>
          <w:rFonts w:hint="eastAsia" w:ascii="宋体" w:hAnsi="宋体" w:eastAsia="宋体" w:cs="宋体"/>
          <w:szCs w:val="24"/>
        </w:rPr>
      </w:pPr>
      <w:r>
        <w:rPr>
          <w:rFonts w:hint="eastAsia" w:ascii="宋体" w:hAnsi="宋体" w:eastAsia="宋体" w:cs="宋体"/>
          <w:szCs w:val="24"/>
        </w:rPr>
        <w:t xml:space="preserve">填报说明：</w:t>
      </w:r>
      <w:r>
        <w:rPr>
          <w:rFonts w:hint="eastAsia" w:ascii="宋体" w:hAnsi="宋体" w:eastAsia="宋体" w:cs="宋体"/>
          <w:szCs w:val="24"/>
        </w:rPr>
      </w:r>
      <w:r/>
    </w:p>
    <w:p>
      <w:pPr>
        <w:pStyle w:val="752"/>
        <w:ind w:firstLine="420"/>
        <w:spacing w:line="360" w:lineRule="auto"/>
        <w:rPr>
          <w:rFonts w:hint="eastAsia" w:ascii="宋体" w:hAnsi="宋体" w:eastAsia="宋体" w:cs="宋体"/>
          <w:szCs w:val="24"/>
        </w:rPr>
      </w:pPr>
      <w:r>
        <w:rPr>
          <w:rFonts w:hint="eastAsia" w:ascii="宋体" w:hAnsi="宋体" w:eastAsia="宋体" w:cs="宋体"/>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ascii="宋体" w:hAnsi="宋体" w:eastAsia="宋体" w:cs="宋体"/>
          <w:szCs w:val="24"/>
        </w:rPr>
      </w:r>
      <w:r/>
    </w:p>
    <w:p>
      <w:pPr>
        <w:pStyle w:val="752"/>
        <w:ind w:firstLine="420"/>
        <w:spacing w:line="360" w:lineRule="auto"/>
        <w:rPr>
          <w:rFonts w:hint="eastAsia" w:ascii="宋体" w:hAnsi="宋体" w:eastAsia="宋体" w:cs="宋体"/>
          <w:szCs w:val="24"/>
        </w:rPr>
      </w:pPr>
      <w:r>
        <w:rPr>
          <w:rFonts w:hint="eastAsia" w:ascii="宋体" w:hAnsi="宋体" w:eastAsia="宋体" w:cs="宋体"/>
          <w:szCs w:val="24"/>
        </w:rPr>
        <w:t xml:space="preserve">2、以上总价包含货物费用、运杂费、安装施工费、集成费、税金和其他费用。</w:t>
      </w:r>
      <w:r>
        <w:rPr>
          <w:rFonts w:hint="eastAsia" w:ascii="宋体" w:hAnsi="宋体" w:eastAsia="宋体" w:cs="宋体"/>
          <w:szCs w:val="24"/>
        </w:rPr>
      </w:r>
      <w:r/>
    </w:p>
    <w:p>
      <w:pPr>
        <w:pStyle w:val="752"/>
        <w:ind w:firstLine="420"/>
        <w:spacing w:line="360" w:lineRule="auto"/>
        <w:rPr>
          <w:rFonts w:hint="eastAsia" w:ascii="宋体" w:hAnsi="宋体" w:eastAsia="宋体" w:cs="宋体"/>
          <w:szCs w:val="24"/>
        </w:rPr>
      </w:pPr>
      <w:r>
        <w:rPr>
          <w:rFonts w:hint="eastAsia" w:ascii="宋体" w:hAnsi="宋体" w:eastAsia="宋体" w:cs="宋体"/>
          <w:szCs w:val="24"/>
        </w:rPr>
        <w:t xml:space="preserve">3、请供应商正确填写本表，所填内容将作为评审的依据，其内容应与对应的证明资料相符。</w:t>
      </w:r>
      <w:r>
        <w:rPr>
          <w:rFonts w:hint="eastAsia" w:ascii="宋体" w:hAnsi="宋体" w:eastAsia="宋体" w:cs="宋体"/>
          <w:szCs w:val="24"/>
        </w:rPr>
      </w:r>
      <w:r/>
    </w:p>
    <w:p>
      <w:pPr>
        <w:pStyle w:val="752"/>
        <w:ind w:firstLine="420"/>
        <w:spacing w:line="360" w:lineRule="auto"/>
        <w:rPr>
          <w:rFonts w:hint="eastAsia" w:ascii="宋体" w:hAnsi="宋体" w:eastAsia="宋体" w:cs="宋体"/>
          <w:b/>
          <w:bCs/>
          <w:szCs w:val="20"/>
        </w:rPr>
      </w:pPr>
      <w:r>
        <w:rPr>
          <w:rFonts w:hint="eastAsia" w:ascii="宋体" w:hAnsi="宋体" w:eastAsia="宋体" w:cs="宋体"/>
          <w:szCs w:val="24"/>
        </w:rPr>
        <w:t xml:space="preserve">4、本表中事项填写不得有缺失，请如实填写，行数或事项不够，可自行增加。</w:t>
      </w:r>
      <w:r>
        <w:rPr>
          <w:rFonts w:hint="eastAsia" w:ascii="宋体" w:hAnsi="宋体" w:eastAsia="宋体" w:cs="宋体"/>
          <w:b/>
          <w:bCs/>
          <w:szCs w:val="20"/>
        </w:rPr>
      </w:r>
      <w:r/>
    </w:p>
    <w:p>
      <w:pPr>
        <w:pStyle w:val="752"/>
        <w:keepLines/>
        <w:keepNext/>
        <w:rPr>
          <w:rFonts w:hint="eastAsia" w:ascii="宋体" w:hAnsi="宋体" w:eastAsia="宋体" w:cs="宋体"/>
          <w:sz w:val="24"/>
          <w:szCs w:val="24"/>
        </w:rPr>
        <w:outlineLvl w:val="1"/>
      </w:pPr>
      <w:r>
        <w:rPr>
          <w:rFonts w:hint="eastAsia" w:ascii="宋体" w:hAnsi="宋体" w:eastAsia="宋体" w:cs="宋体"/>
          <w:sz w:val="28"/>
          <w:szCs w:val="20"/>
        </w:rPr>
        <w:br w:type="page" w:clear="all"/>
      </w:r>
      <w:bookmarkStart w:id="19" w:name="_Toc25008"/>
      <w:r>
        <w:rPr>
          <w:rFonts w:hint="eastAsia" w:ascii="宋体" w:hAnsi="宋体" w:eastAsia="宋体" w:cs="宋体"/>
          <w:sz w:val="24"/>
          <w:szCs w:val="24"/>
        </w:rPr>
        <w:t xml:space="preserve">格式4、财务状况报告及税收、社会保障资金缴纳情况承诺函</w:t>
      </w:r>
      <w:r>
        <w:rPr>
          <w:rFonts w:hint="eastAsia" w:ascii="宋体" w:hAnsi="宋体" w:eastAsia="宋体" w:cs="宋体"/>
          <w:sz w:val="24"/>
          <w:szCs w:val="24"/>
        </w:rPr>
      </w:r>
      <w:r/>
    </w:p>
    <w:p>
      <w:pPr>
        <w:pStyle w:val="752"/>
        <w:jc w:val="center"/>
        <w:spacing w:line="400" w:lineRule="exact"/>
        <w:rPr>
          <w:rFonts w:hint="eastAsia" w:ascii="宋体" w:hAnsi="宋体" w:eastAsia="宋体" w:cs="宋体"/>
          <w:bCs/>
          <w:sz w:val="36"/>
          <w:szCs w:val="36"/>
        </w:rPr>
      </w:pPr>
      <w:r>
        <w:rPr>
          <w:rFonts w:hint="eastAsia" w:ascii="宋体" w:hAnsi="宋体" w:eastAsia="宋体" w:cs="宋体"/>
          <w:bCs/>
          <w:sz w:val="36"/>
          <w:szCs w:val="36"/>
        </w:rPr>
      </w:r>
      <w:r/>
    </w:p>
    <w:p>
      <w:pPr>
        <w:pStyle w:val="752"/>
        <w:jc w:val="center"/>
        <w:spacing w:line="400" w:lineRule="exact"/>
        <w:rPr>
          <w:rFonts w:hint="eastAsia" w:ascii="宋体" w:hAnsi="宋体" w:eastAsia="宋体" w:cs="宋体"/>
          <w:bCs/>
          <w:sz w:val="36"/>
          <w:szCs w:val="36"/>
        </w:rPr>
      </w:pPr>
      <w:r>
        <w:rPr>
          <w:rFonts w:hint="eastAsia" w:ascii="宋体" w:hAnsi="宋体" w:eastAsia="宋体" w:cs="宋体"/>
          <w:bCs/>
          <w:sz w:val="36"/>
          <w:szCs w:val="36"/>
        </w:rPr>
        <w:t xml:space="preserve">财务状况报告及税收、社会保障资金</w:t>
      </w:r>
      <w:r>
        <w:rPr>
          <w:rFonts w:hint="eastAsia" w:ascii="宋体" w:hAnsi="宋体" w:eastAsia="宋体" w:cs="宋体"/>
          <w:bCs/>
          <w:sz w:val="36"/>
          <w:szCs w:val="36"/>
        </w:rPr>
      </w:r>
      <w:r/>
    </w:p>
    <w:p>
      <w:pPr>
        <w:pStyle w:val="752"/>
        <w:jc w:val="center"/>
        <w:spacing w:line="400" w:lineRule="exact"/>
        <w:rPr>
          <w:rFonts w:hint="eastAsia" w:ascii="宋体" w:hAnsi="宋体" w:eastAsia="宋体" w:cs="宋体"/>
          <w:bCs/>
          <w:sz w:val="36"/>
          <w:szCs w:val="36"/>
        </w:rPr>
      </w:pPr>
      <w:r>
        <w:rPr>
          <w:rFonts w:hint="eastAsia" w:ascii="宋体" w:hAnsi="宋体" w:eastAsia="宋体" w:cs="宋体"/>
          <w:bCs/>
          <w:sz w:val="36"/>
          <w:szCs w:val="36"/>
        </w:rPr>
        <w:t xml:space="preserve">缴纳情况承诺函</w:t>
      </w:r>
      <w:r>
        <w:rPr>
          <w:rFonts w:hint="eastAsia" w:ascii="宋体" w:hAnsi="宋体" w:eastAsia="宋体" w:cs="宋体"/>
          <w:bCs/>
          <w:sz w:val="36"/>
          <w:szCs w:val="36"/>
        </w:rPr>
      </w:r>
      <w:r/>
    </w:p>
    <w:p>
      <w:pPr>
        <w:pStyle w:val="752"/>
        <w:spacing w:line="560" w:lineRule="exact"/>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sz w:val="24"/>
          <w:u w:val="single"/>
        </w:rPr>
        <w:t xml:space="preserve">采购人名称</w:t>
      </w:r>
      <w:r>
        <w:rPr>
          <w:rFonts w:hint="eastAsia" w:ascii="宋体" w:hAnsi="宋体" w:eastAsia="宋体" w:cs="宋体"/>
          <w:sz w:val="24"/>
        </w:rPr>
      </w:r>
      <w:r/>
    </w:p>
    <w:p>
      <w:pPr>
        <w:pStyle w:val="752"/>
        <w:ind w:firstLine="480"/>
        <w:spacing w:line="560" w:lineRule="exact"/>
        <w:rPr>
          <w:rFonts w:hint="eastAsia" w:ascii="宋体" w:hAnsi="宋体" w:eastAsia="宋体" w:cs="宋体"/>
          <w:sz w:val="24"/>
        </w:rPr>
      </w:pPr>
      <w:r>
        <w:rPr>
          <w:rFonts w:hint="eastAsia" w:ascii="宋体" w:hAnsi="宋体" w:eastAsia="宋体" w:cs="宋体"/>
          <w:sz w:val="24"/>
        </w:rPr>
        <w:t xml:space="preserve">我方</w:t>
      </w:r>
      <w:r>
        <w:rPr>
          <w:rFonts w:hint="eastAsia" w:ascii="宋体" w:hAnsi="宋体" w:eastAsia="宋体" w:cs="宋体"/>
          <w:sz w:val="24"/>
          <w:u w:val="single"/>
        </w:rPr>
        <w:t xml:space="preserve">供应商名称</w:t>
      </w:r>
      <w:r>
        <w:rPr>
          <w:rFonts w:hint="eastAsia" w:ascii="宋体" w:hAnsi="宋体" w:eastAsia="宋体" w:cs="宋体"/>
          <w:sz w:val="24"/>
        </w:rPr>
        <w:t xml:space="preserve">参加</w:t>
      </w:r>
      <w:r>
        <w:rPr>
          <w:rFonts w:hint="eastAsia" w:ascii="宋体" w:hAnsi="宋体" w:eastAsia="宋体" w:cs="宋体"/>
          <w:sz w:val="24"/>
          <w:u w:val="single"/>
        </w:rPr>
        <w:t xml:space="preserve">项目名称</w:t>
      </w:r>
      <w:r>
        <w:rPr>
          <w:rFonts w:hint="eastAsia" w:ascii="宋体" w:hAnsi="宋体" w:eastAsia="宋体" w:cs="宋体"/>
          <w:sz w:val="24"/>
        </w:rPr>
        <w:t xml:space="preserve">（项目编号：</w:t>
      </w:r>
      <w:r>
        <w:rPr>
          <w:rFonts w:hint="eastAsia" w:ascii="宋体" w:hAnsi="宋体" w:eastAsia="宋体" w:cs="宋体"/>
          <w:sz w:val="24"/>
          <w:u w:val="single"/>
        </w:rPr>
        <w:t xml:space="preserve">项目编号</w:t>
      </w:r>
      <w:r>
        <w:rPr>
          <w:rFonts w:hint="eastAsia" w:ascii="宋体" w:hAnsi="宋体" w:eastAsia="宋体" w:cs="宋体"/>
          <w:sz w:val="24"/>
        </w:rPr>
        <w:t xml:space="preserve">）采购，根据《</w:t>
      </w:r>
      <w:r>
        <w:rPr>
          <w:rStyle w:val="792"/>
          <w:rFonts w:hint="eastAsia" w:ascii="宋体" w:hAnsi="宋体" w:eastAsia="宋体" w:cs="宋体"/>
          <w:b w:val="0"/>
          <w:sz w:val="24"/>
        </w:rPr>
        <w:t xml:space="preserve">关于简化政府采购供应商资格审查有关事项的通知</w:t>
      </w:r>
      <w:r>
        <w:rPr>
          <w:rFonts w:hint="eastAsia" w:ascii="宋体" w:hAnsi="宋体" w:eastAsia="宋体" w:cs="宋体"/>
          <w:sz w:val="24"/>
        </w:rPr>
        <w:t xml:space="preserve">》（连财购〔2023〕4号），我方承诺具备《中华人民共和国政府采购法》第二十二条第（二）、第（四）项，《中华人民共和国政府采购法实施条例》第十七条第（二）项规定条件的，具体包括：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rPr>
      </w:r>
      <w:r/>
    </w:p>
    <w:p>
      <w:pPr>
        <w:pStyle w:val="752"/>
        <w:ind w:left="360" w:firstLine="240"/>
        <w:spacing w:line="560" w:lineRule="exact"/>
        <w:rPr>
          <w:rFonts w:hint="eastAsia" w:ascii="宋体" w:hAnsi="宋体" w:eastAsia="宋体" w:cs="宋体"/>
          <w:sz w:val="24"/>
        </w:rPr>
      </w:pPr>
      <w:r>
        <w:rPr>
          <w:rFonts w:hint="eastAsia" w:ascii="宋体" w:hAnsi="宋体" w:eastAsia="宋体" w:cs="宋体"/>
          <w:sz w:val="24"/>
        </w:rPr>
        <w:t xml:space="preserve">（1）具有良好的商业信誉和健全的财务会计制度（财务状况报告）；</w:t>
      </w:r>
      <w:r>
        <w:rPr>
          <w:rFonts w:hint="eastAsia" w:ascii="宋体" w:hAnsi="宋体" w:eastAsia="宋体" w:cs="宋体"/>
          <w:sz w:val="24"/>
        </w:rPr>
      </w:r>
      <w:r/>
    </w:p>
    <w:p>
      <w:pPr>
        <w:pStyle w:val="752"/>
        <w:ind w:left="360" w:firstLine="240"/>
        <w:spacing w:line="560" w:lineRule="exact"/>
        <w:rPr>
          <w:rFonts w:hint="eastAsia" w:ascii="宋体" w:hAnsi="宋体" w:eastAsia="宋体" w:cs="宋体"/>
          <w:sz w:val="24"/>
        </w:rPr>
        <w:outlineLvl w:val="2"/>
      </w:pPr>
      <w:r>
        <w:rPr>
          <w:rFonts w:hint="eastAsia" w:ascii="宋体" w:hAnsi="宋体" w:eastAsia="宋体" w:cs="宋体"/>
          <w:sz w:val="24"/>
        </w:rPr>
        <w:t xml:space="preserve">（2）有依法缴纳税收和社会保障资金的良好记录。</w:t>
      </w:r>
      <w:r>
        <w:rPr>
          <w:rFonts w:hint="eastAsia" w:ascii="宋体" w:hAnsi="宋体" w:eastAsia="宋体" w:cs="宋体"/>
          <w:sz w:val="24"/>
        </w:rPr>
      </w:r>
      <w:r/>
    </w:p>
    <w:p>
      <w:pPr>
        <w:pStyle w:val="752"/>
        <w:ind w:firstLine="480"/>
        <w:jc w:val="left"/>
        <w:spacing w:line="560" w:lineRule="exact"/>
        <w:widowControl/>
        <w:rPr>
          <w:rFonts w:hint="eastAsia" w:ascii="宋体" w:hAnsi="宋体" w:eastAsia="宋体" w:cs="宋体"/>
          <w:sz w:val="24"/>
        </w:rPr>
      </w:pPr>
      <w:r>
        <w:rPr>
          <w:rFonts w:hint="eastAsia" w:ascii="宋体" w:hAnsi="宋体" w:eastAsia="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rPr>
      </w:r>
      <w:r/>
    </w:p>
    <w:p>
      <w:pPr>
        <w:pStyle w:val="752"/>
        <w:ind w:firstLine="480"/>
        <w:jc w:val="left"/>
        <w:spacing w:line="560" w:lineRule="exact"/>
        <w:widowControl/>
        <w:rPr>
          <w:rFonts w:hint="eastAsia" w:ascii="宋体" w:hAnsi="宋体" w:eastAsia="宋体" w:cs="宋体"/>
          <w:sz w:val="24"/>
        </w:rPr>
      </w:pPr>
      <w:r>
        <w:rPr>
          <w:rFonts w:hint="eastAsia" w:ascii="宋体" w:hAnsi="宋体" w:eastAsia="宋体" w:cs="宋体"/>
          <w:sz w:val="24"/>
        </w:rPr>
        <w:t xml:space="preserve">特此承诺</w:t>
      </w:r>
      <w:r>
        <w:rPr>
          <w:rFonts w:hint="eastAsia" w:ascii="宋体" w:hAnsi="宋体" w:eastAsia="宋体" w:cs="宋体"/>
          <w:sz w:val="24"/>
        </w:rPr>
      </w:r>
      <w:r/>
    </w:p>
    <w:p>
      <w:pPr>
        <w:pStyle w:val="752"/>
        <w:ind w:left="360" w:firstLine="405"/>
        <w:spacing w:line="560" w:lineRule="exact"/>
        <w:rPr>
          <w:rFonts w:hint="eastAsia" w:ascii="宋体" w:hAnsi="宋体" w:eastAsia="宋体" w:cs="宋体"/>
          <w:sz w:val="24"/>
        </w:rPr>
      </w:pPr>
      <w:r>
        <w:rPr>
          <w:rFonts w:hint="eastAsia" w:ascii="宋体" w:hAnsi="宋体" w:eastAsia="宋体" w:cs="宋体"/>
          <w:sz w:val="24"/>
        </w:rPr>
      </w:r>
      <w:r/>
    </w:p>
    <w:p>
      <w:pPr>
        <w:pStyle w:val="752"/>
        <w:ind w:left="360" w:firstLine="405"/>
        <w:spacing w:line="560" w:lineRule="exact"/>
        <w:rPr>
          <w:rFonts w:hint="eastAsia" w:ascii="宋体" w:hAnsi="宋体" w:eastAsia="宋体" w:cs="宋体"/>
          <w:sz w:val="24"/>
        </w:rPr>
      </w:pPr>
      <w:r>
        <w:rPr>
          <w:rFonts w:hint="eastAsia" w:ascii="宋体" w:hAnsi="宋体" w:eastAsia="宋体" w:cs="宋体"/>
          <w:sz w:val="24"/>
        </w:rPr>
      </w:r>
      <w:r/>
    </w:p>
    <w:p>
      <w:pPr>
        <w:pStyle w:val="752"/>
        <w:rPr>
          <w:rFonts w:hint="eastAsia" w:ascii="宋体" w:hAnsi="宋体" w:eastAsia="宋体" w:cs="宋体"/>
          <w:sz w:val="24"/>
        </w:rPr>
      </w:pPr>
      <w:r>
        <w:rPr>
          <w:rFonts w:hint="eastAsia" w:ascii="宋体" w:hAnsi="宋体" w:eastAsia="宋体" w:cs="宋体"/>
          <w:sz w:val="24"/>
        </w:rPr>
      </w:r>
      <w:r/>
    </w:p>
    <w:p>
      <w:pPr>
        <w:pStyle w:val="75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供应商（盖章）：</w:t>
      </w:r>
      <w:r>
        <w:rPr>
          <w:rFonts w:hint="eastAsia" w:ascii="宋体" w:hAnsi="宋体" w:eastAsia="宋体" w:cs="宋体"/>
          <w:bCs/>
          <w:sz w:val="24"/>
          <w:szCs w:val="24"/>
        </w:rPr>
      </w:r>
      <w:r/>
    </w:p>
    <w:p>
      <w:pPr>
        <w:pStyle w:val="75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法定代表人或委托代理人（签字或盖章）：</w:t>
      </w:r>
      <w:r>
        <w:rPr>
          <w:rFonts w:hint="eastAsia" w:ascii="宋体" w:hAnsi="宋体" w:eastAsia="宋体" w:cs="宋体"/>
          <w:bCs/>
          <w:sz w:val="24"/>
          <w:szCs w:val="24"/>
        </w:rPr>
      </w:r>
      <w:r/>
    </w:p>
    <w:p>
      <w:pPr>
        <w:pStyle w:val="75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    年     月     日</w:t>
      </w:r>
      <w:r>
        <w:rPr>
          <w:rFonts w:hint="eastAsia" w:ascii="宋体" w:hAnsi="宋体" w:eastAsia="宋体" w:cs="宋体"/>
          <w:bCs/>
          <w:sz w:val="24"/>
          <w:szCs w:val="24"/>
        </w:rPr>
      </w:r>
      <w:r/>
    </w:p>
    <w:p>
      <w:pPr>
        <w:pStyle w:val="752"/>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p>
      <w:pPr>
        <w:pStyle w:val="752"/>
        <w:keepNext/>
        <w:spacing w:line="360" w:lineRule="auto"/>
        <w:rPr>
          <w:rFonts w:hint="eastAsia" w:ascii="宋体" w:hAnsi="宋体" w:eastAsia="宋体" w:cs="宋体"/>
          <w:b/>
          <w:sz w:val="28"/>
          <w:szCs w:val="20"/>
        </w:rPr>
        <w:outlineLvl w:val="1"/>
      </w:pPr>
      <w:r>
        <w:rPr>
          <w:rFonts w:hint="eastAsia" w:ascii="宋体" w:hAnsi="宋体" w:eastAsia="宋体" w:cs="宋体"/>
          <w:sz w:val="24"/>
          <w:szCs w:val="24"/>
        </w:rPr>
        <w:t xml:space="preserve">格式5、中小企业声明函</w:t>
      </w:r>
      <w:r>
        <w:rPr>
          <w:rFonts w:hint="eastAsia" w:ascii="宋体" w:hAnsi="宋体" w:eastAsia="宋体" w:cs="宋体"/>
          <w:b/>
          <w:sz w:val="28"/>
          <w:szCs w:val="20"/>
        </w:rPr>
      </w:r>
      <w:r/>
    </w:p>
    <w:p>
      <w:pPr>
        <w:pStyle w:val="752"/>
        <w:ind w:firstLine="720"/>
        <w:jc w:val="center"/>
        <w:spacing w:before="331" w:after="331" w:line="360" w:lineRule="auto"/>
        <w:rPr>
          <w:rFonts w:hint="eastAsia" w:ascii="宋体" w:hAnsi="宋体" w:eastAsia="宋体" w:cs="宋体"/>
          <w:bCs/>
          <w:sz w:val="36"/>
          <w:szCs w:val="28"/>
        </w:rPr>
      </w:pPr>
      <w:r>
        <w:rPr>
          <w:rFonts w:hint="eastAsia" w:ascii="宋体" w:hAnsi="宋体" w:eastAsia="宋体" w:cs="宋体"/>
          <w:bCs/>
          <w:sz w:val="36"/>
          <w:szCs w:val="28"/>
        </w:rPr>
        <w:t xml:space="preserve">中小企业声明函</w:t>
      </w:r>
      <w:r>
        <w:rPr>
          <w:rFonts w:hint="eastAsia" w:ascii="宋体" w:hAnsi="宋体" w:eastAsia="宋体" w:cs="宋体"/>
          <w:bCs/>
          <w:sz w:val="36"/>
          <w:szCs w:val="28"/>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本公司郑重声明，根据《政府采购促进中小企业发展管理办法》（财库﹝2020﹞46号）的规定，本公司参加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采购活动，提供的货物全部由符合政策要求的中小企业制造。相关企业的具体情况如下：</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 </w:t>
      </w:r>
      <w:r>
        <w:rPr>
          <w:rFonts w:hint="eastAsia" w:ascii="宋体" w:hAnsi="宋体" w:eastAsia="宋体" w:cs="宋体"/>
          <w:color w:val="000000"/>
          <w:sz w:val="24"/>
          <w:szCs w:val="24"/>
          <w:u w:val="single"/>
        </w:rPr>
        <w:t xml:space="preserve">（货物名称）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（招标文件中明确的所属行业）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，从业人员人，营业收入为万元，资产总额为万元，属于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rPr>
          <w:rFonts w:hint="eastAsia" w:ascii="宋体" w:hAnsi="宋体" w:eastAsia="宋体" w:cs="宋体"/>
          <w:color w:val="000000"/>
          <w:sz w:val="24"/>
          <w:szCs w:val="24"/>
          <w:u w:val="single"/>
        </w:rPr>
        <w:t xml:space="preserve">（货物名称）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（招标文件中明确的所属行业）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，从业人员人，营业收入为万元，资产总额为万元，属于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 </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 </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2"/>
        <w:ind w:right="480" w:firstLine="49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2"/>
        <w:ind w:right="480" w:firstLine="49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 </w:t>
      </w:r>
      <w:r>
        <w:rPr>
          <w:rFonts w:hint="eastAsia" w:ascii="宋体" w:hAnsi="宋体" w:eastAsia="宋体" w:cs="宋体"/>
          <w:color w:val="000000"/>
          <w:sz w:val="24"/>
          <w:szCs w:val="24"/>
        </w:rPr>
      </w:r>
      <w:r/>
    </w:p>
    <w:p>
      <w:pPr>
        <w:pStyle w:val="752"/>
        <w:ind w:right="480" w:firstLine="49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   年   月   日</w:t>
      </w:r>
      <w:r>
        <w:rPr>
          <w:rFonts w:hint="eastAsia" w:ascii="宋体" w:hAnsi="宋体" w:eastAsia="宋体" w:cs="宋体"/>
          <w:color w:val="000000"/>
          <w:sz w:val="24"/>
          <w:szCs w:val="24"/>
        </w:rPr>
      </w:r>
      <w:r/>
    </w:p>
    <w:p>
      <w:pPr>
        <w:pStyle w:val="752"/>
        <w:ind w:right="480"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52"/>
        <w:ind w:right="48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填报说明：</w:t>
      </w:r>
      <w:r>
        <w:rPr>
          <w:rFonts w:hint="eastAsia" w:ascii="宋体" w:hAnsi="宋体" w:eastAsia="宋体" w:cs="宋体"/>
          <w:color w:val="000000"/>
          <w:sz w:val="24"/>
          <w:szCs w:val="24"/>
        </w:rPr>
      </w:r>
      <w:r/>
    </w:p>
    <w:p>
      <w:pPr>
        <w:pStyle w:val="752"/>
        <w:ind w:right="48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1、从业人员、营业收入、资产总额填报上一年度数据，无上一年度数据的新成立企业可不填报。</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2、请供应商如实填写，所填内容将作为评审的依据。其内容填写须与分项报价表一致，如填写不完整或不一致，将不享受扶持政策。</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3、中标供应商的《中小企业声明函》随中标结果公开。</w:t>
      </w:r>
      <w:r>
        <w:rPr>
          <w:rFonts w:hint="eastAsia" w:ascii="宋体" w:hAnsi="宋体" w:eastAsia="宋体" w:cs="宋体"/>
          <w:color w:val="000000"/>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keepNext/>
        <w:spacing w:line="360" w:lineRule="auto"/>
        <w:rPr>
          <w:rFonts w:hint="eastAsia" w:ascii="宋体" w:hAnsi="宋体" w:eastAsia="宋体" w:cs="宋体"/>
          <w:b/>
          <w:sz w:val="28"/>
          <w:szCs w:val="20"/>
        </w:rPr>
        <w:outlineLvl w:val="2"/>
      </w:pPr>
      <w:r>
        <w:rPr>
          <w:rFonts w:hint="eastAsia" w:ascii="宋体" w:hAnsi="宋体" w:eastAsia="宋体" w:cs="宋体"/>
          <w:sz w:val="24"/>
          <w:szCs w:val="24"/>
        </w:rPr>
        <w:t xml:space="preserve">格式6、残疾人福利性企业声明函</w:t>
      </w:r>
      <w:r>
        <w:rPr>
          <w:rFonts w:hint="eastAsia" w:ascii="宋体" w:hAnsi="宋体" w:eastAsia="宋体" w:cs="宋体"/>
          <w:b/>
          <w:sz w:val="28"/>
          <w:szCs w:val="20"/>
        </w:rPr>
      </w:r>
      <w:r/>
    </w:p>
    <w:p>
      <w:pPr>
        <w:pStyle w:val="752"/>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残疾人福利性单位声明函</w:t>
      </w:r>
      <w:r>
        <w:rPr>
          <w:rFonts w:hint="eastAsia" w:ascii="宋体" w:hAnsi="宋体" w:eastAsia="宋体" w:cs="宋体"/>
          <w:bCs/>
          <w:sz w:val="36"/>
          <w:szCs w:val="28"/>
        </w:rPr>
      </w:r>
      <w:r/>
    </w:p>
    <w:p>
      <w:pPr>
        <w:pStyle w:val="752"/>
        <w:jc w:val="left"/>
        <w:rPr>
          <w:rFonts w:hint="eastAsia" w:ascii="宋体" w:hAnsi="宋体" w:eastAsia="宋体" w:cs="宋体"/>
          <w:szCs w:val="24"/>
        </w:rPr>
      </w:pPr>
      <w:r>
        <w:rPr>
          <w:rFonts w:hint="eastAsia" w:ascii="宋体" w:hAnsi="宋体" w:eastAsia="宋体" w:cs="宋体"/>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，属于残疾人福利性单位； </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，属于残疾人福利性单位；</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 </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企业名称(盖章)：</w:t>
      </w:r>
      <w:r>
        <w:rPr>
          <w:rFonts w:hint="eastAsia" w:ascii="宋体" w:hAnsi="宋体" w:eastAsia="宋体" w:cs="宋体"/>
          <w:sz w:val="24"/>
          <w:szCs w:val="24"/>
        </w:rPr>
      </w:r>
      <w:r/>
    </w:p>
    <w:p>
      <w:pPr>
        <w:pStyle w:val="752"/>
        <w:ind w:firstLine="480"/>
        <w:spacing w:line="588" w:lineRule="exact"/>
        <w:rPr>
          <w:rFonts w:hint="eastAsia" w:ascii="宋体" w:hAnsi="宋体" w:eastAsia="宋体" w:cs="宋体"/>
          <w:b/>
          <w:sz w:val="22"/>
          <w:szCs w:val="21"/>
        </w:rPr>
      </w:pPr>
      <w:r>
        <w:rPr>
          <w:rFonts w:hint="eastAsia" w:ascii="宋体" w:hAnsi="宋体" w:eastAsia="宋体" w:cs="宋体"/>
          <w:sz w:val="24"/>
          <w:szCs w:val="24"/>
        </w:rPr>
        <w:t xml:space="preserve">　　　　　　　　　　　　　　　　　　日期：   年   月   日</w:t>
      </w:r>
      <w:r>
        <w:rPr>
          <w:rFonts w:hint="eastAsia" w:ascii="宋体" w:hAnsi="宋体" w:eastAsia="宋体" w:cs="宋体"/>
          <w:b/>
          <w:sz w:val="22"/>
          <w:szCs w:val="21"/>
        </w:rPr>
      </w:r>
      <w:r/>
    </w:p>
    <w:p>
      <w:pPr>
        <w:pStyle w:val="752"/>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752"/>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752"/>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752"/>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752"/>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752"/>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752"/>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rPr>
          <w:rFonts w:hint="eastAsia" w:ascii="宋体" w:hAnsi="宋体" w:eastAsia="宋体" w:cs="宋体"/>
          <w:bCs/>
          <w:sz w:val="24"/>
          <w:szCs w:val="24"/>
        </w:rPr>
      </w:r>
      <w:r/>
    </w:p>
    <w:p>
      <w:pPr>
        <w:pStyle w:val="75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1、请供应商如实填写，所填内容将作为评审的依据。</w:t>
      </w:r>
      <w:r>
        <w:rPr>
          <w:rFonts w:hint="eastAsia" w:ascii="宋体" w:hAnsi="宋体" w:eastAsia="宋体" w:cs="宋体"/>
          <w:sz w:val="24"/>
          <w:szCs w:val="24"/>
        </w:rPr>
        <w:t xml:space="preserve">其内容填写须与报价明细表一致，如填写不完整或不一致，将不享受扶</w:t>
      </w:r>
      <w:r>
        <w:rPr>
          <w:rFonts w:hint="eastAsia" w:ascii="宋体" w:hAnsi="宋体" w:eastAsia="宋体" w:cs="宋体"/>
          <w:bCs/>
          <w:sz w:val="24"/>
          <w:szCs w:val="24"/>
        </w:rPr>
        <w:t xml:space="preserve">持政策。</w:t>
      </w:r>
      <w:r>
        <w:rPr>
          <w:rFonts w:hint="eastAsia" w:ascii="宋体" w:hAnsi="宋体" w:eastAsia="宋体" w:cs="宋体"/>
          <w:bCs/>
          <w:sz w:val="24"/>
          <w:szCs w:val="24"/>
        </w:rPr>
      </w:r>
      <w:r/>
    </w:p>
    <w:p>
      <w:pPr>
        <w:pStyle w:val="752"/>
        <w:ind w:firstLine="480"/>
        <w:jc w:val="left"/>
        <w:spacing w:line="360" w:lineRule="auto"/>
        <w:rPr>
          <w:rFonts w:hint="eastAsia" w:ascii="宋体" w:hAnsi="宋体" w:eastAsia="宋体" w:cs="宋体"/>
          <w:sz w:val="24"/>
          <w:szCs w:val="24"/>
        </w:rPr>
        <w:outlineLvl w:val="1"/>
      </w:pPr>
      <w:r>
        <w:rPr>
          <w:rFonts w:hint="eastAsia" w:ascii="宋体" w:hAnsi="宋体" w:eastAsia="宋体" w:cs="宋体"/>
          <w:bCs/>
          <w:sz w:val="24"/>
          <w:szCs w:val="24"/>
        </w:rPr>
        <w:t xml:space="preserve">2、中标供应商的《残疾人福利性单位声明函》随中标结果公开。</w:t>
      </w:r>
      <w:r>
        <w:rPr>
          <w:rFonts w:hint="eastAsia" w:ascii="宋体" w:hAnsi="宋体" w:eastAsia="宋体" w:cs="宋体"/>
          <w:sz w:val="24"/>
          <w:szCs w:val="24"/>
        </w:rPr>
      </w:r>
      <w:r/>
    </w:p>
    <w:p>
      <w:pPr>
        <w:pStyle w:val="752"/>
        <w:keepNext/>
        <w:spacing w:line="360" w:lineRule="auto"/>
        <w:rPr>
          <w:rFonts w:hint="eastAsia" w:ascii="宋体" w:hAnsi="宋体" w:eastAsia="宋体" w:cs="宋体"/>
          <w:b/>
          <w:sz w:val="28"/>
          <w:szCs w:val="20"/>
        </w:rPr>
        <w:outlineLvl w:val="2"/>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格式7、具备履行合同所必需的设备和专业技术能力的声明及证明材料</w:t>
      </w:r>
      <w:r>
        <w:rPr>
          <w:rFonts w:hint="eastAsia" w:ascii="宋体" w:hAnsi="宋体" w:eastAsia="宋体" w:cs="宋体"/>
          <w:b/>
          <w:sz w:val="28"/>
          <w:szCs w:val="20"/>
        </w:rPr>
      </w:r>
      <w:r/>
    </w:p>
    <w:p>
      <w:pPr>
        <w:pStyle w:val="752"/>
        <w:jc w:val="left"/>
        <w:rPr>
          <w:rFonts w:hint="eastAsia" w:ascii="宋体" w:hAnsi="宋体" w:eastAsia="宋体" w:cs="宋体"/>
          <w:szCs w:val="24"/>
        </w:rPr>
      </w:pPr>
      <w:r>
        <w:rPr>
          <w:rFonts w:hint="eastAsia" w:ascii="宋体" w:hAnsi="宋体" w:eastAsia="宋体" w:cs="宋体"/>
          <w:szCs w:val="24"/>
        </w:rPr>
      </w:r>
      <w:r/>
    </w:p>
    <w:p>
      <w:pPr>
        <w:pStyle w:val="752"/>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具备履行合同所必需的设备和专业技术能力的声明</w:t>
      </w:r>
      <w:r>
        <w:rPr>
          <w:rFonts w:hint="eastAsia" w:ascii="宋体" w:hAnsi="宋体" w:eastAsia="宋体" w:cs="宋体"/>
          <w:bCs/>
          <w:sz w:val="36"/>
          <w:szCs w:val="28"/>
        </w:rPr>
      </w:r>
      <w:r/>
    </w:p>
    <w:p>
      <w:pPr>
        <w:pStyle w:val="75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（供应商名称）</w:t>
      </w:r>
      <w:r>
        <w:rPr>
          <w:rFonts w:hint="eastAsia" w:ascii="宋体" w:hAnsi="宋体" w:eastAsia="宋体" w:cs="宋体"/>
          <w:sz w:val="24"/>
          <w:szCs w:val="24"/>
        </w:rPr>
        <w:t xml:space="preserve">郑重声明：我单位具备履行本项采购合同所必需的设备和专业技术能力，为履行本项采购合同我单位具备如下主要设备和主要专业技术能力：</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2"/>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注：须附证明材料。</w:t>
      </w:r>
      <w:r>
        <w:rPr>
          <w:rFonts w:hint="eastAsia" w:ascii="宋体" w:hAnsi="宋体" w:eastAsia="宋体" w:cs="宋体"/>
          <w:b/>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5400"/>
        <w:spacing w:line="360" w:lineRule="auto"/>
        <w:rPr>
          <w:rFonts w:hint="eastAsia" w:ascii="宋体" w:hAnsi="宋体" w:eastAsia="宋体" w:cs="宋体"/>
          <w:sz w:val="24"/>
          <w:szCs w:val="24"/>
        </w:rPr>
      </w:pPr>
      <w:r>
        <w:rPr>
          <w:rFonts w:hint="eastAsia" w:ascii="宋体" w:hAnsi="宋体" w:eastAsia="宋体" w:cs="宋体"/>
          <w:sz w:val="24"/>
          <w:szCs w:val="24"/>
        </w:rPr>
        <w:t xml:space="preserve">声明人（盖章）：</w:t>
      </w:r>
      <w:r>
        <w:rPr>
          <w:rFonts w:hint="eastAsia" w:ascii="宋体" w:hAnsi="宋体" w:eastAsia="宋体" w:cs="宋体"/>
          <w:sz w:val="24"/>
          <w:szCs w:val="24"/>
        </w:rPr>
      </w:r>
      <w:r/>
    </w:p>
    <w:p>
      <w:pPr>
        <w:pStyle w:val="752"/>
        <w:ind w:firstLine="540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752"/>
        <w:ind w:firstLine="422"/>
        <w:spacing w:line="460" w:lineRule="exact"/>
        <w:rPr>
          <w:rFonts w:hint="eastAsia" w:ascii="宋体" w:hAnsi="宋体" w:eastAsia="宋体" w:cs="宋体"/>
          <w:b/>
          <w:szCs w:val="24"/>
        </w:rPr>
      </w:pPr>
      <w:r>
        <w:rPr>
          <w:rFonts w:hint="eastAsia" w:ascii="宋体" w:hAnsi="宋体" w:eastAsia="宋体" w:cs="宋体"/>
          <w:b/>
          <w:szCs w:val="24"/>
        </w:rPr>
      </w:r>
      <w:r/>
    </w:p>
    <w:p>
      <w:pPr>
        <w:pStyle w:val="752"/>
        <w:ind w:firstLine="422"/>
        <w:spacing w:line="460" w:lineRule="exact"/>
        <w:rPr>
          <w:rFonts w:hint="eastAsia" w:ascii="宋体" w:hAnsi="宋体" w:eastAsia="宋体" w:cs="宋体"/>
          <w:b/>
          <w:szCs w:val="24"/>
        </w:rPr>
      </w:pPr>
      <w:r>
        <w:rPr>
          <w:rFonts w:hint="eastAsia" w:ascii="宋体" w:hAnsi="宋体" w:eastAsia="宋体" w:cs="宋体"/>
          <w:b/>
          <w:szCs w:val="24"/>
        </w:rPr>
      </w:r>
      <w:r/>
    </w:p>
    <w:p>
      <w:pPr>
        <w:pStyle w:val="752"/>
        <w:ind w:firstLine="422"/>
        <w:spacing w:line="460" w:lineRule="exact"/>
        <w:rPr>
          <w:rFonts w:hint="eastAsia" w:ascii="宋体" w:hAnsi="宋体" w:eastAsia="宋体" w:cs="宋体"/>
          <w:b/>
          <w:szCs w:val="24"/>
        </w:rPr>
      </w:pPr>
      <w:r>
        <w:rPr>
          <w:rFonts w:hint="eastAsia" w:ascii="宋体" w:hAnsi="宋体" w:eastAsia="宋体" w:cs="宋体"/>
          <w:b/>
          <w:szCs w:val="24"/>
        </w:rPr>
      </w:r>
      <w:r/>
    </w:p>
    <w:p>
      <w:pPr>
        <w:pStyle w:val="752"/>
        <w:ind w:firstLine="422"/>
        <w:spacing w:line="460" w:lineRule="exact"/>
        <w:rPr>
          <w:rFonts w:hint="eastAsia" w:ascii="宋体" w:hAnsi="宋体" w:eastAsia="宋体" w:cs="宋体"/>
          <w:b/>
          <w:szCs w:val="24"/>
        </w:rPr>
      </w:pPr>
      <w:r>
        <w:rPr>
          <w:rFonts w:hint="eastAsia" w:ascii="宋体" w:hAnsi="宋体" w:eastAsia="宋体" w:cs="宋体"/>
          <w:b/>
          <w:szCs w:val="24"/>
        </w:rPr>
      </w:r>
      <w:r/>
    </w:p>
    <w:p>
      <w:pPr>
        <w:pStyle w:val="752"/>
        <w:keepNext/>
        <w:spacing w:line="360" w:lineRule="auto"/>
        <w:rPr>
          <w:rFonts w:hint="eastAsia" w:ascii="宋体" w:hAnsi="宋体" w:eastAsia="宋体" w:cs="宋体"/>
          <w:b/>
          <w:sz w:val="28"/>
          <w:szCs w:val="20"/>
        </w:rPr>
        <w:outlineLvl w:val="1"/>
      </w:pPr>
      <w:r>
        <w:rPr>
          <w:rFonts w:hint="eastAsia" w:ascii="宋体" w:hAnsi="宋体" w:eastAsia="宋体" w:cs="宋体"/>
          <w:sz w:val="28"/>
          <w:szCs w:val="20"/>
        </w:rPr>
        <w:br w:type="page" w:clear="all"/>
      </w:r>
      <w:r>
        <w:rPr>
          <w:rFonts w:hint="eastAsia" w:ascii="宋体" w:hAnsi="宋体" w:eastAsia="宋体" w:cs="宋体"/>
          <w:sz w:val="24"/>
          <w:szCs w:val="24"/>
        </w:rPr>
        <w:t xml:space="preserve">格式8、参加政府采购活动前 3 年内在经营活动中没有重大违法记录的书面声明</w:t>
      </w:r>
      <w:r>
        <w:rPr>
          <w:rFonts w:hint="eastAsia" w:ascii="宋体" w:hAnsi="宋体" w:eastAsia="宋体" w:cs="宋体"/>
          <w:b/>
          <w:sz w:val="28"/>
          <w:szCs w:val="20"/>
        </w:rPr>
      </w:r>
      <w:r/>
    </w:p>
    <w:p>
      <w:pPr>
        <w:pStyle w:val="752"/>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752"/>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声  明</w:t>
      </w:r>
      <w:r>
        <w:rPr>
          <w:rFonts w:hint="eastAsia" w:ascii="宋体" w:hAnsi="宋体" w:eastAsia="宋体" w:cs="宋体"/>
          <w:bCs/>
          <w:sz w:val="36"/>
          <w:szCs w:val="28"/>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75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格式9、法定代表人授权委托书</w:t>
      </w:r>
      <w:r>
        <w:rPr>
          <w:rFonts w:hint="eastAsia" w:ascii="宋体" w:hAnsi="宋体" w:eastAsia="宋体" w:cs="宋体"/>
          <w:b/>
          <w:sz w:val="28"/>
          <w:szCs w:val="20"/>
        </w:rPr>
      </w:r>
      <w:r/>
    </w:p>
    <w:p>
      <w:pPr>
        <w:pStyle w:val="752"/>
        <w:ind w:firstLine="720"/>
        <w:jc w:val="center"/>
        <w:spacing w:line="360" w:lineRule="auto"/>
        <w:rPr>
          <w:rFonts w:hint="eastAsia" w:ascii="宋体" w:hAnsi="宋体" w:eastAsia="宋体" w:cs="宋体"/>
          <w:bCs/>
          <w:color w:val="000000"/>
          <w:sz w:val="36"/>
          <w:szCs w:val="28"/>
        </w:rPr>
      </w:pPr>
      <w:r>
        <w:rPr>
          <w:rFonts w:hint="eastAsia" w:ascii="宋体" w:hAnsi="宋体" w:eastAsia="宋体" w:cs="宋体"/>
          <w:bCs/>
          <w:color w:val="000000"/>
          <w:sz w:val="36"/>
          <w:szCs w:val="28"/>
        </w:rPr>
      </w:r>
      <w:r/>
    </w:p>
    <w:p>
      <w:pPr>
        <w:pStyle w:val="752"/>
        <w:ind w:firstLine="720"/>
        <w:jc w:val="center"/>
        <w:spacing w:line="360" w:lineRule="auto"/>
        <w:rPr>
          <w:rFonts w:hint="eastAsia" w:ascii="宋体" w:hAnsi="宋体" w:eastAsia="宋体" w:cs="宋体"/>
          <w:bCs/>
          <w:color w:val="000000"/>
          <w:sz w:val="36"/>
          <w:szCs w:val="28"/>
        </w:rPr>
      </w:pPr>
      <w:r>
        <w:rPr>
          <w:rFonts w:hint="eastAsia" w:ascii="宋体" w:hAnsi="宋体" w:eastAsia="宋体" w:cs="宋体"/>
          <w:bCs/>
          <w:color w:val="000000"/>
          <w:sz w:val="36"/>
          <w:szCs w:val="28"/>
        </w:rPr>
        <w:t xml:space="preserve">法定代表人授权委托书</w:t>
      </w:r>
      <w:r>
        <w:rPr>
          <w:rFonts w:hint="eastAsia" w:ascii="宋体" w:hAnsi="宋体" w:eastAsia="宋体" w:cs="宋体"/>
          <w:bCs/>
          <w:color w:val="000000"/>
          <w:sz w:val="36"/>
          <w:szCs w:val="28"/>
        </w:rPr>
      </w:r>
      <w:r/>
    </w:p>
    <w:p>
      <w:pPr>
        <w:pStyle w:val="752"/>
        <w:ind w:firstLine="420"/>
        <w:spacing w:line="500" w:lineRule="exact"/>
        <w:rPr>
          <w:rFonts w:hint="eastAsia" w:ascii="宋体" w:hAnsi="宋体" w:eastAsia="宋体" w:cs="宋体"/>
          <w:color w:val="000000"/>
          <w:szCs w:val="20"/>
        </w:rPr>
      </w:pPr>
      <w:r>
        <w:rPr>
          <w:rFonts w:hint="eastAsia" w:ascii="宋体" w:hAnsi="宋体" w:eastAsia="宋体" w:cs="宋体"/>
          <w:color w:val="000000"/>
          <w:szCs w:val="20"/>
        </w:rPr>
      </w:r>
      <w:r/>
    </w:p>
    <w:p>
      <w:pPr>
        <w:pStyle w:val="752"/>
        <w:rPr>
          <w:rFonts w:hint="eastAsia" w:ascii="宋体" w:hAnsi="宋体" w:eastAsia="宋体" w:cs="宋体"/>
          <w:color w:val="000000"/>
          <w:sz w:val="24"/>
          <w:szCs w:val="20"/>
        </w:rPr>
      </w:pPr>
      <w:r>
        <w:rPr>
          <w:rFonts w:hint="eastAsia" w:ascii="宋体" w:hAnsi="宋体" w:eastAsia="宋体" w:cs="宋体"/>
          <w:color w:val="000000"/>
          <w:sz w:val="24"/>
          <w:szCs w:val="24"/>
        </w:rPr>
        <w:t xml:space="preserve">致：</w:t>
      </w:r>
      <w:r>
        <w:rPr>
          <w:rFonts w:hint="eastAsia" w:ascii="宋体" w:hAnsi="宋体" w:eastAsia="宋体" w:cs="宋体"/>
          <w:i/>
          <w:color w:val="000000"/>
          <w:sz w:val="24"/>
          <w:szCs w:val="24"/>
          <w:u w:val="single"/>
        </w:rPr>
        <w:t xml:space="preserve">采购单位</w:t>
      </w:r>
      <w:r>
        <w:rPr>
          <w:rFonts w:hint="eastAsia" w:ascii="宋体" w:hAnsi="宋体" w:eastAsia="宋体" w:cs="宋体"/>
          <w:color w:val="000000"/>
          <w:sz w:val="24"/>
          <w:szCs w:val="20"/>
        </w:rPr>
      </w:r>
      <w:r/>
    </w:p>
    <w:p>
      <w:pPr>
        <w:pStyle w:val="752"/>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本人</w:t>
      </w:r>
      <w:r>
        <w:rPr>
          <w:rFonts w:hint="eastAsia" w:ascii="宋体" w:hAnsi="宋体" w:eastAsia="宋体" w:cs="宋体"/>
          <w:color w:val="000000"/>
          <w:sz w:val="24"/>
          <w:szCs w:val="24"/>
          <w:lang w:val="zh-CN"/>
        </w:rPr>
        <w:t xml:space="preserve">_______</w:t>
      </w:r>
      <w:r>
        <w:rPr>
          <w:rFonts w:hint="eastAsia" w:ascii="宋体" w:hAnsi="宋体" w:eastAsia="宋体" w:cs="宋体"/>
          <w:color w:val="000000"/>
          <w:sz w:val="24"/>
          <w:szCs w:val="20"/>
        </w:rPr>
        <w:t xml:space="preserve">（姓名）系</w:t>
      </w:r>
      <w:r>
        <w:rPr>
          <w:rFonts w:hint="eastAsia" w:ascii="宋体" w:hAnsi="宋体" w:eastAsia="宋体" w:cs="宋体"/>
          <w:color w:val="000000"/>
          <w:sz w:val="24"/>
          <w:szCs w:val="24"/>
          <w:lang w:val="zh-CN"/>
        </w:rPr>
        <w:t xml:space="preserve">________________</w:t>
      </w:r>
      <w:r>
        <w:rPr>
          <w:rFonts w:hint="eastAsia" w:ascii="宋体" w:hAnsi="宋体" w:eastAsia="宋体" w:cs="宋体"/>
          <w:color w:val="000000"/>
          <w:sz w:val="24"/>
          <w:szCs w:val="20"/>
        </w:rPr>
        <w:t xml:space="preserve">（投标人名称）的法定代表人（单位负责人），现委托</w:t>
      </w:r>
      <w:r>
        <w:rPr>
          <w:rFonts w:hint="eastAsia" w:ascii="宋体" w:hAnsi="宋体" w:eastAsia="宋体" w:cs="宋体"/>
          <w:color w:val="000000"/>
          <w:sz w:val="24"/>
          <w:szCs w:val="24"/>
          <w:lang w:val="zh-CN"/>
        </w:rPr>
        <w:t xml:space="preserve">_______</w:t>
      </w:r>
      <w:r>
        <w:rPr>
          <w:rFonts w:hint="eastAsia" w:ascii="宋体" w:hAnsi="宋体" w:eastAsia="宋体" w:cs="宋体"/>
          <w:color w:val="000000"/>
          <w:sz w:val="24"/>
          <w:szCs w:val="20"/>
        </w:rPr>
        <w:t xml:space="preserve">（姓名）为我方代理人。代理人根据授权，以我方名义签署、澄清确认、递交、撤回、修改</w:t>
      </w:r>
      <w:r>
        <w:rPr>
          <w:rFonts w:hint="eastAsia" w:ascii="宋体" w:hAnsi="宋体" w:eastAsia="宋体" w:cs="宋体"/>
          <w:i/>
          <w:color w:val="000000"/>
          <w:sz w:val="24"/>
          <w:szCs w:val="24"/>
          <w:u w:val="single"/>
        </w:rPr>
        <w:t xml:space="preserve">标段名称</w:t>
      </w:r>
      <w:r>
        <w:rPr>
          <w:rFonts w:hint="eastAsia" w:ascii="宋体" w:hAnsi="宋体" w:eastAsia="宋体" w:cs="宋体"/>
          <w:color w:val="000000"/>
          <w:sz w:val="24"/>
          <w:szCs w:val="24"/>
        </w:rPr>
        <w:t xml:space="preserve">项目（标段编号：</w:t>
      </w:r>
      <w:r>
        <w:rPr>
          <w:rFonts w:hint="eastAsia" w:ascii="宋体" w:hAnsi="宋体" w:eastAsia="宋体" w:cs="宋体"/>
          <w:i/>
          <w:color w:val="000000"/>
          <w:sz w:val="24"/>
          <w:szCs w:val="24"/>
          <w:u w:val="single"/>
        </w:rPr>
        <w:t xml:space="preserve">标段编号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0"/>
        </w:rPr>
        <w:t xml:space="preserve">投标文件和处理有关事宜，其法律后果由我方承担。</w:t>
      </w:r>
      <w:r>
        <w:rPr>
          <w:rFonts w:hint="eastAsia" w:ascii="宋体" w:hAnsi="宋体" w:eastAsia="宋体" w:cs="宋体"/>
          <w:color w:val="000000"/>
          <w:sz w:val="24"/>
          <w:szCs w:val="20"/>
        </w:rPr>
      </w:r>
      <w:r/>
    </w:p>
    <w:p>
      <w:pPr>
        <w:pStyle w:val="752"/>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委托期限：自本授权委托书签署之日起至响应有效期届满之日止。</w:t>
      </w:r>
      <w:r>
        <w:rPr>
          <w:rFonts w:hint="eastAsia" w:ascii="宋体" w:hAnsi="宋体" w:eastAsia="宋体" w:cs="宋体"/>
          <w:color w:val="000000"/>
          <w:sz w:val="24"/>
          <w:szCs w:val="20"/>
        </w:rPr>
      </w:r>
      <w:r/>
    </w:p>
    <w:p>
      <w:pPr>
        <w:pStyle w:val="752"/>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代理人无转委托权。</w:t>
      </w:r>
      <w:r>
        <w:rPr>
          <w:rFonts w:hint="eastAsia" w:ascii="宋体" w:hAnsi="宋体" w:eastAsia="宋体" w:cs="宋体"/>
          <w:color w:val="000000"/>
          <w:sz w:val="24"/>
          <w:szCs w:val="20"/>
        </w:rPr>
      </w:r>
      <w:r/>
    </w:p>
    <w:p>
      <w:pPr>
        <w:pStyle w:val="752"/>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52"/>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：________________</w:t>
      </w:r>
      <w:r>
        <w:rPr>
          <w:rFonts w:hint="eastAsia" w:ascii="宋体" w:hAnsi="宋体" w:eastAsia="宋体" w:cs="宋体"/>
          <w:color w:val="000000"/>
          <w:sz w:val="24"/>
          <w:szCs w:val="24"/>
          <w:lang w:val="zh-CN"/>
        </w:rPr>
      </w:r>
      <w:r/>
    </w:p>
    <w:p>
      <w:pPr>
        <w:pStyle w:val="752"/>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法定代表人（单位负责人）（签字、签章或印鉴）：</w:t>
      </w:r>
      <w:r>
        <w:rPr>
          <w:rFonts w:hint="eastAsia" w:ascii="宋体" w:hAnsi="宋体" w:eastAsia="宋体" w:cs="宋体"/>
          <w:color w:val="000000"/>
          <w:sz w:val="24"/>
          <w:szCs w:val="24"/>
          <w:lang w:val="zh-CN"/>
        </w:rPr>
        <w:t xml:space="preserve">________________</w:t>
      </w:r>
      <w:r>
        <w:rPr>
          <w:rFonts w:hint="eastAsia" w:ascii="宋体" w:hAnsi="宋体" w:eastAsia="宋体" w:cs="宋体"/>
          <w:color w:val="000000"/>
          <w:sz w:val="24"/>
          <w:szCs w:val="20"/>
        </w:rPr>
      </w:r>
      <w:r/>
    </w:p>
    <w:p>
      <w:pPr>
        <w:pStyle w:val="752"/>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委托代理人（签字/签章）：</w:t>
      </w:r>
      <w:r>
        <w:rPr>
          <w:rFonts w:hint="eastAsia" w:ascii="宋体" w:hAnsi="宋体" w:eastAsia="宋体" w:cs="宋体"/>
          <w:color w:val="000000"/>
          <w:sz w:val="24"/>
          <w:szCs w:val="24"/>
          <w:lang w:val="zh-CN"/>
        </w:rPr>
        <w:t xml:space="preserve">________________</w:t>
      </w:r>
      <w:r>
        <w:rPr>
          <w:rFonts w:hint="eastAsia" w:ascii="宋体" w:hAnsi="宋体" w:eastAsia="宋体" w:cs="宋体"/>
          <w:color w:val="000000"/>
          <w:sz w:val="24"/>
          <w:szCs w:val="24"/>
          <w:lang w:val="zh-CN"/>
        </w:rPr>
      </w:r>
      <w:r/>
    </w:p>
    <w:p>
      <w:pPr>
        <w:pStyle w:val="752"/>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日期：_____年______月______日</w:t>
      </w:r>
      <w:r>
        <w:rPr>
          <w:rFonts w:hint="eastAsia" w:ascii="宋体" w:hAnsi="宋体" w:eastAsia="宋体" w:cs="宋体"/>
          <w:color w:val="000000"/>
          <w:sz w:val="24"/>
          <w:szCs w:val="24"/>
          <w:lang w:val="zh-CN"/>
        </w:rPr>
      </w:r>
      <w:r/>
    </w:p>
    <w:p>
      <w:pPr>
        <w:pStyle w:val="752"/>
        <w:ind w:firstLine="480"/>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5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法定代表人（单位负责人）有效期内的身份证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rPr>
          <w:rFonts w:hint="eastAsia" w:ascii="宋体" w:hAnsi="宋体" w:eastAsia="宋体" w:cs="宋体"/>
          <w:color w:val="000000"/>
          <w:sz w:val="24"/>
          <w:szCs w:val="20"/>
        </w:rPr>
      </w:r>
      <w:r/>
    </w:p>
    <w:tbl>
      <w:tblPr>
        <w:tblW w:w="92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W w:w="4673" w:type="dxa"/>
            <w:vAlign w:val="top"/>
            <w:textDirection w:val="lrTb"/>
            <w:noWrap w:val="false"/>
          </w:tcPr>
          <w:p>
            <w:pPr>
              <w:pStyle w:val="752"/>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752"/>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752"/>
              <w:jc w:val="left"/>
              <w:spacing w:line="360" w:lineRule="auto"/>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tc>
        <w:tc>
          <w:tcPr>
            <w:tcW w:w="4536" w:type="dxa"/>
            <w:vAlign w:val="top"/>
            <w:textDirection w:val="lrTb"/>
            <w:noWrap w:val="false"/>
          </w:tcPr>
          <w:p>
            <w:pPr>
              <w:pStyle w:val="752"/>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752"/>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752"/>
              <w:jc w:val="left"/>
              <w:spacing w:line="360" w:lineRule="auto"/>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tc>
      </w:tr>
    </w:tbl>
    <w:p>
      <w:pPr>
        <w:pStyle w:val="75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委托代理人有效期内的身份证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rPr>
          <w:rFonts w:hint="eastAsia" w:ascii="宋体" w:hAnsi="宋体" w:eastAsia="宋体" w:cs="宋体"/>
          <w:color w:val="000000"/>
          <w:sz w:val="24"/>
          <w:szCs w:val="20"/>
        </w:rPr>
      </w:r>
      <w:r/>
    </w:p>
    <w:tbl>
      <w:tblPr>
        <w:tblW w:w="92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W w:w="4673" w:type="dxa"/>
            <w:vAlign w:val="top"/>
            <w:textDirection w:val="lrTb"/>
            <w:noWrap w:val="false"/>
          </w:tcPr>
          <w:p>
            <w:pPr>
              <w:pStyle w:val="752"/>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752"/>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752"/>
              <w:jc w:val="left"/>
              <w:spacing w:line="360" w:lineRule="auto"/>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tc>
        <w:tc>
          <w:tcPr>
            <w:tcW w:w="4536" w:type="dxa"/>
            <w:vAlign w:val="top"/>
            <w:textDirection w:val="lrTb"/>
            <w:noWrap w:val="false"/>
          </w:tcPr>
          <w:p>
            <w:pPr>
              <w:pStyle w:val="752"/>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752"/>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752"/>
              <w:jc w:val="left"/>
              <w:spacing w:line="360" w:lineRule="auto"/>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tc>
      </w:tr>
    </w:tbl>
    <w:p>
      <w:pPr>
        <w:pStyle w:val="75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说明：</w:t>
      </w:r>
      <w:r>
        <w:rPr>
          <w:rFonts w:hint="eastAsia" w:ascii="宋体" w:hAnsi="宋体" w:eastAsia="宋体" w:cs="宋体"/>
          <w:color w:val="000000"/>
          <w:sz w:val="24"/>
          <w:szCs w:val="20"/>
        </w:rPr>
      </w:r>
      <w:r/>
    </w:p>
    <w:p>
      <w:pPr>
        <w:pStyle w:val="75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1.若供应商为事业单位或其他组织或分支机构（仅当招标文件注明允许分支机构投标的），则法定代表人（单位负责人）处的签署人可为单位负责人。</w:t>
      </w:r>
      <w:r>
        <w:rPr>
          <w:rFonts w:hint="eastAsia" w:ascii="宋体" w:hAnsi="宋体" w:eastAsia="宋体" w:cs="宋体"/>
          <w:color w:val="000000"/>
          <w:sz w:val="24"/>
          <w:szCs w:val="20"/>
        </w:rPr>
      </w:r>
      <w:r/>
    </w:p>
    <w:p>
      <w:pPr>
        <w:pStyle w:val="75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2.若投标文件中签字之处均为法定代表人（单位负责人）本人签署，则可不提供本《授权委托书》，但须提供《法定代表人（单位负责人）身份证明》。</w:t>
      </w:r>
      <w:r>
        <w:rPr>
          <w:rFonts w:hint="eastAsia" w:ascii="宋体" w:hAnsi="宋体" w:eastAsia="宋体" w:cs="宋体"/>
          <w:color w:val="000000"/>
          <w:sz w:val="24"/>
          <w:szCs w:val="20"/>
        </w:rPr>
      </w:r>
      <w:r/>
    </w:p>
    <w:p>
      <w:pPr>
        <w:pStyle w:val="752"/>
        <w:spacing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0"/>
        </w:rPr>
        <w:t xml:space="preserve">3.供应商为自然人的情形，可不提供本《授权委托书》。</w:t>
      </w:r>
      <w:r>
        <w:rPr>
          <w:rFonts w:hint="eastAsia" w:ascii="宋体" w:hAnsi="宋体" w:eastAsia="宋体" w:cs="宋体"/>
          <w:color w:val="000000"/>
          <w:sz w:val="24"/>
          <w:szCs w:val="24"/>
        </w:rPr>
      </w:r>
      <w:r/>
    </w:p>
    <w:p>
      <w:pPr>
        <w:pStyle w:val="752"/>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p>
      <w:pPr>
        <w:pStyle w:val="752"/>
        <w:keepNext/>
        <w:spacing w:line="360" w:lineRule="auto"/>
        <w:rPr>
          <w:rFonts w:hint="eastAsia" w:ascii="宋体" w:hAnsi="宋体" w:eastAsia="宋体" w:cs="宋体"/>
          <w:bCs/>
          <w:sz w:val="32"/>
          <w:szCs w:val="21"/>
        </w:rPr>
        <w:outlineLvl w:val="0"/>
      </w:pPr>
      <w:r>
        <w:rPr>
          <w:rFonts w:hint="eastAsia" w:ascii="宋体" w:hAnsi="宋体" w:eastAsia="宋体" w:cs="宋体"/>
          <w:sz w:val="24"/>
          <w:szCs w:val="24"/>
        </w:rPr>
        <w:t xml:space="preserve">格式10、商务条款偏离表</w:t>
      </w:r>
      <w:r>
        <w:rPr>
          <w:rFonts w:hint="eastAsia" w:ascii="宋体" w:hAnsi="宋体" w:eastAsia="宋体" w:cs="宋体"/>
          <w:bCs/>
          <w:sz w:val="32"/>
          <w:szCs w:val="21"/>
        </w:rPr>
      </w:r>
      <w:r/>
    </w:p>
    <w:p>
      <w:pPr>
        <w:pStyle w:val="752"/>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商务条款偏离表</w:t>
      </w:r>
      <w:r>
        <w:rPr>
          <w:rFonts w:hint="eastAsia" w:ascii="宋体" w:hAnsi="宋体" w:eastAsia="宋体" w:cs="宋体"/>
          <w:bCs/>
          <w:sz w:val="36"/>
          <w:szCs w:val="28"/>
        </w:rPr>
      </w:r>
      <w:r/>
    </w:p>
    <w:p>
      <w:pPr>
        <w:pStyle w:val="752"/>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请逐条对应采购文件“项目需求”等内容要求的商务条件，填写该表。</w:t>
      </w:r>
      <w:r>
        <w:rPr>
          <w:rFonts w:hint="eastAsia" w:ascii="宋体" w:hAnsi="宋体" w:eastAsia="宋体" w:cs="宋体"/>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trHeight w:val="491"/>
        </w:trPr>
        <w:tc>
          <w:tcPr>
            <w:tcW w:w="1077" w:type="dxa"/>
            <w:vAlign w:val="center"/>
            <w:textDirection w:val="lrTb"/>
            <w:noWrap w:val="false"/>
          </w:tcPr>
          <w:p>
            <w:pPr>
              <w:pStyle w:val="752"/>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项号</w:t>
            </w:r>
            <w:r>
              <w:rPr>
                <w:rFonts w:hint="eastAsia" w:ascii="宋体" w:hAnsi="宋体" w:eastAsia="宋体" w:cs="宋体"/>
                <w:sz w:val="24"/>
                <w:szCs w:val="24"/>
                <w:lang w:val="en-US" w:eastAsia="zh-CN" w:bidi="ar-SA"/>
              </w:rPr>
            </w:r>
            <w:r/>
          </w:p>
        </w:tc>
        <w:tc>
          <w:tcPr>
            <w:tcW w:w="2774" w:type="dxa"/>
            <w:vAlign w:val="center"/>
            <w:textDirection w:val="lrTb"/>
            <w:noWrap w:val="false"/>
          </w:tcPr>
          <w:p>
            <w:pPr>
              <w:pStyle w:val="752"/>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采购文件的商务条款</w:t>
            </w:r>
            <w:r>
              <w:rPr>
                <w:rFonts w:hint="eastAsia" w:ascii="宋体" w:hAnsi="宋体" w:eastAsia="宋体" w:cs="宋体"/>
                <w:sz w:val="24"/>
                <w:szCs w:val="24"/>
                <w:lang w:val="en-US" w:eastAsia="zh-CN" w:bidi="ar-SA"/>
              </w:rPr>
            </w:r>
            <w:r/>
          </w:p>
        </w:tc>
        <w:tc>
          <w:tcPr>
            <w:tcW w:w="2927" w:type="dxa"/>
            <w:vAlign w:val="center"/>
            <w:textDirection w:val="lrTb"/>
            <w:noWrap w:val="false"/>
          </w:tcPr>
          <w:p>
            <w:pPr>
              <w:pStyle w:val="752"/>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响应文件的商务条款</w:t>
            </w:r>
            <w:r>
              <w:rPr>
                <w:rFonts w:hint="eastAsia" w:ascii="宋体" w:hAnsi="宋体" w:eastAsia="宋体" w:cs="宋体"/>
                <w:sz w:val="24"/>
                <w:szCs w:val="24"/>
                <w:lang w:val="en-US" w:eastAsia="zh-CN" w:bidi="ar-SA"/>
              </w:rPr>
            </w:r>
            <w:r/>
          </w:p>
        </w:tc>
        <w:tc>
          <w:tcPr>
            <w:tcW w:w="2444" w:type="dxa"/>
            <w:vAlign w:val="center"/>
            <w:textDirection w:val="lrTb"/>
            <w:noWrap w:val="false"/>
          </w:tcPr>
          <w:p>
            <w:pPr>
              <w:pStyle w:val="752"/>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偏离说明</w:t>
            </w: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90"/>
        </w:trPr>
        <w:tc>
          <w:tcPr>
            <w:tcW w:w="107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752"/>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pStyle w:val="752"/>
        <w:ind w:firstLine="480"/>
        <w:spacing w:line="400" w:lineRule="exact"/>
        <w:rPr>
          <w:rFonts w:hint="eastAsia" w:ascii="宋体" w:hAnsi="宋体" w:eastAsia="宋体" w:cs="宋体"/>
          <w:szCs w:val="20"/>
        </w:rPr>
      </w:pPr>
      <w:r>
        <w:rPr>
          <w:rFonts w:hint="eastAsia" w:ascii="宋体" w:hAnsi="宋体" w:eastAsia="宋体" w:cs="宋体"/>
          <w:sz w:val="24"/>
          <w:szCs w:val="24"/>
        </w:rPr>
        <w:t xml:space="preserve">注：“偏离说明”填写“正偏离”“负偏离”或“无偏离”。</w:t>
      </w:r>
      <w:r>
        <w:rPr>
          <w:rFonts w:hint="eastAsia" w:ascii="宋体" w:hAnsi="宋体" w:eastAsia="宋体" w:cs="宋体"/>
          <w:szCs w:val="20"/>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752"/>
        <w:ind w:firstLine="420"/>
        <w:spacing w:line="600" w:lineRule="exact"/>
        <w:rPr>
          <w:rFonts w:hint="eastAsia" w:ascii="宋体" w:hAnsi="宋体" w:eastAsia="宋体" w:cs="宋体"/>
          <w:szCs w:val="20"/>
        </w:rPr>
      </w:pPr>
      <w:r>
        <w:rPr>
          <w:rFonts w:hint="eastAsia" w:ascii="宋体" w:hAnsi="宋体" w:eastAsia="宋体" w:cs="宋体"/>
          <w:szCs w:val="20"/>
        </w:rPr>
      </w:r>
      <w:r/>
    </w:p>
    <w:p>
      <w:pPr>
        <w:pStyle w:val="752"/>
        <w:keepNext/>
        <w:spacing w:line="360" w:lineRule="auto"/>
        <w:rPr>
          <w:rFonts w:hint="eastAsia" w:ascii="宋体" w:hAnsi="宋体" w:eastAsia="宋体" w:cs="宋体"/>
          <w:b/>
          <w:sz w:val="28"/>
          <w:szCs w:val="21"/>
        </w:rPr>
        <w:outlineLvl w:val="1"/>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格式11、售后服务承诺书</w:t>
      </w:r>
      <w:r>
        <w:rPr>
          <w:rFonts w:hint="eastAsia" w:ascii="宋体" w:hAnsi="宋体" w:eastAsia="宋体" w:cs="宋体"/>
          <w:b/>
          <w:sz w:val="28"/>
          <w:szCs w:val="21"/>
        </w:rPr>
      </w:r>
      <w:r/>
    </w:p>
    <w:p>
      <w:pPr>
        <w:pStyle w:val="752"/>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售后服务承诺书</w:t>
      </w:r>
      <w:r>
        <w:rPr>
          <w:rFonts w:hint="eastAsia" w:ascii="宋体" w:hAnsi="宋体" w:eastAsia="宋体" w:cs="宋体"/>
          <w:bCs/>
          <w:sz w:val="36"/>
          <w:szCs w:val="28"/>
        </w:rPr>
      </w:r>
      <w:r/>
    </w:p>
    <w:p>
      <w:pPr>
        <w:pStyle w:val="752"/>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（请按“项目需求”要求的售后服务及内容自行填写）</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75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格式12、技术规格偏离表</w:t>
      </w:r>
      <w:r>
        <w:rPr>
          <w:rFonts w:hint="eastAsia" w:ascii="宋体" w:hAnsi="宋体" w:eastAsia="宋体" w:cs="宋体"/>
          <w:b/>
          <w:sz w:val="28"/>
          <w:szCs w:val="20"/>
        </w:rPr>
      </w:r>
      <w:r/>
    </w:p>
    <w:p>
      <w:pPr>
        <w:pStyle w:val="752"/>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技术规格偏离表</w:t>
      </w:r>
      <w:r>
        <w:rPr>
          <w:rFonts w:hint="eastAsia" w:ascii="宋体" w:hAnsi="宋体" w:eastAsia="宋体" w:cs="宋体"/>
          <w:bCs/>
          <w:sz w:val="36"/>
          <w:szCs w:val="28"/>
        </w:rPr>
      </w:r>
      <w:r/>
    </w:p>
    <w:p>
      <w:pPr>
        <w:pStyle w:val="752"/>
        <w:ind w:firstLine="422"/>
        <w:spacing w:line="360" w:lineRule="auto"/>
        <w:rPr>
          <w:rFonts w:hint="eastAsia" w:ascii="宋体" w:hAnsi="宋体" w:eastAsia="宋体" w:cs="宋体"/>
          <w:szCs w:val="20"/>
        </w:rPr>
      </w:pPr>
      <w:r>
        <w:rPr>
          <w:rFonts w:hint="eastAsia" w:ascii="宋体" w:hAnsi="宋体" w:eastAsia="宋体" w:cs="宋体"/>
          <w:b/>
          <w:bCs/>
          <w:szCs w:val="20"/>
        </w:rPr>
        <w:t xml:space="preserve">请按所响应产品的实际技术参数，逐条对应采购文件“项目需求”中要求的技术规范（含货物名称、数量）填写该表，该表不能作为所响应产品的技术文件，供应商应在响应文件中单独提供技术文件。</w:t>
      </w:r>
      <w:r>
        <w:rPr>
          <w:rFonts w:hint="eastAsia" w:ascii="宋体" w:hAnsi="宋体" w:eastAsia="宋体" w:cs="宋体"/>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144"/>
        <w:gridCol w:w="655"/>
        <w:gridCol w:w="932"/>
        <w:gridCol w:w="1134"/>
        <w:gridCol w:w="814"/>
        <w:gridCol w:w="1335"/>
        <w:gridCol w:w="1253"/>
        <w:gridCol w:w="1276"/>
      </w:tblGrid>
      <w:tr>
        <w:trPr>
          <w:cantSplit/>
          <w:trHeight w:val="422"/>
        </w:trPr>
        <w:tc>
          <w:tcPr>
            <w:tcW w:w="731" w:type="dxa"/>
            <w:vAlign w:val="center"/>
            <w:vMerge w:val="restart"/>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项号</w:t>
            </w:r>
            <w:r>
              <w:rPr>
                <w:rFonts w:hint="eastAsia" w:ascii="宋体" w:hAnsi="宋体" w:eastAsia="宋体" w:cs="宋体"/>
                <w:sz w:val="18"/>
                <w:szCs w:val="18"/>
                <w:lang w:val="en-US" w:eastAsia="zh-CN" w:bidi="ar-SA"/>
              </w:rPr>
            </w:r>
            <w:r/>
          </w:p>
        </w:tc>
        <w:tc>
          <w:tcPr>
            <w:gridSpan w:val="3"/>
            <w:tcW w:w="2731"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采购文件需求</w:t>
            </w:r>
            <w:r>
              <w:rPr>
                <w:rFonts w:hint="eastAsia" w:ascii="宋体" w:hAnsi="宋体" w:eastAsia="宋体" w:cs="宋体"/>
                <w:sz w:val="18"/>
                <w:szCs w:val="18"/>
                <w:lang w:val="en-US" w:eastAsia="zh-CN" w:bidi="ar-SA"/>
              </w:rPr>
            </w:r>
            <w:r/>
          </w:p>
        </w:tc>
        <w:tc>
          <w:tcPr>
            <w:gridSpan w:val="4"/>
            <w:tcW w:w="4536"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响应产品规格及技术参数</w:t>
            </w:r>
            <w:r>
              <w:rPr>
                <w:rFonts w:hint="eastAsia" w:ascii="宋体" w:hAnsi="宋体" w:eastAsia="宋体" w:cs="宋体"/>
                <w:sz w:val="18"/>
                <w:szCs w:val="18"/>
                <w:lang w:val="en-US" w:eastAsia="zh-CN" w:bidi="ar-SA"/>
              </w:rPr>
            </w:r>
            <w:r/>
          </w:p>
        </w:tc>
        <w:tc>
          <w:tcPr>
            <w:tcW w:w="1276" w:type="dxa"/>
            <w:vAlign w:val="center"/>
            <w:vMerge w:val="restart"/>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偏离说明</w:t>
            </w:r>
            <w:r>
              <w:rPr>
                <w:rFonts w:hint="eastAsia" w:ascii="宋体" w:hAnsi="宋体" w:eastAsia="宋体" w:cs="宋体"/>
                <w:sz w:val="18"/>
                <w:szCs w:val="18"/>
                <w:lang w:val="en-US" w:eastAsia="zh-CN" w:bidi="ar-SA"/>
              </w:rPr>
            </w:r>
            <w:r/>
          </w:p>
        </w:tc>
      </w:tr>
      <w:tr>
        <w:trPr>
          <w:cantSplit/>
          <w:trHeight w:val="642"/>
        </w:trPr>
        <w:tc>
          <w:tcPr>
            <w:tcW w:w="731" w:type="dxa"/>
            <w:vAlign w:val="center"/>
            <w:vMerge w:val="continue"/>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货物名称</w:t>
            </w: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数量</w:t>
            </w: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技术参数要求</w:t>
            </w: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货物名称</w:t>
            </w: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数量</w:t>
            </w: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品牌、厂家、型号规格</w:t>
            </w: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技术参数</w:t>
            </w:r>
            <w:r>
              <w:rPr>
                <w:rFonts w:hint="eastAsia" w:ascii="宋体" w:hAnsi="宋体" w:eastAsia="宋体" w:cs="宋体"/>
                <w:sz w:val="18"/>
                <w:szCs w:val="18"/>
                <w:lang w:val="en-US" w:eastAsia="zh-CN" w:bidi="ar-SA"/>
              </w:rPr>
            </w:r>
            <w:r/>
          </w:p>
        </w:tc>
        <w:tc>
          <w:tcPr>
            <w:tcW w:w="1276" w:type="dxa"/>
            <w:vAlign w:val="center"/>
            <w:vMerge w:val="continue"/>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591"/>
        </w:trPr>
        <w:tc>
          <w:tcPr>
            <w:tcW w:w="731"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591"/>
        </w:trPr>
        <w:tc>
          <w:tcPr>
            <w:tcW w:w="731"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752"/>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bl>
    <w:p>
      <w:pPr>
        <w:pStyle w:val="752"/>
        <w:ind w:firstLine="420"/>
        <w:spacing w:line="600" w:lineRule="exact"/>
        <w:rPr>
          <w:rFonts w:hint="eastAsia" w:ascii="宋体" w:hAnsi="宋体" w:eastAsia="宋体" w:cs="宋体"/>
          <w:szCs w:val="20"/>
        </w:rPr>
      </w:pPr>
      <w:r>
        <w:rPr>
          <w:rFonts w:hint="eastAsia" w:ascii="宋体" w:hAnsi="宋体" w:eastAsia="宋体" w:cs="宋体"/>
          <w:szCs w:val="20"/>
        </w:rPr>
        <w:t xml:space="preserve">注：“偏离说明”填写“正偏离”“负偏离”或“无偏离”。</w:t>
      </w:r>
      <w:r>
        <w:rPr>
          <w:rFonts w:hint="eastAsia" w:ascii="宋体" w:hAnsi="宋体" w:eastAsia="宋体" w:cs="宋体"/>
          <w:szCs w:val="20"/>
        </w:rPr>
      </w:r>
      <w:r/>
    </w:p>
    <w:p>
      <w:pPr>
        <w:pStyle w:val="752"/>
        <w:ind w:firstLine="420"/>
        <w:spacing w:line="600" w:lineRule="exact"/>
        <w:rPr>
          <w:rFonts w:hint="eastAsia" w:ascii="宋体" w:hAnsi="宋体" w:eastAsia="宋体" w:cs="宋体"/>
          <w:szCs w:val="20"/>
        </w:rPr>
      </w:pPr>
      <w:r>
        <w:rPr>
          <w:rFonts w:hint="eastAsia" w:ascii="宋体" w:hAnsi="宋体" w:eastAsia="宋体" w:cs="宋体"/>
          <w:szCs w:val="20"/>
        </w:rPr>
      </w:r>
      <w:r/>
    </w:p>
    <w:p>
      <w:pPr>
        <w:pStyle w:val="752"/>
        <w:ind w:firstLine="420"/>
        <w:spacing w:line="360" w:lineRule="auto"/>
        <w:rPr>
          <w:rFonts w:hint="eastAsia" w:ascii="宋体" w:hAnsi="宋体" w:eastAsia="宋体" w:cs="宋体"/>
          <w:szCs w:val="24"/>
        </w:rPr>
      </w:pPr>
      <w:r>
        <w:rPr>
          <w:rFonts w:hint="eastAsia" w:ascii="宋体" w:hAnsi="宋体" w:eastAsia="宋体" w:cs="宋体"/>
          <w:szCs w:val="24"/>
        </w:rPr>
        <w:t xml:space="preserve">投标人（盖章）：</w:t>
      </w:r>
      <w:r>
        <w:rPr>
          <w:rFonts w:hint="eastAsia" w:ascii="宋体" w:hAnsi="宋体" w:eastAsia="宋体" w:cs="宋体"/>
          <w:szCs w:val="24"/>
        </w:rPr>
      </w:r>
      <w:r/>
    </w:p>
    <w:p>
      <w:pPr>
        <w:pStyle w:val="752"/>
        <w:ind w:firstLine="420"/>
        <w:spacing w:line="360" w:lineRule="auto"/>
        <w:rPr>
          <w:rFonts w:hint="eastAsia" w:ascii="宋体" w:hAnsi="宋体" w:eastAsia="宋体" w:cs="宋体"/>
          <w:szCs w:val="24"/>
        </w:rPr>
      </w:pPr>
      <w:r>
        <w:rPr>
          <w:rFonts w:hint="eastAsia" w:ascii="宋体" w:hAnsi="宋体" w:eastAsia="宋体" w:cs="宋体"/>
          <w:szCs w:val="24"/>
        </w:rPr>
        <w:t xml:space="preserve">法定代表人或委托代理人（签字或盖章）：</w:t>
      </w:r>
      <w:r>
        <w:rPr>
          <w:rFonts w:hint="eastAsia" w:ascii="宋体" w:hAnsi="宋体" w:eastAsia="宋体" w:cs="宋体"/>
          <w:szCs w:val="24"/>
        </w:rPr>
      </w:r>
      <w:r/>
    </w:p>
    <w:p>
      <w:pPr>
        <w:pStyle w:val="752"/>
        <w:ind w:firstLine="420"/>
        <w:spacing w:line="360" w:lineRule="auto"/>
        <w:rPr>
          <w:rFonts w:hint="eastAsia" w:ascii="宋体" w:hAnsi="宋体" w:eastAsia="宋体" w:cs="宋体"/>
          <w:szCs w:val="20"/>
        </w:rPr>
      </w:pPr>
      <w:r>
        <w:rPr>
          <w:rFonts w:hint="eastAsia" w:ascii="宋体" w:hAnsi="宋体" w:eastAsia="宋体" w:cs="宋体"/>
          <w:szCs w:val="20"/>
        </w:rPr>
        <w:t xml:space="preserve">日期：    年     月     日</w:t>
      </w:r>
      <w:r>
        <w:rPr>
          <w:rFonts w:hint="eastAsia" w:ascii="宋体" w:hAnsi="宋体" w:eastAsia="宋体" w:cs="宋体"/>
          <w:szCs w:val="20"/>
        </w:rPr>
      </w:r>
      <w:r/>
    </w:p>
    <w:p>
      <w:pPr>
        <w:pStyle w:val="752"/>
        <w:rPr>
          <w:rFonts w:hint="eastAsia" w:ascii="宋体" w:hAnsi="宋体" w:eastAsia="宋体" w:cs="宋体"/>
          <w:color w:val="000000"/>
          <w:sz w:val="24"/>
        </w:rPr>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格式13、</w:t>
      </w:r>
      <w:r>
        <w:rPr>
          <w:rFonts w:hint="eastAsia" w:ascii="宋体" w:hAnsi="宋体" w:eastAsia="宋体" w:cs="宋体"/>
          <w:color w:val="000000"/>
          <w:sz w:val="24"/>
        </w:rPr>
        <w:t xml:space="preserve">其他材料</w:t>
      </w:r>
      <w:r>
        <w:rPr>
          <w:rFonts w:hint="eastAsia" w:ascii="宋体" w:hAnsi="宋体" w:eastAsia="宋体" w:cs="宋体"/>
          <w:color w:val="000000"/>
          <w:sz w:val="24"/>
        </w:rPr>
      </w:r>
      <w:r/>
    </w:p>
    <w:p>
      <w:pPr>
        <w:pStyle w:val="752"/>
        <w:jc w:val="center"/>
        <w:rPr>
          <w:rFonts w:hint="eastAsia" w:ascii="宋体" w:hAnsi="宋体" w:eastAsia="宋体" w:cs="宋体"/>
          <w:bCs/>
          <w:color w:val="000000"/>
          <w:sz w:val="36"/>
          <w:szCs w:val="28"/>
        </w:rPr>
      </w:pPr>
      <w:r>
        <w:rPr>
          <w:rFonts w:hint="eastAsia" w:ascii="宋体" w:hAnsi="宋体" w:eastAsia="宋体" w:cs="宋体"/>
          <w:bCs/>
          <w:color w:val="000000"/>
          <w:sz w:val="36"/>
          <w:szCs w:val="28"/>
        </w:rPr>
        <w:t xml:space="preserve">其他材料</w:t>
      </w:r>
      <w:r>
        <w:rPr>
          <w:rFonts w:hint="eastAsia" w:ascii="宋体" w:hAnsi="宋体" w:eastAsia="宋体" w:cs="宋体"/>
          <w:bCs/>
          <w:color w:val="000000"/>
          <w:sz w:val="36"/>
          <w:szCs w:val="28"/>
        </w:rPr>
      </w:r>
      <w:r/>
    </w:p>
    <w:p>
      <w:pPr>
        <w:pStyle w:val="752"/>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（投标人对招标文件响应有必要提供的材料或评标办法中要求提供的材料）</w:t>
      </w:r>
      <w:r>
        <w:rPr>
          <w:rFonts w:hint="eastAsia" w:ascii="宋体" w:hAnsi="宋体" w:eastAsia="宋体" w:cs="宋体"/>
          <w:color w:val="000000"/>
          <w:sz w:val="24"/>
          <w:szCs w:val="24"/>
        </w:rPr>
      </w:r>
      <w:r/>
    </w:p>
    <w:p>
      <w:pPr>
        <w:pStyle w:val="752"/>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rPr>
          <w:rFonts w:hint="eastAsia" w:ascii="宋体" w:hAnsi="宋体" w:eastAsia="宋体" w:cs="宋体"/>
          <w:b/>
          <w:sz w:val="24"/>
          <w:szCs w:val="24"/>
        </w:rPr>
      </w:r>
      <w:r/>
    </w:p>
    <w:p>
      <w:pPr>
        <w:pStyle w:val="752"/>
        <w:jc w:val="center"/>
        <w:rPr>
          <w:rFonts w:hint="eastAsia" w:ascii="宋体" w:hAnsi="宋体" w:eastAsia="宋体" w:cs="宋体"/>
          <w:b/>
          <w:sz w:val="36"/>
          <w:szCs w:val="20"/>
        </w:rPr>
        <w:outlineLvl w:val="0"/>
      </w:pPr>
      <w:r>
        <w:rPr>
          <w:rFonts w:hint="eastAsia" w:ascii="宋体" w:hAnsi="宋体" w:eastAsia="宋体" w:cs="宋体"/>
          <w:b/>
          <w:sz w:val="36"/>
          <w:szCs w:val="20"/>
        </w:rPr>
        <w:br w:type="page" w:clear="all"/>
      </w:r>
      <w:bookmarkEnd w:id="17"/>
      <w:r/>
      <w:bookmarkEnd w:id="18"/>
      <w:r/>
      <w:bookmarkEnd w:id="19"/>
      <w:r/>
      <w:bookmarkStart w:id="20" w:name="_Toc513622230"/>
      <w:r/>
      <w:bookmarkStart w:id="21" w:name="_Toc513622231"/>
      <w:r/>
      <w:bookmarkStart w:id="22" w:name="_Toc16271"/>
      <w:r/>
      <w:bookmarkStart w:id="23" w:name="_Toc139966433"/>
      <w:r/>
      <w:bookmarkStart w:id="24" w:name="_Toc10937"/>
      <w:r/>
      <w:bookmarkStart w:id="25" w:name="_Toc139967217"/>
      <w:r>
        <w:rPr>
          <w:rFonts w:hint="eastAsia" w:ascii="宋体" w:hAnsi="宋体" w:eastAsia="宋体" w:cs="宋体"/>
          <w:b/>
          <w:sz w:val="36"/>
          <w:szCs w:val="20"/>
        </w:rPr>
        <w:t xml:space="preserve">第五章  合同专用条款表</w:t>
      </w:r>
      <w:r>
        <w:rPr>
          <w:rFonts w:hint="eastAsia" w:ascii="宋体" w:hAnsi="宋体" w:eastAsia="宋体" w:cs="宋体"/>
          <w:b/>
          <w:sz w:val="36"/>
          <w:szCs w:val="20"/>
        </w:rPr>
      </w:r>
      <w:r/>
    </w:p>
    <w:p>
      <w:pPr>
        <w:pStyle w:val="764"/>
        <w:ind w:firstLine="480"/>
        <w:rPr>
          <w:rFonts w:hint="eastAsia" w:hAnsi="宋体"/>
          <w:color w:val="000000"/>
          <w:sz w:val="24"/>
          <w:szCs w:val="24"/>
        </w:rPr>
      </w:pPr>
      <w:r>
        <w:rPr>
          <w:rFonts w:hint="eastAsia" w:hAnsi="宋体"/>
          <w:color w:val="000000"/>
          <w:sz w:val="24"/>
          <w:szCs w:val="24"/>
        </w:rPr>
        <w:t xml:space="preserve">本表是对第三章“政府采购合同格式”的补充和修改。如果两者之间有抵触，以本专用条款表为准。</w:t>
      </w:r>
      <w:r>
        <w:rPr>
          <w:rFonts w:hint="eastAsia" w:hAnsi="宋体"/>
          <w:color w:val="000000"/>
          <w:sz w:val="24"/>
          <w:szCs w:val="24"/>
        </w:rPr>
      </w:r>
      <w:r/>
    </w:p>
    <w:p>
      <w:pPr>
        <w:pStyle w:val="764"/>
        <w:ind w:firstLine="480"/>
        <w:rPr>
          <w:rFonts w:hAnsi="宋体" w:eastAsia="宋体"/>
          <w:color w:val="000000"/>
          <w:sz w:val="24"/>
          <w:szCs w:val="24"/>
          <w:lang w:val="en-US" w:eastAsia="zh-CN"/>
        </w:rPr>
        <w:outlineLvl w:val="1"/>
      </w:pPr>
      <w:r>
        <w:rPr>
          <w:rFonts w:hint="eastAsia" w:hAnsi="宋体" w:eastAsia="宋体"/>
          <w:b/>
          <w:bCs/>
          <w:color w:val="000000"/>
          <w:sz w:val="24"/>
          <w:szCs w:val="24"/>
          <w:lang w:val="en-US" w:eastAsia="zh-CN"/>
        </w:rPr>
        <w:t xml:space="preserve">分包一：数字媒体、云计算及算力配套设备采购</w:t>
      </w:r>
      <w:r>
        <w:rPr>
          <w:rFonts w:hAnsi="宋体" w:eastAsia="宋体"/>
          <w:color w:val="000000"/>
          <w:sz w:val="24"/>
          <w:szCs w:val="24"/>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pStyle w:val="752"/>
              <w:ind w:firstLine="0"/>
              <w:jc w:val="center"/>
              <w:widowControl w:val="off"/>
              <w:rPr>
                <w:rFonts w:ascii="宋体" w:hAnsi="宋体" w:eastAsia="Arial" w:cs="Arial"/>
                <w:b/>
                <w:bCs/>
                <w:color w:val="000000"/>
                <w:sz w:val="24"/>
                <w:szCs w:val="22"/>
                <w:lang w:val="en-US" w:eastAsia="zh-CN" w:bidi="ar-SA"/>
              </w:rPr>
            </w:pPr>
            <w:r>
              <w:rPr>
                <w:rFonts w:hint="eastAsia" w:ascii="宋体" w:hAnsi="宋体" w:eastAsia="Arial" w:cs="Arial"/>
                <w:b/>
                <w:bCs/>
                <w:color w:val="000000"/>
                <w:sz w:val="24"/>
                <w:szCs w:val="22"/>
                <w:lang w:val="en-US" w:eastAsia="zh-CN" w:bidi="ar-SA"/>
              </w:rPr>
              <w:t xml:space="preserve">条款号</w:t>
            </w:r>
            <w:r>
              <w:rPr>
                <w:rFonts w:ascii="宋体" w:hAnsi="宋体" w:eastAsia="Arial" w:cs="Arial"/>
                <w:b/>
                <w:bCs/>
                <w:color w:val="000000"/>
                <w:sz w:val="24"/>
                <w:szCs w:val="22"/>
                <w:lang w:val="en-US" w:eastAsia="zh-CN" w:bidi="ar-SA"/>
              </w:rPr>
            </w:r>
            <w:r/>
          </w:p>
        </w:tc>
        <w:tc>
          <w:tcPr>
            <w:tcW w:w="8476" w:type="dxa"/>
            <w:vAlign w:val="center"/>
            <w:textDirection w:val="lrTb"/>
            <w:noWrap w:val="false"/>
          </w:tcPr>
          <w:p>
            <w:pPr>
              <w:pStyle w:val="752"/>
              <w:ind w:firstLine="0"/>
              <w:jc w:val="center"/>
              <w:widowControl w:val="off"/>
              <w:rPr>
                <w:rFonts w:ascii="宋体" w:hAnsi="宋体" w:eastAsia="Arial" w:cs="Arial"/>
                <w:b/>
                <w:bCs/>
                <w:color w:val="000000"/>
                <w:sz w:val="24"/>
                <w:szCs w:val="22"/>
                <w:lang w:val="en-US" w:eastAsia="zh-CN" w:bidi="ar-SA"/>
              </w:rPr>
            </w:pPr>
            <w:r>
              <w:rPr>
                <w:rFonts w:hint="eastAsia" w:ascii="宋体" w:hAnsi="宋体" w:eastAsia="Arial" w:cs="Arial"/>
                <w:b/>
                <w:bCs/>
                <w:color w:val="000000"/>
                <w:sz w:val="24"/>
                <w:szCs w:val="22"/>
                <w:lang w:val="en-US" w:eastAsia="zh-CN" w:bidi="ar-SA"/>
              </w:rPr>
              <w:t xml:space="preserve">内容</w:t>
            </w:r>
            <w:r>
              <w:rPr>
                <w:rFonts w:ascii="宋体" w:hAnsi="宋体" w:eastAsia="Arial" w:cs="Arial"/>
                <w:b/>
                <w:bCs/>
                <w:color w:val="000000"/>
                <w:sz w:val="24"/>
                <w:szCs w:val="22"/>
                <w:lang w:val="en-US" w:eastAsia="zh-CN" w:bidi="ar-SA"/>
              </w:rPr>
            </w:r>
            <w:r/>
          </w:p>
        </w:tc>
      </w:tr>
      <w:tr>
        <w:trPr>
          <w:trHeight w:val="706"/>
        </w:trPr>
        <w:tc>
          <w:tcPr>
            <w:tcW w:w="1064" w:type="dxa"/>
            <w:vAlign w:val="center"/>
            <w:textDirection w:val="lrTb"/>
            <w:noWrap w:val="false"/>
          </w:tcPr>
          <w:p>
            <w:pPr>
              <w:pStyle w:val="752"/>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一</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752"/>
              <w:jc w:val="left"/>
              <w:spacing w:line="360" w:lineRule="auto"/>
              <w:shd w:val="clear" w:color="auto" w:fill="auto"/>
              <w:widowControl w:val="off"/>
              <w:rPr>
                <w:rFonts w:ascii="宋体" w:hAnsi="宋体" w:eastAsia="宋体" w:cs="Times New Roman"/>
                <w:color w:val="000000"/>
                <w:sz w:val="24"/>
                <w:szCs w:val="24"/>
                <w:highlight w:val="none"/>
                <w:shd w:val="clear" w:color="auto" w:fill="auto"/>
                <w:lang w:val="en-US" w:eastAsia="zh-CN" w:bidi="ar-SA"/>
              </w:rPr>
            </w:pPr>
            <w:r>
              <w:rPr>
                <w:rFonts w:hint="eastAsia" w:ascii="宋体" w:hAnsi="宋体" w:eastAsia="Arial" w:cs="Arial"/>
                <w:color w:val="000000"/>
                <w:sz w:val="24"/>
                <w:szCs w:val="22"/>
                <w:highlight w:val="none"/>
                <w:lang w:val="en-US" w:eastAsia="zh-CN" w:bidi="ar-SA"/>
              </w:rPr>
              <w:t xml:space="preserve">★1.</w:t>
            </w:r>
            <w:r>
              <w:rPr>
                <w:rFonts w:hint="eastAsia" w:ascii="宋体" w:hAnsi="宋体" w:eastAsia="宋体" w:cs="Times New Roman"/>
                <w:color w:val="000000"/>
                <w:sz w:val="24"/>
                <w:szCs w:val="24"/>
                <w:highlight w:val="none"/>
                <w:shd w:val="clear" w:color="auto" w:fill="auto"/>
                <w:lang w:val="en-US" w:eastAsia="zh-CN" w:bidi="ar-SA"/>
              </w:rPr>
              <w:t xml:space="preserve">交货期：合同签订后</w:t>
            </w:r>
            <w:r>
              <w:rPr>
                <w:rFonts w:hint="eastAsia" w:ascii="宋体" w:hAnsi="宋体" w:eastAsia="Arial" w:cs="Times New Roman"/>
                <w:color w:val="000000"/>
                <w:sz w:val="24"/>
                <w:szCs w:val="24"/>
                <w:highlight w:val="none"/>
                <w:shd w:val="clear" w:color="auto" w:fill="auto"/>
                <w:lang w:val="en-US" w:eastAsia="zh-CN" w:bidi="ar-SA"/>
              </w:rPr>
              <w:t xml:space="preserve">30</w:t>
            </w:r>
            <w:r>
              <w:rPr>
                <w:rFonts w:hint="eastAsia" w:ascii="宋体" w:hAnsi="宋体" w:eastAsia="宋体" w:cs="Times New Roman"/>
                <w:color w:val="000000"/>
                <w:sz w:val="24"/>
                <w:szCs w:val="24"/>
                <w:highlight w:val="none"/>
                <w:shd w:val="clear" w:color="auto" w:fill="auto"/>
                <w:lang w:val="en-US" w:eastAsia="zh-CN" w:bidi="ar-SA"/>
              </w:rPr>
              <w:t xml:space="preserve">天内完成安装调试，达到预期效果。</w:t>
            </w:r>
            <w:r>
              <w:rPr>
                <w:rFonts w:ascii="宋体" w:hAnsi="宋体" w:eastAsia="宋体" w:cs="Times New Roman"/>
                <w:color w:val="000000"/>
                <w:sz w:val="24"/>
                <w:szCs w:val="24"/>
                <w:highlight w:val="none"/>
                <w:shd w:val="clear" w:color="auto" w:fill="auto"/>
                <w:lang w:val="en-US" w:eastAsia="zh-CN" w:bidi="ar-SA"/>
              </w:rPr>
            </w:r>
            <w:r/>
          </w:p>
          <w:p>
            <w:pPr>
              <w:pStyle w:val="752"/>
              <w:jc w:val="left"/>
              <w:spacing w:line="360" w:lineRule="auto"/>
              <w:shd w:val="clear" w:color="auto" w:fill="auto"/>
              <w:widowControl w:val="off"/>
              <w:rPr>
                <w:rFonts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2.交货方式：</w:t>
            </w:r>
            <w:r>
              <w:rPr>
                <w:rFonts w:hint="eastAsia" w:ascii="宋体" w:hAnsi="宋体" w:eastAsia="Arial" w:cs="Times New Roman"/>
                <w:color w:val="000000"/>
                <w:sz w:val="24"/>
                <w:szCs w:val="24"/>
                <w:highlight w:val="none"/>
                <w:shd w:val="clear" w:color="auto" w:fill="auto"/>
                <w:lang w:val="en-US" w:eastAsia="zh-CN" w:bidi="ar-SA"/>
              </w:rPr>
              <w:t xml:space="preserve">上门安装</w:t>
            </w:r>
            <w:r>
              <w:rPr>
                <w:rFonts w:hint="eastAsia" w:ascii="宋体" w:hAnsi="宋体" w:eastAsia="宋体" w:cs="Times New Roman"/>
                <w:color w:val="000000"/>
                <w:sz w:val="24"/>
                <w:szCs w:val="24"/>
                <w:highlight w:val="none"/>
                <w:shd w:val="clear" w:color="auto" w:fill="auto"/>
                <w:lang w:val="en-US" w:eastAsia="zh-CN" w:bidi="ar-SA"/>
              </w:rPr>
              <w:t xml:space="preserve">。</w:t>
            </w:r>
            <w:r>
              <w:rPr>
                <w:rFonts w:ascii="宋体" w:hAnsi="宋体" w:eastAsia="宋体" w:cs="Times New Roman"/>
                <w:color w:val="000000"/>
                <w:sz w:val="24"/>
                <w:szCs w:val="24"/>
                <w:highlight w:val="none"/>
                <w:shd w:val="clear" w:color="auto" w:fill="auto"/>
                <w:lang w:val="en-US" w:eastAsia="zh-CN" w:bidi="ar-SA"/>
              </w:rPr>
            </w:r>
            <w:r/>
          </w:p>
          <w:p>
            <w:pPr>
              <w:pStyle w:val="752"/>
              <w:jc w:val="left"/>
              <w:spacing w:line="360" w:lineRule="auto"/>
              <w:shd w:val="clear" w:color="auto" w:fill="auto"/>
              <w:widowControl w:val="off"/>
              <w:rPr>
                <w:rFonts w:hint="eastAsia" w:ascii="宋体" w:hAnsi="宋体" w:eastAsia="Arial" w:cs="Arial"/>
                <w:color w:val="000000"/>
                <w:sz w:val="24"/>
                <w:szCs w:val="22"/>
                <w:highlight w:val="none"/>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3.交货地点：</w:t>
            </w:r>
            <w:r>
              <w:rPr>
                <w:rFonts w:hint="eastAsia" w:ascii="宋体" w:hAnsi="宋体" w:eastAsia="Arial" w:cs="Times New Roman"/>
                <w:color w:val="000000"/>
                <w:sz w:val="24"/>
                <w:szCs w:val="24"/>
                <w:highlight w:val="none"/>
                <w:shd w:val="clear" w:color="auto" w:fill="auto"/>
                <w:lang w:val="en-US" w:eastAsia="zh-CN" w:bidi="ar-SA"/>
              </w:rPr>
              <w:t xml:space="preserve">连云港职业技术学院</w:t>
            </w:r>
            <w:r>
              <w:rPr>
                <w:rFonts w:hint="eastAsia" w:ascii="宋体" w:hAnsi="宋体" w:eastAsia="宋体" w:cs="Times New Roman"/>
                <w:color w:val="000000"/>
                <w:sz w:val="24"/>
                <w:szCs w:val="24"/>
                <w:highlight w:val="none"/>
                <w:shd w:val="clear" w:color="auto" w:fill="auto"/>
                <w:lang w:val="en-US" w:eastAsia="zh-CN" w:bidi="ar-SA"/>
              </w:rPr>
              <w:t xml:space="preserve">。</w:t>
            </w:r>
            <w:r>
              <w:rPr>
                <w:rFonts w:hint="eastAsia" w:ascii="宋体" w:hAnsi="宋体" w:eastAsia="Arial" w:cs="Arial"/>
                <w:color w:val="000000"/>
                <w:sz w:val="24"/>
                <w:szCs w:val="22"/>
                <w:highlight w:val="none"/>
                <w:lang w:val="en-US" w:eastAsia="zh-CN" w:bidi="ar-SA"/>
              </w:rPr>
            </w:r>
            <w:r/>
          </w:p>
        </w:tc>
      </w:tr>
      <w:tr>
        <w:trPr>
          <w:trHeight w:val="706"/>
        </w:trPr>
        <w:tc>
          <w:tcPr>
            <w:tcW w:w="1064" w:type="dxa"/>
            <w:vAlign w:val="center"/>
            <w:textDirection w:val="lrTb"/>
            <w:noWrap w:val="false"/>
          </w:tcPr>
          <w:p>
            <w:pPr>
              <w:pStyle w:val="752"/>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六</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752"/>
              <w:ind w:firstLine="0"/>
              <w:jc w:val="both"/>
              <w:widowControl w:val="off"/>
              <w:rPr>
                <w:rFonts w:hint="eastAsia"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 履约保证金：本项目不收取履约保证金。</w:t>
            </w:r>
            <w:r>
              <w:rPr>
                <w:rFonts w:hint="eastAsia" w:ascii="宋体" w:hAnsi="宋体" w:eastAsia="Arial" w:cs="Arial"/>
                <w:color w:val="000000"/>
                <w:sz w:val="24"/>
                <w:szCs w:val="22"/>
                <w:highlight w:val="none"/>
                <w:lang w:val="en-US" w:eastAsia="zh-CN" w:bidi="ar-SA"/>
              </w:rPr>
            </w:r>
            <w:r/>
          </w:p>
        </w:tc>
      </w:tr>
      <w:tr>
        <w:trPr>
          <w:trHeight w:val="476"/>
        </w:trPr>
        <w:tc>
          <w:tcPr>
            <w:tcW w:w="1064" w:type="dxa"/>
            <w:vAlign w:val="center"/>
            <w:textDirection w:val="lrTb"/>
            <w:noWrap w:val="false"/>
          </w:tcPr>
          <w:p>
            <w:pPr>
              <w:pStyle w:val="752"/>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752"/>
              <w:jc w:val="left"/>
              <w:spacing w:line="360" w:lineRule="auto"/>
              <w:widowControl w:val="off"/>
              <w:rPr>
                <w:rFonts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★免费质保期：</w:t>
            </w:r>
            <w:r>
              <w:rPr>
                <w:rFonts w:hint="eastAsia" w:ascii="Times New Roman" w:hAnsi="Times New Roman" w:eastAsia="宋体" w:cs="Times New Roman"/>
                <w:color w:val="000000"/>
                <w:sz w:val="24"/>
                <w:szCs w:val="24"/>
                <w:highlight w:val="none"/>
                <w:lang w:val="en-US" w:eastAsia="zh-CN" w:bidi="ar-SA"/>
              </w:rPr>
              <w:t xml:space="preserve">3年。质保期间，中标人承担维修、保养、安检、调换等，相关费用包含在预算内，采购方不再支付任何费用；对于采购方人为原因造成的故障，中标人只收取维保成本费用；质保期内，中标人应提供不少于每年一次的现场回访服务，全面了解项目运行使用情况，提出针对性使用改进建议，并能根据需要提供必要的软硬件升级服务；接采购人通知48小时内提供上门服务，7*24小时电话服务。</w:t>
            </w:r>
            <w:r>
              <w:rPr>
                <w:rFonts w:ascii="宋体" w:hAnsi="宋体" w:eastAsia="Arial" w:cs="Arial"/>
                <w:color w:val="000000"/>
                <w:sz w:val="24"/>
                <w:szCs w:val="22"/>
                <w:highlight w:val="none"/>
                <w:lang w:val="en-US" w:eastAsia="zh-CN" w:bidi="ar-SA"/>
              </w:rPr>
            </w:r>
            <w:r/>
          </w:p>
        </w:tc>
      </w:tr>
      <w:tr>
        <w:trPr>
          <w:trHeight w:val="674"/>
        </w:trPr>
        <w:tc>
          <w:tcPr>
            <w:tcW w:w="1064" w:type="dxa"/>
            <w:vAlign w:val="center"/>
            <w:textDirection w:val="lrTb"/>
            <w:noWrap w:val="false"/>
          </w:tcPr>
          <w:p>
            <w:pPr>
              <w:pStyle w:val="752"/>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八</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752"/>
              <w:ind w:firstLine="0"/>
              <w:jc w:val="both"/>
              <w:widowControl w:val="off"/>
              <w:rPr>
                <w:rFonts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★付款方式</w:t>
            </w:r>
            <w:r>
              <w:rPr>
                <w:rFonts w:hint="eastAsia" w:ascii="宋体" w:hAnsi="宋体" w:eastAsia="宋体" w:cs="Times New Roman"/>
                <w:color w:val="000000"/>
                <w:sz w:val="24"/>
                <w:szCs w:val="24"/>
                <w:highlight w:val="none"/>
                <w:shd w:val="clear" w:color="auto" w:fill="auto"/>
                <w:lang w:val="en-US" w:eastAsia="zh-CN" w:bidi="ar-SA"/>
              </w:rPr>
              <w:t xml:space="preserve">：合同签订后付合同总金额的30％；建成运行、验收合格后，付至合同总金额的100％</w:t>
            </w:r>
            <w:r>
              <w:rPr>
                <w:rFonts w:ascii="宋体" w:hAnsi="宋体" w:eastAsia="Arial" w:cs="Arial"/>
                <w:color w:val="000000"/>
                <w:sz w:val="24"/>
                <w:szCs w:val="22"/>
                <w:highlight w:val="none"/>
                <w:lang w:val="en-US" w:eastAsia="zh-CN" w:bidi="ar-SA"/>
              </w:rPr>
            </w:r>
            <w:r/>
          </w:p>
        </w:tc>
      </w:tr>
      <w:tr>
        <w:trPr>
          <w:trHeight w:val="514"/>
        </w:trPr>
        <w:tc>
          <w:tcPr>
            <w:tcW w:w="1064" w:type="dxa"/>
            <w:vAlign w:val="center"/>
            <w:textDirection w:val="lrTb"/>
            <w:noWrap w:val="false"/>
          </w:tcPr>
          <w:p>
            <w:pPr>
              <w:pStyle w:val="752"/>
              <w:ind w:firstLine="0"/>
              <w:jc w:val="center"/>
              <w:widowControl w:val="off"/>
              <w:rPr>
                <w:rFonts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w:t>
            </w:r>
            <w:r>
              <w:rPr>
                <w:rFonts w:ascii="宋体" w:hAnsi="宋体" w:eastAsia="宋体" w:cs="Arial"/>
                <w:color w:val="000000"/>
                <w:sz w:val="24"/>
                <w:szCs w:val="22"/>
                <w:lang w:val="en-US" w:eastAsia="zh-CN" w:bidi="ar-SA"/>
              </w:rPr>
            </w:r>
            <w:r/>
          </w:p>
        </w:tc>
        <w:tc>
          <w:tcPr>
            <w:tcW w:w="8476" w:type="dxa"/>
            <w:vAlign w:val="center"/>
            <w:textDirection w:val="lrTb"/>
            <w:noWrap w:val="false"/>
          </w:tcPr>
          <w:p>
            <w:pPr>
              <w:pStyle w:val="752"/>
              <w:jc w:val="left"/>
              <w:spacing w:line="360" w:lineRule="auto"/>
              <w:shd w:val="clear" w:color="auto" w:fill="auto"/>
              <w:widowControl w:val="off"/>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安装调试要求：在设备到达现场后，中标人应负责派有经验的技术人员到现场进行设备的安装和测试以及处理货物质量和数量短缺等问题，并对系统质量全面负责。中标人在安装、调试等全过程中接受采购方的监督。</w:t>
            </w:r>
            <w:r>
              <w:rPr>
                <w:rFonts w:hint="eastAsia" w:ascii="宋体" w:hAnsi="宋体" w:eastAsia="宋体" w:cs="Times New Roman"/>
                <w:color w:val="000000"/>
                <w:sz w:val="24"/>
                <w:szCs w:val="24"/>
                <w:highlight w:val="none"/>
                <w:shd w:val="clear" w:color="auto" w:fill="auto"/>
                <w:lang w:val="en-US" w:eastAsia="zh-CN" w:bidi="ar-SA"/>
              </w:rPr>
            </w:r>
            <w:r/>
          </w:p>
          <w:p>
            <w:pPr>
              <w:pStyle w:val="752"/>
              <w:jc w:val="left"/>
              <w:spacing w:line="360" w:lineRule="auto"/>
              <w:shd w:val="clear" w:color="auto" w:fill="auto"/>
              <w:widowControl w:val="off"/>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在现场安装调试期间，如果系统出现不正常情况（如设备损坏、故障、达不到技术规范或设备说明书的指标），中标人应免费在不延误工期的情况下从速替换。在系统试运行期间，如果发现由于中标人的责任造成系统的功能和性能不符合技术规范书的要求，或由于设备故障的发生导致设备停止运转，中标人应承诺在48小时内及时修复，并承担所有费用，同时应顺延试运行期。</w:t>
            </w:r>
            <w:r>
              <w:rPr>
                <w:rFonts w:hint="eastAsia" w:ascii="宋体" w:hAnsi="宋体" w:eastAsia="宋体" w:cs="Times New Roman"/>
                <w:color w:val="000000"/>
                <w:sz w:val="24"/>
                <w:szCs w:val="24"/>
                <w:highlight w:val="none"/>
                <w:shd w:val="clear" w:color="auto" w:fill="auto"/>
                <w:lang w:val="en-US" w:eastAsia="zh-CN" w:bidi="ar-SA"/>
              </w:rPr>
            </w:r>
            <w:r/>
          </w:p>
          <w:p>
            <w:pPr>
              <w:pStyle w:val="752"/>
              <w:jc w:val="left"/>
              <w:spacing w:line="360" w:lineRule="auto"/>
              <w:shd w:val="clear" w:color="auto" w:fill="auto"/>
              <w:widowControl w:val="off"/>
              <w:rPr>
                <w:rFonts w:ascii="宋体" w:hAnsi="宋体" w:eastAsia="Arial" w:cs="Arial"/>
                <w:color w:val="000000"/>
                <w:sz w:val="24"/>
                <w:szCs w:val="22"/>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所有货物全部送达后需经过采购人确认货物是否符合采购文件要求，确认无误后方可安装调试。</w:t>
            </w:r>
            <w:r>
              <w:rPr>
                <w:rFonts w:ascii="宋体" w:hAnsi="宋体" w:eastAsia="Arial" w:cs="Arial"/>
                <w:color w:val="000000"/>
                <w:sz w:val="24"/>
                <w:szCs w:val="22"/>
                <w:lang w:val="en-US" w:eastAsia="zh-CN" w:bidi="ar-SA"/>
              </w:rPr>
            </w:r>
            <w:r/>
          </w:p>
        </w:tc>
      </w:tr>
      <w:tr>
        <w:trPr>
          <w:trHeight w:val="545"/>
        </w:trPr>
        <w:tc>
          <w:tcPr>
            <w:tcW w:w="1064" w:type="dxa"/>
            <w:vAlign w:val="center"/>
            <w:textDirection w:val="lrTb"/>
            <w:noWrap w:val="false"/>
          </w:tcPr>
          <w:p>
            <w:pPr>
              <w:pStyle w:val="752"/>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十三</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752"/>
              <w:ind w:firstLine="0"/>
              <w:jc w:val="both"/>
              <w:widowControl w:val="off"/>
              <w:rPr>
                <w:rFonts w:ascii="宋体" w:hAnsi="宋体" w:eastAsia="Arial" w:cs="Arial"/>
                <w:color w:val="000000"/>
                <w:sz w:val="24"/>
                <w:szCs w:val="22"/>
                <w:lang w:val="en-US" w:eastAsia="zh-CN" w:bidi="ar-SA"/>
              </w:rPr>
            </w:pPr>
            <w:r>
              <w:rPr>
                <w:rFonts w:hint="eastAsia" w:ascii="宋体" w:hAnsi="宋体" w:eastAsia="Arial" w:cs="Arial"/>
                <w:color w:val="000000"/>
                <w:sz w:val="24"/>
                <w:szCs w:val="22"/>
                <w:lang w:val="en-US" w:eastAsia="zh-CN" w:bidi="ar-SA"/>
              </w:rPr>
              <w:t xml:space="preserve">违约责任：具体违约条款及其它未尽事宜，将在双方签订合同时议定。</w:t>
            </w:r>
            <w:r>
              <w:rPr>
                <w:rFonts w:ascii="宋体" w:hAnsi="宋体" w:eastAsia="Arial" w:cs="Arial"/>
                <w:color w:val="000000"/>
                <w:sz w:val="24"/>
                <w:szCs w:val="22"/>
                <w:lang w:val="en-US" w:eastAsia="zh-CN" w:bidi="ar-SA"/>
              </w:rPr>
            </w:r>
            <w:r/>
          </w:p>
        </w:tc>
      </w:tr>
    </w:tbl>
    <w:p>
      <w:pPr>
        <w:pStyle w:val="752"/>
        <w:ind w:firstLine="482"/>
        <w:rPr>
          <w:b/>
          <w:bCs/>
          <w:color w:val="000000"/>
          <w:sz w:val="24"/>
        </w:rPr>
      </w:pPr>
      <w:r>
        <w:rPr>
          <w:rFonts w:hint="eastAsia"/>
          <w:b/>
          <w:bCs/>
          <w:color w:val="000000"/>
          <w:sz w:val="24"/>
        </w:rPr>
        <w:t xml:space="preserve">注：招标文件中标注★号的部分为实质性要求和条件（由采购人根据实际情况设置），投标人必须作出满足原要求和条件的响应，否则投标无效。</w:t>
      </w:r>
      <w:r>
        <w:rPr>
          <w:b/>
          <w:bCs/>
          <w:color w:val="000000"/>
          <w:sz w:val="24"/>
        </w:rPr>
      </w:r>
      <w:r/>
    </w:p>
    <w:p>
      <w:pPr>
        <w:pStyle w:val="752"/>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767"/>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764"/>
        <w:ind w:firstLine="480"/>
        <w:rPr>
          <w:rFonts w:hint="eastAsia" w:hAnsi="宋体" w:eastAsia="宋体"/>
          <w:b/>
          <w:bCs/>
          <w:color w:val="000000"/>
          <w:sz w:val="24"/>
          <w:szCs w:val="24"/>
          <w:lang w:val="en-US" w:eastAsia="zh-CN"/>
        </w:rPr>
      </w:pPr>
      <w:r>
        <w:rPr>
          <w:rFonts w:hint="eastAsia" w:hAnsi="宋体" w:eastAsia="宋体"/>
          <w:b/>
          <w:bCs/>
          <w:color w:val="000000"/>
          <w:sz w:val="24"/>
          <w:szCs w:val="24"/>
          <w:lang w:val="en-US" w:eastAsia="zh-CN"/>
        </w:rPr>
        <w:t xml:space="preserve">分包二：</w:t>
      </w:r>
      <w:r>
        <w:rPr>
          <w:rFonts w:hint="eastAsia" w:ascii="宋体" w:hAnsi="宋体" w:eastAsia="宋体" w:cs="宋体"/>
          <w:b/>
          <w:bCs/>
          <w:sz w:val="24"/>
          <w:szCs w:val="24"/>
          <w:lang w:val="en-US" w:eastAsia="zh-CN"/>
        </w:rPr>
        <w:t xml:space="preserve">人工智能与大数据设备采购</w:t>
      </w:r>
      <w:r>
        <w:rPr>
          <w:rFonts w:hint="eastAsia" w:hAnsi="宋体" w:eastAsia="宋体"/>
          <w:b/>
          <w:bCs/>
          <w:color w:val="000000"/>
          <w:sz w:val="24"/>
          <w:szCs w:val="24"/>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pStyle w:val="752"/>
              <w:ind w:firstLine="0"/>
              <w:jc w:val="both"/>
              <w:widowControl w:val="off"/>
              <w:rPr>
                <w:rFonts w:ascii="宋体" w:hAnsi="宋体" w:eastAsia="Arial" w:cs="Arial"/>
                <w:color w:val="000000"/>
                <w:sz w:val="24"/>
                <w:szCs w:val="22"/>
                <w:lang w:val="en-US" w:eastAsia="zh-CN" w:bidi="ar-SA"/>
              </w:rPr>
            </w:pPr>
            <w:r>
              <w:rPr>
                <w:rFonts w:hint="eastAsia" w:ascii="宋体" w:hAnsi="宋体" w:eastAsia="Arial" w:cs="Arial"/>
                <w:color w:val="000000"/>
                <w:sz w:val="24"/>
                <w:szCs w:val="22"/>
                <w:lang w:val="en-US" w:eastAsia="zh-CN" w:bidi="ar-SA"/>
              </w:rPr>
              <w:t xml:space="preserve">条款号</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752"/>
              <w:ind w:firstLine="0"/>
              <w:jc w:val="both"/>
              <w:widowControl w:val="off"/>
              <w:rPr>
                <w:rFonts w:ascii="宋体" w:hAnsi="宋体" w:eastAsia="Arial" w:cs="Arial"/>
                <w:color w:val="000000"/>
                <w:sz w:val="24"/>
                <w:szCs w:val="22"/>
                <w:lang w:val="en-US" w:eastAsia="zh-CN" w:bidi="ar-SA"/>
              </w:rPr>
            </w:pPr>
            <w:r>
              <w:rPr>
                <w:rFonts w:hint="eastAsia" w:ascii="宋体" w:hAnsi="宋体" w:eastAsia="Arial" w:cs="Arial"/>
                <w:color w:val="000000"/>
                <w:sz w:val="24"/>
                <w:szCs w:val="22"/>
                <w:lang w:val="en-US" w:eastAsia="zh-CN" w:bidi="ar-SA"/>
              </w:rPr>
              <w:t xml:space="preserve">内容</w:t>
            </w:r>
            <w:r>
              <w:rPr>
                <w:rFonts w:ascii="宋体" w:hAnsi="宋体" w:eastAsia="Arial" w:cs="Arial"/>
                <w:color w:val="000000"/>
                <w:sz w:val="24"/>
                <w:szCs w:val="22"/>
                <w:lang w:val="en-US" w:eastAsia="zh-CN" w:bidi="ar-SA"/>
              </w:rPr>
            </w:r>
            <w:r/>
          </w:p>
        </w:tc>
      </w:tr>
      <w:tr>
        <w:trPr>
          <w:trHeight w:val="706"/>
        </w:trPr>
        <w:tc>
          <w:tcPr>
            <w:tcW w:w="1064" w:type="dxa"/>
            <w:vAlign w:val="center"/>
            <w:textDirection w:val="lrTb"/>
            <w:noWrap w:val="false"/>
          </w:tcPr>
          <w:p>
            <w:pPr>
              <w:pStyle w:val="752"/>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一</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752"/>
              <w:jc w:val="left"/>
              <w:spacing w:line="360" w:lineRule="auto"/>
              <w:shd w:val="clear" w:color="auto" w:fill="auto"/>
              <w:widowControl w:val="off"/>
              <w:rPr>
                <w:rFonts w:ascii="宋体" w:hAnsi="宋体" w:eastAsia="宋体" w:cs="Times New Roman"/>
                <w:color w:val="000000"/>
                <w:sz w:val="24"/>
                <w:szCs w:val="24"/>
                <w:highlight w:val="none"/>
                <w:shd w:val="clear" w:color="auto" w:fill="auto"/>
                <w:lang w:val="en-US" w:eastAsia="zh-CN" w:bidi="ar-SA"/>
              </w:rPr>
            </w:pPr>
            <w:r>
              <w:rPr>
                <w:rFonts w:hint="eastAsia" w:ascii="宋体" w:hAnsi="宋体" w:eastAsia="Arial" w:cs="Arial"/>
                <w:color w:val="000000"/>
                <w:sz w:val="24"/>
                <w:szCs w:val="22"/>
                <w:highlight w:val="none"/>
                <w:lang w:val="en-US" w:eastAsia="zh-CN" w:bidi="ar-SA"/>
              </w:rPr>
              <w:t xml:space="preserve">★1.</w:t>
            </w:r>
            <w:r>
              <w:rPr>
                <w:rFonts w:hint="eastAsia" w:ascii="宋体" w:hAnsi="宋体" w:eastAsia="宋体" w:cs="Times New Roman"/>
                <w:color w:val="000000"/>
                <w:sz w:val="24"/>
                <w:szCs w:val="24"/>
                <w:highlight w:val="none"/>
                <w:shd w:val="clear" w:color="auto" w:fill="auto"/>
                <w:lang w:val="en-US" w:eastAsia="zh-CN" w:bidi="ar-SA"/>
              </w:rPr>
              <w:t xml:space="preserve">交货期：合同签订后</w:t>
            </w:r>
            <w:r>
              <w:rPr>
                <w:rFonts w:hint="eastAsia" w:ascii="宋体" w:hAnsi="宋体" w:eastAsia="Arial" w:cs="Times New Roman"/>
                <w:color w:val="000000"/>
                <w:sz w:val="24"/>
                <w:szCs w:val="24"/>
                <w:highlight w:val="none"/>
                <w:shd w:val="clear" w:color="auto" w:fill="auto"/>
                <w:lang w:val="en-US" w:eastAsia="zh-CN" w:bidi="ar-SA"/>
              </w:rPr>
              <w:t xml:space="preserve">30</w:t>
            </w:r>
            <w:r>
              <w:rPr>
                <w:rFonts w:hint="eastAsia" w:ascii="宋体" w:hAnsi="宋体" w:eastAsia="宋体" w:cs="Times New Roman"/>
                <w:color w:val="000000"/>
                <w:sz w:val="24"/>
                <w:szCs w:val="24"/>
                <w:highlight w:val="none"/>
                <w:shd w:val="clear" w:color="auto" w:fill="auto"/>
                <w:lang w:val="en-US" w:eastAsia="zh-CN" w:bidi="ar-SA"/>
              </w:rPr>
              <w:t xml:space="preserve">天内完成安装调试，达到预期效果。</w:t>
            </w:r>
            <w:r>
              <w:rPr>
                <w:rFonts w:ascii="宋体" w:hAnsi="宋体" w:eastAsia="宋体" w:cs="Times New Roman"/>
                <w:color w:val="000000"/>
                <w:sz w:val="24"/>
                <w:szCs w:val="24"/>
                <w:highlight w:val="none"/>
                <w:shd w:val="clear" w:color="auto" w:fill="auto"/>
                <w:lang w:val="en-US" w:eastAsia="zh-CN" w:bidi="ar-SA"/>
              </w:rPr>
            </w:r>
            <w:r/>
          </w:p>
          <w:p>
            <w:pPr>
              <w:pStyle w:val="752"/>
              <w:jc w:val="left"/>
              <w:spacing w:line="360" w:lineRule="auto"/>
              <w:shd w:val="clear" w:color="auto" w:fill="auto"/>
              <w:widowControl w:val="off"/>
              <w:rPr>
                <w:rFonts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2.交货方式：</w:t>
            </w:r>
            <w:r>
              <w:rPr>
                <w:rFonts w:hint="eastAsia" w:ascii="宋体" w:hAnsi="宋体" w:eastAsia="Arial" w:cs="Times New Roman"/>
                <w:color w:val="000000"/>
                <w:sz w:val="24"/>
                <w:szCs w:val="24"/>
                <w:highlight w:val="none"/>
                <w:shd w:val="clear" w:color="auto" w:fill="auto"/>
                <w:lang w:val="en-US" w:eastAsia="zh-CN" w:bidi="ar-SA"/>
              </w:rPr>
              <w:t xml:space="preserve">上门安装</w:t>
            </w:r>
            <w:r>
              <w:rPr>
                <w:rFonts w:hint="eastAsia" w:ascii="宋体" w:hAnsi="宋体" w:eastAsia="宋体" w:cs="Times New Roman"/>
                <w:color w:val="000000"/>
                <w:sz w:val="24"/>
                <w:szCs w:val="24"/>
                <w:highlight w:val="none"/>
                <w:shd w:val="clear" w:color="auto" w:fill="auto"/>
                <w:lang w:val="en-US" w:eastAsia="zh-CN" w:bidi="ar-SA"/>
              </w:rPr>
              <w:t xml:space="preserve">。</w:t>
            </w:r>
            <w:r>
              <w:rPr>
                <w:rFonts w:ascii="宋体" w:hAnsi="宋体" w:eastAsia="宋体" w:cs="Times New Roman"/>
                <w:color w:val="000000"/>
                <w:sz w:val="24"/>
                <w:szCs w:val="24"/>
                <w:highlight w:val="none"/>
                <w:shd w:val="clear" w:color="auto" w:fill="auto"/>
                <w:lang w:val="en-US" w:eastAsia="zh-CN" w:bidi="ar-SA"/>
              </w:rPr>
            </w:r>
            <w:r/>
          </w:p>
          <w:p>
            <w:pPr>
              <w:pStyle w:val="752"/>
              <w:jc w:val="left"/>
              <w:spacing w:line="360" w:lineRule="auto"/>
              <w:shd w:val="clear" w:color="auto" w:fill="auto"/>
              <w:widowControl w:val="off"/>
              <w:rPr>
                <w:rFonts w:hint="eastAsia" w:ascii="宋体" w:hAnsi="宋体" w:eastAsia="Arial" w:cs="Arial"/>
                <w:color w:val="000000"/>
                <w:sz w:val="24"/>
                <w:szCs w:val="22"/>
                <w:highlight w:val="none"/>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3.交货地点：</w:t>
            </w:r>
            <w:r>
              <w:rPr>
                <w:rFonts w:hint="eastAsia" w:ascii="宋体" w:hAnsi="宋体" w:eastAsia="Arial" w:cs="Times New Roman"/>
                <w:color w:val="000000"/>
                <w:sz w:val="24"/>
                <w:szCs w:val="24"/>
                <w:highlight w:val="none"/>
                <w:shd w:val="clear" w:color="auto" w:fill="auto"/>
                <w:lang w:val="en-US" w:eastAsia="zh-CN" w:bidi="ar-SA"/>
              </w:rPr>
              <w:t xml:space="preserve">连云港职业技术学院</w:t>
            </w:r>
            <w:r>
              <w:rPr>
                <w:rFonts w:hint="eastAsia" w:ascii="宋体" w:hAnsi="宋体" w:eastAsia="宋体" w:cs="Times New Roman"/>
                <w:color w:val="000000"/>
                <w:sz w:val="24"/>
                <w:szCs w:val="24"/>
                <w:highlight w:val="none"/>
                <w:shd w:val="clear" w:color="auto" w:fill="auto"/>
                <w:lang w:val="en-US" w:eastAsia="zh-CN" w:bidi="ar-SA"/>
              </w:rPr>
              <w:t xml:space="preserve">。</w:t>
            </w:r>
            <w:r>
              <w:rPr>
                <w:rFonts w:hint="eastAsia" w:ascii="宋体" w:hAnsi="宋体" w:eastAsia="Arial" w:cs="Arial"/>
                <w:color w:val="000000"/>
                <w:sz w:val="24"/>
                <w:szCs w:val="22"/>
                <w:highlight w:val="none"/>
                <w:lang w:val="en-US" w:eastAsia="zh-CN" w:bidi="ar-SA"/>
              </w:rPr>
            </w:r>
            <w:r/>
          </w:p>
        </w:tc>
      </w:tr>
      <w:tr>
        <w:trPr>
          <w:trHeight w:val="706"/>
        </w:trPr>
        <w:tc>
          <w:tcPr>
            <w:tcW w:w="1064" w:type="dxa"/>
            <w:vAlign w:val="center"/>
            <w:textDirection w:val="lrTb"/>
            <w:noWrap w:val="false"/>
          </w:tcPr>
          <w:p>
            <w:pPr>
              <w:pStyle w:val="752"/>
              <w:ind w:firstLine="0"/>
              <w:jc w:val="center"/>
              <w:widowControl w:val="off"/>
              <w:rPr>
                <w:rFonts w:hint="eastAsia"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六</w:t>
            </w:r>
            <w:r>
              <w:rPr>
                <w:rFonts w:hint="eastAsia" w:ascii="宋体" w:hAnsi="宋体" w:eastAsia="Arial" w:cs="Arial"/>
                <w:color w:val="000000"/>
                <w:sz w:val="24"/>
                <w:szCs w:val="22"/>
                <w:lang w:val="en-US" w:eastAsia="zh-CN" w:bidi="ar-SA"/>
              </w:rPr>
            </w:r>
            <w:r/>
          </w:p>
        </w:tc>
        <w:tc>
          <w:tcPr>
            <w:tcW w:w="8476" w:type="dxa"/>
            <w:vAlign w:val="center"/>
            <w:textDirection w:val="lrTb"/>
            <w:noWrap w:val="false"/>
          </w:tcPr>
          <w:p>
            <w:pPr>
              <w:pStyle w:val="752"/>
              <w:ind w:firstLine="0"/>
              <w:jc w:val="both"/>
              <w:widowControl w:val="off"/>
              <w:rPr>
                <w:rFonts w:hint="eastAsia"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 履约保证金：本项目不收取履约保证金。</w:t>
            </w:r>
            <w:r>
              <w:rPr>
                <w:rFonts w:hint="eastAsia" w:ascii="宋体" w:hAnsi="宋体" w:eastAsia="Arial" w:cs="Arial"/>
                <w:color w:val="000000"/>
                <w:sz w:val="24"/>
                <w:szCs w:val="22"/>
                <w:highlight w:val="none"/>
                <w:lang w:val="en-US" w:eastAsia="zh-CN" w:bidi="ar-SA"/>
              </w:rPr>
            </w:r>
            <w:r/>
          </w:p>
        </w:tc>
      </w:tr>
      <w:tr>
        <w:trPr>
          <w:trHeight w:val="2804"/>
        </w:trPr>
        <w:tc>
          <w:tcPr>
            <w:tcW w:w="1064" w:type="dxa"/>
            <w:vAlign w:val="center"/>
            <w:textDirection w:val="lrTb"/>
            <w:noWrap w:val="false"/>
          </w:tcPr>
          <w:p>
            <w:pPr>
              <w:pStyle w:val="752"/>
              <w:ind w:firstLine="0"/>
              <w:jc w:val="center"/>
              <w:widowControl w:val="off"/>
              <w:rPr>
                <w:rFonts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752"/>
              <w:jc w:val="left"/>
              <w:spacing w:line="360" w:lineRule="auto"/>
              <w:widowControl w:val="off"/>
              <w:rPr>
                <w:rFonts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★免费质保期：</w:t>
            </w:r>
            <w:r>
              <w:rPr>
                <w:rFonts w:hint="eastAsia" w:ascii="Times New Roman" w:hAnsi="Times New Roman" w:eastAsia="宋体" w:cs="Times New Roman"/>
                <w:color w:val="000000"/>
                <w:sz w:val="24"/>
                <w:szCs w:val="24"/>
                <w:highlight w:val="none"/>
                <w:lang w:val="en-US" w:eastAsia="zh-CN" w:bidi="ar-SA"/>
              </w:rPr>
              <w:t xml:space="preserve">3年。质保期间，中标人承担维修、保养、安检、调换等，相关费用包含在预算内，采购方不再支付任何费用；对于采购方人为原因造成的故障，中标人只收取维保成本费用；质保期内，中标人应提供不少于每年一次的现场回访服务，全面了解项目运行使用情况，提出针对性使用改进建议，并能根据需要提供必要的软硬件升级服务；接采购人通知48小时内提供上门服务，7*24小时电话服务。</w:t>
            </w:r>
            <w:r>
              <w:rPr>
                <w:rFonts w:ascii="宋体" w:hAnsi="宋体" w:eastAsia="Arial" w:cs="Arial"/>
                <w:color w:val="000000"/>
                <w:sz w:val="24"/>
                <w:szCs w:val="22"/>
                <w:highlight w:val="none"/>
                <w:lang w:val="en-US" w:eastAsia="zh-CN" w:bidi="ar-SA"/>
              </w:rPr>
            </w:r>
            <w:r/>
          </w:p>
        </w:tc>
      </w:tr>
      <w:tr>
        <w:trPr>
          <w:trHeight w:val="674"/>
        </w:trPr>
        <w:tc>
          <w:tcPr>
            <w:tcW w:w="1064" w:type="dxa"/>
            <w:vAlign w:val="center"/>
            <w:textDirection w:val="lrTb"/>
            <w:noWrap w:val="false"/>
          </w:tcPr>
          <w:p>
            <w:pPr>
              <w:pStyle w:val="752"/>
              <w:ind w:firstLine="0"/>
              <w:jc w:val="center"/>
              <w:widowControl w:val="off"/>
              <w:rPr>
                <w:rFonts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八</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752"/>
              <w:ind w:firstLine="0"/>
              <w:jc w:val="both"/>
              <w:widowControl w:val="off"/>
              <w:rPr>
                <w:rFonts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★付款方式：</w:t>
            </w:r>
            <w:r>
              <w:rPr>
                <w:rFonts w:hint="eastAsia" w:ascii="宋体" w:hAnsi="宋体" w:eastAsia="宋体" w:cs="Times New Roman"/>
                <w:color w:val="000000"/>
                <w:sz w:val="24"/>
                <w:szCs w:val="24"/>
                <w:highlight w:val="none"/>
                <w:shd w:val="clear" w:color="auto" w:fill="auto"/>
                <w:lang w:val="en-US" w:eastAsia="zh-CN" w:bidi="ar-SA"/>
              </w:rPr>
              <w:t xml:space="preserve">合同签订后付合同总金额的30％；建成运行、验收合格后，付至合同总金额的100％</w:t>
            </w:r>
            <w:r>
              <w:rPr>
                <w:rFonts w:ascii="宋体" w:hAnsi="宋体" w:eastAsia="Arial" w:cs="Arial"/>
                <w:color w:val="000000"/>
                <w:sz w:val="24"/>
                <w:szCs w:val="22"/>
                <w:highlight w:val="none"/>
                <w:lang w:val="en-US" w:eastAsia="zh-CN" w:bidi="ar-SA"/>
              </w:rPr>
            </w:r>
            <w:r/>
          </w:p>
        </w:tc>
      </w:tr>
      <w:tr>
        <w:trPr>
          <w:trHeight w:val="514"/>
        </w:trPr>
        <w:tc>
          <w:tcPr>
            <w:tcW w:w="1064" w:type="dxa"/>
            <w:vAlign w:val="center"/>
            <w:textDirection w:val="lrTb"/>
            <w:noWrap w:val="false"/>
          </w:tcPr>
          <w:p>
            <w:pPr>
              <w:pStyle w:val="752"/>
              <w:ind w:firstLine="0"/>
              <w:jc w:val="center"/>
              <w:widowControl w:val="off"/>
              <w:rPr>
                <w:rFonts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752"/>
              <w:jc w:val="left"/>
              <w:spacing w:line="360" w:lineRule="auto"/>
              <w:shd w:val="clear" w:color="auto" w:fill="auto"/>
              <w:widowControl w:val="off"/>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安装调试要求：在设备到达现场后，中标人应负责派有经验的技术人员到现场进行设备的安装和测试以及处理货物质量和数量短缺等问题，并对系统质量全面负责。中标人在安装、调试等全过程中接受采购方的监督。</w:t>
            </w:r>
            <w:r>
              <w:rPr>
                <w:rFonts w:hint="eastAsia" w:ascii="宋体" w:hAnsi="宋体" w:eastAsia="宋体" w:cs="Times New Roman"/>
                <w:color w:val="000000"/>
                <w:sz w:val="24"/>
                <w:szCs w:val="24"/>
                <w:highlight w:val="none"/>
                <w:shd w:val="clear" w:color="auto" w:fill="auto"/>
                <w:lang w:val="en-US" w:eastAsia="zh-CN" w:bidi="ar-SA"/>
              </w:rPr>
            </w:r>
            <w:r/>
          </w:p>
          <w:p>
            <w:pPr>
              <w:pStyle w:val="752"/>
              <w:jc w:val="left"/>
              <w:spacing w:line="360" w:lineRule="auto"/>
              <w:shd w:val="clear" w:color="auto" w:fill="auto"/>
              <w:widowControl w:val="off"/>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在现场安装调试期间，如果系统出现不正常情况（如设备损坏、故障、达不到技术规范或设备说明书的指标），中标人应免费在不延误工期的情况下从速替换。在系统试运行期间，如果发现由于中标人的责任造成系统的功能和性能不符合技术规范书的要求，或由于设备故障的发生导致设备停止运转，中标人应承诺在48小时内及时修复，并承担所有费用，同时应顺延试运行期。</w:t>
            </w:r>
            <w:r>
              <w:rPr>
                <w:rFonts w:hint="eastAsia" w:ascii="宋体" w:hAnsi="宋体" w:eastAsia="宋体" w:cs="Times New Roman"/>
                <w:color w:val="000000"/>
                <w:sz w:val="24"/>
                <w:szCs w:val="24"/>
                <w:highlight w:val="none"/>
                <w:shd w:val="clear" w:color="auto" w:fill="auto"/>
                <w:lang w:val="en-US" w:eastAsia="zh-CN" w:bidi="ar-SA"/>
              </w:rPr>
            </w:r>
            <w:r/>
          </w:p>
          <w:p>
            <w:pPr>
              <w:pStyle w:val="752"/>
              <w:jc w:val="left"/>
              <w:spacing w:line="360" w:lineRule="auto"/>
              <w:shd w:val="clear" w:color="auto" w:fill="auto"/>
              <w:widowControl w:val="off"/>
              <w:rPr>
                <w:rFonts w:ascii="宋体" w:hAnsi="宋体" w:eastAsia="Arial" w:cs="Arial"/>
                <w:color w:val="000000"/>
                <w:sz w:val="24"/>
                <w:szCs w:val="22"/>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所有货物全部送达后需经过采购人确认货物是否符合采购文件要求，确认无误后方可安装调试。</w:t>
            </w:r>
            <w:r>
              <w:rPr>
                <w:rFonts w:ascii="宋体" w:hAnsi="宋体" w:eastAsia="Arial" w:cs="Arial"/>
                <w:color w:val="000000"/>
                <w:sz w:val="24"/>
                <w:szCs w:val="22"/>
                <w:lang w:val="en-US" w:eastAsia="zh-CN" w:bidi="ar-SA"/>
              </w:rPr>
            </w:r>
            <w:r/>
          </w:p>
        </w:tc>
      </w:tr>
      <w:tr>
        <w:trPr>
          <w:trHeight w:val="545"/>
        </w:trPr>
        <w:tc>
          <w:tcPr>
            <w:tcW w:w="1064" w:type="dxa"/>
            <w:vAlign w:val="center"/>
            <w:textDirection w:val="lrTb"/>
            <w:noWrap w:val="false"/>
          </w:tcPr>
          <w:p>
            <w:pPr>
              <w:pStyle w:val="752"/>
              <w:ind w:firstLine="0"/>
              <w:jc w:val="center"/>
              <w:widowControl w:val="off"/>
              <w:rPr>
                <w:rFonts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十三</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752"/>
              <w:ind w:firstLine="0"/>
              <w:jc w:val="both"/>
              <w:widowControl w:val="off"/>
              <w:rPr>
                <w:rFonts w:ascii="宋体" w:hAnsi="宋体" w:eastAsia="Arial" w:cs="Arial"/>
                <w:color w:val="000000"/>
                <w:sz w:val="24"/>
                <w:szCs w:val="22"/>
                <w:lang w:val="en-US" w:eastAsia="zh-CN" w:bidi="ar-SA"/>
              </w:rPr>
            </w:pPr>
            <w:r>
              <w:rPr>
                <w:rFonts w:hint="eastAsia" w:ascii="宋体" w:hAnsi="宋体" w:eastAsia="Arial" w:cs="Arial"/>
                <w:color w:val="000000"/>
                <w:sz w:val="24"/>
                <w:szCs w:val="22"/>
                <w:lang w:val="en-US" w:eastAsia="zh-CN" w:bidi="ar-SA"/>
              </w:rPr>
              <w:t xml:space="preserve">违约责任：具体违约条款及其它未尽事宜，将在双方签订合同时议定。</w:t>
            </w:r>
            <w:r>
              <w:rPr>
                <w:rFonts w:ascii="宋体" w:hAnsi="宋体" w:eastAsia="Arial" w:cs="Arial"/>
                <w:color w:val="000000"/>
                <w:sz w:val="24"/>
                <w:szCs w:val="22"/>
                <w:lang w:val="en-US" w:eastAsia="zh-CN" w:bidi="ar-SA"/>
              </w:rPr>
            </w:r>
            <w:r/>
          </w:p>
        </w:tc>
      </w:tr>
    </w:tbl>
    <w:p>
      <w:pPr>
        <w:pStyle w:val="752"/>
        <w:ind w:firstLine="482"/>
        <w:rPr>
          <w:b/>
          <w:bCs/>
          <w:color w:val="000000"/>
          <w:sz w:val="24"/>
        </w:rPr>
      </w:pPr>
      <w:r>
        <w:rPr>
          <w:rFonts w:hint="eastAsia"/>
          <w:b/>
          <w:bCs/>
          <w:color w:val="000000"/>
          <w:sz w:val="24"/>
        </w:rPr>
        <w:t xml:space="preserve">注：招标文件中标注★号的部分为实质性要求和条件（由采购人根据实际情况设置），投标人必须作出满足原要求和条件的响应，否则投标无效。</w:t>
      </w:r>
      <w:r>
        <w:rPr>
          <w:b/>
          <w:bCs/>
          <w:color w:val="000000"/>
          <w:sz w:val="24"/>
        </w:rPr>
      </w:r>
      <w:r/>
    </w:p>
    <w:p>
      <w:pPr>
        <w:pStyle w:val="764"/>
        <w:ind w:firstLine="480"/>
        <w:rPr>
          <w:rFonts w:hAnsi="宋体" w:eastAsia="宋体"/>
          <w:b/>
          <w:bCs/>
          <w:color w:val="000000"/>
          <w:sz w:val="24"/>
          <w:szCs w:val="24"/>
          <w:lang w:val="en-US" w:eastAsia="zh-CN"/>
        </w:rPr>
      </w:pPr>
      <w:r>
        <w:rPr>
          <w:rFonts w:hAnsi="宋体" w:eastAsia="宋体"/>
          <w:b/>
          <w:bCs/>
          <w:color w:val="000000"/>
          <w:sz w:val="24"/>
          <w:szCs w:val="24"/>
          <w:lang w:val="en-US" w:eastAsia="zh-CN"/>
        </w:rPr>
      </w:r>
      <w:r/>
    </w:p>
    <w:p>
      <w:pPr>
        <w:pStyle w:val="767"/>
        <w:rPr>
          <w:rFonts w:hint="eastAsia" w:ascii="宋体" w:hAnsi="宋体" w:eastAsia="宋体" w:cs="宋体"/>
          <w:b/>
          <w:bCs/>
          <w:sz w:val="24"/>
          <w:szCs w:val="24"/>
          <w:lang w:val="en-US" w:eastAsia="zh-CN"/>
        </w:rPr>
      </w:pPr>
      <w:r/>
      <w:bookmarkEnd w:id="20"/>
      <w:r/>
      <w:bookmarkEnd w:id="21"/>
      <w:r/>
      <w:bookmarkEnd w:id="22"/>
      <w:r/>
      <w:bookmarkEnd w:id="23"/>
      <w:r/>
      <w:bookmarkEnd w:id="24"/>
      <w:r/>
      <w:bookmarkEnd w:id="25"/>
      <w:r>
        <w:rPr>
          <w:rFonts w:hint="eastAsia" w:ascii="宋体" w:hAnsi="宋体" w:eastAsia="宋体" w:cs="宋体"/>
          <w:b/>
          <w:bCs/>
          <w:sz w:val="24"/>
          <w:szCs w:val="24"/>
          <w:lang w:val="en-US" w:eastAsia="zh-CN"/>
        </w:rPr>
      </w:r>
      <w:r/>
    </w:p>
    <w:p>
      <w:pPr>
        <w:pStyle w:val="767"/>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752"/>
        <w:rPr>
          <w:rFonts w:hint="eastAsia" w:ascii="宋体" w:hAnsi="宋体" w:eastAsia="宋体" w:cs="宋体"/>
        </w:rPr>
      </w:pPr>
      <w:r>
        <w:rPr>
          <w:rFonts w:hint="eastAsia" w:ascii="宋体" w:hAnsi="宋体" w:eastAsia="宋体" w:cs="宋体"/>
        </w:rPr>
      </w:r>
      <w:r/>
    </w:p>
    <w:p>
      <w:pPr>
        <w:pStyle w:val="752"/>
        <w:numPr>
          <w:ilvl w:val="0"/>
          <w:numId w:val="3"/>
        </w:numPr>
        <w:jc w:val="center"/>
        <w:keepLines/>
        <w:keepNext/>
        <w:spacing w:line="360" w:lineRule="auto"/>
        <w:rPr>
          <w:rFonts w:hint="eastAsia" w:ascii="宋体" w:hAnsi="宋体" w:eastAsia="宋体" w:cs="宋体"/>
          <w:color w:val="000000"/>
          <w:sz w:val="36"/>
          <w:szCs w:val="20"/>
        </w:rPr>
        <w:outlineLvl w:val="0"/>
      </w:pPr>
      <w:r>
        <w:rPr>
          <w:rFonts w:hint="eastAsia" w:ascii="宋体" w:hAnsi="宋体" w:eastAsia="宋体" w:cs="宋体"/>
          <w:color w:val="000000"/>
          <w:sz w:val="36"/>
          <w:szCs w:val="20"/>
        </w:rPr>
        <w:t xml:space="preserve">项目需求</w:t>
      </w:r>
      <w:r>
        <w:rPr>
          <w:rFonts w:hint="eastAsia" w:ascii="宋体" w:hAnsi="宋体" w:eastAsia="宋体" w:cs="宋体"/>
          <w:color w:val="000000"/>
          <w:sz w:val="36"/>
          <w:szCs w:val="20"/>
        </w:rPr>
      </w:r>
      <w:r/>
    </w:p>
    <w:p>
      <w:pPr>
        <w:pStyle w:val="752"/>
        <w:numPr>
          <w:ilvl w:val="0"/>
          <w:numId w:val="0"/>
        </w:numPr>
        <w:ind w:firstLine="0"/>
        <w:jc w:val="center"/>
        <w:keepLines/>
        <w:keepNext/>
        <w:spacing w:line="360" w:lineRule="auto"/>
        <w:rPr>
          <w:rFonts w:hint="eastAsia" w:ascii="宋体" w:hAnsi="宋体" w:eastAsia="宋体" w:cs="宋体"/>
          <w:b/>
          <w:bCs/>
          <w:color w:val="000000"/>
          <w:sz w:val="28"/>
          <w:szCs w:val="28"/>
          <w:lang w:val="en-US" w:eastAsia="zh-CN"/>
        </w:rPr>
        <w:outlineLvl w:val="1"/>
      </w:pPr>
      <w:r>
        <w:rPr>
          <w:rFonts w:hint="eastAsia" w:ascii="宋体" w:hAnsi="宋体" w:eastAsia="宋体" w:cs="宋体"/>
          <w:b/>
          <w:bCs/>
          <w:color w:val="000000"/>
          <w:sz w:val="28"/>
          <w:szCs w:val="28"/>
          <w:lang w:val="en-US" w:eastAsia="zh-CN"/>
        </w:rPr>
        <w:t xml:space="preserve">分包1：数字媒体、云计算及算力配套设备采购</w:t>
      </w:r>
      <w:r>
        <w:rPr>
          <w:rFonts w:hint="eastAsia" w:ascii="宋体" w:hAnsi="宋体" w:eastAsia="宋体" w:cs="宋体"/>
          <w:b/>
          <w:bCs/>
          <w:color w:val="000000"/>
          <w:sz w:val="28"/>
          <w:szCs w:val="28"/>
          <w:lang w:val="en-US" w:eastAsia="zh-CN"/>
        </w:rPr>
      </w:r>
      <w:r/>
    </w:p>
    <w:p>
      <w:pPr>
        <w:pStyle w:val="752"/>
        <w:ind w:firstLine="480"/>
        <w:jc w:val="left"/>
        <w:spacing w:line="360" w:lineRule="auto"/>
        <w:rPr>
          <w:rFonts w:hint="eastAsia" w:ascii="宋体" w:hAnsi="宋体" w:eastAsia="宋体" w:cs="Times New Roman"/>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hint="eastAsia" w:ascii="宋体" w:hAnsi="宋体" w:eastAsia="宋体" w:cs="Times New Roman"/>
          <w:sz w:val="24"/>
          <w:szCs w:val="24"/>
        </w:rPr>
      </w:r>
      <w:r/>
    </w:p>
    <w:p>
      <w:pPr>
        <w:pStyle w:val="752"/>
        <w:numPr>
          <w:ilvl w:val="0"/>
          <w:numId w:val="4"/>
        </w:numPr>
        <w:ind w:firstLine="480"/>
        <w:jc w:val="left"/>
        <w:spacing w:line="500" w:lineRule="exact"/>
        <w:rPr>
          <w:rFonts w:hint="eastAsia"/>
          <w:sz w:val="24"/>
          <w:szCs w:val="24"/>
        </w:rPr>
      </w:pPr>
      <w:r>
        <w:rPr>
          <w:rFonts w:hint="eastAsia"/>
          <w:sz w:val="24"/>
          <w:szCs w:val="24"/>
        </w:rPr>
        <w:t xml:space="preserve">根据《政府采购需求管理办法》等有关规定，采购人确定采购需求。</w:t>
      </w:r>
      <w:r>
        <w:rPr>
          <w:rFonts w:hint="eastAsia"/>
          <w:sz w:val="24"/>
          <w:szCs w:val="24"/>
        </w:rPr>
      </w:r>
      <w:r/>
    </w:p>
    <w:p>
      <w:pPr>
        <w:pStyle w:val="752"/>
        <w:ind w:firstLine="480"/>
        <w:jc w:val="left"/>
        <w:spacing w:line="500" w:lineRule="exact"/>
      </w:pPr>
      <w:r>
        <w:rPr>
          <w:rFonts w:hint="eastAsia"/>
          <w:sz w:val="24"/>
          <w:szCs w:val="24"/>
        </w:rPr>
        <w:t xml:space="preserve">2、根</w:t>
      </w:r>
      <w:r>
        <w:rPr>
          <w:rFonts w:hint="eastAsia"/>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pStyle w:val="752"/>
        <w:ind w:firstLine="480"/>
        <w:jc w:val="left"/>
        <w:spacing w:line="500" w:lineRule="exact"/>
        <w:rPr>
          <w:sz w:val="24"/>
          <w:szCs w:val="24"/>
        </w:rPr>
      </w:pPr>
      <w:r>
        <w:rPr>
          <w:rFonts w:hint="eastAsia" w:eastAsia="宋体"/>
          <w:sz w:val="24"/>
          <w:szCs w:val="24"/>
          <w:lang w:val="en-US" w:eastAsia="zh-CN"/>
        </w:rPr>
        <w:t xml:space="preserve">3</w:t>
      </w:r>
      <w:r>
        <w:rPr>
          <w:rFonts w:hint="eastAsia"/>
          <w:sz w:val="24"/>
          <w:szCs w:val="24"/>
        </w:rPr>
        <w:t xml:space="preserve">、</w:t>
      </w:r>
      <w:r>
        <w:rPr>
          <w:rFonts w:hint="eastAsia"/>
          <w:b/>
          <w:sz w:val="24"/>
          <w:szCs w:val="24"/>
        </w:rPr>
        <w:t xml:space="preserve">本招标文件中</w:t>
      </w:r>
      <w:r>
        <w:rPr>
          <w:rFonts w:hint="eastAsia"/>
          <w:b/>
          <w:bCs/>
          <w:color w:val="000000"/>
          <w:sz w:val="24"/>
        </w:rPr>
        <w:t xml:space="preserve">标注★号</w:t>
      </w:r>
      <w:r>
        <w:rPr>
          <w:rFonts w:hint="eastAsia" w:eastAsia="宋体"/>
          <w:b/>
          <w:bCs/>
          <w:color w:val="000000"/>
          <w:sz w:val="24"/>
          <w:lang w:val="en-US" w:eastAsia="zh-CN"/>
        </w:rPr>
        <w:t xml:space="preserve">的部分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p>
      <w:pPr>
        <w:pStyle w:val="752"/>
        <w:ind w:firstLine="480"/>
        <w:jc w:val="left"/>
        <w:spacing w:line="500" w:lineRule="exact"/>
        <w:rPr>
          <w:sz w:val="24"/>
          <w:szCs w:val="24"/>
        </w:rPr>
        <w:outlineLvl w:val="1"/>
      </w:pPr>
      <w:r>
        <w:rPr>
          <w:rFonts w:hint="eastAsia" w:eastAsia="宋体"/>
          <w:sz w:val="24"/>
          <w:szCs w:val="24"/>
          <w:lang w:val="en-US" w:eastAsia="zh-CN"/>
        </w:rPr>
        <w:t xml:space="preserve">4</w:t>
      </w:r>
      <w:r>
        <w:rPr>
          <w:rFonts w:hint="eastAsia"/>
          <w:sz w:val="24"/>
          <w:szCs w:val="24"/>
        </w:rPr>
        <w:t xml:space="preserve">、本项目核心产品为：</w:t>
      </w:r>
      <w:r>
        <w:rPr>
          <w:rFonts w:hint="eastAsia"/>
          <w:sz w:val="24"/>
          <w:szCs w:val="24"/>
          <w:u w:val="single"/>
          <w:lang w:val="en-US" w:eastAsia="zh-CN"/>
        </w:rPr>
        <w:t xml:space="preserve">非线性编辑系统</w:t>
      </w:r>
      <w:r>
        <w:rPr>
          <w:rFonts w:hint="eastAsia"/>
          <w:sz w:val="24"/>
          <w:szCs w:val="24"/>
          <w:u w:val="single"/>
        </w:rPr>
        <w:t xml:space="preserve">、</w:t>
      </w:r>
      <w:r>
        <w:rPr>
          <w:rFonts w:hint="eastAsia"/>
          <w:sz w:val="24"/>
          <w:szCs w:val="24"/>
          <w:u w:val="single"/>
          <w:lang w:val="en-US" w:eastAsia="zh-CN"/>
        </w:rPr>
        <w:t xml:space="preserve">虚拟演播系统</w:t>
      </w:r>
      <w:r>
        <w:rPr>
          <w:rFonts w:hint="eastAsia"/>
          <w:sz w:val="24"/>
          <w:szCs w:val="24"/>
        </w:rPr>
        <w:t xml:space="preserve">。</w:t>
      </w:r>
      <w:r>
        <w:rPr>
          <w:sz w:val="24"/>
          <w:szCs w:val="24"/>
        </w:rPr>
      </w:r>
      <w:r/>
    </w:p>
    <w:p>
      <w:pPr>
        <w:pStyle w:val="752"/>
        <w:jc w:val="left"/>
        <w:rPr>
          <w:rFonts w:ascii="MS Mincho" w:hAnsi="Calibri" w:eastAsia="宋体" w:cs="Times New Roman"/>
          <w:color w:val="000000"/>
          <w:szCs w:val="24"/>
        </w:rPr>
      </w:pPr>
      <w:r>
        <w:rPr>
          <w:rFonts w:ascii="MS Mincho" w:hAnsi="Calibri" w:eastAsia="宋体" w:cs="Times New Roman"/>
          <w:color w:val="000000"/>
          <w:szCs w:val="24"/>
        </w:rPr>
      </w:r>
      <w:r/>
    </w:p>
    <w:p>
      <w:pPr>
        <w:pStyle w:val="752"/>
        <w:ind w:firstLine="562"/>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一、项目概况（或背景或主要建设内容）</w:t>
      </w:r>
      <w:r>
        <w:rPr>
          <w:rFonts w:ascii="Times New Roman" w:hAnsi="Times New Roman" w:eastAsia="宋体" w:cs="Times New Roman"/>
          <w:b/>
          <w:sz w:val="28"/>
          <w:szCs w:val="28"/>
        </w:rPr>
      </w:r>
      <w:r/>
    </w:p>
    <w:p>
      <w:pPr>
        <w:pStyle w:val="752"/>
        <w:ind w:firstLine="480"/>
        <w:jc w:val="left"/>
        <w:spacing w:line="360" w:lineRule="auto"/>
        <w:rPr>
          <w:rFonts w:ascii="宋体" w:hAnsi="宋体" w:eastAsia="宋体" w:cs="Times New Roman"/>
          <w:color w:val="000000"/>
          <w:sz w:val="24"/>
          <w:szCs w:val="24"/>
        </w:rPr>
      </w:pPr>
      <w:r>
        <w:rPr>
          <w:rFonts w:hint="eastAsia" w:ascii="宋体" w:hAnsi="宋体" w:cs="宋体"/>
          <w:bCs/>
          <w:sz w:val="24"/>
          <w:szCs w:val="24"/>
        </w:rPr>
        <w:t xml:space="preserve">本项目是我校“一基地五中心”建设规划中</w:t>
      </w:r>
      <w:r>
        <w:rPr>
          <w:rFonts w:hint="eastAsia" w:ascii="宋体" w:hAnsi="宋体" w:eastAsia="宋体" w:cs="宋体"/>
          <w:bCs/>
          <w:sz w:val="24"/>
          <w:szCs w:val="24"/>
          <w:lang w:eastAsia="zh-CN"/>
        </w:rPr>
        <w:t xml:space="preserve">人工智能（AI）技术实训中心二次</w:t>
      </w:r>
      <w:r>
        <w:rPr>
          <w:rFonts w:hint="eastAsia" w:ascii="宋体" w:hAnsi="宋体" w:cs="宋体"/>
          <w:bCs/>
          <w:sz w:val="24"/>
          <w:szCs w:val="24"/>
        </w:rPr>
        <w:t xml:space="preserve">项目的一部分，主要完成项目所属数字媒体技术、云计算技术等实训室所需设备采购（不含实训终端设备）。</w:t>
      </w:r>
      <w:r>
        <w:rPr>
          <w:rFonts w:ascii="宋体" w:hAnsi="宋体" w:eastAsia="宋体" w:cs="Times New Roman"/>
          <w:color w:val="000000"/>
          <w:sz w:val="24"/>
          <w:szCs w:val="24"/>
        </w:rPr>
      </w:r>
      <w:r/>
    </w:p>
    <w:p>
      <w:pPr>
        <w:pStyle w:val="752"/>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rPr>
          <w:rFonts w:ascii="Times New Roman" w:hAnsi="Times New Roman" w:eastAsia="宋体" w:cs="Times New Roman"/>
          <w:b/>
          <w:sz w:val="28"/>
          <w:szCs w:val="28"/>
        </w:rPr>
      </w:r>
      <w:r/>
    </w:p>
    <w:tbl>
      <w:tblPr>
        <w:tblW w:w="0" w:type="auto"/>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93"/>
        <w:gridCol w:w="1640"/>
        <w:gridCol w:w="3250"/>
        <w:gridCol w:w="912"/>
        <w:gridCol w:w="825"/>
        <w:gridCol w:w="2536"/>
      </w:tblGrid>
      <w:tr>
        <w:trPr>
          <w:trHeight w:val="620"/>
        </w:trPr>
        <w:tc>
          <w:tcPr>
            <w:tcW w:w="593"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bookmarkStart w:id="26" w:name="_Toc139966432"/>
            <w:r/>
            <w:bookmarkStart w:id="27" w:name="_Toc139967216"/>
            <w:r>
              <w:rPr>
                <w:rFonts w:ascii="Arial" w:hAnsi="Arial" w:eastAsia="宋体" w:cs="Arial"/>
                <w:i w:val="0"/>
                <w:iCs w:val="0"/>
                <w:color w:val="000000"/>
                <w:sz w:val="24"/>
                <w:szCs w:val="24"/>
                <w:u w:val="none"/>
                <w:lang w:val="en-US" w:eastAsia="zh-CN" w:bidi="ar"/>
              </w:rPr>
              <w:t xml:space="preserve">序号</w:t>
            </w:r>
            <w:r>
              <w:rPr>
                <w:rFonts w:ascii="Arial" w:hAnsi="Arial" w:eastAsia="宋体" w:cs="Arial"/>
                <w:i w:val="0"/>
                <w:iCs w:val="0"/>
                <w:color w:val="000000"/>
                <w:sz w:val="24"/>
                <w:szCs w:val="24"/>
                <w:u w:val="none"/>
                <w:lang w:val="en-US" w:eastAsia="zh-CN" w:bidi="ar-SA"/>
              </w:rPr>
            </w:r>
            <w:r/>
          </w:p>
        </w:tc>
        <w:tc>
          <w:tcPr>
            <w:tcW w:w="1640"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所属实训室</w:t>
            </w: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货物（标的）名称</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数量</w:t>
            </w:r>
            <w:r>
              <w:rPr>
                <w:rFonts w:ascii="Arial" w:hAnsi="Arial" w:eastAsia="宋体" w:cs="Arial"/>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单位</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中小企业划分标准所属行业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restart"/>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数字媒体技术专业教学实训室</w:t>
            </w: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ascii="Arial" w:hAnsi="Arial" w:eastAsia="宋体" w:cs="Arial"/>
                <w:i w:val="0"/>
                <w:iCs w:val="0"/>
                <w:color w:val="000000"/>
                <w:sz w:val="24"/>
                <w:szCs w:val="24"/>
                <w:u w:val="none"/>
                <w:lang w:val="en-US" w:eastAsia="zh-CN" w:bidi="ar"/>
              </w:rPr>
              <w:t xml:space="preserve">门定制课程资源</w:t>
            </w:r>
            <w:r>
              <w:rPr>
                <w:rFonts w:hint="eastAsia"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门</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4K</w:t>
            </w:r>
            <w:r>
              <w:rPr>
                <w:rFonts w:ascii="Arial" w:hAnsi="Arial" w:eastAsia="宋体" w:cs="Arial"/>
                <w:i w:val="0"/>
                <w:iCs w:val="0"/>
                <w:color w:val="000000"/>
                <w:sz w:val="24"/>
                <w:szCs w:val="24"/>
                <w:u w:val="none"/>
                <w:lang w:val="en-US" w:eastAsia="zh-CN" w:bidi="ar"/>
              </w:rPr>
              <w:t xml:space="preserve">专业摄像机</w:t>
            </w:r>
            <w:r>
              <w:rPr>
                <w:rFonts w:hint="eastAsia"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摄像机包</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hint="eastAsia" w:ascii="Arial" w:hAnsi="Arial" w:eastAsia="宋体" w:cs="Arial"/>
                <w:i w:val="0"/>
                <w:iCs w:val="0"/>
                <w:color w:val="000000"/>
                <w:sz w:val="24"/>
                <w:szCs w:val="24"/>
                <w:u w:val="none"/>
                <w:lang w:val="en-US" w:eastAsia="zh-CN" w:bidi="ar-SA"/>
              </w:rPr>
              <w:suppressLineNumbers w:val="0"/>
            </w:pPr>
            <w:r>
              <w:rPr>
                <w:rFonts w:hint="eastAsia" w:ascii="Arial" w:hAnsi="Arial" w:eastAsia="宋体" w:cs="Arial"/>
                <w:i w:val="0"/>
                <w:iCs w:val="0"/>
                <w:color w:val="000000"/>
                <w:sz w:val="24"/>
                <w:szCs w:val="24"/>
                <w:u w:val="none"/>
                <w:lang w:val="en-US" w:eastAsia="zh-CN" w:bidi="ar-SA"/>
              </w:rPr>
              <w:t xml:space="preserve">工业</w:t>
            </w:r>
            <w:r>
              <w:rPr>
                <w:rFonts w:hint="eastAsia"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摄像机存储卡</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读卡器</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摄像机三脚架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移动脚轮</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4K</w:t>
            </w:r>
            <w:r>
              <w:rPr>
                <w:rFonts w:ascii="Arial" w:hAnsi="Arial" w:eastAsia="宋体" w:cs="Arial"/>
                <w:i w:val="0"/>
                <w:iCs w:val="0"/>
                <w:color w:val="000000"/>
                <w:sz w:val="24"/>
                <w:szCs w:val="24"/>
                <w:u w:val="none"/>
                <w:lang w:val="en-US" w:eastAsia="zh-CN" w:bidi="ar"/>
              </w:rPr>
              <w:t xml:space="preserve">虚拟演播室</w:t>
            </w:r>
            <w:r>
              <w:rPr>
                <w:rFonts w:hint="eastAsia" w:ascii="Arial" w:hAnsi="Arial" w:eastAsia="宋体" w:cs="Arial"/>
                <w:i w:val="0"/>
                <w:iCs w:val="0"/>
                <w:color w:val="000000"/>
                <w:sz w:val="24"/>
                <w:szCs w:val="24"/>
                <w:u w:val="none"/>
                <w:lang w:val="en-US" w:eastAsia="zh-CN" w:bidi="ar"/>
              </w:rPr>
              <w:t xml:space="preserve">输入设备</w:t>
            </w:r>
            <w:r>
              <w:rPr>
                <w:rFonts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虚拟演播室系统</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导播切换台</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非线性编辑系统</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返看</w:t>
            </w:r>
            <w:r>
              <w:rPr>
                <w:rFonts w:hint="eastAsia" w:ascii="宋体" w:hAnsi="宋体" w:eastAsia="宋体" w:cs="宋体"/>
                <w:i w:val="0"/>
                <w:iCs w:val="0"/>
                <w:color w:val="000000"/>
                <w:sz w:val="24"/>
                <w:szCs w:val="24"/>
                <w:u w:val="none"/>
                <w:lang w:val="en-US" w:eastAsia="zh-CN" w:bidi="ar"/>
              </w:rPr>
              <w:t xml:space="preserve">4K</w:t>
            </w:r>
            <w:r>
              <w:rPr>
                <w:rFonts w:ascii="Arial" w:hAnsi="Arial" w:eastAsia="宋体" w:cs="Arial"/>
                <w:i w:val="0"/>
                <w:iCs w:val="0"/>
                <w:color w:val="000000"/>
                <w:sz w:val="24"/>
                <w:szCs w:val="24"/>
                <w:u w:val="none"/>
                <w:lang w:val="en-US" w:eastAsia="zh-CN" w:bidi="ar"/>
              </w:rPr>
              <w:t xml:space="preserve">显示器含支架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移动电视支架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highlight w:val="none"/>
                <w:u w:val="none"/>
                <w:lang w:val="en-US" w:eastAsia="zh-CN" w:bidi="ar-SA"/>
              </w:rPr>
            </w:pP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主持人提词器</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套</w:t>
            </w:r>
            <w:r>
              <w:rPr>
                <w:rFonts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宋体" w:hAnsi="宋体" w:eastAsia="宋体" w:cs="宋体"/>
                <w:sz w:val="24"/>
                <w:szCs w:val="24"/>
                <w:highlight w:val="none"/>
                <w:lang w:val="en-US" w:eastAsia="zh-CN" w:bidi="ar-SA"/>
              </w:rPr>
              <w:t xml:space="preserve">信息传输业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highlight w:val="none"/>
                <w:u w:val="none"/>
                <w:lang w:val="en-US" w:eastAsia="zh-CN" w:bidi="ar-SA"/>
              </w:rPr>
            </w:pP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提词器</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套</w:t>
            </w:r>
            <w:r>
              <w:rPr>
                <w:rFonts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软件与信息技术服务业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4K</w:t>
            </w:r>
            <w:r>
              <w:rPr>
                <w:rFonts w:ascii="Arial" w:hAnsi="Arial" w:eastAsia="宋体" w:cs="Arial"/>
                <w:i w:val="0"/>
                <w:iCs w:val="0"/>
                <w:color w:val="000000"/>
                <w:sz w:val="24"/>
                <w:szCs w:val="24"/>
                <w:u w:val="none"/>
                <w:lang w:val="en-US" w:eastAsia="zh-CN" w:bidi="ar"/>
              </w:rPr>
              <w:t xml:space="preserve">转换器</w:t>
            </w:r>
            <w:r>
              <w:rPr>
                <w:rFonts w:hint="eastAsia"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ascii="Arial" w:hAnsi="Arial" w:eastAsia="宋体" w:cs="Arial"/>
                <w:i w:val="0"/>
                <w:iCs w:val="0"/>
                <w:color w:val="000000"/>
                <w:sz w:val="24"/>
                <w:szCs w:val="24"/>
                <w:u w:val="none"/>
                <w:lang w:val="en-US" w:eastAsia="zh-CN" w:bidi="ar"/>
              </w:rPr>
              <w:t xml:space="preserve">路导播通话</w:t>
            </w:r>
            <w:r>
              <w:rPr>
                <w:rFonts w:hint="eastAsia"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调音台</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播音话筒</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支</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highlight w:val="none"/>
                <w:u w:val="none"/>
                <w:lang w:val="en-US" w:eastAsia="zh-CN" w:bidi="ar-SA"/>
              </w:rPr>
            </w:pP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监听耳机</w:t>
            </w:r>
            <w:r>
              <w:rPr>
                <w:rFonts w:hint="eastAsia" w:ascii="Arial" w:hAnsi="Arial" w:eastAsia="宋体" w:cs="Arial"/>
                <w:i w:val="0"/>
                <w:iCs w:val="0"/>
                <w:color w:val="000000"/>
                <w:sz w:val="24"/>
                <w:szCs w:val="24"/>
                <w:highlight w:val="none"/>
                <w:u w:val="none"/>
                <w:lang w:val="en-US" w:eastAsia="zh-CN" w:bidi="ar"/>
              </w:rPr>
              <w:t xml:space="preserve">1</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个</w:t>
            </w:r>
            <w:r>
              <w:rPr>
                <w:rFonts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软件与信息技术服务业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监听音箱</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对</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操作台</w:t>
            </w:r>
            <w:r>
              <w:rPr>
                <w:rFonts w:hint="eastAsia" w:ascii="宋体" w:hAnsi="宋体" w:eastAsia="宋体" w:cs="宋体"/>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
              </w:rPr>
              <w:t xml:space="preserve">含</w:t>
            </w:r>
            <w:r>
              <w:rPr>
                <w:rFonts w:hint="eastAsia" w:ascii="宋体" w:hAnsi="宋体" w:eastAsia="宋体" w:cs="宋体"/>
                <w:i w:val="0"/>
                <w:iCs w:val="0"/>
                <w:color w:val="000000"/>
                <w:sz w:val="24"/>
                <w:szCs w:val="24"/>
                <w:u w:val="none"/>
                <w:lang w:val="en-US" w:eastAsia="zh-CN" w:bidi="ar"/>
              </w:rPr>
              <w:t xml:space="preserve">1</w:t>
            </w:r>
            <w:r>
              <w:rPr>
                <w:rFonts w:ascii="Arial" w:hAnsi="Arial" w:eastAsia="宋体" w:cs="Arial"/>
                <w:i w:val="0"/>
                <w:iCs w:val="0"/>
                <w:color w:val="000000"/>
                <w:sz w:val="24"/>
                <w:szCs w:val="24"/>
                <w:u w:val="none"/>
                <w:lang w:val="en-US" w:eastAsia="zh-CN" w:bidi="ar"/>
              </w:rPr>
              <w:t xml:space="preserve">座椅</w:t>
            </w:r>
            <w:r>
              <w:rPr>
                <w:rFonts w:hint="eastAsia" w:ascii="宋体" w:hAnsi="宋体" w:eastAsia="宋体" w:cs="宋体"/>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组</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播音桌</w:t>
            </w:r>
            <w:r>
              <w:rPr>
                <w:rFonts w:hint="eastAsia" w:ascii="宋体" w:hAnsi="宋体" w:eastAsia="宋体" w:cs="宋体"/>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
              </w:rPr>
              <w:t xml:space="preserve">含</w:t>
            </w:r>
            <w:r>
              <w:rPr>
                <w:rFonts w:hint="eastAsia" w:ascii="宋体" w:hAnsi="宋体" w:eastAsia="宋体" w:cs="宋体"/>
                <w:i w:val="0"/>
                <w:iCs w:val="0"/>
                <w:color w:val="000000"/>
                <w:sz w:val="24"/>
                <w:szCs w:val="24"/>
                <w:u w:val="none"/>
                <w:lang w:val="en-US" w:eastAsia="zh-CN" w:bidi="ar"/>
              </w:rPr>
              <w:t xml:space="preserve">2</w:t>
            </w:r>
            <w:r>
              <w:rPr>
                <w:rFonts w:ascii="Arial" w:hAnsi="Arial" w:eastAsia="宋体" w:cs="Arial"/>
                <w:i w:val="0"/>
                <w:iCs w:val="0"/>
                <w:color w:val="000000"/>
                <w:sz w:val="24"/>
                <w:szCs w:val="24"/>
                <w:u w:val="none"/>
                <w:lang w:val="en-US" w:eastAsia="zh-CN" w:bidi="ar"/>
              </w:rPr>
              <w:t xml:space="preserve">座椅</w:t>
            </w:r>
            <w:r>
              <w:rPr>
                <w:rFonts w:hint="eastAsia" w:ascii="宋体" w:hAnsi="宋体" w:eastAsia="宋体" w:cs="宋体"/>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highlight w:val="none"/>
                <w:u w:val="none"/>
                <w:lang w:val="en-US" w:eastAsia="zh-CN" w:bidi="ar-SA"/>
              </w:rPr>
            </w:pP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hint="eastAsia" w:ascii="Arial" w:hAnsi="Arial" w:eastAsia="宋体" w:cs="Arial"/>
                <w:i w:val="0"/>
                <w:iCs w:val="0"/>
                <w:color w:val="000000"/>
                <w:sz w:val="24"/>
                <w:szCs w:val="24"/>
                <w:highlight w:val="none"/>
                <w:u w:val="none"/>
                <w:lang w:val="en-US" w:eastAsia="zh-CN" w:bidi="ar-SA"/>
              </w:rPr>
              <w:t xml:space="preserve">监听耳机2</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752"/>
              <w:jc w:val="center"/>
              <w:keepLines w:val="0"/>
              <w:keepNext w:val="0"/>
              <w:widowControl/>
              <w:rPr>
                <w:rFonts w:hint="eastAsia" w:ascii="Arial" w:hAnsi="Arial" w:eastAsia="宋体" w:cs="Arial"/>
                <w:i w:val="0"/>
                <w:iCs w:val="0"/>
                <w:color w:val="000000"/>
                <w:sz w:val="24"/>
                <w:szCs w:val="24"/>
                <w:highlight w:val="none"/>
                <w:u w:val="none"/>
                <w:lang w:val="en-US" w:eastAsia="zh-CN" w:bidi="ar-SA"/>
              </w:rPr>
              <w:suppressLineNumbers w:val="0"/>
            </w:pPr>
            <w:r>
              <w:rPr>
                <w:rFonts w:hint="eastAsia" w:ascii="Arial" w:hAnsi="Arial" w:eastAsia="宋体" w:cs="Arial"/>
                <w:i w:val="0"/>
                <w:iCs w:val="0"/>
                <w:color w:val="000000"/>
                <w:sz w:val="24"/>
                <w:szCs w:val="24"/>
                <w:highlight w:val="none"/>
                <w:u w:val="none"/>
                <w:lang w:val="en-US" w:eastAsia="zh-CN" w:bidi="ar-SA"/>
              </w:rPr>
              <w:t xml:space="preserve">个</w:t>
            </w:r>
            <w:r>
              <w:rPr>
                <w:rFonts w:hint="eastAsia"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软件与信息技术服务业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电源线插板及辅材</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项</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hint="eastAsia" w:ascii="Arial" w:hAnsi="Arial" w:eastAsia="宋体" w:cs="Arial"/>
                <w:i w:val="0"/>
                <w:iCs w:val="0"/>
                <w:color w:val="000000"/>
                <w:sz w:val="24"/>
                <w:szCs w:val="24"/>
                <w:u w:val="none"/>
                <w:lang w:val="en-US" w:eastAsia="zh-CN" w:bidi="ar-SA"/>
              </w:rPr>
              <w:t xml:space="preserve">工业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restart"/>
            <w:textDirection w:val="lrTb"/>
            <w:noWrap w:val="false"/>
          </w:tcPr>
          <w:p>
            <w:pPr>
              <w:pStyle w:val="752"/>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云计算技术实训室</w:t>
            </w: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云虚拟化</w:t>
            </w:r>
            <w:r>
              <w:rPr>
                <w:rFonts w:hint="eastAsia" w:ascii="Arial" w:hAnsi="Arial" w:eastAsia="宋体" w:cs="Arial"/>
                <w:i w:val="0"/>
                <w:iCs w:val="0"/>
                <w:color w:val="000000"/>
                <w:sz w:val="24"/>
                <w:szCs w:val="24"/>
                <w:highlight w:val="none"/>
                <w:u w:val="none"/>
                <w:lang w:val="en-US" w:eastAsia="zh-CN" w:bidi="ar"/>
              </w:rPr>
              <w:t xml:space="preserve">平台</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台</w:t>
            </w:r>
            <w:r>
              <w:rPr>
                <w:rFonts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软件与信息技术服务业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虚拟化软件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万兆光纤交换机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以太网交换机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配套实训资源</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restart"/>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配套基础设施及装修建设</w:t>
            </w: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算力设备智能管理机房模块</w:t>
            </w:r>
            <w:r>
              <w:rPr>
                <w:rFonts w:hint="eastAsia" w:ascii="宋体" w:hAnsi="宋体" w:eastAsia="宋体" w:cs="宋体"/>
                <w:i w:val="0"/>
                <w:iCs w:val="0"/>
                <w:color w:val="000000"/>
                <w:sz w:val="24"/>
                <w:szCs w:val="24"/>
                <w:u w:val="none"/>
                <w:lang w:val="en-US" w:eastAsia="zh-CN" w:bidi="ar"/>
              </w:rPr>
              <w:t xml:space="preserve">1</w:t>
            </w:r>
            <w:r>
              <w:rPr>
                <w:rFonts w:ascii="Arial" w:hAnsi="Arial" w:eastAsia="宋体" w:cs="Arial"/>
                <w:i w:val="0"/>
                <w:iCs w:val="0"/>
                <w:color w:val="000000"/>
                <w:sz w:val="24"/>
                <w:szCs w:val="24"/>
                <w:u w:val="none"/>
                <w:lang w:val="en-US" w:eastAsia="zh-CN" w:bidi="ar"/>
              </w:rPr>
              <w:t xml:space="preserve">（列间空调 ）</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9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算力设备智能管理机房模块</w:t>
            </w:r>
            <w:r>
              <w:rPr>
                <w:rFonts w:hint="eastAsia" w:ascii="宋体" w:hAnsi="宋体" w:eastAsia="宋体" w:cs="宋体"/>
                <w:i w:val="0"/>
                <w:iCs w:val="0"/>
                <w:color w:val="000000"/>
                <w:sz w:val="24"/>
                <w:szCs w:val="24"/>
                <w:u w:val="none"/>
                <w:lang w:val="en-US" w:eastAsia="zh-CN" w:bidi="ar"/>
              </w:rPr>
              <w:t xml:space="preserve">2</w:t>
            </w:r>
            <w:r>
              <w:rPr>
                <w:rFonts w:ascii="Arial" w:hAnsi="Arial" w:eastAsia="宋体" w:cs="Arial"/>
                <w:i w:val="0"/>
                <w:iCs w:val="0"/>
                <w:color w:val="000000"/>
                <w:sz w:val="24"/>
                <w:szCs w:val="24"/>
                <w:u w:val="none"/>
                <w:lang w:val="en-US" w:eastAsia="zh-CN" w:bidi="ar"/>
              </w:rPr>
              <w:t xml:space="preserve">（一体化</w:t>
            </w:r>
            <w:r>
              <w:rPr>
                <w:rFonts w:hint="eastAsia" w:ascii="宋体" w:hAnsi="宋体" w:eastAsia="宋体" w:cs="宋体"/>
                <w:i w:val="0"/>
                <w:iCs w:val="0"/>
                <w:color w:val="000000"/>
                <w:sz w:val="24"/>
                <w:szCs w:val="24"/>
                <w:u w:val="none"/>
                <w:lang w:val="en-US" w:eastAsia="zh-CN" w:bidi="ar"/>
              </w:rPr>
              <w:t xml:space="preserve">UPS </w:t>
            </w:r>
            <w:r>
              <w:rPr>
                <w:rFonts w:ascii="Arial" w:hAnsi="Arial" w:eastAsia="宋体" w:cs="Arial"/>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算力设备智能管理机房模块</w:t>
            </w:r>
            <w:r>
              <w:rPr>
                <w:rFonts w:hint="eastAsia" w:ascii="宋体" w:hAnsi="宋体" w:eastAsia="宋体" w:cs="宋体"/>
                <w:i w:val="0"/>
                <w:iCs w:val="0"/>
                <w:color w:val="000000"/>
                <w:sz w:val="24"/>
                <w:szCs w:val="24"/>
                <w:u w:val="none"/>
                <w:lang w:val="en-US" w:eastAsia="zh-CN" w:bidi="ar"/>
              </w:rPr>
              <w:t xml:space="preserve">3</w:t>
            </w:r>
            <w:r>
              <w:rPr>
                <w:rFonts w:ascii="Arial" w:hAnsi="Arial" w:eastAsia="宋体" w:cs="Arial"/>
                <w:i w:val="0"/>
                <w:iCs w:val="0"/>
                <w:color w:val="000000"/>
                <w:sz w:val="24"/>
                <w:szCs w:val="24"/>
                <w:u w:val="none"/>
                <w:lang w:val="en-US" w:eastAsia="zh-CN" w:bidi="ar"/>
              </w:rPr>
              <w:t xml:space="preserve">（封闭冷通道及设备机柜）</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微模块动力环境监控系统</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货架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hint="eastAsia" w:ascii="Arial" w:hAnsi="Arial" w:eastAsia="宋体" w:cs="Arial"/>
                <w:i w:val="0"/>
                <w:iCs w:val="0"/>
                <w:color w:val="000000"/>
                <w:sz w:val="24"/>
                <w:szCs w:val="24"/>
                <w:u w:val="none"/>
                <w:lang w:val="en-US" w:eastAsia="zh-CN" w:bidi="ar-SA"/>
              </w:rPr>
              <w:t xml:space="preserve">工业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投影融合工程投影机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双通道纯硬件融合器</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弧形金属硬幕墙（含配套造型施工）</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幅</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工程投影机吊架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音箱</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功放</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无线话筒</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物联网中控</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智慧教室班牌</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万兆光纤交换机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以太网交换机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综合布线</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项</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752"/>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752"/>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文化展示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752"/>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项</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752"/>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bl>
    <w:p>
      <w:pPr>
        <w:pStyle w:val="752"/>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52"/>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52"/>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52"/>
        <w:ind w:firstLine="562"/>
        <w:jc w:val="left"/>
        <w:spacing w:line="24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rPr>
          <w:rFonts w:ascii="Times New Roman" w:hAnsi="Times New Roman" w:eastAsia="宋体" w:cs="Times New Roman"/>
          <w:b/>
          <w:sz w:val="28"/>
          <w:szCs w:val="28"/>
        </w:rPr>
      </w:r>
      <w:r/>
    </w:p>
    <w:tbl>
      <w:tblPr>
        <w:tblW w:w="4754"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0"/>
        <w:gridCol w:w="1259"/>
        <w:gridCol w:w="6243"/>
        <w:gridCol w:w="660"/>
        <w:gridCol w:w="417"/>
      </w:tblGrid>
      <w:tr>
        <w:trPr>
          <w:trHeight w:val="44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序号</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货物名称</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技术参数</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数量</w:t>
            </w:r>
            <w:r>
              <w:rPr>
                <w:rFonts w:ascii="Calibri" w:hAnsi="Calibri" w:eastAsia="Arial" w:cs="Arial"/>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单位</w:t>
            </w:r>
            <w:r>
              <w:rPr>
                <w:rFonts w:ascii="Calibri" w:hAnsi="Calibri" w:eastAsia="Arial" w:cs="Arial"/>
                <w:b/>
                <w:bCs/>
                <w:color w:val="000000"/>
                <w:sz w:val="20"/>
                <w:szCs w:val="20"/>
                <w:lang w:val="en-US" w:eastAsia="zh-CN" w:bidi="ar-SA"/>
              </w:rPr>
            </w:r>
            <w:r/>
          </w:p>
        </w:tc>
      </w:tr>
      <w:tr>
        <w:trPr>
          <w:trHeight w:val="56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b/>
                <w:bCs/>
                <w:color w:val="000000"/>
                <w:sz w:val="20"/>
                <w:szCs w:val="20"/>
                <w:lang w:val="en-US" w:eastAsia="zh-CN" w:bidi="ar-SA"/>
              </w:rPr>
              <w:t xml:space="preserve">一</w:t>
            </w:r>
            <w:r>
              <w:rPr>
                <w:rFonts w:hint="eastAsia" w:ascii="宋体" w:hAnsi="宋体" w:eastAsia="宋体" w:cs="宋体"/>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79" w:type="dxa"/>
            <w:vAlign w:val="center"/>
            <w:textDirection w:val="lrTb"/>
            <w:noWrap w:val="false"/>
          </w:tcPr>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数字媒体技术专业教学实训室</w:t>
            </w:r>
            <w:r>
              <w:rPr>
                <w:rFonts w:ascii="宋体" w:hAnsi="宋体" w:eastAsia="Arial" w:cs="宋体"/>
                <w:b/>
                <w:bCs/>
                <w:color w:val="000000"/>
                <w:sz w:val="20"/>
                <w:szCs w:val="20"/>
                <w:lang w:val="en-US" w:eastAsia="zh-CN" w:bidi="ar-SA"/>
              </w:rPr>
            </w:r>
            <w:r/>
          </w:p>
        </w:tc>
      </w:tr>
      <w:tr>
        <w:trPr>
          <w:trHeight w:val="56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10门定制课程资源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虚拟现实概论、虚拟现实全景应用、数字媒体艺术、虚拟现实美术制作、虚拟现实人物雕刻、虚拟现实U3D引擎应用、虚拟现实U3D美术应用、虚拟现实体验工程案例、虚拟现实交互工程案例、增强现实工程案例、混合现实工程案例、虚幻引擎应用案例等10门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门</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4K专业摄像机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1、专业4K CMOS影像传感器，尺寸≥1/2.3“英寸，有效成像像素≥1200万。</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2、内置立体声麦克风</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3、专业4K镜头，光圈≥F1.2，光学变焦不小于12x，滤镜直径M62</w:t>
            </w:r>
            <w:r>
              <w:rPr>
                <w:rFonts w:ascii="宋体" w:hAnsi="宋体" w:eastAsia="Arial" w:cs="宋体"/>
                <w:color w:val="000000"/>
                <w:sz w:val="20"/>
                <w:szCs w:val="20"/>
                <w:lang w:val="en-US" w:eastAsia="zh-CN" w:bidi="ar-SA"/>
              </w:rPr>
            </w:r>
            <w:r/>
          </w:p>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4、支持4K（150Mbps 4:2:2）和HD（50Mbps 4:2:2）录制，支持信息叠加功能/图片叠加,支持FTP服务器文件上传，支持USB扩展，4G上网卡、无线网卡、LAN网线等</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5、视频拍摄模式支持：</w:t>
            </w:r>
            <w:r>
              <w:rPr>
                <w:rFonts w:hint="eastAsia" w:ascii="宋体" w:hAnsi="宋体" w:eastAsia="宋体" w:cs="宋体"/>
                <w:color w:val="000000"/>
                <w:sz w:val="20"/>
                <w:szCs w:val="20"/>
                <w:lang w:val="en-US" w:eastAsia="zh-CN" w:bidi="ar-SA"/>
              </w:rPr>
              <w:t xml:space="preserve">多种常规格式</w:t>
            </w:r>
            <w:r>
              <w:rPr>
                <w:rFonts w:hint="eastAsia" w:ascii="宋体" w:hAnsi="宋体" w:eastAsia="Arial" w:cs="宋体"/>
                <w:color w:val="000000"/>
                <w:sz w:val="20"/>
                <w:szCs w:val="20"/>
                <w:lang w:val="en-US" w:eastAsia="zh-CN" w:bidi="ar-SA"/>
              </w:rPr>
              <w:t xml:space="preserve">;支持SDHC和SDXC双卡槽设计；电池使用时长≥5小时；</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6、液晶屏至少3.5英寸，不低于92万像素；</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7、存储卡：双卡槽设计，支持预录制时间≥10秒，支持专业记录介质SD/SDHC/SDXC卡，配容量不小于128G SDXC UHS-I存储卡*2，速度不低于170MB/秒</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8、音频输入：XLR型3针（母头）*2</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9、输出：HDMI支持QFHD，3G SDI支持FHD，支持HDMI/SDI同时输出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摄像机包</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专用摄像机软包</w:t>
            </w:r>
            <w:r>
              <w:rPr>
                <w:rFonts w:hint="eastAsia" w:ascii="宋体" w:hAnsi="宋体" w:eastAsia="宋体" w:cs="宋体"/>
                <w:color w:val="000000"/>
                <w:sz w:val="20"/>
                <w:szCs w:val="20"/>
                <w:lang w:val="en-US" w:eastAsia="zh-CN" w:bidi="ar-SA"/>
              </w:rPr>
              <w:t xml:space="preserve">（与</w:t>
            </w:r>
            <w:r>
              <w:rPr>
                <w:rFonts w:hint="eastAsia" w:ascii="宋体" w:hAnsi="宋体" w:eastAsia="Arial" w:cs="宋体"/>
                <w:color w:val="000000"/>
                <w:sz w:val="20"/>
                <w:szCs w:val="20"/>
                <w:lang w:val="en-US" w:eastAsia="zh-CN" w:bidi="ar-SA"/>
              </w:rPr>
              <w:t xml:space="preserve">4K专业摄像机</w:t>
            </w:r>
            <w:r>
              <w:rPr>
                <w:rFonts w:hint="eastAsia" w:ascii="宋体" w:hAnsi="宋体" w:eastAsia="宋体" w:cs="宋体"/>
                <w:color w:val="000000"/>
                <w:sz w:val="20"/>
                <w:szCs w:val="20"/>
                <w:lang w:val="en-US" w:eastAsia="zh-CN" w:bidi="ar-SA"/>
              </w:rPr>
              <w:t xml:space="preserve">配套）</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摄像机存储卡</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≥128G SD存储卡</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读卡器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存储卡读卡器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摄像机三脚架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脚管节数 ≥3节</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折合高度≥ 830mm</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最低工作高度 860mm</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最高工作高度 1890mm</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云台类型 三维阻尼云台</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承重 6kg以上</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重量 4.4kg以上</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移动脚轮</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脚管节数 2节</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脚管锁类型 板扣型</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承重 30kg以上</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重量 1.53kg以上</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4K虚拟演播室输入设备</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配置要求：CPU：≥I7-11700，8核心16线程，内存：≥16G，显卡：≥8G独立显卡，固态硬盘：≥1TB。视频输入：支持2路SDI信号，1路HDMI输入。输出支持1路HDMI。</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1、系统超高清4K（2160p25、2160p30、2160p50、2160p60）、高清（1080i50、1080P25、1080P50、1080i60）标清（525i NTSC、625i25 PAL），最高支持4K、2160 60P的节目制作，可同时进行4K、高清和标清的节目信号输出；</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2、支持虚拟演播室系统微信小程序控制：支持≥66组按键执行录播操作控制。PGM和PVW支持≥16路的主监切换按键，带有AUTO和TAKE，每个场景通道支持播放和停止，每个视频通道和图片通道支持播放停止，DSK下游建可打开，关闭，自动执行等可实时通过小程序控制录制，直播，多通道录制，外部输出等控制。小程序和录播联动，录播按下小程序也会相应点亮功能按钮，小程序控制按下录播执行成功后点亮按钮，需要提供此项功能截图证明文件，以证明其符合性。</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3、必须支持9:16手机竖屏制作直播，建立工程并进行节目制作，拉流，推流，录制，监看，切换同时支持9:16。</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4、具备5路实时互动接口，手机、电脑可通过浏览器实时与演播室连线，延时不大于500ms，互动端可收看监听演播室PGM信号</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5、系统配有智能遥控器，具备≥8键按钮，可一键开始录制、暂停、直播、PPT上下翻页，≥4组场景切换，一键开启抠像绿膜抠像，录制power灯和data灯，切换power灯和data灯提示。</w:t>
            </w:r>
            <w:r>
              <w:rPr>
                <w:rFonts w:hint="eastAsia" w:ascii="宋体" w:hAnsi="宋体" w:eastAsia="Arial" w:cs="宋体"/>
                <w:b/>
                <w:bCs/>
                <w:color w:val="000000"/>
                <w:sz w:val="20"/>
                <w:szCs w:val="20"/>
                <w:lang w:val="en-US" w:eastAsia="zh-CN" w:bidi="ar-SA"/>
              </w:rPr>
              <w:t xml:space="preserve">(需提供此条参数的功能功能截图和具有国家认可的第三方机构检测（测试）报告原件扫描件，以证明其参数符合性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系统要求支持可视化自由搭建虚拟演播场景，无限图层自定义，采用无轨虚拟演播技术，支持单个条目无轨虚拟≥20个虚拟机位，支持虚拟镜头推拉，平移，旋转，运动速度可自由调节，无须移动或者操作真实摄像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7、主机支持多路视频信号通道接入，调音台，摄像机的控制，系统检测，媒体预览，图片预览，三维虚拟演播室，场景导入，下游键，切换T型杆，录制直播，外部输出，场景编辑器等。</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8、支持摄像机控制：摄像机的控制：≥6个视频通道支持云台控制，可自定义控制协议，tcp，udp，visca，pelco等协议。每个摄像机支持≥15个预置位存储，存储的位置支持预览图显示。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9、外部输出：支持SDI，hdmi等视频输出，输出画面可自定义，PGM,PVW,通道。输出画面独立显示，可支持分割画面，4画面/10画面/16画面等分割输出。同时可以支持JPG/PNG/TIFF/BMP格式截图输出，可同时输出多种格式。</w:t>
            </w:r>
            <w:r>
              <w:rPr>
                <w:rFonts w:ascii="宋体" w:hAnsi="宋体" w:eastAsia="Arial" w:cs="宋体"/>
                <w:color w:val="000000"/>
                <w:sz w:val="20"/>
                <w:szCs w:val="20"/>
                <w:lang w:val="en-US" w:eastAsia="zh-CN" w:bidi="ar-SA"/>
              </w:rPr>
            </w:r>
            <w:r/>
          </w:p>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10、主机采用白名单模式可对视频、图片、文本、网络媒体文件进行严格分析、匹配和过滤，支持分散配置，集中管理；支持视频素材盘保护及安全共享，支持单向、双向文件交互。可对移动存储、P2 卡、CF 卡、SXS 卡、蓝光、光盘等大量常用外设不使用任何外接设备直接接入计算机直接防护</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11.为保障系统的稳定性，</w:t>
            </w:r>
            <w:r>
              <w:rPr>
                <w:rFonts w:hint="eastAsia" w:ascii="宋体" w:hAnsi="宋体" w:eastAsia="Arial" w:cs="宋体"/>
                <w:b/>
                <w:bCs/>
                <w:color w:val="000000"/>
                <w:sz w:val="20"/>
                <w:szCs w:val="20"/>
                <w:lang w:val="en-US" w:eastAsia="zh-CN" w:bidi="ar-SA"/>
              </w:rPr>
              <w:t xml:space="preserve">需提供带有CMA机构出具的带有标识的检测报告原件扫描件，并加盖投标单位公章。</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虚拟演播室系统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需具备导播切换，调音台，虚拟演播室，字幕图文，录制直播功能，提供场景，字幕编辑器，通道，视频，图片前后景别自由设定等。虚拟场景，字幕条，物件等带有≥500套以上。</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1、支持主监和预监设置：预监窗口可以通过鼠标或者导播台切换到主监窗口，切换同时可以支持载入各种特效和转换时间完成切换执行。主监窗口双击可以放大。</w:t>
            </w:r>
            <w:r>
              <w:rPr>
                <w:rFonts w:ascii="宋体" w:hAnsi="宋体" w:eastAsia="Arial" w:cs="宋体"/>
                <w:color w:val="000000"/>
                <w:sz w:val="20"/>
                <w:szCs w:val="20"/>
                <w:lang w:val="en-US" w:eastAsia="zh-CN" w:bidi="ar-SA"/>
              </w:rPr>
            </w:r>
            <w:r/>
          </w:p>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2、系统支持模板编辑功能，可根据实际使用需求，打造个人模板库，并支持添加、删除、重命名等常规操作；系统支持模板即时编辑即时保存功能，自动生成工程文件，防止因突然断电而无法保存工程文件</w:t>
            </w:r>
            <w:r>
              <w:rPr>
                <w:rFonts w:hint="eastAsia" w:ascii="宋体" w:hAnsi="宋体" w:eastAsia="宋体" w:cs="宋体"/>
                <w:color w:val="000000"/>
                <w:sz w:val="20"/>
                <w:szCs w:val="20"/>
                <w:lang w:val="en-US" w:eastAsia="zh-CN" w:bidi="ar-SA"/>
              </w:rPr>
              <w:t xml:space="preserve">。</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3、统支持画笔功能，可方便录课时随时在当前画面上进行标注，圈画，书写等功能，画笔的颜色，粗细均可选择；支持方形和圆形的输入；支持文字的输入。</w:t>
            </w:r>
            <w:r>
              <w:rPr>
                <w:rFonts w:ascii="宋体" w:hAnsi="宋体" w:eastAsia="Arial" w:cs="宋体"/>
                <w:color w:val="000000"/>
                <w:sz w:val="20"/>
                <w:szCs w:val="20"/>
                <w:lang w:val="en-US" w:eastAsia="zh-CN" w:bidi="ar-SA"/>
              </w:rPr>
            </w:r>
            <w:r/>
          </w:p>
          <w:p>
            <w:pPr>
              <w:pStyle w:val="752"/>
              <w:jc w:val="left"/>
              <w:widowControl/>
              <w:rPr>
                <w:rFonts w:hint="eastAsia"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4、系统自带绿膜抠像软件可实现书写大屏虚拟变色：一键变绿、蓝、红三种颜色背景；可独立设置色值，支持独立的显示为绿色，采集端正常颜色，不接受贴膜或贴布形式。</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5、界面分为主监和预监，通道接入，调音台，摄像机的控制，媒体预览，图片预览，三维虚拟演播室，场景导入，下游键，切换T型杆，录制直播，外部输出，场景编辑器等</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通道接入：通道输入，每个通道支持亮度，对比度，色相饱和度，色阶的调节，色阶可调节输入输出的黑色，白色，伽马等。每个视频通道可以支持视频的0-360度旋转和镜像，支持手机竖屏直播。对通道可以执行逐行，隔行，混合扫描，可独立设置音频的延迟，延迟时间自定义。包含多个视频源通道输入，DDR通道，图片通道，多个场景通道。每个通道支持亮度，对比度。视频源可选择本地视频，S</w:t>
            </w:r>
            <w:r>
              <w:rPr>
                <w:rFonts w:hint="eastAsia" w:ascii="宋体" w:hAnsi="宋体" w:eastAsia="Arial" w:cs="宋体"/>
                <w:color w:val="000000"/>
                <w:sz w:val="20"/>
                <w:szCs w:val="20"/>
                <w:lang w:val="en-US" w:eastAsia="zh-CN" w:bidi="ar-SA"/>
              </w:rPr>
              <w:t xml:space="preserve">DI视频，HDMI视频，网络视频（rtsp，rtmp）等。通道支持对视频，音频，长宽比，变换，剪切，抠像，颜色校正，水平矫正，缩放等调节。通道视频设置可对视频源选择，音频轨道接入的32000-48000HZ等，视频轨道4K-1080P选择，交错模式，硬件加速，本地视频可以支持循环播放，单次播放等。通道音频设置音量大小，静音设置，声音定位，平衡音通道映射的左右通道。通道长宽比设置全屏，拉伸，修剪等，长宽比可设置16：9，4：3，自定义等通过到变换可对视频的水平和垂直翻转.通道修剪可设置视频的上下左右剪切比例。</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7、通道抠像实时源，本地视频和图片进行抠像，可以对视频进行裁切，具有色建取色后进行内外半径Y轴，色彩范围，亮度等调整，</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t xml:space="preserve">通道颜色矫正可实时对颜色的低中高拖拽式操作，每种设置有256色系。</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8、通道水平矫正支持对全部颜色矫正，独立的红绿蓝颜色矫正，黑色和白色基准矫正等。通道缩放可对视频进行放大缩小，进度条拖拽形式。</w:t>
            </w:r>
            <w:r>
              <w:rPr>
                <w:rFonts w:ascii="宋体" w:hAnsi="宋体" w:eastAsia="Arial" w:cs="宋体"/>
                <w:b/>
                <w:bCs/>
                <w:color w:val="000000"/>
                <w:sz w:val="20"/>
                <w:szCs w:val="20"/>
                <w:lang w:val="en-US" w:eastAsia="zh-CN" w:bidi="ar-SA"/>
              </w:rPr>
            </w:r>
            <w:r/>
          </w:p>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支持视频源通道输入：通道的视频信号支持4k，2k，1080P的接入，本地视频，图片，序列，播出列表，CG文件，3D场景，音频信号，NDI采集，PPT导入，网络流（rtsp，rtmp，tcp，udp，http，https等网络流视频），彩条，黑场</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DDR通道：支持多路的本地视频导入。每个通道可加入不限制本地视频数量，每个视频可自定义播放时长，循环播放，列表播放，支持对视频的任意裁切。每个通道可加入不限制本地视频数量，每个视频可自定义播放时长，标注出入点，循环播放，列表播放，播放完成自动转场等。可设置自定义按键执行列表播放。支持对视频的任意裁切。</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11、图片通道：支持通道的图片输入，图片格式支持jpg，png，gif等格式。每个通道对图片数量无限制。对每个图片可以进行任意裁切缩放等。图片也可以设定自定义播放时长，循环，列表。</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2D和2.5D，3D场景通道：支持多个通过CG制作的场景通道每个场景通道可自定义输入和设置。场景通道加入多画面，字幕条，虚拟场景等。每个通道对带有编辑功能对场景的字字幕，图形，通道视频，本地视频图片叠加。叠加的物件通道可支持前后景别设置，支持多种发光字体导入，带有时间线设置出入时间。</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13、支持图片输入，图片格式支持jpg，png，gif等格式。每个通道对图片数量无限制。对每个图片可以进行任意裁切缩放等。图片也可以设定自定义播放时长，循环，列表。自定义按键等</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14、支持多个场景通道每个场景通道可自定义输入和设置。场景通道课加入多画面，字幕条，虚拟场景等。每个通道对带有编辑功能对场景的字字幕，图形，通道视频，</w:t>
            </w:r>
            <w:r>
              <w:rPr>
                <w:rFonts w:hint="eastAsia" w:ascii="宋体" w:hAnsi="宋体" w:eastAsia="Arial" w:cs="宋体"/>
                <w:color w:val="000000"/>
                <w:sz w:val="20"/>
                <w:szCs w:val="20"/>
                <w:lang w:val="en-US" w:eastAsia="zh-CN" w:bidi="ar-SA"/>
              </w:rPr>
              <w:t xml:space="preserve">本地视频图片叠加。叠加的物件通道可支持前后景别设置，锁定，每个图层可设置多种内外发光，内外阴影，3D特效等。对场景素材的尺寸变换，裁切，xyz轴旋转，添加颜色，圆角度数，边缘渐变，遮罩羽化，alpha等。通道特效支持各种风格美化美颜，模糊，锐化，色彩校正，等几十种。抠像：扣篮抠绿一键完成。抠像支持色键和取色值，色键课实现边缘模糊缩边的调整，颜色溢出调整，场景支持大屏输入可设置多个。对输入的视频可以放大，缩小是否加入遮罩等，每个场景最多可有10个虚拟机位。多个场景之间无缝切换，主持人无需换场地直接无缝换场景。</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调音台：每个通道支持音频的输入调节，pvw和pgm通道音量监测和全局音量监测。全局音源可自定义设置通道添加到调音台。可支持每个通道支持平衡音调节，音量大小，耳机监听，哑音，一键输出到PGM等。通道的音频可以自定义添加或取消。机器内置独立的软件调音功能，对接windows底层，可控制windows音量输入输出等</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16、摄像机的控制：视频通道支持云台控制，可自定义控制协议，tcp，udp，visca，pelco等协议。每个摄像机支持15个预置位存储，存储的位置支持预览图显示。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17、系统监测：系统实时监测CPU,memory，GPU，GPUMemory，网络链接，上传下载，硬盘大小写入速度等。</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18、下游键：支持多个下游键，每个下游键可自定义通道，是否执行，每个下游键支持快捷按键操作。支持台标，LOGO的自定义添加，数量不限制，位置不限等</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19、切换T型杆：支持CUT，TAKE，彩条，FTB切换，带有多种切割，划像，3D，淡入淡出等特效。</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20、直播：自定义服务器地址，支持带用户名和密码推流，推流码率可自定义。推流地址可添加多个。</w:t>
            </w:r>
            <w:r>
              <w:rPr>
                <w:rFonts w:ascii="宋体" w:hAnsi="宋体" w:eastAsia="Arial" w:cs="宋体"/>
                <w:color w:val="000000"/>
                <w:sz w:val="20"/>
                <w:szCs w:val="20"/>
                <w:lang w:val="en-US" w:eastAsia="zh-CN" w:bidi="ar-SA"/>
              </w:rPr>
            </w:r>
            <w:r/>
          </w:p>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CG字幕：强大的CG字幕可以编辑摄像机，视频，图片，文字等导入字幕编辑后再次导入虚拟使用。能够制作丰富的字幕模板,并且还可以制作虚拟场景。对每个素材可以进行位置图层调整。字幕列表：可添加CG字幕编辑好的场景或者字幕，可导入多个字幕文件，支持拍打唱词效果</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场景编辑器：支持可视化编辑器直观制作，无限通道，无限图层；具备图层，动作，属性功能。带有广电级别的安全框设置，导入视频，图片，通道，序列，字幕，特效字幕，音量显示等。自带30套发光字幕模板可选择，可指定时间线设置进场和退场等。自带100多种字幕条。支持物件树状图结构，可对转换的XY尺寸宽高，透明度设置。动画设置可自定义淡出，渐变，移动，缩放，旋转等。颜色填充支持线性和渐变，可选纹理，笔画，阴影，发光，光泽等。</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23、具备图层</w:t>
            </w:r>
            <w:r>
              <w:rPr>
                <w:rFonts w:hint="eastAsia" w:ascii="宋体" w:hAnsi="宋体" w:eastAsia="Arial" w:cs="宋体"/>
                <w:color w:val="000000"/>
                <w:sz w:val="20"/>
                <w:szCs w:val="20"/>
                <w:lang w:val="en-US" w:eastAsia="zh-CN" w:bidi="ar-SA"/>
              </w:rPr>
              <w:t xml:space="preserve">，动作，属性功能 对场景素材的尺寸变换，裁切，xyz轴旋转，添加颜色，圆角度数，边缘渐变，遮罩羽化，alpha等。通道特效支持各种风格美化美颜，模糊，锐化，色彩校正，等几十种。抠像：抠蓝抠绿一键完成。抠像支持色键和取色值，色键课实现边缘模糊缩边的调整，颜色溢出调整.24、录制格式可支持MOV,AVI,MP4等格式，录制视频可自定义选择分割时间。录制码率可自定义选择，分辨率最高支持4K的录制。帧率最高支持60p。音频编码码率，采样率可自由选择。支持多通道录制，每个通道可自定义设置码率，视频分割时间，音频等调节</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导播切换台</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视频播放列表控制和音量调节：可以控制录播的添加的播放列表，上一个，下一个视频的播放暂停，音量大小。主监录制的音频的大小调节</w:t>
            </w:r>
            <w:r>
              <w:rPr>
                <w:rFonts w:ascii="宋体" w:hAnsi="宋体" w:eastAsia="Arial" w:cs="宋体"/>
                <w:color w:val="000000"/>
                <w:sz w:val="20"/>
                <w:szCs w:val="20"/>
                <w:lang w:val="en-US" w:eastAsia="zh-CN" w:bidi="ar-SA"/>
              </w:rPr>
            </w:r>
            <w:r/>
          </w:p>
          <w:p>
            <w:pPr>
              <w:pStyle w:val="752"/>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录制输出：控制录播的录制，直播，多通道录制，视频通过视频卡显卡输出等。</w:t>
            </w:r>
            <w:r>
              <w:rPr>
                <w:rFonts w:ascii="宋体" w:hAnsi="宋体" w:eastAsia="Arial" w:cs="宋体"/>
                <w:color w:val="000000"/>
                <w:sz w:val="20"/>
                <w:szCs w:val="20"/>
                <w:lang w:val="en-US" w:eastAsia="zh-CN" w:bidi="ar-SA"/>
              </w:rPr>
            </w:r>
            <w:r/>
          </w:p>
          <w:p>
            <w:pPr>
              <w:pStyle w:val="752"/>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启用特效：按下会相应控制录播软件的特效启用，启用后通过切换执行当前特效效果。</w:t>
            </w:r>
            <w:r>
              <w:rPr>
                <w:rFonts w:ascii="宋体" w:hAnsi="宋体" w:eastAsia="Arial" w:cs="宋体"/>
                <w:color w:val="000000"/>
                <w:sz w:val="20"/>
                <w:szCs w:val="20"/>
                <w:lang w:val="en-US" w:eastAsia="zh-CN" w:bidi="ar-SA"/>
              </w:rPr>
            </w:r>
            <w:r/>
          </w:p>
          <w:p>
            <w:pPr>
              <w:pStyle w:val="752"/>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主监和预监：支持主监和预监的的≥12路视频切换，支持TAKE,CUT和T-BAR的切换</w:t>
            </w:r>
            <w:r>
              <w:rPr>
                <w:rFonts w:ascii="宋体" w:hAnsi="宋体" w:eastAsia="Arial" w:cs="宋体"/>
                <w:color w:val="000000"/>
                <w:sz w:val="20"/>
                <w:szCs w:val="20"/>
                <w:lang w:val="en-US" w:eastAsia="zh-CN" w:bidi="ar-SA"/>
              </w:rPr>
            </w:r>
            <w:r/>
          </w:p>
          <w:p>
            <w:pPr>
              <w:pStyle w:val="752"/>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云台控制和虚拟机位：可通过云台的四维摇杆控制云台会议摄像机的上下左右，变倍等。可以实现软件和导播台联动控制。支持≥4个虚拟集的机位控制。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非线性编辑系统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配置要求：主机配置≥i7 10700/DDR4 2*8GB双通道内存， ≥250G固态硬盘，≥素材盘1TB 128MB 7200RPM硬盘，≥4G显卡，≥4U工控机箱。</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1、课件剪辑系统，全中文编辑软件。</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2、实时混编任何SD和HD视频素材</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3、原码编辑支持，包括DV、HDV、AVCHD、无压缩和更多</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4、新的GPU加速3D转场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5、快速灵活的用户界面，包括无限视频、音频、字幕和图形轨道</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6、实时编辑和转换不同的HD/SD宽高比，比如16:9和 4:3</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7、实时编辑和转换不同的帧速率，比如60i、50i和24p</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8、实时编辑和转换不同的分辨率，比如1920x1080、1440x1080、1280x720和720x480</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9、实时HD/SD效果、键、转场和字幕</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10、支持新的基于文件的格式，包括Infinity JPEG 2000、XDCAM和XDCAM EX、P2 （DVCPRO 和 AVC-Intra）和GFCAM实时、无需渲染的时间线直接DV输出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11、多机位模式支持同时编辑最多达8个机位序列嵌套</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12、高速SD和HDV MPEG-2时间线输出，专为双核CPU技术设计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13、高质量、多格式视频输出到Infinity JPEG 2000、MPEG-2、AVCHD、AVC-Intra和更多。</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14、直接时间线DVD输出 .</w:t>
            </w:r>
            <w:r>
              <w:rPr>
                <w:rFonts w:ascii="宋体" w:hAnsi="宋体" w:eastAsia="Arial" w:cs="宋体"/>
                <w:color w:val="000000"/>
                <w:sz w:val="20"/>
                <w:szCs w:val="20"/>
                <w:lang w:val="en-US" w:eastAsia="zh-CN" w:bidi="ar-SA"/>
              </w:rPr>
            </w:r>
            <w:r/>
          </w:p>
          <w:p>
            <w:pPr>
              <w:pStyle w:val="752"/>
              <w:jc w:val="left"/>
              <w:widowControl/>
              <w:rPr>
                <w:rFonts w:ascii="Calibri" w:hAnsi="Calibri" w:eastAsia="Arial" w:cs="Arial"/>
                <w:sz w:val="21"/>
                <w:szCs w:val="22"/>
                <w:lang w:val="en-US" w:eastAsia="zh-CN" w:bidi="ar-SA"/>
              </w:rPr>
            </w:pPr>
            <w:r>
              <w:rPr>
                <w:rFonts w:hint="eastAsia" w:ascii="宋体" w:hAnsi="宋体" w:eastAsia="Arial" w:cs="宋体"/>
                <w:color w:val="000000"/>
                <w:sz w:val="20"/>
                <w:szCs w:val="20"/>
                <w:lang w:val="en-US" w:eastAsia="zh-CN" w:bidi="ar-SA"/>
              </w:rPr>
              <w:t xml:space="preserve">15、支持图片格式</w:t>
            </w:r>
            <w:r>
              <w:rPr>
                <w:rFonts w:ascii="Calibri" w:hAnsi="Calibri" w:eastAsia="Arial" w:cs="Arial"/>
                <w:sz w:val="21"/>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返看4K显示器含支架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1、屏幕尺寸：≥55英寸；</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2、分辨率：≥4K(3840×2160)；</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3、屏幕比例：16:9；</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4、RAM内存：≥2GB；</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5、容量：≥64GB；</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6、刷新率：≥60Hz。</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移动电视支架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1、≥55寸电视支架带移动滑轮；</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2、材质：冷轧钢板；</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3、电视机适用尺寸：32-55英寸；</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4、最大承重：100IBS（45.5kg）；</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5、适用的VESA孔位：200*200-600*400mm；</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6、上下调节高度：1200-1500mm；</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7、旋转角度：360°。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主持人提词器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1、系统支持WIN10系统。</w:t>
            </w:r>
            <w:r>
              <w:rPr>
                <w:rFonts w:ascii="宋体" w:hAnsi="宋体" w:eastAsia="Arial" w:cs="宋体"/>
                <w:color w:val="000000"/>
                <w:sz w:val="20"/>
                <w:szCs w:val="20"/>
                <w:lang w:val="en-US" w:eastAsia="zh-CN" w:bidi="ar-SA"/>
              </w:rPr>
            </w:r>
            <w:r/>
          </w:p>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2、系统要求字色、底色256色任意搭配，男女播音员可分别选择不同的背景色和字色方便男女播音员选择自己的播音词,字体和字的大小任意选择，可选多种角色，以区分男角女角或更多播音角色</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文稿录入、编辑方便，操作简单，自动完成排版, 支持txt、rtf 、word 等格式文本</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3、分别采用监视器和高分辨率的彩显，清晰度高，字迹清晰。可台内外联网。可与文稿摄像方式联用，组成二合一型。适用于各电视台演播室的录、直播节目需要。文稿字迹明亮清晰 支持自定义不同角色的字号/字体/颜色显示。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4、段落格式，项目符号，缩进，行间距都可以设置。日期时间随时插入演播稿。</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5、软件支持汉、藏、蒙、傣、维、朝鲜等少数民族语言。而且还支持国外的一些语言英、日、韩、德、俄、法、阿拉伯文等国家语言。（可根据客户的要求来增加一些语言）</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6、系统自动记录演播稿，当发生异常停电事故后再加电时自动寻找并且打开演播稿，并保证演播稿的完整性。</w:t>
            </w:r>
            <w:r>
              <w:rPr>
                <w:rFonts w:ascii="宋体" w:hAnsi="宋体" w:eastAsia="Arial" w:cs="宋体"/>
                <w:color w:val="000000"/>
                <w:sz w:val="20"/>
                <w:szCs w:val="20"/>
                <w:lang w:val="en-US" w:eastAsia="zh-CN" w:bidi="ar-SA"/>
              </w:rPr>
            </w:r>
            <w:r/>
          </w:p>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7、相对滚动时间、当前时间可同屏显示，任意设置大小、颜色，一目了然，更易把握节奏；重点语句可通过颜色标明</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8、更加细致，信息栏、更新时间、演播速度等方便实用。</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9、内容实时更新，更新过程播出不中断、不闪烁，更新速度快。</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10、控制方式灵活多样，键盘、鼠标、控制手柄均可，字幕速度变化范围可随意调节，前后跳段翻页方便自如；播音稿的行进速度可由播音员自己通过手柄控制，可单、双人控制，方便自如.</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11、采用进口多层宽带介质分光膜（硬膜）玻璃，厚度仅为2mm，光损失率在3%以下，反光度达到50％.</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12、彩色液晶平板显示器，清晰度高，规格有19"。</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13、软件解决双屏正像问题，使播音员和技术区操作更方便直观。</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形式多样化，可将微机和摄像两种方式合二为一，相互切换，以适应应急新闻的播出.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14、双屏液晶功能提词器,主屏幕显示实时字幕,负屏幕实时监测拍摄结果进监视</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15、软件支持图片格式，软件最新升级版采用的是激光笔，控制灵敏度也提高。</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提词器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配置≥i7-11390H 处理器，≥四核 八线程配置，≥12MB 三级缓存。</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≥16GB DDR4 内存，≥512GB 固态硬盘；≥15.6 英寸的 FHD 屏幕，支持 DC 调光。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4K转换器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numPr>
                <w:ilvl w:val="0"/>
                <w:numId w:val="6"/>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SD视频格式：525159.94 NTSC 625150 PAL</w:t>
            </w:r>
            <w:r>
              <w:rPr>
                <w:rFonts w:ascii="宋体" w:hAnsi="宋体" w:eastAsia="Arial" w:cs="宋体"/>
                <w:color w:val="000000"/>
                <w:sz w:val="20"/>
                <w:szCs w:val="20"/>
                <w:lang w:val="en-US" w:eastAsia="zh-CN" w:bidi="ar-SA"/>
              </w:rPr>
            </w:r>
            <w:r/>
          </w:p>
          <w:p>
            <w:pPr>
              <w:pStyle w:val="752"/>
              <w:numPr>
                <w:ilvl w:val="0"/>
                <w:numId w:val="6"/>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2、HD视频格式：20p50  720p59.94、 720p60、7080p23.98，1080624、 7080p25、 1080p29.97.1080p30、1080p47.95</w:t>
            </w:r>
            <w:r>
              <w:rPr>
                <w:rFonts w:hint="eastAsia" w:ascii="宋体" w:hAnsi="宋体" w:eastAsia="Arial" w:cs="宋体"/>
                <w:color w:val="000000"/>
                <w:sz w:val="20"/>
                <w:szCs w:val="20"/>
                <w:lang w:val="en-US" w:eastAsia="zh-CN" w:bidi="ar-SA"/>
              </w:rPr>
              <w:t xml:space="preserve">、 1080p48、 1080p50、1080p59.94.1080p60、1080PSF25、1080P5F29.97、 1080PSF30、7080150、 7080159.94 7080160、3、2K视频格式：2Kp23.98 DCI 2Kp24DCI、 2Kp25 DCI2Kp29.97 DCl2Kp30 DC1、 2Kp47.95 DCI2Kp48 DCI2Kp50 DCI、2Kp59.94 DCI、2Kp60 DCI、2KPsF25 DCI、2KPSF29.97 DCI、2KPSF30 DCI</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4、Ultra HD视频格式：2760p23.98  276024  2160p25、 2160029.972160p302160p47.95、 216048、 2160p502160p59.94. 2160060</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5、4K视频格式：4Kp23.98 DCI4Kp24DC 4Kp25 DCI4Kp29.97 DCI，4Kp30 DCI 4Kp47.95 DCI4Kp48 DCI、4Kp50 DCI、4Kp59.94 DCI和4Kp60 DCI</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6、SDI规范：SMPTE 259M.SMPTE 292M SMPTE 296MSMPTE 424M.SMPTE 425M SMPTE 2081-1SMPTE 2081-10 SMPTE 2082-1 MPTE 2082-105MPTE 2084利5MPTE 2108-1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6路导播通话</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1、小型主机，可加拓件上机架</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2、频率范围 400-470Mhz</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3、通话距离 市区常规天线2公里，空旷地带距离更远,穿墙6-8层。</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4、发射功率 ≤1W</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5、主机尺寸/重量 440x255x44mm / 2kg</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6、主机支持分机数量 不限</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7、主机支持随时发起呼叫</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8、信道数 36[3组]</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9、灵敏度 -107dbm</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10、空中传输速率 100Kbps</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11、加密 32位通信密码</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12、数字语音编码 8K采样率16bits精度</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调音台</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1、话筒：≥6</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2、频响：+0.5dB/-0.5dB（20Hz-20kHz）</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3、总谐波失真：0.03%@+14dBu（20 Hz-20kHz）</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4、输入通道：12通道：单声道：4；立体声：4</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5、输出通道：STEREO OUT：2；PHONES：1</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6、母线：立体声：1；编组：2，AUX</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7、电平表：2x12 - 点距LED电平表[PEAK，+10，+6，+3，0，-3，-6，-10，-15，-20，-25，-30dB]</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8、幻象电源电压：+48V</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9、功率要求：AC 100-240V，50/60Hz</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10、外观尺寸：≥308×118×422mm</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11、功耗：≤22W</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12、操作温度：0-40℃</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13、净重：2.1kg</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播音话筒</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1、薄膜类型 单声道驻极体电容麦克风</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2、频率响应 40 Hz - 20 kHz</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3、指向性 单向（超心形）</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4、灵敏度*[1] -36 dB ±3 dB</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5、输出阻抗*[2] 220Ω±20% - 平衡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6、动态范围 幻像电源： 107 dB 或更高</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7、电池： 98 dB 或更高</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8、信噪比*[3] 77 dB 或更高</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9、固有噪声*[4] 17dB SPL 或更低</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10、外部磁场感应噪声*[5] 0dB SPL 或更低</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11、风噪*[6] 50 dB SPL（无防风罩）</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12、45 dB SPL 或更低（带防风罩）</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13、最大输入声压级*[7] 幻像电源： 124 dB SPL</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14、电池： 115 dB SPL</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支</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20</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监听耳机</w:t>
            </w:r>
            <w:r>
              <w:rPr>
                <w:rFonts w:hint="eastAsia" w:ascii="宋体" w:hAnsi="宋体" w:eastAsia="宋体" w:cs="宋体"/>
                <w:color w:val="000000"/>
                <w:sz w:val="20"/>
                <w:szCs w:val="20"/>
                <w:highlight w:val="none"/>
                <w:lang w:val="en-US" w:eastAsia="zh-CN" w:bidi="ar-SA"/>
              </w:rPr>
              <w:t xml:space="preserve">1</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头戴监听耳机</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1</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个</w:t>
            </w:r>
            <w:r>
              <w:rPr>
                <w:rFonts w:ascii="宋体" w:hAnsi="宋体" w:eastAsia="Arial" w:cs="宋体"/>
                <w:color w:val="000000"/>
                <w:sz w:val="20"/>
                <w:szCs w:val="20"/>
                <w:highlight w:val="none"/>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监听音箱</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≥4英寸2.0音响，信噪比：85db，接口：莲花头接口，功率：40w-100w；净重：≤6.6KG。</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对</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操作台</w:t>
            </w:r>
            <w:r>
              <w:rPr>
                <w:rFonts w:hint="eastAsia" w:ascii="宋体" w:hAnsi="宋体" w:eastAsia="Arial" w:cs="宋体"/>
                <w:color w:val="000000"/>
                <w:sz w:val="20"/>
                <w:szCs w:val="20"/>
                <w:lang w:val="en-US" w:eastAsia="zh-CN" w:bidi="ar-SA"/>
              </w:rPr>
            </w:r>
            <w:r/>
          </w:p>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(含1座椅)</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1.控制台设计严格遵循人体工程学。 三联</w:t>
            </w:r>
            <w:r>
              <w:rPr>
                <w:rFonts w:ascii="宋体" w:hAnsi="宋体" w:eastAsia="Arial" w:cs="宋体"/>
                <w:color w:val="000000"/>
                <w:sz w:val="20"/>
                <w:szCs w:val="20"/>
                <w:lang w:val="en-US" w:eastAsia="zh-CN" w:bidi="ar-SA"/>
              </w:rPr>
            </w:r>
            <w:r/>
          </w:p>
          <w:p>
            <w:pPr>
              <w:pStyle w:val="752"/>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整体外观流线造型，设计创新、结构合理、加工精细简洁、流畅、现代、美观大方。</w:t>
            </w:r>
            <w:r>
              <w:rPr>
                <w:rFonts w:hint="eastAsia"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各部位尺寸均依据人体工程学经过精确计算，所有角、边均设计为弧线过渡，既保证操作安全\舒适又方便操作。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控制台内均按国际电工标准安装，适用于通讯指挥、调度中心、保安监控、广电等领域具有较强的通用性。 </w:t>
            </w:r>
            <w:r>
              <w:rPr>
                <w:rFonts w:ascii="宋体" w:hAnsi="宋体" w:eastAsia="Arial" w:cs="宋体"/>
                <w:color w:val="000000"/>
                <w:sz w:val="20"/>
                <w:szCs w:val="20"/>
                <w:lang w:val="en-US" w:eastAsia="zh-CN" w:bidi="ar-SA"/>
              </w:rPr>
            </w:r>
            <w:r/>
          </w:p>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控制台内各单元互相贯通，走线方便</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侧板、台面板、前扶手等均可选为木制材料或钢质材料，色彩丰富，其余均为优质冷轧钢板。</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7.表面处理：去油、磷化、电泳底漆、静电喷粉。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组</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播音桌</w:t>
            </w:r>
            <w:r>
              <w:rPr>
                <w:rFonts w:hint="eastAsia" w:ascii="宋体" w:hAnsi="宋体" w:eastAsia="Arial" w:cs="宋体"/>
                <w:color w:val="000000"/>
                <w:sz w:val="20"/>
                <w:szCs w:val="20"/>
                <w:lang w:val="en-US" w:eastAsia="zh-CN" w:bidi="ar-SA"/>
              </w:rPr>
            </w:r>
            <w:r/>
          </w:p>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(含2座椅)</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播音桌台面及下面的围条为密度板,柜体为冷轧钢板材质,木台面厚度为50MM。柜体材料厚度1.2-1.0MM，坐1-2人做新闻播音类节目，适用于各级电视台演播室</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24</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监听耳机</w:t>
            </w:r>
            <w:r>
              <w:rPr>
                <w:rFonts w:hint="eastAsia" w:ascii="宋体" w:hAnsi="宋体" w:eastAsia="宋体" w:cs="宋体"/>
                <w:color w:val="000000"/>
                <w:sz w:val="20"/>
                <w:szCs w:val="20"/>
                <w:highlight w:val="none"/>
                <w:lang w:val="en-US" w:eastAsia="zh-CN" w:bidi="ar-SA"/>
              </w:rPr>
              <w:t xml:space="preserve">2</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头戴监听耳机</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center"/>
              <w:widowControl/>
              <w:rPr>
                <w:rFonts w:ascii="宋体" w:hAnsi="宋体" w:eastAsia="Arial"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1</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个</w:t>
            </w:r>
            <w:r>
              <w:rPr>
                <w:rFonts w:ascii="宋体" w:hAnsi="宋体" w:eastAsia="Arial" w:cs="宋体"/>
                <w:color w:val="000000"/>
                <w:sz w:val="20"/>
                <w:szCs w:val="20"/>
                <w:highlight w:val="none"/>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25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电源线插板及辅材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音视频线材及配件辅材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项</w:t>
            </w:r>
            <w:r>
              <w:rPr>
                <w:rFonts w:ascii="宋体" w:hAnsi="宋体" w:eastAsia="Arial" w:cs="宋体"/>
                <w:color w:val="000000"/>
                <w:sz w:val="20"/>
                <w:szCs w:val="20"/>
                <w:lang w:val="en-US" w:eastAsia="zh-CN" w:bidi="ar-SA"/>
              </w:rPr>
            </w:r>
            <w:r/>
          </w:p>
        </w:tc>
      </w:tr>
      <w:tr>
        <w:trPr>
          <w:trHeight w:val="682"/>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hint="eastAsia" w:ascii="宋体" w:hAnsi="宋体" w:eastAsia="宋体" w:cs="宋体"/>
                <w:b/>
                <w:bCs/>
                <w:color w:val="000000"/>
                <w:sz w:val="20"/>
                <w:szCs w:val="20"/>
                <w:lang w:val="en-US" w:eastAsia="zh-CN" w:bidi="ar-SA"/>
              </w:rPr>
            </w:pPr>
            <w:r>
              <w:rPr>
                <w:rFonts w:hint="eastAsia" w:ascii="宋体" w:hAnsi="宋体" w:eastAsia="宋体" w:cs="宋体"/>
                <w:b/>
                <w:bCs/>
                <w:color w:val="000000"/>
                <w:sz w:val="20"/>
                <w:szCs w:val="20"/>
                <w:lang w:val="en-US" w:eastAsia="zh-CN" w:bidi="ar-SA"/>
              </w:rPr>
              <w:t xml:space="preserve">二</w:t>
            </w:r>
            <w:r>
              <w:rPr>
                <w:rFonts w:hint="eastAsia" w:ascii="宋体" w:hAnsi="宋体" w:eastAsia="宋体" w:cs="宋体"/>
                <w:b/>
                <w:bCs/>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79" w:type="dxa"/>
            <w:vAlign w:val="center"/>
            <w:textDirection w:val="lrTb"/>
            <w:noWrap w:val="false"/>
          </w:tcPr>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云计算技术实训室</w:t>
            </w:r>
            <w:r>
              <w:rPr>
                <w:rFonts w:ascii="宋体" w:hAnsi="宋体" w:eastAsia="Arial" w:cs="宋体"/>
                <w:b/>
                <w:bCs/>
                <w:color w:val="000000"/>
                <w:sz w:val="20"/>
                <w:szCs w:val="20"/>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26</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云虚拟化</w:t>
            </w:r>
            <w:r>
              <w:rPr>
                <w:rFonts w:hint="eastAsia" w:ascii="宋体" w:hAnsi="宋体" w:eastAsia="宋体" w:cs="宋体"/>
                <w:color w:val="000000"/>
                <w:sz w:val="20"/>
                <w:szCs w:val="20"/>
                <w:lang w:val="en-US" w:eastAsia="zh-CN" w:bidi="ar-SA"/>
              </w:rPr>
              <w:t xml:space="preserve">平台</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根</w:t>
            </w:r>
            <w:r>
              <w:rPr>
                <w:rFonts w:hint="eastAsia" w:ascii="Calibri" w:hAnsi="Calibri" w:eastAsia="Arial" w:cs="Arial"/>
                <w:sz w:val="21"/>
                <w:szCs w:val="22"/>
                <w:lang w:val="en-US" w:eastAsia="zh-CN" w:bidi="ar-SA"/>
              </w:rPr>
              <w:t xml:space="preserve">据校方在教学及科研方面的具体需求，量身打造特定配置、功能和服务的云虚拟化平台设备。在处理器、内存、硬盘等硬件组件的选择上，以及操作系统、中间件、数据库和应用软件的配置上都有极高的自由度。云虚拟化平台需要支持资源的动态分配和弹性扩展。本平台设备可以根据设备的负载情况和业务需求，灵活调整设备的配置和数量，实现资源的最大化利用和成本的有效控制。教学科研领域对云虚拟化平台有着多样化的需求，须特定软件的支持、高性能计算资源的分配等。本定制化设备能够根据不同学科和项目的需求，定制专属的虚拟环境，满足教学科研的特定要求。</w:t>
            </w:r>
            <w:r>
              <w:rPr>
                <w:rFonts w:hint="eastAsia" w:ascii="Calibri" w:hAnsi="Calibri" w:eastAsia="Arial" w:cs="Arial"/>
                <w:sz w:val="21"/>
                <w:szCs w:val="22"/>
                <w:lang w:val="en-US" w:eastAsia="zh-CN" w:bidi="ar-SA"/>
              </w:rPr>
            </w:r>
            <w:r/>
          </w:p>
          <w:p>
            <w:pPr>
              <w:pStyle w:val="752"/>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1、X86架构服务系统，非OEM产品；拥有自主知识产权；具有软硬件自主研发能力，保障后续产品的连续性；</w:t>
            </w:r>
            <w:r>
              <w:rPr>
                <w:rFonts w:hint="eastAsia" w:ascii="Calibri" w:hAnsi="Calibri" w:eastAsia="Arial" w:cs="Arial"/>
                <w:sz w:val="21"/>
                <w:szCs w:val="22"/>
                <w:lang w:val="en-US" w:eastAsia="zh-CN" w:bidi="ar-SA"/>
              </w:rPr>
            </w:r>
            <w:r/>
          </w:p>
          <w:p>
            <w:pPr>
              <w:pStyle w:val="752"/>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2、机箱高度：≥2U；</w:t>
            </w:r>
            <w:r>
              <w:rPr>
                <w:rFonts w:hint="eastAsia" w:ascii="Calibri" w:hAnsi="Calibri" w:eastAsia="Arial" w:cs="Arial"/>
                <w:sz w:val="21"/>
                <w:szCs w:val="22"/>
                <w:lang w:val="en-US" w:eastAsia="zh-CN" w:bidi="ar-SA"/>
              </w:rPr>
            </w:r>
            <w:r/>
          </w:p>
          <w:p>
            <w:pPr>
              <w:pStyle w:val="752"/>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3、CPU：≥5318Y(2.1GHz/24-core/36MB/165W)处理器*2，本项目定制款处理器，为定制的软硬一体、云边设备协同的集成化定制机器核心大脑。需满足AI 实训平台跟算力节点设备的部署调优、AI模型算法和算力资源适配和推理性能调优，教具平台中跟随机器人、图像识别设备跟平台的联动效果，算力设备需要安装定制化的云端一体化组件。</w:t>
            </w:r>
            <w:r>
              <w:rPr>
                <w:rFonts w:hint="eastAsia" w:ascii="Calibri" w:hAnsi="Calibri" w:eastAsia="Arial" w:cs="Arial"/>
                <w:sz w:val="21"/>
                <w:szCs w:val="22"/>
                <w:lang w:val="en-US" w:eastAsia="zh-CN" w:bidi="ar-SA"/>
              </w:rPr>
            </w:r>
            <w:r/>
          </w:p>
          <w:p>
            <w:pPr>
              <w:pStyle w:val="752"/>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4、内存类型：≥32G DDR4内存*6；</w:t>
            </w:r>
            <w:r>
              <w:rPr>
                <w:rFonts w:hint="eastAsia" w:ascii="Calibri" w:hAnsi="Calibri" w:eastAsia="Arial" w:cs="Arial"/>
                <w:sz w:val="21"/>
                <w:szCs w:val="22"/>
                <w:lang w:val="en-US" w:eastAsia="zh-CN" w:bidi="ar-SA"/>
              </w:rPr>
            </w:r>
            <w:r/>
          </w:p>
          <w:p>
            <w:pPr>
              <w:pStyle w:val="752"/>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5、硬盘类型：≥900GB 固态硬盘*3，支持扩展2.5/3.5寸SAS/SATA热插拔硬盘。</w:t>
            </w:r>
            <w:r>
              <w:rPr>
                <w:rFonts w:hint="eastAsia" w:ascii="Calibri" w:hAnsi="Calibri" w:eastAsia="Arial" w:cs="Arial"/>
                <w:sz w:val="21"/>
                <w:szCs w:val="22"/>
                <w:lang w:val="en-US" w:eastAsia="zh-CN" w:bidi="ar-SA"/>
              </w:rPr>
            </w:r>
            <w:r/>
          </w:p>
          <w:p>
            <w:pPr>
              <w:pStyle w:val="752"/>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6、支持扩展双Mini SSD硬盘（M.2 SSDs）内置存储；</w:t>
            </w:r>
            <w:r>
              <w:rPr>
                <w:rFonts w:hint="eastAsia" w:ascii="Calibri" w:hAnsi="Calibri" w:eastAsia="Arial" w:cs="Arial"/>
                <w:sz w:val="21"/>
                <w:szCs w:val="22"/>
                <w:lang w:val="en-US" w:eastAsia="zh-CN" w:bidi="ar-SA"/>
              </w:rPr>
            </w:r>
            <w:r/>
          </w:p>
          <w:p>
            <w:pPr>
              <w:pStyle w:val="752"/>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7、RAID：支持RAID0、1、10、5、50、6、60等，支持Cache超级电容保护，提供RAID状态迁移、RAID配置记忆、自诊断、Web远程设置等功能；</w:t>
            </w:r>
            <w:r>
              <w:rPr>
                <w:rFonts w:hint="eastAsia" w:ascii="Calibri" w:hAnsi="Calibri" w:eastAsia="Arial" w:cs="Arial"/>
                <w:sz w:val="21"/>
                <w:szCs w:val="22"/>
                <w:lang w:val="en-US" w:eastAsia="zh-CN" w:bidi="ar-SA"/>
              </w:rPr>
            </w:r>
            <w:r/>
          </w:p>
          <w:p>
            <w:pPr>
              <w:pStyle w:val="752"/>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8、PCIe扩展卡接口：支持≥10个PCIe插槽；</w:t>
            </w:r>
            <w:r>
              <w:rPr>
                <w:rFonts w:hint="eastAsia" w:ascii="Calibri" w:hAnsi="Calibri" w:eastAsia="Arial" w:cs="Arial"/>
                <w:sz w:val="21"/>
                <w:szCs w:val="22"/>
                <w:lang w:val="en-US" w:eastAsia="zh-CN" w:bidi="ar-SA"/>
              </w:rPr>
            </w:r>
            <w:r/>
          </w:p>
          <w:p>
            <w:pPr>
              <w:pStyle w:val="752"/>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9、支持的板载网卡配置：2个10GE接口与2个GE接口</w:t>
            </w:r>
            <w:r>
              <w:rPr>
                <w:rFonts w:hint="eastAsia" w:ascii="Calibri" w:hAnsi="Calibri" w:eastAsia="Arial" w:cs="Arial"/>
                <w:sz w:val="21"/>
                <w:szCs w:val="22"/>
                <w:lang w:val="en-US" w:eastAsia="zh-CN" w:bidi="ar-SA"/>
              </w:rPr>
            </w:r>
            <w:r/>
          </w:p>
          <w:p>
            <w:pPr>
              <w:pStyle w:val="752"/>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10、风扇：4个热拔插对旋风扇，支持N+1冗余</w:t>
            </w:r>
            <w:r>
              <w:rPr>
                <w:rFonts w:hint="eastAsia" w:ascii="Calibri" w:hAnsi="Calibri" w:eastAsia="Arial" w:cs="Arial"/>
                <w:sz w:val="21"/>
                <w:szCs w:val="22"/>
                <w:lang w:val="en-US" w:eastAsia="zh-CN" w:bidi="ar-SA"/>
              </w:rPr>
            </w:r>
            <w:r/>
          </w:p>
          <w:p>
            <w:pPr>
              <w:pStyle w:val="752"/>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11、电源：可配置2个冗余热插拔电源，支持1+1冗余</w:t>
            </w:r>
            <w:r>
              <w:rPr>
                <w:rFonts w:hint="eastAsia" w:ascii="Calibri" w:hAnsi="Calibri" w:eastAsia="Arial" w:cs="Arial"/>
                <w:sz w:val="21"/>
                <w:szCs w:val="22"/>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Calibri" w:hAnsi="Calibri" w:eastAsia="Arial" w:cs="Arial"/>
                <w:sz w:val="21"/>
                <w:szCs w:val="22"/>
                <w:lang w:val="en-US" w:eastAsia="zh-CN" w:bidi="ar-SA"/>
              </w:rPr>
              <w:t xml:space="preserve">12、管理：支持iBMC；支持Redfish、SNMP、IPMI2.0等主流标准接口；提供独立千兆RJ45管理网口。</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106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27</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虚拟化软件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1.虚拟化支持双架构部署，可通过一套平台对x86和ARM架构服务器进行统一管理；</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2.支持虚拟机规格的在线调整，包括CPU、内存等资源，不用重启即可生效；（仅X86）</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3.支持在CPU场景下，导入qcow2格式虚拟机模板；</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4.支持对虚拟机打一致性快照（仅X86），当发生故障时保障业务能够快速恢复到快照时间点状态；</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5.支持通过文件夹对虚拟机进行分组，不同类型的虚拟机实现逻辑分组管理，方便运维，文件夹深度最多可以支持5层，并可以对分组虚拟机批量进行关闭、启动、重启、迁移等操作；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6.支持在ARM场景下导出OVF模板；</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7.ARM场景支持USB3.0/2.0协议的直通功能，将物理服务器上的USB设备与虚拟机关联，以满足客户在虚拟化场景下使用U盘、USB加密卡等设备的需求；</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8.支持在线和离线迁移带快照的虚拟机；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9.支持动态电源管理 (DPM) ，系统可根据集群的负载情况，自动上下电主机，优化数据中心的能耗，达到节能减排的目的。</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536"/>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28</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万兆光纤交换机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1.交换容量≥2.5Tbps/23Tbps；</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2.包转发率≥700Mpps；</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3.为了提高设备散热的可靠性，支持风扇散热,智能调速；</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4.≥52个万兆端口；</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5.支持基于第二层、第三层和第四层的ACL、支持双向ACL；</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6.支持WRR、DRR、SP、WRR＋SP、DRR+SP队列调度算法；</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7.支持双向端口限速、广播风暴抑制功能。</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88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29</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以太网交换机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1.交换容量≥320Gbps；</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2.包转发率≥51Mpps；</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3.为了提高设备散热的可靠性，支持风扇散热；</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4.24个 10/100/1000Base-T 以太网端口，4个千兆 SFP；</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5.支持基于第二层、第三层和第四层的ACL、支持双向ACL；</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6.支持WRR、DRR、SP、WRR＋SP、DRR+SP队列调度算法；</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7.支持双向端口限速、广播风暴抑制功能。</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5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30</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配套实训资源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本课程设计包含18学时的理论介绍，介绍云计算基础知识（云计算概念及发展、服务器、存储、网络、操作系统），虚拟化技术简介（KVM技术），FusionCompute虚拟化产品介绍（计算虚拟化、存储虚拟化、网络虚拟化）、虚拟化资源池管理、日常运维及故障处理，桌面云解决方案介绍、FusionAccess桌面云产品及组件介绍、FusionAccess安装部署、业务管理及故障处理，以及云计算新兴技术等。辅以18学时的实践操作，提升学员的动手能力。</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配套含1套PPT、1套实验手册、1套教学大纲。</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752"/>
              <w:jc w:val="center"/>
              <w:widowControl/>
              <w:rPr>
                <w:rFonts w:hint="eastAsia" w:ascii="宋体" w:hAnsi="宋体" w:eastAsia="宋体" w:cs="宋体"/>
                <w:b/>
                <w:bCs/>
                <w:color w:val="000000"/>
                <w:sz w:val="20"/>
                <w:szCs w:val="20"/>
                <w:lang w:val="en-US" w:eastAsia="zh-CN" w:bidi="ar-SA"/>
              </w:rPr>
            </w:pPr>
            <w:r>
              <w:rPr>
                <w:rFonts w:hint="eastAsia" w:ascii="宋体" w:hAnsi="宋体" w:eastAsia="宋体" w:cs="宋体"/>
                <w:b/>
                <w:bCs/>
                <w:color w:val="000000"/>
                <w:sz w:val="20"/>
                <w:szCs w:val="20"/>
                <w:lang w:val="en-US" w:eastAsia="zh-CN" w:bidi="ar-SA"/>
              </w:rPr>
              <w:t xml:space="preserve">三</w:t>
            </w:r>
            <w:r>
              <w:rPr>
                <w:rFonts w:hint="eastAsia" w:ascii="宋体" w:hAnsi="宋体" w:eastAsia="宋体" w:cs="宋体"/>
                <w:b/>
                <w:bCs/>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79" w:type="dxa"/>
            <w:vAlign w:val="center"/>
            <w:textDirection w:val="lrTb"/>
            <w:noWrap w:val="false"/>
          </w:tcPr>
          <w:p>
            <w:pPr>
              <w:pStyle w:val="752"/>
              <w:jc w:val="left"/>
              <w:widowControl/>
              <w:rPr>
                <w:rFonts w:ascii="宋体" w:hAnsi="宋体" w:eastAsia="Arial" w:cs="宋体"/>
                <w:b/>
                <w:bCs/>
                <w:color w:val="000000"/>
                <w:sz w:val="20"/>
                <w:szCs w:val="20"/>
                <w:lang w:val="en-US" w:eastAsia="zh-CN" w:bidi="ar-SA"/>
              </w:rPr>
            </w:pP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6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8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8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8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9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9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9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9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9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9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9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29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30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30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0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0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0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0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0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0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0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0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1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1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1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1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1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1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1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2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2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2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2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2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2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2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2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2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2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3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3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3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3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3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3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3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3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3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3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4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4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4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34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34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4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4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4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4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4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35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835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835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835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835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835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835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835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835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835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836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836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836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836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836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836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836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836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836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836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837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837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837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837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837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837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837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837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837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837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838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838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838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838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838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838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838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838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838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838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839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839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839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839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839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5839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839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5839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5839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5839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5840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5840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5840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5840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5840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5840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5840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5840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5840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5840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841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841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5841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5841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5841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5841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841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841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5841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841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5842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5842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5842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842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842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5842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842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5842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5842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5842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5843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5843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5843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5843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5843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5843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5843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5843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5843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5843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5844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5844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5844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5844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5844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5844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5844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5844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5844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5844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5845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5845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5845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5845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5845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5845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5845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5845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5845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65845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5846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5846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65846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65846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65846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65846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65846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65846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65846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65846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65847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65847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65847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65847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65847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65847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65847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65847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65847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65847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4" o:title=""/>
                    </v:shape>
                  </w:pict>
                </mc:Fallback>
              </mc:AlternateContent>
            </w:r>
            <w:r>
              <w:rPr>
                <w:rFonts w:hint="eastAsia" w:ascii="宋体" w:hAnsi="宋体" w:eastAsia="Arial" w:cs="宋体"/>
                <w:b/>
                <w:bCs/>
                <w:color w:val="000000"/>
                <w:sz w:val="20"/>
                <w:szCs w:val="20"/>
                <w:lang w:val="en-US" w:eastAsia="zh-CN" w:bidi="ar-SA"/>
              </w:rPr>
              <w:t xml:space="preserve">配套基础设施及装修建设</w:t>
            </w:r>
            <w:r>
              <w:rPr>
                <w:rFonts w:ascii="宋体" w:hAnsi="宋体" w:eastAsia="Arial" w:cs="宋体"/>
                <w:b/>
                <w:bCs/>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31</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算力设备智能管理机房模块1（列间空调 ）</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1）列间空调制冷量≥25.5kW，显冷量≥25.5kW，风量应≥</w:t>
            </w:r>
            <w:r>
              <w:rPr>
                <w:rFonts w:hint="eastAsia" w:ascii="宋体" w:hAnsi="宋体" w:eastAsia="宋体" w:cs="宋体"/>
                <w:color w:val="ff0000"/>
                <w:sz w:val="20"/>
                <w:szCs w:val="20"/>
                <w:lang w:val="en-US" w:eastAsia="zh-CN" w:bidi="ar-SA"/>
              </w:rPr>
              <w:t xml:space="preserve">4750</w:t>
            </w:r>
            <w:r>
              <w:rPr>
                <w:rFonts w:hint="eastAsia" w:ascii="宋体" w:hAnsi="宋体" w:eastAsia="Arial" w:cs="宋体"/>
                <w:color w:val="000000"/>
                <w:sz w:val="20"/>
                <w:szCs w:val="20"/>
                <w:lang w:val="en-US" w:eastAsia="zh-CN" w:bidi="ar-SA"/>
              </w:rPr>
              <w:t xml:space="preserve">m³/h，显热比为1，能效比（EER）≥</w:t>
            </w:r>
            <w:r>
              <w:rPr>
                <w:rFonts w:hint="eastAsia" w:ascii="宋体" w:hAnsi="宋体" w:eastAsia="Arial" w:cs="宋体"/>
                <w:color w:val="ff0000"/>
                <w:sz w:val="20"/>
                <w:szCs w:val="20"/>
                <w:lang w:val="en-US" w:eastAsia="zh-CN" w:bidi="ar-SA"/>
              </w:rPr>
              <w:t xml:space="preserve">3.</w:t>
            </w:r>
            <w:r>
              <w:rPr>
                <w:rFonts w:hint="eastAsia" w:ascii="宋体" w:hAnsi="宋体" w:eastAsia="宋体" w:cs="宋体"/>
                <w:color w:val="ff0000"/>
                <w:sz w:val="20"/>
                <w:szCs w:val="20"/>
                <w:lang w:val="en-US" w:eastAsia="zh-CN" w:bidi="ar-SA"/>
              </w:rPr>
              <w:t xml:space="preserve">6</w:t>
            </w:r>
            <w:r>
              <w:rPr>
                <w:rFonts w:hint="eastAsia" w:ascii="宋体" w:hAnsi="宋体" w:eastAsia="Arial" w:cs="宋体"/>
                <w:color w:val="000000"/>
                <w:sz w:val="20"/>
                <w:szCs w:val="20"/>
                <w:lang w:val="en-US" w:eastAsia="zh-CN" w:bidi="ar-SA"/>
              </w:rPr>
              <w:t xml:space="preserve">（（室内⼲球温度37℃，相对湿度24%，室外温度35℃）。全年能效比≥5.4，再加热量≥4.3kW，加湿量≥3.5kg/h，采用R410A环保制冷剂</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2)列间精密空调主电源应为380VAC/3Ph/50Hz，允许电压波动范围：380VAC±10%，频率：50HZ±2Hz。</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3)列间精密空调应为恒温恒湿，风冷，变频压缩机，EC风机，风冷正面送风。</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4)列间精密空调压缩机必须采用高效可靠的知名品牌压缩机直流变频压缩机</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rPr>
                <w:rFonts w:hint="eastAsia" w:ascii="宋体" w:hAnsi="宋体" w:eastAsia="宋体"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5)列间精密空调应采用</w:t>
            </w:r>
            <w:r>
              <w:rPr>
                <w:rFonts w:hint="eastAsia" w:ascii="宋体" w:hAnsi="宋体" w:eastAsia="宋体" w:cs="宋体"/>
                <w:color w:val="ff0000"/>
                <w:sz w:val="20"/>
                <w:szCs w:val="20"/>
                <w:lang w:val="en-US" w:eastAsia="zh-CN" w:bidi="ar-SA"/>
              </w:rPr>
              <w:t xml:space="preserve">3</w:t>
            </w:r>
            <w:r>
              <w:rPr>
                <w:rFonts w:hint="eastAsia" w:ascii="宋体" w:hAnsi="宋体" w:eastAsia="Arial" w:cs="宋体"/>
                <w:color w:val="ff0000"/>
                <w:sz w:val="20"/>
                <w:szCs w:val="20"/>
                <w:lang w:val="en-US" w:eastAsia="zh-CN" w:bidi="ar-SA"/>
              </w:rPr>
              <w:t xml:space="preserve">个</w:t>
            </w:r>
            <w:r>
              <w:rPr>
                <w:rFonts w:hint="eastAsia" w:ascii="宋体" w:hAnsi="宋体" w:eastAsia="Arial" w:cs="宋体"/>
                <w:color w:val="000000"/>
                <w:sz w:val="20"/>
                <w:szCs w:val="20"/>
                <w:lang w:val="en-US" w:eastAsia="zh-CN" w:bidi="ar-SA"/>
              </w:rPr>
              <w:t xml:space="preserve">可调速的EC风机，机应配置独立的控制开关，支持在线维护</w:t>
            </w:r>
            <w:r>
              <w:rPr>
                <w:rFonts w:hint="eastAsia" w:ascii="宋体" w:hAnsi="宋体" w:eastAsia="宋体" w:cs="宋体"/>
                <w:b/>
                <w:bCs/>
                <w:color w:val="000000"/>
                <w:sz w:val="20"/>
                <w:szCs w:val="20"/>
                <w:lang w:val="en-US" w:eastAsia="zh-CN" w:bidi="ar-SA"/>
              </w:rPr>
              <w:t xml:space="preserve">。</w:t>
            </w:r>
            <w:r>
              <w:rPr>
                <w:rFonts w:hint="eastAsia" w:ascii="宋体" w:hAnsi="宋体" w:eastAsia="宋体" w:cs="宋体"/>
                <w:b/>
                <w:bCs/>
                <w:color w:val="000000"/>
                <w:sz w:val="20"/>
                <w:szCs w:val="20"/>
                <w:lang w:val="en-US" w:eastAsia="zh-CN" w:bidi="ar-SA"/>
              </w:rPr>
            </w:r>
            <w:r/>
          </w:p>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6)列间精密空调配置配油分离器。</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7)列间精密空调配置视液镜及单向阀</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8)为提高换热效率，空调室内机蒸发器应采用规格不低于φ9.52mm的换热管直径。</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9)列间精密空调应采用单片式“/”型蒸发器，为有效防止吹水，蒸发器中间配备接水盘</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10)列间精密空调应采用环保型制冷剂R410A。</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11)列间精密空调室外风机应采用知名品牌风机，室外风机叶片应为全金属材质。</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12)列间精密空调室外冷凝器风机应采用变频无极全调速方式，可根据冷凝压力自动调节。</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13)列间精密空调设备的人机界面应采用7英寸高端真彩电容触摸屏，应支持图形状态显示和温湿度曲线显示，具有输入A/B/C每一相的电压和频率监测并显示的功能，实时掌握空调供电质量</w:t>
            </w:r>
            <w:r>
              <w:rPr>
                <w:rFonts w:hint="eastAsia" w:ascii="宋体" w:hAnsi="宋体" w:eastAsia="宋体"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14)列间精密空调群控应采用高速灵活的CAN通讯协议，同一区域支持不少于64台机组进行统一控制管理，历史告警记录应不低于</w:t>
            </w:r>
            <w:r>
              <w:rPr>
                <w:rFonts w:hint="eastAsia" w:ascii="宋体" w:hAnsi="宋体" w:eastAsia="宋体" w:cs="宋体"/>
                <w:color w:val="000000"/>
                <w:sz w:val="20"/>
                <w:szCs w:val="20"/>
                <w:lang w:val="en-US" w:eastAsia="zh-CN" w:bidi="ar-SA"/>
              </w:rPr>
              <w:t xml:space="preserve">500</w:t>
            </w:r>
            <w:r>
              <w:rPr>
                <w:rFonts w:hint="eastAsia" w:ascii="宋体" w:hAnsi="宋体" w:eastAsia="Arial" w:cs="宋体"/>
                <w:color w:val="000000"/>
                <w:sz w:val="20"/>
                <w:szCs w:val="20"/>
                <w:lang w:val="en-US" w:eastAsia="zh-CN" w:bidi="ar-SA"/>
              </w:rPr>
              <w:t xml:space="preserve">条本地显示</w:t>
            </w:r>
            <w:r>
              <w:rPr>
                <w:rFonts w:hint="eastAsia" w:ascii="宋体" w:hAnsi="宋体" w:eastAsia="Arial" w:cs="宋体"/>
                <w:b/>
                <w:bCs/>
                <w:color w:val="000000"/>
                <w:sz w:val="20"/>
                <w:szCs w:val="20"/>
                <w:lang w:val="en-US" w:eastAsia="zh-CN" w:bidi="ar-SA"/>
              </w:rPr>
              <w:t xml:space="preserve">(需提供空调本地显示屏截图证明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15)与压缩机匹配的变频器应采用寿命更长的薄膜电容</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b/>
                <w:bCs/>
                <w:color w:val="000000"/>
                <w:sz w:val="20"/>
                <w:szCs w:val="20"/>
                <w:lang w:val="en-US" w:eastAsia="zh-CN" w:bidi="ar-SA"/>
              </w:rPr>
              <w:t xml:space="preserve">1</w:t>
            </w:r>
            <w:r>
              <w:rPr>
                <w:rFonts w:hint="eastAsia"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块</w:t>
            </w:r>
            <w:r>
              <w:rPr>
                <w:rFonts w:hint="eastAsia" w:ascii="宋体" w:hAnsi="宋体" w:eastAsia="宋体"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32</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算力设备智能管理机房模块2（一体化UPS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tcPr>
          <w:p>
            <w:pPr>
              <w:pStyle w:val="752"/>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1)要求UPS为三进三出模块化UPS，模块化机柜满配容量应≤</w:t>
            </w:r>
            <w:r>
              <w:rPr>
                <w:rFonts w:hint="eastAsia" w:ascii="宋体" w:hAnsi="宋体" w:eastAsia="宋体" w:cs="宋体"/>
                <w:color w:val="000000"/>
                <w:sz w:val="20"/>
                <w:szCs w:val="20"/>
                <w:lang w:val="en-US" w:eastAsia="zh-CN" w:bidi="ar-SA"/>
              </w:rPr>
              <w:t xml:space="preserve">125</w:t>
            </w:r>
            <w:r>
              <w:rPr>
                <w:rFonts w:hint="eastAsia" w:ascii="宋体" w:hAnsi="宋体" w:eastAsia="Arial" w:cs="宋体"/>
                <w:color w:val="000000"/>
                <w:sz w:val="20"/>
                <w:szCs w:val="20"/>
                <w:lang w:val="en-US" w:eastAsia="zh-CN" w:bidi="ar-SA"/>
              </w:rPr>
              <w:t xml:space="preserve">kVA；功率模块容量要求应≤</w:t>
            </w:r>
            <w:r>
              <w:rPr>
                <w:rFonts w:hint="eastAsia" w:ascii="宋体" w:hAnsi="宋体" w:eastAsia="宋体" w:cs="宋体"/>
                <w:color w:val="000000"/>
                <w:sz w:val="20"/>
                <w:szCs w:val="20"/>
                <w:lang w:val="en-US" w:eastAsia="zh-CN" w:bidi="ar-SA"/>
              </w:rPr>
              <w:t xml:space="preserve">2</w:t>
            </w:r>
            <w:r>
              <w:rPr>
                <w:rFonts w:hint="eastAsia" w:ascii="宋体" w:hAnsi="宋体" w:eastAsia="Arial" w:cs="宋体"/>
                <w:color w:val="000000"/>
                <w:sz w:val="20"/>
                <w:szCs w:val="20"/>
                <w:lang w:val="en-US" w:eastAsia="zh-CN" w:bidi="ar-SA"/>
              </w:rPr>
              <w:t xml:space="preserve">5kVA；本次UPS实际配置75kVA，</w:t>
            </w:r>
            <w:r>
              <w:rPr>
                <w:rFonts w:hint="eastAsia" w:ascii="宋体" w:hAnsi="宋体" w:eastAsia="Arial" w:cs="宋体"/>
                <w:b/>
                <w:bCs/>
                <w:color w:val="000000"/>
                <w:sz w:val="20"/>
                <w:szCs w:val="20"/>
                <w:lang w:val="en-US" w:eastAsia="zh-CN" w:bidi="ar-SA"/>
              </w:rPr>
              <w:t xml:space="preserve">需提供产品彩页说明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2)UPS系统满足国标51194-2016.6.2.2设计规范模块化UPS功率模块具有独立控制能力。采用分散非主从控制方式，每个功率模块采用独立的双DSP控制技术，单个模块可独立运行，拒绝集中控制器带来单点故障隐患</w:t>
            </w:r>
            <w:r>
              <w:rPr>
                <w:rFonts w:hint="eastAsia" w:ascii="宋体" w:hAnsi="宋体" w:eastAsia="Arial" w:cs="宋体"/>
                <w:b/>
                <w:bCs/>
                <w:color w:val="000000"/>
                <w:sz w:val="20"/>
                <w:szCs w:val="20"/>
                <w:lang w:val="en-US" w:eastAsia="zh-CN" w:bidi="ar-SA"/>
              </w:rPr>
              <w:t xml:space="preserve">。UPS系统的所有功率模块具备设置逐个启动的功能，以更好地配合前端发电机平滑开启，避免UPS启动导致发电机死机现象。需提供功率模块逐个启动功能报告证明原件扫描件，并加盖投标单位公章。</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3)要求UPS输入电压304~485V线电压，输入功率因数≧0.99，整机效率≧95%（100%负载），输出有功功率100%，输出电流不均衡度≤1%（100%负载）</w:t>
            </w:r>
            <w:r>
              <w:rPr>
                <w:rFonts w:hint="eastAsia" w:ascii="宋体" w:hAnsi="宋体" w:eastAsia="Arial" w:cs="宋体"/>
                <w:b w:val="0"/>
                <w:bCs w:val="0"/>
                <w:color w:val="000000"/>
                <w:sz w:val="20"/>
                <w:szCs w:val="20"/>
                <w:lang w:val="en-US" w:eastAsia="zh-CN" w:bidi="ar-SA"/>
              </w:rPr>
              <w:t xml:space="preserve">。</w:t>
            </w:r>
            <w:r>
              <w:rPr>
                <w:rFonts w:hint="eastAsia" w:ascii="宋体" w:hAnsi="宋体" w:eastAsia="Arial" w:cs="宋体"/>
                <w:b/>
                <w:bCs/>
                <w:color w:val="000000"/>
                <w:sz w:val="20"/>
                <w:szCs w:val="20"/>
                <w:lang w:val="en-US" w:eastAsia="zh-CN" w:bidi="ar-SA"/>
              </w:rPr>
              <w:t xml:space="preserve">需提供具有国家认可的第三方机构检测（测试）报告原件扫描件，</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4)整机采用集中旁路设计，避免分散旁路造成旁路环流问题而引发故障</w:t>
            </w:r>
            <w:r>
              <w:rPr>
                <w:rFonts w:hint="eastAsia" w:ascii="宋体" w:hAnsi="宋体" w:eastAsia="Arial" w:cs="宋体"/>
                <w:b/>
                <w:bCs/>
                <w:color w:val="000000"/>
                <w:sz w:val="20"/>
                <w:szCs w:val="20"/>
                <w:lang w:val="en-US" w:eastAsia="zh-CN" w:bidi="ar-SA"/>
              </w:rPr>
              <w:t xml:space="preserve">。需提供具有国家认可的第三方机构检测（测试）报告原件扫描件，</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5)模块化UPS的所有模块包括旁路模块、监控模块、功率模块等均须支持在线热插拔提升系统高可靠性及高可用性</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6)为便于操作和维护，系统显示须采用7英寸及以上LCD大屏幕触摸屏+LED+按键方式，</w:t>
            </w:r>
            <w:r>
              <w:rPr>
                <w:rFonts w:hint="eastAsia" w:ascii="宋体" w:hAnsi="宋体" w:eastAsia="Arial" w:cs="宋体"/>
                <w:b/>
                <w:bCs/>
                <w:color w:val="000000"/>
                <w:sz w:val="20"/>
                <w:szCs w:val="20"/>
                <w:lang w:val="en-US" w:eastAsia="zh-CN" w:bidi="ar-SA"/>
              </w:rPr>
              <w:t xml:space="preserve">需提实物照片证明并加盖投标人公章。要求触摸屏监控软件为自主开发，需提供相应证书</w:t>
            </w:r>
            <w:r>
              <w:rPr>
                <w:rFonts w:hint="eastAsia" w:ascii="宋体" w:hAnsi="宋体" w:eastAsia="宋体" w:cs="宋体"/>
                <w:b/>
                <w:bCs/>
                <w:color w:val="000000"/>
                <w:sz w:val="20"/>
                <w:szCs w:val="20"/>
                <w:lang w:val="en-US" w:eastAsia="zh-CN" w:bidi="ar-SA"/>
              </w:rPr>
              <w:t xml:space="preserve">原件扫描</w:t>
            </w:r>
            <w:r>
              <w:rPr>
                <w:rFonts w:hint="eastAsia" w:ascii="宋体" w:hAnsi="宋体" w:eastAsia="Arial" w:cs="宋体"/>
                <w:b/>
                <w:bCs/>
                <w:color w:val="000000"/>
                <w:sz w:val="20"/>
                <w:szCs w:val="20"/>
                <w:lang w:val="en-US" w:eastAsia="zh-CN" w:bidi="ar-SA"/>
              </w:rPr>
              <w:t xml:space="preserve">件</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7)系统应采用分散充电设计，每个功率模块应具有独立的充电功能，避免充电器单点故障，提高系统的可靠性；充电功率可进行1～20%的设置</w:t>
            </w:r>
            <w:r>
              <w:rPr>
                <w:rFonts w:hint="eastAsia" w:ascii="宋体" w:hAnsi="宋体" w:eastAsia="Arial" w:cs="宋体"/>
                <w:b/>
                <w:bCs/>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t xml:space="preserve"> </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8)电池组节数可进行±16～±22节设置，便于未来遭遇个别电池故障需要维护、更换时, 可灵活调节电池节数的需要</w:t>
            </w:r>
            <w:r>
              <w:rPr>
                <w:rFonts w:hint="eastAsia" w:ascii="宋体" w:hAnsi="宋体" w:eastAsia="Arial" w:cs="宋体"/>
                <w:b/>
                <w:bCs/>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t xml:space="preserve"> </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9)功率模块采用隔离风道设计，PCB与散热通道完全隔离。 </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10)要求UPS音频噪音≤62dB</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11)要求UPS耐雷电流等级和技术要求应符合YD/T944-2007防雷性能。</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12)要求UPS具有功能模块休眠功能，并能手动自动开启或关闭改功能。</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13)要求UPS具有高温和低温工作实验测试，在40℃和5℃情况下连续通电负载试验2h应能正常工作，</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rPr>
                <w:rFonts w:hint="eastAsia" w:ascii="宋体" w:hAnsi="宋体" w:eastAsia="宋体"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hint="eastAsia" w:ascii="宋体" w:hAnsi="宋体" w:eastAsia="宋体" w:cs="宋体"/>
                <w:color w:val="000000"/>
                <w:sz w:val="20"/>
                <w:szCs w:val="20"/>
                <w:lang w:val="en-US" w:eastAsia="zh-CN" w:bidi="ar-SA"/>
              </w:rPr>
              <w:t xml:space="preserve">4</w:t>
            </w:r>
            <w:r>
              <w:rPr>
                <w:rFonts w:hint="eastAsia" w:ascii="宋体" w:hAnsi="宋体" w:eastAsia="Arial" w:cs="宋体"/>
                <w:color w:val="000000"/>
                <w:sz w:val="20"/>
                <w:szCs w:val="20"/>
                <w:lang w:val="en-US" w:eastAsia="zh-CN" w:bidi="ar-SA"/>
              </w:rPr>
              <w:t xml:space="preserve">)功率模块采用人性化的编号方法和编号装置，UPS系统可智能识别，无需通过拨码或软件设置</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b/>
                <w:bCs/>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tcPr>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块</w:t>
            </w:r>
            <w:r>
              <w:rPr>
                <w:rFonts w:hint="eastAsia" w:ascii="宋体" w:hAnsi="宋体" w:eastAsia="宋体"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33</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算力设备智能管理机房模块3（封闭冷通道及设备机柜）</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w:t>
            </w:r>
            <w:r>
              <w:rPr>
                <w:rFonts w:hint="eastAsia" w:ascii="宋体" w:hAnsi="宋体" w:eastAsia="Arial" w:cs="宋体"/>
                <w:color w:val="000000"/>
                <w:sz w:val="20"/>
                <w:szCs w:val="20"/>
                <w:lang w:val="en-US" w:eastAsia="zh-CN" w:bidi="ar-SA"/>
              </w:rPr>
              <w:t xml:space="preserve">满足标准19英寸IT和网络设备的放置，前进风、后出风，其设计符合YD/T2319标准，尺寸为W600*D1200*H2000，内部空间42U。</w:t>
            </w:r>
            <w:r>
              <w:rPr>
                <w:rFonts w:ascii="宋体" w:hAnsi="宋体" w:eastAsia="Arial" w:cs="宋体"/>
                <w:color w:val="000000"/>
                <w:sz w:val="20"/>
                <w:szCs w:val="20"/>
                <w:lang w:val="en-US" w:eastAsia="zh-CN" w:bidi="ar-SA"/>
              </w:rPr>
            </w:r>
            <w:r/>
          </w:p>
          <w:p>
            <w:pPr>
              <w:pStyle w:val="752"/>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2.</w:t>
            </w:r>
            <w:r>
              <w:rPr>
                <w:rFonts w:hint="eastAsia" w:ascii="宋体" w:hAnsi="宋体" w:eastAsia="Arial" w:cs="宋体"/>
                <w:color w:val="000000"/>
                <w:sz w:val="20"/>
                <w:szCs w:val="20"/>
                <w:lang w:val="en-US" w:eastAsia="zh-CN" w:bidi="ar-SA"/>
              </w:rPr>
              <w:t xml:space="preserve">提供的所有机柜涂层厚度应满足66u、80uM的外观防护要求。</w:t>
            </w:r>
            <w:r>
              <w:rPr>
                <w:rFonts w:ascii="宋体" w:hAnsi="宋体" w:eastAsia="Arial" w:cs="宋体"/>
                <w:color w:val="000000"/>
                <w:sz w:val="20"/>
                <w:szCs w:val="20"/>
                <w:lang w:val="en-US" w:eastAsia="zh-CN" w:bidi="ar-SA"/>
              </w:rPr>
            </w:r>
            <w:r/>
          </w:p>
          <w:p>
            <w:pPr>
              <w:pStyle w:val="752"/>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3.</w:t>
            </w:r>
            <w:r>
              <w:rPr>
                <w:rFonts w:hint="eastAsia" w:ascii="宋体" w:hAnsi="宋体" w:eastAsia="Arial" w:cs="宋体"/>
                <w:color w:val="000000"/>
                <w:sz w:val="20"/>
                <w:szCs w:val="20"/>
                <w:lang w:val="en-US" w:eastAsia="zh-CN" w:bidi="ar-SA"/>
              </w:rPr>
              <w:t xml:space="preserve">表面喷涂处理：机柜表面在喷塑前进行酸洗、磷化处理；再进行喷涂。采用先进的表面处理技术和材料，确保表层耐磨；同时，确保达到防静电及国际标准，表面喷塑厚度达到70-130um，表面喷塑硬度应大于2H，附着力达到高等级国际标准，达到国家无毒无害的喷涂标准。</w:t>
            </w:r>
            <w:r>
              <w:rPr>
                <w:rFonts w:ascii="宋体" w:hAnsi="宋体" w:eastAsia="Arial" w:cs="宋体"/>
                <w:color w:val="000000"/>
                <w:sz w:val="20"/>
                <w:szCs w:val="20"/>
                <w:lang w:val="en-US" w:eastAsia="zh-CN" w:bidi="ar-SA"/>
              </w:rPr>
            </w:r>
            <w:r/>
          </w:p>
          <w:p>
            <w:pPr>
              <w:pStyle w:val="752"/>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4.</w:t>
            </w:r>
            <w:r>
              <w:rPr>
                <w:rFonts w:hint="eastAsia" w:ascii="宋体" w:hAnsi="宋体" w:eastAsia="Arial" w:cs="宋体"/>
                <w:color w:val="000000"/>
                <w:sz w:val="20"/>
                <w:szCs w:val="20"/>
                <w:lang w:val="en-US" w:eastAsia="zh-CN" w:bidi="ar-SA"/>
              </w:rPr>
              <w:t xml:space="preserve">机柜门板设计：采用外开门方式，配置蜂窝状高密度通透网孔门，网孔通透率达75%，网孔区域及门板整体不变形，门板装配后无倾斜、凹陷、凸起或局部扭曲等不良现象。</w:t>
            </w:r>
            <w:r>
              <w:rPr>
                <w:rFonts w:ascii="宋体" w:hAnsi="宋体" w:eastAsia="Arial" w:cs="宋体"/>
                <w:color w:val="000000"/>
                <w:sz w:val="20"/>
                <w:szCs w:val="20"/>
                <w:lang w:val="en-US" w:eastAsia="zh-CN" w:bidi="ar-SA"/>
              </w:rPr>
            </w:r>
            <w:r/>
          </w:p>
          <w:p>
            <w:pPr>
              <w:pStyle w:val="752"/>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5.</w:t>
            </w:r>
            <w:r>
              <w:rPr>
                <w:rFonts w:hint="eastAsia" w:ascii="宋体" w:hAnsi="宋体" w:eastAsia="Arial" w:cs="宋体"/>
                <w:color w:val="000000"/>
                <w:sz w:val="20"/>
                <w:szCs w:val="20"/>
                <w:lang w:val="en-US" w:eastAsia="zh-CN" w:bidi="ar-SA"/>
              </w:rPr>
              <w:t xml:space="preserve">机柜为前单后双网孔门，开门角度不应小于115°。</w:t>
            </w:r>
            <w:r>
              <w:rPr>
                <w:rFonts w:ascii="宋体" w:hAnsi="宋体" w:eastAsia="Arial" w:cs="宋体"/>
                <w:color w:val="000000"/>
                <w:sz w:val="20"/>
                <w:szCs w:val="20"/>
                <w:lang w:val="en-US" w:eastAsia="zh-CN" w:bidi="ar-SA"/>
              </w:rPr>
            </w:r>
            <w:r/>
          </w:p>
          <w:p>
            <w:pPr>
              <w:pStyle w:val="752"/>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6.</w:t>
            </w:r>
            <w:r>
              <w:rPr>
                <w:rFonts w:hint="eastAsia" w:ascii="宋体" w:hAnsi="宋体" w:eastAsia="Arial" w:cs="宋体"/>
                <w:color w:val="000000"/>
                <w:sz w:val="20"/>
                <w:szCs w:val="20"/>
                <w:lang w:val="en-US" w:eastAsia="zh-CN" w:bidi="ar-SA"/>
              </w:rPr>
              <w:t xml:space="preserve">机柜的动态承重不小于1600kg、机柜的静态承重放在置72h情况下不小于2500kg。</w:t>
            </w:r>
            <w:r>
              <w:rPr>
                <w:rFonts w:ascii="宋体" w:hAnsi="宋体" w:eastAsia="Arial" w:cs="宋体"/>
                <w:color w:val="000000"/>
                <w:sz w:val="20"/>
                <w:szCs w:val="20"/>
                <w:lang w:val="en-US" w:eastAsia="zh-CN" w:bidi="ar-SA"/>
              </w:rPr>
            </w:r>
            <w:r/>
          </w:p>
          <w:p>
            <w:pPr>
              <w:pStyle w:val="752"/>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7.</w:t>
            </w:r>
            <w:r>
              <w:rPr>
                <w:rFonts w:hint="eastAsia" w:ascii="宋体" w:hAnsi="宋体" w:eastAsia="Arial" w:cs="宋体"/>
                <w:color w:val="000000"/>
                <w:sz w:val="20"/>
                <w:szCs w:val="20"/>
                <w:lang w:val="en-US" w:eastAsia="zh-CN" w:bidi="ar-SA"/>
              </w:rPr>
              <w:t xml:space="preserve">要求机柜满足设备抗地震性能检测规范要求带载630kg工况下的8、9烈度抗震检验报告。</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块</w:t>
            </w:r>
            <w:r>
              <w:rPr>
                <w:rFonts w:hint="eastAsia" w:ascii="宋体" w:hAnsi="宋体" w:eastAsia="宋体"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34</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微模块动力环境监控系统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1、精密</w:t>
            </w:r>
            <w:r>
              <w:rPr>
                <w:rFonts w:hint="eastAsia" w:ascii="宋体" w:hAnsi="宋体" w:eastAsia="宋体" w:cs="宋体"/>
                <w:color w:val="000000"/>
                <w:sz w:val="20"/>
                <w:szCs w:val="20"/>
                <w:lang w:val="en-US" w:eastAsia="zh-CN" w:bidi="ar-SA"/>
              </w:rPr>
              <w:t xml:space="preserve">智能</w:t>
            </w:r>
            <w:r>
              <w:rPr>
                <w:rFonts w:ascii="宋体" w:hAnsi="宋体" w:eastAsia="Arial" w:cs="宋体"/>
                <w:color w:val="000000"/>
                <w:sz w:val="20"/>
                <w:szCs w:val="20"/>
                <w:lang w:val="en-US" w:eastAsia="zh-CN" w:bidi="ar-SA"/>
              </w:rPr>
              <w:t xml:space="preserve">配电监控系统</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b/>
                <w:bCs/>
                <w:color w:val="000000"/>
                <w:sz w:val="20"/>
                <w:szCs w:val="20"/>
                <w:lang w:val="en-US" w:eastAsia="zh-CN" w:bidi="ar-SA"/>
              </w:rPr>
            </w:pPr>
            <w:r>
              <w:rPr>
                <w:rFonts w:ascii="宋体" w:hAnsi="宋体" w:eastAsia="Arial" w:cs="宋体"/>
                <w:b/>
                <w:bCs/>
                <w:color w:val="000000"/>
                <w:sz w:val="20"/>
                <w:szCs w:val="20"/>
                <w:lang w:val="en-US" w:eastAsia="zh-CN" w:bidi="ar-SA"/>
              </w:rPr>
              <w:t xml:space="preserve">为保证系统兼容性，要求提供所投品牌精密智能配电系统著作权，并原始取得全部权利，需提供相关软件著作权登记证书证明</w:t>
            </w:r>
            <w:r>
              <w:rPr>
                <w:rFonts w:hint="eastAsia" w:ascii="宋体" w:hAnsi="宋体" w:eastAsia="宋体" w:cs="宋体"/>
                <w:b/>
                <w:bCs/>
                <w:color w:val="000000"/>
                <w:sz w:val="20"/>
                <w:szCs w:val="20"/>
                <w:lang w:val="en-US" w:eastAsia="zh-CN" w:bidi="ar-SA"/>
              </w:rPr>
              <w:t xml:space="preserve">并加盖投标单位公章</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2、精密空调监控系统</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监测精密空调的运行参数及状态，并可实现远程开关机启停控制和参数设置。</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3、UPS监控系统</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监测UPS的输入、输出电流、电压、频率、温度、旁路等运行参数和工作状态。</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4、温湿度监控系统</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温湿度：监测微模块内重要区域的温度、湿度数值及变化情况。</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5</w:t>
            </w:r>
            <w:r>
              <w:rPr>
                <w:rFonts w:ascii="宋体" w:hAnsi="宋体" w:eastAsia="Arial" w:cs="宋体"/>
                <w:color w:val="000000"/>
                <w:sz w:val="20"/>
                <w:szCs w:val="20"/>
                <w:lang w:val="en-US" w:eastAsia="zh-CN" w:bidi="ar-SA"/>
              </w:rPr>
              <w:t xml:space="preserve">、视频监控系统</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b w:val="0"/>
                <w:bCs w:val="0"/>
                <w:color w:val="000000"/>
                <w:sz w:val="20"/>
                <w:szCs w:val="20"/>
                <w:lang w:val="en-US" w:eastAsia="zh-CN" w:bidi="ar-SA"/>
              </w:rPr>
            </w:pPr>
            <w:r>
              <w:rPr>
                <w:rFonts w:ascii="宋体" w:hAnsi="宋体" w:eastAsia="Arial" w:cs="宋体"/>
                <w:b w:val="0"/>
                <w:bCs w:val="0"/>
                <w:color w:val="000000"/>
                <w:sz w:val="20"/>
                <w:szCs w:val="20"/>
                <w:lang w:val="en-US" w:eastAsia="zh-CN" w:bidi="ar-SA"/>
              </w:rPr>
              <w:t xml:space="preserve">为保证系统兼容性，视频监控系统采用嵌入式技术，无需安装第三方软件进行管理，无需安装第三方软件，无需跳转。</w:t>
            </w:r>
            <w:r>
              <w:rPr>
                <w:rFonts w:ascii="宋体" w:hAnsi="宋体" w:eastAsia="Arial" w:cs="宋体"/>
                <w:b w:val="0"/>
                <w:bCs w:val="0"/>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6</w:t>
            </w:r>
            <w:r>
              <w:rPr>
                <w:rFonts w:ascii="宋体" w:hAnsi="宋体" w:eastAsia="Arial" w:cs="宋体"/>
                <w:color w:val="000000"/>
                <w:sz w:val="20"/>
                <w:szCs w:val="20"/>
                <w:lang w:val="en-US" w:eastAsia="zh-CN" w:bidi="ar-SA"/>
              </w:rPr>
              <w:t xml:space="preserve">、门禁监控系统</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b/>
                <w:bCs/>
                <w:color w:val="000000"/>
                <w:sz w:val="20"/>
                <w:szCs w:val="20"/>
                <w:lang w:val="en-US" w:eastAsia="zh-CN" w:bidi="ar-SA"/>
              </w:rPr>
            </w:pPr>
            <w:r>
              <w:rPr>
                <w:rFonts w:ascii="宋体" w:hAnsi="宋体" w:eastAsia="Arial" w:cs="宋体"/>
                <w:color w:val="000000"/>
                <w:sz w:val="20"/>
                <w:szCs w:val="20"/>
                <w:lang w:val="en-US" w:eastAsia="zh-CN" w:bidi="ar-SA"/>
              </w:rPr>
              <w:t xml:space="preserve">门禁监控系统采用嵌入式技术，无需安装第三方软件进行管理，同时支持本地门禁控制和远程动环控制，在动环监控界面实时监视端门的开启状态，门开启超过设定时间时发出报警</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7</w:t>
            </w:r>
            <w:r>
              <w:rPr>
                <w:rFonts w:ascii="宋体" w:hAnsi="宋体" w:eastAsia="Arial" w:cs="宋体"/>
                <w:color w:val="000000"/>
                <w:sz w:val="20"/>
                <w:szCs w:val="20"/>
                <w:lang w:val="en-US" w:eastAsia="zh-CN" w:bidi="ar-SA"/>
              </w:rPr>
              <w:t xml:space="preserve">、21寸电脑显示系统                  </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8</w:t>
            </w:r>
            <w:r>
              <w:rPr>
                <w:rFonts w:ascii="宋体" w:hAnsi="宋体" w:eastAsia="Arial" w:cs="宋体"/>
                <w:color w:val="000000"/>
                <w:sz w:val="20"/>
                <w:szCs w:val="20"/>
                <w:lang w:val="en-US" w:eastAsia="zh-CN" w:bidi="ar-SA"/>
              </w:rPr>
              <w:t xml:space="preserve">、动环监控主机参数</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硬件参数</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(1)动环主机1U机架式结构，双电源输入，双网口设计，液晶显示，自身具备独立的后备电池。</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(2)传感器设备供电应支持主机供电，不用外接电源，杜绝节点故障；</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(3)CPU性能不低于：ARM Cortex-A8 32-Bit 303MHz 高速中央处理器。</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(4)接口不少于2路RJ45形态RS232/RS485复用串口，8路RJ45形态RS485串口 ，2路DB9形态RS232接口，2路USB2.0设备接入，6路输出干接点接口，8路输入干接点接口，网络接口：10/100Mbps高速以太网络自适应</w:t>
            </w:r>
            <w:r>
              <w:rPr>
                <w:rFonts w:ascii="宋体" w:hAnsi="宋体" w:eastAsia="Arial" w:cs="宋体"/>
                <w:b/>
                <w:bCs/>
                <w:color w:val="000000"/>
                <w:sz w:val="20"/>
                <w:szCs w:val="20"/>
                <w:lang w:val="en-US" w:eastAsia="zh-CN" w:bidi="ar-SA"/>
              </w:rPr>
              <w:t xml:space="preserve">（提供实物产品图片</w:t>
            </w:r>
            <w:r>
              <w:rPr>
                <w:rFonts w:hint="eastAsia" w:ascii="宋体" w:hAnsi="宋体" w:eastAsia="宋体" w:cs="宋体"/>
                <w:b/>
                <w:bCs/>
                <w:color w:val="000000"/>
                <w:sz w:val="20"/>
                <w:szCs w:val="20"/>
                <w:lang w:val="en-US" w:eastAsia="zh-CN" w:bidi="ar-SA"/>
              </w:rPr>
              <w:t xml:space="preserve">，并加盖投标单位公章</w:t>
            </w:r>
            <w:r>
              <w:rPr>
                <w:rFonts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(5)网络协议需支持：TCP/IP, UDP, Telnet, SNTP, HTTP, SMTP, DHCP, DNS, TFTP, ARP, ICMP, PPP等，支持北向接口协议，如ModbusTCP、MQTT。</w:t>
            </w:r>
            <w:r>
              <w:rPr>
                <w:rFonts w:ascii="宋体" w:hAnsi="宋体" w:eastAsia="Arial" w:cs="宋体"/>
                <w:color w:val="000000"/>
                <w:sz w:val="20"/>
                <w:szCs w:val="20"/>
                <w:lang w:val="en-US" w:eastAsia="zh-CN" w:bidi="ar-SA"/>
              </w:rPr>
            </w:r>
            <w:r/>
          </w:p>
          <w:p>
            <w:pPr>
              <w:pStyle w:val="752"/>
              <w:jc w:val="left"/>
              <w:widowControl w:val="off"/>
              <w:rPr>
                <w:rFonts w:hint="eastAsia" w:ascii="宋体" w:hAnsi="宋体" w:eastAsia="宋体" w:cs="宋体"/>
                <w:color w:val="000000"/>
                <w:sz w:val="20"/>
                <w:szCs w:val="20"/>
                <w:lang w:val="en-US" w:eastAsia="zh-CN" w:bidi="ar-SA"/>
              </w:rPr>
            </w:pPr>
            <w:r>
              <w:rPr>
                <w:rFonts w:ascii="宋体" w:hAnsi="宋体" w:eastAsia="Arial"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t xml:space="preserve">6</w:t>
            </w:r>
            <w:r>
              <w:rPr>
                <w:rFonts w:ascii="宋体" w:hAnsi="宋体" w:eastAsia="Arial" w:cs="宋体"/>
                <w:color w:val="000000"/>
                <w:sz w:val="20"/>
                <w:szCs w:val="20"/>
                <w:lang w:val="en-US" w:eastAsia="zh-CN" w:bidi="ar-SA"/>
              </w:rPr>
              <w:t xml:space="preserve">)监控系统具有冗余功能，通讯总线具有容错能力，单点故障不影响其他设备；电源总线具有热备份，支持热插拔在线更换功能</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 软件技术要求</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（1）监控主机软件要求采用Power PC linux，ARM linux等嵌入式系统平台，</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（2）监控主机软件应采用B/S架构，可以通过浏览器进行管理，无需客户端安装或加载控件。</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（3）内置高性能Web服务器，支持多并发的Web访问，可以实现多人同时登入查看数据；也便于各级管理人员的登陆。</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（4）具备历史事件的存储功能及超长时钟的设计，确保系统的稳定、可靠。防止主机出现不可预见的故障或网络传输异常，可对设备的监控情况进行追溯。</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（5）系统支持进行多种形式的告警，具有至少4种告警联动机制（短信/电话语音/声光/邮件）。</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（6）历史告警记录应不低于50000条，方便对异常情况进行追溯判别</w:t>
            </w:r>
            <w:r>
              <w:rPr>
                <w:rFonts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（7）为实现智能运维及快速定位，应具备告警收敛功能：提升运维效率，节省故障排除时间，需提供至少一种重要告警的收敛功能，减少无效告警信息，准确定位故障点</w:t>
            </w:r>
            <w:r>
              <w:rPr>
                <w:rFonts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b w:val="0"/>
                <w:bCs w:val="0"/>
                <w:color w:val="000000"/>
                <w:sz w:val="20"/>
                <w:szCs w:val="20"/>
                <w:lang w:val="en-US" w:eastAsia="zh-CN" w:bidi="ar-SA"/>
              </w:rPr>
            </w:pPr>
            <w:r>
              <w:rPr>
                <w:rFonts w:ascii="宋体" w:hAnsi="宋体" w:eastAsia="Arial" w:cs="宋体"/>
                <w:color w:val="000000"/>
                <w:sz w:val="20"/>
                <w:szCs w:val="20"/>
                <w:lang w:val="en-US" w:eastAsia="zh-CN" w:bidi="ar-SA"/>
              </w:rPr>
              <w:t xml:space="preserve">（8）</w:t>
            </w:r>
            <w:r>
              <w:rPr>
                <w:rFonts w:ascii="宋体" w:hAnsi="宋体" w:eastAsia="Arial" w:cs="宋体"/>
                <w:b w:val="0"/>
                <w:bCs w:val="0"/>
                <w:color w:val="000000"/>
                <w:sz w:val="20"/>
                <w:szCs w:val="20"/>
                <w:lang w:val="en-US" w:eastAsia="zh-CN" w:bidi="ar-SA"/>
              </w:rPr>
              <w:t xml:space="preserve">为保证系统兼容与安全性，要求提供所投品牌一体化数据中心监控系统与动环监控系统软件著作权，且与精密</w:t>
            </w:r>
            <w:r>
              <w:rPr>
                <w:rFonts w:hint="eastAsia" w:ascii="宋体" w:hAnsi="宋体" w:eastAsia="Arial" w:cs="宋体"/>
                <w:b w:val="0"/>
                <w:bCs w:val="0"/>
                <w:color w:val="000000"/>
                <w:sz w:val="20"/>
                <w:szCs w:val="20"/>
                <w:lang w:val="en-US" w:eastAsia="zh-CN" w:bidi="ar-SA"/>
              </w:rPr>
              <w:t xml:space="preserve">智能</w:t>
            </w:r>
            <w:r>
              <w:rPr>
                <w:rFonts w:ascii="宋体" w:hAnsi="宋体" w:eastAsia="Arial" w:cs="宋体"/>
                <w:b w:val="0"/>
                <w:bCs w:val="0"/>
                <w:color w:val="000000"/>
                <w:sz w:val="20"/>
                <w:szCs w:val="20"/>
                <w:lang w:val="en-US" w:eastAsia="zh-CN" w:bidi="ar-SA"/>
              </w:rPr>
              <w:t xml:space="preserve">配电监控系统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精密空调监控系统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UPS监控系统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温湿度监控系统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视频监控系统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门禁监控系统为同一品牌</w:t>
            </w:r>
            <w:r>
              <w:rPr>
                <w:rFonts w:hint="eastAsia" w:ascii="宋体" w:hAnsi="宋体" w:eastAsia="宋体"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需提供相关软件著作权登记证书证明</w:t>
            </w:r>
            <w:r>
              <w:rPr>
                <w:rFonts w:hint="eastAsia" w:ascii="宋体" w:hAnsi="宋体" w:eastAsia="宋体" w:cs="宋体"/>
                <w:b w:val="0"/>
                <w:bCs w:val="0"/>
                <w:color w:val="000000"/>
                <w:sz w:val="20"/>
                <w:szCs w:val="20"/>
                <w:lang w:val="en-US" w:eastAsia="zh-CN" w:bidi="ar-SA"/>
              </w:rPr>
              <w:t xml:space="preserve">并加盖投标单位公章</w:t>
            </w:r>
            <w:r>
              <w:rPr>
                <w:rFonts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r>
            <w:r/>
          </w:p>
          <w:p>
            <w:pPr>
              <w:pStyle w:val="752"/>
              <w:jc w:val="left"/>
              <w:widowControl w:val="off"/>
              <w:rPr>
                <w:rFonts w:ascii="宋体" w:hAnsi="宋体" w:eastAsia="Arial" w:cs="宋体"/>
                <w:b/>
                <w:bCs/>
                <w:color w:val="000000"/>
                <w:sz w:val="20"/>
                <w:szCs w:val="20"/>
                <w:lang w:val="en-US" w:eastAsia="zh-CN" w:bidi="ar-SA"/>
              </w:rPr>
            </w:pPr>
            <w:r>
              <w:rPr>
                <w:rFonts w:ascii="宋体" w:hAnsi="宋体" w:eastAsia="Arial" w:cs="宋体"/>
                <w:color w:val="000000"/>
                <w:sz w:val="20"/>
                <w:szCs w:val="20"/>
                <w:lang w:val="en-US" w:eastAsia="zh-CN" w:bidi="ar-SA"/>
              </w:rPr>
              <w:t xml:space="preserve">（9）微模块监控系统具有3D展示微模块整体布局功能，以及风道冷媒流动状态显示功能</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（10）微模块可支持冷媒检测功能，并在监控系统显示告警</w:t>
            </w:r>
            <w:r>
              <w:rPr>
                <w:rFonts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val="off"/>
              <w:rPr>
                <w:rFonts w:ascii="宋体" w:hAnsi="宋体" w:eastAsia="Arial" w:cs="宋体"/>
                <w:b/>
                <w:bCs/>
                <w:color w:val="000000"/>
                <w:sz w:val="20"/>
                <w:szCs w:val="20"/>
                <w:lang w:val="en-US" w:eastAsia="zh-CN" w:bidi="ar-SA"/>
              </w:rPr>
            </w:pPr>
            <w:r>
              <w:rPr>
                <w:rFonts w:ascii="宋体" w:hAnsi="宋体" w:eastAsia="Arial" w:cs="宋体"/>
                <w:color w:val="000000"/>
                <w:sz w:val="20"/>
                <w:szCs w:val="20"/>
                <w:lang w:val="en-US" w:eastAsia="zh-CN" w:bidi="ar-SA"/>
              </w:rPr>
              <w:t xml:space="preserve">（11）微模块支持空调排水故障检测功能和溢水停机保护两级告警功能，并在监控系统显示告警</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val="off"/>
              <w:rPr>
                <w:rFonts w:ascii="宋体" w:hAnsi="宋体" w:eastAsia="Arial" w:cs="宋体"/>
                <w:b/>
                <w:bCs/>
                <w:color w:val="000000"/>
                <w:sz w:val="20"/>
                <w:szCs w:val="20"/>
                <w:lang w:val="en-US" w:eastAsia="zh-CN" w:bidi="ar-SA"/>
              </w:rPr>
            </w:pPr>
            <w:r>
              <w:rPr>
                <w:rFonts w:ascii="宋体" w:hAnsi="宋体" w:eastAsia="Arial" w:cs="宋体"/>
                <w:color w:val="000000"/>
                <w:sz w:val="20"/>
                <w:szCs w:val="20"/>
                <w:lang w:val="en-US" w:eastAsia="zh-CN" w:bidi="ar-SA"/>
              </w:rPr>
              <w:t xml:space="preserve">（12）为保证微模块整体高效节能及PUE数值的准确性，要求提供微模块在不同负载条件下，室外机温度从-5℃~35℃条件下的平均PUE值数据，综合平均PUE值小于1.2</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（13）为保证微模块内温度均匀且无局部热点，要求提供微模块在不同负载条件下，室外机温度从-5℃~35℃条件下的机柜进风口温度变化率数值，且满足国标50174相关温度要求。</w:t>
            </w:r>
            <w:r>
              <w:rPr>
                <w:rFonts w:ascii="宋体" w:hAnsi="宋体" w:eastAsia="Arial" w:cs="宋体"/>
                <w:color w:val="000000"/>
                <w:sz w:val="20"/>
                <w:szCs w:val="20"/>
                <w:lang w:val="en-US" w:eastAsia="zh-CN" w:bidi="ar-SA"/>
              </w:rPr>
            </w:r>
            <w:r/>
          </w:p>
          <w:p>
            <w:pPr>
              <w:pStyle w:val="752"/>
              <w:jc w:val="left"/>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0"/>
                <w:szCs w:val="20"/>
                <w:lang w:val="en-US" w:eastAsia="zh-CN" w:bidi="ar-SA"/>
              </w:rPr>
              <w:t xml:space="preserve">(14)微模块动力环境监控系统，</w:t>
            </w:r>
            <w:r>
              <w:rPr>
                <w:rFonts w:hint="eastAsia" w:ascii="宋体" w:hAnsi="宋体" w:eastAsia="宋体" w:cs="宋体"/>
                <w:b w:val="0"/>
                <w:bCs w:val="0"/>
                <w:color w:val="000000"/>
                <w:sz w:val="20"/>
                <w:szCs w:val="20"/>
                <w:lang w:val="en-US" w:eastAsia="zh-CN" w:bidi="ar-SA"/>
              </w:rPr>
              <w:t xml:space="preserve">要求支持本地及中心网关两级或多级管理架构，且支持移动APP管理。</w:t>
            </w:r>
            <w:r>
              <w:rPr>
                <w:rFonts w:hint="eastAsia" w:ascii="宋体" w:hAnsi="宋体" w:eastAsia="宋体"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t xml:space="preserve">需</w:t>
            </w:r>
            <w:r>
              <w:rPr>
                <w:rFonts w:hint="eastAsia" w:ascii="宋体" w:hAnsi="宋体" w:eastAsia="宋体" w:cs="宋体"/>
                <w:b/>
                <w:bCs/>
                <w:color w:val="000000"/>
                <w:sz w:val="20"/>
                <w:szCs w:val="20"/>
                <w:lang w:val="en-US" w:eastAsia="zh-CN" w:bidi="ar-SA"/>
              </w:rPr>
              <w:t xml:space="preserve">提供第三方检测报告,并加盖投标单位公章。）</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35</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货架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重型四层主架200*60*200cm，500KG/层</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36</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投影融合工程投影机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基本参数</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3LCD显示技术，液晶板尺寸≥0.64英寸；</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标准亮度≥5700流明；</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对比度≥50000:1；</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标准分辨率1920*1200（WUXGA），兼容4:3，16:9；</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标配1.6倍光学变焦镜头；可360°位移（垂直±45%， 水平±10%）；</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支持更换0.38－1.4投射比镜头； </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灯泡功率≥280W，整机功耗≤380W，节能模式下待机功耗≤0.5W；</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灯泡寿命≥3000小时（标准模式），节能模式下灯泡寿命≥4000小时；</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机器重量≥5 KG；内置扬声器≥10W；</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接口：</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输入接口：HDMI输入*2，电脑输入(15针微型D-sub)*2，视频输入（RCA）*1，色差信号*1（和电脑1共享），音频输入(3.5mm立体声微型插口)*1，音频输入（RCA L/R）*1，USB-A*1；</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输出接口：电脑输出*1（和电脑输入2共享），音频输出(3.5mm立体声微型插口)*1；</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控制接口：USB-B*1，LAN(RJ-45）*1，RS-232C接口(9针D-sub)*1；</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功能：</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采用风琴褶皱式防尘过滤网；</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滤网清洁提醒功能，到达用户设定的清洁时间，屏幕上会出现滤网警告图标；</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底部全密闭防尘结构设计，更适合吊装，有效防止灰尘侵入；</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黑板模式和幕墙色补偿功能，可设置4种幕墙背景色（红、蓝、绿、黄）；</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支持WIFI无线投影（选配）</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支持0秒冷却，菜单可设置冷却时间为0秒；</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四角梯形校正功能，实现有角度投影，垂直、水平梯形校正功能；</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曲面功能，可对曲面屏幕进行投影，并可纠正投影机投影到曲面屏幕上时出现的桶状和枕状变形；</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通过网络，局域网内电脑可将音视频信号无线传输至投影机，无需另购模块；</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单台电脑可通过网络无线连接多台投影机显示同一画面；</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网络四画面分割投影功能，多台电脑同时接入网络时，可任选其中1-4路信号同屏显示；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USB接口支持移动存储设备，实现无电脑投影，还能通过USB连接线轻松投影图像，使投影更便捷；</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USB DISPLAY功能，可通过USB线缆投影来自电脑的图像和音频，无需安装软件；</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RJ45网络控制功能，适用于局域网内计算机对投影机的远程控制；</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开机密码锁定；开机LOGO密码锁定；遥控器或者面板按键锁定功能；</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无信号自动关机；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画面静止功能；节能+静音模式；AV消音功能；画面放大功能；高海拔模式；</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顶部更换灯泡，侧面更换过滤网；</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机器面板按键、遥控器采用全中文标识，便于操作；</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37</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双通道纯硬件融合器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一、纯硬件式FPGA+DSP芯片构架，不带任何操作系统，机箱须采用标准机箱设计，可支持多台设备级联设置。</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二、输入最大支持一路高清8K输入，一路高清8K环接输出，支持一路3.5mm音频输出，单机最大支持4路高清融合输出，支持多设备级联。</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三、支持任意形状曲面网格式矫正功能，自身产生网格，可以达到像素级调整，可以任意设置节点，达到局部矫正，在异形曲面上进行画面校正，达到内容均匀一致，完整显示的效果，同时支持各种异型融合模式，可实现各种异型融合系统。</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四、支持网格透视蒙版功能，支持各种异型遮罩功能。</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五、支持在不接入任何信号源，设备支持255种底背景色彩测试图像，支持多阶色彩校正功能。</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六、支持暗场调试功能。</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七、图像处理性能极强：采集信号文字清晰、图像艳丽、色彩还原度高，用户可以拥有更舒服的视觉体验</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八、图像处理实时性强、同步性好：硬件采集延迟不到0.1秒</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九、融合调试效果佳：软件通过对每台投影机色彩、gamma、暗场进行调整，然后在对融合带色彩、gamma进行调整，使整个画面浑然一体</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十、旋转融合拼接功能：可实现90度或者270度旋转拼接融合功能，解决竖屏拼接显示需求。</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十一、设支持具备EDID配置管理，可支持自定义EDID设置，支持各种非标分辨率自定义功能，单口可只支持2K，3K，4K，5K，6K，7K，8K等各种信号采集。</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38</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弧形金属硬幕墙（含配套造型施工）</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技术参数：材质：聚碳酸酯或玻璃钢，基材可卷曲成桶状，满足搬运和安装；</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2、规格尺寸：7*2.7,以现场实际为准可适当微调；</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3、涂层处理：将复合光学材料、金属成像微粒、纳米微晶体等多种投影涂层完全的融合；</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4、整体制作：屏幕制作要求精致考究，满足项目的需求；</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5、阻燃性：阻燃达符合GB20286-2006标准中 阻燃1级；</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6、屏幕清洁：含有防污保护层，清洁便捷；</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7、绿色环保无热源，大尺寸无需传统拼接；  </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8、视角可达170°；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幅</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39</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工程投影机吊架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选用优质冷轧钢，除油，磷化，静电喷塑，重点部分采用一次性冲压成型，结实牢固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40</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音箱</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主要功能特点：卡包式多媒体音箱；低音弹性好，中频足，高频亮，低音区浑厚强劲；分频器经过专业扬声器测试系统调校、检测；音质清晰自然、人声表达准确；适用于多媒体课室、小型会议室。</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主要技术参数：额定功率：100W；最大功率：200W；额定阻抗：8Ω；频率响应：40Hz-20KHz；驱动器：一个8寸进口低音100磁35芯，2个三寸进口高音喇叭； 灵敏度：90dB/；最大声压级：121dB；分频模式：二分频；箱体及外饰：高密度中纤板（黑色）箱体，钢网；</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41</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功放</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功能特点:拥有四组输出接口，可连接二对8Ω音箱；双通道合并式功放机，音量可单独可调；内置啸叫抑制电路，有效减低扬声器啸叫问题；四路音源输入可供选择，可同时连接不同的4种音源设备，可另接扩展功放或录音等设备；</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主要技术参数：额定功率：2×100W/8Ω；频率响应：线路输入 20Hz-20KHz(±0.5dB)；信噪比：≥82dB；输入灵敏度：0.15V；总谐波失真 THD≤0.05%：输入阻抗 20KΩ，消耗功率：350W 电源：交流220V±10%/50Hz；</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42</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无线话筒</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有效距离：50米动能范围：&gt;96dB系统失真&lt;1%,1KHz调制频率响应：50Hz-18KHz（±3dB）接收频率：VHF220～300MHz 敏感度：2.0uV镜像干扰比：88dB接收频道：2路功耗：3W频率稳定度：&lt;0.002%电流耗损：&lt;25mA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43</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物联网中控</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1、一体化集成设计，本机采用人体安全电压DC12V供电。内置HDMI切换模块、VGA切换模块、声音控制模块、网络交换机模、RS232管理模块、红外控制模块、IO管理模块、一卡通模块和强电控制模块。</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2、3X2 VGA 切换，带宽400MHz，-3db，自带长线驱动器。</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3、4X2HDMI切换，分辨率1920*1080@60。内置音视频分离模块。可支持移动终端高清视频推送功能。</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4、3X2 AUDIO，频响20Hz～20kHz +1/-3dB 。1路麦克风输入；内置HDMI音频输入功能。内置IP广播模块。</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内置IC卡管理系统，前面板有插卡端口，实现“插卡开机、拔卡关机”功能。面板采用13个电容式触摸按键，镜面亚克力屏嵌入在铝磨砂面板里面；具有上课下课一键控制功能，HDMI复合按键切换功能，VGA复合按键切换功能，投影机开关机功能，一键式HDMI切换功能，一键式VGA切换功能，音量大小和静音功能，电脑开关功能，紧急报警功能和环境管控功能等。</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6、1路可编程com口管理功能，2路可编程RS232控制功能，3路红外控制，仿真存储128个单元，可自定义输出，红外载波范围10K-100KHz。2路电脑控制接口，可独立控制电脑开关机。3路IO管理。</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7、前面板接口：VGA接口1路，AUDIO接口1路，MIC接口1路，网络接口1路，USB接口2路，HDMI接口1路；ic卡插卡接口1路；万能电源座（带保护）1路。</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8、后面接口：HDMI接口5路，VGA接口4路，立体声3.5接口4路，网络接口3路，USB接口3路，天线接口1路，凤凰接口16路；强电接口3路，弱电接口1路，拨码6路。</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9、6路I/O口，可连接IC卡和电子锁。报警管理和连接。</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10、内置5口交换机，外置4路网络接口，内置1路网络接口，以便给物联网中控使用。</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11、3路电源管理，可以给系统、大屏供电和电动屏幕的控制。</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12、6路ID拨码开关设置，内置RS232代码，无需电脑软件就可以设置投影代码。</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13、.管理功能：IC卡管理。</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14、具有数据下载和上传功能。</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44</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智慧教室班牌</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硬件参数：</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1.屏幕正面采用整幅钢化玻璃，可在阳光、白炽灯、日光灯等强光照射下正常使用。</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2.采用21.5英寸电容式触摸屏，支持10点触控，分辨率≥1920*1080，显示比例16:9。</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3.屏幕亮度≥350cd/㎡。</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4.为保证设备户外使用的安全性，班牌面板防水防尘防护级别≥IP65</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5.采用高清摄像头≥200w像素</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6.刷卡器：具有内置IC卡刷卡器，学生可佩带相应的终端设备刷卡签到、登录个人界面等。</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7.为保证设备稳定性，降低整机热量温度，采用外置电源适配器方案。</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8.CPU:采用高速处理器，核心数量≥4；GPU:采用高性能流处理器，核心数量≥4</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9.系统运行内存≥2GB DDR3，存储容量≥16GB。定制Android 11。</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10.兼容多种多媒体格式，至少支持 MPEG1、MPEG2、MPEG4、 H.263、H.264等视频格式；至少支持 MP3等音频格式；至少支持 JPG、JPEG、BMP、PNG、GIF 等图片格式。</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11.支持增加继电器和电磁锁，实现门禁功能。</w:t>
            </w:r>
            <w:r>
              <w:rPr>
                <w:rFonts w:ascii="宋体" w:hAnsi="宋体" w:eastAsia="Arial" w:cs="宋体"/>
                <w:color w:val="000000"/>
                <w:sz w:val="20"/>
                <w:szCs w:val="20"/>
                <w:lang w:val="en-US" w:eastAsia="zh-CN" w:bidi="ar-SA"/>
              </w:rPr>
            </w:r>
            <w:r/>
          </w:p>
          <w:p>
            <w:pPr>
              <w:pStyle w:val="752"/>
              <w:ind w:firstLine="40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二、功能参数：</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（一）核心功能</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班牌系统支持多种模式，适应不同校园场景，支持自定义界面，实现一班一界面功能</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多风格UI设计，可根据学校需求进行定制等</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班牌除展示功能外，还有多种人机互动功能，可实现远程操作管理</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学校统一管理平台，根据学校需要可设置不同账号架构及功能模块</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设置实用性强，不同学校可根据自身需要自定义各模块管理规则</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班牌根据后台设定时间，自动切换页面全屏轮播，如学校动态、班级动态、通知公告等，后台时间设定规则可自定义</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可拓展性强，可根据不同学校场景、设备、系统及人员架构情况进行搭配</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做到真正意义上的远程更新，无需人员到设备现场操作，只在后台上传最新版本系统并操作即可，设备会自动检测最新版本并下载安装，方便升级维护</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实现走班考勤，对接教务课表展示在班牌端，学生进行课堂考勤即可</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  对接教务系统，实现数据互通</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（二）设备端系统</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页面显示：</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可显示学校及对应班级信息，左上角可显示校徽；</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可显示天气信息，时间信息；</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可显示当前场地绑定的班级信息，包括年级班级号，学生人数，班级标语，流动红旗；</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可显示当日课程表，可点击查看本周课程；可加亮显示当前课节信息；</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可显示当前班级当日（当节课堂）考勤统计（正常、迟到、请假、未到），点击“考勤总览”可进入查看完整的其他课节考勤记录；</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可显示校园及班级风采展示，显示对应展示的图片及视频，并可滚动播放图片，可点击进入风采展示页面，点击视频可进行播放及停止等操作，点击图片可左右滑动查看其他图片；</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可显示当前班级当日值日生，可点击查看详情；</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可显示校园活动咨询与公告，其中活动咨询可以图片+文字展示，校园通知公告可显示文字通知信息，公告则是纯文字；</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可显示对应场地的当前预约信息，以及对应场地的预约时间安排信息；</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10)从主页点击进入其他页面后，超时无人再次操作，将会自动跳回主页面。</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考勤签到模式</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根据不同时间段的考勤签到计划，显示当前课堂或者事件的考勤签到内容信息，考勤时间段可进行考勤，页面保持显示人脸识别框，同时显示对应需要考勤人员头像排列，以及实时显示人员考勤签到状态信息；</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考勤签到时，无须点击即可同时进行刷脸及刷卡认证识别操作，认证识别后会显示人员姓名及状态提示；</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当进行课程考勤签到时，教师考勤签到信息与学生考勤签到信息在不同区域进行显示；</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迎宾模式</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领导视察场景：显示豪华端庄页面，欢迎领导参观视察，打出醒目标语，动态播放</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目前以横幅形式进行，预留图片形式等功能。</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置顶模式</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显示校园动态、班级动态、通知公告</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显示校园、班级宣传图片、视频，全屏轮播</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通知公告文字内容，可全屏轮播</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考场模式</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后台录入考试计划，根据内容显示相关考试内容</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显示考场课室信息，考试科目，考试内容，考试时间以及考试计划安排</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显示考场座位信息，显示人员信息，显示监考老师信息</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考试期间可进行考试人员签到，包括考生签到以及监考老师签到，签到可通过人脸识别及ic卡方式进行签到</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大赛模式</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后台录入大赛计划，根据内容显示相关大赛内容</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显示大赛课室信息及内容，包括大赛时间以及大赛计划安排</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显示大赛座位信息，显示人员信息，显示监考老师信息</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大赛期间可进行考试人员签到，包括考生签到以及监考老师签到，签到通过身份证人证合一进行签到</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霸屏计划</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后台录入霸屏计划，根据设定内容可以播放视频或图片</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霸屏结束方式：等待设定时间结束，后台设定停用该计划，退出班牌应用</w:t>
            </w:r>
            <w:r>
              <w:rPr>
                <w:rFonts w:ascii="宋体" w:hAnsi="宋体" w:eastAsia="Arial" w:cs="宋体"/>
                <w:color w:val="000000"/>
                <w:sz w:val="20"/>
                <w:szCs w:val="20"/>
                <w:lang w:val="en-US" w:eastAsia="zh-CN" w:bidi="ar-SA"/>
              </w:rPr>
            </w:r>
            <w:r/>
          </w:p>
          <w:p>
            <w:pPr>
              <w:pStyle w:val="752"/>
              <w:ind w:firstLine="20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联动门禁控制</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门禁功能</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可在设备首页进行门禁的控制</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可同时通过人脸识别或者刷卡进行门禁控制</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应用中心</w:t>
            </w:r>
            <w:r>
              <w:rPr>
                <w:rFonts w:ascii="宋体" w:hAnsi="宋体" w:eastAsia="Arial" w:cs="宋体"/>
                <w:color w:val="000000"/>
                <w:sz w:val="20"/>
                <w:szCs w:val="20"/>
                <w:lang w:val="en-US" w:eastAsia="zh-CN" w:bidi="ar-SA"/>
              </w:rPr>
            </w:r>
            <w:r/>
          </w:p>
          <w:p>
            <w:pPr>
              <w:pStyle w:val="752"/>
              <w:ind w:left="800" w:hanging="80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常规：校园风采、班级风采、考勤总览、区域课表、最新通知、班级学生、最新活动；</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其他功能：皮肤切换、模式切换、系统设置</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常规：</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① 校园风采：点击查看学校发布的图片、视频，点击视频可全屏播放</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② 班级风采：点击查看班级发布的图片、视频，点击视频可全屏播放</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③ 考勤总览：点击查看该班级当天所有课程的签到统计情况</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④ 区域课表：点击查看该班级一周的课表信息，当天课程加亮显示</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⑤ 最新通知：点击查看学校发布的所有通知内容</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⑥ 班级学生：点击查看该班级所有的学生，显示学生头像及学生姓名</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⑦ 最新活动：点击查看学校发布的活动信息</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2）其他功能：</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① 皮肤切换：可根据需要进行切换主题颜色，主题也会逐渐增加，或可进行定制</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② 模式切换：可根据校园现况，自行进行更改展示模式</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③ 系统模式：可查看设备编号、软件版本、调节设备音量及亮度；输入密码可进入系统设置进行其他操作或清空缓存</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（三）学校管理端</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总账户（内部管理人员操作）设定，可全局数据信息查看，以及全局功能授权和指定数据授权，有最高的审批权限</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学校信发信息管理功能版块</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校园基本信息：设备密码设置、迎宾模式标语设置、课程考勤规则设置</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教职工管理：上传教职工基本信息（姓名、性别、手机号、状态以及职务）</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学校场地区域管理：可添加修改对应场地区域信息</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学校院系管理：可添加编辑院系信息</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学校年级管理：可添加学校年级信息</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学校班级管理：可添加学校班级信息</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学生管理：上传学生基本信息（姓名、性别、学籍号、状态），可添加捆绑对应家长，可捆绑多个家长，可录入家长基本信息</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职务管理：进行编辑、添加职务以及职务职能</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一卡通管理：上传教职工以及学生的一卡通信息</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 人员人脸库管理：上传教职工以及学生的人脸数据</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信息发布管理版块</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校园风采：发布图片及视频，可编辑文字内容</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班级风采：发布图片及视频，可编辑文字内容</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公告通知：发布公告，编辑录入，只有文本信息，可设定发布计划，开始时间及结束时间</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最新活动：发布校园活动资讯，可发布图片及文字内容，可设定发布计划，开始时间及结束时间</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考勤管理功能版块</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事件考勤规则设定：增删查改，可设定多个规则，适用于多个事件</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事件考勤记录，筛选获取对应班级考勤统计，可获取对应班级考勤详细记录</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课程考勤记录，筛选获取对应班级考勤统计，可获取对应班级考勤详细记录</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课程管理</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课程库：添加课程名称及对应属性（行政/走班），编辑对应的任教老师姓名</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课程模板：设置每周上课时间，每天的课程作息时间，每节课时的时间安排，并可针对不同教室不同班级生成对应不同的课程作息模板</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课程表：可查看各个场地、班级的课程表，可整体全校进行批量导入，也可与其他平台系统进行对接</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考试计划（考场模式）</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设定考试计划，设定考试时间</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设定对应考试计划的多个考试班级以及多个对应考场的场地，设定多个监考老师；</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场地可自行编辑座位方案，按照行数及列数规划；</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考生信息根据考试班级自动录入，并可根据实际情况进行微调；</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大赛计划（国考模式）</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设定大赛计划，设定大赛规划时间</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设定对应大赛计划的多个对应的场地，设定多个监考老师；</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场地可自行编辑座位方案，按照行数及列数规划；</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考生信息根据姓名、身份证号及相关信息录入，可录入校外人员数据，设备端根据身份证号进行人证合一进行对比验证，并可根据实际情况进行微调；</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霸屏计划</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设定霸屏计划，设定霸屏规划时间，包括展示开始时间及结束时间，可以上传多个图片或视频</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设定对应霸屏计划的多个对应的场地</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场地预约功能</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可查看及删除场地预约信息，信息内容包括预约人信息、预约时间、预约主题、预约内容描述以及当前审批状态</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后台及手机端均可发起场地预约申请</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有权限的管理员在后台进行预约审批，审批通过后，预约才能生效</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 电子班牌管理功能版块（联动设备端）</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设备管理功能：查看设备状态情况（在线/离线）</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设备对应班级绑定，对应班级数据下发到绑定班牌端</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设备当前版本显示，远程更新软件版本</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设备可自定义主页面布局，设定布局计划，按照自主需求挑选系统内已有的标准模块，拉动到主页内，进行自定义布局设计</w:t>
            </w:r>
            <w:r>
              <w:rPr>
                <w:rFonts w:ascii="宋体" w:hAnsi="宋体" w:eastAsia="Arial" w:cs="宋体"/>
                <w:color w:val="000000"/>
                <w:sz w:val="20"/>
                <w:szCs w:val="20"/>
                <w:lang w:val="en-US" w:eastAsia="zh-CN" w:bidi="ar-SA"/>
              </w:rPr>
            </w:r>
            <w:r/>
          </w:p>
          <w:p>
            <w:pPr>
              <w:pStyle w:val="752"/>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远程设置定时开关机，针对性制定开关机计划，灵活应对各个年级设备</w:t>
            </w:r>
            <w:r>
              <w:rPr>
                <w:rFonts w:ascii="宋体" w:hAnsi="宋体" w:eastAsia="Arial" w:cs="宋体"/>
                <w:color w:val="000000"/>
                <w:sz w:val="20"/>
                <w:szCs w:val="20"/>
                <w:lang w:val="en-US" w:eastAsia="zh-CN" w:bidi="ar-SA"/>
              </w:rPr>
            </w:r>
            <w:r/>
          </w:p>
          <w:p>
            <w:pPr>
              <w:pStyle w:val="752"/>
              <w:jc w:val="both"/>
              <w:widowControl w:val="off"/>
              <w:rPr>
                <w:rFonts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可实时对设备进行远程重启</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45</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万兆光纤交换机</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1.交换容量≥2.5Tbps/23Tbps；</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2.包转发率≥700Mpps；</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3.为了提高设备散热的可靠性，支持风扇散热,智能调速；</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4.≥52个万兆端口；</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5.支持基于第二层、第三层和第四层的ACL、支持双向ACL；</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6.支持WRR、DRR、SP、WRR＋SP、DRR+SP队列调度算法；</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7.支持双向端口限速、广播风暴抑制功能。</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46</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以太网交换机</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1.交换容量≥320Gbps；</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2.包转发率≥51Mpps；</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3.为了提高设备散热的可靠性，支持风扇散热；</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4.24个 10/100/1000Base-T 以太网端口，4个千兆 SFP；</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5.支持基于第二层、第三层和第四层的ACL、支持双向ACL；</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6.支持WRR、DRR、SP、WRR＋SP、DRR+SP队列调度算法；</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7.支持双向端口限速、广播风暴抑制功能。</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47</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综合布线</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1）网线:符合TIA/EIA 568B 六类非屏蔽标准；护套为常用PVC或阻燃PVC护套，含十字芯分隔材料，满足学生工位、大屏用网需要，至少包含5箱品牌六类网线（每箱约305米，施工前须提供合格证）、HDMI线缆（20米）2根、4口高清切换器1台；</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2）施工要求：学生工位要求布线走线合理，不得随意拉扯，铺设必须美观，地面部分走线使用不锈钢槽，墙面部分使用PVC线槽等，不得随意裸露线缆，强弱电管道必须分开铺设；</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3）设备安装：室内所有设备的水晶头制作、教室内机柜设备安装、电脑安装扎线、多媒体设备安装调试等；</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项</w:t>
            </w:r>
            <w:r>
              <w:rPr>
                <w:rFonts w:ascii="宋体" w:hAnsi="宋体" w:eastAsia="Arial" w:cs="宋体"/>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52"/>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48</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文化展示</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人工智能主题文化展示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文化设计装饰：根据现场情况合理设计相关实训室介绍的展板及实训场景设计，为师生营造体现专业特色主题的氛围；</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（1）背景墙及定制展柜设计施工：根据需求整体线条流畅，国标0.3mm轻钢龙骨等基材安装；厚木工板或多层板打底，石膏板饰面，不掉色、无明显折皱，表层均匀无阴影；展柜尺寸定制</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（2）根据实训室建设背景及甲方要求，进行排版设计，可采用高清写真、亚克力字体、雪弗板和亚克力混合材料的展板造型等表现方式。</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项</w:t>
            </w:r>
            <w:bookmarkEnd w:id="26"/>
            <w:r/>
            <w:bookmarkEnd w:id="27"/>
            <w:r>
              <w:rPr>
                <w:rFonts w:ascii="宋体" w:hAnsi="宋体" w:eastAsia="Arial" w:cs="宋体"/>
                <w:color w:val="000000"/>
                <w:sz w:val="20"/>
                <w:szCs w:val="20"/>
                <w:lang w:val="en-US" w:eastAsia="zh-CN" w:bidi="ar-SA"/>
              </w:rPr>
            </w:r>
            <w:r/>
          </w:p>
        </w:tc>
      </w:tr>
    </w:tbl>
    <w:p>
      <w:pPr>
        <w:pStyle w:val="752"/>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r>
      <w:r/>
    </w:p>
    <w:p>
      <w:pPr>
        <w:pStyle w:val="752"/>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四</w:t>
      </w:r>
      <w:r>
        <w:rPr>
          <w:rFonts w:ascii="Times New Roman" w:hAnsi="Times New Roman" w:eastAsia="宋体" w:cs="Times New Roman"/>
          <w:b/>
          <w:sz w:val="28"/>
          <w:szCs w:val="28"/>
        </w:rPr>
        <w:t xml:space="preserve">、供货要求</w:t>
      </w:r>
      <w:r>
        <w:rPr>
          <w:rFonts w:ascii="Times New Roman" w:hAnsi="Times New Roman" w:eastAsia="宋体" w:cs="Times New Roman"/>
          <w:b/>
          <w:sz w:val="28"/>
          <w:szCs w:val="28"/>
        </w:rPr>
      </w:r>
      <w:r/>
    </w:p>
    <w:p>
      <w:pPr>
        <w:pStyle w:val="752"/>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b/>
          <w:bCs/>
          <w:color w:val="000000"/>
          <w:sz w:val="24"/>
        </w:rPr>
        <w:t xml:space="preserve">★</w:t>
      </w:r>
      <w:r>
        <w:rPr>
          <w:rFonts w:hint="eastAsia" w:ascii="宋体" w:hAnsi="宋体" w:eastAsia="宋体" w:cs="Times New Roman"/>
          <w:color w:val="000000"/>
          <w:sz w:val="24"/>
          <w:szCs w:val="24"/>
          <w:highlight w:val="none"/>
          <w:shd w:val="clear" w:color="auto" w:fill="auto"/>
        </w:rPr>
        <w:t xml:space="preserve">1.交货期：合同签订后</w:t>
      </w:r>
      <w:r>
        <w:rPr>
          <w:rFonts w:hint="eastAsia" w:ascii="宋体" w:hAnsi="宋体" w:cs="Times New Roman"/>
          <w:color w:val="000000"/>
          <w:sz w:val="24"/>
          <w:szCs w:val="24"/>
          <w:highlight w:val="none"/>
          <w:shd w:val="clear" w:color="auto" w:fill="auto"/>
          <w:lang w:val="en-US" w:eastAsia="zh-CN"/>
        </w:rPr>
        <w:t xml:space="preserve">30</w:t>
      </w:r>
      <w:r>
        <w:rPr>
          <w:rFonts w:hint="eastAsia" w:ascii="宋体" w:hAnsi="宋体" w:eastAsia="宋体" w:cs="Times New Roman"/>
          <w:color w:val="000000"/>
          <w:sz w:val="24"/>
          <w:szCs w:val="24"/>
          <w:highlight w:val="none"/>
          <w:shd w:val="clear" w:color="auto" w:fill="auto"/>
        </w:rPr>
        <w:t xml:space="preserve">天内完成安装调试，达到预期效果。</w:t>
      </w:r>
      <w:r>
        <w:rPr>
          <w:rFonts w:ascii="宋体" w:hAnsi="宋体" w:eastAsia="宋体" w:cs="Times New Roman"/>
          <w:color w:val="000000"/>
          <w:sz w:val="24"/>
          <w:szCs w:val="24"/>
          <w:highlight w:val="none"/>
          <w:shd w:val="clear" w:color="auto" w:fill="auto"/>
        </w:rPr>
      </w:r>
      <w:r/>
    </w:p>
    <w:p>
      <w:pPr>
        <w:pStyle w:val="752"/>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2.交货方式：</w:t>
      </w:r>
      <w:r>
        <w:rPr>
          <w:rFonts w:hint="eastAsia" w:ascii="宋体" w:hAnsi="宋体" w:cs="Times New Roman"/>
          <w:color w:val="000000"/>
          <w:sz w:val="24"/>
          <w:szCs w:val="24"/>
          <w:highlight w:val="none"/>
          <w:shd w:val="clear" w:color="auto" w:fill="auto"/>
          <w:lang w:eastAsia="zh-CN"/>
        </w:rPr>
        <w:t xml:space="preserve">上门安装</w:t>
      </w:r>
      <w:r>
        <w:rPr>
          <w:rFonts w:hint="eastAsia" w:ascii="宋体" w:hAnsi="宋体" w:eastAsia="宋体" w:cs="Times New Roman"/>
          <w:color w:val="000000"/>
          <w:sz w:val="24"/>
          <w:szCs w:val="24"/>
          <w:highlight w:val="none"/>
          <w:shd w:val="clear" w:color="auto" w:fill="auto"/>
        </w:rPr>
        <w:t xml:space="preserve">。</w:t>
      </w:r>
      <w:r>
        <w:rPr>
          <w:rFonts w:ascii="宋体" w:hAnsi="宋体" w:eastAsia="宋体" w:cs="Times New Roman"/>
          <w:color w:val="000000"/>
          <w:sz w:val="24"/>
          <w:szCs w:val="24"/>
          <w:highlight w:val="none"/>
          <w:shd w:val="clear" w:color="auto" w:fill="auto"/>
        </w:rPr>
      </w:r>
      <w:r/>
    </w:p>
    <w:p>
      <w:pPr>
        <w:pStyle w:val="752"/>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3.交货地点：</w:t>
      </w:r>
      <w:r>
        <w:rPr>
          <w:rFonts w:hint="eastAsia" w:ascii="宋体" w:hAnsi="宋体" w:cs="Times New Roman"/>
          <w:color w:val="000000"/>
          <w:sz w:val="24"/>
          <w:szCs w:val="24"/>
          <w:highlight w:val="none"/>
          <w:shd w:val="clear" w:color="auto" w:fill="auto"/>
          <w:lang w:eastAsia="zh-CN"/>
        </w:rPr>
        <w:t xml:space="preserve">连云港职业技术学院</w:t>
      </w:r>
      <w:r>
        <w:rPr>
          <w:rFonts w:hint="eastAsia" w:ascii="Arial" w:hAnsi="Arial" w:cs="Arial"/>
          <w:sz w:val="24"/>
          <w:szCs w:val="24"/>
        </w:rPr>
        <w:t xml:space="preserve">内</w:t>
      </w:r>
      <w:r>
        <w:rPr>
          <w:rFonts w:hint="eastAsia" w:ascii="宋体" w:hAnsi="宋体" w:eastAsia="宋体" w:cs="Times New Roman"/>
          <w:color w:val="000000"/>
          <w:sz w:val="24"/>
          <w:szCs w:val="24"/>
          <w:highlight w:val="none"/>
          <w:shd w:val="clear" w:color="auto" w:fill="auto"/>
        </w:rPr>
        <w:t xml:space="preserve">。</w:t>
      </w:r>
      <w:r>
        <w:rPr>
          <w:rFonts w:ascii="宋体" w:hAnsi="宋体" w:eastAsia="宋体" w:cs="Times New Roman"/>
          <w:color w:val="000000"/>
          <w:sz w:val="24"/>
          <w:szCs w:val="24"/>
          <w:highlight w:val="none"/>
          <w:shd w:val="clear" w:color="auto" w:fill="auto"/>
        </w:rPr>
      </w:r>
      <w:r/>
    </w:p>
    <w:p>
      <w:pPr>
        <w:pStyle w:val="752"/>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五</w:t>
      </w:r>
      <w:r>
        <w:rPr>
          <w:rFonts w:ascii="Times New Roman" w:hAnsi="Times New Roman" w:eastAsia="宋体" w:cs="Times New Roman"/>
          <w:b/>
          <w:sz w:val="28"/>
          <w:szCs w:val="28"/>
        </w:rPr>
        <w:t xml:space="preserve">、安装调试要求</w:t>
      </w:r>
      <w:r>
        <w:rPr>
          <w:rFonts w:ascii="Times New Roman" w:hAnsi="Times New Roman" w:eastAsia="宋体" w:cs="Times New Roman"/>
          <w:b/>
          <w:sz w:val="28"/>
          <w:szCs w:val="28"/>
        </w:rPr>
      </w:r>
      <w:r/>
    </w:p>
    <w:p>
      <w:pPr>
        <w:pStyle w:val="752"/>
        <w:ind w:firstLine="480"/>
        <w:spacing w:line="360" w:lineRule="auto"/>
        <w:rPr>
          <w:rFonts w:ascii="Times New Roman" w:hAnsi="Times New Roman"/>
          <w:sz w:val="24"/>
          <w:szCs w:val="24"/>
        </w:rPr>
      </w:pPr>
      <w:r>
        <w:rPr>
          <w:rFonts w:ascii="Times New Roman" w:hAnsi="Times New Roman"/>
          <w:sz w:val="24"/>
          <w:szCs w:val="24"/>
        </w:rPr>
        <w:t xml:space="preserve">在设备到达现场后，中标人应负责派有经验的技术人员到现场进行设备的安装和测试以及处理货物质量和数量短缺等问题，并对系统质量全面负责。中标人在安装、调试等全过程中接受采购方的监督。</w:t>
      </w:r>
      <w:r>
        <w:rPr>
          <w:rFonts w:ascii="Times New Roman" w:hAnsi="Times New Roman"/>
          <w:sz w:val="24"/>
          <w:szCs w:val="24"/>
        </w:rPr>
      </w:r>
      <w:r/>
    </w:p>
    <w:p>
      <w:pPr>
        <w:pStyle w:val="752"/>
        <w:ind w:firstLine="480"/>
        <w:spacing w:line="360" w:lineRule="auto"/>
        <w:rPr>
          <w:rFonts w:ascii="Times New Roman" w:hAnsi="Times New Roman"/>
          <w:sz w:val="24"/>
          <w:szCs w:val="24"/>
        </w:rPr>
      </w:pPr>
      <w:r>
        <w:rPr>
          <w:rFonts w:ascii="Times New Roman" w:hAnsi="Times New Roman"/>
          <w:sz w:val="24"/>
          <w:szCs w:val="24"/>
        </w:rPr>
        <w:t xml:space="preserve">在现场安装调试期间，如果系统出现不正常情况（如设备损坏、故障、达不到技术规范或设备说明书的指标），中标人应免费在不延误工期的情况下从速替换。在系统试运行期间，如果发现由于中标人的责任造成系统的功能和性能不符合技术规范书的要求，或由于设备故障的发生导致设备停止运转，中标人应承诺在48小时内及时修复，并承担所有费用，同时应顺延试运行期。</w:t>
      </w:r>
      <w:r>
        <w:rPr>
          <w:rFonts w:ascii="Times New Roman" w:hAnsi="Times New Roman"/>
          <w:sz w:val="24"/>
          <w:szCs w:val="24"/>
        </w:rPr>
      </w:r>
      <w:r/>
    </w:p>
    <w:p>
      <w:pPr>
        <w:pStyle w:val="752"/>
        <w:ind w:firstLine="480"/>
        <w:jc w:val="left"/>
        <w:spacing w:line="360" w:lineRule="auto"/>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所有货物全部送达后需经过采购人确认货物是否符合采购文件要求，确认无误后方可安装调试。</w:t>
      </w:r>
      <w:r>
        <w:rPr>
          <w:rFonts w:ascii="Times New Roman" w:hAnsi="Times New Roman" w:eastAsia="宋体" w:cs="Times New Roman"/>
          <w:color w:val="000000"/>
          <w:sz w:val="24"/>
          <w:szCs w:val="24"/>
        </w:rPr>
      </w:r>
      <w:r/>
    </w:p>
    <w:p>
      <w:pPr>
        <w:pStyle w:val="752"/>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、人员配备要求</w:t>
      </w:r>
      <w:r>
        <w:rPr>
          <w:rFonts w:ascii="Times New Roman" w:hAnsi="Times New Roman" w:eastAsia="宋体" w:cs="Times New Roman"/>
          <w:b/>
          <w:sz w:val="28"/>
          <w:szCs w:val="28"/>
        </w:rPr>
      </w:r>
      <w:r/>
    </w:p>
    <w:p>
      <w:pPr>
        <w:pStyle w:val="752"/>
        <w:ind w:firstLine="480"/>
        <w:jc w:val="left"/>
        <w:spacing w:line="360" w:lineRule="auto"/>
        <w:rPr>
          <w:rFonts w:ascii="宋体" w:hAnsi="宋体" w:eastAsia="宋体" w:cs="Times New Roman"/>
          <w:sz w:val="24"/>
          <w:szCs w:val="24"/>
        </w:rPr>
      </w:pPr>
      <w:r>
        <w:rPr>
          <w:rFonts w:hint="eastAsia" w:ascii="宋体" w:hAnsi="宋体" w:cs="宋体"/>
          <w:bCs/>
          <w:sz w:val="24"/>
          <w:szCs w:val="24"/>
        </w:rPr>
        <w:t xml:space="preserve">为确保项目顺利高效实施，中标人应指定专人（项目经理）负责与采购人进行项目对接，及时协调解决项目实施过程中遇到的问题；同时，中标人应针对本项目需求配备相应技术支持团队，按要求及时完成相关设备安装测试及使用培训服务。</w:t>
      </w:r>
      <w:r>
        <w:rPr>
          <w:rFonts w:ascii="宋体" w:hAnsi="宋体" w:eastAsia="宋体" w:cs="Times New Roman"/>
          <w:sz w:val="24"/>
          <w:szCs w:val="24"/>
        </w:rPr>
      </w:r>
      <w:r/>
    </w:p>
    <w:p>
      <w:pPr>
        <w:pStyle w:val="752"/>
        <w:numPr>
          <w:ilvl w:val="0"/>
          <w:numId w:val="0"/>
        </w:numPr>
        <w:ind w:firstLine="562"/>
        <w:jc w:val="left"/>
        <w:spacing w:line="360" w:lineRule="auto"/>
        <w:rPr>
          <w:rFonts w:hint="eastAsia"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履约验收要求</w:t>
      </w:r>
      <w:r>
        <w:rPr>
          <w:rFonts w:hint="eastAsia" w:ascii="Times New Roman" w:hAnsi="Times New Roman" w:eastAsia="宋体" w:cs="Times New Roman"/>
          <w:b/>
          <w:sz w:val="28"/>
          <w:szCs w:val="28"/>
        </w:rPr>
      </w:r>
      <w:r/>
    </w:p>
    <w:p>
      <w:pPr>
        <w:pStyle w:val="752"/>
        <w:numPr>
          <w:ilvl w:val="0"/>
          <w:numId w:val="0"/>
        </w:numPr>
        <w:ind w:firstLine="480"/>
        <w:jc w:val="left"/>
        <w:spacing w:line="360" w:lineRule="auto"/>
        <w:rPr>
          <w:rFonts w:hint="eastAsia" w:ascii="Times New Roman" w:hAnsi="Times New Roman" w:eastAsia="宋体" w:cs="Times New Roman"/>
          <w:b/>
          <w:sz w:val="28"/>
          <w:szCs w:val="28"/>
        </w:rPr>
      </w:pPr>
      <w:r>
        <w:rPr>
          <w:rFonts w:hint="eastAsia" w:ascii="宋体" w:hAnsi="宋体" w:eastAsia="宋体" w:cs="宋体"/>
          <w:sz w:val="24"/>
          <w:szCs w:val="24"/>
          <w:highlight w:val="none"/>
          <w:lang w:val="en-US" w:eastAsia="zh-CN"/>
        </w:rPr>
        <w:t xml:space="preserve">中标后在合同签订前，中标人须按采购人要求提供主要产品和材料，采购人则有权进行现场核查硬件参数并演示招标参数中的软件功能，采购人按照招标文件技术参数及中标人的投标文件内容进行逐条核对，如发现与中标人在投标过程中响应承诺不符的，采购人有权向政府采购监管部门提出按政府采购有关规定严肃处理。（需提供加盖投标人公章的承诺函）</w:t>
      </w:r>
      <w:r>
        <w:rPr>
          <w:rFonts w:hint="eastAsia" w:ascii="Times New Roman" w:hAnsi="Times New Roman" w:eastAsia="宋体" w:cs="Times New Roman"/>
          <w:b/>
          <w:sz w:val="28"/>
          <w:szCs w:val="28"/>
        </w:rPr>
      </w:r>
      <w:r/>
    </w:p>
    <w:p>
      <w:pPr>
        <w:pStyle w:val="764"/>
        <w:ind w:firstLine="480"/>
        <w:spacing w:before="120" w:after="120" w:line="360" w:lineRule="auto"/>
        <w:rPr>
          <w:rFonts w:hAnsi="宋体"/>
          <w:sz w:val="24"/>
          <w:szCs w:val="24"/>
        </w:rPr>
      </w:pPr>
      <w:r>
        <w:rPr>
          <w:rFonts w:hint="eastAsia" w:hAnsi="宋体"/>
          <w:sz w:val="24"/>
          <w:szCs w:val="24"/>
        </w:rPr>
        <w:t xml:space="preserve">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hAnsi="宋体"/>
          <w:sz w:val="24"/>
          <w:szCs w:val="24"/>
        </w:rPr>
      </w:r>
      <w:r/>
    </w:p>
    <w:p>
      <w:pPr>
        <w:pStyle w:val="764"/>
        <w:ind w:firstLine="480"/>
        <w:spacing w:before="120" w:after="120" w:line="360" w:lineRule="auto"/>
        <w:rPr>
          <w:rFonts w:hAnsi="宋体"/>
          <w:sz w:val="24"/>
          <w:szCs w:val="24"/>
        </w:rPr>
      </w:pPr>
      <w:r>
        <w:rPr>
          <w:rFonts w:hint="eastAsia" w:hAnsi="宋体"/>
          <w:sz w:val="24"/>
          <w:szCs w:val="24"/>
        </w:rPr>
        <w:t xml:space="preserve">乙方交付前应对货物及服务作出全面检查和对验收文件进行整理，并列出清单，作为甲方交付验收和使用的技术条件依据，检验的结果应随货物及服务交甲方。</w:t>
      </w:r>
      <w:r>
        <w:rPr>
          <w:rFonts w:hAnsi="宋体"/>
          <w:sz w:val="24"/>
          <w:szCs w:val="24"/>
        </w:rPr>
      </w:r>
      <w:r/>
    </w:p>
    <w:p>
      <w:pPr>
        <w:pStyle w:val="764"/>
        <w:ind w:firstLine="480"/>
        <w:spacing w:before="120" w:after="120" w:line="360" w:lineRule="auto"/>
        <w:rPr>
          <w:rFonts w:hint="eastAsia" w:ascii="宋体" w:hAnsi="宋体"/>
          <w:sz w:val="24"/>
          <w:highlight w:val="yellow"/>
        </w:rPr>
      </w:pPr>
      <w:r>
        <w:rPr>
          <w:rFonts w:hint="eastAsia" w:hAnsi="宋体"/>
          <w:sz w:val="24"/>
          <w:szCs w:val="24"/>
        </w:rPr>
        <w:t xml:space="preserve"> 甲方对乙方提供的货物及服务在使用前进行调试时，乙方需负责安装并培训甲方的使用操作人员，并协助甲方一起调试，直到符合技术要求，甲方才做最终验收。</w:t>
      </w:r>
      <w:r>
        <w:rPr>
          <w:rFonts w:hint="eastAsia" w:ascii="宋体" w:hAnsi="宋体"/>
          <w:sz w:val="24"/>
          <w:highlight w:val="yellow"/>
        </w:rPr>
      </w:r>
      <w:r/>
    </w:p>
    <w:p>
      <w:pPr>
        <w:pStyle w:val="752"/>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培训要求</w:t>
      </w:r>
      <w:r>
        <w:rPr>
          <w:rFonts w:ascii="Times New Roman" w:hAnsi="Times New Roman" w:eastAsia="宋体" w:cs="Times New Roman"/>
          <w:b/>
          <w:sz w:val="28"/>
          <w:szCs w:val="28"/>
        </w:rPr>
      </w:r>
      <w:r/>
    </w:p>
    <w:p>
      <w:pPr>
        <w:pStyle w:val="752"/>
        <w:ind w:firstLine="480"/>
        <w:jc w:val="left"/>
        <w:spacing w:line="360" w:lineRule="auto"/>
        <w:rPr>
          <w:rFonts w:ascii="Times New Roman" w:hAnsi="Times New Roman" w:eastAsia="宋体" w:cs="Times New Roman"/>
          <w:sz w:val="24"/>
          <w:szCs w:val="24"/>
        </w:rPr>
      </w:pPr>
      <w:r>
        <w:rPr>
          <w:rFonts w:hint="eastAsia" w:ascii="宋体" w:hAnsi="宋体" w:eastAsia="宋体" w:cs="宋体"/>
          <w:sz w:val="24"/>
        </w:rPr>
        <w:t xml:space="preserve">中标人应负责对每个实训室所涉及设备向采购方免费提供不少于</w:t>
      </w:r>
      <w:r>
        <w:rPr>
          <w:rFonts w:hint="eastAsia" w:ascii="宋体" w:hAnsi="宋体" w:eastAsia="宋体" w:cs="宋体"/>
          <w:b/>
          <w:bCs/>
          <w:sz w:val="24"/>
        </w:rPr>
        <w:t xml:space="preserve">一</w:t>
      </w:r>
      <w:r>
        <w:rPr>
          <w:rFonts w:hint="eastAsia" w:ascii="宋体" w:hAnsi="宋体" w:eastAsia="宋体" w:cs="宋体"/>
          <w:sz w:val="24"/>
        </w:rPr>
        <w:t xml:space="preserve">天（计6学时，可同时进行）的设备使用与维护技术培训。</w:t>
      </w:r>
      <w:r>
        <w:rPr>
          <w:rFonts w:hint="eastAsia" w:ascii="宋体" w:hAnsi="宋体" w:eastAsia="宋体" w:cs="宋体"/>
          <w:sz w:val="24"/>
          <w:szCs w:val="24"/>
        </w:rPr>
        <w:t xml:space="preserve">投标人需根据招标文件要求提供培训计划、人员安排等。</w:t>
      </w:r>
      <w:r>
        <w:rPr>
          <w:rFonts w:ascii="Times New Roman" w:hAnsi="Times New Roman" w:eastAsia="宋体" w:cs="Times New Roman"/>
          <w:sz w:val="24"/>
          <w:szCs w:val="24"/>
        </w:rPr>
      </w:r>
      <w:r/>
    </w:p>
    <w:p>
      <w:pPr>
        <w:pStyle w:val="752"/>
        <w:ind w:firstLine="480"/>
        <w:jc w:val="left"/>
        <w:spacing w:line="360" w:lineRule="auto"/>
        <w:rPr>
          <w:rFonts w:ascii="Times New Roman" w:hAnsi="Times New Roman" w:eastAsia="宋体" w:cs="Times New Roman"/>
          <w:b/>
          <w:sz w:val="28"/>
          <w:szCs w:val="28"/>
        </w:rPr>
      </w:pPr>
      <w:r>
        <w:rPr>
          <w:rFonts w:hint="eastAsia"/>
          <w:b/>
          <w:bCs/>
          <w:color w:val="000000"/>
          <w:sz w:val="24"/>
        </w:rPr>
        <w:t xml:space="preserve">★</w:t>
      </w: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售后服务要求</w:t>
      </w:r>
      <w:r>
        <w:rPr>
          <w:rFonts w:ascii="Times New Roman" w:hAnsi="Times New Roman" w:eastAsia="宋体" w:cs="Times New Roman"/>
          <w:b/>
          <w:sz w:val="28"/>
          <w:szCs w:val="28"/>
        </w:rPr>
      </w:r>
      <w:r/>
    </w:p>
    <w:p>
      <w:pPr>
        <w:pStyle w:val="752"/>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年。</w:t>
      </w:r>
      <w:r>
        <w:rPr>
          <w:rFonts w:ascii="Times New Roman" w:hAnsi="Times New Roman" w:eastAsia="宋体" w:cs="Times New Roman"/>
          <w:sz w:val="24"/>
          <w:szCs w:val="24"/>
          <w:highlight w:val="none"/>
        </w:rPr>
      </w:r>
      <w:r/>
    </w:p>
    <w:p>
      <w:pPr>
        <w:pStyle w:val="752"/>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质保期间，中标人承担维修、保养、安检、调换等，相关费用包含在预算内，采购方不再支付任何费用；对于采购方人为原因造成的故障，中标人只收取维保成本费用</w:t>
      </w:r>
      <w:r>
        <w:rPr>
          <w:rFonts w:hint="eastAsia" w:ascii="Times New Roman" w:hAnsi="Times New Roman" w:eastAsia="宋体" w:cs="Times New Roman"/>
          <w:sz w:val="24"/>
          <w:szCs w:val="24"/>
          <w:highlight w:val="none"/>
          <w:lang w:eastAsia="zh-CN"/>
        </w:rPr>
        <w:t xml:space="preserve">；质保期内，</w:t>
      </w:r>
      <w:r>
        <w:rPr>
          <w:rFonts w:hint="eastAsia" w:ascii="Times New Roman" w:hAnsi="Times New Roman" w:eastAsia="宋体" w:cs="Times New Roman"/>
          <w:sz w:val="24"/>
          <w:szCs w:val="24"/>
          <w:highlight w:val="none"/>
        </w:rPr>
        <w:t xml:space="preserve">中标人应提供不少于每年一次的现场回访服务，全面了解项目运行使用情况，提出针对性使用改进建议，并能根据需要提供必要的软硬件升级服务</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接采购人通知48小时内提供上门服务，7*24小时电话服务。</w:t>
      </w:r>
      <w:r>
        <w:rPr>
          <w:rFonts w:ascii="Times New Roman" w:hAnsi="Times New Roman" w:eastAsia="宋体" w:cs="Times New Roman"/>
          <w:sz w:val="24"/>
          <w:szCs w:val="24"/>
          <w:highlight w:val="none"/>
        </w:rPr>
      </w:r>
      <w:r/>
    </w:p>
    <w:p>
      <w:pPr>
        <w:pStyle w:val="752"/>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十、商品包装及快递包装要求</w:t>
      </w:r>
      <w:r>
        <w:rPr>
          <w:rFonts w:ascii="Times New Roman" w:hAnsi="Times New Roman" w:eastAsia="宋体" w:cs="Times New Roman"/>
          <w:b/>
          <w:sz w:val="28"/>
          <w:szCs w:val="28"/>
        </w:rPr>
      </w:r>
      <w:r/>
    </w:p>
    <w:p>
      <w:pPr>
        <w:pStyle w:val="752"/>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关于印发《商品包装政府采购需求标准（试行）》、《快递包装政府采购需求标准（试行）》的通知：1.政府采购货物、工程和服务项目中涉及商品包装和快递包装的，要参考包装需求标准，在采购文件中明确政府采购供应商提供产品及相关快递服务的具体包装要求。2.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r>
        <w:rPr>
          <w:rFonts w:hint="eastAsia" w:ascii="Times New Roman" w:hAnsi="Times New Roman" w:eastAsia="宋体" w:cs="Times New Roman"/>
          <w:sz w:val="24"/>
          <w:szCs w:val="24"/>
          <w:highlight w:val="none"/>
        </w:rPr>
      </w:r>
      <w:r/>
    </w:p>
    <w:p>
      <w:pPr>
        <w:pStyle w:val="752"/>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一</w:t>
      </w:r>
      <w:r>
        <w:rPr>
          <w:rFonts w:hint="eastAsia" w:ascii="Times New Roman" w:hAnsi="Times New Roman" w:eastAsia="宋体" w:cs="Times New Roman"/>
          <w:b/>
          <w:sz w:val="28"/>
          <w:szCs w:val="28"/>
        </w:rPr>
        <w:t xml:space="preserve">、投标报价要求</w:t>
      </w:r>
      <w:r>
        <w:rPr>
          <w:rFonts w:ascii="Times New Roman" w:hAnsi="Times New Roman" w:eastAsia="宋体" w:cs="Times New Roman"/>
          <w:b/>
          <w:sz w:val="28"/>
          <w:szCs w:val="28"/>
        </w:rPr>
      </w:r>
      <w:r/>
    </w:p>
    <w:p>
      <w:pPr>
        <w:pStyle w:val="758"/>
        <w:ind w:firstLine="420"/>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1．投标报价包括生产、供货、包装、运输、装卸、安装、配件、调试、检验、培训及售后服务、税金和保险等费用以及采购文件规定的其他费用。除合同价款外，采购人不支付其他任何费用。</w:t>
      </w:r>
      <w:r>
        <w:rPr>
          <w:rFonts w:hint="eastAsia" w:ascii="宋体" w:hAnsi="宋体" w:eastAsia="宋体" w:cs="宋体"/>
          <w:sz w:val="24"/>
          <w:szCs w:val="22"/>
          <w:lang w:val="en-US" w:eastAsia="zh-CN" w:bidi="ar-SA"/>
        </w:rPr>
      </w:r>
      <w:r/>
    </w:p>
    <w:p>
      <w:pPr>
        <w:pStyle w:val="758"/>
        <w:ind w:firstLine="420"/>
        <w:rPr>
          <w:rFonts w:hint="eastAsia" w:ascii="Times New Roman" w:hAnsi="Times New Roman" w:eastAsia="宋体" w:cs="Times New Roman"/>
          <w:sz w:val="28"/>
          <w:szCs w:val="28"/>
          <w:lang w:val="en-US" w:eastAsia="zh-CN" w:bidi="ar-SA"/>
        </w:rPr>
        <w:outlineLvl w:val="1"/>
      </w:pPr>
      <w:r>
        <w:rPr>
          <w:rFonts w:hint="eastAsia" w:ascii="宋体" w:hAnsi="宋体" w:eastAsia="宋体" w:cs="宋体"/>
          <w:sz w:val="24"/>
          <w:szCs w:val="22"/>
          <w:lang w:val="en-US" w:eastAsia="zh-CN" w:bidi="ar-SA"/>
        </w:rPr>
        <w:t xml:space="preserve">2.投标人按照采购清单所列数量报投标单价和总价。</w:t>
      </w:r>
      <w:r>
        <w:rPr>
          <w:rFonts w:hint="eastAsia" w:ascii="Times New Roman" w:hAnsi="Times New Roman" w:eastAsia="宋体" w:cs="Times New Roman"/>
          <w:sz w:val="28"/>
          <w:szCs w:val="28"/>
          <w:lang w:val="en-US" w:eastAsia="zh-CN" w:bidi="ar-SA"/>
        </w:rPr>
      </w:r>
      <w:r/>
    </w:p>
    <w:p>
      <w:pPr>
        <w:pStyle w:val="752"/>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二</w:t>
      </w:r>
      <w:r>
        <w:rPr>
          <w:rFonts w:hint="eastAsia" w:ascii="Times New Roman" w:hAnsi="Times New Roman" w:eastAsia="宋体" w:cs="Times New Roman"/>
          <w:b/>
          <w:sz w:val="28"/>
          <w:szCs w:val="28"/>
        </w:rPr>
        <w:t xml:space="preserve">、付款方式与履约保证金</w:t>
      </w:r>
      <w:r>
        <w:rPr>
          <w:rFonts w:ascii="Times New Roman" w:hAnsi="Times New Roman" w:eastAsia="宋体" w:cs="Times New Roman"/>
          <w:b/>
          <w:sz w:val="28"/>
          <w:szCs w:val="28"/>
        </w:rPr>
      </w:r>
      <w:r/>
    </w:p>
    <w:p>
      <w:pPr>
        <w:pStyle w:val="758"/>
        <w:ind w:firstLine="420"/>
        <w:rPr>
          <w:rFonts w:hint="eastAsia" w:ascii="宋体" w:hAnsi="宋体" w:eastAsia="宋体" w:cs="宋体"/>
          <w:sz w:val="24"/>
          <w:szCs w:val="24"/>
          <w:lang w:val="en-US" w:eastAsia="zh-CN" w:bidi="ar-SA"/>
        </w:rPr>
      </w:pPr>
      <w:r>
        <w:rPr>
          <w:rFonts w:hint="eastAsia"/>
          <w:b/>
          <w:bCs/>
          <w:color w:val="000000"/>
          <w:sz w:val="24"/>
        </w:rPr>
        <w:t xml:space="preserve">★</w:t>
      </w:r>
      <w:r>
        <w:rPr>
          <w:rFonts w:hint="eastAsia" w:ascii="宋体" w:hAnsi="宋体" w:eastAsia="宋体" w:cs="宋体"/>
          <w:sz w:val="24"/>
          <w:szCs w:val="24"/>
          <w:lang w:val="en-US" w:eastAsia="zh-CN" w:bidi="ar-SA"/>
        </w:rPr>
        <w:t xml:space="preserve">1、付款方式</w:t>
      </w:r>
      <w:r>
        <w:rPr>
          <w:rFonts w:hint="eastAsia" w:ascii="宋体" w:hAnsi="宋体" w:eastAsia="宋体" w:cs="宋体"/>
          <w:sz w:val="24"/>
          <w:szCs w:val="24"/>
          <w:lang w:val="en-US" w:eastAsia="zh-CN" w:bidi="ar-SA"/>
        </w:rPr>
      </w:r>
      <w:r/>
    </w:p>
    <w:p>
      <w:pPr>
        <w:pStyle w:val="758"/>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合同签订后付合同总金额的30％；建成运行、验收合格后，付至合同总金额的100％</w:t>
      </w:r>
      <w:r>
        <w:rPr>
          <w:rFonts w:hint="eastAsia" w:ascii="宋体" w:hAnsi="宋体" w:eastAsia="宋体" w:cs="宋体"/>
          <w:sz w:val="24"/>
          <w:szCs w:val="24"/>
          <w:lang w:val="en-US" w:eastAsia="zh-CN" w:bidi="ar-SA"/>
        </w:rPr>
      </w:r>
      <w:r/>
    </w:p>
    <w:p>
      <w:pPr>
        <w:pStyle w:val="758"/>
        <w:ind w:firstLine="420"/>
        <w:rPr>
          <w:rFonts w:hint="eastAsia" w:ascii="宋体" w:hAnsi="宋体" w:eastAsia="宋体" w:cs="宋体"/>
          <w:sz w:val="24"/>
          <w:szCs w:val="24"/>
          <w:lang w:val="en-US" w:eastAsia="zh-CN" w:bidi="ar-SA"/>
        </w:rPr>
        <w:outlineLvl w:val="1"/>
      </w:pPr>
      <w:r>
        <w:rPr>
          <w:rFonts w:hint="eastAsia" w:ascii="宋体" w:hAnsi="宋体" w:eastAsia="宋体" w:cs="宋体"/>
          <w:sz w:val="24"/>
          <w:szCs w:val="24"/>
          <w:lang w:val="en-US" w:eastAsia="zh-CN" w:bidi="ar-SA"/>
        </w:rPr>
        <w:t xml:space="preserve">2、履约保证金</w:t>
      </w:r>
      <w:r>
        <w:rPr>
          <w:rFonts w:hint="eastAsia" w:ascii="宋体" w:hAnsi="宋体" w:eastAsia="宋体" w:cs="宋体"/>
          <w:sz w:val="24"/>
          <w:szCs w:val="24"/>
          <w:lang w:val="en-US" w:eastAsia="zh-CN" w:bidi="ar-SA"/>
        </w:rPr>
      </w:r>
      <w:r/>
    </w:p>
    <w:p>
      <w:pPr>
        <w:pStyle w:val="758"/>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本项目不收取履约保证金。</w:t>
      </w:r>
      <w:r>
        <w:rPr>
          <w:rFonts w:hint="eastAsia" w:ascii="宋体" w:hAnsi="宋体" w:eastAsia="宋体" w:cs="宋体"/>
          <w:sz w:val="24"/>
          <w:szCs w:val="24"/>
          <w:lang w:val="en-US" w:eastAsia="zh-CN" w:bidi="ar-SA"/>
        </w:rPr>
      </w:r>
      <w:r/>
    </w:p>
    <w:p>
      <w:pPr>
        <w:pStyle w:val="752"/>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三</w:t>
      </w:r>
      <w:r>
        <w:rPr>
          <w:rFonts w:hint="eastAsia" w:ascii="Times New Roman" w:hAnsi="Times New Roman" w:eastAsia="宋体" w:cs="Times New Roman"/>
          <w:b/>
          <w:sz w:val="28"/>
          <w:szCs w:val="28"/>
        </w:rPr>
        <w:t xml:space="preserve">、其他</w:t>
      </w:r>
      <w:r>
        <w:rPr>
          <w:rFonts w:ascii="Times New Roman" w:hAnsi="Times New Roman" w:eastAsia="宋体" w:cs="Times New Roman"/>
          <w:b/>
          <w:sz w:val="28"/>
          <w:szCs w:val="28"/>
        </w:rPr>
      </w:r>
      <w:r/>
    </w:p>
    <w:p>
      <w:pPr>
        <w:pStyle w:val="758"/>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本项目报价不得超过预算价（最高限价）。</w:t>
      </w:r>
      <w:r>
        <w:rPr>
          <w:rFonts w:hint="eastAsia" w:ascii="宋体" w:hAnsi="宋体" w:eastAsia="宋体" w:cs="宋体"/>
          <w:sz w:val="24"/>
          <w:szCs w:val="24"/>
          <w:lang w:val="en-US" w:eastAsia="zh-CN" w:bidi="ar-SA"/>
        </w:rPr>
      </w:r>
      <w:r/>
    </w:p>
    <w:p>
      <w:pPr>
        <w:pStyle w:val="758"/>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特别提醒投标人：应根据国家收费标准并结合市场实际进行报价，总价包干。</w:t>
      </w:r>
      <w:r>
        <w:rPr>
          <w:rFonts w:hint="eastAsia" w:ascii="宋体" w:hAnsi="宋体" w:eastAsia="宋体" w:cs="宋体"/>
          <w:sz w:val="24"/>
          <w:szCs w:val="24"/>
          <w:lang w:val="en-US" w:eastAsia="zh-CN" w:bidi="ar-SA"/>
        </w:rPr>
      </w:r>
      <w:r/>
    </w:p>
    <w:p>
      <w:pPr>
        <w:pStyle w:val="758"/>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sz w:val="24"/>
          <w:szCs w:val="24"/>
          <w:lang w:val="en-US" w:eastAsia="zh-CN" w:bidi="ar-SA"/>
        </w:rPr>
      </w:r>
      <w:r/>
    </w:p>
    <w:p>
      <w:pPr>
        <w:pStyle w:val="752"/>
        <w:rPr>
          <w:rFonts w:hint="eastAsia" w:ascii="宋体" w:hAnsi="宋体" w:eastAsia="宋体" w:cs="宋体"/>
          <w:b/>
          <w:sz w:val="36"/>
          <w:szCs w:val="20"/>
        </w:rPr>
      </w:pPr>
      <w:r>
        <w:rPr>
          <w:rFonts w:hint="eastAsia" w:ascii="宋体" w:hAnsi="宋体" w:eastAsia="宋体" w:cs="宋体"/>
          <w:b/>
          <w:sz w:val="36"/>
          <w:szCs w:val="20"/>
        </w:rPr>
        <w:br w:type="page" w:clear="all"/>
      </w:r>
      <w:r>
        <w:rPr>
          <w:rFonts w:hint="eastAsia" w:ascii="宋体" w:hAnsi="宋体" w:eastAsia="宋体" w:cs="宋体"/>
          <w:b/>
          <w:sz w:val="36"/>
          <w:szCs w:val="20"/>
        </w:rPr>
      </w:r>
      <w:r/>
    </w:p>
    <w:p>
      <w:pPr>
        <w:pStyle w:val="985"/>
        <w:ind w:left="0" w:firstLine="0"/>
        <w:jc w:val="center"/>
        <w:rPr>
          <w:rFonts w:ascii="宋体" w:hAnsi="宋体" w:eastAsia="宋体" w:cs="宋体"/>
          <w:b/>
          <w:bCs/>
          <w:sz w:val="30"/>
          <w:szCs w:val="30"/>
          <w:lang w:val="en-US" w:eastAsia="zh-CN"/>
        </w:rPr>
        <w:outlineLvl w:val="1"/>
      </w:pPr>
      <w:r>
        <w:rPr>
          <w:rFonts w:hint="eastAsia" w:ascii="宋体" w:hAnsi="宋体" w:cs="宋体"/>
          <w:b/>
          <w:bCs/>
          <w:sz w:val="30"/>
          <w:szCs w:val="30"/>
          <w:lang w:val="en-US" w:eastAsia="zh-CN"/>
        </w:rPr>
        <w:t xml:space="preserve">分包二：</w:t>
      </w:r>
      <w:r>
        <w:rPr>
          <w:rFonts w:hint="eastAsia" w:ascii="宋体" w:hAnsi="宋体" w:eastAsia="宋体" w:cs="宋体"/>
          <w:b/>
          <w:bCs/>
          <w:sz w:val="30"/>
          <w:szCs w:val="30"/>
          <w:lang w:val="en-US" w:eastAsia="zh-CN"/>
        </w:rPr>
        <w:t xml:space="preserve">人工智能与大数据等设备采购</w:t>
      </w:r>
      <w:r>
        <w:rPr>
          <w:rFonts w:ascii="宋体" w:hAnsi="宋体" w:eastAsia="宋体" w:cs="宋体"/>
          <w:b/>
          <w:bCs/>
          <w:sz w:val="30"/>
          <w:szCs w:val="30"/>
          <w:lang w:val="en-US" w:eastAsia="zh-CN"/>
        </w:rPr>
      </w:r>
      <w:r/>
    </w:p>
    <w:p>
      <w:pPr>
        <w:pStyle w:val="752"/>
        <w:ind w:firstLine="480"/>
        <w:jc w:val="left"/>
        <w:spacing w:line="360" w:lineRule="auto"/>
        <w:rPr>
          <w:rFonts w:hint="eastAsia" w:ascii="宋体" w:hAnsi="宋体" w:eastAsia="宋体" w:cs="Times New Roman"/>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hint="eastAsia" w:ascii="宋体" w:hAnsi="宋体" w:eastAsia="宋体" w:cs="Times New Roman"/>
          <w:sz w:val="24"/>
          <w:szCs w:val="24"/>
        </w:rPr>
      </w:r>
      <w:r/>
    </w:p>
    <w:p>
      <w:pPr>
        <w:pStyle w:val="752"/>
        <w:numPr>
          <w:ilvl w:val="0"/>
          <w:numId w:val="7"/>
        </w:numPr>
        <w:ind w:firstLine="480"/>
        <w:jc w:val="left"/>
        <w:spacing w:line="500" w:lineRule="exact"/>
        <w:rPr>
          <w:rFonts w:hint="eastAsia"/>
          <w:sz w:val="24"/>
          <w:szCs w:val="24"/>
        </w:rPr>
      </w:pPr>
      <w:r>
        <w:rPr>
          <w:rFonts w:hint="eastAsia"/>
          <w:sz w:val="24"/>
          <w:szCs w:val="24"/>
        </w:rPr>
        <w:t xml:space="preserve">根据《政府采购需求管理办法》等有关规定，采购人确定采购需求。</w:t>
      </w:r>
      <w:r>
        <w:rPr>
          <w:rFonts w:hint="eastAsia"/>
          <w:sz w:val="24"/>
          <w:szCs w:val="24"/>
        </w:rPr>
      </w:r>
      <w:r/>
    </w:p>
    <w:p>
      <w:pPr>
        <w:pStyle w:val="752"/>
        <w:numPr>
          <w:ilvl w:val="0"/>
          <w:numId w:val="7"/>
        </w:numPr>
        <w:ind w:firstLine="480"/>
        <w:jc w:val="left"/>
        <w:spacing w:line="500" w:lineRule="exact"/>
        <w:rPr>
          <w:rFonts w:hint="eastAsia"/>
          <w:sz w:val="24"/>
          <w:szCs w:val="24"/>
        </w:rPr>
      </w:pPr>
      <w:r>
        <w:rPr>
          <w:rFonts w:hint="eastAsia"/>
          <w:sz w:val="24"/>
          <w:szCs w:val="24"/>
        </w:rPr>
        <w:t xml:space="preserve">根</w:t>
      </w:r>
      <w:r>
        <w:rPr>
          <w:rFonts w:hint="eastAsia"/>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rPr>
          <w:rFonts w:hint="eastAsia"/>
          <w:sz w:val="24"/>
          <w:szCs w:val="24"/>
        </w:rPr>
      </w:r>
      <w:r/>
    </w:p>
    <w:p>
      <w:pPr>
        <w:pStyle w:val="752"/>
        <w:ind w:firstLine="480"/>
        <w:jc w:val="left"/>
        <w:spacing w:line="500" w:lineRule="exact"/>
        <w:rPr>
          <w:sz w:val="24"/>
          <w:szCs w:val="24"/>
        </w:rPr>
      </w:pPr>
      <w:r>
        <w:rPr>
          <w:rFonts w:hint="eastAsia" w:eastAsia="宋体"/>
          <w:sz w:val="24"/>
          <w:szCs w:val="24"/>
          <w:lang w:val="en-US" w:eastAsia="zh-CN"/>
        </w:rPr>
        <w:t xml:space="preserve">3</w:t>
      </w:r>
      <w:r>
        <w:rPr>
          <w:rFonts w:hint="eastAsia"/>
          <w:sz w:val="24"/>
          <w:szCs w:val="24"/>
        </w:rPr>
        <w:t xml:space="preserve">、</w:t>
      </w:r>
      <w:r>
        <w:rPr>
          <w:rFonts w:hint="eastAsia"/>
          <w:b/>
          <w:sz w:val="24"/>
          <w:szCs w:val="24"/>
        </w:rPr>
        <w:t xml:space="preserve">本招标文件中</w:t>
      </w:r>
      <w:r>
        <w:rPr>
          <w:rFonts w:hint="eastAsia"/>
          <w:b/>
          <w:bCs/>
          <w:color w:val="000000"/>
          <w:sz w:val="24"/>
        </w:rPr>
        <w:t xml:space="preserve">标注★号</w:t>
      </w:r>
      <w:r>
        <w:rPr>
          <w:rFonts w:hint="eastAsia" w:eastAsia="宋体"/>
          <w:b/>
          <w:bCs/>
          <w:color w:val="000000"/>
          <w:sz w:val="24"/>
          <w:lang w:val="en-US" w:eastAsia="zh-CN"/>
        </w:rPr>
        <w:t xml:space="preserve">的部分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p>
      <w:pPr>
        <w:pStyle w:val="752"/>
        <w:ind w:firstLine="480"/>
        <w:jc w:val="left"/>
        <w:spacing w:line="500" w:lineRule="exact"/>
        <w:rPr>
          <w:sz w:val="24"/>
          <w:szCs w:val="24"/>
        </w:rPr>
        <w:outlineLvl w:val="1"/>
      </w:pPr>
      <w:r>
        <w:rPr>
          <w:rFonts w:hint="eastAsia" w:eastAsia="宋体"/>
          <w:sz w:val="24"/>
          <w:szCs w:val="24"/>
          <w:lang w:val="en-US" w:eastAsia="zh-CN"/>
        </w:rPr>
        <w:t xml:space="preserve">4</w:t>
      </w:r>
      <w:r>
        <w:rPr>
          <w:rFonts w:hint="eastAsia"/>
          <w:sz w:val="24"/>
          <w:szCs w:val="24"/>
        </w:rPr>
        <w:t xml:space="preserve">、本项目核心产品为：</w:t>
      </w:r>
      <w:r>
        <w:rPr>
          <w:rFonts w:hint="eastAsia"/>
          <w:sz w:val="24"/>
          <w:szCs w:val="24"/>
          <w:u w:val="single"/>
        </w:rPr>
        <w:t xml:space="preserve">AI算力主设备节点、 AI设备节点1</w:t>
      </w:r>
      <w:r>
        <w:rPr>
          <w:rFonts w:hint="eastAsia"/>
          <w:sz w:val="24"/>
          <w:szCs w:val="24"/>
        </w:rPr>
        <w:t xml:space="preserve">。</w:t>
      </w:r>
      <w:r>
        <w:rPr>
          <w:sz w:val="24"/>
          <w:szCs w:val="24"/>
        </w:rPr>
      </w:r>
      <w:r/>
    </w:p>
    <w:p>
      <w:pPr>
        <w:pStyle w:val="752"/>
        <w:jc w:val="left"/>
        <w:rPr>
          <w:rFonts w:ascii="MS Mincho" w:hAnsi="Calibri" w:eastAsia="宋体" w:cs="Times New Roman"/>
          <w:color w:val="000000"/>
          <w:szCs w:val="24"/>
        </w:rPr>
      </w:pPr>
      <w:r>
        <w:rPr>
          <w:rFonts w:ascii="MS Mincho" w:hAnsi="Calibri" w:eastAsia="宋体" w:cs="Times New Roman"/>
          <w:color w:val="000000"/>
          <w:szCs w:val="24"/>
        </w:rPr>
      </w:r>
      <w:r/>
    </w:p>
    <w:p>
      <w:pPr>
        <w:pStyle w:val="752"/>
        <w:ind w:firstLine="562"/>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一、项目概况（或背景或主要建设内容）</w:t>
      </w:r>
      <w:r>
        <w:rPr>
          <w:rFonts w:ascii="Times New Roman" w:hAnsi="Times New Roman" w:eastAsia="宋体" w:cs="Times New Roman"/>
          <w:b/>
          <w:sz w:val="28"/>
          <w:szCs w:val="28"/>
        </w:rPr>
      </w:r>
      <w:r/>
    </w:p>
    <w:p>
      <w:pPr>
        <w:pStyle w:val="752"/>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本项目是我校“一基地五中心”建设规划中</w:t>
      </w:r>
      <w:r>
        <w:rPr>
          <w:rFonts w:hint="eastAsia" w:ascii="宋体" w:hAnsi="宋体" w:eastAsia="宋体" w:cs="宋体"/>
          <w:bCs/>
          <w:sz w:val="24"/>
          <w:szCs w:val="24"/>
          <w:lang w:eastAsia="zh-CN"/>
        </w:rPr>
        <w:t xml:space="preserve">人工智能（AI）技术实训中心二次</w:t>
      </w:r>
      <w:r>
        <w:rPr>
          <w:rFonts w:hint="eastAsia" w:ascii="宋体" w:hAnsi="宋体" w:cs="宋体"/>
          <w:bCs/>
          <w:sz w:val="24"/>
          <w:szCs w:val="24"/>
        </w:rPr>
        <w:t xml:space="preserve">项目的一部分，主要完成项目所属人工智能技术、大数据技术应用等实训室所需设备采购（不含实训终端设备）。</w:t>
      </w:r>
      <w:r>
        <w:rPr>
          <w:rFonts w:hint="eastAsia" w:ascii="宋体" w:hAnsi="宋体" w:cs="宋体"/>
          <w:bCs/>
          <w:sz w:val="24"/>
          <w:szCs w:val="24"/>
        </w:rPr>
      </w:r>
      <w:r/>
    </w:p>
    <w:p>
      <w:pPr>
        <w:pStyle w:val="752"/>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rPr>
          <w:rFonts w:ascii="Times New Roman" w:hAnsi="Times New Roman" w:eastAsia="宋体" w:cs="Times New Roman"/>
          <w:b/>
          <w:sz w:val="28"/>
          <w:szCs w:val="28"/>
        </w:rPr>
      </w:r>
      <w:r/>
    </w:p>
    <w:tbl>
      <w:tblPr>
        <w:tblpPr w:horzAnchor="page" w:tblpX="1546" w:vertAnchor="text" w:tblpY="612" w:leftFromText="180" w:topFromText="0" w:rightFromText="180" w:bottomFromText="0"/>
        <w:tblW w:w="9091" w:type="dxa"/>
        <w:tblInd w:w="-108" w:type="dxa"/>
        <w:tblBorders>
          <w:top w:val="single" w:color="000000" w:sz="40" w:space="0"/>
          <w:left w:val="single" w:color="000000" w:sz="40" w:space="0"/>
          <w:bottom w:val="single" w:color="000000" w:sz="40" w:space="0"/>
          <w:right w:val="single" w:color="000000" w:sz="40" w:space="0"/>
          <w:insideH w:val="single" w:color="000000" w:sz="40" w:space="0"/>
          <w:insideV w:val="single" w:color="000000" w:sz="40" w:space="0"/>
        </w:tblBorders>
        <w:tblLayout w:type="fixed"/>
        <w:tblCellMar>
          <w:left w:w="108" w:type="dxa"/>
          <w:top w:w="0" w:type="dxa"/>
          <w:right w:w="108" w:type="dxa"/>
          <w:bottom w:w="0" w:type="dxa"/>
        </w:tblCellMar>
        <w:tblLook w:val="04A0" w:firstRow="1" w:lastRow="0" w:firstColumn="1" w:lastColumn="0" w:noHBand="0" w:noVBand="1"/>
      </w:tblPr>
      <w:tblGrid>
        <w:gridCol w:w="1131"/>
        <w:gridCol w:w="1450"/>
        <w:gridCol w:w="1965"/>
        <w:gridCol w:w="705"/>
        <w:gridCol w:w="700"/>
        <w:gridCol w:w="3140"/>
      </w:tblGrid>
      <w:tr>
        <w:trPr>
          <w:trHeight w:val="52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序号</w:t>
            </w:r>
            <w:r>
              <w:rPr>
                <w:rFonts w:ascii="宋体" w:hAnsi="宋体" w:eastAsia="Arial" w:cs="宋体"/>
                <w:sz w:val="24"/>
                <w:szCs w:val="24"/>
                <w:lang w:val="en-US" w:eastAsia="zh-CN" w:bidi="ar-SA"/>
              </w:rPr>
            </w:r>
            <w:r/>
          </w:p>
        </w:tc>
        <w:tc>
          <w:tcPr>
            <w:tcW w:w="145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所属实训室</w:t>
            </w: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货物（标的）名称</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数量</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单位</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中小企业划分标准所属行业</w:t>
            </w:r>
            <w:r>
              <w:rPr>
                <w:rFonts w:ascii="宋体" w:hAnsi="宋体" w:eastAsia="Arial" w:cs="宋体"/>
                <w:sz w:val="24"/>
                <w:szCs w:val="24"/>
                <w:lang w:val="en-US" w:eastAsia="zh-CN" w:bidi="ar-SA"/>
              </w:rPr>
            </w:r>
            <w:r/>
          </w:p>
        </w:tc>
      </w:tr>
      <w:tr>
        <w:trPr>
          <w:trHeight w:val="60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1450" w:type="dxa"/>
            <w:vAlign w:val="center"/>
            <w:vMerge w:val="restart"/>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人工智能技术实训室</w:t>
            </w: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AI算力主设备节点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15</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60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AI算力定制管理节点</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60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AI算力管理平台</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4</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AI设备节点1——教师教学模块设备节点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5</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AI设备节点2——资源管理模块设备节点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6</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AI设备节点3——学生学习模块设备节点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752"/>
              <w:ind w:left="0" w:right="0" w:firstLine="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7</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AI设备节点4——实验实训模块设备节点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8</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人工智能嵌入式实训终端</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9</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人工智能基础</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10</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深度学习基础与实践</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11</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机器学习基础与实践</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12</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计算机视觉</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13</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人工智能理论知识（ Python、深度学习等）</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14</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人工智能实践课程（Python、深度学习等）</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15</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CV实战课</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16</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NLP实战课</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17</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场景实战</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18</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AI+医疗实战案例</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19</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AI+教育实战案例</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20</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AI+建筑实战案例</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21</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计算机视觉1+X初级课程</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22</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AI竞速小车</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5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23</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AI竞速小车沙盘</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24</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配套课程资源</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25</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语音识别应用实训设备</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26</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图像识别应用展示实训设备</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30</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27</w:t>
            </w:r>
            <w:r>
              <w:rPr>
                <w:rFonts w:ascii="宋体" w:hAnsi="宋体" w:eastAsia="Arial" w:cs="宋体"/>
                <w:sz w:val="24"/>
                <w:szCs w:val="24"/>
                <w:lang w:val="en-US" w:eastAsia="zh-CN" w:bidi="ar-SA"/>
              </w:rPr>
            </w:r>
            <w:r/>
          </w:p>
        </w:tc>
        <w:tc>
          <w:tcPr>
            <w:tcW w:w="1450" w:type="dxa"/>
            <w:vAlign w:val="center"/>
            <w:vMerge w:val="restart"/>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大数据技术应用实训室</w:t>
            </w: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大数据定制开发模块一</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hint="eastAsia" w:ascii="宋体" w:hAnsi="宋体" w:eastAsia="宋体" w:cs="宋体"/>
                <w:sz w:val="24"/>
                <w:szCs w:val="24"/>
                <w:lang w:val="en-US" w:eastAsia="zh-CN" w:bidi="ar-SA"/>
              </w:rPr>
              <w:framePr w:vAnchor="text" w:hAnchor="page" w:x="1546" w:y="612"/>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700" w:type="dxa"/>
            <w:vAlign w:val="center"/>
            <w:textDirection w:val="lrTb"/>
            <w:noWrap w:val="false"/>
          </w:tcPr>
          <w:p>
            <w:pPr>
              <w:pStyle w:val="752"/>
              <w:jc w:val="center"/>
              <w:widowControl/>
              <w:rPr>
                <w:rFonts w:hint="eastAsia" w:ascii="宋体" w:hAnsi="宋体" w:eastAsia="宋体" w:cs="宋体"/>
                <w:sz w:val="24"/>
                <w:szCs w:val="24"/>
                <w:lang w:val="en-US" w:eastAsia="zh-CN" w:bidi="ar-SA"/>
              </w:rPr>
              <w:framePr w:vAnchor="text" w:hAnchor="page" w:x="1546" w:y="612"/>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28</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大数据定制开发模块二</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宋体"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宋体"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29</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大数据视频课程资源</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30</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大数据题库</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31</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典型数据分析与挖掘案例</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5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32</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综合项目实战案例</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33</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行业数据集</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34</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752"/>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752"/>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大数据可视化系统</w:t>
            </w:r>
            <w:r>
              <w:rPr>
                <w:rFonts w:ascii="宋体" w:hAnsi="宋体" w:eastAsia="Arial" w:cs="宋体"/>
                <w:sz w:val="24"/>
                <w:szCs w:val="24"/>
                <w:lang w:val="en-US" w:eastAsia="zh-CN" w:bidi="ar-SA"/>
              </w:rPr>
            </w:r>
            <w:r/>
          </w:p>
        </w:tc>
        <w:tc>
          <w:tcPr>
            <w:tcW w:w="705"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752"/>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bl>
    <w:p>
      <w:pPr>
        <w:pStyle w:val="752"/>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r>
      <w:r/>
    </w:p>
    <w:p>
      <w:pPr>
        <w:pStyle w:val="752"/>
        <w:ind w:firstLine="562"/>
        <w:jc w:val="left"/>
        <w:spacing w:line="24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rPr>
          <w:rFonts w:ascii="Times New Roman" w:hAnsi="Times New Roman" w:eastAsia="宋体" w:cs="Times New Roman"/>
          <w:b/>
          <w:sz w:val="28"/>
          <w:szCs w:val="28"/>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8"/>
        <w:gridCol w:w="790"/>
        <w:gridCol w:w="1535"/>
        <w:gridCol w:w="5973"/>
        <w:gridCol w:w="658"/>
        <w:gridCol w:w="420"/>
      </w:tblGrid>
      <w:tr>
        <w:trPr>
          <w:trHeight w:val="4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区域</w:t>
            </w:r>
            <w:r>
              <w:rPr>
                <w:rFonts w:ascii="Calibri" w:hAnsi="Calibri" w:eastAsia="Arial" w:cs="Arial"/>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序号</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货物名称</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技术参数</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数量</w:t>
            </w:r>
            <w:r>
              <w:rPr>
                <w:rFonts w:ascii="Calibri" w:hAnsi="Calibri" w:eastAsia="Arial" w:cs="Arial"/>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单位</w:t>
            </w:r>
            <w:r>
              <w:rPr>
                <w:rFonts w:ascii="Calibri" w:hAnsi="Calibri" w:eastAsia="Arial" w:cs="Arial"/>
                <w:b/>
                <w:bCs/>
                <w:color w:val="000000"/>
                <w:sz w:val="20"/>
                <w:szCs w:val="20"/>
                <w:lang w:val="en-US" w:eastAsia="zh-CN" w:bidi="ar-SA"/>
              </w:rPr>
            </w:r>
            <w:r/>
          </w:p>
        </w:tc>
      </w:tr>
      <w:tr>
        <w:trPr>
          <w:trHeight w:val="4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b/>
                <w:bCs/>
                <w:color w:val="000000"/>
                <w:sz w:val="20"/>
                <w:szCs w:val="20"/>
                <w:lang w:val="en-US" w:eastAsia="zh-CN" w:bidi="ar-SA"/>
              </w:rPr>
            </w:pP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一</w:t>
            </w:r>
            <w:r>
              <w:rPr>
                <w:rFonts w:ascii="宋体" w:hAnsi="宋体" w:eastAsia="Arial" w:cs="宋体"/>
                <w:b/>
                <w:bCs/>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86" w:type="dxa"/>
            <w:vAlign w:val="center"/>
            <w:textDirection w:val="lrTb"/>
            <w:noWrap w:val="false"/>
          </w:tcPr>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人工智能技术实训室</w:t>
            </w:r>
            <w:r>
              <w:rPr>
                <w:rFonts w:ascii="宋体" w:hAnsi="宋体" w:eastAsia="Arial" w:cs="宋体"/>
                <w:b/>
                <w:bCs/>
                <w:color w:val="000000"/>
                <w:sz w:val="20"/>
                <w:szCs w:val="20"/>
                <w:lang w:val="en-US" w:eastAsia="zh-CN" w:bidi="ar-SA"/>
              </w:rPr>
            </w:r>
            <w:r/>
          </w:p>
        </w:tc>
      </w:tr>
      <w:tr>
        <w:trPr>
          <w:trHeight w:val="753"/>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p>
            <w:pPr>
              <w:pStyle w:val="752"/>
              <w:jc w:val="both"/>
              <w:widowControl w:val="off"/>
              <w:rPr>
                <w:rFonts w:ascii="Calibri" w:hAnsi="Calibri" w:eastAsia="Arial" w:cs="Arial"/>
                <w:sz w:val="21"/>
                <w:szCs w:val="22"/>
                <w:lang w:val="en-US" w:eastAsia="zh-CN" w:bidi="ar-SA"/>
              </w:rPr>
            </w:pPr>
            <w:r>
              <w:rPr>
                <w:rFonts w:ascii="Calibri" w:hAnsi="Calibri" w:eastAsia="Arial" w:cs="Arial"/>
                <w:sz w:val="21"/>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highlight w:val="yellow"/>
                <w:lang w:val="en-US" w:eastAsia="zh-CN" w:bidi="ar-SA"/>
              </w:rPr>
            </w:pPr>
            <w:r>
              <w:rPr>
                <w:rFonts w:hint="eastAsia" w:ascii="宋体" w:hAnsi="宋体" w:eastAsia="Arial" w:cs="宋体"/>
                <w:color w:val="000000"/>
                <w:sz w:val="20"/>
                <w:szCs w:val="20"/>
                <w:highlight w:val="none"/>
                <w:lang w:val="en-US" w:eastAsia="zh-CN" w:bidi="ar-SA"/>
              </w:rPr>
              <w:t xml:space="preserve">1</w:t>
            </w:r>
            <w:r>
              <w:rPr>
                <w:rFonts w:ascii="宋体" w:hAnsi="宋体" w:eastAsia="Arial" w:cs="宋体"/>
                <w:color w:val="000000"/>
                <w:sz w:val="20"/>
                <w:szCs w:val="20"/>
                <w:highlight w:val="yellow"/>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AI算力主设备节点</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根据校方在教学及科研方面的具体需求，量身打造特定配置、功能和服务的算力主设备。在处理器、内存、硬盘等硬件组件的选择上，以及操作系统、中间件、数据库和应用软件的配置上都有极高的自由度。云虚拟化平台需要支持资源的动态分配和弹性扩展。</w:t>
            </w:r>
            <w:r>
              <w:rPr>
                <w:rFonts w:hint="eastAsia" w:ascii="宋体" w:hAnsi="宋体" w:eastAsia="Arial" w:cs="宋体"/>
                <w:color w:val="000000"/>
                <w:sz w:val="20"/>
                <w:szCs w:val="20"/>
                <w:highlight w:val="none"/>
                <w:lang w:val="en-US" w:eastAsia="zh-CN" w:bidi="ar-SA"/>
              </w:rPr>
            </w:r>
            <w:r/>
          </w:p>
          <w:p>
            <w:pPr>
              <w:pStyle w:val="752"/>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1、服务器集群提供完整和灵活的软硬件组合与计算平台，满足从云边端不同工作负载需求；</w:t>
            </w:r>
            <w:r>
              <w:rPr>
                <w:rFonts w:hint="eastAsia" w:ascii="宋体" w:hAnsi="宋体" w:eastAsia="Arial" w:cs="宋体"/>
                <w:color w:val="000000"/>
                <w:sz w:val="20"/>
                <w:szCs w:val="20"/>
                <w:highlight w:val="none"/>
                <w:lang w:val="en-US" w:eastAsia="zh-CN" w:bidi="ar-SA"/>
              </w:rPr>
            </w:r>
            <w:r/>
          </w:p>
          <w:p>
            <w:pPr>
              <w:pStyle w:val="752"/>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2、集成AI加速功能的INTEL至强可扩展CPU或同等性能产品；</w:t>
            </w:r>
            <w:r>
              <w:rPr>
                <w:rFonts w:hint="eastAsia" w:ascii="宋体" w:hAnsi="宋体" w:eastAsia="Arial" w:cs="宋体"/>
                <w:color w:val="000000"/>
                <w:sz w:val="20"/>
                <w:szCs w:val="20"/>
                <w:highlight w:val="none"/>
                <w:lang w:val="en-US" w:eastAsia="zh-CN" w:bidi="ar-SA"/>
              </w:rPr>
            </w:r>
            <w:r/>
          </w:p>
          <w:p>
            <w:pPr>
              <w:pStyle w:val="752"/>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3、CPU：≥Intel Platinum 8350C （32C 2.6GHz 240W）*2或AMD EYPC 7W83 （64C 2.55GHz 280W）*2；本项目定制款处理器，为定制的软硬一体、云边设备协同的集成化定制机器核心大脑。需满足AI 实训平台跟算力节点设备的部署调优、AI模型算法和算力资源适配和推理性能调优，教具平台中跟随机器人、图像识别设备跟平台的联动效果，算力设备需要安装定制化的云端一体化组件。</w:t>
            </w:r>
            <w:r>
              <w:rPr>
                <w:rFonts w:hint="eastAsia" w:ascii="宋体" w:hAnsi="宋体" w:eastAsia="Arial" w:cs="宋体"/>
                <w:color w:val="000000"/>
                <w:sz w:val="20"/>
                <w:szCs w:val="20"/>
                <w:highlight w:val="none"/>
                <w:lang w:val="en-US" w:eastAsia="zh-CN" w:bidi="ar-SA"/>
              </w:rPr>
            </w:r>
            <w:r/>
          </w:p>
          <w:p>
            <w:pPr>
              <w:pStyle w:val="752"/>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4、内存：≥DDR4-2933 64G RDIMM*12；</w:t>
            </w:r>
            <w:r>
              <w:rPr>
                <w:rFonts w:hint="eastAsia" w:ascii="宋体" w:hAnsi="宋体" w:eastAsia="Arial" w:cs="宋体"/>
                <w:color w:val="000000"/>
                <w:sz w:val="20"/>
                <w:szCs w:val="20"/>
                <w:highlight w:val="none"/>
                <w:lang w:val="en-US" w:eastAsia="zh-CN" w:bidi="ar-SA"/>
              </w:rPr>
            </w:r>
            <w:r/>
          </w:p>
          <w:p>
            <w:pPr>
              <w:pStyle w:val="752"/>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5、硬盘资源采用NVMe逻辑设备接口规范，SSD固态硬盘驱动器，机械硬盘：≥SATA-HDD 4T 7.2K NL*2，固态硬盘：≥SATA-SSD 480G*1 + NVMe-SSD 1T*3；</w:t>
            </w:r>
            <w:r>
              <w:rPr>
                <w:rFonts w:hint="eastAsia" w:ascii="宋体" w:hAnsi="宋体" w:eastAsia="Arial" w:cs="宋体"/>
                <w:color w:val="000000"/>
                <w:sz w:val="20"/>
                <w:szCs w:val="20"/>
                <w:highlight w:val="none"/>
                <w:lang w:val="en-US" w:eastAsia="zh-CN" w:bidi="ar-SA"/>
              </w:rPr>
            </w:r>
            <w:r/>
          </w:p>
          <w:p>
            <w:pPr>
              <w:pStyle w:val="752"/>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6、网卡：≥25G 光口双口CX5*1 + 1G电口双口*1；</w:t>
            </w:r>
            <w:r>
              <w:rPr>
                <w:rFonts w:hint="eastAsia" w:ascii="宋体" w:hAnsi="宋体" w:eastAsia="Arial" w:cs="宋体"/>
                <w:color w:val="000000"/>
                <w:sz w:val="20"/>
                <w:szCs w:val="20"/>
                <w:highlight w:val="none"/>
                <w:lang w:val="en-US" w:eastAsia="zh-CN" w:bidi="ar-SA"/>
              </w:rPr>
            </w:r>
            <w:r/>
          </w:p>
          <w:p>
            <w:pPr>
              <w:pStyle w:val="752"/>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7、根据学院前期教学及科研的适配测试要求，GPU支持单台算力设备至少4卡以上插槽，单卡≥1万个CUDA算力核心，单卡显存48GB以上，适配显卡：L20 *2或A16*4，GPU支持计算资源虚拟化技术。本项目定制款处理器，为定制的软硬一体、云边设备协同的集成化定制机器核心大脑。需满足AI 实训平台跟算力节点设备的部署调优、AI模型算法和算力资源适配和推理性能调优，教具平台中跟随机器人、图像识别设备跟平台的联动效果，算力设备需要安装定制化的云端一体化组件。</w:t>
            </w:r>
            <w:r>
              <w:rPr>
                <w:rFonts w:hint="eastAsia" w:ascii="宋体" w:hAnsi="宋体" w:eastAsia="Arial" w:cs="宋体"/>
                <w:color w:val="000000"/>
                <w:sz w:val="20"/>
                <w:szCs w:val="20"/>
                <w:highlight w:val="none"/>
                <w:lang w:val="en-US" w:eastAsia="zh-CN" w:bidi="ar-SA"/>
              </w:rPr>
            </w:r>
            <w:r/>
          </w:p>
          <w:p>
            <w:pPr>
              <w:pStyle w:val="752"/>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8、在教学科研领域，许多教学实验项目</w:t>
            </w:r>
            <w:r>
              <w:rPr>
                <w:rFonts w:hint="eastAsia" w:ascii="宋体" w:hAnsi="宋体" w:eastAsia="Arial" w:cs="宋体"/>
                <w:color w:val="000000"/>
                <w:sz w:val="20"/>
                <w:szCs w:val="20"/>
                <w:highlight w:val="none"/>
                <w:lang w:val="en-US" w:eastAsia="zh-CN" w:bidi="ar-SA"/>
              </w:rPr>
              <w:t xml:space="preserve">需要进行复杂的计算和模拟，需要运行特定的教学科研软件，这些软件对算力设备的操作系统、中间件、数据库等方面有着特殊的要求。如不同的专业和特殊项目需要运行特定的软件。本算力设备为定制的软硬一体、云边设备协同的集成化定制机器，项目方案落地中涉及 AI 实训平台跟算力节点设备的部署调优、AI模型算法和算力资源适配和推理性能调优，教具平台中跟随机器人、图像识别设备跟平台的联动效果，算力设备需要安装定制化的云端一体组件。并且本次定制的算力设备具备高级别安全性能，并采取严格的安全管理措施，确保数据安全与隐私得到有效保障。</w:t>
            </w:r>
            <w:r>
              <w:rPr>
                <w:rFonts w:hint="eastAsia" w:ascii="宋体" w:hAnsi="宋体" w:eastAsia="Arial" w:cs="宋体"/>
                <w:color w:val="000000"/>
                <w:sz w:val="20"/>
                <w:szCs w:val="20"/>
                <w:highlight w:val="none"/>
                <w:lang w:val="en-US" w:eastAsia="zh-CN" w:bidi="ar-SA"/>
              </w:rPr>
            </w:r>
            <w:r/>
          </w:p>
          <w:p>
            <w:pPr>
              <w:pStyle w:val="752"/>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9、作为私有云GPU算力的补充，三年内，需每学期提供至少90个公有云账号、每个账号累计100小时的公有云AI算力，登录使用时每个账号均可获得Nvidia V100或同等以上算力，并支持将在本地平台运行的AI实验代码导入公有云平台、利用上述公有云算力实现在线训练。</w:t>
            </w:r>
            <w:r>
              <w:rPr>
                <w:rFonts w:hint="eastAsia" w:ascii="宋体" w:hAnsi="宋体" w:eastAsia="Arial" w:cs="宋体"/>
                <w:color w:val="000000"/>
                <w:sz w:val="20"/>
                <w:szCs w:val="20"/>
                <w:highlight w:val="none"/>
                <w:lang w:val="en-US" w:eastAsia="zh-CN" w:bidi="ar-SA"/>
              </w:rPr>
            </w:r>
            <w:r/>
          </w:p>
          <w:p>
            <w:pPr>
              <w:pStyle w:val="752"/>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▲10、AI算力主设备节点中私有云算力补充资源，产品厂家需具有信息技术服务运行维护标准（ITSS）符合性认证证书。</w:t>
            </w:r>
            <w:r>
              <w:rPr>
                <w:rFonts w:hint="eastAsia" w:ascii="宋体" w:hAnsi="宋体" w:eastAsia="Arial" w:cs="宋体"/>
                <w:b/>
                <w:bCs/>
                <w:color w:val="000000"/>
                <w:sz w:val="20"/>
                <w:szCs w:val="20"/>
                <w:highlight w:val="none"/>
                <w:lang w:val="en-US" w:eastAsia="zh-CN" w:bidi="ar-SA"/>
              </w:rPr>
              <w:t xml:space="preserve">（提供在有效期内的证书原件扫描件并加盖投标人公章。）</w:t>
            </w:r>
            <w:r>
              <w:rPr>
                <w:rFonts w:hint="eastAsia"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15</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台</w:t>
            </w:r>
            <w:r>
              <w:rPr>
                <w:rFonts w:ascii="宋体" w:hAnsi="宋体" w:eastAsia="Arial" w:cs="宋体"/>
                <w:color w:val="000000"/>
                <w:sz w:val="20"/>
                <w:szCs w:val="20"/>
                <w:highlight w:val="none"/>
                <w:lang w:val="en-US" w:eastAsia="zh-CN" w:bidi="ar-SA"/>
              </w:rPr>
            </w:r>
            <w:r/>
          </w:p>
        </w:tc>
      </w:tr>
      <w:tr>
        <w:trPr>
          <w:trHeight w:val="441"/>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AI算力定制管理节点</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1.具备高可用性，个别计算节点故障不会导致容器使用；</w:t>
            </w:r>
            <w:r>
              <w:rPr>
                <w:rFonts w:ascii="宋体" w:hAnsi="宋体" w:eastAsia="Arial" w:cs="宋体"/>
                <w:color w:val="000000"/>
                <w:sz w:val="20"/>
                <w:szCs w:val="20"/>
                <w:highlight w:val="none"/>
                <w:lang w:val="en-US" w:eastAsia="zh-CN" w:bidi="ar-SA"/>
              </w:rPr>
            </w:r>
            <w:r/>
          </w:p>
          <w:p>
            <w:pPr>
              <w:pStyle w:val="752"/>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2.内置集群管理软件，并集成AI优化引擎；</w:t>
            </w:r>
            <w:r>
              <w:rPr>
                <w:rFonts w:ascii="宋体" w:hAnsi="宋体" w:eastAsia="Arial" w:cs="宋体"/>
                <w:color w:val="000000"/>
                <w:sz w:val="20"/>
                <w:szCs w:val="20"/>
                <w:highlight w:val="none"/>
                <w:lang w:val="en-US" w:eastAsia="zh-CN" w:bidi="ar-SA"/>
              </w:rPr>
            </w:r>
            <w:r/>
          </w:p>
          <w:p>
            <w:pPr>
              <w:pStyle w:val="752"/>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3.集群应与教学实训私有化平台100%兼容；</w:t>
            </w:r>
            <w:r>
              <w:rPr>
                <w:rFonts w:ascii="宋体" w:hAnsi="宋体" w:eastAsia="Arial" w:cs="宋体"/>
                <w:color w:val="000000"/>
                <w:sz w:val="20"/>
                <w:szCs w:val="20"/>
                <w:highlight w:val="none"/>
                <w:lang w:val="en-US" w:eastAsia="zh-CN" w:bidi="ar-SA"/>
              </w:rPr>
            </w:r>
            <w:r/>
          </w:p>
          <w:p>
            <w:pPr>
              <w:pStyle w:val="752"/>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4.CPU采用主频等于或大于2.3Ghz、单颗CPU核数不低于16核，总资源核数不低于64核；</w:t>
            </w:r>
            <w:r>
              <w:rPr>
                <w:rFonts w:ascii="宋体" w:hAnsi="宋体" w:eastAsia="Arial" w:cs="宋体"/>
                <w:color w:val="000000"/>
                <w:sz w:val="20"/>
                <w:szCs w:val="20"/>
                <w:highlight w:val="none"/>
                <w:lang w:val="en-US" w:eastAsia="zh-CN" w:bidi="ar-SA"/>
              </w:rPr>
            </w:r>
            <w:r/>
          </w:p>
          <w:p>
            <w:pPr>
              <w:pStyle w:val="752"/>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5.内存资源DDR4以上，单条内存不小于32G，总内存不低于500G；</w:t>
            </w:r>
            <w:r>
              <w:rPr>
                <w:rFonts w:ascii="宋体" w:hAnsi="宋体" w:eastAsia="Arial" w:cs="宋体"/>
                <w:color w:val="000000"/>
                <w:sz w:val="20"/>
                <w:szCs w:val="20"/>
                <w:highlight w:val="none"/>
                <w:lang w:val="en-US" w:eastAsia="zh-CN" w:bidi="ar-SA"/>
              </w:rPr>
            </w:r>
            <w:r/>
          </w:p>
          <w:p>
            <w:pPr>
              <w:pStyle w:val="752"/>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6.机械硬盘驱动器资源硬盘不低于8T；</w:t>
            </w:r>
            <w:r>
              <w:rPr>
                <w:rFonts w:ascii="宋体" w:hAnsi="宋体" w:eastAsia="Arial" w:cs="宋体"/>
                <w:color w:val="000000"/>
                <w:sz w:val="20"/>
                <w:szCs w:val="20"/>
                <w:highlight w:val="none"/>
                <w:lang w:val="en-US" w:eastAsia="zh-CN" w:bidi="ar-SA"/>
              </w:rPr>
            </w:r>
            <w:r/>
          </w:p>
          <w:p>
            <w:pPr>
              <w:pStyle w:val="752"/>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7.固态硬盘驱动器采用NVMe逻辑设备接口规范，不低于2T；</w:t>
            </w:r>
            <w:r>
              <w:rPr>
                <w:rFonts w:ascii="宋体" w:hAnsi="宋体" w:eastAsia="Arial" w:cs="宋体"/>
                <w:color w:val="000000"/>
                <w:sz w:val="20"/>
                <w:szCs w:val="20"/>
                <w:highlight w:val="none"/>
                <w:lang w:val="en-US" w:eastAsia="zh-CN" w:bidi="ar-SA"/>
              </w:rPr>
            </w:r>
            <w:r/>
          </w:p>
          <w:p>
            <w:pPr>
              <w:pStyle w:val="752"/>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8.网卡支持10G以上光口。</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206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AI算力管理平台</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一、智能应用管理模块</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1.项目管理：</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1)支持一个项目有多名用户；</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2)支持管理员设置每个项目的CPU、内存、智能加速卡、存储等资源配额（项目资源配额是指项目内同时请求使用的最大资源额度）；</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2.应用镜像管理，存储卷，数据集，算法，模型管理：</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1)支持上传容器镜像；</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2)支持创建和删除存储卷、数据集、算法、预训练模型、用户的模型；</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3)支持浏览存储卷、数据集、算法、预训练模型、用户的模型的文件列表；</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智能应用开发环境管理：支持用户创建基于智能加速卡的智能应用开发环境，用户能够配置开发环境所需的用户的算法、公共算法、用户的数据集、公共数据集、预训练模型、公共模型、存储卷、镜像。并且，支持用户可以对运行中的开发环境切换算力规格和保存当前环境为镜像。</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1)支持SSH访问智能应用开发环境；</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2)支持运行Jupyter Notebook、Jupyter Lab；</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3)支持启动、删除、停止智能应用开发环境；</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4.训练任务管理 支持用户批量执行基于智能加速卡的模型训练任务。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1)支持查看CPU使用率、智能加速卡使用率、内存占用和网络流量的监控；</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2)支持查看日志；</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3)支持单机训练模式，支持 Horovod、TensorFlow 原生、PyTorch 原生的分布式训练模式；</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5.容器服务管理以及配置中心 支持用户以容器的方式部署在线服务，并且支持调整副本数、灰度发布功能。</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1)支持创建、停止、删除容器服务；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2)支持修改容器服务的副本数；</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3）支持灰度升级功能，不同版本流量比例可调。</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二、智能应用调度模块</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1)支持识别智能加速卡；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2)支持对智能加速卡资源的调度。</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三、智能集群监控管理模块</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1.集群监控和告警功能：</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1)实现对智能加速卡、CPU、内存、存储、网络等资源的监控；</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2)提供集群节点数、应用数、智能加速卡数、服务器数、异常数、集群智能加速卡利用率、集群 CPU 利用率、集群内存利用率、集群磁盘利用率；</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3)支持集群网络拓扑图展示；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4）支持展示集群、节点、应用的详细监控信息展示。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四、智能标注模块</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1.增加、删除、编辑标注数据集；</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2.支持对数据集上传图片，批量删除图片；</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3.支持同一个数据集的每张图片标注四种不同标注方式（矩形框标注、分类标注、关键点标注、多边形标注）的标注信息。</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505"/>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AI设备节点1——教师教学模块设备节点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▲1、系统支持教师用户和学生用户自定义首页默认布局设置。支持一键恢复首页默认布局。教师用户首页支持全局模式、教学模式、备课模式和考试模式4种内置首页布局模式。</w:t>
            </w:r>
            <w:r>
              <w:rPr>
                <w:rFonts w:hint="eastAsia" w:ascii="宋体" w:hAnsi="宋体" w:eastAsia="Arial" w:cs="宋体"/>
                <w:color w:val="000000"/>
                <w:sz w:val="20"/>
                <w:szCs w:val="20"/>
                <w:lang w:val="en-US" w:eastAsia="zh-CN" w:bidi="ar-SA"/>
              </w:rPr>
            </w:r>
            <w:r/>
          </w:p>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2、系统支持自定义排课功能，包含课程信息、上课班级、授课老师、上课地点、上课时间等信息。</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▲3、系统支持内置录屏功能，提供容器、虚机、Jupyter三种录屏环境。支持对屏幕录像和文档素材进行管理，文档素材支持word、ppt和excel格式。</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4、系统支持实验报告模板管理，内置文档编辑器，支持在线编辑模板。</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5、系统支持课程管理功能，包含系统内置课程和教师自建课程。可按照课程标签快速筛选课程。支持对系统内置课程复用，方便快速创建课程。</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系统支持查看课程详情，包括上课时间、该课程累计上课次数、系统和自建标签以及学习路径和班级信息展示。支持编辑所在院系、所学专业、所在班级，支持自定义课程名称、课程封面图片。支持课程发布、学生申请、课程共享功能的一键开关。</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7、系统支持课程编辑，需包括课程介绍、课程大纲、课程目录、实验报告、提问记录、分组记录等模块。支持内置文档编辑工具，支持本地上传文档。</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8、系统支持课程目录编辑。支持对章节内容的编辑，可以添加实验，添加视频、课件。支持选择实验运行系统；支持从系统导入或自主上传实验手册、报告模板、视频、课件等素材；支持手动排序功能。</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▲9、系统支持对班级成员进行分组，支持手动和随机分组，可支持组长设置。</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10、在线课堂支持课堂讨论模块，教师用户拥有开放讨论和清空讨论权限，支持发送内置互动表情。</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▲11、在线课堂支持在线随机点名提问功能，支持对学生回答打分。</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12、在线课堂支持实验监控功能，支持查询学生在线实验情况，支持一键提醒学生录屏，支持远程协助功能，可对学生主机进行操作指导。</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▲13、系统支持教师创建六种教学工具：容器演示环境、虚机演示环境、Jupyter演示环境、图像分类演示环境、目标检测演示环境、机器学习演示环境。</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14、系统支持学员管理，支持查看班级成员、查看课程申请和添加重修学员，支持学员密码重置。</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15、系统支持课堂管理功能。支持查看学生在线或离线情况、实验报告提交情况，支持通过远程协助进入学生正在试验的环境；支持快照管理，可查看和删除学生虚机快照。</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16、系统支持虚机管理，可查看和关闭学生虚机。提供平台小助手模块，可随时管理虚机，支持设置平台小助手的透明度。</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17、系统支持教师编辑不同课程章节的课堂备注信息，并支持批量删除及导出。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在线考试支持自动组卷和手动组卷两种方式添加试卷。通过对不同题型所属的试题科目进行题目总数设定，支持自动计算总分数。完成快速自动组卷。系统支持将任意已发布的试卷自动设为模板，支持对模板试卷的复用功能。支持试卷以word格式批量导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在线考试支持查看试卷满分、最高分、最低分、平均分、及格率、已提交人数等考试信息。支持查看学生的考试时间、答题时长、成绩、及格状态等数据。支持以excel格式导出学生成绩。支持考试分析功能，展示错题率统计图和成绩排名图。</w:t>
            </w:r>
            <w:r>
              <w:rPr>
                <w:rFonts w:ascii="宋体" w:hAnsi="宋体" w:eastAsia="Arial" w:cs="宋体"/>
                <w:color w:val="000000"/>
                <w:sz w:val="20"/>
                <w:szCs w:val="20"/>
                <w:lang w:val="en-US" w:eastAsia="zh-CN" w:bidi="ar-SA"/>
              </w:rPr>
            </w:r>
            <w:r/>
          </w:p>
          <w:p>
            <w:pPr>
              <w:pStyle w:val="752"/>
              <w:jc w:val="left"/>
              <w:widowControl/>
              <w:rPr>
                <w:rFonts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系统支持教师查看班级的实验报告分析，展示报告满分、最高分、最低分、平均分和已提交人数等数据，展示整个班级成绩排名图和实验分析图。支持学生查看个人实验报告分析，展示完成率、提交报告次数和报告成绩分析图。</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AI设备节点2——资源管理模块设备节点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1、系统兼容各类常见操作系统，包括Redhat、Debian、Kylin、UOS、OpenEuler、CentOS等；兼容各类数据库包括：MySql、MariaDB、MongoDB等；</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▲2、兼容各类的周边边缘计算的设备，包括英伟达Jetson nano、Jetson Xavier、Jetson NX等周边的视觉类，图像类边缘计算的设备，RobOS类型机器人、各类智能机械臂、无人驾驶车等等。</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3、系统支持对图像分类、目标检测、机器学习所需的数据集进行管理，支持数据集的导入功能。</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4、系统支持通过仪表盘展示Docker容器资源使用情况，包含CPU、内存和硬盘的使用比。支持对教师和学生的虚机进行查询、删除等操作。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5、系统支持用户在保存实验时一键生成快照，支持对所有快照进行查询、管理、删除等操作。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6、系统支持任务调度功能，支持对正在运行的测试或训练任务进行暂停、终止操作，支持对已完成的任务进行筛选、查看、删除等操作。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7、系统支持磁盘管理功能，支持自动或手动清理磁盘。</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8、系统支持组织管理、班级管理和用户管理。支持对系统账户进行编辑、重置密码、禁用和删除操作。支持从回收站还原账户。</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9、系统支持在线用户管理功能，支持查看系统当前在线用户的会话编号、姓名、浏览器、操作系统、登录时间、登录IP、登录地点等信息，支持对系统当前在线用户进行强退及批量强退操作。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10、系统支持登录日志管理功能，支持查看登录用户的姓名、账号、浏览器、操作系统、登录IP、登录地点、登录状态、错误信息、操作耗时、登录时间的信息，支持批量删除及导出操作。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系统支持操作日志管理功能，支持查看用户操作的姓名、操作模块、错误信息、操作方法、请求参数、操作IP、操作时间、账号、操作状态、操作耗时、操作内容、返回参数、操作地点等信息，支持删除操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12、系统支持安全管理功能，支持对当前数据库进行备份，支持按时间段查询所有备份的数据库信息、支持备份的恢复与删除。</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13、系统支持系统信息设置功能，支持自定义系统名称、技术支持的名称、系统说明、系统LOGO等信息。支持一键还原初始设置。</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▲14、系统支持添加、导入及批量删除敏感词，支持对已有敏感词状态进行开启或关闭操作，支持对所选敏感词进行编辑及删除操作。</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15、系统支持通知管理功能，支持对系统通知进行查看、撤销及删除操作。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16、系统采用Docker虚拟化技术，对底层算力资源统一管理，池化计算资源、存储资源、网络资源、软件资源。可实现对资源统一监控，GPU、CPU统一调度，Pod资源管理，以及容器资源编排等功能。</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17、系统支持docker管理模块。支持配额调度，支持启动/停止/重启容器、暂停/恢复容器、删除容器、限制容器对CPU的使用、限制容器对内存的使用、限制容器对Block IO的使用。</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18、支持私有Docker Registry，用户可在本地地搭建私有 Docker Registry。</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19、支持基于容器的应用部署、维护和滚动升级。支持负载均衡和服务发现。支持认证、授权、访问控制、API注册和发现等机制。</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20、支持维护集群状态，比如故障检测、自动扩展、滚动更新。支持维护容器的生命周期，支持Volume（CVI）和网络（CNI）管理。</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21、支持秒级创建资源：即从用户在页面点击“创建”按钮，到集群资源成功创建完成所花费时间不能超过10秒钟。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632"/>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AI设备节点3——学生学习模块设备节点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bottom"/>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1、系统支持学生查看每个实验章节详情，包括本节视频、实验环境描述等信息，支持查看实验环境的节点数量、配置以及组网情况。支持查看节点IP地址。</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系统支持学生在线实验，支持删除实验、保存实验、临时关闭、共享桌面、上传文件、下载文件、全屏操作、剪切板等8项基本环境操作功能。学生实验时在未完成当前实验的情况下，不依赖于当前章节编辑顺序，可随意跳转并完成实验。支持一键重置实验。支持小窗口播放教学视频。</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3、系统支持学生笔记功能，学生可按章节记录课堂笔记，并对自己的笔记进行管理，支持笔记导出。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▲4、系统支持在线课堂功能，提供在线电子白板和在线讨论功能。支持在线录屏、签到、随机提问、实验监控等功能。支持在线同步共享实验环境界面让学生观看与学习。</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5、在线课堂支持在线发起签到功能，支持设置学生签到时间，支持每个班级的签到记录情况查询，支持手动补签操作。支持以EXCL表格形式导出相关签到数据。</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▲6、在线课堂支持互动电子白板功能，可支持多种批注工具（图形、文字、手写等），支持实时批注与多用户实时批注功能。</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在线课堂支持教学资源播放功能，支持教学视频，PPT教学资源的同步播放。支持上传外部演示文件（PPT、Word、Excl等多种格式文件），支持分享外部视频以供学生同步观看。支持在线课程录制，支持对录制的视频进行查看、下载、以及删除操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▲8、在线课堂支持在线学习的用户设置上课状态，包含离开、举手、未决定、困惑、悲伤、高兴、鼓掌、点赞、拍砖等，支持在线课堂中的主持和演示权限设置，可设置其他演示者与主持人权限。</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9、系统支持课件、视频、手册、图片、软件、数据及其他资源的上传、下载、共享及删除等文件管理功能。支持提供个人网盘功能。</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系统支持在线考试功能，支持自定义系统内所有试题的难度系数和权重。支持对试题来源、所属科目和试题题型等进行编辑和修改；支持单选题、多选题、判断题、简答题、填空题及实验题等题型；考试题支持在线编辑添加和word文件导入添加两种操作方式，系统内置word试题模板；支持通过图形显示不同题型分配比例和数量统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11、在线考试支持编辑添加实验题，实验题支持容器、虚机、Jupyter三种运行环境，支持单机、集群两种环境类别，支持设置主、从节点的参数。</w:t>
            </w:r>
            <w:r>
              <w:rPr>
                <w:rFonts w:ascii="宋体" w:hAnsi="宋体" w:eastAsia="Arial" w:cs="宋体"/>
                <w:color w:val="000000"/>
                <w:sz w:val="20"/>
                <w:szCs w:val="20"/>
                <w:lang w:val="en-US" w:eastAsia="zh-CN" w:bidi="ar-SA"/>
              </w:rPr>
            </w:r>
            <w:r/>
          </w:p>
          <w:p>
            <w:pPr>
              <w:pStyle w:val="752"/>
              <w:jc w:val="left"/>
              <w:widowControl/>
              <w:rPr>
                <w:rFonts w:ascii="宋体" w:hAnsi="宋体" w:eastAsia="宋体"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系统支持自定义学习路径功能，支持对课程的学科分类、学科内容及学科适用职业进行定位，支持对学习路径新增分类、新增路径小类、新增岗位。支持学习路径的可视化分析，展示岗位能力达成图、技术能力分布图、学习路径课程分布图。支持通过课程、班级以及姓名筛选查看。</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宋体"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AI设备节点4——实验实训模块设备节点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▲1、系统支持用户在线制作实验环境，满足不同的教学场景需求。支持生成Docker容器，支持Linux操作系统,并且支持单机和集群两种模式,可以自定义每一个虚机或容器的物理配置。</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2、系统支持镜像管理功能，系统内置镜像不少于200个,支持对镜像自定义标签，支持查询和复用。</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机器学习演示环境支持通过鼠标拖拽算法的方式快速生成机器学习训练模型，支持查看关键算法代码和算法说明，支持手动调参优化模型。支持查看模型训练历史版本。系统支持用户查看模型训练样本的模型评估报告，支持查看当前版本的模型训练的基本属性、机器学习算法、算法属性。</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机器学习演示环境支持类型转换、添加序号列、拆分、缺失值填充、归一化、标准化、随机采样、系统采样、分层采样、去重、两表连接等11种数据预处理方法；支持特征尺度变换、特征离散、主成分分析、过滤式选择、随机森林特征等5种特征工程；支持分类算法、聚类算法、回归算法、关联规则、文本分析等5大类共计17种机器学习算法。</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深度学习目标检测演示环境支持用户完成目标检测模型训练，支持选择不同的数据集进行循环多次训练，支持分配数据集训练、验证与测试的数据比例；支持设置模型训练参数，包含优化器、模型迭代次数、Batch-size及学习率；支持设置神经网络框架与算法以及计算资源环境等参数。支持对模型效果进行测试；支持展示模型应用效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6、深度学习目标检测演示环境支持训练监控功能，支持随时读取当前训练信息与训练任务进度信息，查看训练数据信息，支持以TensorBoard方式实时监控目标检测训练过程。</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7、深度学习目标检测演示环境支持自动生成评估报告，评估报告包含mAP、mAP@.50IOU、mAP@.75IOU、mAP (small)、mAP (medium))、mAP(large)等6个mAP值的相关数据，支持以列表方式呈现模型训练效果。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深度学习图像分类演示环境支持配置单点计算模式或分布式计算模式；支持配置深度学习神经网络；支持配置底层计算框架，包含Keras（vgg16、restnet50、alex、squeezenet、mobilenet、lenet、alexfcn、xception、inception-v1、vgg19、vggfcn等共计11种）；支持CPU、GPU的单机或集群环境，支持单GPU卡或多GPU卡方式进行计算。</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9、深度学习图像分类演示环境需支持随时读取当前训练信息与训练任务进度信息，支持查看训练数据信息，支持以TensorBoard方式实时监控图像分类训练过程。支持对模型效果进行测试；支持展示模型应用效果。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深度学习图像分类演示环境需支持自动生成评估报告，评估报告包含训练集、验证集、测试集的精确率、精准率、召回率、F1-score等4个指标的图表结果展示；系统自动计算出top1-top5的准确率；并展示训练结果的混淆矩阵等指标结果信息。支持呈现模型训练效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系统支持人脸表情识别功能。支持dlib库和训练好的人脸特征点模型，系统内置68模型（shape_predictor_68_face_landmarks.dat），支持使用OpenCV对图片进行操作，支持对识别出的人脸标注出特征点。支持用户从本地上传图片，或使用系统内置图片，或使用摄像头捕获图片上传至平台，本地上传图片类型支持jpg、png格式。系统通过计算，以可视化的方式展示当前模型使用效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系统支持图片风格迁移功能。支持tensorflow实现图像风格迁移，支持把一张图片的内容和一张图片的风格结合在一起，使内容图片的风格变成风格图片的风格样式。支持7种风格图片模型，输入一张内容图片，支持随机输出一张改变风格后的图片。支持用户从本地上传图片，或使用系统内置图片，或使用摄像头捕获图片上传至平台，本地上传图片类型支持jpg、png格式。系统通过计算，以可视化的方式展示当前模型使用效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系统支持看图说话功能。支持tensorflow实现Google的image-to-text模型，支持把图像转换成文字。支持根据输入的图片，把图片内容描述以字符串的形式输出。支持用户从本地上传图片，或使用系统内置图片，或使用摄像头捕获图片上传至平台，本地上传图片类型支持jpg、png格式。系统通过计算，以可视化的方式展示当前模型使用效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系统支持YOLO目标检测功能。支持使用Keras实现YOLOv3模型进行目标检测，对于紧凑密集或者高度重叠目标的检测有显著效果。支持输入多张图片，并对图片中的物体检测标注，然后输出标注好后的图片。支持用户从本地上传图片，或使用系统内置图片，或使用摄像头捕获图片上传至平台，本地上传图片类型支持jpg、png格式。系统通过计算，以可视化的方式展示当前模型使用效果。</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系统支持识别人体关键点功能。支持使用TensorFlow实现OpenPose模型，能够识别出人体的骨骼关键点，通过人体的关键点检测，可以辨别出人体的姿态，通过人体的姿态可在一些场景下做出判断并提醒。输入图片，然后通过处理，输出标注好人体关键点的图片。支持用户从本地上传图片，或使用系统内置图片，或使用摄像头捕获图片上传至平台，本地上传图片类型支持jpg、png格式。系统通过计算，以可视化的方式展示当前模型使用效果。</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25"/>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人工智能嵌入式实训终端</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1.平台整体要求</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1.1平台硬件整体采用模块化设计；可满足高校计算机类、电子信息类、自动化类等专业教学需求；适用于相关专业的教学科研、创新创业、毕业设计、各类学生竞赛与就业培训。</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1.2主控制器CPU采用4*Cortex-A53+Cortex-M4架构的i.MX8工业级处理器，具有图像硬件加速器；其它板卡可根据不同场景需求选择一个或多个与主板相连完成功能实现。</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1.3提供灵活多样的传感器模块，包含声、光、热、电、力、磁等各种类型，可方便地自由组合，完成数据采集。</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1.4提供基于主控制器的人工智能、Linux等丰富的实验体系，以及基于从控制器的相关实验体系，并配有详细的实验指导书、教师PPT、硬件电路图、软件源代码等资源。</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1.5提供配套在线学习平台，有丰富的实验案例，教学视频，详细的实验指导书。</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1.6提供人工智能软件教学资源，基于Ubuntu 18.04系统，拥有图像识别、人工智能常用算法、语音识别等案例。</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1.7支持打造嵌入式、人工智能、物联网一体化实验体系。</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1.8支持提供“嵌入式人工智能课程体系”资源；有配套教材。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人工智能基础相关类课程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是主要研究如何利用计算机模拟人类智力活动的一门学科，是计算机科学的一个分支，其主要任务是建立智能信息处理理论，从质的方面扩充计算机的能力，最终实现机器智能。涉及多学科知识、综合性强、实践性强、创新性强、应用领域广。本课程教学目标是通过介绍人工智能的基本知识、理论、方法与技术应用，启发学生创新思维，掌握利用人工智能技术创新的思路和方法，培养学生对开发人工智能技术，同时探究人类智能的兴趣，提高学生跨学科知识创新和技术创新能力。包含并不限于以下内容：</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第一章 人工智能基础</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第二章 知识表示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第三章 搜索策略</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第四章 确定性推理和不确定性推理</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第五章 人工神经网络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第六章 机器学习</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第七章 智能体技术</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第八章 机器人自动规划及其应用</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主要包括课程讲义、课件、测试题等。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深度学习基础与实践相关类课程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深度学习-基础</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16个实验手册等教学内容。课程提供实验内容包含【安装配置pycharmanaconda、数据拟合与广义线性回归、SMO算法求解SVM、构建BP神经网络、从零开始搭建神经网络、使用Tensorflow实现Dropout、梯度下降优化神经网络1、梯度下降优化神经网络2、Tensorflow神经网络优化策略、Mnist手写数据集识别、RNN实现二进制加法、彩票预测1、彩票预测2、PCA主成分分析、基于马尔科夫随机场的图像去噪方法、AutoEncoder自编码器】</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深度学习-典型实例</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6个实验手册等教学内容。课程提供实验内容包含【深度学习-SVM分类Iris数据集、深度学习-句子分类训练1、深度学习-句子分类训练2、深度学习-蒙特卡罗方法计算圆周率、深度学习-深度学习模型实用技巧、深度学习-约会网站配对效果判定】</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机器学习基础与实践相关类课程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机器学习-基础</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11个教学视频和11个实验手册等教学内容，视频总时长300分钟以上。每个实验手册有对应的操作讲解视频。课程提供实验内容包含【线性回归、逻辑回归、最大期望算法、主题模型、聚类算法、支持向量机、决策树与随机森林、隐马尔科夫模型、Mahout安装部署、Mahout聚类算法、Mahout分类算法】</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机器学习-案例课</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6个实验手册等教学内容。课程提供实验内容包含【机器学习-Kaggle美国收入数据集分析、机器学习-房价预测案例建模、机器学习-人脸识别数据集分析、机器学习-使用DBSCAN对鲍鱼大小聚类、机器学习-搜狗新闻分类、机器学习-用LSTM实现MNIST手写数字识别】</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计算机视觉相关类课程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AI-算法基础</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16个实验手册等教学内容。课程提供实验内容包含【安装配置pycharm与anaconda、prolog环境搭建、梵塔问题、农夫过河问题、利用A-star算法寻路、二叉树遍历、搜索两点之间路径、初识prolog、prolog家族关系判断、衣服搭配专家系统、Mycin专家系统、在玩具数据集中比较不同的聚类算法、高斯混合模型、DBSCAN聚类算法、jieba分词库使用、最大匹配算法】</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计算机视觉-案例</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课程资源包含不少于14个实验手册等教学内容。课程提供实验内容包含【人脸数据采集与处理、交通监控中的图像处理、角点特征侦测 、角点位置校正、人脸特征点检测、角点匹配与对象跟踪、图像分割、目标侦测的候选区域搜索目标方向侦测、图像数据集处理、YOLOv3目标侦测、交通标记识别、垃圾识别、训练用户的目标侦测模型、车牌识别】</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人工智能理论知识（ Python、深度学习等）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包含并不少于以下内容：</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Python入门</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w:t>
            </w:r>
            <w:r>
              <w:rPr>
                <w:rFonts w:hint="eastAsia" w:ascii="宋体" w:hAnsi="宋体" w:eastAsia="宋体" w:cs="宋体"/>
                <w:color w:val="000000"/>
                <w:sz w:val="20"/>
                <w:szCs w:val="20"/>
                <w:lang w:val="en-US" w:eastAsia="zh-CN" w:bidi="ar-SA"/>
              </w:rPr>
              <w:t xml:space="preserve">基于国产深度学习框架平台</w:t>
            </w:r>
            <w:r>
              <w:rPr>
                <w:rFonts w:hint="eastAsia" w:ascii="宋体" w:hAnsi="宋体" w:eastAsia="Arial" w:cs="宋体"/>
                <w:color w:val="000000"/>
                <w:sz w:val="20"/>
                <w:szCs w:val="20"/>
                <w:lang w:val="en-US" w:eastAsia="zh-CN" w:bidi="ar-SA"/>
              </w:rPr>
              <w:t xml:space="preserve">全景介绍与</w:t>
            </w:r>
            <w:r>
              <w:rPr>
                <w:rFonts w:hint="eastAsia" w:ascii="宋体" w:hAnsi="宋体" w:eastAsia="宋体" w:cs="宋体"/>
                <w:color w:val="000000"/>
                <w:sz w:val="20"/>
                <w:szCs w:val="20"/>
                <w:lang w:val="en-US" w:eastAsia="zh-CN" w:bidi="ar-SA"/>
              </w:rPr>
              <w:t xml:space="preserve">基于国产深度学习框架平台</w:t>
            </w:r>
            <w:r>
              <w:rPr>
                <w:rFonts w:hint="eastAsia" w:ascii="宋体" w:hAnsi="宋体" w:eastAsia="Arial" w:cs="宋体"/>
                <w:color w:val="000000"/>
                <w:sz w:val="20"/>
                <w:szCs w:val="20"/>
                <w:lang w:val="en-US" w:eastAsia="zh-CN" w:bidi="ar-SA"/>
              </w:rPr>
              <w:t xml:space="preserve">框架高层API详解</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机器学习入门</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深度学习入门（计算机视觉）</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深度学习入门（自然语言处理）</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卷积神经网络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自然语言处理与循环神经网络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深度学习前沿技术（计算机视觉）</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深度学习前沿应用（应用概述）</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 深度学习应用（自然语言处理）</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人工智能实践课程（Python、深度学习等）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包含并不少于以下内容：</w:t>
            </w:r>
            <w:r>
              <w:rPr>
                <w:rFonts w:hint="eastAsia" w:ascii="宋体" w:hAnsi="宋体" w:eastAsia="Arial" w:cs="宋体"/>
                <w:color w:val="000000"/>
                <w:sz w:val="20"/>
                <w:szCs w:val="20"/>
                <w:lang w:val="en-US" w:eastAsia="zh-CN" w:bidi="ar-SA"/>
              </w:rPr>
            </w:r>
            <w:r/>
          </w:p>
          <w:p>
            <w:pPr>
              <w:pStyle w:val="752"/>
              <w:jc w:val="left"/>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1）提供不少于5门的</w:t>
            </w:r>
            <w:r>
              <w:rPr>
                <w:rFonts w:hint="eastAsia" w:ascii="宋体" w:hAnsi="宋体" w:eastAsia="Arial" w:cs="宋体"/>
                <w:color w:val="000000"/>
                <w:sz w:val="20"/>
                <w:szCs w:val="20"/>
                <w:lang w:val="en-US" w:eastAsia="zh-CN" w:bidi="ar-SA"/>
              </w:rPr>
              <w:t xml:space="preserve">Python入门实践</w:t>
            </w:r>
            <w:r>
              <w:rPr>
                <w:rFonts w:hint="eastAsia" w:ascii="宋体" w:hAnsi="宋体" w:eastAsia="宋体" w:cs="宋体"/>
                <w:color w:val="000000"/>
                <w:sz w:val="20"/>
                <w:szCs w:val="20"/>
                <w:lang w:val="en-US" w:eastAsia="zh-CN" w:bidi="ar-SA"/>
              </w:rPr>
              <w:t xml:space="preserve">数据采集与分析案例。</w:t>
            </w:r>
            <w:r>
              <w:rPr>
                <w:rFonts w:ascii="宋体" w:hAnsi="宋体" w:eastAsia="宋体" w:cs="宋体"/>
                <w:color w:val="000000"/>
                <w:sz w:val="20"/>
                <w:szCs w:val="20"/>
                <w:lang w:val="en-US" w:eastAsia="zh-CN" w:bidi="ar-SA"/>
              </w:rPr>
            </w:r>
            <w:r/>
          </w:p>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2</w:t>
            </w:r>
            <w:r>
              <w:rPr>
                <w:rFonts w:hint="eastAsia" w:ascii="宋体" w:hAnsi="宋体" w:eastAsia="Arial" w:cs="宋体"/>
                <w:color w:val="000000"/>
                <w:sz w:val="20"/>
                <w:szCs w:val="20"/>
                <w:lang w:val="en-US" w:eastAsia="zh-CN" w:bidi="ar-SA"/>
              </w:rPr>
              <w:t xml:space="preserve">) 使用基于国产深度学习框架平台入门实践-波士顿房价预测</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3</w:t>
            </w:r>
            <w:r>
              <w:rPr>
                <w:rFonts w:hint="eastAsia" w:ascii="宋体" w:hAnsi="宋体" w:eastAsia="Arial" w:cs="宋体"/>
                <w:color w:val="000000"/>
                <w:sz w:val="20"/>
                <w:szCs w:val="20"/>
                <w:lang w:val="en-US" w:eastAsia="zh-CN" w:bidi="ar-SA"/>
              </w:rPr>
              <w:t xml:space="preserve">) 使用基于国产深度学习框架平台入门实践-鲍鱼年龄预测实践</w:t>
            </w:r>
            <w:r>
              <w:rPr>
                <w:rFonts w:hint="eastAsia" w:ascii="Calibri" w:hAnsi="Calibri" w:eastAsia="宋体" w:cs="Arial"/>
                <w:sz w:val="21"/>
                <w:szCs w:val="22"/>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4</w:t>
            </w:r>
            <w:r>
              <w:rPr>
                <w:rFonts w:hint="eastAsia" w:ascii="宋体" w:hAnsi="宋体" w:eastAsia="Arial" w:cs="宋体"/>
                <w:color w:val="000000"/>
                <w:sz w:val="20"/>
                <w:szCs w:val="20"/>
                <w:lang w:val="en-US" w:eastAsia="zh-CN" w:bidi="ar-SA"/>
              </w:rPr>
              <w:t xml:space="preserve">) 机器学习入门实践-鸢尾花分类</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752"/>
              <w:jc w:val="left"/>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5）提供不少于5门的深度学习</w:t>
            </w:r>
            <w:r>
              <w:rPr>
                <w:rFonts w:hint="eastAsia" w:ascii="宋体" w:hAnsi="宋体" w:eastAsia="Arial" w:cs="宋体"/>
                <w:color w:val="000000"/>
                <w:sz w:val="20"/>
                <w:szCs w:val="20"/>
                <w:lang w:val="en-US" w:eastAsia="zh-CN" w:bidi="ar-SA"/>
              </w:rPr>
              <w:t xml:space="preserve">入门</w:t>
            </w:r>
            <w:r>
              <w:rPr>
                <w:rFonts w:hint="eastAsia" w:ascii="宋体" w:hAnsi="宋体" w:eastAsia="宋体" w:cs="宋体"/>
                <w:color w:val="000000"/>
                <w:sz w:val="20"/>
                <w:szCs w:val="20"/>
                <w:lang w:val="en-US" w:eastAsia="zh-CN" w:bidi="ar-SA"/>
              </w:rPr>
              <w:t xml:space="preserve">课程案例，主要包含手写数字识别、服饰分类、车牌识别等。</w:t>
            </w:r>
            <w:r>
              <w:rPr>
                <w:rFonts w:ascii="宋体" w:hAnsi="宋体" w:eastAsia="宋体" w:cs="宋体"/>
                <w:color w:val="000000"/>
                <w:sz w:val="20"/>
                <w:szCs w:val="20"/>
                <w:lang w:val="en-US" w:eastAsia="zh-CN" w:bidi="ar-SA"/>
              </w:rPr>
            </w:r>
            <w:r/>
          </w:p>
          <w:p>
            <w:pPr>
              <w:pStyle w:val="752"/>
              <w:jc w:val="left"/>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提供不少于10门的</w:t>
            </w:r>
            <w:r>
              <w:rPr>
                <w:rFonts w:hint="eastAsia" w:ascii="宋体" w:hAnsi="宋体" w:eastAsia="Arial" w:cs="宋体"/>
                <w:color w:val="000000"/>
                <w:sz w:val="20"/>
                <w:szCs w:val="20"/>
                <w:lang w:val="en-US" w:eastAsia="zh-CN" w:bidi="ar-SA"/>
              </w:rPr>
              <w:t xml:space="preserve">卷积神经网络</w:t>
            </w:r>
            <w:r>
              <w:rPr>
                <w:rFonts w:hint="eastAsia" w:ascii="宋体" w:hAnsi="宋体" w:eastAsia="宋体" w:cs="宋体"/>
                <w:color w:val="000000"/>
                <w:sz w:val="20"/>
                <w:szCs w:val="20"/>
                <w:lang w:val="en-US" w:eastAsia="zh-CN" w:bidi="ar-SA"/>
              </w:rPr>
              <w:t xml:space="preserve">的实践案例，如动物分类、人脸数据识别、斑马线检测、中草药识别等。</w:t>
            </w:r>
            <w:r>
              <w:rPr>
                <w:rFonts w:ascii="宋体" w:hAnsi="宋体" w:eastAsia="宋体"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自然语言处理与循环神经网络实践-训练词向量</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自然语言处理与循环神经网络实践-电影评论情感分类</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深度学习应用（计算机视觉）实践-目标检测（基于YOLO-v3）</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深度学习应用（自然语言处理）实践-机器翻译</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w:t>
            </w:r>
            <w:r>
              <w:rPr>
                <w:rFonts w:hint="eastAsia" w:ascii="宋体" w:hAnsi="宋体" w:eastAsia="Arial" w:cs="宋体"/>
                <w:color w:val="000000"/>
                <w:sz w:val="20"/>
                <w:szCs w:val="20"/>
                <w:lang w:val="en-US" w:eastAsia="zh-CN" w:bidi="ar-SA"/>
              </w:rPr>
              <w:t xml:space="preserve">0) 硬件课程：基于国产深度学习框架平台的部署实践</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基于国产深度学习框架平台计算机视觉相关类实战课</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基于国产深度学习框架平台计算机视觉相关类实战课</w:t>
            </w:r>
            <w:r>
              <w:rPr>
                <w:rFonts w:hint="eastAsia" w:ascii="宋体" w:hAnsi="宋体" w:eastAsia="宋体" w:cs="宋体"/>
                <w:color w:val="000000"/>
                <w:sz w:val="20"/>
                <w:szCs w:val="20"/>
                <w:lang w:val="en-US" w:eastAsia="zh-CN" w:bidi="ar-SA"/>
              </w:rPr>
              <w:t xml:space="preserve">，提供不少于10个案例。包含主流的无人机巡航、影视、病理性等常规性案例。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基于国产深度学习框架平台自然语言相关类实战课</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基于国产深度学习框架平台自然语言相关类实战课</w:t>
            </w:r>
            <w:r>
              <w:rPr>
                <w:rFonts w:hint="eastAsia" w:ascii="Calibri" w:hAnsi="Calibri" w:eastAsia="宋体" w:cs="Arial"/>
                <w:sz w:val="21"/>
                <w:szCs w:val="22"/>
                <w:lang w:val="en-US" w:eastAsia="zh-CN" w:bidi="ar-SA"/>
              </w:rPr>
              <w:t xml:space="preserve">，提供不少于10个案例。包含主流的文学诗词、语言及情绪识别等常规性案例。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基于国产深度学习框架平台人工智能场景类实战课</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基于国产深度学习框架平台人工智能场景类实战课</w:t>
            </w:r>
            <w:r>
              <w:rPr>
                <w:rFonts w:hint="eastAsia" w:ascii="Calibri" w:hAnsi="Calibri" w:eastAsia="宋体" w:cs="Arial"/>
                <w:sz w:val="21"/>
                <w:szCs w:val="22"/>
                <w:lang w:val="en-US" w:eastAsia="zh-CN" w:bidi="ar-SA"/>
              </w:rPr>
              <w:t xml:space="preserve">，</w:t>
            </w:r>
            <w:r>
              <w:rPr>
                <w:rFonts w:hint="eastAsia" w:ascii="宋体" w:hAnsi="宋体" w:eastAsia="宋体" w:cs="宋体"/>
                <w:color w:val="000000"/>
                <w:sz w:val="20"/>
                <w:szCs w:val="20"/>
                <w:lang w:val="en-US" w:eastAsia="zh-CN" w:bidi="ar-SA"/>
              </w:rPr>
              <w:t xml:space="preserve">提供不少于10个案例。包含主流的零售柜、医疗、遥影像、农作物、人物图像识别等常规性案例。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基于国产深度学习框架平台AI+医疗实战案例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基于国产深度学习框架平台AI+医疗实战案例</w:t>
            </w:r>
            <w:r>
              <w:rPr>
                <w:rFonts w:hint="eastAsia" w:ascii="Calibri" w:hAnsi="Calibri" w:eastAsia="宋体" w:cs="Arial"/>
                <w:sz w:val="21"/>
                <w:szCs w:val="22"/>
                <w:lang w:val="en-US" w:eastAsia="zh-CN" w:bidi="ar-SA"/>
              </w:rPr>
              <w:t xml:space="preserve">，</w:t>
            </w:r>
            <w:r>
              <w:rPr>
                <w:rFonts w:hint="eastAsia" w:ascii="宋体" w:hAnsi="宋体" w:eastAsia="宋体" w:cs="宋体"/>
                <w:color w:val="000000"/>
                <w:sz w:val="20"/>
                <w:szCs w:val="20"/>
                <w:lang w:val="en-US" w:eastAsia="zh-CN" w:bidi="ar-SA"/>
              </w:rPr>
              <w:t xml:space="preserve">提供不少于10个案例。包含主流的医疗影像、血压预测、视网膜检测等常规性医疗案例。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基于国产深度学习框架平台AI+教育实战案例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基于国产深度学习框架平台AI+教育实战案例</w:t>
            </w:r>
            <w:r>
              <w:rPr>
                <w:rFonts w:hint="eastAsia" w:ascii="宋体" w:hAnsi="宋体" w:eastAsia="宋体" w:cs="宋体"/>
                <w:color w:val="000000"/>
                <w:sz w:val="20"/>
                <w:szCs w:val="20"/>
                <w:lang w:val="en-US" w:eastAsia="zh-CN" w:bidi="ar-SA"/>
              </w:rPr>
              <w:t xml:space="preserve">，提供不少于8个案例。包含主流的教育、科研、语言、文学、图书等常规性案例。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基于国产深度学习框架平台AI+建筑实战案例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基于国产深度学习框架平台AI+建筑实战案例</w:t>
            </w:r>
            <w:r>
              <w:rPr>
                <w:rFonts w:hint="eastAsia" w:ascii="宋体" w:hAnsi="宋体" w:eastAsia="宋体" w:cs="宋体"/>
                <w:color w:val="000000"/>
                <w:sz w:val="20"/>
                <w:szCs w:val="20"/>
                <w:lang w:val="en-US" w:eastAsia="zh-CN" w:bidi="ar-SA"/>
              </w:rPr>
              <w:t xml:space="preserve">，提供不少于6个案例。包含主流的遥感建筑、智能焊接、房屋检测等常规性案例</w:t>
            </w:r>
            <w:r>
              <w:rPr>
                <w:rFonts w:hint="eastAsia" w:ascii="Calibri" w:hAnsi="Calibri" w:eastAsia="宋体" w:cs="Arial"/>
                <w:sz w:val="21"/>
                <w:szCs w:val="22"/>
                <w:lang w:val="en-US" w:eastAsia="zh-CN" w:bidi="ar-SA"/>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基于国产深度学习框架平台计算机视觉1+X初级课程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本课程介绍了对图像数据从获取与整理、预处理、数据标注、应用场景与部署的视觉任务全流程，通过详细讲解opencv、图像处理常用库numpy和matplotlib等，结合常用标注软件、easydl工具的使用介绍了计算机视觉应用开发流程。</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1）视觉数据获取与整理</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2）数据文件整理</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3）图像清洗</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4）图像增广</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5）可视化图像检测结果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6）图像标注</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7）视频标注</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8）标注文件格式转换</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9）视觉应用场景认知</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10）视觉应用部署</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AI竞速小车</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智能汽车完成人工智能、无人驾驶、图像处理与运控控制等相关课程的学习，理论+实践共48课时。支持C++/Python语言编程，基于国内深度学习平台框架和OpenCV图像处理技术，实现在线AI模型训练、移动端部署、赛道识别与交通标志检测，车辆控制以及巡线导航等功能。产品采用双主控架构，控制主板为高性能AI计算卡，负责复杂算法和图像处理工作，控制单元为GD32系列单片机，负责智能汽车运动传感器数据采集、电机控制等工作，并具备摄像头、陀螺仪、编码器、电量计等传感器。</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1、平台功能：实现图像识别，图像处理，车辆控制以及自动驾驶等功能；</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2、图像处理：摄像头校正，车道线识别，赛道元素识别、赛道测量；</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3、路径规划：基于贝塞尔（Bezier）曲线的加权轨迹规划；</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4、运动控制：闭环PID速度控制和PD姿态控制；</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5、目标检测：基于Yolo-v3和SSD的多目标实时检测（FPS&lt;60ms，Map=90%）；</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6、多线程任务：图像采集与赛道识别周期：40ms；AI目标检测周期：60ms；</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7、车检助手：车辆自检，车辆配置（舵机），车辆状态监控（电量/速度/姿态等）；</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8、车辆尺寸：长×宽×高≥310×190×110mm（不含摄像头碳纤杆），310×190×350mm(含摄像头碳纤杆)；</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9、硬件含智能汽车≥1台，≥手柄1个，电源适配器≥1个，USB无线网卡≥1个，网线≥1根；</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10、车辆采用3S锂电池供电，最大速度10m/s，舵机控制阿克曼转向，最小转弯半径约25cm；</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11、系统环境：Linux系统 Ubuntu18.04；</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12、控制主板：≥1块高性能计算卡，采用Zynq UItraScale+MPSoCs EG系列或同等性能的芯片，≥ARM 四核CortexTM-A53处理器的性能，≥DDR4 RAM 4GB，≥eMMC FLASH 8GB，≥TF SD卡 32GB；</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13、控制单元：≥1块GD32单片机板，采用ARM Cortex-M3内核或同等性能的芯片，电机驱动高精度速控≥40ns/30KHz，BM3451 3S锂电池平衡充电与放电保护或同等性能以上的模块， SL2.1S USB2.0 1托4扩展芯片或同等性能的芯片，舵机驱动≥TPS5430 6.35v/5A；</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14、电机：≥1个直流高速电机，额定电压12V，空载转速12000rpm；</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15、舵机：≥1个高精度数字舵机 0.14Sec/60°；</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16、电池：1块3S 25C锂电池 标称11.1V ，容量2200mAh ；</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17、摄像头：≥1个640×480分辨率的30万像素摄像头；</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18、轮胎：≥4个橡胶轮胎，轻便，抓地力强；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19、通信方式：支持Ethernet、USB、UART、CAN、RS485通信；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20、课程理论+实践共48课时，含课程大纲，课程讲义，实训手册，课件，教案，实践代码，视频文件以及考核资料包；</w:t>
            </w:r>
            <w:r>
              <w:rPr>
                <w:rFonts w:ascii="宋体" w:hAnsi="宋体" w:eastAsia="Arial" w:cs="宋体"/>
                <w:color w:val="000000"/>
                <w:sz w:val="20"/>
                <w:szCs w:val="20"/>
                <w:lang w:val="en-US" w:eastAsia="zh-CN" w:bidi="ar-SA"/>
              </w:rPr>
            </w:r>
            <w:r/>
          </w:p>
          <w:p>
            <w:pPr>
              <w:pStyle w:val="752"/>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21、软件含车辆需包含但不少于以下配置软件（Windows版），AI系统镜像（Linux系统Ubuntu18.04，Python3.6），AI算法包（Mobilenet-ssd，Yolo-v3），底层支持库(OpenCV2，Joystick，Serial，Pthread，Paddle_Full_API等)</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AI竞速小车沙盘</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智能汽车基础赛道是PVC赛道，有黑白胶带、蓝色背景布、路肩、坡道、赛道元素标志、锥桶等。</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1、场地支持不小于7.5m*5.5m与7.5m*8m两种尺寸，全长度最高33m，PVC赛道；</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2、赛道基础元素套装，包含直线赛道，曲线弯道，交叉路口，环岛，三岔路口和车库元素；</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3、赛道蓝底布尺寸至少可铺设7.5m*8m；</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4、赛道边界黑胶带≥10卷，连接白胶带≥10卷；</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5、木质坡道≥1个，长宽高：≥150cm*60cm*14cm；</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6、黑色海绵路肩≥130条，厚度≥2cm，宽度≥2.5cm，长度≥25cm；</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7、红色塑料锥桶≥60个，底部直径≥74mm，高度≥74mm；</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8、标志打印套装≥1套，含泛行区标志≥1个， 禁止通行标志≥1个，施工区标志≥1个，坡道标志≥1个， 加油站标志≥1个， 加油站出口数字标志“1”和“2”各2个；</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9、标定板≥1块，≥21cm×29.7cm；</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10、赛道围栏≥70片，黑色，≥35cm*45cm；</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11、裁判系统≥1套，是自动计时裁判系统，带有控制器和触发线圈，通过电磁感应原理进行车辆运行的自动计时；连接到电脑上位机上，与裁判系统软件进行数据同步，实时显示队伍信息和比赛用时。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配套课程资源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Style w:val="1025"/>
                <w:rFonts w:ascii="宋体" w:hAnsi="宋体" w:eastAsia="宋体" w:cs="宋体"/>
                <w:color w:val="000000"/>
                <w:sz w:val="20"/>
                <w:szCs w:val="20"/>
                <w:u w:val="none"/>
                <w:lang w:val="en-US" w:eastAsia="zh-CN" w:bidi="ar-SA"/>
              </w:rPr>
            </w:pPr>
            <w:r>
              <w:rPr>
                <w:rFonts w:hint="eastAsia" w:ascii="宋体" w:hAnsi="宋体" w:eastAsia="宋体" w:cs="宋体"/>
                <w:color w:val="000000"/>
                <w:sz w:val="20"/>
                <w:szCs w:val="20"/>
                <w:lang w:val="en-US" w:eastAsia="zh-CN" w:bidi="ar-SA"/>
              </w:rPr>
              <w:t xml:space="preserve">提供以下类似配套课程资源</w:t>
            </w:r>
            <w:r>
              <w:rPr>
                <w:rFonts w:hint="eastAsia" w:ascii="宋体" w:hAnsi="宋体" w:eastAsia="Arial" w:cs="宋体"/>
                <w:color w:val="000000"/>
                <w:sz w:val="20"/>
                <w:szCs w:val="20"/>
                <w:lang w:val="en-US" w:eastAsia="zh-CN" w:bidi="ar-SA"/>
              </w:rPr>
              <w:t xml:space="preserve">：</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应包含但不限于以下内容：</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第一部分</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基础知识</w:t>
            </w:r>
            <w:r>
              <w:rPr>
                <w:rStyle w:val="1025"/>
                <w:rFonts w:ascii="宋体" w:hAnsi="宋体" w:eastAsia="宋体" w:cs="宋体"/>
                <w:color w:val="000000"/>
                <w:sz w:val="20"/>
                <w:szCs w:val="20"/>
                <w:u w:val="none"/>
                <w:lang w:val="en-US" w:eastAsia="zh-CN" w:bidi="ar-SA"/>
              </w:rPr>
            </w:r>
            <w:r/>
          </w:p>
          <w:p>
            <w:pPr>
              <w:pStyle w:val="752"/>
              <w:jc w:val="left"/>
              <w:widowControl/>
              <w:rPr>
                <w:rStyle w:val="1032"/>
                <w:rFonts w:ascii="宋体" w:hAnsi="宋体" w:eastAsia="Arial"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第一章 智能驾驶技术导论</w:t>
            </w:r>
            <w:r>
              <w:rPr>
                <w:rStyle w:val="1032"/>
                <w:rFonts w:hint="eastAsia" w:ascii="宋体" w:hAnsi="宋体" w:eastAsia="Arial" w:cs="宋体"/>
                <w:color w:val="000000"/>
                <w:sz w:val="20"/>
                <w:szCs w:val="20"/>
                <w:u w:val="none"/>
                <w:lang w:val="en-US" w:eastAsia="zh-CN" w:bidi="ar-SA"/>
              </w:rPr>
              <w:t xml:space="preserve"> </w:t>
            </w:r>
            <w:r>
              <w:rPr>
                <w:rStyle w:val="1032"/>
                <w:rFonts w:ascii="宋体" w:hAnsi="宋体" w:eastAsia="Arial"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1.1 汽车发展史及发展趋势</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1.2 智能驾驶及智能车竞赛概述</w:t>
            </w:r>
            <w:r>
              <w:rPr>
                <w:rStyle w:val="1025"/>
                <w:rFonts w:ascii="宋体" w:hAnsi="宋体" w:eastAsia="宋体" w:cs="宋体"/>
                <w:color w:val="000000"/>
                <w:sz w:val="20"/>
                <w:szCs w:val="20"/>
                <w:u w:val="none"/>
                <w:lang w:val="en-US" w:eastAsia="zh-CN" w:bidi="ar-SA"/>
              </w:rPr>
            </w:r>
            <w:r/>
          </w:p>
          <w:p>
            <w:pPr>
              <w:pStyle w:val="752"/>
              <w:jc w:val="left"/>
              <w:widowControl/>
              <w:rPr>
                <w:rStyle w:val="1032"/>
                <w:rFonts w:ascii="宋体" w:hAnsi="宋体" w:eastAsia="Arial"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实训一：智能车配置</w:t>
            </w:r>
            <w:r>
              <w:rPr>
                <w:rStyle w:val="1032"/>
                <w:rFonts w:hint="eastAsia" w:ascii="宋体" w:hAnsi="宋体" w:eastAsia="Arial" w:cs="宋体"/>
                <w:color w:val="000000"/>
                <w:sz w:val="20"/>
                <w:szCs w:val="20"/>
                <w:u w:val="none"/>
                <w:lang w:val="en-US" w:eastAsia="zh-CN" w:bidi="ar-SA"/>
              </w:rPr>
              <w:t xml:space="preserve"> </w:t>
            </w:r>
            <w:r>
              <w:rPr>
                <w:rStyle w:val="1032"/>
                <w:rFonts w:ascii="宋体" w:hAnsi="宋体" w:eastAsia="Arial"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1 智能车构造</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2 平台与环境配置：Linux系统</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第二部分</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车辆架构</w:t>
            </w:r>
            <w:r>
              <w:rPr>
                <w:rStyle w:val="1025"/>
                <w:rFonts w:ascii="宋体" w:hAnsi="宋体" w:eastAsia="宋体" w:cs="宋体"/>
                <w:color w:val="000000"/>
                <w:sz w:val="20"/>
                <w:szCs w:val="20"/>
                <w:u w:val="none"/>
                <w:lang w:val="en-US" w:eastAsia="zh-CN" w:bidi="ar-SA"/>
              </w:rPr>
            </w:r>
            <w:r/>
          </w:p>
          <w:p>
            <w:pPr>
              <w:pStyle w:val="752"/>
              <w:jc w:val="left"/>
              <w:widowControl/>
              <w:rPr>
                <w:rStyle w:val="1032"/>
                <w:rFonts w:ascii="宋体" w:hAnsi="宋体" w:eastAsia="Arial"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第二章  嵌入式控制系统</w:t>
            </w:r>
            <w:r>
              <w:rPr>
                <w:rStyle w:val="1032"/>
                <w:rFonts w:hint="eastAsia" w:ascii="宋体" w:hAnsi="宋体" w:eastAsia="Arial" w:cs="宋体"/>
                <w:color w:val="000000"/>
                <w:sz w:val="20"/>
                <w:szCs w:val="20"/>
                <w:u w:val="none"/>
                <w:lang w:val="en-US" w:eastAsia="zh-CN" w:bidi="ar-SA"/>
              </w:rPr>
              <w:t xml:space="preserve"> </w:t>
            </w:r>
            <w:r>
              <w:rPr>
                <w:rStyle w:val="1032"/>
                <w:rFonts w:ascii="宋体" w:hAnsi="宋体" w:eastAsia="Arial"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2.1 认识控制器</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2.2 电子元件</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2.3 电源电路设计</w:t>
            </w:r>
            <w:r>
              <w:rPr>
                <w:rStyle w:val="1025"/>
                <w:rFonts w:ascii="宋体" w:hAnsi="宋体" w:eastAsia="宋体" w:cs="宋体"/>
                <w:color w:val="000000"/>
                <w:sz w:val="20"/>
                <w:szCs w:val="20"/>
                <w:u w:val="none"/>
                <w:lang w:val="en-US" w:eastAsia="zh-CN" w:bidi="ar-SA"/>
              </w:rPr>
            </w:r>
            <w:r/>
          </w:p>
          <w:p>
            <w:pPr>
              <w:pStyle w:val="752"/>
              <w:jc w:val="left"/>
              <w:widowControl/>
              <w:rPr>
                <w:rStyle w:val="1032"/>
                <w:rFonts w:ascii="宋体" w:hAnsi="宋体" w:eastAsia="Arial"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第三章  运动控制系统</w:t>
            </w:r>
            <w:r>
              <w:rPr>
                <w:rStyle w:val="1032"/>
                <w:rFonts w:hint="eastAsia" w:ascii="宋体" w:hAnsi="宋体" w:eastAsia="Arial" w:cs="宋体"/>
                <w:color w:val="000000"/>
                <w:sz w:val="20"/>
                <w:szCs w:val="20"/>
                <w:u w:val="none"/>
                <w:lang w:val="en-US" w:eastAsia="zh-CN" w:bidi="ar-SA"/>
              </w:rPr>
              <w:t xml:space="preserve"> </w:t>
            </w:r>
            <w:r>
              <w:rPr>
                <w:rStyle w:val="1032"/>
                <w:rFonts w:ascii="宋体" w:hAnsi="宋体" w:eastAsia="Arial"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3.1 机电传动组成</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3.2 电机控制原理及算法pid</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3.3 舵机控制原理</w:t>
            </w:r>
            <w:r>
              <w:rPr>
                <w:rStyle w:val="1025"/>
                <w:rFonts w:ascii="宋体" w:hAnsi="宋体" w:eastAsia="宋体" w:cs="宋体"/>
                <w:color w:val="000000"/>
                <w:sz w:val="20"/>
                <w:szCs w:val="20"/>
                <w:u w:val="none"/>
                <w:lang w:val="en-US" w:eastAsia="zh-CN" w:bidi="ar-SA"/>
              </w:rPr>
            </w:r>
            <w:r/>
          </w:p>
          <w:p>
            <w:pPr>
              <w:pStyle w:val="752"/>
              <w:jc w:val="left"/>
              <w:widowControl/>
              <w:rPr>
                <w:rStyle w:val="1032"/>
                <w:rFonts w:ascii="宋体" w:hAnsi="宋体" w:eastAsia="Arial"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实训二：智能车机械调校</w:t>
            </w:r>
            <w:r>
              <w:rPr>
                <w:rStyle w:val="1032"/>
                <w:rFonts w:hint="eastAsia" w:ascii="宋体" w:hAnsi="宋体" w:eastAsia="Arial" w:cs="宋体"/>
                <w:color w:val="000000"/>
                <w:sz w:val="20"/>
                <w:szCs w:val="20"/>
                <w:u w:val="none"/>
                <w:lang w:val="en-US" w:eastAsia="zh-CN" w:bidi="ar-SA"/>
              </w:rPr>
              <w:t xml:space="preserve"> </w:t>
            </w:r>
            <w:r>
              <w:rPr>
                <w:rStyle w:val="1032"/>
                <w:rFonts w:ascii="宋体" w:hAnsi="宋体" w:eastAsia="Arial" w:cs="宋体"/>
                <w:color w:val="000000"/>
                <w:sz w:val="20"/>
                <w:szCs w:val="20"/>
                <w:u w:val="none"/>
                <w:lang w:val="en-US" w:eastAsia="zh-CN" w:bidi="ar-SA"/>
              </w:rPr>
            </w:r>
            <w:r/>
          </w:p>
          <w:p>
            <w:pPr>
              <w:pStyle w:val="752"/>
              <w:jc w:val="left"/>
              <w:widowControl/>
              <w:rPr>
                <w:rStyle w:val="1032"/>
                <w:rFonts w:ascii="宋体" w:hAnsi="宋体" w:eastAsia="Arial"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第四章 环境感知系统</w:t>
            </w:r>
            <w:r>
              <w:rPr>
                <w:rStyle w:val="1032"/>
                <w:rFonts w:hint="eastAsia" w:ascii="宋体" w:hAnsi="宋体" w:eastAsia="Arial" w:cs="宋体"/>
                <w:color w:val="000000"/>
                <w:sz w:val="20"/>
                <w:szCs w:val="20"/>
                <w:u w:val="none"/>
                <w:lang w:val="en-US" w:eastAsia="zh-CN" w:bidi="ar-SA"/>
              </w:rPr>
              <w:t xml:space="preserve"> </w:t>
            </w:r>
            <w:r>
              <w:rPr>
                <w:rStyle w:val="1032"/>
                <w:rFonts w:ascii="宋体" w:hAnsi="宋体" w:eastAsia="Arial"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4.1 什么是传感器</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4.2 高清摄像头</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4.3 陀螺仪</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4.4 其它传感器：编码器、温度、电量计</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第三部分</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通信机制</w:t>
            </w:r>
            <w:r>
              <w:rPr>
                <w:rStyle w:val="1025"/>
                <w:rFonts w:ascii="宋体" w:hAnsi="宋体" w:eastAsia="宋体" w:cs="宋体"/>
                <w:color w:val="000000"/>
                <w:sz w:val="20"/>
                <w:szCs w:val="20"/>
                <w:u w:val="none"/>
                <w:lang w:val="en-US" w:eastAsia="zh-CN" w:bidi="ar-SA"/>
              </w:rPr>
            </w:r>
            <w:r/>
          </w:p>
          <w:p>
            <w:pPr>
              <w:pStyle w:val="752"/>
              <w:jc w:val="left"/>
              <w:widowControl/>
              <w:rPr>
                <w:rStyle w:val="1032"/>
                <w:rFonts w:ascii="宋体" w:hAnsi="宋体" w:eastAsia="Arial"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第五章 智能车组网通信</w:t>
            </w:r>
            <w:r>
              <w:rPr>
                <w:rStyle w:val="1032"/>
                <w:rFonts w:hint="eastAsia" w:ascii="宋体" w:hAnsi="宋体" w:eastAsia="Arial" w:cs="宋体"/>
                <w:color w:val="000000"/>
                <w:sz w:val="20"/>
                <w:szCs w:val="20"/>
                <w:u w:val="none"/>
                <w:lang w:val="en-US" w:eastAsia="zh-CN" w:bidi="ar-SA"/>
              </w:rPr>
              <w:t xml:space="preserve"> </w:t>
            </w:r>
            <w:r>
              <w:rPr>
                <w:rStyle w:val="1032"/>
                <w:rFonts w:ascii="宋体" w:hAnsi="宋体" w:eastAsia="Arial"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5.1 系统组网通信原理</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5.2 智能车常用模块</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5.3 智能车通信方式</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第四部分</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控制决策</w:t>
            </w:r>
            <w:r>
              <w:rPr>
                <w:rStyle w:val="1025"/>
                <w:rFonts w:ascii="宋体" w:hAnsi="宋体" w:eastAsia="宋体" w:cs="宋体"/>
                <w:color w:val="000000"/>
                <w:sz w:val="20"/>
                <w:szCs w:val="20"/>
                <w:u w:val="none"/>
                <w:lang w:val="en-US" w:eastAsia="zh-CN" w:bidi="ar-SA"/>
              </w:rPr>
            </w:r>
            <w:r/>
          </w:p>
          <w:p>
            <w:pPr>
              <w:pStyle w:val="752"/>
              <w:jc w:val="left"/>
              <w:widowControl/>
              <w:rPr>
                <w:rStyle w:val="1032"/>
                <w:rFonts w:ascii="宋体" w:hAnsi="宋体" w:eastAsia="Arial"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第六章 车辆行驶控制</w:t>
            </w:r>
            <w:r>
              <w:rPr>
                <w:rStyle w:val="1032"/>
                <w:rFonts w:hint="eastAsia" w:ascii="宋体" w:hAnsi="宋体" w:eastAsia="Arial" w:cs="宋体"/>
                <w:color w:val="000000"/>
                <w:sz w:val="20"/>
                <w:szCs w:val="20"/>
                <w:u w:val="none"/>
                <w:lang w:val="en-US" w:eastAsia="zh-CN" w:bidi="ar-SA"/>
              </w:rPr>
              <w:t xml:space="preserve"> </w:t>
            </w:r>
            <w:r>
              <w:rPr>
                <w:rStyle w:val="1032"/>
                <w:rFonts w:ascii="宋体" w:hAnsi="宋体" w:eastAsia="Arial"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6.1 行走与转向控制</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6.2 智能车赛道知识</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6.3 巡线技术</w:t>
            </w:r>
            <w:r>
              <w:rPr>
                <w:rStyle w:val="1025"/>
                <w:rFonts w:ascii="宋体" w:hAnsi="宋体" w:eastAsia="宋体" w:cs="宋体"/>
                <w:color w:val="000000"/>
                <w:sz w:val="20"/>
                <w:szCs w:val="20"/>
                <w:u w:val="none"/>
                <w:lang w:val="en-US" w:eastAsia="zh-CN" w:bidi="ar-SA"/>
              </w:rPr>
            </w:r>
            <w:r/>
          </w:p>
          <w:p>
            <w:pPr>
              <w:pStyle w:val="752"/>
              <w:jc w:val="left"/>
              <w:widowControl/>
              <w:rPr>
                <w:rStyle w:val="1032"/>
                <w:rFonts w:ascii="宋体" w:hAnsi="宋体" w:eastAsia="Arial"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实训三：智能车巡线实践</w:t>
            </w:r>
            <w:r>
              <w:rPr>
                <w:rStyle w:val="1032"/>
                <w:rFonts w:hint="eastAsia" w:ascii="宋体" w:hAnsi="宋体" w:eastAsia="Arial" w:cs="宋体"/>
                <w:color w:val="000000"/>
                <w:sz w:val="20"/>
                <w:szCs w:val="20"/>
                <w:u w:val="none"/>
                <w:lang w:val="en-US" w:eastAsia="zh-CN" w:bidi="ar-SA"/>
              </w:rPr>
              <w:t xml:space="preserve"> </w:t>
            </w:r>
            <w:r>
              <w:rPr>
                <w:rStyle w:val="1032"/>
                <w:rFonts w:ascii="宋体" w:hAnsi="宋体" w:eastAsia="Arial"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第五部分</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视觉应用</w:t>
            </w:r>
            <w:r>
              <w:rPr>
                <w:rStyle w:val="1025"/>
                <w:rFonts w:ascii="宋体" w:hAnsi="宋体" w:eastAsia="宋体" w:cs="宋体"/>
                <w:color w:val="000000"/>
                <w:sz w:val="20"/>
                <w:szCs w:val="20"/>
                <w:u w:val="none"/>
                <w:lang w:val="en-US" w:eastAsia="zh-CN" w:bidi="ar-SA"/>
              </w:rPr>
            </w:r>
            <w:r/>
          </w:p>
          <w:p>
            <w:pPr>
              <w:pStyle w:val="752"/>
              <w:jc w:val="left"/>
              <w:widowControl/>
              <w:rPr>
                <w:rStyle w:val="1032"/>
                <w:rFonts w:ascii="宋体" w:hAnsi="宋体" w:eastAsia="Arial"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第七章 图像采集与处理</w:t>
            </w:r>
            <w:r>
              <w:rPr>
                <w:rStyle w:val="1032"/>
                <w:rFonts w:hint="eastAsia" w:ascii="宋体" w:hAnsi="宋体" w:eastAsia="Arial" w:cs="宋体"/>
                <w:color w:val="000000"/>
                <w:sz w:val="20"/>
                <w:szCs w:val="20"/>
                <w:u w:val="none"/>
                <w:lang w:val="en-US" w:eastAsia="zh-CN" w:bidi="ar-SA"/>
              </w:rPr>
              <w:t xml:space="preserve"> </w:t>
            </w:r>
            <w:r>
              <w:rPr>
                <w:rStyle w:val="1032"/>
                <w:rFonts w:ascii="宋体" w:hAnsi="宋体" w:eastAsia="Arial"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7.1 图像采集</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7.2 预处理：相机标定</w:t>
            </w:r>
            <w:r>
              <w:rPr>
                <w:rStyle w:val="1025"/>
                <w:rFonts w:ascii="宋体" w:hAnsi="宋体" w:eastAsia="宋体" w:cs="宋体"/>
                <w:color w:val="000000"/>
                <w:sz w:val="20"/>
                <w:szCs w:val="20"/>
                <w:u w:val="none"/>
                <w:lang w:val="en-US" w:eastAsia="zh-CN" w:bidi="ar-SA"/>
              </w:rPr>
            </w:r>
            <w:r/>
          </w:p>
          <w:p>
            <w:pPr>
              <w:pStyle w:val="752"/>
              <w:jc w:val="left"/>
              <w:widowControl/>
              <w:rPr>
                <w:rStyle w:val="1032"/>
                <w:rFonts w:ascii="宋体" w:hAnsi="宋体" w:eastAsia="Arial"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实训四：图像采集与预处理实践</w:t>
            </w:r>
            <w:r>
              <w:rPr>
                <w:rStyle w:val="1032"/>
                <w:rFonts w:hint="eastAsia" w:ascii="宋体" w:hAnsi="宋体" w:eastAsia="Arial" w:cs="宋体"/>
                <w:color w:val="000000"/>
                <w:sz w:val="20"/>
                <w:szCs w:val="20"/>
                <w:u w:val="none"/>
                <w:lang w:val="en-US" w:eastAsia="zh-CN" w:bidi="ar-SA"/>
              </w:rPr>
              <w:t xml:space="preserve"> </w:t>
            </w:r>
            <w:r>
              <w:rPr>
                <w:rStyle w:val="1032"/>
                <w:rFonts w:ascii="宋体" w:hAnsi="宋体" w:eastAsia="Arial" w:cs="宋体"/>
                <w:color w:val="000000"/>
                <w:sz w:val="20"/>
                <w:szCs w:val="20"/>
                <w:u w:val="none"/>
                <w:lang w:val="en-US" w:eastAsia="zh-CN" w:bidi="ar-SA"/>
              </w:rPr>
            </w:r>
            <w:r/>
          </w:p>
          <w:p>
            <w:pPr>
              <w:pStyle w:val="752"/>
              <w:jc w:val="left"/>
              <w:widowControl/>
              <w:rPr>
                <w:rStyle w:val="1032"/>
                <w:rFonts w:ascii="宋体" w:hAnsi="宋体" w:eastAsia="Arial"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第八章 图像识别</w:t>
            </w:r>
            <w:r>
              <w:rPr>
                <w:rStyle w:val="1032"/>
                <w:rFonts w:hint="eastAsia" w:ascii="宋体" w:hAnsi="宋体" w:eastAsia="Arial" w:cs="宋体"/>
                <w:color w:val="000000"/>
                <w:sz w:val="20"/>
                <w:szCs w:val="20"/>
                <w:u w:val="none"/>
                <w:lang w:val="en-US" w:eastAsia="zh-CN" w:bidi="ar-SA"/>
              </w:rPr>
              <w:t xml:space="preserve"> </w:t>
            </w:r>
            <w:r>
              <w:rPr>
                <w:rStyle w:val="1032"/>
                <w:rFonts w:ascii="宋体" w:hAnsi="宋体" w:eastAsia="Arial"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8.1 计算机视觉概论</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8.2 图像识别</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8.3 相关算法</w:t>
            </w:r>
            <w:r>
              <w:rPr>
                <w:rStyle w:val="1025"/>
                <w:rFonts w:ascii="宋体" w:hAnsi="宋体" w:eastAsia="宋体" w:cs="宋体"/>
                <w:color w:val="000000"/>
                <w:sz w:val="20"/>
                <w:szCs w:val="20"/>
                <w:u w:val="none"/>
                <w:lang w:val="en-US" w:eastAsia="zh-CN" w:bidi="ar-SA"/>
              </w:rPr>
            </w:r>
            <w:r/>
          </w:p>
          <w:p>
            <w:pPr>
              <w:pStyle w:val="752"/>
              <w:jc w:val="left"/>
              <w:widowControl/>
              <w:rPr>
                <w:rFonts w:ascii="宋体" w:hAnsi="宋体" w:eastAsia="Arial" w:cs="宋体"/>
                <w:color w:val="000000"/>
                <w:sz w:val="20"/>
                <w:szCs w:val="20"/>
                <w:lang w:val="en-US" w:eastAsia="zh-CN" w:bidi="ar-SA"/>
              </w:rPr>
            </w:pPr>
            <w:r>
              <w:rPr>
                <w:rStyle w:val="1025"/>
                <w:rFonts w:ascii="宋体" w:hAnsi="宋体" w:eastAsia="宋体" w:cs="宋体"/>
                <w:color w:val="000000"/>
                <w:sz w:val="20"/>
                <w:szCs w:val="20"/>
                <w:u w:val="none"/>
                <w:lang w:val="en-US" w:eastAsia="zh-CN" w:bidi="ar-SA"/>
              </w:rPr>
              <w:t xml:space="preserve">实训五：路障识别/巡线识别实践</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center"/>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1</w:t>
            </w:r>
            <w:r>
              <w:rPr>
                <w:rStyle w:val="1025"/>
                <w:rFonts w:ascii="宋体" w:hAnsi="宋体" w:eastAsia="宋体" w:cs="宋体"/>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center"/>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套</w:t>
            </w:r>
            <w:r>
              <w:rPr>
                <w:rStyle w:val="1025"/>
                <w:rFonts w:ascii="宋体" w:hAnsi="宋体" w:eastAsia="宋体" w:cs="宋体"/>
                <w:color w:val="000000"/>
                <w:sz w:val="20"/>
                <w:szCs w:val="20"/>
                <w:u w:val="none"/>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25</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语音识别应用实训设备</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1、平台功能：实现室内建图、定位导航、路径规划、仿真演示、迎宾、道路指引与配送等功能；</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2、室内建图：通过激光雷达和机器人里程计感知环境状态，自动生成二维或三维的环境地图；</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3、定位导航：根据里程计、激光雷达等传感器和SLAM全局地图等数据，经过定位导航算法融合，计算出安全可靠的机器人运动控制指令；</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4、路径规划：通过算法规划路径，使机器人避免与障碍物发生碰撞的同时找出最优的行进路线；</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5、仿真演示：在图形监控环境中通过三维视图观测机器人运动过程；</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6、迎宾：自动感应人体，并播报欢迎语、欢送语；</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7、道路指引：在室内构建地图，客人语音交互后机器人带领顾客到达指定点；</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8、配送：通过定位导航准确到达指定位置进行配送；</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9、硬件含≥1块Edgeboard FZ5C板卡，≥1块驱动控制器，≥1个摄像头，≥1个激光雷达，≥4个超声波传感器，≥1个陀螺仪，≥4个编码器，≥1个电量计，≥1个USB无线网卡，≥1个遥控器，≥1块电池，≥1个显示屏，≥1个电源充电器；</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10、机器人尺寸：≥长×宽×高为45cm×40cm×110cm；</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11、系统环境需包含但不少于如下：Linux系统：Ubuntu 18.04 LTS；ROS系统：ROS-Melodic；</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12、控制主板：≥控制主板为1块Edgeboard FZ5C，Zynq UltraScale+MPSoc ZU5EV, Quad Cortex-A53 ≥1.5GHz，内存DDR4≥ 4GB，存储eMMC≥ 32GB；</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13、控制单元：≥控制单元为1个GD32单片机，采用了ARM Cortex-M3内核或同等性能芯片，电机驱动高精度速控≥40ns/30KHz，舵机驱动≥TPS5430 6.35v/5A；</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14、摄像头：≥1个双目深度体感摄像头，工作范围0.6-8m，精度1m±3mm，最高分辨率@帧率1280×1024@7fps，深度处理芯片MX400，视场角H 66.10°×V 40.2°；</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15、显示屏：≥1个10.1寸 1920x1080 IPS工业屏幕，屏幕比例16:10，含喇叭；</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16、电源：≥1块24V 12000mAh锂电池；</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17、电机：≥4个带编码器直流减速电机，空载转速95 rpm，电压24v；</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18、超声波传感器：≥4组超声波传感器，主要用于障碍物的检测，检测距离为30~500mm，探测精度±2%；</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19、激光雷达：≥1个激光雷达模组，测距范围0.15-12m，扫描角度0-360°，测距分辨率&lt;0.5mm，测量频率≥4000Hz；</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20、惯性传感器：≥1个IMU6轴惯性传感器，三轴加速度计和三轴陀螺仪，工作电压2.375V~3.46V；</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21、通信方式：支持Ethernet、USB、WiFi、UART、CAN通信；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22、建图范围：50m*50m；</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23、建图精度：0.02m;</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24、软件含应用软件类型但不少于以下，系统镜像（Linux系统Ubuntu18.04，ROS系统ROS-Melodic），AI算法包（Mobilenet-ssd，Yolo-v3），底层支持库(OpenCV2，Joystick，Serial，Pthread，Paddle_Full_API，RPLidar等)。</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26</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图像识别应用展示实训设备</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人工智能桌面交互一体机能够实现人工智能视觉相关的推理教学实训项目。</w:t>
            </w:r>
            <w:r>
              <w:rPr>
                <w:rFonts w:ascii="宋体" w:hAnsi="宋体" w:eastAsia="Arial" w:cs="宋体"/>
                <w:color w:val="000000"/>
                <w:sz w:val="20"/>
                <w:szCs w:val="20"/>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Fonts w:hint="eastAsia" w:ascii="宋体" w:hAnsi="宋体" w:eastAsia="Arial" w:cs="宋体"/>
                <w:color w:val="000000"/>
                <w:sz w:val="20"/>
                <w:szCs w:val="20"/>
                <w:lang w:val="en-US" w:eastAsia="zh-CN" w:bidi="ar-SA"/>
              </w:rPr>
              <w:t xml:space="preserve">1.</w:t>
            </w:r>
            <w:r>
              <w:rPr>
                <w:rStyle w:val="1025"/>
                <w:rFonts w:ascii="宋体" w:hAnsi="宋体" w:eastAsia="宋体" w:cs="宋体"/>
                <w:color w:val="000000"/>
                <w:sz w:val="20"/>
                <w:szCs w:val="20"/>
                <w:u w:val="none"/>
                <w:lang w:val="en-US" w:eastAsia="zh-CN" w:bidi="ar-SA"/>
              </w:rPr>
              <w:t xml:space="preserve">处理器：</w:t>
            </w:r>
            <w:r>
              <w:rPr>
                <w:rFonts w:hint="eastAsia" w:ascii="宋体" w:hAnsi="宋体" w:eastAsia="Arial" w:cs="宋体"/>
                <w:color w:val="000000"/>
                <w:sz w:val="20"/>
                <w:szCs w:val="20"/>
                <w:lang w:val="en-US" w:eastAsia="zh-CN" w:bidi="ar-SA"/>
              </w:rPr>
              <w:t xml:space="preserve">≥</w:t>
            </w:r>
            <w:r>
              <w:rPr>
                <w:rStyle w:val="1025"/>
                <w:rFonts w:ascii="宋体" w:hAnsi="宋体" w:eastAsia="宋体" w:cs="宋体"/>
                <w:color w:val="000000"/>
                <w:sz w:val="20"/>
                <w:szCs w:val="20"/>
                <w:u w:val="none"/>
                <w:lang w:val="en-US" w:eastAsia="zh-CN" w:bidi="ar-SA"/>
              </w:rPr>
              <w:t xml:space="preserve">Zynq UltraScaleMPSoc ZU5EV, CortexA53*4；</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2.内存：</w:t>
            </w:r>
            <w:r>
              <w:rPr>
                <w:rFonts w:hint="eastAsia" w:ascii="宋体" w:hAnsi="宋体" w:eastAsia="Arial" w:cs="宋体"/>
                <w:color w:val="000000"/>
                <w:sz w:val="20"/>
                <w:szCs w:val="20"/>
                <w:lang w:val="en-US" w:eastAsia="zh-CN" w:bidi="ar-SA"/>
              </w:rPr>
              <w:t xml:space="preserve">≥</w:t>
            </w:r>
            <w:r>
              <w:rPr>
                <w:rStyle w:val="1025"/>
                <w:rFonts w:ascii="宋体" w:hAnsi="宋体" w:eastAsia="宋体" w:cs="宋体"/>
                <w:color w:val="000000"/>
                <w:sz w:val="20"/>
                <w:szCs w:val="20"/>
                <w:u w:val="none"/>
                <w:lang w:val="en-US" w:eastAsia="zh-CN" w:bidi="ar-SA"/>
              </w:rPr>
              <w:t xml:space="preserve">DDR4 4GB；</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3.存储：eMMC 32GB，最高支持16GB的TF卡扩展；</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4.视频输入接口：支持USB摄像头（UVC），HDMI IN，IP摄像头；</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5.视频输出接口：miniDP；</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6.USB：</w:t>
            </w:r>
            <w:r>
              <w:rPr>
                <w:rFonts w:hint="eastAsia" w:ascii="宋体" w:hAnsi="宋体" w:eastAsia="Arial" w:cs="宋体"/>
                <w:color w:val="000000"/>
                <w:sz w:val="20"/>
                <w:szCs w:val="20"/>
                <w:lang w:val="en-US" w:eastAsia="zh-CN" w:bidi="ar-SA"/>
              </w:rPr>
              <w:t xml:space="preserve">≥</w:t>
            </w:r>
            <w:r>
              <w:rPr>
                <w:rStyle w:val="1025"/>
                <w:rFonts w:ascii="宋体" w:hAnsi="宋体" w:eastAsia="宋体" w:cs="宋体"/>
                <w:color w:val="000000"/>
                <w:sz w:val="20"/>
                <w:szCs w:val="20"/>
                <w:u w:val="none"/>
                <w:lang w:val="en-US" w:eastAsia="zh-CN" w:bidi="ar-SA"/>
              </w:rPr>
              <w:t xml:space="preserve">USB3.0*4；</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7.网口：</w:t>
            </w:r>
            <w:r>
              <w:rPr>
                <w:rFonts w:hint="eastAsia" w:ascii="宋体" w:hAnsi="宋体" w:eastAsia="Arial" w:cs="宋体"/>
                <w:color w:val="000000"/>
                <w:sz w:val="20"/>
                <w:szCs w:val="20"/>
                <w:lang w:val="en-US" w:eastAsia="zh-CN" w:bidi="ar-SA"/>
              </w:rPr>
              <w:t xml:space="preserve">≥</w:t>
            </w:r>
            <w:r>
              <w:rPr>
                <w:rStyle w:val="1025"/>
                <w:rFonts w:ascii="宋体" w:hAnsi="宋体" w:eastAsia="宋体" w:cs="宋体"/>
                <w:color w:val="000000"/>
                <w:sz w:val="20"/>
                <w:szCs w:val="20"/>
                <w:u w:val="none"/>
                <w:lang w:val="en-US" w:eastAsia="zh-CN" w:bidi="ar-SA"/>
              </w:rPr>
              <w:t xml:space="preserve">千兆以太网口*1；</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8.Debug接口：JTAG，UART；</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9.预留扩展口：RS485*1，RS232*1，CAN*1；</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10.电源：</w:t>
            </w:r>
            <w:r>
              <w:rPr>
                <w:rFonts w:hint="eastAsia" w:ascii="宋体" w:hAnsi="宋体" w:eastAsia="Arial" w:cs="宋体"/>
                <w:color w:val="000000"/>
                <w:sz w:val="20"/>
                <w:szCs w:val="20"/>
                <w:lang w:val="en-US" w:eastAsia="zh-CN" w:bidi="ar-SA"/>
              </w:rPr>
              <w:t xml:space="preserve">≥</w:t>
            </w:r>
            <w:r>
              <w:rPr>
                <w:rStyle w:val="1025"/>
                <w:rFonts w:ascii="宋体" w:hAnsi="宋体" w:eastAsia="宋体" w:cs="宋体"/>
                <w:color w:val="000000"/>
                <w:sz w:val="20"/>
                <w:szCs w:val="20"/>
                <w:u w:val="none"/>
                <w:lang w:val="en-US" w:eastAsia="zh-CN" w:bidi="ar-SA"/>
              </w:rPr>
              <w:t xml:space="preserve">12V@3A；</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11.操作系统：Ubuntu；</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12.工作温度：-40℃~80℃；</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13.摄像头：720P，UVC；</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14.</w:t>
            </w:r>
            <w:r>
              <w:rPr>
                <w:rStyle w:val="1032"/>
                <w:rFonts w:hint="eastAsia" w:ascii="宋体" w:hAnsi="宋体" w:eastAsia="Arial" w:cs="宋体"/>
                <w:color w:val="000000"/>
                <w:sz w:val="20"/>
                <w:szCs w:val="20"/>
                <w:u w:val="none"/>
                <w:lang w:val="en-US" w:eastAsia="zh-CN" w:bidi="ar-SA"/>
              </w:rPr>
              <w:t xml:space="preserve">主</w:t>
            </w:r>
            <w:r>
              <w:rPr>
                <w:rStyle w:val="1025"/>
                <w:rFonts w:ascii="宋体" w:hAnsi="宋体" w:eastAsia="宋体" w:cs="宋体"/>
                <w:color w:val="000000"/>
                <w:sz w:val="20"/>
                <w:szCs w:val="20"/>
                <w:u w:val="none"/>
                <w:lang w:val="en-US" w:eastAsia="zh-CN" w:bidi="ar-SA"/>
              </w:rPr>
              <w:t xml:space="preserve">屏幕：含</w:t>
            </w:r>
            <w:r>
              <w:rPr>
                <w:rFonts w:hint="eastAsia" w:ascii="宋体" w:hAnsi="宋体" w:eastAsia="Arial" w:cs="宋体"/>
                <w:color w:val="000000"/>
                <w:sz w:val="20"/>
                <w:szCs w:val="20"/>
                <w:lang w:val="en-US" w:eastAsia="zh-CN" w:bidi="ar-SA"/>
              </w:rPr>
              <w:t xml:space="preserve">≥</w:t>
            </w:r>
            <w:r>
              <w:rPr>
                <w:rStyle w:val="1025"/>
                <w:rFonts w:ascii="宋体" w:hAnsi="宋体" w:eastAsia="宋体" w:cs="宋体"/>
                <w:color w:val="000000"/>
                <w:sz w:val="20"/>
                <w:szCs w:val="20"/>
                <w:u w:val="none"/>
                <w:lang w:val="en-US" w:eastAsia="zh-CN" w:bidi="ar-SA"/>
              </w:rPr>
              <w:t xml:space="preserve">65寸商用显示屏；辅屏幕：</w:t>
            </w:r>
            <w:r>
              <w:rPr>
                <w:rFonts w:hint="eastAsia" w:ascii="宋体" w:hAnsi="宋体" w:eastAsia="Arial" w:cs="宋体"/>
                <w:color w:val="000000"/>
                <w:sz w:val="20"/>
                <w:szCs w:val="20"/>
                <w:lang w:val="en-US" w:eastAsia="zh-CN" w:bidi="ar-SA"/>
              </w:rPr>
              <w:t xml:space="preserve">≥</w:t>
            </w:r>
            <w:r>
              <w:rPr>
                <w:rStyle w:val="1025"/>
                <w:rFonts w:ascii="宋体" w:hAnsi="宋体" w:eastAsia="宋体" w:cs="宋体"/>
                <w:color w:val="000000"/>
                <w:sz w:val="20"/>
                <w:szCs w:val="20"/>
                <w:u w:val="none"/>
                <w:lang w:val="en-US" w:eastAsia="zh-CN" w:bidi="ar-SA"/>
              </w:rPr>
              <w:t xml:space="preserve">7寸IPS高清屏幕，最高支持1024*600px输出。</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15.提供一体化机身（材质：工程塑料+金属）；</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16.支持人工智能通用计算，支持基于国产深度学习框架平台模型部署推理；</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17.支持线上AIStudio模型输出部署；</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ascii="宋体" w:hAnsi="宋体" w:eastAsia="宋体" w:cs="宋体"/>
                <w:color w:val="000000"/>
                <w:sz w:val="20"/>
                <w:szCs w:val="20"/>
                <w:u w:val="none"/>
                <w:lang w:val="en-US" w:eastAsia="zh-CN" w:bidi="ar-SA"/>
              </w:rPr>
              <w:t xml:space="preserve">18.支持无代码化EasyDL模型输出部署；</w:t>
            </w:r>
            <w:r>
              <w:rPr>
                <w:rStyle w:val="1025"/>
                <w:rFonts w:ascii="宋体" w:hAnsi="宋体" w:eastAsia="宋体" w:cs="宋体"/>
                <w:color w:val="000000"/>
                <w:sz w:val="20"/>
                <w:szCs w:val="20"/>
                <w:u w:val="none"/>
                <w:lang w:val="en-US" w:eastAsia="zh-CN" w:bidi="ar-SA"/>
              </w:rPr>
            </w:r>
            <w:r/>
          </w:p>
          <w:p>
            <w:pPr>
              <w:pStyle w:val="752"/>
              <w:jc w:val="left"/>
              <w:widowControl/>
              <w:rPr>
                <w:rFonts w:ascii="宋体" w:hAnsi="宋体" w:eastAsia="Arial" w:cs="宋体"/>
                <w:color w:val="000000"/>
                <w:sz w:val="20"/>
                <w:szCs w:val="20"/>
                <w:lang w:val="en-US" w:eastAsia="zh-CN" w:bidi="ar-SA"/>
              </w:rPr>
            </w:pPr>
            <w:r>
              <w:rPr>
                <w:rStyle w:val="1025"/>
                <w:rFonts w:ascii="宋体" w:hAnsi="宋体" w:eastAsia="宋体" w:cs="宋体"/>
                <w:color w:val="000000"/>
                <w:sz w:val="20"/>
                <w:szCs w:val="20"/>
                <w:u w:val="none"/>
                <w:lang w:val="en-US" w:eastAsia="zh-CN" w:bidi="ar-SA"/>
              </w:rPr>
              <w:t xml:space="preserve">19.支持PaddleX模型输出部署；</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2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b/>
                <w:bCs/>
                <w:color w:val="000000"/>
                <w:sz w:val="20"/>
                <w:szCs w:val="20"/>
                <w:lang w:val="en-US" w:eastAsia="zh-CN" w:bidi="ar-SA"/>
              </w:rPr>
            </w:pP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二</w:t>
            </w:r>
            <w:r>
              <w:rPr>
                <w:rFonts w:ascii="宋体" w:hAnsi="宋体" w:eastAsia="Arial" w:cs="宋体"/>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86" w:type="dxa"/>
            <w:vAlign w:val="center"/>
            <w:textDirection w:val="lrTb"/>
            <w:noWrap w:val="false"/>
          </w:tcPr>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大数据技术应用实训室</w:t>
            </w:r>
            <w:r>
              <w:rPr>
                <w:rFonts w:ascii="宋体" w:hAnsi="宋体" w:eastAsia="Arial" w:cs="宋体"/>
                <w:b/>
                <w:bCs/>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27</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hint="eastAsia" w:ascii="宋体" w:hAnsi="宋体" w:eastAsia="宋体" w:cs="宋体"/>
                <w:color w:val="000000"/>
                <w:sz w:val="20"/>
                <w:szCs w:val="20"/>
                <w:highlight w:val="none"/>
                <w:u w:val="none"/>
                <w:lang w:val="en-US" w:eastAsia="zh-CN" w:bidi="ar-SA"/>
              </w:rPr>
              <w:t xml:space="preserve">大数据定制开发模块一</w:t>
            </w:r>
            <w:r>
              <w:rPr>
                <w:rStyle w:val="1025"/>
                <w:rFonts w:ascii="宋体" w:hAnsi="宋体" w:eastAsia="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实训教学平台管理系统：</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1、整体功能指标</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1.1、系统采用B/S架构，应用HTML5技术，所有功能模块在浏览器中即可完成操作；</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1.2、实训平台管理系统提供用户管理模块、课件管理模块、教学资源管理模块、教学数据管理模块、教学配置管理模块；</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1.3、支持管理员用户一键切换至实训平台教学系统前台；</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1.4、提供主题功能，能够根据系统配色方案改变系统主题风格。</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2、管理系统控制台</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2.1、支持在线查看平台的软件授权书，包含软件版本、授权并发数、授权用户数等信息；</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2.2、支持资源总体监控功能，能够对系统进行用户数据进行总体统计，能够通过图表呈现服务器集群中的CPU/GPU、内存、磁盘等资源使用情况的实时监控；</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2.3、提供管理系统主要管理功能的快捷入口。</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3、用户管理模块</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用户管理模块提供用户账号管理、专业和班级管理功能，各项功能指标如下：</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3.1、用户账号管理</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3.1.1、提供用户账号管理功能，支持对学校的教师和学生账号进行添加、修改、删除、禁用等操作；</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3.1.2、支持多种教师账号权限级别，可设置为普通教师或学校管理员；</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3.1.3、支持管理员下载学生账号模板并根据系统模板批量创建学生账号；支持批量删除学生账号。</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3.2、专业和班级管理</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3.2.1、提供专业和班级管理功能，能够对学校专业及其下属班级进行添加、修改、删除和检索操作；</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3.2.2、支持对班级进行实验机的使用时间进行限制，可设置为全天可用或自定义设置使用时间段。</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4、课件管理模块</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4.1、资源分类管理</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4.1.1、支持上传添加视频资源、实验指导书、习题、PDF课件、讲义、在线编程题（OJ）、直播编程演示、外链等教学课件，并支持按分类进行分级管理，能够创建各类资源的分类及其子类；</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4.1.2、支持对资源的大类和子类信息进行修改、删除和检索操作。</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4.2、课件资源管理</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4.2.1、支持拖拽上传视频和PDF课件，支持自动转码和在线预览；</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4.2.2、支持对视频关联实验机，学生可以在线边看视频边在实验机中操作练习；</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4.2.3、支持新增和复制实验指导书，能够编辑实验指导书内容，并且选择实验所使用的镜像环境；支持在线预览实验指导书，并能够进入图形化实验环境进行预览和测试验证；</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4.2.4、支持添加实验任务的操作讲解视频，学生在进入实验任务后可以同屏播放讲解视频；</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4.2.5、支持添加实验自动检测条件，支持检查目录、文件名称、文件大小、文件内容、文件行数、程序执行、程序输出、MySLQ执行结果等检测条件，并根据条件项和对应参数进行设定；支持设置各检测项的排序值和权重值；</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4.2.6、支持数据包检测，能够自动检测实验所需的下载数据是否在系统中存在。</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4.3、习题/OJ资源管理</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4.3.1、支持新增、修改、删除、检索习题；支持下载习题模版并按模版批量导入习题；</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4.3.2、支持单选题、多选题、判断题、在线编程题、实验题、简答题等题型，在线编程题支持Java、Python、C和C++语言；</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4.3.3、支持设置OJ难度系数；支持Markdown编辑OJ题目、题解，并能够同屏查看预览显示效果；</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4.3.4、支持添加OJ的测试用例；能够设置初始代码、函数体、参数类型；支持为初始代码设定编程语言，包括Java、Python、C++等语言；</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4.3.5、支持在线预览并运行参考代码验证测试用例、参考代码的正确性；支持返回测试用例的运行结果或错误提示；支持一键还原为初始代码。</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5、教学资源管理模块</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教学资源管理模块包含对系统服务器、学校课程和官方课程、数据集的管理功能，各功能指标如下：</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5.1、服务器管理</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5.1.1、支持查看系统服务器集群各节点的详细信息，能够对服务器各节点的资源占用情况进行监控，包括CPU空闲率、内存空闲率、磁盘剩余空间、性能评分；能够统计服务器集群各节点已创建的实验机总数、正在运行的实验机数量。</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5.1.2、支持查看系统内置镜像的详细信息，包括镜像名称和表示、开放端口、镜像资源配置（包括CPU数、内存大小、磁盘容量、GPU数）、镜像环境配置介绍等数据；支持进入镜像图形化桌面进行环境验证；</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hint="eastAsia" w:ascii="宋体" w:hAnsi="宋体" w:eastAsia="宋体" w:cs="宋体"/>
                <w:color w:val="000000"/>
                <w:sz w:val="20"/>
                <w:szCs w:val="20"/>
                <w:highlight w:val="none"/>
                <w:u w:val="none"/>
                <w:lang w:val="en-US" w:eastAsia="zh-CN" w:bidi="ar-SA"/>
              </w:rPr>
              <w:t xml:space="preserve">▲</w:t>
            </w:r>
            <w:r>
              <w:rPr>
                <w:rStyle w:val="1025"/>
                <w:rFonts w:ascii="宋体" w:hAnsi="宋体" w:eastAsia="宋体" w:cs="宋体"/>
                <w:color w:val="000000"/>
                <w:sz w:val="20"/>
                <w:szCs w:val="20"/>
                <w:highlight w:val="none"/>
                <w:u w:val="none"/>
                <w:lang w:val="en-US" w:eastAsia="zh-CN" w:bidi="ar-SA"/>
              </w:rPr>
              <w:t xml:space="preserve">5.1.3、提供至少20个符合大数据实验实训所需环境的系统镜像环境，镜像内预装 H</w:t>
            </w:r>
            <w:r>
              <w:rPr>
                <w:rStyle w:val="1025"/>
                <w:rFonts w:ascii="宋体" w:hAnsi="宋体" w:eastAsia="宋体" w:cs="宋体"/>
                <w:color w:val="000000"/>
                <w:sz w:val="20"/>
                <w:szCs w:val="20"/>
                <w:highlight w:val="none"/>
                <w:u w:val="none"/>
                <w:lang w:val="en-US" w:eastAsia="zh-CN" w:bidi="ar-SA"/>
              </w:rPr>
              <w:t xml:space="preserve">adoop、 Spark、 Hive、 HBase、 Kafka、Flume、Sqoop等常用的大数据生态组件；至少包括Linux镜像、Python镜像、Java镜像、Hadoop镜像、MapReduce镜像、Hive镜像、HBase镜像、Kafka镜像、Sqoop镜像、Flume镜像、Zookeeper镜像、Pig镜像、Oozie镜像、Spark镜像、Storm镜像、Scala镜像、SparkR镜像、R语言镜像、MogoDB镜像、MySQL镜像、ECharts镜像、Azkaban镜像、Phoenix镜像。</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5.2、学校课程管理</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5.2.1、支持新增课堂课程、任务课程、广场课程、项目课程、作业试卷，支持设置发布状态、在线预览、修改和删除；</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5.2.2、支持通过上传课程包的方式新增课堂课程和任务课程；</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5.2.3、支持对课堂课程、任务课程、广场课程、项目课程进行章节管理，可以添加多个章节；课程分为三级，各级内容支持拖拽排序；</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5.2.4、支持课程自定义内容设计，能够在章节下添加已上传的课件；支持限制实验任务的操作时长；</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5.2.5、支持对各类课程支设置资源标签；</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5.2.6、支持预览官方交付课程。</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5.3、数据集管理</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5.3.1、数据集按分类进行分级管理，支持富文本编辑数据集资源详情；支持上传数据集样例图和缩略图；</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5.3.2、支持上传数据集，可以设置数据集所属的分类、数据集文件大小、文件格式、数据条数、文件编码、上传者、数据介绍等信息；</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5.3.3、支持查看官方数据集详情，支持将数据集下载到本地。</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6、教学数据管理模块</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教学数据管理模块提供对系统中用户实验机、上课记录、学习和考试记录、系统日志等数据的管理功能，各功能指标如下：</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6.1、用户实验机管理</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6.1.1、支持查看系统用户创建的所有实验机详情，包括使用者及其身份、实验机所属镜像、实验机编号、实验机资源配置（包括CPU/GPU数、内存大小、磁盘容量）、运行方式、运行状态等信息；</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6.1.2、管理员可以直接进入正在运行的实验机图形桌面进行查看；可以直接远程监控使用者的操作；支持远程操控正在运行的实验机；</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6.1.3、支持管理员批量关停正在运行的实验机，可以手动释放计算资源，但保留实验机容器内的数据；</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6.1.4、支持管理员批量删除已创建的实验机，可以释放实验机在服务器中占用的所有资源。</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6.2、实验机并发统计</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6.2.1、支持以可视化图表的形式展示系统每日在线实验机峰值最高并发实验机峰值；</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6.2.2、支持以可视化图表的形式展示系统每日各时段实验机的实时实验机在线数和实验机并发数。</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6.3、教学数据报表</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6.3.1、支持查看教师的上课记录，包括所属课程、授课老师、课堂类型、课堂状态、计划授课时间、实际授课时间、授课时长、课堂内聊天记录等数据；</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6.3.2、支持查看学生的考试成绩，包括学生信息、作答时间、正确率、得分等数据；能够查看学生提交的试卷答题详情；</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6.3.3、支持查看用户在学习广场中各课程的学习详情，包括视频和实验课程、任务标题、用户信息、学习时长等信息；</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6.3.4、支持记录用户在教学空间的交流区中的讨论发帖信息，可以查看帖子的回复数和回复详情；支持将发帖设置置顶；支持管理员删除发帖。</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6.3.5、支持将教学数据报表导出为Excel文件；</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6.3.6、支持查看和检索系统中用户的操作日志。</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7、教学配置管理</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7.1、网站信息个性化配置</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7.1.1、支持自定义设置平台的名称和Logo，以及版权声明、通信地址、联系电话和邮箱等信息；</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7.1.2、支持自定义设置实验机的文件上传和下载、文字粘贴板、数据集下载、在线编程（OJ）的题解等功能的开启或关闭；</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7.1.3、支持一键将上述自定义配置重置为初始默认设置。</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7.2、课程资源配置</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7.2.1、支持自定义设置在前台公开展示的广场课程、项目课程、数据集、实验训练环境；支持设置开通课程资源的有效期；</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ascii="宋体" w:hAnsi="宋体" w:eastAsia="宋体" w:cs="宋体"/>
                <w:color w:val="000000"/>
                <w:sz w:val="20"/>
                <w:szCs w:val="20"/>
                <w:highlight w:val="none"/>
                <w:u w:val="none"/>
                <w:lang w:val="en-US" w:eastAsia="zh-CN" w:bidi="ar-SA"/>
              </w:rPr>
              <w:t xml:space="preserve">7.2.2、可以将已添加的课程资源从配置列表中删除；支持对配置列表中的广场课程拖拽排序，自定义设置课程在前台的展示顺序。</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hint="eastAsia" w:ascii="宋体" w:hAnsi="宋体" w:eastAsia="宋体" w:cs="宋体"/>
                <w:color w:val="000000"/>
                <w:sz w:val="20"/>
                <w:szCs w:val="20"/>
                <w:highlight w:val="none"/>
                <w:u w:val="none"/>
                <w:lang w:val="en-US" w:eastAsia="zh-CN" w:bidi="ar-SA"/>
              </w:rPr>
              <w:t xml:space="preserve">8.</w:t>
            </w:r>
            <w:r>
              <w:rPr>
                <w:rStyle w:val="1027"/>
                <w:rFonts w:hint="eastAsia" w:ascii="宋体" w:hAnsi="宋体" w:eastAsia="宋体" w:cs="宋体"/>
                <w:b/>
                <w:bCs/>
                <w:color w:val="000000"/>
                <w:sz w:val="20"/>
                <w:szCs w:val="20"/>
                <w:highlight w:val="none"/>
                <w:u w:val="none"/>
                <w:lang w:val="en-US" w:eastAsia="zh-CN" w:bidi="ar"/>
              </w:rPr>
              <w:t xml:space="preserve">供应商需提供本项目的售后服务承诺函及参数确认函，并加盖供应商公章</w:t>
            </w:r>
            <w:r>
              <w:rPr>
                <w:rFonts w:hint="eastAsia" w:ascii="宋体" w:hAnsi="宋体" w:eastAsia="宋体" w:cs="宋体"/>
                <w:b/>
                <w:bCs/>
                <w:color w:val="000000"/>
                <w:sz w:val="20"/>
                <w:szCs w:val="20"/>
                <w:highlight w:val="none"/>
                <w:lang w:val="en-US" w:eastAsia="zh-CN" w:bidi="ar-SA"/>
              </w:rPr>
              <w:t xml:space="preserve">。</w:t>
            </w:r>
            <w:r>
              <w:rPr>
                <w:rStyle w:val="1025"/>
                <w:rFonts w:ascii="宋体" w:hAnsi="宋体" w:eastAsia="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28</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大数据定制开发模块二</w:t>
            </w:r>
            <w:r>
              <w:rPr>
                <w:rStyle w:val="1025"/>
                <w:rFonts w:ascii="宋体" w:hAnsi="宋体" w:eastAsia="宋体" w:cs="宋体"/>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hint="eastAsia" w:ascii="宋体" w:hAnsi="宋体" w:eastAsia="宋体" w:cs="宋体"/>
                <w:color w:val="000000"/>
                <w:sz w:val="20"/>
                <w:szCs w:val="20"/>
                <w:highlight w:val="none"/>
                <w:u w:val="none"/>
                <w:lang w:val="en-US" w:eastAsia="zh-CN" w:bidi="ar-SA"/>
              </w:rPr>
              <w:t xml:space="preserve">实训教学平台教学系统：</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highlight w:val="none"/>
                <w:u w:val="none"/>
                <w:lang w:val="en-US" w:eastAsia="zh-CN" w:bidi="ar-SA"/>
              </w:rPr>
            </w:pPr>
            <w:r>
              <w:rPr>
                <w:rStyle w:val="1025"/>
                <w:rFonts w:hint="eastAsia" w:ascii="宋体" w:hAnsi="宋体" w:eastAsia="宋体" w:cs="宋体"/>
                <w:color w:val="000000"/>
                <w:sz w:val="20"/>
                <w:szCs w:val="20"/>
                <w:highlight w:val="none"/>
                <w:u w:val="none"/>
                <w:lang w:val="en-US" w:eastAsia="zh-CN" w:bidi="ar-SA"/>
              </w:rPr>
              <w:t xml:space="preserve">1、系统总体功能指标</w:t>
            </w:r>
            <w:r>
              <w:rPr>
                <w:rStyle w:val="1025"/>
                <w:rFonts w:ascii="宋体" w:hAnsi="宋体" w:eastAsia="宋体" w:cs="宋体"/>
                <w:color w:val="000000"/>
                <w:sz w:val="20"/>
                <w:szCs w:val="20"/>
                <w:highlight w:val="none"/>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1.1、系统采用B/S架构，应用HTML5技术，所有功能在浏览器中即可完成操作；</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▲1.2、支持一键更换深色或浅色系统主题风格方案；支持切换中文、英文系统语言；支持教师用户一键切换至管理系统；</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hint="eastAsia"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1.3、教学系统包括学习广场、教学空间、项目实战、资源中心、考试与作业、学情分析四大教学模块；</w:t>
            </w:r>
            <w:r>
              <w:rPr>
                <w:rStyle w:val="1025"/>
                <w:rFonts w:hint="eastAsia"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b/>
                <w:bCs/>
                <w:color w:val="000000"/>
                <w:sz w:val="20"/>
                <w:szCs w:val="20"/>
                <w:u w:val="none"/>
                <w:lang w:val="en-US" w:eastAsia="zh-CN" w:bidi="ar-SA"/>
              </w:rPr>
            </w:pPr>
            <w:r>
              <w:rPr>
                <w:rStyle w:val="1025"/>
                <w:rFonts w:hint="eastAsia" w:ascii="宋体" w:hAnsi="宋体" w:eastAsia="宋体" w:cs="宋体"/>
                <w:b/>
                <w:bCs/>
                <w:color w:val="000000"/>
                <w:sz w:val="20"/>
                <w:szCs w:val="20"/>
                <w:u w:val="none"/>
                <w:lang w:val="en-US" w:eastAsia="zh-CN" w:bidi="ar-SA"/>
              </w:rPr>
              <w:t xml:space="preserve">（提供功能截图，以证明其参数符合性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Style w:val="1025"/>
                <w:rFonts w:hint="eastAsia" w:ascii="宋体" w:hAnsi="宋体" w:eastAsia="宋体" w:cs="宋体"/>
                <w:b/>
                <w:bCs/>
                <w:color w:val="000000"/>
                <w:sz w:val="20"/>
                <w:szCs w:val="20"/>
                <w:u w:val="none"/>
                <w:lang w:val="en-US" w:eastAsia="zh-CN" w:bidi="ar-SA"/>
              </w:rPr>
              <w:t xml:space="preserve">）</w:t>
            </w:r>
            <w:r>
              <w:rPr>
                <w:rStyle w:val="1025"/>
                <w:rFonts w:ascii="宋体" w:hAnsi="宋体" w:eastAsia="宋体" w:cs="宋体"/>
                <w:b/>
                <w:bCs/>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2、学习广场模块</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2.1、支持查看官方推荐的专业人才培养教学计划表，包括各学年推荐教学课程及课时和学分安排，各课程与官方官方课程相匹配，可直接跳转查看课程内容详情；</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2.2、支持用户查看课程详情，能够进入课程学习页面观看教学视频或进入实验环境进行实操练习；课程章节之间支持自由跳转；支持用户在线编辑保存学习笔记；</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2.3、支持打开在线编程环境进行编程练习，支持自定义设置代码字号、行距和环境主题配色，支持Python、Java、C++等多种编程语言，能够在线提交、编译运行、保存编写的代码，支持键盘输入数据进行交互式编程并能够即时反馈代码执行结果；</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2.4、系统提供至少600篇大数据相关实验任务指导书，包括但不限于：操作系统系列实验、数据库系列实验、Java编程语言系列实验、Python编程语言系列实验、数据结构与算法系列实验、Hadoop大数据开发系列实验、Spark大数据开发系列实验、Strom实时处理系列实验、Web开发系列实验、可视化系列实验、数据采集系列实验、数据分析系列实验、大数据建模系列实验、大数据综合项目案例系列实验；</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2.5、系统提供至少600课时的教学视频，至少包含数据科学、Linux操作系统、Java编程语言、Python编程语言、R语音、数据采集、数据可视化、Hadoop大数据技术、Spark大数据技术、Storm技术、大数据项目案例开发讲解等内容；</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2.6、系统提供至少100个不同行业的数据集，包括但不限于交通、金融、医疗、人口、旅游、天气等，支持查看数据集详情，支持下载数据集到本地。</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2.7、系统提供不少于2000道大数据相关的习题，包含单选题、多选题、判断题；提供至少100道在线编程（OJ）习题以及配套的基于云计算的在线编程云环境。</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hint="eastAsia"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3、资源中心模块</w:t>
            </w:r>
            <w:r>
              <w:rPr>
                <w:rStyle w:val="1025"/>
                <w:rFonts w:hint="eastAsia"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本模块为教师用户提供教学课件管理和自定义备课功能，主要功能指标如下：</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3.1、教学课件管理</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3.1.1、支持创建多级存储文件夹；支持上传本地文本、视频、压缩包、图片等多种格式文件至课件素材库；支持MP4、PDF、WORD、PPT、TXT、ZIP、PNG等多种文件类型；</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3.1.2、支持添加单选题、多选题、判断题、在线编程题、实验任务题、简答题等类型的习题；支持下载系统模板并按模板批量导入习题；在线编程题支持Java、Python、C和C++语言；</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3.1.3、支持新增实验任务并绑定实验镜像环境，支持富文本编辑实验指导书内容；支持为实验任务设置实验报告模板；</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3.1.4、支持对实验任务添加实验自动检测条件，支持检查目录、文件名称、文件大小、文件内容、文件行数、程序执行、程序输出、MySLQ执行结果等检测条件，可根据条件项和对应参数进行设定；支持设置检测项的排序值及权重；</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3.1.5、支持添加在线编程（OJ），能够富文本编辑题目要求和题解，支持自定义程序运行的类名、函数名参数类型、初始代码、测试用例；支持预览和在线运行调试，支持一键恢复为初始代码段；</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3.1.6、课件库中的文件和文件夹支持批量移动、删除、重命名等操作；支持以链接分享给其他用户，支持设置文件有效期和提取码；支持将分享链接中的资源下载到本地；</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3.2、课程同步功能</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3.2.1、支持同步官方、学校课程或其他老师公开的课程到自己的资源中心；</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3.2.2、支持对同步的课程内容进行二次编辑和预览；</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3.2.3、支持将课程导出为课程资源包；支持上传课程资源包；</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3.3、课程设计/备课功能</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3.3.1、支持课程新增功能，能够新增课堂课程、任务课程和项目课程；</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3.3.2、支持课程设计功能，能够按课程、章、节三层级添加课程内容，可以从自己的课件素材库中选择视频、课件、习题实验任务等所需要的资源；</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3.3.3、支持课程管理，各章节内容支持拖拽排序，课程支持在线预览；支持上传课程封面，能够设置课程的公开性；</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3.3.4、支持将课程导出为课程包。</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3.4、知识图谱功能</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3.4.1、支持老师查看官方课程已有的知识图谱，支持老师修改已同步课程的知识图谱；</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3.4.2、支持老师为自定义课程添加知识图谱，能够为每个知识点绑定考察任务；学生完成课程任务并达标后能够点亮知识图谱对应的知识点。</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4、教学空间模块</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教师端的教学空间模块提供老师的空间管理、排课和授课等功能，学生用户支持在线课程学习、学习记录、在线交流等功能。各模块功能指标如下：</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4.1、教学空间管理功能</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4.1.1、支持教师用户创建教学空间和项目空间，能够修改空间信息、封面设置和删除空间等操作；</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4.1.2、支持列表和卡片两种空间展示视图，支持教学空间自定义排序；</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4.1.3、支持将教学空间隐藏，非空间成员不可见。</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4.2、空间成员管理功能</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4.2.1、支持教师以链接和二维码形式邀请其他用户加入空间，也能够按专业或班级将学生批量加入到空间；支持将其他教师设置为当前空间的助教；</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4.2.2、支持学生申请加入公开的教学空间，老师可以审核是否通过学神的申请；</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4.2.3、支持查看和检索空间成员信息，支持按班级、审核状态、用户姓名进行检索；支持将成员从空间中移除；</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4.3、空间开课功能</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4.3.1、课堂课程模块支持教师通过日历选择排课日期对班级进行排课；支持设置课程为自习课；</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4.3.2、任务课程模块支持教师开通多门任务课程，课程可设置为必修或选修，支持设置课程的有效时间和达标分值；支持一键关闭已开通的课程；</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4.4、课堂课程教学功能</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4.4.1、支持课程录播功能，学生能够查看已结束课堂的录播回放；支持课堂加时延长，课堂即将结束时，系统能够提示教师是否延长课堂时间；</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4.4.2、支持查看学生在线状态，能够对学生添加特别关注将其在成员列表中置顶显示；支持课堂内群聊和私信；老师能够将全体学生禁言；</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4.4.3、支持在线播放PPT、视频等课件；支持电子白板功能，提供多种白板涂鸦工具；提供计时器、答题器等小工具；</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4.4.4、支持实操演示功能，能够将教师实验机界面及操作同步放映到学生端；支持老师打开学生实验机查看学生的实验操作，教师能够控制学生实验机进行远程操作；</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4.4.5、支持学生在线答题，学生提交答案后可以直接查看是否回答正确；支持老师查看课堂习题的正确答案；支持对学生答题情况实时统计；</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4.5、任务课程教学功能</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4.5.1、支持学生进入教学空间查看课程大纲和课程知识图谱；</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4.5.2、支持学生根据老师开通的任务课程学习路径进行学习，支持在线观看教学视频、在线答题、记录学习笔记，支持进入实验环境进行实验练习；学生能够在课程详情查看自己的学习进度；</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4.5.3、支持学生在线观看教学视频，支持标清、高清、超清等不同清晰度，能够全屏观看；视频播放时能够自动记录和定位到上一次学习进度；支持打开配套实验机边看边练；</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4.5.4、实验任务支持以下功能：</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①提供实验指导书，指导书内容包括实验目的、实验原理、实验环境、实验内容、详细的图文实验步骤、参考代码、实验结果等内容；</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②提供配套的图形化实验机，支持文档模式、操作模式和兼容模式自由切换，兼容模式能够同屏显示实验指导书和图形化实验环境；</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③支持实验机与本地进行文件互传；支持文字粘贴板功能；</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④支持实验时长控制，老师可以设置要求学生完成实验的时间，若学生在规定时间内没有完成，实验机支持续时延长可操作时间；</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⑤实验机支持重启和初始化，能够一键还原到实验机的初始状态；</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⑥支持远程协助，支持协同操作和桌面广播两种模式；</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⑦支持系统对学生的实验结果自动检测，可以通过老师预先设置好的检测条件判断学生的实验过程是否操作正确；</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4.5.5、支持学生在线编写实验报告，支持实验机截图功能，能够将当前实验机桌面生成截图并插入到实验报告中；截图能够显示当前用户信息和时间戳；</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4.5.6、支持老师批量审核学生实验报告，能够对学生提交的实验报告进行审核、打分、编写评语；支持学生对老师驳回的实验报告重新修改后再次提交；支持批量导出学生实验成绩和实验报告；</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4.5.7、支持对学生实验操作过程进行监控，能够监控学生实验机桌面以及键盘输入数据和实验操作画面；</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4.5.8、支持对学生学习情况进行统计分析；能够统计每位学生的课程学习总进度、课程内习题完成数和正确数、课程内实验完成数和平均得分、课程汇总得分等数据；支持教师查看学生学习进度详情；</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4.5.9、支持课程评价功能，学生在完成课程学习后，能够对课程打分和评价。</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5、作业及考试模块</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5.1、支持老师为学生下发作业或考试，能够自由组卷和抽题；能够设置作业或考试的开始作答时间和结束时间；支持复制作业或考试；</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5.2、支持向作业或试卷中添加试题，支持单选、多选、判断、简答、在线编程（支持Java、Python、C++）、实验任务等类型的题目；支持查看各题型题目数量和占比、试卷总分和各题型总分；</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5.3、支持按题型设置题目分数；支持将作业或试卷原题导出为文件；支持在线打印试卷；</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5.4、支持学生在线考试答题；学生提交后系统能够自动判卷；支持老师查看学生答题详情、错误率、修改题目得分；</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5.5、支持对学生答题情况进行统计：能够对提交数、提交率、及格数、及格率进行统计；能够查看每位学生作答详情，包括学生姓名、提交时卷作答详情，支持将学生提交的作业或考试驳回令其重做；支持将学生答题成绩导出为文件；</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5.6、支持对试卷中每道题目的作答情况进行统计分析，能够统计每道题目的答题人数和正确率、各选项的提交数，以及每位学生提交的答案详情；</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6、学情分析模块</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6.1、支持对教师创建的教学空间数量、空间总人数、平均学习时长、发布的作业和考试数量等数据进行统计，并能够查看教师创建的各空间详细信息；提供对不同时段的在线学习人数、学生学习时长的可视化统计图表；</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6.2、支持对任务课程的学习情况数据统计，能够根据日期查询各教学空间的活跃人数及活跃占比；</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6.3、支持对互动课堂的学习情况和排课情况进行数据统计，能够根据日期查询各课程的出勤人数、出勤率和学习时长、每堂课的授课起止时间和实际授课时长、各课堂的实际排课情况和上课时间分布；</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6.4、支持对发布的作业和考试评测数据进行统计分析，能够根据日期查询各考试的答题率、平均正确率、正确率区间占比；能够按班级或试卷查询各考试的统计数据。</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7、个人中心</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7.1、能够查看教师和学生用户个人资料；能够修改用户头像和密码；</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7.2、能够查看个人的所有学习笔记和讨论贴记录；</w:t>
            </w:r>
            <w:r>
              <w:rPr>
                <w:rStyle w:val="1025"/>
                <w:rFonts w:ascii="宋体" w:hAnsi="宋体" w:eastAsia="宋体" w:cs="宋体"/>
                <w:color w:val="000000"/>
                <w:sz w:val="20"/>
                <w:szCs w:val="20"/>
                <w:u w:val="none"/>
                <w:lang w:val="en-US" w:eastAsia="zh-CN" w:bidi="ar-SA"/>
              </w:rPr>
            </w:r>
            <w:r/>
          </w:p>
          <w:p>
            <w:pPr>
              <w:pStyle w:val="752"/>
              <w:jc w:val="left"/>
              <w:widowControl/>
              <w:rPr>
                <w:rStyle w:val="1025"/>
                <w:rFonts w:ascii="宋体" w:hAnsi="宋体" w:eastAsia="宋体" w:cs="宋体"/>
                <w:color w:val="000000"/>
                <w:sz w:val="20"/>
                <w:szCs w:val="20"/>
                <w:u w:val="none"/>
                <w:lang w:val="en-US" w:eastAsia="zh-CN" w:bidi="ar-SA"/>
              </w:rPr>
            </w:pPr>
            <w:r>
              <w:rPr>
                <w:rStyle w:val="1025"/>
                <w:rFonts w:hint="eastAsia" w:ascii="宋体" w:hAnsi="宋体" w:eastAsia="宋体" w:cs="宋体"/>
                <w:color w:val="000000"/>
                <w:sz w:val="20"/>
                <w:szCs w:val="20"/>
                <w:u w:val="none"/>
                <w:lang w:val="en-US" w:eastAsia="zh-CN" w:bidi="ar-SA"/>
              </w:rPr>
              <w:t xml:space="preserve">7.3、能够退出登录学生账号。</w:t>
            </w:r>
            <w:r>
              <w:rPr>
                <w:rStyle w:val="1025"/>
                <w:rFonts w:ascii="宋体" w:hAnsi="宋体" w:eastAsia="宋体" w:cs="宋体"/>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29</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大数据视频课程资源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一、提供视频课程资源包含但不少于以下内容：</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提供不少于700课时的视频课程，涵盖不同层次的大数据专业教学需要,包含但不限于：信息技</w:t>
            </w:r>
            <w:r>
              <w:rPr>
                <w:rFonts w:hint="eastAsia" w:ascii="宋体" w:hAnsi="宋体" w:eastAsia="Arial" w:cs="宋体"/>
                <w:color w:val="000000"/>
                <w:sz w:val="20"/>
                <w:szCs w:val="20"/>
                <w:lang w:val="en-US" w:eastAsia="zh-CN" w:bidi="ar-SA"/>
              </w:rPr>
              <w:t xml:space="preserve">术基础、初识大数据、数据科学、数据科学理论与实践、Shell脚本、云架构操作系统基础（Linux）、云操作系统应用、云数据库应用（MySQL）、MongoDB数据库、Java Web技术与应用、Java数据采集技术、Python学前课程、Python基础编程、Python基础编程（微课）、Python编程语言、Python Web 前端、Python网络爬虫、Python可视化、Python数据分析、Hadoop核心技术与应用、MapReduce开发、数据仓库Hive原理与应用、分布式数据库HBase、Sq</w:t>
            </w:r>
            <w:r>
              <w:rPr>
                <w:rFonts w:hint="eastAsia" w:ascii="宋体" w:hAnsi="宋体" w:eastAsia="Arial" w:cs="宋体"/>
                <w:color w:val="000000"/>
                <w:sz w:val="20"/>
                <w:szCs w:val="20"/>
                <w:lang w:val="en-US" w:eastAsia="zh-CN" w:bidi="ar-SA"/>
              </w:rPr>
              <w:t xml:space="preserve">oop技术原理与应用、分布式消息队列Kafka技术应用、分布式日志收集系统Flume、Spark核心技术与应用、Storm技术原理与应用、Scala编程语言、R语言、Excel数据分析、网络安全应用、大数据挑战及大数据人才、清华数据科学高峰论坛、大数据与新能源交通、图形图像处理与大数据技术、互联网电商数据统计分析、量化交易数据分析实战、招聘网站职位分析实战、搜索引擎关键词流量数据挖掘、海量网站访问日志统计分析、Python财务分析案例、电商平台大数据分析、搜索引擎日志数据统计分析、职场软技能等视频课程资源。</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二、实验课程资源包含但不少于以下内容：</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1、Linux操作系统：系统环境与基本命令、软件安装管理、Linux系</w:t>
            </w:r>
            <w:r>
              <w:rPr>
                <w:rFonts w:hint="eastAsia" w:ascii="宋体" w:hAnsi="宋体" w:eastAsia="Arial" w:cs="宋体"/>
                <w:color w:val="000000"/>
                <w:sz w:val="20"/>
                <w:szCs w:val="20"/>
                <w:lang w:val="en-US" w:eastAsia="zh-CN" w:bidi="ar-SA"/>
              </w:rPr>
              <w:t xml:space="preserve">统进程管理、、VIM编辑器、Linux系统内核、Linux系统目录结构、文件操作命令与权限管理、文件操作命令与文件权限、计划任务、Linux系统高级命令、用户与组管理、Shell快速入门、Shell教程-变量、Shell教程-参数、Shell教程-测试命令、、Shell教程-函数、Shell教程-基本运算符、Shell教程-流程控制、Shell教程-输出命令、Shell教程-输入/输出重定向、Shell教程-数组、Shell教程-文件包含、WEB服务、、JAVA WEB部署Linux环境C/C++编程等内容</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2、MySQL数据库的常用操作：表的约束、基本查询、复杂的查询语句、多表查询、事务、DCL、DDL、DML、导入导出数据</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3、MongoDB数据库：MongoDB 简介及安装、MongoDB 配置用户和访问控制、MongoDB Shell操作、MongoDB 查询、MongoDB 索引、MongoDB 聚合、MongoDB 性能优化、MongoDB Java操作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4、Java编程语言：Java数据类型、Java运算符、Java 流程控制、Java基础-数组、Java基础-XML解析、Java基础-线程、Java基础-网络、Java基本数据类型、Java数组基本用法、图书管理系统、Java封装Private、Java继承和多态、Java抽象类和接口、Java异常处理、Java常用类-Math&amp;Arrays、Java常用类-String、Java常用类-</w:t>
            </w:r>
            <w:r>
              <w:rPr>
                <w:rFonts w:hint="eastAsia" w:ascii="宋体" w:hAnsi="宋体" w:eastAsia="Arial" w:cs="宋体"/>
                <w:color w:val="000000"/>
                <w:sz w:val="20"/>
                <w:szCs w:val="20"/>
                <w:lang w:val="en-US" w:eastAsia="zh-CN" w:bidi="ar-SA"/>
              </w:rPr>
              <w:t xml:space="preserve">实现双色球功能、Java集合-List、Java集合-Map、Java BitSet（位集）、Java File文件操作类、Java IO-字节流操作文件、Java IO-字符流操作文件、Java IO-序列化和反序列化、Java使用TCP实现聊天室、Java使用UDP实现即时通信、Java数据结构与算法-Hash、Java数据结构与算法-二叉排序树、Java数据结构与算法-双向链表、Java数据结构与算法-全排列、Java BST转换为双向链表、Java等概率、Java URL去重、Java读写Redis</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5、Java Web基础：Java实现PDF转文本、Java使用Json解析星座信息、JavaWeb-Servlet使用、ECharts 饼状图、ECharts 地图、ECharts 关系图、ECharts 雷达图、ECharts 漏斗图、ECharts</w:t>
            </w:r>
            <w:r>
              <w:rPr>
                <w:rFonts w:hint="eastAsia" w:ascii="宋体" w:hAnsi="宋体" w:eastAsia="Arial" w:cs="宋体"/>
                <w:color w:val="000000"/>
                <w:sz w:val="20"/>
                <w:szCs w:val="20"/>
                <w:lang w:val="en-US" w:eastAsia="zh-CN" w:bidi="ar-SA"/>
              </w:rPr>
              <w:t xml:space="preserve"> 热力图、ECharts 仪表盘、ECharts 折线图、ECharts 柱状图、Echarts饼状图-日剧电影类型可视化、Echarts折线图-日剧电影数量增长可视化、Echarts柱状图-日剧电影评分可视化、Java Web实现D3之饼图、Java Web实现D3之地图、Java Web实现D3之关系图、Java Web实现D3之环形图、Java Web实现D3之雷达图、Java Web实现D3之仪表盘、Java Web实现D3之折线图、Java Web实现D3之柱状图、Java Web实现D3之字符云</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6、Java数据采集：Java网络请求、Jsoup内容解析、Xpath解析、Java JDBC连接数据库、利用MapReduce抓取页面字段、WebMagic之网页采集、WebMagic采集图书信息存储至文件（局域网）、WebMagic采集电影信息存储MySQL数据库（局域网）、WebMagic采集新闻信息存储MySQL数据库(局域网)、WebMagic之</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各网站首页并存储到HBase</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7、Python编程语言：Python源码安装、Python Anaconda 发行版安装、Python解释器介绍；Python基本数据类型：数字、字符串；Python基本数据类型：列表、元组；Pytho</w:t>
            </w:r>
            <w:r>
              <w:rPr>
                <w:rFonts w:hint="eastAsia" w:ascii="宋体" w:hAnsi="宋体" w:eastAsia="Arial" w:cs="宋体"/>
                <w:color w:val="000000"/>
                <w:sz w:val="20"/>
                <w:szCs w:val="20"/>
                <w:lang w:val="en-US" w:eastAsia="zh-CN" w:bidi="ar-SA"/>
              </w:rPr>
              <w:t xml:space="preserve">n基本数据类型：集合、字典；Python输入输出；Python运算符与表达式、Python字符串、Python基础-序列；Python基础：字典、集合；Python基础：判断、循环、函数；Python基础：面向对象、文件处理；Python数据结构：列表创建与元素增加；Python数据结构：列表切片操作；Python数据结构：列表推导式；Python数据结构：元组；Python数据结构：字典语法及应用；Python数据结构：集合语法及应用；Python数据结构：堆、栈；Python数据结构：队列、链表；Pyt</w:t>
            </w:r>
            <w:r>
              <w:rPr>
                <w:rFonts w:hint="eastAsia" w:ascii="宋体" w:hAnsi="宋体" w:eastAsia="Arial" w:cs="宋体"/>
                <w:color w:val="000000"/>
                <w:sz w:val="20"/>
                <w:szCs w:val="20"/>
                <w:lang w:val="en-US" w:eastAsia="zh-CN" w:bidi="ar-SA"/>
              </w:rPr>
              <w:t xml:space="preserve">hon迭代器与生成器；Python条件控制、Python循环语句、Python函数设计与使用、Python 内置函数、Python模块的使用、Python标准库、Python文件操作；Python面向对象：入门；Python面向对象：类的成员；Python面向对象：三大特性；Python设计模式；Python排序算法、Python异常处理、Python日期和时间、Python Json、Python Socket、Python多线程、Python正则表达式、Python MySQL、Python Redis</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8、Python Web基础：JavaScript基础语法、JavaScript HTML DOM和事件；JavaScript：正则表达式；CSS网页样式：常用样</w:t>
            </w:r>
            <w:r>
              <w:rPr>
                <w:rFonts w:hint="eastAsia" w:ascii="宋体" w:hAnsi="宋体" w:eastAsia="Arial" w:cs="宋体"/>
                <w:color w:val="000000"/>
                <w:sz w:val="20"/>
                <w:szCs w:val="20"/>
                <w:lang w:val="en-US" w:eastAsia="zh-CN" w:bidi="ar-SA"/>
              </w:rPr>
              <w:t xml:space="preserve">式；CSS网页样式：选择器；CSS网页样式：DIV盒子模型；jQuery选择器、jQuery事件和动画、Bootstrap CSS样式、Bootstrap JS插件、HTML制作网页；实战案例：图片轮番滚动、省市县三级联动、仿IT公司网站首页、电商网站商品菜单导航栏；Echarts可视化、Django安装、Django模板、Django模板进阶、Django模型-MySql、Django 表单、Django视图与网址、Django 缓存系统、Django Ajax完成用户注册登录、Django Sessio</w:t>
            </w:r>
            <w:r>
              <w:rPr>
                <w:rFonts w:hint="eastAsia" w:ascii="宋体" w:hAnsi="宋体" w:eastAsia="Arial" w:cs="宋体"/>
                <w:color w:val="000000"/>
                <w:sz w:val="20"/>
                <w:szCs w:val="20"/>
                <w:lang w:val="en-US" w:eastAsia="zh-CN" w:bidi="ar-SA"/>
              </w:rPr>
              <w:t xml:space="preserve">n 完成用户登录、Django Echarts实例饼图、Django Echarts实例地图、Django Echarts实例雷达图、Django Echarts实例折线图、Django Echarts实例柱状图、Django Echarts实例字符云、Python Django 制作简易信息管理系统、Django D3实例饼图、Django D3实例关系图、Django D3实例径向图、Django D3实例树状图、Django D3实例折线图、Django D3实例中国地图、Django D3实例柱状图</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9、Python数据采集：Python 爬虫正则表达式基础、Python</w:t>
            </w:r>
            <w:r>
              <w:rPr>
                <w:rFonts w:hint="eastAsia" w:ascii="宋体" w:hAnsi="宋体" w:eastAsia="Arial" w:cs="宋体"/>
                <w:color w:val="000000"/>
                <w:sz w:val="20"/>
                <w:szCs w:val="20"/>
                <w:lang w:val="en-US" w:eastAsia="zh-CN" w:bidi="ar-SA"/>
              </w:rPr>
              <w:t xml:space="preserve">爬虫基础 Json、Python爬虫基础 Socket、Python爬虫基础 多线程、Python爬虫基础 MySQL、Python爬虫基础 Redis、Python爬虫基础 jQuery选择器、Python爬虫基础 HTML网页、Python爬虫基础 CSS--DIV盒子模型、Python爬虫基础 CSS--常用样式、Python爬虫基础 CSS--选择器、Python爬虫基础 Bootstrap JS插件、Python爬虫基础 Bootstrap CSS样式、Scrapy框架的安装与简介、Python </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贴吧图片、Scrapy</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豆瓣电影信息、Scrapy</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唐诗三百首、</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招聘网站大数据职位信息、Python</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股票数据、</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全国各省市房价数据、Scrapy</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全球各地区国家疫情数据、</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全球疫情数据、Python实现疫情数据分析并可视化、抓取烟台机场航班信息、航班信息清洗与存储、航班数据可视化处理</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Python数据分析：Numpy——linalg线性代数、Numpy——random类、Numpy——基本操作、科学计算包Numpy基本使用、科学计算包Numpy进阶使用、Pandas——DataFrame基本操作、Pandas——groupby操作、Pandas——Series操作、Pandas——基本函数、Pandas——可视化、Pandas——字符串处理、Pandas疫情数据处理与分析、Matplotlib——文本说明、Matplotlib——饼状图、、</w:t>
            </w:r>
            <w:r>
              <w:rPr>
                <w:rFonts w:hint="eastAsia" w:ascii="宋体" w:hAnsi="宋体" w:eastAsia="Arial" w:cs="宋体"/>
                <w:color w:val="000000"/>
                <w:sz w:val="20"/>
                <w:szCs w:val="20"/>
                <w:lang w:val="en-US" w:eastAsia="zh-CN" w:bidi="ar-SA"/>
              </w:rPr>
              <w:t xml:space="preserve">Matplotlib——散点图、Matplotlib——条形图、Matplotlib——直方图、Matplotlib——绘制多个子图、Matplotlib——3D图、scikit-learn基础入门、、scikit_learn——数据预处理、scikit-learn——特征选择、scikit-learn——特征降维、scikit-learn——模型评估、scikit-learn——密度聚类、scikit-learn——交叉验证、scikit-learn——层次聚类、scikit-learn——Birch聚类</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11、数据结构与算法：数据结构与算法之时间复杂度、数据结构与算法之顺序表基本操</w:t>
            </w:r>
            <w:r>
              <w:rPr>
                <w:rFonts w:hint="eastAsia" w:ascii="宋体" w:hAnsi="宋体" w:eastAsia="Arial" w:cs="宋体"/>
                <w:color w:val="000000"/>
                <w:sz w:val="20"/>
                <w:szCs w:val="20"/>
                <w:lang w:val="en-US" w:eastAsia="zh-CN" w:bidi="ar-SA"/>
              </w:rPr>
              <w:t xml:space="preserve">作、数据结构与算法之单向链表基本操作、数据结构与算法之单向循环链表基本操作、数据结构与算法之双向链表基本操作、数据结构与算法之基本数据结构--栈、数据结构与算法之基本数据结构--队列、数据结构与算法之递归、数据结构与算法之静态查找、数据结构与算法之排序、数据结构与算法之动态查找、数据结构与算法之树的基本操作、数据结构与算法之二叉树的基本操作、数据结构与算法之哈夫曼树、数据结构与算法之AVL树详解、数据结构与算法之图的创建、数据结构与算法之图的遍历、数据结构与算法之图的最小生成树、数据结构与算法之图的最短路径</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12、大数据处理技术Hadoop：Hadoop伪分布模式安装、Hadoop开发插件安装、Hadoop Shell基本操作、开发YARN客户端应用、HDFS Java API、HDFS Python AP；MapReduce实例：WordCount、MapReduce自定义输入格式、MapReduce自定义输出格式、行统计、ChainMapReduce、求平均值、去重、Map端join、Reduce端join、</w:t>
            </w:r>
            <w:r>
              <w:rPr>
                <w:rFonts w:hint="eastAsia" w:ascii="宋体" w:hAnsi="宋体" w:eastAsia="Arial" w:cs="宋体"/>
                <w:color w:val="000000"/>
                <w:sz w:val="20"/>
                <w:szCs w:val="20"/>
                <w:lang w:val="en-US" w:eastAsia="zh-CN" w:bidi="ar-SA"/>
              </w:rPr>
              <w:t xml:space="preserve">单表join、排序、二次排序、最高温度排序、倒排索引；MapReduce最优路径算法、MapReduce社交好友推荐算法、MapReduce互联网精准广告推送算法、MapReduce实战PageRank算法、Hadoop实现明星人气统计；综合案例：基本流程图、大数据平台、MapReduce读取HBase、MapReduce写入HBase、MapReduce读取HBase并写入HBase；Python MapReduce实例：WordCount、去重、排序、二次排序、求平均值、Reduce端join、倒排索引</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13、Hadoop集群搭建：集群搭建之主节点；集群搭建之从节点1；集群搭建之从节点2</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14、数据仓库Hive：Hive安装部署、、Hive 基本操作、Hive 查询、Hive 分组排序、Hive分区&amp;分桶、Hive JDBC连接、Hive UDF、Hive Python API、Python 实现 Hive UDF</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15、非关系型数据库HBase：HBase 安装、HBase Shell基本操作、HBase的过滤器、HBase JAVA API、Python Hbase API 实例；综合案例：MapReduce读取HBase、MapReduce写入HBase、MapReduce读取HBase并写入HBase</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16、数据迁移工具Sqoop：Sqoop 安装、Sqoop导入数据、Sqoop导出数据、Sqoop对数据库的操作、Sqoop的job和codegen、Sqoop数据导入导出、Sqoop 增量数据导入</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17、消息队列Kafka：Kafka 安装及测试、Flume传输数据给Kafka、Kafka Java API、Kafka传输数据到Spark Streaming 操作、Python Kafka API 实例、PySpark Streaming+Kafka WordCount</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18、分布式日志收集系统Flume：Flume传输数据给Kafka和HDFS、Flume 安装部署；Flume 配置：Source、Channel、Sink；Flume 自定义来源；Flume 多source，多sink组合框架搭建；Flume AVRO Client开发、Flume Interceptors相关配置、Flume selector相关配置、Flume Sink Processors相关配置</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19、分布式应用程序协调服务ZooKeeper：ZooKeeper 安装、ZooKeeper集群模式安装</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20、Pig：Pig安装；Pig用户自定义函数（UDF）</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21、工作流引擎Oozie：Oozie单节点安装及工作流创建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22、批处理调度器Azkaban：Azkaban安装、简易操作Azkaban、Azkaban脚本调度、Azkaban调度微博评论数据分析、Azkaban调度Linux日志分析</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23、Phoenix：Phoenix安装、Phoenix常用操作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24、计算引擎Spark：Spark Local模式安装、Spark Standalone伪分布模式安装、Spark Shell操作、Spark Java API &amp; Spark Scala API操作；Spa</w:t>
            </w:r>
            <w:r>
              <w:rPr>
                <w:rFonts w:hint="eastAsia" w:ascii="宋体" w:hAnsi="宋体" w:eastAsia="Arial" w:cs="宋体"/>
                <w:color w:val="000000"/>
                <w:sz w:val="20"/>
                <w:szCs w:val="20"/>
                <w:lang w:val="en-US" w:eastAsia="zh-CN" w:bidi="ar-SA"/>
              </w:rPr>
              <w:t xml:space="preserve">rk SQL，创建表，查询数据；Spark SQL，加载文件，处理文件，存储文件；Spark Streaming WordCount演示、Kafka传输数据到Spark Streaming 操作、Spark ML Pipeline机器学习流程二元分类、Spark MLlib 频繁模式挖掘（FP-Growth）、、Spark MLlib 特征提取（TF-IDF）Spark MLlib 聚类（k-means）、Spark MLlib 协同过滤（ALS）、Spark MLlib 决策树、Spark MLlib 朴</w:t>
            </w:r>
            <w:r>
              <w:rPr>
                <w:rFonts w:hint="eastAsia" w:ascii="宋体" w:hAnsi="宋体" w:eastAsia="Arial" w:cs="宋体"/>
                <w:color w:val="000000"/>
                <w:sz w:val="20"/>
                <w:szCs w:val="20"/>
                <w:lang w:val="en-US" w:eastAsia="zh-CN" w:bidi="ar-SA"/>
              </w:rPr>
              <w:t xml:space="preserve">素贝叶斯分类、Spark MLlib 基本数据统计、Spark MLlib 基本数据类型、Sparklyr安装、Sparklyr-Spark DataFrame读写操作、、Sparklyr-dplyr包基本操作、Sparklyr-线性回归分析；Sparklyr-K-means聚类Sparklyr-逻辑回归、主成分分析、因子分析、分类算法、方差分析；PySpark安装、PySpark API、PySpark处理数据并图表分析；Pyspark SQL创建表，查询数据；PySpark SQL文件处理、PySpar</w:t>
            </w:r>
            <w:r>
              <w:rPr>
                <w:rFonts w:hint="eastAsia" w:ascii="宋体" w:hAnsi="宋体" w:eastAsia="Arial" w:cs="宋体"/>
                <w:color w:val="000000"/>
                <w:sz w:val="20"/>
                <w:szCs w:val="20"/>
                <w:lang w:val="en-US" w:eastAsia="zh-CN" w:bidi="ar-SA"/>
              </w:rPr>
              <w:t xml:space="preserve">k Streaming WordCount、PySpark Streaming+Kafka WordCount、在IPython Notebook中使用Spark、Python Spark RDD；详解PySpark SQL、DataFrame、RDD；详解Python Spark WordCount、PySpark Mllib 随机森林、PySpark MLlib决策树二元分类、Pyspark Mllib 逻辑回归、PySpark MLlib决策树回归分析-Bike Sharing、PySpark推荐引擎</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25、Storm实时计算：Storm 单机模式安装、Storm Shell 基本操作、Storm WorldCount、Storm 实战项目-日志处理、Storm Trident 之Filter、、Storm Trident之Function、Storm Trident之Aggregate、Storm Trident之WordCount</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26、大数据建模：大数据建模之KNN算法实例、大数据建模之线性回归算法实例、大数据建模之模型的创建与评估、大数据建模之模型的验证与优化、大数据建模之多算法模型对比、大数据建模应用之预测用户评分、大数据建模应用之人脸识别、大数据建模应用之预测犯罪分类、大数据建模应用之预测共享单车租用情况、大数据建模应用之识别企业是否偷漏税、大数据建模应用之建立疾病恶化预测模型、大数据建模应用之创建情感判断模型。</w:t>
            </w:r>
            <w:r>
              <w:rPr>
                <w:rFonts w:hint="eastAsia" w:ascii="宋体" w:hAnsi="宋体" w:eastAsia="Arial" w:cs="宋体"/>
                <w:b/>
                <w:bCs/>
                <w:color w:val="000000"/>
                <w:sz w:val="20"/>
                <w:szCs w:val="20"/>
                <w:lang w:val="en-US" w:eastAsia="zh-CN" w:bidi="ar-SA"/>
              </w:rPr>
              <w:t xml:space="preserve">（投标提供</w:t>
            </w:r>
            <w:r>
              <w:rPr>
                <w:rFonts w:hint="eastAsia" w:ascii="宋体" w:hAnsi="宋体" w:eastAsia="宋体" w:cs="宋体"/>
                <w:b/>
                <w:bCs/>
                <w:color w:val="000000"/>
                <w:sz w:val="20"/>
                <w:szCs w:val="20"/>
                <w:lang w:val="en-US" w:eastAsia="zh-CN" w:bidi="ar-SA"/>
              </w:rPr>
              <w:t xml:space="preserve">功能截图</w:t>
            </w:r>
            <w:r>
              <w:rPr>
                <w:rFonts w:hint="eastAsia" w:ascii="宋体" w:hAnsi="宋体" w:eastAsia="Arial" w:cs="宋体"/>
                <w:b/>
                <w:bCs/>
                <w:color w:val="000000"/>
                <w:sz w:val="20"/>
                <w:szCs w:val="20"/>
                <w:lang w:val="en-US" w:eastAsia="zh-CN" w:bidi="ar-SA"/>
              </w:rPr>
              <w:t xml:space="preserve">，以证明其参数符合性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t xml:space="preserve">27、Python运筹优化：PuLP-线性规划入门、PuLP-线性规划进阶、PuLP-线性规划实例、、PuLP-整数规划详解、PuLP-0-1规划详解、PuLP-固定费用问题详解、PuLP-选址问题详解、PuLP-指派问题详解、NetworkX-图的基本操作、NetworkX-最短路径、NetworkX-最小生成树、NetworkX-关键路径、NetworkX-网络流优化之网络最大流、NetworkX-网络流优化之最小费用流、、NetworkX-网络流优化之最小费用最大流、SkLearn-聚类分析、SkLe</w:t>
            </w:r>
            <w:r>
              <w:rPr>
                <w:rFonts w:hint="eastAsia" w:ascii="宋体" w:hAnsi="宋体" w:eastAsia="Arial" w:cs="宋体"/>
                <w:color w:val="000000"/>
                <w:sz w:val="20"/>
                <w:szCs w:val="20"/>
                <w:lang w:val="en-US" w:eastAsia="zh-CN" w:bidi="ar-SA"/>
              </w:rPr>
              <w:t xml:space="preserve">arn-主成分分析、SkLearn-线性回归、、SkLearn-支持向量机、Scipy-求解微分方、Scipy-微分方程边值问题、Scipy-非线性规划、Scipy-一维插值方法详解、Scipy-二维插值方法详解、Scipy-线性最小二乘法拟合、Scipy-非线性函数数据拟合、Scipy-自定义函数曲线拟合、Scipy-新冠疫情SI模型、Scipy-新冠疫情SIS模型、Scipy-新冠疫情SIR模型、Scipy-新冠疫情SEIR模型、偏微分方程求解、、模拟退火算法-最优化搜索问题、模拟退火算法-旅行商问题。</w:t>
            </w:r>
            <w:r>
              <w:rPr>
                <w:rFonts w:hint="eastAsia" w:ascii="宋体" w:hAnsi="宋体" w:eastAsia="Arial" w:cs="宋体"/>
                <w:b/>
                <w:bCs/>
                <w:color w:val="000000"/>
                <w:sz w:val="20"/>
                <w:szCs w:val="20"/>
                <w:lang w:val="en-US" w:eastAsia="zh-CN" w:bidi="ar-SA"/>
              </w:rPr>
              <w:t xml:space="preserve">（投标提供</w:t>
            </w:r>
            <w:r>
              <w:rPr>
                <w:rFonts w:hint="eastAsia" w:ascii="宋体" w:hAnsi="宋体" w:eastAsia="宋体" w:cs="宋体"/>
                <w:b/>
                <w:bCs/>
                <w:color w:val="000000"/>
                <w:sz w:val="20"/>
                <w:szCs w:val="20"/>
                <w:lang w:val="en-US" w:eastAsia="zh-CN" w:bidi="ar-SA"/>
              </w:rPr>
              <w:t xml:space="preserve">功能截图</w:t>
            </w:r>
            <w:r>
              <w:rPr>
                <w:rFonts w:hint="eastAsia" w:ascii="宋体" w:hAnsi="宋体" w:eastAsia="Arial" w:cs="宋体"/>
                <w:b/>
                <w:bCs/>
                <w:color w:val="000000"/>
                <w:sz w:val="20"/>
                <w:szCs w:val="20"/>
                <w:lang w:val="en-US" w:eastAsia="zh-CN" w:bidi="ar-SA"/>
              </w:rPr>
              <w:t xml:space="preserve">，以证明其参数符合性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28、机器学习：机器学习基本术语、机器学习数据集划分、机器学习模型性能评估ROC曲线、机器学习模型性能评估P-R曲线、机器学习--Xgboost集成算法、机器学习--协同过滤、机器学习--梯度下降策略、机器学习--神经网络、机器学习--决策树、机器学习--PCA数据降维、机器学习--Random Forest算法、机器学习--Kmeans</w:t>
            </w:r>
            <w:r>
              <w:rPr>
                <w:rFonts w:hint="eastAsia" w:ascii="宋体" w:hAnsi="宋体" w:eastAsia="Arial" w:cs="宋体"/>
                <w:color w:val="000000"/>
                <w:sz w:val="20"/>
                <w:szCs w:val="20"/>
                <w:lang w:val="en-US" w:eastAsia="zh-CN" w:bidi="ar-SA"/>
              </w:rPr>
              <w:t xml:space="preserve">算法、机器学习--朴素贝叶斯、机器学习--KNN算法、机器学习--支持向量机(SVM)、机器学习--逻辑回归、机器学习--多元线性回归、机器学习--线性回归、机器学习--K-means客户行为分析、机器学习--K-means航空公司客户价值分析、机器学习--SVM分类预测乳腺癌肿瘤的良恶性、机器学习--朴素贝叶斯算法对新闻分类、机器学习--线性模型之正则化、机器学习--线性模型性能评估、机器学习--逻辑回归预测肿瘤良恶性、机器学习--KNN之最优K值、协同过滤算法实战之电影推荐、随机森林算法实战之预测收入。</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三、</w:t>
            </w:r>
            <w:r>
              <w:rPr>
                <w:rStyle w:val="1027"/>
                <w:rFonts w:hint="eastAsia" w:ascii="宋体" w:hAnsi="宋体" w:eastAsia="宋体" w:cs="宋体"/>
                <w:color w:val="000000"/>
                <w:sz w:val="20"/>
                <w:szCs w:val="20"/>
                <w:u w:val="none"/>
                <w:lang w:val="en-US" w:eastAsia="zh-CN" w:bidi="ar"/>
              </w:rPr>
              <w:t xml:space="preserve">提供一套大数据相关的教材配套课程资源，包括教学大纲、授课视频、上机实验任务指导书及配套实验环境、课件PPT、课后练习实验和考试习题</w:t>
            </w:r>
            <w:r>
              <w:rPr>
                <w:rFonts w:hint="eastAsia" w:ascii="宋体" w:hAnsi="宋体" w:eastAsia="Arial" w:cs="宋体"/>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1、授课视频：包括但不限于课程介绍、大数据时代、大数据的概念和影响、大数据的应用、大数</w:t>
            </w:r>
            <w:r>
              <w:rPr>
                <w:rFonts w:hint="eastAsia" w:ascii="宋体" w:hAnsi="宋体" w:eastAsia="Arial" w:cs="宋体"/>
                <w:color w:val="000000"/>
                <w:sz w:val="20"/>
                <w:szCs w:val="20"/>
                <w:lang w:val="en-US" w:eastAsia="zh-CN" w:bidi="ar-SA"/>
              </w:rPr>
              <w:t xml:space="preserve">据的关键技术、云计算、物联网、Hadoop简介、Hadoop不同版本、 Hadoop项目结构、Hadoop集群的部署和使用、分布式文件系统HDFS简介、HDFS相关概念、HDFS体系结构、HDFS存储原理、HDFS读数据过程、HDFS写数据过程、HBase简介、HBase数据模型、HBase的实现原理、HBase运行机制、HBase应用方案、NoSQL数据库、NoSQL与关系数据库的比较、键值数据库和列族数据库、文档数据库、图数据库以及不同数据库比较分析、CAP理论、BASE和最终一致性、从NoSQL到Ne</w:t>
            </w:r>
            <w:r>
              <w:rPr>
                <w:rFonts w:hint="eastAsia" w:ascii="宋体" w:hAnsi="宋体" w:eastAsia="Arial" w:cs="宋体"/>
                <w:color w:val="000000"/>
                <w:sz w:val="20"/>
                <w:szCs w:val="20"/>
                <w:lang w:val="en-US" w:eastAsia="zh-CN" w:bidi="ar-SA"/>
              </w:rPr>
              <w:t xml:space="preserve">wSQL数据库、文档数据库MongoDB、云数据库概述、云数据库产品、UMP系统概述、UMP系统架构、UMP系统功能、Amazon和云计算的渊源、AmazonAWS、AmazonAWS平台上的云数据库、 微软云数据库SQLAzure、分布式并行编程、MapReduce模型简介、MapReduce的体系结构、MapReduce工作流程概述、Shuffle过程原理、 MapReduce应用程序执行过程、 实例分析：WordCount、MapReduce的具体应用、 词频统计程序编写方法、Hadoop的优化与发展</w:t>
            </w:r>
            <w:r>
              <w:rPr>
                <w:rFonts w:hint="eastAsia" w:ascii="宋体" w:hAnsi="宋体" w:eastAsia="Arial" w:cs="宋体"/>
                <w:color w:val="000000"/>
                <w:sz w:val="20"/>
                <w:szCs w:val="20"/>
                <w:lang w:val="en-US" w:eastAsia="zh-CN" w:bidi="ar-SA"/>
              </w:rPr>
              <w:t xml:space="preserve">、HDFSHA、HDFSFederati、MapReduce1.0的缺陷、YARN设计思路、YARN体系结构、YARN工作流程、YARN框架与MapReduce1.0框架的对比分析、YARN的发展目标、Pig、Tez、Spark和Kafka、 数据仓库概念、Hive简介、SQL语句转换成MapReduce作业的基本原理、Impala简介、Impala系统架构、Impala查询执行过程、Impala与Hive的比较、Hive基本操作、Hive应用实例-WordCount、Spark简介、Spark与Hadoo</w:t>
            </w:r>
            <w:r>
              <w:rPr>
                <w:rFonts w:hint="eastAsia" w:ascii="宋体" w:hAnsi="宋体" w:eastAsia="Arial" w:cs="宋体"/>
                <w:color w:val="000000"/>
                <w:sz w:val="20"/>
                <w:szCs w:val="20"/>
                <w:lang w:val="en-US" w:eastAsia="zh-CN" w:bidi="ar-SA"/>
              </w:rPr>
              <w:t xml:space="preserve">p的对比、Spark生态系统、基本概念和架构设计、Spark运行基本流程、RDD概念、RDD特性、RDD的依赖关系和运行过程、SparkSQL、Spark的部署和应用方式、Spark RDD基本操作、数据的处理模型、流计算概念与典型框架、 流计算处理流程、流计算的应用、Storm简介、 Storm设计思想、Storm框架设计、Spark Streaming、Samza以及三种流计算框架的比较、编写Storm程序、安装Storm的基本过程和实例、Flink简介、为什么选择Flink、Flink应用场景、Fli</w:t>
            </w:r>
            <w:r>
              <w:rPr>
                <w:rFonts w:hint="eastAsia" w:ascii="宋体" w:hAnsi="宋体" w:eastAsia="Arial" w:cs="宋体"/>
                <w:color w:val="000000"/>
                <w:sz w:val="20"/>
                <w:szCs w:val="20"/>
                <w:lang w:val="en-US" w:eastAsia="zh-CN" w:bidi="ar-SA"/>
              </w:rPr>
              <w:t xml:space="preserve">nk技术栈、图计算简介、Pregel简介、有向图和顶点、Pregel的计算过程、Pregel实例、定义Vertex基类、消息传递机制和Combiner、Aggregator、拓扑改变和输入输出、Pregel的执行过程和容错性、Worker、Master和Aggregator、 Pregel的应用实例——单源最短路径、Hama的安装和使用、大数据应用概览、推荐系统概述、基于用户的协同过滤（UserCF）、基于物品的协同过滤（ItemCF）、UserCF算法和ItemCF算法的对比、基于大数据的综合健康服务平台</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2、实验任务：包括但不限于Hadoop单机模式安装、Hadoop伪分布模式安装、HDFS操作常用Shell命令、HDFS编程实践、HBase单机模式安装、HBase伪分布模式安装、HBase常用Shell命令、HBase编程实践、</w:t>
            </w:r>
            <w:r>
              <w:rPr>
                <w:rFonts w:hint="eastAsia" w:ascii="宋体" w:hAnsi="宋体" w:eastAsia="Arial" w:cs="宋体"/>
                <w:color w:val="000000"/>
                <w:sz w:val="20"/>
                <w:szCs w:val="20"/>
                <w:lang w:val="en-US" w:eastAsia="zh-CN" w:bidi="ar-SA"/>
              </w:rPr>
              <w:t xml:space="preserve">Redis安装和使用、MongoDB的安装和使用、MongoDB Java API编程实践、MapReduce词频统计、Hive的安装、Hive基本操作、Hive应用实例：WordCount、 Spark安装、使用 Spark Shell 编写代码、编写Spark独立应用程序（Scala）、编写Spark独立应用程序（Java）、 Flink安装、使用Flink编程实现WordCount程序、D3可视化库的使用方法、使用ECharts图表制作、 Kafka的安装及使用、编写Spark程序使用Kafka数据源</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综合案例：基于大数据的网站用户购物行为分析。本案例涉及数据预处理、存储、查询和可视化分析等数据处理全流程所涉及的各种典型操作，涵盖Linux、MySQL、Hadoop、HBase、Hive、Sqoop、R、Eclipse等系统和软件的安装和使用方法。本案例可作为学习大数据课程后的综合实践案例。通过本案例，将有助于学生综合运用大数据课程知识以及各种工具软件，实现数据全流程操作。</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4、教材配套课件： 第1章 大数据概述；第2章 大数据处理架构Hadoop；第3章 分布式文件系统HDFS；第4章 分布式数据库HBase；第5章 NoSQL数据库；第6章 云数据库；第7章 MapReduce；第8章 Hadoop架构再探讨；第9章 数据仓库分析工具Hive； 第10章 Spark； 第11章 流计算；第12章  Flink；第13章 图计算；第14章 数据可视化；第15章 大数据在不同领域的应用</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5、课后练习实验：熟悉常用的Linux操作和Ha</w:t>
            </w:r>
            <w:r>
              <w:rPr>
                <w:rFonts w:hint="eastAsia" w:ascii="宋体" w:hAnsi="宋体" w:eastAsia="Arial" w:cs="宋体"/>
                <w:color w:val="000000"/>
                <w:sz w:val="20"/>
                <w:szCs w:val="20"/>
                <w:lang w:val="en-US" w:eastAsia="zh-CN" w:bidi="ar-SA"/>
              </w:rPr>
              <w:t xml:space="preserve">doop操作、熟悉常用的HDFS操作、熟悉常用的HBase操作、NoSQL和关系数据库的操作比较、MapReduce初级编程实践、熟悉Hive的基本操作、Spark初级编程实践、Flink初级编程实践、熟悉常用的Linux操作和Hadoop操作（含解析）、熟悉常用的HDFS操作（含解析）、熟悉常用的HBase操作（含解析）、NoSQL和关系数据库的操作比较（含解析）、MapReduce初级编程实践（含解析）、熟悉Hive的基本操作（含解析）、Spark初级编程实践（含解析）、Flink初级编程实践（含解析）</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6、习题：提供超过260道与教材知识点匹配的试题，包含单选、多选、简答题等题目类型，能够支撑课后作业、章节测验、期中/期末考试等教学环节中对学生知识点掌握情况的考察。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大数据题库</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一套含有不少于2000道习题的题库，包含但不少于以下内容：覆盖Java、Python、MySQL数据库、Hadoop生态系统大数据技术、数据结构与算法、数据挖掘等，题型包含单选题、多选题、判断题、在线编程题、实验任务题，能够支撑教学环节中的测验和考核。</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典型数据分析与挖掘案例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一、典型数据分析与挖掘案例包含但不少于以下内容：</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系统提供至少19个典型数据分析与挖掘案例，包括但不限于以下内容：</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1、航空公司客户价值分析：实现方法包括：对数据进行缺失值分析与异常值分析；数据清洗；属性规约；数据变换；模型构建，使用K-Means算法对客户数据进行客户分群并聚类。</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2、商品销量影响因素分析：实现方法包括导入数据；数据预处理：将类型特征转化为数据特征；用sklearn建立决策树模型；模型可视化：展现构建的决策树。</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热门新闻报道挖掘：其实现方法包括用Python自行编写FP-Growth算法；数据集导入，将数据集加载到列表；对数据预处理，初始数据格式化；构建FP树，从中寻找那些至少被10万人浏览过的新闻报道；创建空列表，保存频繁项集。</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心脏病诊断数据分析及可视化：实现方法包括读取文件并查看数据；统计各个疾病的数目；数据筛选；查看数据间的相关性，将数据间的相关性用热力图可视化；将心脏病患者的年龄及静息血压字段使用折线图可视化；使用散点图将年龄与静息血压进行可视化。</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最优投资风险组合分析：利用Pandas读取10支股票数据；数据标准化，得出个股在相同初始条件的情况下的走势情况；初步统计分析：计算个股的收益率，画出每只股票收益率的直方图；投资组合优化：计算年化收益率及协方差矩阵，使用随机数来随机模拟权重分配，用散点图描述组合收益率和波动率并且计算夏普率、求解最小方差的投资组合；有效边界：定义输出波动率的函数并求解目标波动率；资本市场线：构造有效边界函数、定义求解函数，输入初始值求解并绘图。</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6、文本词频统计：基于Java利用TF-IDF算法对文本进行词频统计；基于Python 利用TF-IDF算法对文本进行词频统计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对新闻文本、网页分类：测试文本的预处理，并对中分进行分词；创建测试集，根据包含非特征词的文档集生成只包含特征词的文档集；统计每个词的总的出现次数，返回出现次数大于3词的词语的词汇构成最终的属性词典；使用朴素贝叶斯对文档集分训练集和测试集；统计某类训练样本中每个词语的出现次数并计算某一个测试样本属于某个类别的概率，完成对新闻文本、网页的分类。</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8、客户购买商品的关联规则提取：行编写Apriori算法；导入数据；数据预处理，将原始数据转化为0-1矩阵；使用Apriori算法挖掘商品订单关联规则；保存关联规则数据。</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9、Turtle 绘图实践：绘制太阳花；绘制奥运五环图；绘制太极八卦图；绘制卡通人物“大白”。</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10、图片转换像素画：加载图像文件；对图片进行处理，获取到每一个像素点的RGB，将其对应的颜色填入Sheet的单元格Cell；设置输出Excel文件Sheet的列宽，并将其保存为文件。</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11、彩图转换素描图：封装一个图像处理工具类,并定义图片转换函数；读取图片，经过将其像素化，设置灰度值等；保存转换后的素描图。</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视频流人物瞳孔检测：定义瞳孔位置标注函数，检测视频流中人物眼睛的瞳孔并用符号标出；定义分类器，加载模型，进行眼睛位置的计算与检测；定义瞳孔追踪类，定位瞳孔位置及计算眨眼次数；定义程序执行主类，读取视频，追踪眼睛并检测瞳孔位置。</w:t>
            </w:r>
            <w:r>
              <w:rPr>
                <w:rFonts w:ascii="宋体" w:hAnsi="宋体" w:eastAsia="Arial" w:cs="宋体"/>
                <w:color w:val="000000"/>
                <w:sz w:val="20"/>
                <w:szCs w:val="20"/>
                <w:lang w:val="en-US" w:eastAsia="zh-CN" w:bidi="ar-SA"/>
              </w:rPr>
            </w:r>
            <w:r/>
          </w:p>
          <w:p>
            <w:pPr>
              <w:pStyle w:val="752"/>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GEI步态能量图生成：定义图片裁剪函数，在原始图片上对人形轮廓进行裁剪；定义制作步态能量图函数，图片叠加，以重心为中心位置合成GEI；选定某一个人的其中一个行走方向的图像序列进行裁剪；合成GEI步态能量图。</w:t>
            </w:r>
            <w:r>
              <w:rPr>
                <w:rFonts w:hint="eastAsia" w:ascii="宋体" w:hAnsi="宋体" w:eastAsia="Arial" w:cs="宋体"/>
                <w:color w:val="000000"/>
                <w:sz w:val="20"/>
                <w:szCs w:val="20"/>
                <w:lang w:val="en-US" w:eastAsia="zh-CN" w:bidi="ar-SA"/>
              </w:rPr>
            </w:r>
            <w:r/>
          </w:p>
          <w:p>
            <w:pPr>
              <w:pStyle w:val="752"/>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14、植物样本分类：数据预处理；特征提取；数据集划分；搭建神经网络模型；训练模型并交叉验证。</w:t>
            </w:r>
            <w:r>
              <w:rPr>
                <w:rFonts w:hint="eastAsia"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图片像素点聚类：随机初始K个初始点作为聚类中心，对图像中每一个点计算与每个聚类中心的距离，选择距离最小的聚类中心作为相同的类；对所有点一次聚类结束后，求其中心点作为新的聚类中心，重复直到聚类中心不再发生变化为止；最终随着K的增长，图像呈清晰趋势，每张大小也呈增加趋势发展。</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Scikit-learn分类算法综合训练：提取数据，并将数据分为训练集train与测试集test；分别构建NB、KNN、LR、RF、DT、SVM、SVMCV、GBDT分类模型函数；用训练集数据训练各种分类器；用个分类器对测试数据进行预测；模型评估，评估各个模型的运行时间与准确率。</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17、IRIS数据分类：加载数据；构建ensembl算法模型方法；特征提取；训练模型；模型可视化。</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18、IRIS数据聚类：导入数据，并解析，查看数据的类型及缺失值情况；探索分析及可视化展现数据的分布情况；特征提取，提取训练数据及标签；建立K-means模型；模型评估，评估模型的准确率。</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19、语料库文本分类：载入数据；数据预处理，提取词频大于1000的词，将词序列化；特征提取；建立神经网络模型；训练模型，并交叉验证。</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综合项目实战案例（包括但不少于以下内容）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完整的基于真实数据和应用场景的项目实战案例，项目内容和开发环境集成在平台内。案例根据项目实际的开发流程，拆分成各个独立的阶段，包括项目概述、环境准备、需求分析、操作流程、代码实现等，每个阶段都用一个完整的实验任务来引导学生完成，各个实验任务之间的数据和结果均接续，学生分步完成项目任务，即可体验一个大数据项目的完整开发流程，获得真正的实践经验。项目实战案例包括：</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电商商品销量及用户行为分析：本项目对电商的运营数据集进行指标分析，使用Python、Spark、Hive、Sqoop、Echarts等大数据与可视化技术研究用户在购物过程中的行为习惯、购物偏好、在购物过程中各个环节的转化和流失情况、会员增长情况等，为运营决策提供有效数据支撑。本项目共包含64个实验，本项目对电商的运营数据集进行指标分析，使用Python、Spark、Hive、Sqo</w:t>
            </w:r>
            <w:r>
              <w:rPr>
                <w:rFonts w:hint="eastAsia" w:ascii="宋体" w:hAnsi="宋体" w:eastAsia="Arial" w:cs="宋体"/>
                <w:color w:val="000000"/>
                <w:sz w:val="20"/>
                <w:szCs w:val="20"/>
                <w:lang w:val="en-US" w:eastAsia="zh-CN" w:bidi="ar-SA"/>
              </w:rPr>
              <w:t xml:space="preserve">op、Echarts等大数据与可视化技术研究用户在购物过程中的行为习惯、购物偏好、在购物过程中各个环节的转化和流失情况、会员增长情况等，为运营决策提供有效数据支撑。本项目共包含64个实验，具体内容包括：项目背景与内容概述；用户行为数据解读与数据上传、用户数据列字段整理、用户行为类型映射、数据清洗；分析用户总体UV、PV、DV、VOL；分析用户复购率、分析网站跳失率、分析用户在时间维度上的变化、、用户随时间变化分析结果绘制柱状图、计算购物环节转化率、绘制购物环节转化率漏斗图、分析环节转化率低的原因、PySpa</w:t>
            </w:r>
            <w:r>
              <w:rPr>
                <w:rFonts w:hint="eastAsia" w:ascii="宋体" w:hAnsi="宋体" w:eastAsia="Arial" w:cs="宋体"/>
                <w:color w:val="000000"/>
                <w:sz w:val="20"/>
                <w:szCs w:val="20"/>
                <w:lang w:val="en-US" w:eastAsia="zh-CN" w:bidi="ar-SA"/>
              </w:rPr>
              <w:t xml:space="preserve">rk创建RFM(R值)得分表、PySpark创建RFM(F值)得分表、PySpark创建用户RF值等级分类表、PySpark创建用户价值分类表、将用户价值分类结果导入MySQL数据库、用户价值分类结果可视化（饼图）、用户行为价值分析结论及建议、PLUS会员认知与分析目标；PLUS会籍行为模型M1、M2、M3解读；PLUS会员模型M1：运算符与函数；PLUS会员非首次开通行为分析、PLUS会员模型多表关联与查询、PLUS会员模型M3缺失值处理、PLUS会员模型M3异常值处理、PLUS会员模型M3重复值处理、P</w:t>
            </w:r>
            <w:r>
              <w:rPr>
                <w:rFonts w:hint="eastAsia" w:ascii="宋体" w:hAnsi="宋体" w:eastAsia="Arial" w:cs="宋体"/>
                <w:color w:val="000000"/>
                <w:sz w:val="20"/>
                <w:szCs w:val="20"/>
                <w:lang w:val="en-US" w:eastAsia="zh-CN" w:bidi="ar-SA"/>
              </w:rPr>
              <w:t xml:space="preserve">LUS累计在籍会员数趋势分析、PLUS在籍会员中新会员VS老会员比例、PLUS会员开通次数分布分析、PLUS会员每日各状态（拉新+续费+召回）开通会员数趋势、PLUS每日到期无续费会员数趋势、PLUS每日净增会员趋势分析、PLUS每日各渠道新增会员数汇总、某几天会员到期用户激增原因分析、某几天拉新会员数激增原因分析、PLUS今年会籍目标预判及原因分析、预测未来1个月内到期会员流失情况、PLUS用户年龄分布分析、PLUS用户城市分布分析、PLUS用户性别比例分析、PLUS用户学历等级分析、主要分析结论及优化建</w:t>
            </w:r>
            <w:r>
              <w:rPr>
                <w:rFonts w:hint="eastAsia" w:ascii="宋体" w:hAnsi="宋体" w:eastAsia="Arial" w:cs="宋体"/>
                <w:color w:val="000000"/>
                <w:sz w:val="20"/>
                <w:szCs w:val="20"/>
                <w:lang w:val="en-US" w:eastAsia="zh-CN" w:bidi="ar-SA"/>
              </w:rPr>
              <w:t xml:space="preserve">议、Django搭建PLUS可视化项目、PLUS用户数据导入MySQL数据库、Django连接MySQL数据库、Django搭建PLUS会员可视化面板、PLUS会员可视化面板展示、清洗电商评论数据、在Hive表中建表并导入数据、分析移动端和PC端的用户比例、分析用户评论周期、分析会员级别、分析每日用户评论数量、利用Sqoop将分析结果导入MySQL数据库、用户来源可视化展示（饼状图）、用户评论周期可视化展示（柱状图）、会员级别可视化展示（饼状图）、用户评论量可视化展示（散点图）、分析商品销量最多的10种商品</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2、Python 财务报表分析：股票数据抓取（资产负债表）；股票数据抓取（利润表）；股票数据抓取（现金流量表）；资产负债表水平分析；资产负债表垂直分析；利润表水平分析；利润表垂直分析；营业利润分析；资本经营盈利能力分析；资产经营盈利能力分析；商品经营盈利能力分析；总资产营运能力分析；流动资产周转速度分析；企业短期偿债能力分析；企业长期偿债能力分析；企业单项发展能力分析；企业整体发展能力分析；公司价值评估(收益法)；杜邦分析；生成报告文档；采购合同台账生成；审计银行询证函批量生成</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电子商务大数据分析实战：采集电商网站交易及评论数据(局域网)；开发MR程序清洗电商评论数据；利用HiveSQL离线分析评论数据；利用Sqoop进行数据迁移至Mysql数据库；利用JavaWeb+Echarts完成数据图表展示过程；利用Spark进行实时数据分析；利用IKAnalyzer和TF-IDF算法分析电商评论关键词</w:t>
            </w:r>
            <w:r>
              <w:rPr>
                <w:rFonts w:ascii="宋体" w:hAnsi="宋体" w:eastAsia="Arial" w:cs="宋体"/>
                <w:color w:val="000000"/>
                <w:sz w:val="20"/>
                <w:szCs w:val="20"/>
                <w:lang w:val="en-US" w:eastAsia="zh-CN" w:bidi="ar-SA"/>
              </w:rPr>
            </w:r>
            <w:r/>
          </w:p>
          <w:p>
            <w:pPr>
              <w:pStyle w:val="752"/>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4、招聘网站职位分析实战：</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招聘网站大数据职位信息；使用BeautifulSoup清洗职位信息网页；使用PySpark对职位数据进行分析；对招聘职位信息进行探索分析；使用结巴分词对岗位描述进行分词并将关键词统计；利用Django Echarts将职位分析结果进行可视化；建立职位模型对应聘人员进行相似度的计算</w:t>
            </w:r>
            <w:r>
              <w:rPr>
                <w:rFonts w:hint="eastAsia"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5、某市政百姓信件分析实战：采集某市政百姓信件内容；编写MapReduce程序清洗信件内容数据；利用HiveSQL离线分析信件内容数据；利用Sqoop导出Hive分析数据到MySQL数据库；利用Java Web+ECharts完成信件数据图表展示；利用IKAnalyzer分词&amp;词频统计算法分析信件内容关键词</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6、中国住房价格数据分析及预测案例：</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全国各省市房价数据；PySpark分析房产数据并可视化展示；使用房价数据制作中国地图的热力图；舆情数据采集知乎评论数据；随机森林回归模型预测房价</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7、金融量化交易数据分析实战：使用Python</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股票数据；清洗数据并上传至HDFS；使用PyHive对股票数据进行分析；使用Django Echarts对分析结果进行可视化；Python数据分析：量化交易</w:t>
            </w:r>
            <w:r>
              <w:rPr>
                <w:rFonts w:ascii="宋体" w:hAnsi="宋体" w:eastAsia="Arial" w:cs="宋体"/>
                <w:color w:val="000000"/>
                <w:sz w:val="20"/>
                <w:szCs w:val="20"/>
                <w:lang w:val="en-US" w:eastAsia="zh-CN" w:bidi="ar-SA"/>
              </w:rPr>
            </w:r>
            <w:r/>
          </w:p>
          <w:p>
            <w:pPr>
              <w:pStyle w:val="752"/>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8、互联网新闻自动归类项目实战：采集新闻网页分类并进行数据训练；对新闻网页进行模型训练生成训练集；将新闻分类进行测试应用及展示</w:t>
            </w:r>
            <w:r>
              <w:rPr>
                <w:rFonts w:hint="eastAsia" w:ascii="宋体" w:hAnsi="宋体" w:eastAsia="Arial" w:cs="宋体"/>
                <w:color w:val="000000"/>
                <w:sz w:val="20"/>
                <w:szCs w:val="20"/>
                <w:lang w:val="en-US" w:eastAsia="zh-CN" w:bidi="ar-SA"/>
              </w:rPr>
            </w:r>
            <w:r/>
          </w:p>
          <w:p>
            <w:pPr>
              <w:pStyle w:val="752"/>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9、四大名著选其一的书集文本和人物社交网络分析案例：某名著文本词频统计分析并可视化展示；某名著文本聚类分析并可视化展示；某名著LDA主题模型和人物社交网络分析</w:t>
            </w:r>
            <w:r>
              <w:rPr>
                <w:rFonts w:hint="eastAsia"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10、航班信息可视化案例：抓取某个机场航班信息航班信息清洗与存储；航班数据可视化处理</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11、旅游大数据分析案例；采集旅游网站游记攻略数据；旅游网站游记攻略数据清洗；旅游网站游记攻略数据分析；旅游网站游记攻略数据可视化</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12、农产品价格行情数据采集分析：农产品价格行情数据采集；农产品价格行情数据清洗分析；农产品价格行情数据可视化</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13、基于人脸图像的年龄估计：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阶段1：检测输入图像/视频中的人脸；</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阶段2：提取人的面部，并通过年龄检测器的算法去预测人物的年龄。</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14、GEI步态能量图生成：步态能量图（Gait Engery Image, GEI）是步态检测中最非常常用的特征，提取方法简单，也能很好的表现步态的速度，形态等特征。本案例根据给定的步态数据库图片，制作对应的步态能量图。</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15、人物步态轨迹检测;步态是指人们行走时的方式，这是一种复杂的行为特征。本案例练习使用OpenCV+Python实现视频中的行人步态检测。</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糖尿病人患癌预测：导入数据及预处理数据；模型训练，对训练数据线性回归实现；模型评估，残差平方和、系数、方差；模型优化，增加斜率、截距的计算，增加点图到线性方程的距离；模型可视化，将预测结果与真实结果显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汽车行业偷漏税行为预测：数据探索分析：销售类型布情况、销售模式分布情况、数值变量统计描述；数据预处理，将类别型特征转换成数值型特征，对销售类型和销售模式进行重编码处理；使用scikit_learn交叉验证，将数据集划分为训练集与测试集；使用Keras库构建LM神经网络模型，并对LM神经网络模型构建混淆矩阵可视图；使用scikit-learn库构建CART决策树模型，并对模型构建混淆矩阵可视图；采用ROC线评估模型，画出LM神经网络和CART决策树在测试集下的ROC曲线。</w:t>
            </w:r>
            <w:r>
              <w:rPr>
                <w:rFonts w:ascii="宋体" w:hAnsi="宋体" w:eastAsia="Arial" w:cs="宋体"/>
                <w:color w:val="000000"/>
                <w:sz w:val="20"/>
                <w:szCs w:val="20"/>
                <w:lang w:val="en-US" w:eastAsia="zh-CN" w:bidi="ar-SA"/>
              </w:rPr>
            </w:r>
            <w:r/>
          </w:p>
          <w:p>
            <w:pPr>
              <w:pStyle w:val="752"/>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18、财政收入影响因素分析及预测：描述分析：计算出数据的最小值、最大值、平均值、标准</w:t>
            </w:r>
            <w:r>
              <w:rPr>
                <w:rFonts w:hint="eastAsia" w:ascii="宋体" w:hAnsi="宋体" w:eastAsia="Arial" w:cs="宋体"/>
                <w:color w:val="000000"/>
                <w:sz w:val="20"/>
                <w:szCs w:val="20"/>
                <w:lang w:val="en-US" w:eastAsia="zh-CN" w:bidi="ar-SA"/>
              </w:rPr>
              <w:t xml:space="preserve">差；相关性分析：使用原始数据求解Pearson的相关系数，初步判断因变量与解释变量之间是否具有线性相关性；建立灰色预测模型预测市财政收入；使用Keras库对影响财政收入的因素建立神经网络预测模型；对影响增值税的因素建立灰色预测模型；对影响增值税的因素建立神经网络预测模型；对影响营业税的因素建立灰色预测模型；对影响营业税的因素建立神经网络预测模型；对影响企业所得税的因素建立灰色预测模型；对影响企业所得税因素建立神经网络模型；对影响个人所得税的因素建立神经网络预测模型；利用灰色预测模型对政府性基金收入进行预测。</w:t>
            </w:r>
            <w:r>
              <w:rPr>
                <w:rFonts w:hint="eastAsia" w:ascii="宋体" w:hAnsi="宋体" w:eastAsia="Arial" w:cs="宋体"/>
                <w:color w:val="000000"/>
                <w:sz w:val="20"/>
                <w:szCs w:val="20"/>
                <w:lang w:val="en-US" w:eastAsia="zh-CN" w:bidi="ar-SA"/>
              </w:rPr>
            </w:r>
            <w:r/>
          </w:p>
          <w:p>
            <w:pPr>
              <w:pStyle w:val="752"/>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19、某城市犯罪分类预测：导入某城市犯罪数据；特征预处理：用LabelEncoder对犯罪类型的特征点因子化；利用scikit-learn拿到训练集和交叉验证集；利用朴素贝叶斯和逻辑回归建立模型；利用multi-class log_loss评估模型；优化模型。</w:t>
            </w:r>
            <w:r>
              <w:rPr>
                <w:rFonts w:hint="eastAsia"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某影视预测：数据探索分析：数值描述统计，并进行属性与获救结果的关联统计；数据预处理，利用RandomForest算法来拟合年龄的缺失数据,并对数据进行因子化、归一化；利用scikit-learn中拿到训练集和交叉验证集；建立逻辑回归模型；模型评估，评估交叉验证集的预测结果与真实结果对比得分；用模型对测试数据进行预测，并将预测结果保存。</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橄榄球控球能力分析预测：数据探索性分析，分析各个特征之间的相关性；数据变换，构建度量攻防能力的指标；数据预处理，随机拆分30%为测试数据，70%数据为训练数据；建立模型，并用测试数据进行预测；模型评估，输出模型的残差平方和与方差分数。</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22、根据天气预测顾客是否打球:数据预处理；建立DTC决策树模型；对模型可视化展示。</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23、协同过滤：酒店推荐：</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协同过滤（基于物品）：向用户推荐酒店</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其实现方法如下：划分训练集和测试集矩阵；训练集合，计算物品之间的相似性，获得物品相似性矩阵；对物品相似度进行由高到低排序；得到用户对物品兴趣程度的矩阵；根据用户的相似度最高物品来进行推荐。</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协同过滤（基于用户）：向用户推荐酒店</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其实现方法如下：划分训练集和测试集矩阵；训练集合，计算用户之间的相似度，获得用户的相似性矩阵；从矩阵中找出与目标用户最相似的K个用户，对每个候选物品计算目标用户的喜欢程度；按物品得分排序，取高分物品进行推荐。</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24、良/恶性肿瘤癌症预测</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逻辑回归用于解决二分分类问题，用于判断一个离散性的特征得到的标签类型的概率。本案例中良/恶性肿瘤预测问题属于典型的二分类问题，本案例采用LR分类器来预测未知肿瘤患者的分类。本案例实现方法如下：基础设置，设置忽略warnings、设置字段名；缺失值处理；拆分数据集；标准化数据，保证每一个维度的特征数据方差为1，均值为0；使用逻辑回归模型进行预测；计算预测的准确率。</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25、基于SVM分类器的乳腺癌检测：加载数据；数据清洗：对数据进行清洗、可视化和特征相关性的热力图分析；特征选择：将特征选择完的数据集划分为训练集和测试集；归一化数据：规范化数据，保证每个特征纬度的数据均值为0，方差为1；训练分类器：创建svm分类器，并训练分类器；测试分类器：使用训练好的分类器对测试集数据进行预测，并计算准确性。</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26、利用ID3决策树预测患糖尿病的可能性：绘制决策树的基本设置，并对数据预处理；统计classCount中出现最多的元素，计算数据集的香农熵；按照给定特征划分数据集，并获取最优特征值；创建并绘制决策树，创建决策树画板；验证数据集，模型测试；调用决策树并计算模型准确率。</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27、影评与观影者情感判定：数据预处理：提取数据，将文本内容切割成单词的形式；特征工程：用TF-IDF向量化方法将电影评论转化成向量；建立朴素贝叶斯，并计算求交叉验证的平均得分；建立逻辑回归模型，并计算求交叉验证的平均得分。</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行业数据集（包括但不少于以下内容）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不少于110个不同的行业数据，涉及金融行业、互联网行业、媒体行业、房地产行业、旅游业、医疗、农业、人口、交通、图形图像等类数据，数据均经过脱敏和格式化处理，数据量能够满足日常教学和课后训练使用。部分数据说明如下：</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1、互联网新闻数据：提供来自国内媒体关于国内、国际、体育、社会、娱乐等行业的新闻数据，包括URL和正文信息，数据量超过20万条。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2、房地产数据：提供房地产二手房销售数据，数据内容包含省份、城市、年份、月份、房价、面积、朝向、间数、小区等相关数据，数据量超过30万条。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电子商务商品数据：提供电子商务商品评价数据，包含产品ID、评论数、好评数、中评数、差评数、好评率、中评率、差评率、随机生成ID、评论内容、写评论的时间、打分、昵称、会员级别、评论设备、是否移动端、评论时间距【收货/下单】时间多长时间等字段，数据量达20000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4、影视评论数据：提供电影评论的文字信息，用于识别出评论者的态度。包括四部分数据集，数据量达75000条，具体含义如下：</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（1）labeledTrainData.tsv是有Label的训练集，包含20000行评论数据，包括评论id、评论文本、情感（0代表消极，1代表积极）；</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（2）testData.tsv是一个无Label的测试集，包含5000行评论数据，包括评论id、评论文本，没有对应情感；</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（3）unlabeledTrainData.tsv是额外的50000行无Label数据，包括评论id和评论文本。可用来进行文本特征提取或半监督学习；</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（4）sampleSubmission.csv是一个提交格式的样例。</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5、共享单车数据说明：提供共享单车出行记录数据，覆盖骑行用户和单车数据；数据包括骑行起始时间和地点、车辆ID、车辆类型和用户ID等信息，数据量超过54万条。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6、农产品价格数据：提供农产品类别价格数据包含品名、最低价、平均价、最高价、规格、单位、发布日期等字段，数据总量达30万条。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7、物流数据：提供车型数据字典、数据部分(含GIS经纬度坐标)，以及某一随机时间段的城配数据，包括2B或大宗、配送中心、充电站相关信息。</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商家派送数据包含经度、纬度、包裹总重量(t)、包裹总体积(m3)、商家最早收货时间、商家最晚收货时间；数据量总量达到1万条。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距离时间表数据包含起点、终点、两点间距离，单位米、两点间行走时间，单位分钟，数据总量达到120万条。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8、金融数据：包含国内、港股、美股等国内外股票行情及交易数据，数据时间段包含（2003-2017）每分钟详细交易数据，数据字段包含开盘价、最高价、最收盘价、最低价。数据总量达277万条。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9、网站访问日志数据：提供用户访问网站的日志数据，网站每类页面的PV值（PageView，页面访问量）、独立IP数等。日志数据量超过50万条。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交通类数据：提供通过小车收集而来，包含摄像头拍摄的路面照片（摄像头每秒能拍约30帧这样的图片），油门大小和方向盘角度。数据集分成两部分，图片打包文件；每一张图片对应的油门和方向盘值，文件为csv格式，训练集和测试集共20万条数据。</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11、互联网综合文本训练数据：提供超过120万篇文本训练数据，每篇文本格式采用json格式的数据。文档包含三个字段：文章id（id）、文章内容（content）、文章标题（title）。</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12、互联网用户特征文件数据：数据分为：训练集数据文件、测试集数据文件。</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用户特征文件字段要求包含年龄（age）、性别（gender）、婚姻状况（marriageStatus）、学历（education）、消费能力（consumptionAbility）、地理位置（LBS）、兴 趣 类 目（interest）、关键词（keyword）、APP 近期安装行为（appIdInstall）、用户使用的活跃 APP、上网连接类型、操作系统、是否有房等。数据量达100万条。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慢性病医疗数据：提供慢性疾病症状、治疗方法和诱因数据，包括用户数据（身份证、年龄、性别和国家）、用户情况（疾病或诊断等级0~4）、症状（等级0~4）、治疗（字符串，描述病人在白天服药物量）、标签（字符串，每天发生的环境因素）、天气（天气描述、降水强度、湿度、压力和当天最低/最高温度）、HBI（专门衡量克罗恩病的严重程度的标准化指标）等相关数据，数据量超过1000万条。</w:t>
            </w:r>
            <w:r>
              <w:rPr>
                <w:rFonts w:ascii="宋体" w:hAnsi="宋体" w:eastAsia="Arial" w:cs="宋体"/>
                <w:color w:val="000000"/>
                <w:sz w:val="20"/>
                <w:szCs w:val="20"/>
                <w:lang w:val="en-US" w:eastAsia="zh-CN" w:bidi="ar-SA"/>
              </w:rPr>
            </w:r>
            <w:r/>
          </w:p>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新冠疫苗不良反应数据：提供全球新冠疫苗不良反应数据，包括疫苗识别码、疫苗数据（设施类型、资金类型、接种事件信息、制造商编号等）、接种用户数据（年龄、性别、接种日期等）、用户健康数据（先天性异常或先天缺陷、接种疫苗时的疾病、长期健康状况等）、不良反应数据（症状描述、死亡、死亡日期、重大疾病、住院、失能等）等35个字段，数据量超过11万条。</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9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34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52"/>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大数据可视化系统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提供可视化分析功能，能够对数据进行导入导出，图形报表的形式展现，数据能够进行拖拽操作，并将数据以动态展示。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752"/>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bl>
    <w:p>
      <w:pPr>
        <w:pStyle w:val="752"/>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r>
      <w:r/>
    </w:p>
    <w:p>
      <w:pPr>
        <w:pStyle w:val="752"/>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四</w:t>
      </w:r>
      <w:r>
        <w:rPr>
          <w:rFonts w:ascii="Times New Roman" w:hAnsi="Times New Roman" w:eastAsia="宋体" w:cs="Times New Roman"/>
          <w:b/>
          <w:sz w:val="28"/>
          <w:szCs w:val="28"/>
        </w:rPr>
        <w:t xml:space="preserve">、供货要求</w:t>
      </w:r>
      <w:r>
        <w:rPr>
          <w:rFonts w:ascii="Times New Roman" w:hAnsi="Times New Roman" w:eastAsia="宋体" w:cs="Times New Roman"/>
          <w:b/>
          <w:sz w:val="28"/>
          <w:szCs w:val="28"/>
        </w:rPr>
      </w:r>
      <w:r/>
    </w:p>
    <w:p>
      <w:pPr>
        <w:pStyle w:val="752"/>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b/>
          <w:bCs/>
          <w:color w:val="000000"/>
          <w:sz w:val="24"/>
        </w:rPr>
        <w:t xml:space="preserve">★</w:t>
      </w:r>
      <w:r>
        <w:rPr>
          <w:rFonts w:hint="eastAsia" w:ascii="宋体" w:hAnsi="宋体" w:eastAsia="宋体" w:cs="Times New Roman"/>
          <w:color w:val="000000"/>
          <w:sz w:val="24"/>
          <w:szCs w:val="24"/>
          <w:highlight w:val="none"/>
          <w:shd w:val="clear" w:color="auto" w:fill="auto"/>
        </w:rPr>
        <w:t xml:space="preserve">1.交货期：合同签订后</w:t>
      </w:r>
      <w:r>
        <w:rPr>
          <w:rFonts w:hint="eastAsia" w:ascii="宋体" w:hAnsi="宋体" w:cs="Times New Roman"/>
          <w:color w:val="000000"/>
          <w:sz w:val="24"/>
          <w:szCs w:val="24"/>
          <w:highlight w:val="none"/>
          <w:shd w:val="clear" w:color="auto" w:fill="auto"/>
          <w:lang w:val="en-US" w:eastAsia="zh-CN"/>
        </w:rPr>
        <w:t xml:space="preserve">30</w:t>
      </w:r>
      <w:r>
        <w:rPr>
          <w:rFonts w:hint="eastAsia" w:ascii="宋体" w:hAnsi="宋体" w:eastAsia="宋体" w:cs="Times New Roman"/>
          <w:color w:val="000000"/>
          <w:sz w:val="24"/>
          <w:szCs w:val="24"/>
          <w:highlight w:val="none"/>
          <w:shd w:val="clear" w:color="auto" w:fill="auto"/>
        </w:rPr>
        <w:t xml:space="preserve">天内完成安装调试，达到预期效果。</w:t>
      </w:r>
      <w:r>
        <w:rPr>
          <w:rFonts w:ascii="宋体" w:hAnsi="宋体" w:eastAsia="宋体" w:cs="Times New Roman"/>
          <w:color w:val="000000"/>
          <w:sz w:val="24"/>
          <w:szCs w:val="24"/>
          <w:highlight w:val="none"/>
          <w:shd w:val="clear" w:color="auto" w:fill="auto"/>
        </w:rPr>
      </w:r>
      <w:r/>
    </w:p>
    <w:p>
      <w:pPr>
        <w:pStyle w:val="752"/>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2.交货方式：</w:t>
      </w:r>
      <w:r>
        <w:rPr>
          <w:rFonts w:hint="eastAsia" w:ascii="宋体" w:hAnsi="宋体" w:cs="Times New Roman"/>
          <w:color w:val="000000"/>
          <w:sz w:val="24"/>
          <w:szCs w:val="24"/>
          <w:highlight w:val="none"/>
          <w:shd w:val="clear" w:color="auto" w:fill="auto"/>
          <w:lang w:eastAsia="zh-CN"/>
        </w:rPr>
        <w:t xml:space="preserve">上门安装</w:t>
      </w:r>
      <w:r>
        <w:rPr>
          <w:rFonts w:hint="eastAsia" w:ascii="宋体" w:hAnsi="宋体" w:eastAsia="宋体" w:cs="Times New Roman"/>
          <w:color w:val="000000"/>
          <w:sz w:val="24"/>
          <w:szCs w:val="24"/>
          <w:highlight w:val="none"/>
          <w:shd w:val="clear" w:color="auto" w:fill="auto"/>
        </w:rPr>
        <w:t xml:space="preserve">。</w:t>
      </w:r>
      <w:r>
        <w:rPr>
          <w:rFonts w:ascii="宋体" w:hAnsi="宋体" w:eastAsia="宋体" w:cs="Times New Roman"/>
          <w:color w:val="000000"/>
          <w:sz w:val="24"/>
          <w:szCs w:val="24"/>
          <w:highlight w:val="none"/>
          <w:shd w:val="clear" w:color="auto" w:fill="auto"/>
        </w:rPr>
      </w:r>
      <w:r/>
    </w:p>
    <w:p>
      <w:pPr>
        <w:pStyle w:val="752"/>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3.交货地点：</w:t>
      </w:r>
      <w:r>
        <w:rPr>
          <w:rFonts w:hint="eastAsia" w:ascii="宋体" w:hAnsi="宋体" w:cs="Times New Roman"/>
          <w:color w:val="000000"/>
          <w:sz w:val="24"/>
          <w:szCs w:val="24"/>
          <w:highlight w:val="none"/>
          <w:shd w:val="clear" w:color="auto" w:fill="auto"/>
          <w:lang w:eastAsia="zh-CN"/>
        </w:rPr>
        <w:t xml:space="preserve">连云港职业技术学院</w:t>
      </w:r>
      <w:r>
        <w:rPr>
          <w:rFonts w:hint="eastAsia" w:ascii="Arial" w:hAnsi="Arial" w:cs="Arial"/>
          <w:sz w:val="24"/>
          <w:szCs w:val="24"/>
        </w:rPr>
        <w:t xml:space="preserve">内</w:t>
      </w:r>
      <w:r>
        <w:rPr>
          <w:rFonts w:hint="eastAsia" w:ascii="宋体" w:hAnsi="宋体" w:eastAsia="宋体" w:cs="Times New Roman"/>
          <w:color w:val="000000"/>
          <w:sz w:val="24"/>
          <w:szCs w:val="24"/>
          <w:highlight w:val="none"/>
          <w:shd w:val="clear" w:color="auto" w:fill="auto"/>
        </w:rPr>
        <w:t xml:space="preserve">。</w:t>
      </w:r>
      <w:r>
        <w:rPr>
          <w:rFonts w:ascii="宋体" w:hAnsi="宋体" w:eastAsia="宋体" w:cs="Times New Roman"/>
          <w:color w:val="000000"/>
          <w:sz w:val="24"/>
          <w:szCs w:val="24"/>
          <w:highlight w:val="none"/>
          <w:shd w:val="clear" w:color="auto" w:fill="auto"/>
        </w:rPr>
      </w:r>
      <w:r/>
    </w:p>
    <w:p>
      <w:pPr>
        <w:pStyle w:val="752"/>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五</w:t>
      </w:r>
      <w:r>
        <w:rPr>
          <w:rFonts w:ascii="Times New Roman" w:hAnsi="Times New Roman" w:eastAsia="宋体" w:cs="Times New Roman"/>
          <w:b/>
          <w:sz w:val="28"/>
          <w:szCs w:val="28"/>
        </w:rPr>
        <w:t xml:space="preserve">、安装调试要求</w:t>
      </w:r>
      <w:r>
        <w:rPr>
          <w:rFonts w:ascii="Times New Roman" w:hAnsi="Times New Roman" w:eastAsia="宋体" w:cs="Times New Roman"/>
          <w:b/>
          <w:sz w:val="28"/>
          <w:szCs w:val="28"/>
        </w:rPr>
      </w:r>
      <w:r/>
    </w:p>
    <w:p>
      <w:pPr>
        <w:pStyle w:val="752"/>
        <w:ind w:firstLine="480"/>
        <w:spacing w:line="360" w:lineRule="auto"/>
        <w:rPr>
          <w:rFonts w:ascii="Times New Roman" w:hAnsi="Times New Roman"/>
          <w:sz w:val="24"/>
          <w:szCs w:val="24"/>
        </w:rPr>
      </w:pPr>
      <w:r>
        <w:rPr>
          <w:rFonts w:ascii="Times New Roman" w:hAnsi="Times New Roman"/>
          <w:sz w:val="24"/>
          <w:szCs w:val="24"/>
        </w:rPr>
        <w:t xml:space="preserve">在设备到达现场后，中标人应负责派有经验的技术人员到现场进行设备的安装和测试以及处理货物质量和数量短缺等问题，并对系统质量全面负责。中标人在安装、调试等全过程中接受采购方的监督。</w:t>
      </w:r>
      <w:r>
        <w:rPr>
          <w:rFonts w:ascii="Times New Roman" w:hAnsi="Times New Roman"/>
          <w:sz w:val="24"/>
          <w:szCs w:val="24"/>
        </w:rPr>
      </w:r>
      <w:r/>
    </w:p>
    <w:p>
      <w:pPr>
        <w:pStyle w:val="752"/>
        <w:ind w:firstLine="480"/>
        <w:spacing w:line="360" w:lineRule="auto"/>
        <w:rPr>
          <w:rFonts w:ascii="Times New Roman" w:hAnsi="Times New Roman"/>
          <w:color w:val="000000"/>
          <w:sz w:val="24"/>
          <w:szCs w:val="24"/>
        </w:rPr>
      </w:pPr>
      <w:r>
        <w:rPr>
          <w:rFonts w:ascii="Times New Roman" w:hAnsi="Times New Roman"/>
          <w:sz w:val="24"/>
          <w:szCs w:val="24"/>
        </w:rPr>
        <w:t xml:space="preserve">在现场安装调试期间，如果系统出现不正常情况（如设备损坏、故障、达不到技术规范或设备说明书的指标），中标人应免费在不延误工期的情况下从速替换。在系统试运行期间，如果发现由于中标人的责任造成系统的功能和性能不符合技术规范书的要求，或由于设备故障的发生导致设备停止运转，中标人应承诺在48小时内及时修复，并承担所有费用，同时应顺</w:t>
      </w:r>
      <w:r>
        <w:rPr>
          <w:rFonts w:ascii="Times New Roman" w:hAnsi="Times New Roman"/>
          <w:color w:val="000000"/>
          <w:sz w:val="24"/>
          <w:szCs w:val="24"/>
        </w:rPr>
        <w:t xml:space="preserve">延试运行期。</w:t>
      </w:r>
      <w:r>
        <w:rPr>
          <w:rFonts w:ascii="Times New Roman" w:hAnsi="Times New Roman"/>
          <w:color w:val="000000"/>
          <w:sz w:val="24"/>
          <w:szCs w:val="24"/>
        </w:rPr>
      </w:r>
      <w:r/>
    </w:p>
    <w:p>
      <w:pPr>
        <w:pStyle w:val="752"/>
        <w:ind w:firstLine="480"/>
        <w:jc w:val="left"/>
        <w:spacing w:line="360" w:lineRule="auto"/>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所有货物全部送达后需经过采购人确认货物是否符合采购文件要求，确认无误后方可安装调试。</w:t>
      </w:r>
      <w:r>
        <w:rPr>
          <w:rFonts w:ascii="Times New Roman" w:hAnsi="Times New Roman" w:eastAsia="宋体" w:cs="Times New Roman"/>
          <w:color w:val="000000"/>
          <w:sz w:val="24"/>
          <w:szCs w:val="24"/>
        </w:rPr>
      </w:r>
      <w:r/>
    </w:p>
    <w:p>
      <w:pPr>
        <w:pStyle w:val="752"/>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、人员配备要求</w:t>
      </w:r>
      <w:r>
        <w:rPr>
          <w:rFonts w:ascii="Times New Roman" w:hAnsi="Times New Roman" w:eastAsia="宋体" w:cs="Times New Roman"/>
          <w:b/>
          <w:sz w:val="28"/>
          <w:szCs w:val="28"/>
        </w:rPr>
      </w:r>
      <w:r/>
    </w:p>
    <w:p>
      <w:pPr>
        <w:pStyle w:val="752"/>
        <w:ind w:firstLine="480"/>
        <w:jc w:val="left"/>
        <w:spacing w:line="360" w:lineRule="auto"/>
        <w:rPr>
          <w:rFonts w:ascii="宋体" w:hAnsi="宋体" w:eastAsia="宋体" w:cs="Times New Roman"/>
          <w:sz w:val="24"/>
          <w:szCs w:val="24"/>
        </w:rPr>
      </w:pPr>
      <w:r>
        <w:rPr>
          <w:rFonts w:hint="eastAsia" w:ascii="宋体" w:hAnsi="宋体" w:cs="宋体"/>
          <w:bCs/>
          <w:sz w:val="24"/>
          <w:szCs w:val="24"/>
        </w:rPr>
        <w:t xml:space="preserve">为确保项目顺利高效实施，中标人应指定专人（项目经理）负责与采购人进行项目对接，及时协调解决项目实施过程中遇到的问题；同时，中标人应针对本项目需求配备相应技术支持团队，按要求及时完成相关设备安装测试及使用培训服务。</w:t>
      </w:r>
      <w:r>
        <w:rPr>
          <w:rFonts w:ascii="宋体" w:hAnsi="宋体" w:eastAsia="宋体" w:cs="Times New Roman"/>
          <w:sz w:val="24"/>
          <w:szCs w:val="24"/>
        </w:rPr>
      </w:r>
      <w:r/>
    </w:p>
    <w:p>
      <w:pPr>
        <w:pStyle w:val="752"/>
        <w:numPr>
          <w:ilvl w:val="0"/>
          <w:numId w:val="0"/>
        </w:numPr>
        <w:ind w:firstLine="562"/>
        <w:jc w:val="left"/>
        <w:spacing w:line="360" w:lineRule="auto"/>
        <w:rPr>
          <w:rFonts w:hint="eastAsia"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履约验收要求</w:t>
      </w:r>
      <w:r>
        <w:rPr>
          <w:rFonts w:hint="eastAsia" w:ascii="Times New Roman" w:hAnsi="Times New Roman" w:eastAsia="宋体" w:cs="Times New Roman"/>
          <w:b/>
          <w:sz w:val="28"/>
          <w:szCs w:val="28"/>
        </w:rPr>
      </w:r>
      <w:r/>
    </w:p>
    <w:p>
      <w:pPr>
        <w:pStyle w:val="752"/>
        <w:numPr>
          <w:ilvl w:val="0"/>
          <w:numId w:val="0"/>
        </w:numPr>
        <w:ind w:firstLine="480"/>
        <w:jc w:val="left"/>
        <w:spacing w:line="360" w:lineRule="auto"/>
        <w:rPr>
          <w:rFonts w:ascii="宋体" w:hAnsi="宋体" w:eastAsia="宋体" w:cs="Times New Roman"/>
          <w:sz w:val="24"/>
          <w:szCs w:val="24"/>
        </w:rPr>
      </w:pPr>
      <w:r>
        <w:rPr>
          <w:rFonts w:hint="eastAsia" w:ascii="宋体" w:hAnsi="宋体" w:eastAsia="宋体" w:cs="宋体"/>
          <w:sz w:val="24"/>
          <w:szCs w:val="24"/>
          <w:highlight w:val="none"/>
          <w:lang w:val="en-US" w:eastAsia="zh-CN"/>
        </w:rPr>
        <w:t xml:space="preserve">中标后在合同签订前，中标人须按采购人要求提供主要产品和材料，采购人有权进行现场核查硬件参数并演示招标参数中的软件功能，采购人按照招标文件技术参数及中标人的投标文件内容进行逐条核对，如发现与中标人在投标过程中响应承诺不符的，采购人有权向政府采购监管部门提出按政府采购有关规定严肃处理。（需提供加盖投标人公章的承诺函）</w:t>
      </w:r>
      <w:r>
        <w:rPr>
          <w:rFonts w:ascii="宋体" w:hAnsi="宋体" w:eastAsia="宋体" w:cs="Times New Roman"/>
          <w:sz w:val="24"/>
          <w:szCs w:val="24"/>
        </w:rPr>
      </w:r>
      <w:r/>
    </w:p>
    <w:p>
      <w:pPr>
        <w:pStyle w:val="764"/>
        <w:ind w:firstLine="480"/>
        <w:spacing w:before="120" w:after="120" w:line="360" w:lineRule="auto"/>
        <w:rPr>
          <w:rFonts w:hAnsi="宋体"/>
          <w:sz w:val="24"/>
          <w:szCs w:val="24"/>
        </w:rPr>
      </w:pPr>
      <w:r>
        <w:rPr>
          <w:rFonts w:hint="eastAsia" w:hAnsi="宋体"/>
          <w:sz w:val="24"/>
          <w:szCs w:val="24"/>
        </w:rPr>
        <w:t xml:space="preserve">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hAnsi="宋体"/>
          <w:sz w:val="24"/>
          <w:szCs w:val="24"/>
        </w:rPr>
      </w:r>
      <w:r/>
    </w:p>
    <w:p>
      <w:pPr>
        <w:pStyle w:val="764"/>
        <w:ind w:firstLine="480"/>
        <w:spacing w:before="120" w:after="120" w:line="360" w:lineRule="auto"/>
        <w:rPr>
          <w:rFonts w:hAnsi="宋体"/>
          <w:sz w:val="24"/>
          <w:szCs w:val="24"/>
        </w:rPr>
      </w:pPr>
      <w:r>
        <w:rPr>
          <w:rFonts w:hint="eastAsia" w:hAnsi="宋体"/>
          <w:sz w:val="24"/>
          <w:szCs w:val="24"/>
        </w:rPr>
        <w:t xml:space="preserve">乙方交付前应对货物及服务作出全面检查和对验收文件进行整理，并列出清单，作为甲方交付验收和使用的技术条件依据，检验的结果应随货物及服务交甲方。</w:t>
      </w:r>
      <w:r>
        <w:rPr>
          <w:rFonts w:hAnsi="宋体"/>
          <w:sz w:val="24"/>
          <w:szCs w:val="24"/>
        </w:rPr>
      </w:r>
      <w:r/>
    </w:p>
    <w:p>
      <w:pPr>
        <w:pStyle w:val="764"/>
        <w:ind w:firstLine="480"/>
        <w:spacing w:before="120" w:after="120" w:line="360" w:lineRule="auto"/>
        <w:rPr>
          <w:rFonts w:hint="eastAsia" w:ascii="宋体" w:hAnsi="宋体"/>
          <w:sz w:val="24"/>
          <w:highlight w:val="yellow"/>
        </w:rPr>
      </w:pPr>
      <w:r>
        <w:rPr>
          <w:rFonts w:hint="eastAsia" w:hAnsi="宋体"/>
          <w:sz w:val="24"/>
          <w:szCs w:val="24"/>
        </w:rPr>
        <w:t xml:space="preserve"> 甲方对乙方提供的货物及服务在使用前进行调试时，乙方需负责安装并培训甲方的使用操作人员，并协助甲方一起调试，直到符合技术要求，甲方才做最终验收。</w:t>
      </w:r>
      <w:r>
        <w:rPr>
          <w:rFonts w:hint="eastAsia" w:ascii="宋体" w:hAnsi="宋体"/>
          <w:sz w:val="24"/>
          <w:highlight w:val="yellow"/>
        </w:rPr>
      </w:r>
      <w:r/>
    </w:p>
    <w:p>
      <w:pPr>
        <w:pStyle w:val="752"/>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培训要求</w:t>
      </w:r>
      <w:r>
        <w:rPr>
          <w:rFonts w:ascii="Times New Roman" w:hAnsi="Times New Roman" w:eastAsia="宋体" w:cs="Times New Roman"/>
          <w:b/>
          <w:sz w:val="28"/>
          <w:szCs w:val="28"/>
        </w:rPr>
      </w:r>
      <w:r/>
    </w:p>
    <w:p>
      <w:pPr>
        <w:pStyle w:val="752"/>
        <w:ind w:firstLine="480"/>
        <w:jc w:val="left"/>
        <w:spacing w:line="360" w:lineRule="auto"/>
        <w:rPr>
          <w:rFonts w:ascii="Times New Roman" w:hAnsi="Times New Roman" w:eastAsia="宋体" w:cs="Times New Roman"/>
          <w:sz w:val="24"/>
          <w:szCs w:val="24"/>
        </w:rPr>
      </w:pPr>
      <w:r>
        <w:rPr>
          <w:rFonts w:hint="eastAsia" w:ascii="宋体" w:hAnsi="宋体" w:eastAsia="宋体" w:cs="宋体"/>
          <w:sz w:val="24"/>
        </w:rPr>
        <w:t xml:space="preserve">中标人应负责对每个实训室所涉及设备向采购方免费提供不少于</w:t>
      </w:r>
      <w:r>
        <w:rPr>
          <w:rFonts w:hint="eastAsia" w:ascii="宋体" w:hAnsi="宋体" w:eastAsia="宋体" w:cs="宋体"/>
          <w:b/>
          <w:bCs/>
          <w:sz w:val="24"/>
        </w:rPr>
        <w:t xml:space="preserve">一</w:t>
      </w:r>
      <w:r>
        <w:rPr>
          <w:rFonts w:hint="eastAsia" w:ascii="宋体" w:hAnsi="宋体" w:eastAsia="宋体" w:cs="宋体"/>
          <w:sz w:val="24"/>
        </w:rPr>
        <w:t xml:space="preserve">天（计6学时，可同时进行）的设备使用与维护技术培训。</w:t>
      </w:r>
      <w:r>
        <w:rPr>
          <w:rFonts w:hint="eastAsia" w:ascii="宋体" w:hAnsi="宋体" w:eastAsia="宋体" w:cs="宋体"/>
          <w:sz w:val="24"/>
          <w:szCs w:val="24"/>
        </w:rPr>
        <w:t xml:space="preserve">投标人需根据招标文件要求提供培训计划、人员安排等。</w:t>
      </w:r>
      <w:r>
        <w:rPr>
          <w:rFonts w:ascii="Times New Roman" w:hAnsi="Times New Roman" w:eastAsia="宋体" w:cs="Times New Roman"/>
          <w:sz w:val="24"/>
          <w:szCs w:val="24"/>
        </w:rPr>
      </w:r>
      <w:r/>
    </w:p>
    <w:p>
      <w:pPr>
        <w:pStyle w:val="752"/>
        <w:ind w:firstLine="480"/>
        <w:jc w:val="left"/>
        <w:spacing w:line="360" w:lineRule="auto"/>
        <w:rPr>
          <w:rFonts w:ascii="Times New Roman" w:hAnsi="Times New Roman" w:eastAsia="宋体" w:cs="Times New Roman"/>
          <w:b/>
          <w:sz w:val="28"/>
          <w:szCs w:val="28"/>
        </w:rPr>
      </w:pPr>
      <w:r>
        <w:rPr>
          <w:rFonts w:hint="eastAsia"/>
          <w:b/>
          <w:bCs/>
          <w:color w:val="000000"/>
          <w:sz w:val="24"/>
        </w:rPr>
        <w:t xml:space="preserve">★</w:t>
      </w: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售后服务要求</w:t>
      </w:r>
      <w:r>
        <w:rPr>
          <w:rFonts w:ascii="Times New Roman" w:hAnsi="Times New Roman" w:eastAsia="宋体" w:cs="Times New Roman"/>
          <w:b/>
          <w:sz w:val="28"/>
          <w:szCs w:val="28"/>
        </w:rPr>
      </w:r>
      <w:r/>
    </w:p>
    <w:p>
      <w:pPr>
        <w:pStyle w:val="752"/>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年。</w:t>
      </w:r>
      <w:r>
        <w:rPr>
          <w:rFonts w:ascii="Times New Roman" w:hAnsi="Times New Roman" w:eastAsia="宋体" w:cs="Times New Roman"/>
          <w:sz w:val="24"/>
          <w:szCs w:val="24"/>
          <w:highlight w:val="none"/>
        </w:rPr>
      </w:r>
      <w:r/>
    </w:p>
    <w:p>
      <w:pPr>
        <w:pStyle w:val="752"/>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质保期间，中标人承担维修、保养、安检、调换等，相关费用包含在预算内，采购方不再支付任何费用；对于采购方人为原因造成的故障，中标人只收取维保成本费用</w:t>
      </w:r>
      <w:r>
        <w:rPr>
          <w:rFonts w:hint="eastAsia" w:ascii="Times New Roman" w:hAnsi="Times New Roman" w:eastAsia="宋体" w:cs="Times New Roman"/>
          <w:sz w:val="24"/>
          <w:szCs w:val="24"/>
          <w:highlight w:val="none"/>
          <w:lang w:eastAsia="zh-CN"/>
        </w:rPr>
        <w:t xml:space="preserve">；质保期内，</w:t>
      </w:r>
      <w:r>
        <w:rPr>
          <w:rFonts w:hint="eastAsia" w:ascii="Times New Roman" w:hAnsi="Times New Roman" w:eastAsia="宋体" w:cs="Times New Roman"/>
          <w:sz w:val="24"/>
          <w:szCs w:val="24"/>
          <w:highlight w:val="none"/>
        </w:rPr>
        <w:t xml:space="preserve">中标人应提供不少于每年一次的现场回访服务，全面了解项目运行使用情况，提出针对性使用改进建议，并能根据需要提供必要的软硬件升级服务</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接采购人通知48小时内提供上门服务，7*24小时电话服务。</w:t>
      </w:r>
      <w:r>
        <w:rPr>
          <w:rFonts w:ascii="Times New Roman" w:hAnsi="Times New Roman" w:eastAsia="宋体" w:cs="Times New Roman"/>
          <w:sz w:val="24"/>
          <w:szCs w:val="24"/>
          <w:highlight w:val="none"/>
        </w:rPr>
      </w:r>
      <w:r/>
    </w:p>
    <w:p>
      <w:pPr>
        <w:pStyle w:val="752"/>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十、商品包装及快递包装要求</w:t>
      </w:r>
      <w:r>
        <w:rPr>
          <w:rFonts w:ascii="Times New Roman" w:hAnsi="Times New Roman" w:eastAsia="宋体" w:cs="Times New Roman"/>
          <w:b/>
          <w:sz w:val="28"/>
          <w:szCs w:val="28"/>
        </w:rPr>
      </w:r>
      <w:r/>
    </w:p>
    <w:p>
      <w:pPr>
        <w:pStyle w:val="752"/>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关于印发《商品包装政府采购需求标准（试行）》、《快递包装政府采购需求标准（试行）》的通知：1.政府采购货物、工程和服务项目中涉及商品包装和快递包装的，要参考包装需求标准，在采购文件中明确政府采购供应商提供产品及相关快递服务的具体包装要求。2.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r>
        <w:rPr>
          <w:rFonts w:hint="eastAsia" w:ascii="Times New Roman" w:hAnsi="Times New Roman" w:eastAsia="宋体" w:cs="Times New Roman"/>
          <w:sz w:val="24"/>
          <w:szCs w:val="24"/>
          <w:highlight w:val="none"/>
        </w:rPr>
      </w:r>
      <w:r/>
    </w:p>
    <w:p>
      <w:pPr>
        <w:pStyle w:val="752"/>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一</w:t>
      </w:r>
      <w:r>
        <w:rPr>
          <w:rFonts w:hint="eastAsia" w:ascii="Times New Roman" w:hAnsi="Times New Roman" w:eastAsia="宋体" w:cs="Times New Roman"/>
          <w:b/>
          <w:sz w:val="28"/>
          <w:szCs w:val="28"/>
        </w:rPr>
        <w:t xml:space="preserve">、投标报价要求</w:t>
      </w:r>
      <w:r>
        <w:rPr>
          <w:rFonts w:ascii="Times New Roman" w:hAnsi="Times New Roman" w:eastAsia="宋体" w:cs="Times New Roman"/>
          <w:b/>
          <w:sz w:val="28"/>
          <w:szCs w:val="28"/>
        </w:rPr>
      </w:r>
      <w:r/>
    </w:p>
    <w:p>
      <w:pPr>
        <w:pStyle w:val="758"/>
        <w:ind w:firstLine="420"/>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1．投标报价包括生产、供货、包装、运输、装卸、安装、配件、调试、检验、培训及售后服务、税金和保险等费用以及采购文件规定的其他费用。除合同价款外，采购人不支付其他任何费用。</w:t>
      </w:r>
      <w:r>
        <w:rPr>
          <w:rFonts w:hint="eastAsia" w:ascii="宋体" w:hAnsi="宋体" w:eastAsia="宋体" w:cs="宋体"/>
          <w:sz w:val="24"/>
          <w:szCs w:val="22"/>
          <w:lang w:val="en-US" w:eastAsia="zh-CN" w:bidi="ar-SA"/>
        </w:rPr>
      </w:r>
      <w:r/>
    </w:p>
    <w:p>
      <w:pPr>
        <w:pStyle w:val="758"/>
        <w:ind w:firstLine="420"/>
        <w:rPr>
          <w:rFonts w:hint="eastAsia" w:ascii="Times New Roman" w:hAnsi="Times New Roman" w:eastAsia="宋体" w:cs="Times New Roman"/>
          <w:sz w:val="28"/>
          <w:szCs w:val="28"/>
          <w:lang w:val="en-US" w:eastAsia="zh-CN" w:bidi="ar-SA"/>
        </w:rPr>
        <w:outlineLvl w:val="1"/>
      </w:pPr>
      <w:r>
        <w:rPr>
          <w:rFonts w:hint="eastAsia" w:ascii="宋体" w:hAnsi="宋体" w:eastAsia="宋体" w:cs="宋体"/>
          <w:sz w:val="24"/>
          <w:szCs w:val="22"/>
          <w:lang w:val="en-US" w:eastAsia="zh-CN" w:bidi="ar-SA"/>
        </w:rPr>
        <w:t xml:space="preserve">2.投标人按照采购清单所列数量报投标单价和总价。</w:t>
      </w:r>
      <w:r>
        <w:rPr>
          <w:rFonts w:hint="eastAsia" w:ascii="Times New Roman" w:hAnsi="Times New Roman" w:eastAsia="宋体" w:cs="Times New Roman"/>
          <w:sz w:val="28"/>
          <w:szCs w:val="28"/>
          <w:lang w:val="en-US" w:eastAsia="zh-CN" w:bidi="ar-SA"/>
        </w:rPr>
      </w:r>
      <w:r/>
    </w:p>
    <w:p>
      <w:pPr>
        <w:pStyle w:val="752"/>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二</w:t>
      </w:r>
      <w:r>
        <w:rPr>
          <w:rFonts w:hint="eastAsia" w:ascii="Times New Roman" w:hAnsi="Times New Roman" w:eastAsia="宋体" w:cs="Times New Roman"/>
          <w:b/>
          <w:sz w:val="28"/>
          <w:szCs w:val="28"/>
        </w:rPr>
        <w:t xml:space="preserve">、付款方式与履约保证金</w:t>
      </w:r>
      <w:r>
        <w:rPr>
          <w:rFonts w:ascii="Times New Roman" w:hAnsi="Times New Roman" w:eastAsia="宋体" w:cs="Times New Roman"/>
          <w:b/>
          <w:sz w:val="28"/>
          <w:szCs w:val="28"/>
        </w:rPr>
      </w:r>
      <w:r/>
    </w:p>
    <w:p>
      <w:pPr>
        <w:pStyle w:val="758"/>
        <w:ind w:firstLine="420"/>
        <w:rPr>
          <w:rFonts w:hint="eastAsia" w:ascii="宋体" w:hAnsi="宋体" w:eastAsia="宋体" w:cs="宋体"/>
          <w:sz w:val="24"/>
          <w:szCs w:val="24"/>
          <w:lang w:val="en-US" w:eastAsia="zh-CN" w:bidi="ar-SA"/>
        </w:rPr>
      </w:pPr>
      <w:r>
        <w:rPr>
          <w:rFonts w:hint="eastAsia"/>
          <w:b/>
          <w:bCs/>
          <w:color w:val="000000"/>
          <w:sz w:val="24"/>
        </w:rPr>
        <w:t xml:space="preserve">★</w:t>
      </w:r>
      <w:r>
        <w:rPr>
          <w:rFonts w:hint="eastAsia" w:ascii="宋体" w:hAnsi="宋体" w:eastAsia="宋体" w:cs="宋体"/>
          <w:sz w:val="24"/>
          <w:szCs w:val="24"/>
          <w:lang w:val="en-US" w:eastAsia="zh-CN" w:bidi="ar-SA"/>
        </w:rPr>
        <w:t xml:space="preserve">1、付款方式</w:t>
      </w:r>
      <w:r>
        <w:rPr>
          <w:rFonts w:hint="eastAsia" w:ascii="宋体" w:hAnsi="宋体" w:eastAsia="宋体" w:cs="宋体"/>
          <w:sz w:val="24"/>
          <w:szCs w:val="24"/>
          <w:lang w:val="en-US" w:eastAsia="zh-CN" w:bidi="ar-SA"/>
        </w:rPr>
      </w:r>
      <w:r/>
    </w:p>
    <w:p>
      <w:pPr>
        <w:pStyle w:val="758"/>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合同签订后付合同总金额的30％；建成运行、验收合格后，付至合同总金额的100％</w:t>
      </w:r>
      <w:r>
        <w:rPr>
          <w:rFonts w:hint="eastAsia" w:ascii="宋体" w:hAnsi="宋体" w:eastAsia="宋体" w:cs="宋体"/>
          <w:sz w:val="24"/>
          <w:szCs w:val="24"/>
          <w:lang w:val="en-US" w:eastAsia="zh-CN" w:bidi="ar-SA"/>
        </w:rPr>
      </w:r>
      <w:r/>
    </w:p>
    <w:p>
      <w:pPr>
        <w:pStyle w:val="758"/>
        <w:ind w:firstLine="420"/>
        <w:rPr>
          <w:rFonts w:hint="eastAsia" w:ascii="宋体" w:hAnsi="宋体" w:eastAsia="宋体" w:cs="宋体"/>
          <w:sz w:val="24"/>
          <w:szCs w:val="24"/>
          <w:lang w:val="en-US" w:eastAsia="zh-CN" w:bidi="ar-SA"/>
        </w:rPr>
        <w:outlineLvl w:val="1"/>
      </w:pPr>
      <w:r>
        <w:rPr>
          <w:rFonts w:hint="eastAsia" w:ascii="宋体" w:hAnsi="宋体" w:eastAsia="宋体" w:cs="宋体"/>
          <w:sz w:val="24"/>
          <w:szCs w:val="24"/>
          <w:lang w:val="en-US" w:eastAsia="zh-CN" w:bidi="ar-SA"/>
        </w:rPr>
        <w:t xml:space="preserve">2、履约保证金</w:t>
      </w:r>
      <w:r>
        <w:rPr>
          <w:rFonts w:hint="eastAsia" w:ascii="宋体" w:hAnsi="宋体" w:eastAsia="宋体" w:cs="宋体"/>
          <w:sz w:val="24"/>
          <w:szCs w:val="24"/>
          <w:lang w:val="en-US" w:eastAsia="zh-CN" w:bidi="ar-SA"/>
        </w:rPr>
      </w:r>
      <w:r/>
    </w:p>
    <w:p>
      <w:pPr>
        <w:pStyle w:val="758"/>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本项目不收取履约保证金。</w:t>
      </w:r>
      <w:r>
        <w:rPr>
          <w:rFonts w:hint="eastAsia" w:ascii="宋体" w:hAnsi="宋体" w:eastAsia="宋体" w:cs="宋体"/>
          <w:sz w:val="24"/>
          <w:szCs w:val="24"/>
          <w:lang w:val="en-US" w:eastAsia="zh-CN" w:bidi="ar-SA"/>
        </w:rPr>
      </w:r>
      <w:r/>
    </w:p>
    <w:p>
      <w:pPr>
        <w:pStyle w:val="752"/>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三</w:t>
      </w:r>
      <w:r>
        <w:rPr>
          <w:rFonts w:hint="eastAsia" w:ascii="Times New Roman" w:hAnsi="Times New Roman" w:eastAsia="宋体" w:cs="Times New Roman"/>
          <w:b/>
          <w:sz w:val="28"/>
          <w:szCs w:val="28"/>
        </w:rPr>
        <w:t xml:space="preserve">、其他</w:t>
      </w:r>
      <w:r>
        <w:rPr>
          <w:rFonts w:ascii="Times New Roman" w:hAnsi="Times New Roman" w:eastAsia="宋体" w:cs="Times New Roman"/>
          <w:b/>
          <w:sz w:val="28"/>
          <w:szCs w:val="28"/>
        </w:rPr>
      </w:r>
      <w:r/>
    </w:p>
    <w:p>
      <w:pPr>
        <w:pStyle w:val="758"/>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本项目报价不得超过预算价（最高限价）。</w:t>
      </w:r>
      <w:r>
        <w:rPr>
          <w:rFonts w:hint="eastAsia" w:ascii="宋体" w:hAnsi="宋体" w:eastAsia="宋体" w:cs="宋体"/>
          <w:sz w:val="24"/>
          <w:szCs w:val="24"/>
          <w:lang w:val="en-US" w:eastAsia="zh-CN" w:bidi="ar-SA"/>
        </w:rPr>
      </w:r>
      <w:r/>
    </w:p>
    <w:p>
      <w:pPr>
        <w:pStyle w:val="758"/>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特别提醒投标人：应根据国家收费标准并结合市场实际进行报价，总价包干。</w:t>
      </w:r>
      <w:r>
        <w:rPr>
          <w:rFonts w:hint="eastAsia" w:ascii="宋体" w:hAnsi="宋体" w:eastAsia="宋体" w:cs="宋体"/>
          <w:sz w:val="24"/>
          <w:szCs w:val="24"/>
          <w:lang w:val="en-US" w:eastAsia="zh-CN" w:bidi="ar-SA"/>
        </w:rPr>
      </w:r>
      <w:r/>
    </w:p>
    <w:p>
      <w:pPr>
        <w:pStyle w:val="758"/>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sz w:val="24"/>
          <w:szCs w:val="24"/>
          <w:lang w:val="en-US" w:eastAsia="zh-CN" w:bidi="ar-SA"/>
        </w:rPr>
      </w:r>
      <w:r/>
    </w:p>
    <w:p>
      <w:pPr>
        <w:pStyle w:val="752"/>
        <w:rPr>
          <w:rFonts w:hint="eastAsia" w:ascii="宋体" w:hAnsi="宋体" w:eastAsia="宋体" w:cs="宋体"/>
          <w:b/>
          <w:sz w:val="36"/>
          <w:szCs w:val="20"/>
        </w:rPr>
      </w:pPr>
      <w:r>
        <w:rPr>
          <w:rFonts w:hint="eastAsia" w:ascii="宋体" w:hAnsi="宋体" w:eastAsia="宋体" w:cs="宋体"/>
          <w:b/>
          <w:sz w:val="36"/>
          <w:szCs w:val="20"/>
        </w:rPr>
        <w:br w:type="page" w:clear="all"/>
      </w:r>
      <w:r>
        <w:rPr>
          <w:rFonts w:hint="eastAsia" w:ascii="宋体" w:hAnsi="宋体" w:eastAsia="宋体" w:cs="宋体"/>
          <w:b/>
          <w:sz w:val="36"/>
          <w:szCs w:val="20"/>
        </w:rPr>
      </w:r>
      <w:r/>
    </w:p>
    <w:p>
      <w:pPr>
        <w:pStyle w:val="752"/>
        <w:jc w:val="center"/>
        <w:keepLines/>
        <w:keepNext/>
        <w:spacing w:line="360" w:lineRule="auto"/>
        <w:rPr>
          <w:rFonts w:hint="eastAsia" w:ascii="宋体" w:hAnsi="宋体" w:eastAsia="宋体" w:cs="宋体"/>
          <w:b/>
          <w:sz w:val="36"/>
          <w:szCs w:val="20"/>
        </w:rPr>
        <w:outlineLvl w:val="0"/>
      </w:pPr>
      <w:r>
        <w:rPr>
          <w:rFonts w:hint="eastAsia" w:ascii="宋体" w:hAnsi="宋体" w:eastAsia="宋体" w:cs="宋体"/>
          <w:b/>
          <w:sz w:val="36"/>
          <w:szCs w:val="20"/>
        </w:rPr>
        <w:t xml:space="preserve">第七章  评标办法</w:t>
      </w:r>
      <w:r>
        <w:rPr>
          <w:rFonts w:hint="eastAsia" w:ascii="宋体" w:hAnsi="宋体" w:eastAsia="宋体" w:cs="宋体"/>
          <w:b/>
          <w:sz w:val="36"/>
          <w:szCs w:val="20"/>
        </w:rPr>
      </w:r>
      <w:r/>
    </w:p>
    <w:p>
      <w:pPr>
        <w:pStyle w:val="752"/>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一、</w:t>
      </w:r>
      <w:r>
        <w:rPr>
          <w:rFonts w:hint="eastAsia" w:ascii="宋体" w:hAnsi="宋体" w:eastAsia="宋体" w:cs="宋体"/>
          <w:b/>
          <w:bCs/>
          <w:sz w:val="24"/>
          <w:szCs w:val="24"/>
        </w:rPr>
        <w:t xml:space="preserve">评标委员会构成</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本采购项目评标委员会的评委由采购人代表、相关专家组成。</w:t>
      </w:r>
      <w:r>
        <w:rPr>
          <w:rFonts w:hint="eastAsia" w:ascii="宋体" w:hAnsi="宋体" w:eastAsia="宋体" w:cs="宋体"/>
          <w:sz w:val="24"/>
          <w:szCs w:val="24"/>
        </w:rPr>
      </w:r>
      <w:r/>
    </w:p>
    <w:p>
      <w:pPr>
        <w:pStyle w:val="752"/>
        <w:ind w:firstLine="482"/>
        <w:spacing w:line="360" w:lineRule="auto"/>
        <w:rPr>
          <w:rFonts w:hint="eastAsia" w:ascii="宋体" w:hAnsi="宋体" w:eastAsia="宋体" w:cs="宋体"/>
          <w:sz w:val="24"/>
          <w:szCs w:val="24"/>
        </w:rPr>
        <w:outlineLvl w:val="1"/>
      </w:pPr>
      <w:r>
        <w:rPr>
          <w:rFonts w:hint="eastAsia" w:ascii="宋体" w:hAnsi="宋体" w:eastAsia="宋体" w:cs="宋体"/>
          <w:b/>
          <w:sz w:val="24"/>
          <w:szCs w:val="24"/>
        </w:rPr>
        <w:t xml:space="preserve">二、</w:t>
      </w:r>
      <w:r>
        <w:rPr>
          <w:rFonts w:hint="eastAsia" w:ascii="宋体" w:hAnsi="宋体" w:eastAsia="宋体" w:cs="宋体"/>
          <w:b/>
          <w:bCs/>
          <w:sz w:val="24"/>
          <w:szCs w:val="24"/>
        </w:rPr>
        <w:t xml:space="preserve">评标方法</w:t>
      </w:r>
      <w:r>
        <w:rPr>
          <w:rFonts w:hint="eastAsia" w:ascii="宋体" w:hAnsi="宋体" w:eastAsia="宋体" w:cs="宋体"/>
          <w:b/>
          <w:sz w:val="24"/>
          <w:szCs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本项目评标方法采用综合评分法。综合评分法，是指投标文件满足招标文件全部实质性要求，且按照评审因素的量化指标评审得分最高的投标人为中标候选人的评标方法。</w:t>
      </w:r>
      <w:r>
        <w:rPr>
          <w:rFonts w:hint="eastAsia" w:ascii="宋体" w:hAnsi="宋体" w:eastAsia="宋体" w:cs="宋体"/>
          <w:sz w:val="24"/>
          <w:szCs w:val="24"/>
        </w:rPr>
      </w:r>
      <w:r/>
    </w:p>
    <w:p>
      <w:pPr>
        <w:pStyle w:val="752"/>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三、</w:t>
      </w:r>
      <w:r>
        <w:rPr>
          <w:rFonts w:hint="eastAsia" w:ascii="宋体" w:hAnsi="宋体" w:eastAsia="宋体" w:cs="宋体"/>
          <w:b/>
          <w:bCs/>
          <w:sz w:val="24"/>
          <w:szCs w:val="24"/>
        </w:rPr>
        <w:t xml:space="preserve">评标原则</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sz w:val="24"/>
          <w:szCs w:val="24"/>
        </w:rPr>
      </w:r>
      <w:r/>
    </w:p>
    <w:p>
      <w:pPr>
        <w:pStyle w:val="752"/>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四、</w:t>
      </w:r>
      <w:r>
        <w:rPr>
          <w:rFonts w:hint="eastAsia" w:ascii="宋体" w:hAnsi="宋体" w:eastAsia="宋体" w:cs="宋体"/>
          <w:b/>
          <w:bCs/>
          <w:sz w:val="24"/>
          <w:szCs w:val="24"/>
        </w:rPr>
        <w:t xml:space="preserve">评标标准</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（一）评标时，评标委员会以招标文件为评标依据，评标委员会各成员独立对每个投标人的投标文件进行评价，并汇总每个投标人的得分。</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（二）本项目评分总分为100分，按四舍五入取至小数点后两位。</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（三）总得分 =价格分 + 商务技术分 </w:t>
      </w:r>
      <w:r>
        <w:rPr>
          <w:rFonts w:hint="eastAsia" w:ascii="宋体" w:hAnsi="宋体" w:eastAsia="宋体" w:cs="宋体"/>
          <w:sz w:val="24"/>
          <w:szCs w:val="24"/>
        </w:rPr>
      </w:r>
      <w:r/>
    </w:p>
    <w:p>
      <w:pPr>
        <w:pStyle w:val="7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rPr>
      </w:r>
      <w:r/>
    </w:p>
    <w:p>
      <w:pPr>
        <w:pStyle w:val="752"/>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30"/>
          <w:szCs w:val="30"/>
          <w:highlight w:val="none"/>
        </w:rPr>
        <w:outlineLvl w:val="2"/>
      </w:pPr>
      <w:r>
        <w:rPr>
          <w:rFonts w:hint="eastAsia" w:ascii="宋体" w:hAnsi="宋体" w:eastAsia="宋体"/>
          <w:b/>
          <w:color w:val="000000"/>
          <w:sz w:val="30"/>
          <w:szCs w:val="30"/>
          <w:highlight w:val="none"/>
          <w:lang w:val="en-US" w:eastAsia="zh-CN"/>
        </w:rPr>
        <w:t xml:space="preserve">分包一：</w:t>
      </w:r>
      <w:r>
        <w:rPr>
          <w:rFonts w:hint="eastAsia" w:ascii="宋体" w:hAnsi="宋体"/>
          <w:b/>
          <w:color w:val="000000"/>
          <w:sz w:val="30"/>
          <w:szCs w:val="30"/>
          <w:highlight w:val="none"/>
        </w:rPr>
        <w:t xml:space="preserve">综合评分法</w:t>
      </w:r>
      <w:r>
        <w:rPr>
          <w:rFonts w:ascii="宋体" w:hAnsi="宋体"/>
          <w:b/>
          <w:color w:val="000000"/>
          <w:sz w:val="30"/>
          <w:szCs w:val="30"/>
          <w:highlight w:val="none"/>
        </w:rPr>
      </w:r>
      <w:r/>
    </w:p>
    <w:p>
      <w:pPr>
        <w:pStyle w:val="752"/>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（1）价格分（30分）</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投标报价得分=（评标基准价／投标报价）×30分</w:t>
      </w:r>
      <w:r>
        <w:rPr>
          <w:rFonts w:hint="eastAsia" w:ascii="宋体" w:hAnsi="宋体" w:eastAsia="宋体" w:cs="宋体"/>
          <w:sz w:val="24"/>
          <w:szCs w:val="24"/>
        </w:rPr>
      </w:r>
      <w:r/>
    </w:p>
    <w:p>
      <w:pPr>
        <w:pStyle w:val="75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（2）技术分（</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分）</w:t>
      </w:r>
      <w:r>
        <w:rPr>
          <w:rFonts w:hint="eastAsia" w:ascii="宋体" w:hAnsi="宋体" w:eastAsia="宋体" w:cs="宋体"/>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752"/>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评审因素</w:t>
            </w:r>
            <w:r>
              <w:rPr>
                <w:rFonts w:ascii="黑体" w:hAnsi="黑体" w:eastAsia="黑体" w:cs="Times New Roman"/>
                <w:color w:val="000000"/>
                <w:sz w:val="24"/>
                <w:szCs w:val="24"/>
                <w:lang w:val="en-US" w:eastAsia="zh-CN" w:bidi="ar-SA"/>
              </w:rPr>
            </w:r>
            <w:r/>
          </w:p>
        </w:tc>
        <w:tc>
          <w:tcPr>
            <w:tcW w:w="6845" w:type="dxa"/>
            <w:vAlign w:val="center"/>
            <w:textDirection w:val="lrTb"/>
            <w:noWrap w:val="false"/>
          </w:tcPr>
          <w:p>
            <w:pPr>
              <w:pStyle w:val="752"/>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评审标准</w:t>
            </w:r>
            <w:r>
              <w:rPr>
                <w:rFonts w:ascii="黑体" w:hAnsi="黑体" w:eastAsia="黑体" w:cs="Times New Roman"/>
                <w:color w:val="000000"/>
                <w:sz w:val="24"/>
                <w:szCs w:val="24"/>
                <w:lang w:val="en-US" w:eastAsia="zh-CN" w:bidi="ar-SA"/>
              </w:rPr>
            </w:r>
            <w:r/>
          </w:p>
        </w:tc>
      </w:tr>
      <w:tr>
        <w:trPr>
          <w:trHeight w:val="90"/>
        </w:trPr>
        <w:tc>
          <w:tcPr>
            <w:tcW w:w="1660" w:type="dxa"/>
            <w:vAlign w:val="center"/>
            <w:textDirection w:val="lrTb"/>
            <w:noWrap w:val="false"/>
          </w:tcPr>
          <w:p>
            <w:pPr>
              <w:pStyle w:val="752"/>
              <w:jc w:val="center"/>
              <w:spacing w:line="220" w:lineRule="atLeast"/>
              <w:widowControl w:val="off"/>
              <w:rPr>
                <w:rFonts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 xml:space="preserve">技术分</w:t>
            </w:r>
            <w:r>
              <w:rPr>
                <w:rFonts w:ascii="宋体" w:hAnsi="宋体" w:eastAsia="Arial" w:cs="宋体"/>
                <w:color w:val="000000"/>
                <w:sz w:val="24"/>
                <w:szCs w:val="24"/>
                <w:highlight w:val="none"/>
                <w:lang w:val="en-US" w:eastAsia="zh-CN" w:bidi="ar-SA"/>
              </w:rPr>
            </w:r>
            <w:r/>
          </w:p>
          <w:p>
            <w:pPr>
              <w:pStyle w:val="752"/>
              <w:jc w:val="center"/>
              <w:spacing w:line="276" w:lineRule="auto"/>
              <w:widowControl w:val="off"/>
              <w:rPr>
                <w:rFonts w:ascii="Calibri" w:hAnsi="Calibri" w:eastAsia="Arial" w:cs="Arial"/>
                <w:color w:val="000000"/>
                <w:sz w:val="21"/>
                <w:szCs w:val="22"/>
                <w:highlight w:val="none"/>
                <w:lang w:val="en-US" w:eastAsia="zh-CN" w:bidi="ar-SA"/>
              </w:rPr>
            </w:pPr>
            <w:r>
              <w:rPr>
                <w:rFonts w:hint="eastAsia" w:ascii="宋体" w:hAnsi="宋体" w:eastAsia="Arial" w:cs="宋体"/>
                <w:color w:val="000000"/>
                <w:sz w:val="24"/>
                <w:szCs w:val="24"/>
                <w:highlight w:val="none"/>
                <w:lang w:val="en-US" w:eastAsia="zh-CN" w:bidi="ar-SA"/>
              </w:rPr>
              <w:t xml:space="preserve">（40分）</w:t>
            </w:r>
            <w:r>
              <w:rPr>
                <w:rFonts w:ascii="Calibri" w:hAnsi="Calibri" w:eastAsia="Arial" w:cs="Arial"/>
                <w:color w:val="000000"/>
                <w:sz w:val="21"/>
                <w:szCs w:val="22"/>
                <w:highlight w:val="none"/>
                <w:lang w:val="en-US" w:eastAsia="zh-CN" w:bidi="ar-SA"/>
              </w:rPr>
            </w:r>
            <w:r/>
          </w:p>
        </w:tc>
        <w:tc>
          <w:tcPr>
            <w:tcW w:w="6845" w:type="dxa"/>
            <w:vAlign w:val="center"/>
            <w:textDirection w:val="lrTb"/>
            <w:noWrap w:val="false"/>
          </w:tcPr>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所投产品的技术指标完全满足招标文件参数要求且提供证明材料全面无任何负偏离的，得40分。</w:t>
            </w:r>
            <w:r>
              <w:rPr>
                <w:rFonts w:hint="eastAsia" w:ascii="宋体" w:hAnsi="宋体" w:eastAsia="宋体" w:cs="宋体"/>
                <w:color w:val="000000"/>
                <w:sz w:val="24"/>
                <w:szCs w:val="24"/>
                <w:highlight w:val="none"/>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标注▲的指标每有一项负偏离扣2.5分；其他参数每有一项负偏离扣0.2分，扣完为止。</w:t>
            </w:r>
            <w:r>
              <w:rPr>
                <w:rFonts w:hint="eastAsia" w:ascii="宋体" w:hAnsi="宋体" w:eastAsia="宋体" w:cs="宋体"/>
                <w:color w:val="000000"/>
                <w:sz w:val="24"/>
                <w:szCs w:val="24"/>
                <w:highlight w:val="none"/>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Arial" w:cs="Arial"/>
                <w:color w:val="000000"/>
                <w:sz w:val="21"/>
                <w:szCs w:val="22"/>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投标人针对本项评审内容在响应文件《技术规格偏离表》中逐条列出响应及偏离情况，采购需求中要求提供证明材料的，并加盖供应商公章，以证明材料为准，未提供相关证明材料或者提供材料与要求不符的视为负偏离。</w:t>
            </w:r>
            <w:r>
              <w:rPr>
                <w:rFonts w:ascii="Calibri" w:hAnsi="Calibri" w:eastAsia="Arial" w:cs="Arial"/>
                <w:color w:val="000000"/>
                <w:sz w:val="21"/>
                <w:szCs w:val="22"/>
                <w:highlight w:val="none"/>
                <w:lang w:val="en-US" w:eastAsia="zh-CN" w:bidi="ar-SA"/>
              </w:rPr>
            </w:r>
            <w:r/>
          </w:p>
        </w:tc>
      </w:tr>
    </w:tbl>
    <w:p>
      <w:pPr>
        <w:pStyle w:val="752"/>
        <w:ind w:firstLine="480"/>
        <w:jc w:val="left"/>
        <w:spacing w:line="500" w:lineRule="exact"/>
        <w:rPr>
          <w:rFonts w:hint="eastAsia"/>
          <w:sz w:val="24"/>
          <w:szCs w:val="24"/>
        </w:rPr>
      </w:pPr>
      <w:r>
        <w:rPr>
          <w:rFonts w:hint="eastAsia"/>
          <w:sz w:val="24"/>
          <w:szCs w:val="24"/>
        </w:rPr>
      </w:r>
      <w:r/>
    </w:p>
    <w:p>
      <w:pPr>
        <w:pStyle w:val="752"/>
        <w:ind w:firstLine="480"/>
        <w:jc w:val="left"/>
        <w:spacing w:line="500" w:lineRule="exact"/>
        <w:rPr>
          <w:sz w:val="24"/>
          <w:szCs w:val="24"/>
        </w:rPr>
      </w:pPr>
      <w:r>
        <w:rPr>
          <w:rFonts w:hint="eastAsia"/>
          <w:sz w:val="24"/>
          <w:szCs w:val="24"/>
        </w:rPr>
        <w:t xml:space="preserve">（3）商务分（</w:t>
      </w:r>
      <w:r>
        <w:rPr>
          <w:rFonts w:hint="eastAsia" w:eastAsia="宋体"/>
          <w:sz w:val="24"/>
          <w:szCs w:val="24"/>
          <w:lang w:val="en-US" w:eastAsia="zh-CN"/>
        </w:rPr>
        <w:t xml:space="preserve">30</w:t>
      </w:r>
      <w:r>
        <w:rPr>
          <w:rFonts w:hint="eastAsia"/>
          <w:sz w:val="24"/>
          <w:szCs w:val="24"/>
        </w:rPr>
        <w:t xml:space="preserve">分）</w:t>
      </w:r>
      <w:r>
        <w:rPr>
          <w:sz w:val="24"/>
          <w:szCs w:val="24"/>
        </w:rPr>
      </w:r>
      <w:r/>
    </w:p>
    <w:tbl>
      <w:tblPr>
        <w:tblW w:w="86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959"/>
      </w:tblGrid>
      <w:tr>
        <w:trPr>
          <w:trHeight w:val="621"/>
        </w:trPr>
        <w:tc>
          <w:tcPr>
            <w:tcW w:w="1660" w:type="dxa"/>
            <w:vAlign w:val="center"/>
            <w:textDirection w:val="lrTb"/>
            <w:noWrap w:val="false"/>
          </w:tcPr>
          <w:p>
            <w:pPr>
              <w:pStyle w:val="752"/>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评审因素</w:t>
            </w:r>
            <w:r>
              <w:rPr>
                <w:rFonts w:hint="eastAsia" w:ascii="宋体" w:hAnsi="宋体" w:eastAsia="宋体" w:cs="宋体"/>
                <w:color w:val="000000"/>
                <w:sz w:val="24"/>
                <w:szCs w:val="24"/>
                <w:lang w:val="en-US" w:eastAsia="zh-CN" w:bidi="ar-SA"/>
              </w:rPr>
            </w:r>
            <w:r/>
          </w:p>
        </w:tc>
        <w:tc>
          <w:tcPr>
            <w:tcW w:w="6959" w:type="dxa"/>
            <w:vAlign w:val="center"/>
            <w:textDirection w:val="lrTb"/>
            <w:noWrap w:val="false"/>
          </w:tcPr>
          <w:p>
            <w:pPr>
              <w:pStyle w:val="752"/>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评审标准</w:t>
            </w:r>
            <w:r>
              <w:rPr>
                <w:rFonts w:hint="eastAsia" w:ascii="宋体" w:hAnsi="宋体" w:eastAsia="宋体" w:cs="宋体"/>
                <w:color w:val="000000"/>
                <w:sz w:val="24"/>
                <w:szCs w:val="24"/>
                <w:lang w:val="en-US" w:eastAsia="zh-CN" w:bidi="ar-SA"/>
              </w:rPr>
            </w:r>
            <w:r/>
          </w:p>
        </w:tc>
      </w:tr>
      <w:tr>
        <w:trPr>
          <w:trHeight w:val="621"/>
        </w:trPr>
        <w:tc>
          <w:tcPr>
            <w:tcW w:w="1660" w:type="dxa"/>
            <w:vAlign w:val="center"/>
            <w:textDirection w:val="lrTb"/>
            <w:noWrap w:val="false"/>
          </w:tcPr>
          <w:p>
            <w:pPr>
              <w:pStyle w:val="752"/>
              <w:jc w:val="center"/>
              <w:spacing w:line="220" w:lineRule="atLeas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业绩</w:t>
            </w:r>
            <w:r>
              <w:rPr>
                <w:rFonts w:hint="eastAsia" w:ascii="宋体" w:hAnsi="宋体" w:eastAsia="宋体" w:cs="宋体"/>
                <w:bCs/>
                <w:color w:val="000000"/>
                <w:sz w:val="24"/>
                <w:szCs w:val="24"/>
                <w:highlight w:val="none"/>
                <w:lang w:val="en-US" w:eastAsia="zh-CN" w:bidi="ar-SA"/>
              </w:rPr>
            </w:r>
            <w:r/>
          </w:p>
          <w:p>
            <w:pPr>
              <w:pStyle w:val="752"/>
              <w:jc w:val="center"/>
              <w:spacing w:line="276"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（6分）</w:t>
            </w:r>
            <w:r>
              <w:rPr>
                <w:rFonts w:hint="eastAsia" w:ascii="宋体" w:hAnsi="宋体" w:eastAsia="宋体" w:cs="宋体"/>
                <w:sz w:val="21"/>
                <w:szCs w:val="22"/>
                <w:highlight w:val="none"/>
                <w:lang w:val="en-US" w:eastAsia="zh-CN" w:bidi="ar-SA"/>
              </w:rPr>
            </w:r>
            <w:r/>
          </w:p>
        </w:tc>
        <w:tc>
          <w:tcPr>
            <w:tcW w:w="6959" w:type="dxa"/>
            <w:vAlign w:val="center"/>
            <w:textDirection w:val="lrTb"/>
            <w:noWrap w:val="false"/>
          </w:tcPr>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Arial" w:cs="Arial"/>
                <w:sz w:val="24"/>
                <w:szCs w:val="24"/>
                <w:highlight w:val="none"/>
                <w:lang w:val="en-US" w:eastAsia="zh-CN" w:bidi="ar-SA"/>
              </w:rPr>
              <w:t xml:space="preserve">投标供应商</w:t>
            </w:r>
            <w:r>
              <w:rPr>
                <w:rFonts w:hint="eastAsia" w:ascii="宋体" w:hAnsi="宋体" w:eastAsia="宋体" w:cs="宋体"/>
                <w:color w:val="000000"/>
                <w:sz w:val="24"/>
                <w:szCs w:val="24"/>
                <w:highlight w:val="none"/>
                <w:lang w:val="en-US" w:eastAsia="zh-CN" w:bidi="ar-SA"/>
              </w:rPr>
              <w:t xml:space="preserve">提供承担过自2021年1月1日至今（以合同签订日期为准）</w:t>
            </w:r>
            <w:r>
              <w:rPr>
                <w:rFonts w:hint="eastAsia" w:ascii="宋体" w:hAnsi="宋体" w:eastAsia="Arial" w:cs="Arial"/>
                <w:sz w:val="24"/>
                <w:szCs w:val="24"/>
                <w:highlight w:val="none"/>
                <w:lang w:val="en-US" w:eastAsia="zh-CN" w:bidi="ar-SA"/>
              </w:rPr>
              <w:t xml:space="preserve">已</w:t>
            </w:r>
            <w:r>
              <w:rPr>
                <w:rFonts w:ascii="宋体" w:hAnsi="宋体" w:eastAsia="Arial" w:cs="Arial"/>
                <w:sz w:val="24"/>
                <w:szCs w:val="24"/>
                <w:highlight w:val="none"/>
                <w:lang w:val="en-US" w:eastAsia="zh-CN" w:bidi="ar-SA"/>
              </w:rPr>
              <w:t xml:space="preserve">签订并</w:t>
            </w:r>
            <w:r>
              <w:rPr>
                <w:rFonts w:hint="eastAsia" w:ascii="宋体" w:hAnsi="宋体" w:eastAsia="Arial" w:cs="Arial"/>
                <w:sz w:val="24"/>
                <w:szCs w:val="24"/>
                <w:highlight w:val="none"/>
                <w:lang w:val="en-US" w:eastAsia="zh-CN" w:bidi="ar-SA"/>
              </w:rPr>
              <w:t xml:space="preserve">实施完成</w:t>
            </w:r>
            <w:r>
              <w:rPr>
                <w:rFonts w:ascii="宋体" w:hAnsi="宋体" w:eastAsia="Arial" w:cs="Arial"/>
                <w:sz w:val="24"/>
                <w:szCs w:val="24"/>
                <w:highlight w:val="none"/>
                <w:lang w:val="en-US" w:eastAsia="zh-CN" w:bidi="ar-SA"/>
              </w:rPr>
              <w:t xml:space="preserve">的相似</w:t>
            </w:r>
            <w:r>
              <w:rPr>
                <w:rFonts w:hint="eastAsia" w:ascii="宋体" w:hAnsi="宋体" w:eastAsia="Arial" w:cs="Arial"/>
                <w:sz w:val="24"/>
                <w:szCs w:val="24"/>
                <w:highlight w:val="none"/>
                <w:lang w:val="en-US" w:eastAsia="zh-CN" w:bidi="ar-SA"/>
              </w:rPr>
              <w:t xml:space="preserve">业绩</w:t>
            </w:r>
            <w:r>
              <w:rPr>
                <w:rFonts w:hint="eastAsia" w:ascii="宋体" w:hAnsi="宋体" w:eastAsia="宋体" w:cs="宋体"/>
                <w:color w:val="000000"/>
                <w:sz w:val="24"/>
                <w:szCs w:val="24"/>
                <w:highlight w:val="none"/>
                <w:lang w:val="en-US" w:eastAsia="zh-CN" w:bidi="ar-SA"/>
              </w:rPr>
              <w:t xml:space="preserve">，每提供一个得2分，最高得6分。</w:t>
            </w:r>
            <w:r>
              <w:rPr>
                <w:rFonts w:hint="eastAsia" w:ascii="宋体" w:hAnsi="宋体" w:eastAsia="宋体" w:cs="宋体"/>
                <w:color w:val="000000"/>
                <w:sz w:val="24"/>
                <w:szCs w:val="24"/>
                <w:highlight w:val="none"/>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2"/>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w:t>
            </w:r>
            <w:r>
              <w:rPr>
                <w:rFonts w:hint="eastAsia" w:ascii="宋体" w:hAnsi="宋体" w:eastAsia="Arial" w:cs="Arial"/>
                <w:b/>
                <w:bCs/>
                <w:sz w:val="24"/>
                <w:szCs w:val="24"/>
                <w:highlight w:val="none"/>
                <w:lang w:val="en-US" w:eastAsia="zh-CN" w:bidi="ar-SA"/>
              </w:rPr>
              <w:t xml:space="preserve">提供合同和验收报告</w:t>
            </w:r>
            <w:r>
              <w:rPr>
                <w:rFonts w:hint="eastAsia" w:ascii="Calibri" w:hAnsi="Calibri" w:eastAsia="宋体" w:cs="Times New Roman"/>
                <w:b/>
                <w:bCs/>
                <w:sz w:val="24"/>
                <w:szCs w:val="24"/>
                <w:highlight w:val="none"/>
                <w:lang w:val="en-US" w:eastAsia="zh-CN" w:bidi="ar-SA"/>
              </w:rPr>
              <w:t xml:space="preserve">原件扫描件并加盖投标人公章</w:t>
            </w:r>
            <w:r>
              <w:rPr>
                <w:rFonts w:hint="eastAsia" w:ascii="宋体" w:hAnsi="宋体" w:eastAsia="Arial" w:cs="宋体"/>
                <w:b/>
                <w:color w:val="000000"/>
                <w:sz w:val="24"/>
                <w:szCs w:val="24"/>
                <w:highlight w:val="none"/>
                <w:lang w:val="en-US" w:eastAsia="zh-CN" w:bidi="ar-SA"/>
              </w:rPr>
              <w:t xml:space="preserve">，合同标的名称、签订时间等信息必须清晰，不得覆盖，否则不得分。</w:t>
            </w:r>
            <w:r>
              <w:rPr>
                <w:rFonts w:hint="eastAsia" w:ascii="宋体" w:hAnsi="宋体" w:eastAsia="宋体" w:cs="宋体"/>
                <w:sz w:val="21"/>
                <w:szCs w:val="22"/>
                <w:highlight w:val="none"/>
                <w:lang w:val="en-US" w:eastAsia="zh-CN" w:bidi="ar-SA"/>
              </w:rPr>
            </w:r>
            <w:r/>
          </w:p>
        </w:tc>
      </w:tr>
      <w:tr>
        <w:trPr>
          <w:trHeight w:val="2278"/>
        </w:trPr>
        <w:tc>
          <w:tcPr>
            <w:tcW w:w="1660" w:type="dxa"/>
            <w:vAlign w:val="center"/>
            <w:textDirection w:val="lrTb"/>
            <w:noWrap w:val="false"/>
          </w:tcPr>
          <w:p>
            <w:pPr>
              <w:pStyle w:val="752"/>
              <w:jc w:val="center"/>
              <w:spacing w:line="220" w:lineRule="atLeas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培训方案</w:t>
            </w:r>
            <w:r>
              <w:rPr>
                <w:rFonts w:hint="eastAsia" w:ascii="宋体" w:hAnsi="宋体" w:eastAsia="宋体" w:cs="宋体"/>
                <w:bCs/>
                <w:color w:val="000000"/>
                <w:sz w:val="24"/>
                <w:szCs w:val="24"/>
                <w:lang w:val="en-US" w:eastAsia="zh-CN" w:bidi="ar-SA"/>
              </w:rPr>
            </w:r>
            <w:r/>
          </w:p>
          <w:p>
            <w:pPr>
              <w:pStyle w:val="752"/>
              <w:jc w:val="center"/>
              <w:spacing w:line="276" w:lineRule="auto"/>
              <w:widowControl w:val="off"/>
              <w:rPr>
                <w:rFonts w:hint="eastAsia" w:ascii="宋体" w:hAnsi="宋体" w:eastAsia="宋体" w:cs="宋体"/>
                <w:sz w:val="21"/>
                <w:szCs w:val="22"/>
                <w:lang w:val="en-US" w:eastAsia="zh-CN" w:bidi="ar-SA"/>
              </w:rPr>
            </w:pPr>
            <w:r>
              <w:rPr>
                <w:rFonts w:hint="eastAsia" w:ascii="宋体" w:hAnsi="宋体" w:eastAsia="宋体" w:cs="宋体"/>
                <w:bCs/>
                <w:color w:val="000000"/>
                <w:sz w:val="24"/>
                <w:szCs w:val="24"/>
                <w:lang w:val="en-US" w:eastAsia="zh-CN" w:bidi="ar-SA"/>
              </w:rPr>
              <w:t xml:space="preserve">（8分）</w:t>
            </w:r>
            <w:r>
              <w:rPr>
                <w:rFonts w:hint="eastAsia" w:ascii="宋体" w:hAnsi="宋体" w:eastAsia="宋体" w:cs="宋体"/>
                <w:sz w:val="21"/>
                <w:szCs w:val="22"/>
                <w:lang w:val="en-US" w:eastAsia="zh-CN" w:bidi="ar-SA"/>
              </w:rPr>
            </w:r>
            <w:r/>
          </w:p>
        </w:tc>
        <w:tc>
          <w:tcPr>
            <w:tcW w:w="6959" w:type="dxa"/>
            <w:vAlign w:val="center"/>
            <w:textDirection w:val="lrTb"/>
            <w:noWrap w:val="false"/>
          </w:tcPr>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提供了本项目所有使用操作培训方案及负责培训的专职人员姓名简历、具体分工，资料（各种形式）配备方案，进行综合评价：</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提供了以上内容且完善详细，完全满足项目需</w:t>
            </w:r>
            <w:bookmarkStart w:id="28" w:name="_GoBack"/>
            <w:r/>
            <w:bookmarkEnd w:id="28"/>
            <w:r>
              <w:rPr>
                <w:rFonts w:hint="eastAsia" w:ascii="宋体" w:hAnsi="宋体" w:eastAsia="宋体" w:cs="宋体"/>
                <w:color w:val="000000"/>
                <w:sz w:val="24"/>
                <w:szCs w:val="24"/>
                <w:lang w:val="en-US" w:eastAsia="zh-CN" w:bidi="ar-SA"/>
              </w:rPr>
              <w:t xml:space="preserve">求：8分；</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满足项目需求，但内容较为详细的：5分；</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满足项目需求，但内容一般的：2分；</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2"/>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宋体" w:cs="宋体"/>
                <w:sz w:val="21"/>
                <w:szCs w:val="22"/>
                <w:lang w:val="en-US" w:eastAsia="zh-CN" w:bidi="ar-SA"/>
              </w:rPr>
            </w:r>
            <w:r/>
          </w:p>
        </w:tc>
      </w:tr>
      <w:tr>
        <w:trPr>
          <w:trHeight w:val="621"/>
        </w:trPr>
        <w:tc>
          <w:tcPr>
            <w:tcW w:w="1660" w:type="dxa"/>
            <w:vAlign w:val="center"/>
            <w:textDirection w:val="lrTb"/>
            <w:noWrap w:val="false"/>
          </w:tcPr>
          <w:p>
            <w:pPr>
              <w:pStyle w:val="752"/>
              <w:numPr>
                <w:ilvl w:val="0"/>
                <w:numId w:val="0"/>
              </w:numPr>
              <w:ind w:left="0" w:firstLine="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售后服务方案</w:t>
            </w:r>
            <w:r>
              <w:rPr>
                <w:rFonts w:hint="eastAsia" w:ascii="宋体" w:hAnsi="宋体" w:eastAsia="宋体" w:cs="宋体"/>
                <w:color w:val="000000"/>
                <w:sz w:val="24"/>
                <w:szCs w:val="24"/>
                <w:lang w:val="en-US" w:eastAsia="zh-CN" w:bidi="ar-SA"/>
              </w:rPr>
            </w:r>
            <w:r/>
          </w:p>
          <w:p>
            <w:pPr>
              <w:pStyle w:val="752"/>
              <w:numPr>
                <w:ilvl w:val="0"/>
                <w:numId w:val="0"/>
              </w:numPr>
              <w:ind w:left="0" w:firstLine="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（8分）</w:t>
            </w:r>
            <w:r>
              <w:rPr>
                <w:rFonts w:hint="eastAsia" w:ascii="宋体" w:hAnsi="宋体" w:eastAsia="宋体" w:cs="宋体"/>
                <w:color w:val="000000"/>
                <w:sz w:val="24"/>
                <w:szCs w:val="24"/>
                <w:lang w:val="en-US" w:eastAsia="zh-CN" w:bidi="ar-SA"/>
              </w:rPr>
            </w:r>
            <w:r/>
          </w:p>
        </w:tc>
        <w:tc>
          <w:tcPr>
            <w:tcW w:w="6959" w:type="dxa"/>
            <w:vAlign w:val="center"/>
            <w:textDirection w:val="lrTb"/>
            <w:noWrap w:val="false"/>
          </w:tcPr>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1.供应商承诺中标后3日内提供原厂售后服务承诺函的得3分。</w:t>
            </w:r>
            <w:r>
              <w:rPr>
                <w:rFonts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2、对供应商提供的售后服务方案进行打分，包含但不限于售后服务方案，服务响应时间，售后服务体系，售后服务承诺及质保期等内容：</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方案科学合理，可操作性强的得5分；</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方案较科学合理，可操作性较强的得3分；</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方案科学性、合理性一般，可操作性一般的得1分；</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宋体" w:cs="宋体"/>
                <w:color w:val="000000"/>
                <w:sz w:val="24"/>
                <w:szCs w:val="24"/>
                <w:lang w:val="en-US" w:eastAsia="zh-CN" w:bidi="ar-SA"/>
              </w:rPr>
            </w:r>
            <w:r/>
          </w:p>
        </w:tc>
      </w:tr>
      <w:tr>
        <w:trPr>
          <w:trHeight w:val="621"/>
        </w:trPr>
        <w:tc>
          <w:tcPr>
            <w:tcW w:w="1660" w:type="dxa"/>
            <w:vAlign w:val="center"/>
            <w:textDirection w:val="lrTb"/>
            <w:noWrap w:val="false"/>
          </w:tcPr>
          <w:p>
            <w:pPr>
              <w:pStyle w:val="752"/>
              <w:jc w:val="center"/>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项目实施能力及方案</w:t>
            </w:r>
            <w:r>
              <w:rPr>
                <w:rFonts w:hint="eastAsia" w:ascii="宋体" w:hAnsi="宋体" w:eastAsia="宋体" w:cs="宋体"/>
                <w:bCs/>
                <w:color w:val="000000"/>
                <w:sz w:val="24"/>
                <w:szCs w:val="24"/>
                <w:lang w:val="en-US" w:eastAsia="zh-CN" w:bidi="ar-SA"/>
              </w:rPr>
            </w:r>
            <w:r/>
          </w:p>
          <w:p>
            <w:pPr>
              <w:pStyle w:val="752"/>
              <w:jc w:val="center"/>
              <w:spacing w:line="276"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（8分）</w:t>
            </w:r>
            <w:r>
              <w:rPr>
                <w:rFonts w:hint="eastAsia" w:ascii="宋体" w:hAnsi="宋体" w:eastAsia="宋体" w:cs="宋体"/>
                <w:bCs/>
                <w:color w:val="000000"/>
                <w:sz w:val="24"/>
                <w:szCs w:val="24"/>
                <w:lang w:val="en-US" w:eastAsia="zh-CN" w:bidi="ar-SA"/>
              </w:rPr>
            </w:r>
            <w:r/>
          </w:p>
        </w:tc>
        <w:tc>
          <w:tcPr>
            <w:tcW w:w="6959" w:type="dxa"/>
            <w:vAlign w:val="center"/>
            <w:textDirection w:val="lrTb"/>
            <w:noWrap w:val="false"/>
          </w:tcPr>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对供应商提供的项目实施方案进行打分，包含但不限于实施调试部署规划设计、设备巡检检查规划设计、项目实施管理等一系列实施方案等内容：</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方案科学合理，可操作性强的得8分；</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方案科学性、合理性一般，可操作性一般的得5分；</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方案科学性、合理性较差，可操作性较差的得2分；</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宋体" w:cs="宋体"/>
                <w:bCs/>
                <w:color w:val="000000"/>
                <w:sz w:val="24"/>
                <w:szCs w:val="24"/>
                <w:lang w:val="en-US" w:eastAsia="zh-CN" w:bidi="ar-SA"/>
              </w:rPr>
            </w:r>
            <w:r/>
          </w:p>
        </w:tc>
      </w:tr>
    </w:tbl>
    <w:p>
      <w:pPr>
        <w:pStyle w:val="752"/>
        <w:rPr>
          <w:rFonts w:hint="eastAsia" w:ascii="宋体" w:hAnsi="宋体" w:eastAsia="宋体" w:cs="宋体"/>
        </w:rPr>
      </w:pPr>
      <w:r>
        <w:rPr>
          <w:rFonts w:hint="eastAsia" w:ascii="宋体" w:hAnsi="宋体" w:eastAsia="宋体" w:cs="宋体"/>
        </w:rPr>
      </w:r>
      <w:r/>
    </w:p>
    <w:p>
      <w:pPr>
        <w:pStyle w:val="752"/>
      </w:pPr>
      <w:r/>
      <w:r/>
    </w:p>
    <w:p>
      <w:pPr>
        <w:pStyle w:val="752"/>
        <w:rPr>
          <w:rFonts w:hint="eastAsia" w:ascii="宋体" w:hAnsi="宋体" w:eastAsia="宋体" w:cs="宋体"/>
        </w:rPr>
      </w:pPr>
      <w:r>
        <w:rPr>
          <w:rFonts w:hint="eastAsia" w:ascii="宋体" w:hAnsi="宋体" w:eastAsia="宋体" w:cs="宋体"/>
        </w:rPr>
      </w:r>
      <w:r/>
    </w:p>
    <w:p>
      <w:pPr>
        <w:pStyle w:val="752"/>
      </w:pPr>
      <w:r/>
      <w:r/>
    </w:p>
    <w:p>
      <w:pPr>
        <w:pStyle w:val="752"/>
        <w:rPr>
          <w:rFonts w:hint="eastAsia" w:ascii="宋体" w:hAnsi="宋体" w:eastAsia="宋体" w:cs="宋体"/>
        </w:rPr>
      </w:pPr>
      <w:r>
        <w:rPr>
          <w:rFonts w:hint="eastAsia" w:ascii="宋体" w:hAnsi="宋体" w:eastAsia="宋体" w:cs="宋体"/>
        </w:rPr>
      </w:r>
      <w:r/>
    </w:p>
    <w:p>
      <w:pPr>
        <w:pStyle w:val="752"/>
      </w:pPr>
      <w:r>
        <w:br w:type="page" w:clear="all"/>
      </w:r>
      <w:r/>
    </w:p>
    <w:p>
      <w:pPr>
        <w:pStyle w:val="752"/>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000000"/>
          <w:sz w:val="30"/>
          <w:szCs w:val="30"/>
          <w:highlight w:val="none"/>
        </w:rPr>
        <w:outlineLvl w:val="3"/>
      </w:pPr>
      <w:r>
        <w:rPr>
          <w:rFonts w:hint="eastAsia" w:ascii="宋体" w:hAnsi="宋体" w:eastAsia="宋体"/>
          <w:b/>
          <w:color w:val="000000"/>
          <w:sz w:val="30"/>
          <w:szCs w:val="30"/>
          <w:highlight w:val="none"/>
          <w:lang w:val="en-US" w:eastAsia="zh-CN"/>
        </w:rPr>
        <w:t xml:space="preserve">分包二：</w:t>
      </w:r>
      <w:r>
        <w:rPr>
          <w:rFonts w:hint="eastAsia" w:ascii="宋体" w:hAnsi="宋体"/>
          <w:b/>
          <w:color w:val="000000"/>
          <w:sz w:val="30"/>
          <w:szCs w:val="30"/>
          <w:highlight w:val="none"/>
        </w:rPr>
        <w:t xml:space="preserve">综合评分法</w:t>
      </w:r>
      <w:r>
        <w:rPr>
          <w:rFonts w:hint="eastAsia" w:ascii="宋体" w:hAnsi="宋体"/>
          <w:b/>
          <w:color w:val="000000"/>
          <w:sz w:val="30"/>
          <w:szCs w:val="30"/>
          <w:highlight w:val="none"/>
        </w:rPr>
      </w:r>
      <w:r/>
    </w:p>
    <w:p>
      <w:pPr>
        <w:pStyle w:val="752"/>
        <w:ind w:firstLine="480"/>
        <w:jc w:val="left"/>
        <w:spacing w:line="500" w:lineRule="exact"/>
        <w:rPr>
          <w:sz w:val="24"/>
          <w:szCs w:val="24"/>
        </w:rPr>
        <w:outlineLvl w:val="2"/>
      </w:pPr>
      <w:r>
        <w:rPr>
          <w:rFonts w:hint="eastAsia"/>
          <w:sz w:val="24"/>
          <w:szCs w:val="24"/>
        </w:rPr>
        <w:t xml:space="preserve">（1）价格分（30分）</w:t>
      </w:r>
      <w:r>
        <w:rPr>
          <w:sz w:val="24"/>
          <w:szCs w:val="24"/>
        </w:rPr>
      </w:r>
      <w:r/>
    </w:p>
    <w:p>
      <w:pPr>
        <w:pStyle w:val="752"/>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752"/>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752"/>
        <w:ind w:firstLine="480"/>
        <w:jc w:val="left"/>
        <w:spacing w:line="500" w:lineRule="exact"/>
        <w:rPr>
          <w:sz w:val="24"/>
          <w:szCs w:val="24"/>
        </w:rPr>
      </w:pPr>
      <w:r>
        <w:rPr>
          <w:rFonts w:hint="eastAsia"/>
          <w:sz w:val="24"/>
          <w:szCs w:val="24"/>
        </w:rPr>
        <w:t xml:space="preserve">因落实政府采购政策进行价格扣除的，用扣除后的价格参加评审。</w:t>
      </w:r>
      <w:r>
        <w:rPr>
          <w:sz w:val="24"/>
          <w:szCs w:val="24"/>
        </w:rPr>
      </w:r>
      <w:r/>
    </w:p>
    <w:p>
      <w:pPr>
        <w:pStyle w:val="752"/>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40</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752"/>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评审因素</w:t>
            </w:r>
            <w:r>
              <w:rPr>
                <w:rFonts w:ascii="黑体" w:hAnsi="黑体" w:eastAsia="黑体" w:cs="Times New Roman"/>
                <w:color w:val="000000"/>
                <w:sz w:val="24"/>
                <w:szCs w:val="24"/>
                <w:lang w:val="en-US" w:eastAsia="zh-CN" w:bidi="ar-SA"/>
              </w:rPr>
            </w:r>
            <w:r/>
          </w:p>
        </w:tc>
        <w:tc>
          <w:tcPr>
            <w:tcW w:w="6845" w:type="dxa"/>
            <w:vAlign w:val="center"/>
            <w:textDirection w:val="lrTb"/>
            <w:noWrap w:val="false"/>
          </w:tcPr>
          <w:p>
            <w:pPr>
              <w:pStyle w:val="752"/>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评审标准</w:t>
            </w:r>
            <w:r>
              <w:rPr>
                <w:rFonts w:ascii="黑体" w:hAnsi="黑体" w:eastAsia="黑体" w:cs="Times New Roman"/>
                <w:color w:val="000000"/>
                <w:sz w:val="24"/>
                <w:szCs w:val="24"/>
                <w:lang w:val="en-US" w:eastAsia="zh-CN" w:bidi="ar-SA"/>
              </w:rPr>
            </w:r>
            <w:r/>
          </w:p>
        </w:tc>
      </w:tr>
      <w:tr>
        <w:trPr>
          <w:trHeight w:val="621"/>
        </w:trPr>
        <w:tc>
          <w:tcPr>
            <w:tcW w:w="1660" w:type="dxa"/>
            <w:vAlign w:val="center"/>
            <w:textDirection w:val="lrTb"/>
            <w:noWrap w:val="false"/>
          </w:tcPr>
          <w:p>
            <w:pPr>
              <w:pStyle w:val="752"/>
              <w:jc w:val="center"/>
              <w:spacing w:line="220" w:lineRule="atLeast"/>
              <w:widowControl w:val="off"/>
              <w:rPr>
                <w:rFonts w:ascii="宋体" w:hAnsi="宋体" w:eastAsia="Arial" w:cs="宋体"/>
                <w:color w:val="000000"/>
                <w:sz w:val="24"/>
                <w:szCs w:val="24"/>
                <w:lang w:val="en-US" w:eastAsia="zh-CN" w:bidi="ar-SA"/>
              </w:rPr>
            </w:pPr>
            <w:r>
              <w:rPr>
                <w:rFonts w:hint="eastAsia" w:ascii="宋体" w:hAnsi="宋体" w:eastAsia="Arial" w:cs="宋体"/>
                <w:color w:val="000000"/>
                <w:sz w:val="24"/>
                <w:szCs w:val="24"/>
                <w:lang w:val="en-US" w:eastAsia="zh-CN" w:bidi="ar-SA"/>
              </w:rPr>
              <w:t xml:space="preserve">技术分</w:t>
            </w:r>
            <w:r>
              <w:rPr>
                <w:rFonts w:ascii="宋体" w:hAnsi="宋体" w:eastAsia="Arial" w:cs="宋体"/>
                <w:color w:val="000000"/>
                <w:sz w:val="24"/>
                <w:szCs w:val="24"/>
                <w:lang w:val="en-US" w:eastAsia="zh-CN" w:bidi="ar-SA"/>
              </w:rPr>
            </w:r>
            <w:r/>
          </w:p>
          <w:p>
            <w:pPr>
              <w:pStyle w:val="752"/>
              <w:jc w:val="center"/>
              <w:spacing w:line="276" w:lineRule="auto"/>
              <w:widowControl w:val="off"/>
              <w:rPr>
                <w:rFonts w:ascii="Calibri" w:hAnsi="Calibri" w:eastAsia="Arial" w:cs="Arial"/>
                <w:sz w:val="21"/>
                <w:szCs w:val="22"/>
                <w:lang w:val="en-US" w:eastAsia="zh-CN" w:bidi="ar-SA"/>
              </w:rPr>
            </w:pPr>
            <w:r>
              <w:rPr>
                <w:rFonts w:hint="eastAsia" w:ascii="宋体" w:hAnsi="宋体" w:eastAsia="Arial" w:cs="宋体"/>
                <w:color w:val="000000"/>
                <w:sz w:val="24"/>
                <w:szCs w:val="24"/>
                <w:lang w:val="en-US" w:eastAsia="zh-CN" w:bidi="ar-SA"/>
              </w:rPr>
              <w:t xml:space="preserve">（40分）</w:t>
            </w:r>
            <w:r>
              <w:rPr>
                <w:rFonts w:ascii="Calibri" w:hAnsi="Calibri" w:eastAsia="Arial" w:cs="Arial"/>
                <w:sz w:val="21"/>
                <w:szCs w:val="22"/>
                <w:lang w:val="en-US" w:eastAsia="zh-CN" w:bidi="ar-SA"/>
              </w:rPr>
            </w:r>
            <w:r/>
          </w:p>
        </w:tc>
        <w:tc>
          <w:tcPr>
            <w:tcW w:w="6845" w:type="dxa"/>
            <w:vAlign w:val="center"/>
            <w:textDirection w:val="lrTb"/>
            <w:noWrap w:val="false"/>
          </w:tcPr>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所</w:t>
            </w:r>
            <w:r>
              <w:rPr>
                <w:rFonts w:hint="eastAsia" w:ascii="宋体" w:hAnsi="宋体" w:eastAsia="宋体" w:cs="宋体"/>
                <w:color w:val="000000"/>
                <w:sz w:val="24"/>
                <w:szCs w:val="24"/>
                <w:highlight w:val="none"/>
                <w:lang w:val="en-US" w:eastAsia="zh-CN" w:bidi="ar-SA"/>
              </w:rPr>
              <w:t xml:space="preserve">投产品的技术指标完全满足招标文件参数要求且提供证明材料全面无任何负偏离的，得40分。</w:t>
            </w:r>
            <w:r>
              <w:rPr>
                <w:rFonts w:hint="eastAsia" w:ascii="宋体" w:hAnsi="宋体" w:eastAsia="宋体" w:cs="宋体"/>
                <w:color w:val="000000"/>
                <w:sz w:val="24"/>
                <w:szCs w:val="24"/>
                <w:highlight w:val="none"/>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标注▲的指标每有一项负偏离扣2分；其他参数每有一项负偏离扣0.2分，扣完为止。</w:t>
            </w:r>
            <w:r>
              <w:rPr>
                <w:rFonts w:hint="eastAsia" w:ascii="宋体" w:hAnsi="宋体" w:eastAsia="宋体" w:cs="宋体"/>
                <w:color w:val="000000"/>
                <w:sz w:val="24"/>
                <w:szCs w:val="24"/>
                <w:highlight w:val="none"/>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Arial" w:cs="Arial"/>
                <w:sz w:val="21"/>
                <w:szCs w:val="22"/>
                <w:lang w:val="en-US" w:eastAsia="zh-CN" w:bidi="ar-SA"/>
              </w:rPr>
            </w:pPr>
            <w:r>
              <w:rPr>
                <w:rFonts w:hint="eastAsia" w:ascii="宋体" w:hAnsi="宋体" w:eastAsia="宋体" w:cs="宋体"/>
                <w:b/>
                <w:bCs/>
                <w:color w:val="000000"/>
                <w:sz w:val="24"/>
                <w:szCs w:val="24"/>
                <w:highlight w:val="none"/>
                <w:lang w:val="en-US" w:eastAsia="zh-CN" w:bidi="ar-SA"/>
              </w:rPr>
              <w:t xml:space="preserve">注：投标人针对本项评审内容在响应文件《技术规格偏离表》中逐条列出响应及偏离情况，采购需求中要求提供证明材料的，并加盖供应商公章，以证明材料为准，未提供相关证明材料或者提供材料与要求不符的视为负偏离。</w:t>
            </w:r>
            <w:r>
              <w:rPr>
                <w:rFonts w:ascii="Calibri" w:hAnsi="Calibri" w:eastAsia="Arial" w:cs="Arial"/>
                <w:sz w:val="21"/>
                <w:szCs w:val="22"/>
                <w:lang w:val="en-US" w:eastAsia="zh-CN" w:bidi="ar-SA"/>
              </w:rPr>
            </w:r>
            <w:r/>
          </w:p>
        </w:tc>
      </w:tr>
    </w:tbl>
    <w:p>
      <w:pPr>
        <w:pStyle w:val="752"/>
        <w:ind w:firstLine="480"/>
        <w:jc w:val="left"/>
        <w:spacing w:line="500" w:lineRule="exact"/>
        <w:rPr>
          <w:sz w:val="24"/>
          <w:szCs w:val="24"/>
        </w:rPr>
      </w:pPr>
      <w:r>
        <w:rPr>
          <w:rFonts w:hint="eastAsia"/>
          <w:sz w:val="24"/>
          <w:szCs w:val="24"/>
        </w:rPr>
        <w:t xml:space="preserve">（3）商务分（</w:t>
      </w:r>
      <w:r>
        <w:rPr>
          <w:rFonts w:hint="eastAsia" w:eastAsia="宋体"/>
          <w:sz w:val="24"/>
          <w:szCs w:val="24"/>
          <w:lang w:val="en-US" w:eastAsia="zh-CN"/>
        </w:rPr>
        <w:t xml:space="preserve">30</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752"/>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评审因素</w:t>
            </w:r>
            <w:r>
              <w:rPr>
                <w:rFonts w:ascii="黑体" w:hAnsi="黑体" w:eastAsia="黑体" w:cs="Times New Roman"/>
                <w:color w:val="000000"/>
                <w:sz w:val="24"/>
                <w:szCs w:val="24"/>
                <w:lang w:val="en-US" w:eastAsia="zh-CN" w:bidi="ar-SA"/>
              </w:rPr>
            </w:r>
            <w:r/>
          </w:p>
        </w:tc>
        <w:tc>
          <w:tcPr>
            <w:tcW w:w="6845" w:type="dxa"/>
            <w:vAlign w:val="center"/>
            <w:textDirection w:val="lrTb"/>
            <w:noWrap w:val="false"/>
          </w:tcPr>
          <w:p>
            <w:pPr>
              <w:pStyle w:val="752"/>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评审标准</w:t>
            </w:r>
            <w:r>
              <w:rPr>
                <w:rFonts w:ascii="黑体" w:hAnsi="黑体" w:eastAsia="黑体" w:cs="Times New Roman"/>
                <w:color w:val="000000"/>
                <w:sz w:val="24"/>
                <w:szCs w:val="24"/>
                <w:lang w:val="en-US" w:eastAsia="zh-CN" w:bidi="ar-SA"/>
              </w:rPr>
            </w:r>
            <w:r/>
          </w:p>
        </w:tc>
      </w:tr>
      <w:tr>
        <w:trPr>
          <w:trHeight w:val="621"/>
        </w:trPr>
        <w:tc>
          <w:tcPr>
            <w:tcW w:w="1660" w:type="dxa"/>
            <w:vAlign w:val="center"/>
            <w:textDirection w:val="lrTb"/>
            <w:noWrap w:val="false"/>
          </w:tcPr>
          <w:p>
            <w:pPr>
              <w:pStyle w:val="752"/>
              <w:jc w:val="center"/>
              <w:spacing w:line="220" w:lineRule="atLeast"/>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业绩</w:t>
            </w:r>
            <w:r>
              <w:rPr>
                <w:rFonts w:ascii="宋体" w:hAnsi="宋体" w:eastAsia="Arial" w:cs="宋体"/>
                <w:bCs/>
                <w:color w:val="000000"/>
                <w:sz w:val="24"/>
                <w:szCs w:val="24"/>
                <w:lang w:val="en-US" w:eastAsia="zh-CN" w:bidi="ar-SA"/>
              </w:rPr>
            </w:r>
            <w:r/>
          </w:p>
          <w:p>
            <w:pPr>
              <w:pStyle w:val="752"/>
              <w:jc w:val="center"/>
              <w:spacing w:line="276" w:lineRule="auto"/>
              <w:widowControl w:val="off"/>
              <w:rPr>
                <w:rFonts w:ascii="Calibri" w:hAnsi="Calibri" w:eastAsia="Arial" w:cs="Arial"/>
                <w:sz w:val="21"/>
                <w:szCs w:val="22"/>
                <w:lang w:val="en-US" w:eastAsia="zh-CN" w:bidi="ar-SA"/>
              </w:rPr>
            </w:pPr>
            <w:r>
              <w:rPr>
                <w:rFonts w:hint="eastAsia" w:ascii="宋体" w:hAnsi="宋体" w:eastAsia="Arial"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CN" w:bidi="ar-SA"/>
              </w:rPr>
              <w:t xml:space="preserve">6</w:t>
            </w:r>
            <w:r>
              <w:rPr>
                <w:rFonts w:hint="eastAsia" w:ascii="宋体" w:hAnsi="宋体" w:eastAsia="Arial" w:cs="宋体"/>
                <w:bCs/>
                <w:color w:val="000000"/>
                <w:sz w:val="24"/>
                <w:szCs w:val="24"/>
                <w:lang w:val="en-US" w:eastAsia="zh-CN" w:bidi="ar-SA"/>
              </w:rPr>
              <w:t xml:space="preserve">分）</w:t>
            </w:r>
            <w:r>
              <w:rPr>
                <w:rFonts w:ascii="Calibri" w:hAnsi="Calibri" w:eastAsia="Arial" w:cs="Arial"/>
                <w:sz w:val="21"/>
                <w:szCs w:val="22"/>
                <w:lang w:val="en-US" w:eastAsia="zh-CN" w:bidi="ar-SA"/>
              </w:rPr>
            </w:r>
            <w:r/>
          </w:p>
        </w:tc>
        <w:tc>
          <w:tcPr>
            <w:tcW w:w="6845" w:type="dxa"/>
            <w:vAlign w:val="center"/>
            <w:textDirection w:val="lrTb"/>
            <w:noWrap w:val="false"/>
          </w:tcPr>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Arial" w:cs="Arial"/>
                <w:color w:val="000000"/>
                <w:sz w:val="24"/>
                <w:szCs w:val="24"/>
                <w:highlight w:val="none"/>
                <w:lang w:val="en-US" w:eastAsia="zh-CN" w:bidi="ar-SA"/>
              </w:rPr>
              <w:t xml:space="preserve">投标供应商</w:t>
            </w:r>
            <w:r>
              <w:rPr>
                <w:rFonts w:hint="eastAsia" w:ascii="宋体" w:hAnsi="宋体" w:eastAsia="宋体" w:cs="宋体"/>
                <w:color w:val="000000"/>
                <w:sz w:val="24"/>
                <w:szCs w:val="24"/>
                <w:highlight w:val="none"/>
                <w:lang w:val="en-US" w:eastAsia="zh-CN" w:bidi="ar-SA"/>
              </w:rPr>
              <w:t xml:space="preserve">提供承担过自2021年1月1日至今（以合同签订日期为准）</w:t>
            </w:r>
            <w:r>
              <w:rPr>
                <w:rFonts w:hint="eastAsia" w:ascii="宋体" w:hAnsi="宋体" w:eastAsia="Arial" w:cs="Arial"/>
                <w:color w:val="000000"/>
                <w:sz w:val="24"/>
                <w:szCs w:val="24"/>
                <w:highlight w:val="none"/>
                <w:lang w:val="en-US" w:eastAsia="zh-CN" w:bidi="ar-SA"/>
              </w:rPr>
              <w:t xml:space="preserve">已</w:t>
            </w:r>
            <w:r>
              <w:rPr>
                <w:rFonts w:ascii="宋体" w:hAnsi="宋体" w:eastAsia="Arial" w:cs="Arial"/>
                <w:color w:val="000000"/>
                <w:sz w:val="24"/>
                <w:szCs w:val="24"/>
                <w:highlight w:val="none"/>
                <w:lang w:val="en-US" w:eastAsia="zh-CN" w:bidi="ar-SA"/>
              </w:rPr>
              <w:t xml:space="preserve">签订并</w:t>
            </w:r>
            <w:r>
              <w:rPr>
                <w:rFonts w:hint="eastAsia" w:ascii="宋体" w:hAnsi="宋体" w:eastAsia="Arial" w:cs="Arial"/>
                <w:color w:val="000000"/>
                <w:sz w:val="24"/>
                <w:szCs w:val="24"/>
                <w:highlight w:val="none"/>
                <w:lang w:val="en-US" w:eastAsia="zh-CN" w:bidi="ar-SA"/>
              </w:rPr>
              <w:t xml:space="preserve">实施完成</w:t>
            </w:r>
            <w:r>
              <w:rPr>
                <w:rFonts w:ascii="宋体" w:hAnsi="宋体" w:eastAsia="Arial" w:cs="Arial"/>
                <w:color w:val="000000"/>
                <w:sz w:val="24"/>
                <w:szCs w:val="24"/>
                <w:highlight w:val="none"/>
                <w:lang w:val="en-US" w:eastAsia="zh-CN" w:bidi="ar-SA"/>
              </w:rPr>
              <w:t xml:space="preserve">的相似</w:t>
            </w:r>
            <w:r>
              <w:rPr>
                <w:rFonts w:hint="eastAsia" w:ascii="宋体" w:hAnsi="宋体" w:eastAsia="Arial" w:cs="Arial"/>
                <w:color w:val="000000"/>
                <w:sz w:val="24"/>
                <w:szCs w:val="24"/>
                <w:highlight w:val="none"/>
                <w:lang w:val="en-US" w:eastAsia="zh-CN" w:bidi="ar-SA"/>
              </w:rPr>
              <w:t xml:space="preserve">业绩</w:t>
            </w:r>
            <w:r>
              <w:rPr>
                <w:rFonts w:hint="eastAsia" w:ascii="宋体" w:hAnsi="宋体" w:eastAsia="宋体" w:cs="宋体"/>
                <w:color w:val="000000"/>
                <w:sz w:val="24"/>
                <w:szCs w:val="24"/>
                <w:highlight w:val="none"/>
                <w:lang w:val="en-US" w:eastAsia="zh-CN" w:bidi="ar-SA"/>
              </w:rPr>
              <w:t xml:space="preserve">，每提供一个得2分，最高得6分。</w:t>
            </w:r>
            <w:r>
              <w:rPr>
                <w:rFonts w:hint="eastAsia" w:ascii="宋体" w:hAnsi="宋体" w:eastAsia="宋体" w:cs="宋体"/>
                <w:color w:val="000000"/>
                <w:sz w:val="24"/>
                <w:szCs w:val="24"/>
                <w:highlight w:val="none"/>
                <w:lang w:val="en-US" w:eastAsia="zh-CN" w:bidi="ar-SA"/>
              </w:rPr>
            </w:r>
            <w:r/>
          </w:p>
          <w:p>
            <w:pPr>
              <w:pStyle w:val="758"/>
              <w:ind w:left="0" w:firstLine="0"/>
              <w:jc w:val="left"/>
              <w:spacing w:line="360" w:lineRule="auto"/>
              <w:widowControl w:val="off"/>
              <w:rPr>
                <w:rFonts w:ascii="Times New Roman" w:hAnsi="Times New Roman" w:eastAsia="宋体" w:cs="Times New Roman"/>
                <w:sz w:val="21"/>
                <w:szCs w:val="24"/>
                <w:lang w:val="en-US" w:eastAsia="zh-CN" w:bidi="ar-SA"/>
              </w:rPr>
            </w:pPr>
            <w:r>
              <w:rPr>
                <w:rFonts w:hint="eastAsia" w:ascii="宋体" w:hAnsi="宋体" w:eastAsia="宋体" w:cs="宋体"/>
                <w:b/>
                <w:bCs/>
                <w:color w:val="000000"/>
                <w:sz w:val="24"/>
                <w:szCs w:val="24"/>
                <w:lang w:val="en-US" w:eastAsia="zh-CN" w:bidi="ar-SA"/>
              </w:rPr>
              <w:t xml:space="preserve">注：</w:t>
            </w:r>
            <w:r>
              <w:rPr>
                <w:rFonts w:hint="eastAsia" w:ascii="宋体" w:hAnsi="宋体" w:eastAsia="宋体" w:cs="Times New Roman"/>
                <w:b/>
                <w:bCs/>
                <w:sz w:val="24"/>
                <w:szCs w:val="24"/>
                <w:highlight w:val="none"/>
                <w:lang w:val="en-US" w:eastAsia="zh-CN" w:bidi="ar-SA"/>
              </w:rPr>
              <w:t xml:space="preserve">提供合同和验收报告</w:t>
            </w:r>
            <w:r>
              <w:rPr>
                <w:rFonts w:hint="eastAsia" w:ascii="Times New Roman" w:hAnsi="Times New Roman" w:eastAsia="宋体" w:cs="Times New Roman"/>
                <w:b/>
                <w:bCs/>
                <w:sz w:val="24"/>
                <w:szCs w:val="24"/>
                <w:highlight w:val="none"/>
                <w:lang w:val="en-US" w:eastAsia="zh-CN" w:bidi="ar-SA"/>
              </w:rPr>
              <w:t xml:space="preserve">原件扫描件并加盖投标人公章</w:t>
            </w:r>
            <w:r>
              <w:rPr>
                <w:rFonts w:hint="eastAsia" w:ascii="宋体" w:hAnsi="宋体" w:eastAsia="宋体" w:cs="宋体"/>
                <w:b/>
                <w:color w:val="000000"/>
                <w:sz w:val="24"/>
                <w:szCs w:val="24"/>
                <w:lang w:val="en-US" w:eastAsia="zh-CN" w:bidi="ar-SA"/>
              </w:rPr>
              <w:t xml:space="preserve">，合同标的名称、签订时间等信息必须清晰，不得覆盖，否则不得分。</w:t>
            </w:r>
            <w:r>
              <w:rPr>
                <w:rFonts w:ascii="Times New Roman" w:hAnsi="Times New Roman" w:eastAsia="宋体" w:cs="Times New Roman"/>
                <w:sz w:val="21"/>
                <w:szCs w:val="24"/>
                <w:lang w:val="en-US" w:eastAsia="zh-CN" w:bidi="ar-SA"/>
              </w:rPr>
            </w:r>
            <w:r/>
          </w:p>
        </w:tc>
      </w:tr>
      <w:tr>
        <w:trPr>
          <w:trHeight w:val="621"/>
        </w:trPr>
        <w:tc>
          <w:tcPr>
            <w:tcW w:w="1660" w:type="dxa"/>
            <w:vAlign w:val="center"/>
            <w:textDirection w:val="lrTb"/>
            <w:noWrap w:val="false"/>
          </w:tcPr>
          <w:p>
            <w:pPr>
              <w:pStyle w:val="752"/>
              <w:jc w:val="center"/>
              <w:spacing w:line="220" w:lineRule="atLeast"/>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培训方案</w:t>
            </w:r>
            <w:r>
              <w:rPr>
                <w:rFonts w:ascii="宋体" w:hAnsi="宋体" w:eastAsia="Arial" w:cs="宋体"/>
                <w:bCs/>
                <w:color w:val="000000"/>
                <w:sz w:val="24"/>
                <w:szCs w:val="24"/>
                <w:lang w:val="en-US" w:eastAsia="zh-CN" w:bidi="ar-SA"/>
              </w:rPr>
            </w:r>
            <w:r/>
          </w:p>
          <w:p>
            <w:pPr>
              <w:pStyle w:val="752"/>
              <w:jc w:val="center"/>
              <w:spacing w:line="276" w:lineRule="auto"/>
              <w:widowControl w:val="off"/>
              <w:rPr>
                <w:rFonts w:ascii="Calibri" w:hAnsi="Calibri" w:eastAsia="Arial" w:cs="Arial"/>
                <w:sz w:val="21"/>
                <w:szCs w:val="22"/>
                <w:lang w:val="en-US" w:eastAsia="zh-CN" w:bidi="ar-SA"/>
              </w:rPr>
            </w:pPr>
            <w:r>
              <w:rPr>
                <w:rFonts w:hint="eastAsia" w:ascii="宋体" w:hAnsi="宋体" w:eastAsia="Arial"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CN" w:bidi="ar-SA"/>
              </w:rPr>
              <w:t xml:space="preserve">8</w:t>
            </w:r>
            <w:r>
              <w:rPr>
                <w:rFonts w:hint="eastAsia" w:ascii="宋体" w:hAnsi="宋体" w:eastAsia="Arial" w:cs="宋体"/>
                <w:bCs/>
                <w:color w:val="000000"/>
                <w:sz w:val="24"/>
                <w:szCs w:val="24"/>
                <w:lang w:val="en-US" w:eastAsia="zh-CN" w:bidi="ar-SA"/>
              </w:rPr>
              <w:t xml:space="preserve">分）</w:t>
            </w:r>
            <w:r>
              <w:rPr>
                <w:rFonts w:ascii="Calibri" w:hAnsi="Calibri" w:eastAsia="Arial" w:cs="Arial"/>
                <w:sz w:val="21"/>
                <w:szCs w:val="22"/>
                <w:lang w:val="en-US" w:eastAsia="zh-CN" w:bidi="ar-SA"/>
              </w:rPr>
            </w:r>
            <w:r/>
          </w:p>
        </w:tc>
        <w:tc>
          <w:tcPr>
            <w:tcW w:w="6845" w:type="dxa"/>
            <w:vAlign w:val="center"/>
            <w:textDirection w:val="lrTb"/>
            <w:noWrap w:val="false"/>
          </w:tcPr>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提供了本项目所有使用操作培训方案及负责培训的专职人员姓名简历、具体分工，资料（各种形式）配备方案，进行综合评价：</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提供了以上内容且完善详细，完全满足项目需求：8分；</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满足项目需求，但内容较为详细的：5分；</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满足项目需求，但内容一般的：2分；</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Arial" w:cs="Arial"/>
                <w:sz w:val="21"/>
                <w:szCs w:val="22"/>
                <w:lang w:val="en-US" w:eastAsia="zh-CN" w:bidi="ar-SA"/>
              </w:rPr>
            </w:pPr>
            <w:r>
              <w:rPr>
                <w:rFonts w:hint="eastAsia" w:ascii="宋体" w:hAnsi="宋体" w:eastAsia="宋体" w:cs="宋体"/>
                <w:color w:val="000000"/>
                <w:sz w:val="24"/>
                <w:szCs w:val="24"/>
                <w:lang w:val="en-US" w:eastAsia="zh-CN" w:bidi="ar-SA"/>
              </w:rPr>
              <w:t xml:space="preserve">不提供不得分。</w:t>
            </w:r>
            <w:r>
              <w:rPr>
                <w:rFonts w:ascii="Calibri" w:hAnsi="Calibri" w:eastAsia="Arial" w:cs="Arial"/>
                <w:sz w:val="21"/>
                <w:szCs w:val="22"/>
                <w:lang w:val="en-US" w:eastAsia="zh-CN" w:bidi="ar-SA"/>
              </w:rPr>
            </w:r>
            <w:r/>
          </w:p>
        </w:tc>
      </w:tr>
      <w:tr>
        <w:trPr>
          <w:trHeight w:val="621"/>
        </w:trPr>
        <w:tc>
          <w:tcPr>
            <w:tcW w:w="1660" w:type="dxa"/>
            <w:vAlign w:val="center"/>
            <w:textDirection w:val="lrTb"/>
            <w:noWrap w:val="false"/>
          </w:tcPr>
          <w:p>
            <w:pPr>
              <w:pStyle w:val="752"/>
              <w:jc w:val="center"/>
              <w:spacing w:line="220" w:lineRule="atLeast"/>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售后服务方案</w:t>
            </w:r>
            <w:r>
              <w:rPr>
                <w:rFonts w:ascii="宋体" w:hAnsi="宋体" w:eastAsia="Arial" w:cs="宋体"/>
                <w:bCs/>
                <w:color w:val="000000"/>
                <w:sz w:val="24"/>
                <w:szCs w:val="24"/>
                <w:lang w:val="en-US" w:eastAsia="zh-CN" w:bidi="ar-SA"/>
              </w:rPr>
            </w:r>
            <w:r/>
          </w:p>
          <w:p>
            <w:pPr>
              <w:pStyle w:val="752"/>
              <w:jc w:val="center"/>
              <w:spacing w:line="276" w:lineRule="auto"/>
              <w:widowControl w:val="off"/>
              <w:rPr>
                <w:rFonts w:hint="eastAsia"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（8分）</w:t>
            </w:r>
            <w:r>
              <w:rPr>
                <w:rFonts w:hint="eastAsia" w:ascii="宋体" w:hAnsi="宋体" w:eastAsia="Arial" w:cs="宋体"/>
                <w:bCs/>
                <w:color w:val="000000"/>
                <w:sz w:val="24"/>
                <w:szCs w:val="24"/>
                <w:lang w:val="en-US" w:eastAsia="zh-CN" w:bidi="ar-SA"/>
              </w:rPr>
            </w:r>
            <w:r/>
          </w:p>
        </w:tc>
        <w:tc>
          <w:tcPr>
            <w:tcW w:w="6845" w:type="dxa"/>
            <w:vAlign w:val="center"/>
            <w:textDirection w:val="lrTb"/>
            <w:noWrap w:val="false"/>
          </w:tcPr>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供应商承诺中标后3日内提供原厂售后服务承诺函的得3分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2、对供应商提供的售后服务方案进行打分，包含但不限于售后服务方案，服务响应时间，售后服务体系，售后服务承诺及质保期等内容：</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方案科学合理，可操作性强的得5分；</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方案较科学合理，可操作性较强的得3分；</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方案科学性、合理性一般，可操作性一般的得1分；</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Arial" w:cs="宋体"/>
                <w:bCs/>
                <w:color w:val="000000"/>
                <w:sz w:val="24"/>
                <w:szCs w:val="24"/>
                <w:lang w:val="en-US" w:eastAsia="zh-CN" w:bidi="ar-SA"/>
              </w:rPr>
            </w:r>
            <w:r/>
          </w:p>
        </w:tc>
      </w:tr>
      <w:tr>
        <w:trPr>
          <w:trHeight w:val="621"/>
        </w:trPr>
        <w:tc>
          <w:tcPr>
            <w:tcW w:w="1660" w:type="dxa"/>
            <w:vAlign w:val="center"/>
            <w:textDirection w:val="lrTb"/>
            <w:noWrap w:val="false"/>
          </w:tcPr>
          <w:p>
            <w:pPr>
              <w:pStyle w:val="752"/>
              <w:jc w:val="center"/>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项目实施能力、</w:t>
            </w:r>
            <w:r>
              <w:rPr>
                <w:rFonts w:ascii="宋体" w:hAnsi="宋体" w:eastAsia="Arial" w:cs="宋体"/>
                <w:bCs/>
                <w:color w:val="000000"/>
                <w:sz w:val="24"/>
                <w:szCs w:val="24"/>
                <w:lang w:val="en-US" w:eastAsia="zh-CN" w:bidi="ar-SA"/>
              </w:rPr>
            </w:r>
            <w:r/>
          </w:p>
          <w:p>
            <w:pPr>
              <w:pStyle w:val="752"/>
              <w:jc w:val="center"/>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实施方案</w:t>
            </w:r>
            <w:r>
              <w:rPr>
                <w:rFonts w:ascii="宋体" w:hAnsi="宋体" w:eastAsia="Arial" w:cs="宋体"/>
                <w:bCs/>
                <w:color w:val="000000"/>
                <w:sz w:val="24"/>
                <w:szCs w:val="24"/>
                <w:lang w:val="en-US" w:eastAsia="zh-CN" w:bidi="ar-SA"/>
              </w:rPr>
            </w:r>
            <w:r/>
          </w:p>
          <w:p>
            <w:pPr>
              <w:pStyle w:val="752"/>
              <w:jc w:val="center"/>
              <w:spacing w:line="276" w:lineRule="auto"/>
              <w:widowControl w:val="off"/>
              <w:rPr>
                <w:rFonts w:hint="eastAsia"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CN" w:bidi="ar-SA"/>
              </w:rPr>
              <w:t xml:space="preserve">8</w:t>
            </w:r>
            <w:r>
              <w:rPr>
                <w:rFonts w:hint="eastAsia" w:ascii="宋体" w:hAnsi="宋体" w:eastAsia="Arial" w:cs="宋体"/>
                <w:bCs/>
                <w:color w:val="000000"/>
                <w:sz w:val="24"/>
                <w:szCs w:val="24"/>
                <w:lang w:val="en-US" w:eastAsia="zh-CN" w:bidi="ar-SA"/>
              </w:rPr>
              <w:t xml:space="preserve">分）</w:t>
            </w:r>
            <w:r>
              <w:rPr>
                <w:rFonts w:hint="eastAsia" w:ascii="宋体" w:hAnsi="宋体" w:eastAsia="Arial" w:cs="宋体"/>
                <w:bCs/>
                <w:color w:val="000000"/>
                <w:sz w:val="24"/>
                <w:szCs w:val="24"/>
                <w:lang w:val="en-US" w:eastAsia="zh-CN" w:bidi="ar-SA"/>
              </w:rPr>
            </w:r>
            <w:r/>
          </w:p>
        </w:tc>
        <w:tc>
          <w:tcPr>
            <w:tcW w:w="6845" w:type="dxa"/>
            <w:vAlign w:val="center"/>
            <w:textDirection w:val="lrTb"/>
            <w:noWrap w:val="false"/>
          </w:tcPr>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对供应商提供的项目实施方案进行打分，包含但不限于实施调试部署规划设计、设备巡检检查规划设计、项目实施管理等一系列实施方案等内容：</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方案科学合理，可操作性强的得8分；</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方案科学性、合理性一般，可操作性一般的得5分；</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方案科学性、合理性较差，可操作性较差的得2分；</w:t>
            </w:r>
            <w:r>
              <w:rPr>
                <w:rFonts w:hint="eastAsia" w:ascii="宋体" w:hAnsi="宋体" w:eastAsia="宋体" w:cs="宋体"/>
                <w:color w:val="000000"/>
                <w:sz w:val="24"/>
                <w:szCs w:val="24"/>
                <w:lang w:val="en-US" w:eastAsia="zh-CN" w:bidi="ar-SA"/>
              </w:rPr>
            </w:r>
            <w:r/>
          </w:p>
          <w:p>
            <w:pPr>
              <w:pStyle w:val="752"/>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Arial" w:cs="宋体"/>
                <w:bCs/>
                <w:color w:val="000000"/>
                <w:sz w:val="24"/>
                <w:szCs w:val="24"/>
                <w:lang w:val="en-US" w:eastAsia="zh-CN" w:bidi="ar-SA"/>
              </w:rPr>
            </w:r>
            <w:r/>
          </w:p>
        </w:tc>
      </w:tr>
    </w:tbl>
    <w:p>
      <w:pPr>
        <w:pStyle w:val="767"/>
      </w:pPr>
      <w:r/>
      <w:r/>
    </w:p>
    <w:sectPr>
      <w:footerReference w:type="default" r:id="rId13"/>
      <w:footerReference w:type="first" r:id="rId14"/>
      <w:footnotePr/>
      <w:endnotePr/>
      <w:type w:val="nextPage"/>
      <w:pgSz w:w="11906" w:h="16838" w:orient="portrait"/>
      <w:pgMar w:top="1134" w:right="1134" w:bottom="1134"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Verdana">
    <w:panose1 w:val="020B0604030504040204"/>
  </w:font>
  <w:font w:name="黑体">
    <w:panose1 w:val="02010609060101010101"/>
  </w:font>
  <w:font w:name="Cambria">
    <w:panose1 w:val="02040503050406030204"/>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pStyle w:val="752"/>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17"/>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75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17"/>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75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17"/>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75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17"/>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75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Bdr>
        <w:bottom w:val="single" w:color="000000" w:sz="6" w:space="1"/>
      </w:pBdr>
    </w:pPr>
    <w:r>
      <w:rPr>
        <w:rFonts w:hint="eastAsia"/>
        <w:lang w:eastAsia="zh-CN"/>
      </w:rPr>
      <w:t xml:space="preserve">中和德汇工程技术有限公司</w:t>
    </w:r>
    <w:r>
      <w:rPr>
        <w:rFonts w:hint="eastAsia"/>
      </w:rPr>
      <w:t xml:space="preserve">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52"/>
      </w:p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52"/>
      </w:p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52"/>
      </w:p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abstractNum w:abstractNumId="3">
    <w:multiLevelType w:val="hybridMultilevel"/>
    <w:lvl w:ilvl="0">
      <w:start w:val="6"/>
      <w:numFmt w:val="chineseCounting"/>
      <w:isLgl w:val="false"/>
      <w:suff w:val="space"/>
      <w:lvlText w:val="第%1章"/>
      <w:lvlJc w:val="left"/>
      <w:pPr>
        <w:pStyle w:val="752"/>
      </w:pPr>
      <w:rPr>
        <w:rFonts w:hint="eastAsia"/>
      </w:r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752"/>
        <w:ind w:left="360" w:hanging="360"/>
        <w:tabs>
          <w:tab w:val="num" w:pos="360" w:leader="none"/>
        </w:tabs>
      </w:pPr>
      <w:rPr>
        <w:rFonts w:hint="eastAsia"/>
      </w:rPr>
    </w:lvl>
    <w:lvl w:ilvl="1">
      <w:start w:val="1"/>
      <w:numFmt w:val="lowerLetter"/>
      <w:isLgl w:val="false"/>
      <w:suff w:val="tab"/>
      <w:lvlText w:val="%2)"/>
      <w:lvlJc w:val="left"/>
      <w:pPr>
        <w:pStyle w:val="752"/>
        <w:ind w:left="840" w:hanging="420"/>
        <w:tabs>
          <w:tab w:val="num" w:pos="840" w:leader="none"/>
        </w:tabs>
      </w:pPr>
    </w:lvl>
    <w:lvl w:ilvl="2">
      <w:start w:val="1"/>
      <w:numFmt w:val="lowerRoman"/>
      <w:isLgl w:val="false"/>
      <w:suff w:val="tab"/>
      <w:lvlText w:val="%3."/>
      <w:lvlJc w:val="right"/>
      <w:pPr>
        <w:pStyle w:val="752"/>
        <w:ind w:left="1260" w:hanging="420"/>
        <w:tabs>
          <w:tab w:val="num" w:pos="1260" w:leader="none"/>
        </w:tabs>
      </w:pPr>
    </w:lvl>
    <w:lvl w:ilvl="3">
      <w:start w:val="1"/>
      <w:numFmt w:val="decimal"/>
      <w:isLgl w:val="false"/>
      <w:suff w:val="tab"/>
      <w:lvlText w:val="%4."/>
      <w:lvlJc w:val="left"/>
      <w:pPr>
        <w:pStyle w:val="752"/>
        <w:ind w:left="1680" w:hanging="420"/>
        <w:tabs>
          <w:tab w:val="num" w:pos="1680" w:leader="none"/>
        </w:tabs>
      </w:pPr>
    </w:lvl>
    <w:lvl w:ilvl="4">
      <w:start w:val="1"/>
      <w:numFmt w:val="lowerLetter"/>
      <w:isLgl w:val="false"/>
      <w:suff w:val="tab"/>
      <w:lvlText w:val="%5)"/>
      <w:lvlJc w:val="left"/>
      <w:pPr>
        <w:pStyle w:val="752"/>
        <w:ind w:left="2100" w:hanging="420"/>
        <w:tabs>
          <w:tab w:val="num" w:pos="2100" w:leader="none"/>
        </w:tabs>
      </w:pPr>
    </w:lvl>
    <w:lvl w:ilvl="5">
      <w:start w:val="1"/>
      <w:numFmt w:val="lowerRoman"/>
      <w:isLgl w:val="false"/>
      <w:suff w:val="tab"/>
      <w:lvlText w:val="%6."/>
      <w:lvlJc w:val="right"/>
      <w:pPr>
        <w:pStyle w:val="752"/>
        <w:ind w:left="2520" w:hanging="420"/>
        <w:tabs>
          <w:tab w:val="num" w:pos="2520" w:leader="none"/>
        </w:tabs>
      </w:pPr>
    </w:lvl>
    <w:lvl w:ilvl="6">
      <w:start w:val="1"/>
      <w:numFmt w:val="decimal"/>
      <w:isLgl w:val="false"/>
      <w:suff w:val="tab"/>
      <w:lvlText w:val="%7."/>
      <w:lvlJc w:val="left"/>
      <w:pPr>
        <w:pStyle w:val="752"/>
        <w:ind w:left="2940" w:hanging="420"/>
        <w:tabs>
          <w:tab w:val="num" w:pos="2940" w:leader="none"/>
        </w:tabs>
      </w:pPr>
    </w:lvl>
    <w:lvl w:ilvl="7">
      <w:start w:val="1"/>
      <w:numFmt w:val="lowerLetter"/>
      <w:isLgl w:val="false"/>
      <w:suff w:val="tab"/>
      <w:lvlText w:val="%8)"/>
      <w:lvlJc w:val="left"/>
      <w:pPr>
        <w:pStyle w:val="752"/>
        <w:ind w:left="3360" w:hanging="420"/>
        <w:tabs>
          <w:tab w:val="num" w:pos="3360" w:leader="none"/>
        </w:tabs>
      </w:pPr>
    </w:lvl>
    <w:lvl w:ilvl="8">
      <w:start w:val="1"/>
      <w:numFmt w:val="lowerRoman"/>
      <w:isLgl w:val="false"/>
      <w:suff w:val="tab"/>
      <w:lvlText w:val="%9."/>
      <w:lvlJc w:val="right"/>
      <w:pPr>
        <w:pStyle w:val="752"/>
        <w:ind w:left="3780" w:hanging="420"/>
        <w:tabs>
          <w:tab w:val="num" w:pos="3780" w:leader="none"/>
        </w:tabs>
      </w:pPr>
    </w:lvl>
  </w:abstractNum>
  <w:abstractNum w:abstractNumId="5">
    <w:multiLevelType w:val="hybridMultilevel"/>
    <w:lvl w:ilvl="0">
      <w:start w:val="1"/>
      <w:numFmt w:val="decimal"/>
      <w:isLgl w:val="false"/>
      <w:suff w:val="nothing"/>
      <w:lvlText w:val="%1、"/>
      <w:lvlJc w:val="left"/>
      <w:pPr>
        <w:pStyle w:val="752"/>
      </w:p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abstractNum w:abstractNumId="6">
    <w:multiLevelType w:val="hybridMultilevel"/>
    <w:lvl w:ilvl="0">
      <w:start w:val="1"/>
      <w:numFmt w:val="decimal"/>
      <w:pStyle w:val="798"/>
      <w:isLgl w:val="false"/>
      <w:suff w:val="tab"/>
      <w:lvlText w:val="%1"/>
      <w:lvlJc w:val="left"/>
      <w:pPr>
        <w:pStyle w:val="752"/>
        <w:ind w:left="284" w:hanging="284"/>
        <w:tabs>
          <w:tab w:val="num" w:pos="360" w:leader="none"/>
        </w:tabs>
      </w:pPr>
      <w:rPr>
        <w:rFonts w:ascii="Times New Roman" w:hAnsi="Times New Roman"/>
        <w:b/>
        <w:i w:val="0"/>
        <w:sz w:val="28"/>
      </w:rPr>
    </w:lvl>
    <w:lvl w:ilvl="1">
      <w:start w:val="1"/>
      <w:numFmt w:val="decimal"/>
      <w:pStyle w:val="800"/>
      <w:isLgl w:val="false"/>
      <w:suff w:val="tab"/>
      <w:lvlText w:val="%1.%2"/>
      <w:lvlJc w:val="left"/>
      <w:pPr>
        <w:pStyle w:val="752"/>
        <w:ind w:left="1021" w:hanging="596"/>
        <w:tabs>
          <w:tab w:val="num" w:pos="1021" w:leader="none"/>
        </w:tabs>
      </w:pPr>
      <w:rPr>
        <w:rFonts w:ascii="Times New Roman" w:hAnsi="Times New Roman"/>
        <w:b/>
        <w:i w:val="0"/>
        <w:sz w:val="28"/>
      </w:rPr>
    </w:lvl>
    <w:lvl w:ilvl="2">
      <w:start w:val="1"/>
      <w:numFmt w:val="decimal"/>
      <w:pStyle w:val="802"/>
      <w:isLgl w:val="false"/>
      <w:suff w:val="tab"/>
      <w:lvlText w:val="%1.%2.%3"/>
      <w:lvlJc w:val="left"/>
      <w:pPr>
        <w:pStyle w:val="752"/>
        <w:ind w:left="1588" w:hanging="737"/>
        <w:tabs>
          <w:tab w:val="num" w:pos="1588" w:leader="none"/>
        </w:tabs>
      </w:pPr>
      <w:rPr>
        <w:rFonts w:ascii="Times New Roman" w:hAnsi="Times New Roman"/>
        <w:b/>
        <w:i w:val="0"/>
        <w:sz w:val="24"/>
      </w:rPr>
    </w:lvl>
    <w:lvl w:ilvl="3">
      <w:start w:val="1"/>
      <w:numFmt w:val="decimal"/>
      <w:pStyle w:val="804"/>
      <w:isLgl w:val="false"/>
      <w:suff w:val="tab"/>
      <w:lvlText w:val="%1.%2.%3.%4"/>
      <w:lvlJc w:val="left"/>
      <w:pPr>
        <w:pStyle w:val="752"/>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752"/>
        <w:ind w:left="2551" w:hanging="850"/>
        <w:tabs>
          <w:tab w:val="num" w:pos="3141" w:leader="none"/>
        </w:tabs>
      </w:pPr>
      <w:rPr>
        <w:rFonts w:hint="eastAsia"/>
      </w:rPr>
    </w:lvl>
    <w:lvl w:ilvl="5">
      <w:start w:val="1"/>
      <w:numFmt w:val="decimal"/>
      <w:isLgl w:val="false"/>
      <w:suff w:val="tab"/>
      <w:lvlText w:val="%1.%2.%3.%4.%5.%6"/>
      <w:lvlJc w:val="left"/>
      <w:pPr>
        <w:pStyle w:val="752"/>
        <w:ind w:left="3260" w:hanging="1134"/>
        <w:tabs>
          <w:tab w:val="num" w:pos="3566" w:leader="none"/>
        </w:tabs>
      </w:pPr>
      <w:rPr>
        <w:rFonts w:hint="eastAsia"/>
      </w:rPr>
    </w:lvl>
    <w:lvl w:ilvl="6">
      <w:start w:val="1"/>
      <w:numFmt w:val="decimal"/>
      <w:isLgl w:val="false"/>
      <w:suff w:val="tab"/>
      <w:lvlText w:val="%1.%2.%3.%4.%5.%6.%7"/>
      <w:lvlJc w:val="left"/>
      <w:pPr>
        <w:pStyle w:val="752"/>
        <w:ind w:left="3827" w:hanging="1276"/>
        <w:tabs>
          <w:tab w:val="num" w:pos="4351" w:leader="none"/>
        </w:tabs>
      </w:pPr>
      <w:rPr>
        <w:rFonts w:hint="eastAsia"/>
      </w:rPr>
    </w:lvl>
    <w:lvl w:ilvl="7">
      <w:start w:val="1"/>
      <w:numFmt w:val="decimal"/>
      <w:isLgl w:val="false"/>
      <w:suff w:val="tab"/>
      <w:lvlText w:val="%1.%2.%3.%4.%5.%6.%7.%8"/>
      <w:lvlJc w:val="left"/>
      <w:pPr>
        <w:pStyle w:val="752"/>
        <w:ind w:left="4394" w:hanging="1418"/>
        <w:tabs>
          <w:tab w:val="num" w:pos="5136" w:leader="none"/>
        </w:tabs>
      </w:pPr>
      <w:rPr>
        <w:rFonts w:hint="eastAsia"/>
      </w:rPr>
    </w:lvl>
    <w:lvl w:ilvl="8">
      <w:start w:val="1"/>
      <w:numFmt w:val="decimal"/>
      <w:isLgl w:val="false"/>
      <w:suff w:val="tab"/>
      <w:lvlText w:val="%1.%2.%3.%4.%5.%6.%7.%8.%9"/>
      <w:lvlJc w:val="left"/>
      <w:pPr>
        <w:pStyle w:val="752"/>
        <w:ind w:left="5102" w:hanging="1700"/>
        <w:tabs>
          <w:tab w:val="num" w:pos="5562" w:leader="none"/>
        </w:tabs>
      </w:pPr>
      <w:rPr>
        <w:rFonts w:hint="eastAsia"/>
      </w:rPr>
    </w:lvl>
  </w:abstractNum>
  <w:num w:numId="1">
    <w:abstractNumId w:val="6"/>
  </w:num>
  <w:num w:numId="2">
    <w:abstractNumId w:val="4"/>
  </w:num>
  <w:num w:numId="3">
    <w:abstractNumId w:val="3"/>
  </w:num>
  <w:num w:numId="4">
    <w:abstractNumId w:val="0"/>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752"/>
    <w:next w:val="752"/>
    <w:link w:val="831"/>
    <w:uiPriority w:val="10"/>
    <w:qFormat/>
    <w:pPr>
      <w:contextualSpacing/>
      <w:spacing w:before="300" w:after="200"/>
    </w:pPr>
    <w:rPr>
      <w:sz w:val="48"/>
      <w:szCs w:val="48"/>
    </w:rPr>
  </w:style>
  <w:style w:type="paragraph" w:styleId="35">
    <w:name w:val="Subtitle"/>
    <w:basedOn w:val="752"/>
    <w:next w:val="752"/>
    <w:link w:val="849"/>
    <w:uiPriority w:val="11"/>
    <w:qFormat/>
    <w:pPr>
      <w:spacing w:before="200" w:after="200"/>
    </w:pPr>
    <w:rPr>
      <w:sz w:val="24"/>
      <w:szCs w:val="24"/>
    </w:rPr>
  </w:style>
  <w:style w:type="paragraph" w:styleId="41">
    <w:name w:val="Header"/>
    <w:basedOn w:val="752"/>
    <w:link w:val="834"/>
    <w:uiPriority w:val="99"/>
    <w:unhideWhenUsed/>
    <w:pPr>
      <w:spacing w:after="0" w:line="240" w:lineRule="auto"/>
      <w:tabs>
        <w:tab w:val="center" w:pos="7143" w:leader="none"/>
        <w:tab w:val="right" w:pos="14287" w:leader="none"/>
      </w:tabs>
    </w:pPr>
  </w:style>
  <w:style w:type="paragraph" w:styleId="43">
    <w:name w:val="Footer"/>
    <w:basedOn w:val="752"/>
    <w:link w:val="818"/>
    <w:uiPriority w:val="99"/>
    <w:unhideWhenUsed/>
    <w:pPr>
      <w:spacing w:after="0" w:line="240" w:lineRule="auto"/>
      <w:tabs>
        <w:tab w:val="center" w:pos="7143" w:leader="none"/>
        <w:tab w:val="right" w:pos="14287" w:leader="none"/>
      </w:tabs>
    </w:pPr>
  </w:style>
  <w:style w:type="paragraph" w:styleId="45">
    <w:name w:val="Caption"/>
    <w:basedOn w:val="752"/>
    <w:next w:val="75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52"/>
    <w:link w:val="77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52"/>
    <w:link w:val="76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52"/>
    <w:next w:val="752"/>
    <w:uiPriority w:val="39"/>
    <w:unhideWhenUsed/>
    <w:pPr>
      <w:ind w:left="0" w:right="0" w:firstLine="0"/>
      <w:spacing w:after="57"/>
    </w:pPr>
  </w:style>
  <w:style w:type="paragraph" w:styleId="181">
    <w:name w:val="toc 2"/>
    <w:basedOn w:val="752"/>
    <w:next w:val="752"/>
    <w:uiPriority w:val="39"/>
    <w:unhideWhenUsed/>
    <w:pPr>
      <w:ind w:left="283" w:right="0" w:firstLine="0"/>
      <w:spacing w:after="57"/>
    </w:pPr>
  </w:style>
  <w:style w:type="paragraph" w:styleId="182">
    <w:name w:val="toc 3"/>
    <w:basedOn w:val="752"/>
    <w:next w:val="752"/>
    <w:uiPriority w:val="39"/>
    <w:unhideWhenUsed/>
    <w:pPr>
      <w:ind w:left="567" w:right="0" w:firstLine="0"/>
      <w:spacing w:after="57"/>
    </w:pPr>
  </w:style>
  <w:style w:type="paragraph" w:styleId="183">
    <w:name w:val="toc 4"/>
    <w:basedOn w:val="752"/>
    <w:next w:val="752"/>
    <w:uiPriority w:val="39"/>
    <w:unhideWhenUsed/>
    <w:pPr>
      <w:ind w:left="850" w:right="0" w:firstLine="0"/>
      <w:spacing w:after="57"/>
    </w:pPr>
  </w:style>
  <w:style w:type="paragraph" w:styleId="184">
    <w:name w:val="toc 5"/>
    <w:basedOn w:val="752"/>
    <w:next w:val="752"/>
    <w:uiPriority w:val="39"/>
    <w:unhideWhenUsed/>
    <w:pPr>
      <w:ind w:left="1134" w:right="0" w:firstLine="0"/>
      <w:spacing w:after="57"/>
    </w:pPr>
  </w:style>
  <w:style w:type="paragraph" w:styleId="185">
    <w:name w:val="toc 6"/>
    <w:basedOn w:val="752"/>
    <w:next w:val="752"/>
    <w:uiPriority w:val="39"/>
    <w:unhideWhenUsed/>
    <w:pPr>
      <w:ind w:left="1417" w:right="0" w:firstLine="0"/>
      <w:spacing w:after="57"/>
    </w:pPr>
  </w:style>
  <w:style w:type="paragraph" w:styleId="186">
    <w:name w:val="toc 7"/>
    <w:basedOn w:val="752"/>
    <w:next w:val="752"/>
    <w:uiPriority w:val="39"/>
    <w:unhideWhenUsed/>
    <w:pPr>
      <w:ind w:left="1701" w:right="0" w:firstLine="0"/>
      <w:spacing w:after="57"/>
    </w:pPr>
  </w:style>
  <w:style w:type="paragraph" w:styleId="187">
    <w:name w:val="toc 8"/>
    <w:basedOn w:val="752"/>
    <w:next w:val="752"/>
    <w:uiPriority w:val="39"/>
    <w:unhideWhenUsed/>
    <w:pPr>
      <w:ind w:left="1984" w:right="0" w:firstLine="0"/>
      <w:spacing w:after="57"/>
    </w:pPr>
  </w:style>
  <w:style w:type="paragraph" w:styleId="188">
    <w:name w:val="toc 9"/>
    <w:basedOn w:val="752"/>
    <w:next w:val="752"/>
    <w:uiPriority w:val="39"/>
    <w:unhideWhenUsed/>
    <w:pPr>
      <w:ind w:left="2268" w:right="0" w:firstLine="0"/>
      <w:spacing w:after="57"/>
    </w:pPr>
  </w:style>
  <w:style w:type="paragraph" w:styleId="190">
    <w:name w:val="table of figures"/>
    <w:basedOn w:val="752"/>
    <w:next w:val="752"/>
    <w:uiPriority w:val="99"/>
    <w:unhideWhenUsed/>
    <w:pPr>
      <w:spacing w:after="0" w:afterAutospacing="0"/>
    </w:pPr>
  </w:style>
  <w:style w:type="paragraph" w:styleId="752" w:default="1">
    <w:name w:val="Normal"/>
    <w:next w:val="752"/>
    <w:link w:val="752"/>
    <w:qFormat/>
    <w:pPr>
      <w:jc w:val="both"/>
      <w:widowControl w:val="off"/>
    </w:pPr>
    <w:rPr>
      <w:rFonts w:ascii="Calibri" w:hAnsi="Calibri" w:eastAsia="Arial" w:cs="Arial"/>
      <w:sz w:val="21"/>
      <w:szCs w:val="22"/>
      <w:lang w:eastAsia="zh-CN"/>
    </w:rPr>
  </w:style>
  <w:style w:type="character" w:styleId="753">
    <w:name w:val="默认段落字体"/>
    <w:next w:val="753"/>
    <w:link w:val="752"/>
    <w:uiPriority w:val="1"/>
    <w:qFormat/>
  </w:style>
  <w:style w:type="table" w:styleId="754">
    <w:name w:val="普通表格"/>
    <w:next w:val="754"/>
    <w:link w:val="752"/>
    <w:uiPriority w:val="99"/>
    <w:qFormat/>
    <w:tblPr/>
  </w:style>
  <w:style w:type="paragraph" w:styleId="755">
    <w:name w:val="目录 7"/>
    <w:basedOn w:val="752"/>
    <w:next w:val="752"/>
    <w:link w:val="752"/>
    <w:uiPriority w:val="39"/>
    <w:qFormat/>
    <w:pPr>
      <w:ind w:left="1701" w:right="0" w:firstLine="0"/>
      <w:spacing w:after="57"/>
    </w:pPr>
  </w:style>
  <w:style w:type="paragraph" w:styleId="756">
    <w:name w:val="文档结构图"/>
    <w:basedOn w:val="752"/>
    <w:next w:val="756"/>
    <w:link w:val="757"/>
    <w:uiPriority w:val="99"/>
    <w:qFormat/>
    <w:rPr>
      <w:rFonts w:ascii="宋体" w:eastAsia="宋体"/>
      <w:sz w:val="18"/>
      <w:szCs w:val="18"/>
    </w:rPr>
  </w:style>
  <w:style w:type="character" w:styleId="757">
    <w:name w:val="文档结构图 Char"/>
    <w:basedOn w:val="753"/>
    <w:next w:val="757"/>
    <w:link w:val="756"/>
    <w:uiPriority w:val="99"/>
    <w:qFormat/>
    <w:rPr>
      <w:rFonts w:ascii="宋体" w:eastAsia="宋体"/>
      <w:sz w:val="18"/>
      <w:szCs w:val="18"/>
    </w:rPr>
  </w:style>
  <w:style w:type="paragraph" w:styleId="758">
    <w:name w:val="批注文字"/>
    <w:basedOn w:val="752"/>
    <w:next w:val="758"/>
    <w:link w:val="759"/>
    <w:qFormat/>
    <w:pPr>
      <w:ind w:firstLine="922"/>
      <w:jc w:val="left"/>
      <w:spacing w:line="360" w:lineRule="auto"/>
    </w:pPr>
    <w:rPr>
      <w:rFonts w:ascii="Times New Roman" w:hAnsi="Times New Roman" w:eastAsia="宋体" w:cs="Times New Roman"/>
      <w:szCs w:val="24"/>
    </w:rPr>
  </w:style>
  <w:style w:type="character" w:styleId="759">
    <w:name w:val="批注文字 Char"/>
    <w:basedOn w:val="753"/>
    <w:next w:val="759"/>
    <w:link w:val="758"/>
    <w:qFormat/>
    <w:rPr>
      <w:rFonts w:ascii="Times New Roman" w:hAnsi="Times New Roman" w:eastAsia="宋体" w:cs="Times New Roman"/>
      <w:szCs w:val="24"/>
    </w:rPr>
  </w:style>
  <w:style w:type="paragraph" w:styleId="760">
    <w:name w:val="正文文本"/>
    <w:basedOn w:val="752"/>
    <w:next w:val="760"/>
    <w:link w:val="752"/>
    <w:qFormat/>
    <w:pPr>
      <w:ind w:firstLine="420"/>
      <w:spacing w:after="120"/>
    </w:pPr>
    <w:rPr>
      <w:color w:val="000000"/>
      <w:sz w:val="24"/>
      <w:szCs w:val="24"/>
    </w:rPr>
  </w:style>
  <w:style w:type="paragraph" w:styleId="761">
    <w:name w:val="正文文本缩进"/>
    <w:basedOn w:val="752"/>
    <w:next w:val="761"/>
    <w:link w:val="752"/>
    <w:qFormat/>
    <w:pPr>
      <w:ind w:firstLine="709"/>
      <w:jc w:val="left"/>
      <w:widowControl/>
    </w:pPr>
    <w:rPr>
      <w:rFonts w:ascii="宋体"/>
      <w:sz w:val="28"/>
    </w:rPr>
  </w:style>
  <w:style w:type="paragraph" w:styleId="762">
    <w:name w:val="目录 5"/>
    <w:basedOn w:val="752"/>
    <w:next w:val="752"/>
    <w:link w:val="752"/>
    <w:uiPriority w:val="39"/>
    <w:qFormat/>
    <w:pPr>
      <w:ind w:left="1134" w:right="0" w:firstLine="0"/>
      <w:spacing w:after="57"/>
    </w:pPr>
  </w:style>
  <w:style w:type="paragraph" w:styleId="763">
    <w:name w:val="目录 3"/>
    <w:basedOn w:val="752"/>
    <w:next w:val="752"/>
    <w:link w:val="752"/>
    <w:uiPriority w:val="39"/>
    <w:qFormat/>
    <w:pPr>
      <w:ind w:left="420" w:firstLine="922"/>
      <w:jc w:val="left"/>
      <w:spacing w:line="360" w:lineRule="auto"/>
    </w:pPr>
    <w:rPr>
      <w:rFonts w:ascii="Calibri" w:hAnsi="Calibri" w:eastAsia="宋体" w:cs="Times New Roman"/>
      <w:sz w:val="20"/>
      <w:szCs w:val="20"/>
    </w:rPr>
  </w:style>
  <w:style w:type="paragraph" w:styleId="764">
    <w:name w:val="纯文本"/>
    <w:basedOn w:val="752"/>
    <w:next w:val="764"/>
    <w:link w:val="765"/>
    <w:qFormat/>
    <w:pPr>
      <w:ind w:firstLine="922"/>
      <w:spacing w:line="360" w:lineRule="auto"/>
    </w:pPr>
    <w:rPr>
      <w:rFonts w:ascii="宋体" w:hAnsi="Courier New"/>
    </w:rPr>
  </w:style>
  <w:style w:type="character" w:styleId="765">
    <w:name w:val="纯文本 Char"/>
    <w:next w:val="765"/>
    <w:link w:val="764"/>
    <w:qFormat/>
    <w:rPr>
      <w:rFonts w:ascii="宋体" w:hAnsi="Courier New"/>
    </w:rPr>
  </w:style>
  <w:style w:type="paragraph" w:styleId="766">
    <w:name w:val="目录 8"/>
    <w:basedOn w:val="752"/>
    <w:next w:val="752"/>
    <w:link w:val="752"/>
    <w:uiPriority w:val="39"/>
    <w:qFormat/>
    <w:pPr>
      <w:ind w:left="1984" w:right="0" w:firstLine="0"/>
      <w:spacing w:after="57"/>
    </w:pPr>
  </w:style>
  <w:style w:type="paragraph" w:styleId="767">
    <w:name w:val="正文文本缩进 2"/>
    <w:basedOn w:val="752"/>
    <w:next w:val="767"/>
    <w:link w:val="752"/>
    <w:uiPriority w:val="99"/>
    <w:qFormat/>
    <w:pPr>
      <w:ind w:left="420"/>
      <w:spacing w:after="120" w:line="480" w:lineRule="auto"/>
    </w:pPr>
  </w:style>
  <w:style w:type="paragraph" w:styleId="768">
    <w:name w:val="尾注文本"/>
    <w:basedOn w:val="752"/>
    <w:next w:val="768"/>
    <w:link w:val="769"/>
    <w:uiPriority w:val="99"/>
    <w:qFormat/>
    <w:pPr>
      <w:spacing w:after="0" w:line="240" w:lineRule="auto"/>
    </w:pPr>
    <w:rPr>
      <w:sz w:val="20"/>
    </w:rPr>
  </w:style>
  <w:style w:type="character" w:styleId="769">
    <w:name w:val="Endnote Text Char"/>
    <w:next w:val="769"/>
    <w:link w:val="768"/>
    <w:uiPriority w:val="99"/>
    <w:qFormat/>
    <w:rPr>
      <w:sz w:val="20"/>
    </w:rPr>
  </w:style>
  <w:style w:type="paragraph" w:styleId="770">
    <w:name w:val="批注框文本"/>
    <w:basedOn w:val="752"/>
    <w:next w:val="770"/>
    <w:link w:val="771"/>
    <w:qFormat/>
    <w:pPr>
      <w:ind w:firstLine="922"/>
    </w:pPr>
    <w:rPr>
      <w:rFonts w:ascii="Times New Roman" w:hAnsi="Times New Roman" w:eastAsia="宋体" w:cs="Times New Roman"/>
      <w:sz w:val="18"/>
      <w:szCs w:val="18"/>
    </w:rPr>
  </w:style>
  <w:style w:type="character" w:styleId="771">
    <w:name w:val="批注框文本 Char"/>
    <w:basedOn w:val="753"/>
    <w:next w:val="771"/>
    <w:link w:val="770"/>
    <w:qFormat/>
    <w:rPr>
      <w:rFonts w:ascii="Times New Roman" w:hAnsi="Times New Roman" w:eastAsia="宋体" w:cs="Times New Roman"/>
      <w:sz w:val="18"/>
      <w:szCs w:val="18"/>
    </w:rPr>
  </w:style>
  <w:style w:type="paragraph" w:styleId="772">
    <w:name w:val="目录 1"/>
    <w:basedOn w:val="752"/>
    <w:next w:val="752"/>
    <w:link w:val="752"/>
    <w:uiPriority w:val="39"/>
    <w:qFormat/>
    <w:pPr>
      <w:ind w:firstLine="922"/>
      <w:jc w:val="left"/>
      <w:spacing w:before="120" w:line="360" w:lineRule="auto"/>
    </w:pPr>
    <w:rPr>
      <w:rFonts w:ascii="Calibri" w:hAnsi="Calibri" w:eastAsia="宋体" w:cs="Times New Roman"/>
      <w:b/>
      <w:bCs/>
      <w:i/>
      <w:iCs/>
      <w:sz w:val="24"/>
      <w:szCs w:val="24"/>
    </w:rPr>
  </w:style>
  <w:style w:type="paragraph" w:styleId="773">
    <w:name w:val="目录 4"/>
    <w:basedOn w:val="752"/>
    <w:next w:val="752"/>
    <w:link w:val="752"/>
    <w:uiPriority w:val="39"/>
    <w:qFormat/>
    <w:pPr>
      <w:ind w:left="850" w:right="0" w:firstLine="0"/>
      <w:spacing w:after="57"/>
    </w:pPr>
  </w:style>
  <w:style w:type="paragraph" w:styleId="774">
    <w:name w:val="副标题"/>
    <w:basedOn w:val="752"/>
    <w:next w:val="752"/>
    <w:link w:val="775"/>
    <w:qFormat/>
    <w:pPr>
      <w:ind w:firstLine="922"/>
      <w:jc w:val="center"/>
      <w:spacing w:before="240" w:after="60" w:line="312" w:lineRule="auto"/>
      <w:outlineLvl w:val="1"/>
    </w:pPr>
    <w:rPr>
      <w:rFonts w:ascii="Cambria" w:hAnsi="Cambria"/>
      <w:b/>
      <w:bCs/>
      <w:sz w:val="32"/>
      <w:szCs w:val="32"/>
    </w:rPr>
  </w:style>
  <w:style w:type="character" w:styleId="775">
    <w:name w:val="副标题 Char"/>
    <w:next w:val="775"/>
    <w:link w:val="774"/>
    <w:qFormat/>
    <w:rPr>
      <w:rFonts w:ascii="Cambria" w:hAnsi="Cambria"/>
      <w:b/>
      <w:bCs/>
      <w:sz w:val="32"/>
      <w:szCs w:val="32"/>
    </w:rPr>
  </w:style>
  <w:style w:type="paragraph" w:styleId="776">
    <w:name w:val="脚注文本"/>
    <w:basedOn w:val="752"/>
    <w:next w:val="776"/>
    <w:link w:val="777"/>
    <w:uiPriority w:val="99"/>
    <w:qFormat/>
    <w:pPr>
      <w:spacing w:after="40" w:line="240" w:lineRule="auto"/>
    </w:pPr>
    <w:rPr>
      <w:sz w:val="18"/>
    </w:rPr>
  </w:style>
  <w:style w:type="character" w:styleId="777">
    <w:name w:val="Footnote Text Char"/>
    <w:next w:val="777"/>
    <w:link w:val="776"/>
    <w:uiPriority w:val="99"/>
    <w:qFormat/>
    <w:rPr>
      <w:sz w:val="18"/>
    </w:rPr>
  </w:style>
  <w:style w:type="paragraph" w:styleId="778">
    <w:name w:val="目录 6"/>
    <w:basedOn w:val="752"/>
    <w:next w:val="752"/>
    <w:link w:val="752"/>
    <w:uiPriority w:val="39"/>
    <w:qFormat/>
    <w:pPr>
      <w:ind w:left="1417" w:right="0" w:firstLine="0"/>
      <w:spacing w:after="57"/>
    </w:pPr>
  </w:style>
  <w:style w:type="paragraph" w:styleId="779">
    <w:name w:val="图表目录"/>
    <w:basedOn w:val="752"/>
    <w:next w:val="752"/>
    <w:link w:val="752"/>
    <w:uiPriority w:val="99"/>
    <w:qFormat/>
    <w:pPr>
      <w:spacing w:after="0" w:afterAutospacing="0"/>
    </w:pPr>
  </w:style>
  <w:style w:type="paragraph" w:styleId="780">
    <w:name w:val="目录 2"/>
    <w:basedOn w:val="752"/>
    <w:next w:val="752"/>
    <w:link w:val="752"/>
    <w:uiPriority w:val="39"/>
    <w:qFormat/>
    <w:pPr>
      <w:ind w:left="210" w:firstLine="922"/>
      <w:jc w:val="left"/>
      <w:spacing w:before="120" w:line="360" w:lineRule="auto"/>
    </w:pPr>
    <w:rPr>
      <w:rFonts w:ascii="Calibri" w:hAnsi="Calibri" w:eastAsia="宋体" w:cs="Times New Roman"/>
      <w:b/>
      <w:bCs/>
      <w:sz w:val="22"/>
    </w:rPr>
  </w:style>
  <w:style w:type="paragraph" w:styleId="781">
    <w:name w:val="目录 9"/>
    <w:basedOn w:val="752"/>
    <w:next w:val="752"/>
    <w:link w:val="752"/>
    <w:uiPriority w:val="39"/>
    <w:qFormat/>
    <w:pPr>
      <w:ind w:left="2268" w:right="0" w:firstLine="0"/>
      <w:spacing w:after="57"/>
    </w:pPr>
  </w:style>
  <w:style w:type="paragraph" w:styleId="782">
    <w:name w:val="HTML 预设格式"/>
    <w:basedOn w:val="752"/>
    <w:next w:val="782"/>
    <w:link w:val="783"/>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783">
    <w:name w:val="HTML 预设格式 Char"/>
    <w:next w:val="783"/>
    <w:link w:val="782"/>
    <w:qFormat/>
    <w:rPr>
      <w:rFonts w:ascii="宋体" w:hAnsi="宋体" w:cs="宋体"/>
      <w:sz w:val="24"/>
      <w:szCs w:val="24"/>
    </w:rPr>
  </w:style>
  <w:style w:type="paragraph" w:styleId="784">
    <w:name w:val="普通(网站)"/>
    <w:basedOn w:val="752"/>
    <w:next w:val="784"/>
    <w:link w:val="752"/>
    <w:uiPriority w:val="99"/>
    <w:qFormat/>
    <w:pPr>
      <w:jc w:val="left"/>
      <w:spacing w:beforeAutospacing="1" w:afterAutospacing="1"/>
    </w:pPr>
    <w:rPr>
      <w:rFonts w:cs="Times New Roman"/>
      <w:sz w:val="24"/>
    </w:rPr>
  </w:style>
  <w:style w:type="paragraph" w:styleId="785">
    <w:name w:val="索引 1"/>
    <w:basedOn w:val="752"/>
    <w:next w:val="752"/>
    <w:link w:val="752"/>
    <w:qFormat/>
    <w:pPr>
      <w:ind w:firstLine="200"/>
      <w:spacing w:line="360" w:lineRule="auto"/>
    </w:pPr>
    <w:rPr>
      <w:rFonts w:ascii="Times New Roman" w:hAnsi="Times New Roman" w:eastAsia="宋体" w:cs="Times New Roman"/>
      <w:szCs w:val="24"/>
    </w:rPr>
  </w:style>
  <w:style w:type="paragraph" w:styleId="786">
    <w:name w:val="标题"/>
    <w:basedOn w:val="752"/>
    <w:next w:val="752"/>
    <w:link w:val="787"/>
    <w:uiPriority w:val="10"/>
    <w:qFormat/>
    <w:pPr>
      <w:contextualSpacing/>
      <w:spacing w:before="300" w:after="200"/>
    </w:pPr>
    <w:rPr>
      <w:sz w:val="48"/>
      <w:szCs w:val="48"/>
    </w:rPr>
  </w:style>
  <w:style w:type="character" w:styleId="787">
    <w:name w:val="Title Char_aa391987-e36e-42e7-b3e2-a55243f62526"/>
    <w:basedOn w:val="753"/>
    <w:next w:val="787"/>
    <w:link w:val="786"/>
    <w:uiPriority w:val="10"/>
    <w:qFormat/>
    <w:rPr>
      <w:sz w:val="48"/>
      <w:szCs w:val="48"/>
    </w:rPr>
  </w:style>
  <w:style w:type="paragraph" w:styleId="788">
    <w:name w:val="批注主题"/>
    <w:basedOn w:val="758"/>
    <w:next w:val="758"/>
    <w:link w:val="789"/>
    <w:uiPriority w:val="99"/>
    <w:qFormat/>
    <w:pPr>
      <w:ind w:firstLine="0"/>
      <w:spacing w:line="240" w:lineRule="auto"/>
    </w:pPr>
    <w:rPr>
      <w:rFonts w:ascii="Calibri" w:hAnsi="Calibri" w:eastAsia="Arial" w:cs="Arial"/>
      <w:b/>
      <w:bCs/>
      <w:szCs w:val="22"/>
    </w:rPr>
  </w:style>
  <w:style w:type="character" w:styleId="789">
    <w:name w:val="批注主题 Char"/>
    <w:basedOn w:val="759"/>
    <w:next w:val="789"/>
    <w:link w:val="788"/>
    <w:uiPriority w:val="99"/>
    <w:qFormat/>
    <w:rPr>
      <w:rFonts w:ascii="Times New Roman" w:hAnsi="Times New Roman" w:eastAsia="宋体" w:cs="Times New Roman"/>
      <w:b/>
      <w:bCs/>
      <w:szCs w:val="24"/>
    </w:rPr>
  </w:style>
  <w:style w:type="paragraph" w:styleId="790">
    <w:name w:val="正文首行缩进 2"/>
    <w:basedOn w:val="761"/>
    <w:next w:val="790"/>
    <w:link w:val="752"/>
    <w:qFormat/>
    <w:pPr>
      <w:ind w:firstLine="420"/>
    </w:pPr>
  </w:style>
  <w:style w:type="table" w:styleId="791">
    <w:name w:val="网格型"/>
    <w:basedOn w:val="754"/>
    <w:next w:val="791"/>
    <w:link w:val="752"/>
    <w:uiPriority w:val="59"/>
    <w:qFormat/>
    <w:tblPr/>
  </w:style>
  <w:style w:type="character" w:styleId="792">
    <w:name w:val="要点"/>
    <w:next w:val="792"/>
    <w:link w:val="752"/>
    <w:qFormat/>
    <w:rPr>
      <w:b/>
      <w:bCs/>
    </w:rPr>
  </w:style>
  <w:style w:type="character" w:styleId="793">
    <w:name w:val="尾注引用"/>
    <w:basedOn w:val="753"/>
    <w:next w:val="793"/>
    <w:link w:val="752"/>
    <w:uiPriority w:val="99"/>
    <w:qFormat/>
    <w:rPr>
      <w:vertAlign w:val="superscript"/>
    </w:rPr>
  </w:style>
  <w:style w:type="character" w:styleId="794">
    <w:name w:val="已访问的超链接"/>
    <w:basedOn w:val="753"/>
    <w:next w:val="794"/>
    <w:link w:val="752"/>
    <w:uiPriority w:val="99"/>
    <w:qFormat/>
    <w:rPr>
      <w:color w:val="954f72"/>
      <w:u w:val="single"/>
    </w:rPr>
  </w:style>
  <w:style w:type="character" w:styleId="795">
    <w:name w:val="超链接"/>
    <w:basedOn w:val="753"/>
    <w:next w:val="795"/>
    <w:link w:val="752"/>
    <w:uiPriority w:val="99"/>
    <w:qFormat/>
    <w:rPr>
      <w:color w:val="0563c1"/>
      <w:u w:val="single"/>
    </w:rPr>
  </w:style>
  <w:style w:type="character" w:styleId="796">
    <w:name w:val="批注引用"/>
    <w:next w:val="796"/>
    <w:link w:val="752"/>
    <w:qFormat/>
    <w:rPr>
      <w:sz w:val="21"/>
      <w:szCs w:val="21"/>
    </w:rPr>
  </w:style>
  <w:style w:type="character" w:styleId="797">
    <w:name w:val="脚注引用"/>
    <w:basedOn w:val="753"/>
    <w:next w:val="797"/>
    <w:link w:val="752"/>
    <w:uiPriority w:val="99"/>
    <w:qFormat/>
    <w:rPr>
      <w:vertAlign w:val="superscript"/>
    </w:rPr>
  </w:style>
  <w:style w:type="paragraph" w:styleId="798">
    <w:name w:val="Heading 1"/>
    <w:basedOn w:val="752"/>
    <w:next w:val="752"/>
    <w:link w:val="799"/>
    <w:qFormat/>
    <w:pPr>
      <w:numPr>
        <w:ilvl w:val="0"/>
        <w:numId w:val="1"/>
      </w:numPr>
      <w:jc w:val="center"/>
      <w:keepLines/>
      <w:keepNext/>
      <w:spacing w:line="360" w:lineRule="auto"/>
      <w:tabs>
        <w:tab w:val="left" w:pos="360" w:leader="none"/>
      </w:tabs>
      <w:outlineLvl w:val="0"/>
    </w:pPr>
    <w:rPr>
      <w:rFonts w:ascii="Times New Roman" w:hAnsi="Times New Roman" w:eastAsia="黑体" w:cs="Times New Roman"/>
      <w:b/>
      <w:sz w:val="36"/>
      <w:szCs w:val="20"/>
    </w:rPr>
  </w:style>
  <w:style w:type="character" w:styleId="799">
    <w:name w:val="标题 1 Char"/>
    <w:basedOn w:val="753"/>
    <w:next w:val="799"/>
    <w:link w:val="798"/>
    <w:qFormat/>
    <w:rPr>
      <w:rFonts w:ascii="Times New Roman" w:hAnsi="Times New Roman" w:eastAsia="黑体" w:cs="Times New Roman"/>
      <w:b/>
      <w:sz w:val="36"/>
      <w:szCs w:val="20"/>
    </w:rPr>
  </w:style>
  <w:style w:type="paragraph" w:styleId="800">
    <w:name w:val="Heading 2"/>
    <w:basedOn w:val="752"/>
    <w:next w:val="752"/>
    <w:link w:val="801"/>
    <w:qFormat/>
    <w:pPr>
      <w:numPr>
        <w:ilvl w:val="1"/>
        <w:numId w:val="1"/>
      </w:numPr>
      <w:keepNext/>
      <w:spacing w:line="360" w:lineRule="auto"/>
      <w:tabs>
        <w:tab w:val="left" w:pos="1021" w:leader="none"/>
      </w:tabs>
      <w:outlineLvl w:val="1"/>
    </w:pPr>
    <w:rPr>
      <w:rFonts w:ascii="Times New Roman" w:hAnsi="Times New Roman" w:eastAsia="黑体" w:cs="Times New Roman"/>
      <w:b/>
      <w:sz w:val="28"/>
      <w:szCs w:val="20"/>
    </w:rPr>
  </w:style>
  <w:style w:type="character" w:styleId="801">
    <w:name w:val="标题 2 Char"/>
    <w:basedOn w:val="753"/>
    <w:next w:val="801"/>
    <w:link w:val="800"/>
    <w:qFormat/>
    <w:rPr>
      <w:rFonts w:ascii="Times New Roman" w:hAnsi="Times New Roman" w:eastAsia="黑体" w:cs="Times New Roman"/>
      <w:b/>
      <w:sz w:val="28"/>
      <w:szCs w:val="20"/>
    </w:rPr>
  </w:style>
  <w:style w:type="paragraph" w:styleId="802">
    <w:name w:val="Heading 3"/>
    <w:basedOn w:val="752"/>
    <w:next w:val="752"/>
    <w:link w:val="803"/>
    <w:qFormat/>
    <w:pPr>
      <w:numPr>
        <w:ilvl w:val="2"/>
        <w:numId w:val="1"/>
      </w:numPr>
      <w:ind w:firstLine="200"/>
      <w:spacing w:before="120" w:line="360" w:lineRule="auto"/>
      <w:tabs>
        <w:tab w:val="left" w:pos="900" w:leader="none"/>
        <w:tab w:val="left" w:pos="1588" w:leader="none"/>
      </w:tabs>
      <w:outlineLvl w:val="2"/>
    </w:pPr>
    <w:rPr>
      <w:rFonts w:ascii="Times New Roman" w:hAnsi="Times New Roman" w:eastAsia="黑体" w:cs="Times New Roman"/>
      <w:b/>
      <w:sz w:val="28"/>
      <w:szCs w:val="20"/>
    </w:rPr>
  </w:style>
  <w:style w:type="character" w:styleId="803">
    <w:name w:val="标题 3 Char"/>
    <w:basedOn w:val="753"/>
    <w:next w:val="803"/>
    <w:link w:val="802"/>
    <w:qFormat/>
    <w:rPr>
      <w:rFonts w:ascii="Times New Roman" w:hAnsi="Times New Roman" w:eastAsia="黑体" w:cs="Times New Roman"/>
      <w:b/>
      <w:sz w:val="28"/>
      <w:szCs w:val="20"/>
    </w:rPr>
  </w:style>
  <w:style w:type="paragraph" w:styleId="804">
    <w:name w:val="Heading 4"/>
    <w:basedOn w:val="752"/>
    <w:next w:val="752"/>
    <w:link w:val="805"/>
    <w:qFormat/>
    <w:pPr>
      <w:numPr>
        <w:ilvl w:val="3"/>
        <w:numId w:val="1"/>
      </w:numPr>
      <w:ind w:firstLine="200"/>
      <w:spacing w:before="120" w:line="360" w:lineRule="auto"/>
      <w:tabs>
        <w:tab w:val="left" w:pos="2155" w:leader="none"/>
      </w:tabs>
      <w:outlineLvl w:val="3"/>
    </w:pPr>
    <w:rPr>
      <w:rFonts w:ascii="Arial" w:hAnsi="Times New Roman" w:eastAsia="黑体" w:cs="Times New Roman"/>
      <w:sz w:val="28"/>
      <w:szCs w:val="20"/>
    </w:rPr>
  </w:style>
  <w:style w:type="character" w:styleId="805">
    <w:name w:val="标题 4 Char"/>
    <w:basedOn w:val="753"/>
    <w:next w:val="805"/>
    <w:link w:val="804"/>
    <w:qFormat/>
    <w:rPr>
      <w:rFonts w:ascii="Arial" w:hAnsi="Times New Roman" w:eastAsia="黑体" w:cs="Times New Roman"/>
      <w:sz w:val="28"/>
      <w:szCs w:val="20"/>
    </w:rPr>
  </w:style>
  <w:style w:type="paragraph" w:styleId="806">
    <w:name w:val="Heading 5"/>
    <w:basedOn w:val="752"/>
    <w:next w:val="752"/>
    <w:link w:val="807"/>
    <w:qFormat/>
    <w:pPr>
      <w:ind w:firstLine="922"/>
      <w:keepLines/>
      <w:keepNext/>
      <w:spacing w:before="280" w:after="290" w:line="376" w:lineRule="auto"/>
      <w:outlineLvl w:val="4"/>
    </w:pPr>
    <w:rPr>
      <w:rFonts w:ascii="Times New Roman" w:hAnsi="Times New Roman" w:eastAsia="宋体" w:cs="Times New Roman"/>
      <w:b/>
      <w:bCs/>
      <w:sz w:val="28"/>
      <w:szCs w:val="28"/>
    </w:rPr>
  </w:style>
  <w:style w:type="character" w:styleId="807">
    <w:name w:val="标题 5 Char"/>
    <w:basedOn w:val="753"/>
    <w:next w:val="807"/>
    <w:link w:val="806"/>
    <w:qFormat/>
    <w:rPr>
      <w:rFonts w:ascii="Times New Roman" w:hAnsi="Times New Roman" w:eastAsia="宋体" w:cs="Times New Roman"/>
      <w:b/>
      <w:bCs/>
      <w:sz w:val="28"/>
      <w:szCs w:val="28"/>
    </w:rPr>
  </w:style>
  <w:style w:type="paragraph" w:styleId="808">
    <w:name w:val="Heading 6"/>
    <w:basedOn w:val="752"/>
    <w:next w:val="752"/>
    <w:link w:val="809"/>
    <w:qFormat/>
    <w:pPr>
      <w:ind w:firstLine="922"/>
      <w:keepLines/>
      <w:keepNext/>
      <w:spacing w:before="240" w:after="64" w:line="320" w:lineRule="auto"/>
      <w:outlineLvl w:val="5"/>
    </w:pPr>
    <w:rPr>
      <w:rFonts w:ascii="Cambria" w:hAnsi="Cambria" w:eastAsia="宋体" w:cs="Times New Roman"/>
      <w:b/>
      <w:bCs/>
      <w:sz w:val="24"/>
      <w:szCs w:val="24"/>
    </w:rPr>
  </w:style>
  <w:style w:type="character" w:styleId="809">
    <w:name w:val="标题 6 Char"/>
    <w:basedOn w:val="753"/>
    <w:next w:val="809"/>
    <w:link w:val="808"/>
    <w:qFormat/>
    <w:rPr>
      <w:rFonts w:ascii="Cambria" w:hAnsi="Cambria" w:eastAsia="宋体" w:cs="Times New Roman"/>
      <w:b/>
      <w:bCs/>
      <w:sz w:val="24"/>
      <w:szCs w:val="24"/>
    </w:rPr>
  </w:style>
  <w:style w:type="paragraph" w:styleId="810">
    <w:name w:val="Heading 7"/>
    <w:basedOn w:val="752"/>
    <w:next w:val="752"/>
    <w:link w:val="811"/>
    <w:qFormat/>
    <w:pPr>
      <w:ind w:firstLine="922"/>
      <w:keepLines/>
      <w:keepNext/>
      <w:spacing w:before="240" w:after="64" w:line="320" w:lineRule="auto"/>
      <w:outlineLvl w:val="6"/>
    </w:pPr>
    <w:rPr>
      <w:rFonts w:ascii="Times New Roman" w:hAnsi="Times New Roman" w:eastAsia="宋体" w:cs="Times New Roman"/>
      <w:b/>
      <w:bCs/>
      <w:sz w:val="24"/>
      <w:szCs w:val="24"/>
    </w:rPr>
  </w:style>
  <w:style w:type="character" w:styleId="811">
    <w:name w:val="标题 7 Char"/>
    <w:basedOn w:val="753"/>
    <w:next w:val="811"/>
    <w:link w:val="810"/>
    <w:qFormat/>
    <w:rPr>
      <w:rFonts w:ascii="Times New Roman" w:hAnsi="Times New Roman" w:eastAsia="宋体" w:cs="Times New Roman"/>
      <w:b/>
      <w:bCs/>
      <w:sz w:val="24"/>
      <w:szCs w:val="24"/>
    </w:rPr>
  </w:style>
  <w:style w:type="paragraph" w:styleId="812">
    <w:name w:val="Heading 8"/>
    <w:basedOn w:val="752"/>
    <w:next w:val="752"/>
    <w:link w:val="813"/>
    <w:qFormat/>
    <w:pPr>
      <w:ind w:firstLine="922"/>
      <w:keepLines/>
      <w:keepNext/>
      <w:spacing w:before="240" w:after="64" w:line="320" w:lineRule="auto"/>
      <w:outlineLvl w:val="7"/>
    </w:pPr>
    <w:rPr>
      <w:rFonts w:ascii="Cambria" w:hAnsi="Cambria" w:eastAsia="宋体" w:cs="Times New Roman"/>
      <w:sz w:val="24"/>
      <w:szCs w:val="24"/>
    </w:rPr>
  </w:style>
  <w:style w:type="character" w:styleId="813">
    <w:name w:val="标题 8 Char"/>
    <w:basedOn w:val="753"/>
    <w:next w:val="813"/>
    <w:link w:val="812"/>
    <w:qFormat/>
    <w:rPr>
      <w:rFonts w:ascii="Cambria" w:hAnsi="Cambria" w:eastAsia="宋体" w:cs="Times New Roman"/>
      <w:sz w:val="24"/>
      <w:szCs w:val="24"/>
    </w:rPr>
  </w:style>
  <w:style w:type="paragraph" w:styleId="814">
    <w:name w:val="Heading 9"/>
    <w:basedOn w:val="752"/>
    <w:next w:val="752"/>
    <w:link w:val="815"/>
    <w:qFormat/>
    <w:pPr>
      <w:ind w:firstLine="922"/>
      <w:keepLines/>
      <w:keepNext/>
      <w:spacing w:before="240" w:after="64" w:line="320" w:lineRule="auto"/>
      <w:outlineLvl w:val="8"/>
    </w:pPr>
    <w:rPr>
      <w:rFonts w:ascii="Cambria" w:hAnsi="Cambria" w:eastAsia="宋体" w:cs="Times New Roman"/>
      <w:szCs w:val="21"/>
    </w:rPr>
  </w:style>
  <w:style w:type="character" w:styleId="815">
    <w:name w:val="标题 9 Char"/>
    <w:basedOn w:val="753"/>
    <w:next w:val="815"/>
    <w:link w:val="814"/>
    <w:qFormat/>
    <w:rPr>
      <w:rFonts w:ascii="Cambria" w:hAnsi="Cambria" w:eastAsia="宋体" w:cs="Times New Roman"/>
      <w:szCs w:val="21"/>
    </w:rPr>
  </w:style>
  <w:style w:type="paragraph" w:styleId="816">
    <w:name w:val="Caption1"/>
    <w:basedOn w:val="752"/>
    <w:next w:val="752"/>
    <w:link w:val="752"/>
    <w:uiPriority w:val="35"/>
    <w:qFormat/>
    <w:pPr>
      <w:spacing w:line="276" w:lineRule="auto"/>
    </w:pPr>
    <w:rPr>
      <w:b/>
      <w:bCs/>
      <w:color w:val="4f81bd"/>
      <w:sz w:val="18"/>
      <w:szCs w:val="18"/>
    </w:rPr>
  </w:style>
  <w:style w:type="paragraph" w:styleId="817">
    <w:name w:val="Footer1"/>
    <w:basedOn w:val="752"/>
    <w:next w:val="817"/>
    <w:link w:val="818"/>
    <w:uiPriority w:val="99"/>
    <w:qFormat/>
    <w:pPr>
      <w:spacing w:after="0" w:line="240" w:lineRule="auto"/>
      <w:tabs>
        <w:tab w:val="center" w:pos="7143" w:leader="none"/>
        <w:tab w:val="right" w:pos="14287" w:leader="none"/>
      </w:tabs>
    </w:pPr>
  </w:style>
  <w:style w:type="character" w:styleId="818">
    <w:name w:val="Caption Char"/>
    <w:next w:val="818"/>
    <w:link w:val="817"/>
    <w:uiPriority w:val="99"/>
    <w:qFormat/>
  </w:style>
  <w:style w:type="character" w:styleId="819">
    <w:name w:val="Footer Char_48db6838-42d0-433f-948e-2e347a4f1068"/>
    <w:basedOn w:val="753"/>
    <w:next w:val="819"/>
    <w:link w:val="817"/>
    <w:uiPriority w:val="99"/>
    <w:qFormat/>
  </w:style>
  <w:style w:type="paragraph" w:styleId="820">
    <w:name w:val="Header1"/>
    <w:basedOn w:val="752"/>
    <w:next w:val="820"/>
    <w:link w:val="821"/>
    <w:uiPriority w:val="99"/>
    <w:qFormat/>
    <w:pPr>
      <w:spacing w:after="0" w:line="240" w:lineRule="auto"/>
      <w:tabs>
        <w:tab w:val="center" w:pos="7143" w:leader="none"/>
        <w:tab w:val="right" w:pos="14287" w:leader="none"/>
      </w:tabs>
    </w:pPr>
  </w:style>
  <w:style w:type="character" w:styleId="821">
    <w:name w:val="Header Char_7e63f0dd-cbff-4f2a-874a-e6c665a533ec"/>
    <w:basedOn w:val="753"/>
    <w:next w:val="821"/>
    <w:link w:val="820"/>
    <w:uiPriority w:val="99"/>
    <w:qFormat/>
  </w:style>
  <w:style w:type="character" w:styleId="822">
    <w:name w:val="Heading 1 Char"/>
    <w:basedOn w:val="753"/>
    <w:next w:val="822"/>
    <w:link w:val="752"/>
    <w:uiPriority w:val="9"/>
    <w:qFormat/>
    <w:rPr>
      <w:rFonts w:ascii="Arial" w:hAnsi="Arial" w:eastAsia="Arial" w:cs="Arial"/>
      <w:sz w:val="40"/>
      <w:szCs w:val="40"/>
    </w:rPr>
  </w:style>
  <w:style w:type="character" w:styleId="823">
    <w:name w:val="Heading 2 Char"/>
    <w:basedOn w:val="753"/>
    <w:next w:val="823"/>
    <w:link w:val="752"/>
    <w:uiPriority w:val="9"/>
    <w:qFormat/>
    <w:rPr>
      <w:rFonts w:ascii="Arial" w:hAnsi="Arial" w:eastAsia="Arial" w:cs="Arial"/>
      <w:sz w:val="34"/>
    </w:rPr>
  </w:style>
  <w:style w:type="character" w:styleId="824">
    <w:name w:val="Heading 3 Char"/>
    <w:basedOn w:val="753"/>
    <w:next w:val="824"/>
    <w:link w:val="752"/>
    <w:uiPriority w:val="9"/>
    <w:qFormat/>
    <w:rPr>
      <w:rFonts w:ascii="Arial" w:hAnsi="Arial" w:eastAsia="Arial" w:cs="Arial"/>
      <w:sz w:val="30"/>
      <w:szCs w:val="30"/>
    </w:rPr>
  </w:style>
  <w:style w:type="character" w:styleId="825">
    <w:name w:val="Heading 4 Char"/>
    <w:basedOn w:val="753"/>
    <w:next w:val="825"/>
    <w:link w:val="752"/>
    <w:uiPriority w:val="9"/>
    <w:qFormat/>
    <w:rPr>
      <w:rFonts w:ascii="Arial" w:hAnsi="Arial" w:eastAsia="Arial" w:cs="Arial"/>
      <w:b/>
      <w:bCs/>
      <w:sz w:val="26"/>
      <w:szCs w:val="26"/>
    </w:rPr>
  </w:style>
  <w:style w:type="character" w:styleId="826">
    <w:name w:val="Heading 5 Char"/>
    <w:basedOn w:val="753"/>
    <w:next w:val="826"/>
    <w:link w:val="752"/>
    <w:uiPriority w:val="9"/>
    <w:qFormat/>
    <w:rPr>
      <w:rFonts w:ascii="Arial" w:hAnsi="Arial" w:eastAsia="Arial" w:cs="Arial"/>
      <w:b/>
      <w:bCs/>
      <w:sz w:val="24"/>
      <w:szCs w:val="24"/>
    </w:rPr>
  </w:style>
  <w:style w:type="character" w:styleId="827">
    <w:name w:val="Heading 6 Char"/>
    <w:basedOn w:val="753"/>
    <w:next w:val="827"/>
    <w:link w:val="752"/>
    <w:uiPriority w:val="9"/>
    <w:qFormat/>
    <w:rPr>
      <w:rFonts w:ascii="Arial" w:hAnsi="Arial" w:eastAsia="Arial" w:cs="Arial"/>
      <w:b/>
      <w:bCs/>
      <w:sz w:val="22"/>
      <w:szCs w:val="22"/>
    </w:rPr>
  </w:style>
  <w:style w:type="character" w:styleId="828">
    <w:name w:val="Heading 7 Char"/>
    <w:basedOn w:val="753"/>
    <w:next w:val="828"/>
    <w:link w:val="752"/>
    <w:uiPriority w:val="9"/>
    <w:qFormat/>
    <w:rPr>
      <w:rFonts w:ascii="Arial" w:hAnsi="Arial" w:eastAsia="Arial" w:cs="Arial"/>
      <w:b/>
      <w:bCs/>
      <w:i/>
      <w:iCs/>
      <w:sz w:val="22"/>
      <w:szCs w:val="22"/>
    </w:rPr>
  </w:style>
  <w:style w:type="character" w:styleId="829">
    <w:name w:val="Heading 8 Char"/>
    <w:basedOn w:val="753"/>
    <w:next w:val="829"/>
    <w:link w:val="752"/>
    <w:uiPriority w:val="9"/>
    <w:qFormat/>
    <w:rPr>
      <w:rFonts w:ascii="Arial" w:hAnsi="Arial" w:eastAsia="Arial" w:cs="Arial"/>
      <w:i/>
      <w:iCs/>
      <w:sz w:val="22"/>
      <w:szCs w:val="22"/>
    </w:rPr>
  </w:style>
  <w:style w:type="character" w:styleId="830">
    <w:name w:val="Heading 9 Char"/>
    <w:basedOn w:val="753"/>
    <w:next w:val="830"/>
    <w:link w:val="752"/>
    <w:uiPriority w:val="9"/>
    <w:qFormat/>
    <w:rPr>
      <w:rFonts w:ascii="Arial" w:hAnsi="Arial" w:eastAsia="Arial" w:cs="Arial"/>
      <w:i/>
      <w:iCs/>
      <w:sz w:val="21"/>
      <w:szCs w:val="21"/>
    </w:rPr>
  </w:style>
  <w:style w:type="character" w:styleId="831">
    <w:name w:val="Title Char"/>
    <w:basedOn w:val="753"/>
    <w:next w:val="831"/>
    <w:link w:val="752"/>
    <w:uiPriority w:val="10"/>
    <w:qFormat/>
    <w:rPr>
      <w:sz w:val="48"/>
      <w:szCs w:val="48"/>
    </w:rPr>
  </w:style>
  <w:style w:type="character" w:styleId="832">
    <w:name w:val="Quote Char"/>
    <w:next w:val="832"/>
    <w:link w:val="752"/>
    <w:uiPriority w:val="29"/>
    <w:qFormat/>
    <w:rPr>
      <w:i/>
    </w:rPr>
  </w:style>
  <w:style w:type="character" w:styleId="833">
    <w:name w:val="Intense Quote Char"/>
    <w:next w:val="833"/>
    <w:link w:val="752"/>
    <w:uiPriority w:val="30"/>
    <w:qFormat/>
    <w:rPr>
      <w:i/>
    </w:rPr>
  </w:style>
  <w:style w:type="character" w:styleId="834">
    <w:name w:val="Header Char"/>
    <w:basedOn w:val="753"/>
    <w:next w:val="834"/>
    <w:link w:val="752"/>
    <w:uiPriority w:val="99"/>
    <w:qFormat/>
  </w:style>
  <w:style w:type="character" w:styleId="835">
    <w:name w:val="Footer Char"/>
    <w:basedOn w:val="753"/>
    <w:next w:val="835"/>
    <w:link w:val="752"/>
    <w:uiPriority w:val="99"/>
    <w:qFormat/>
  </w:style>
  <w:style w:type="paragraph" w:styleId="836">
    <w:name w:val="TOC Heading"/>
    <w:next w:val="836"/>
    <w:link w:val="752"/>
    <w:uiPriority w:val="39"/>
    <w:unhideWhenUsed/>
    <w:qFormat/>
  </w:style>
  <w:style w:type="paragraph" w:styleId="837">
    <w:name w:val="Default"/>
    <w:next w:val="837"/>
    <w:link w:val="838"/>
    <w:qFormat/>
    <w:pPr>
      <w:widowControl w:val="off"/>
    </w:pPr>
    <w:rPr>
      <w:rFonts w:ascii="MS Mincho" w:hAnsi="Calibri"/>
      <w:color w:val="000000"/>
      <w:sz w:val="21"/>
      <w:szCs w:val="24"/>
      <w:lang w:eastAsia="zh-CN"/>
    </w:rPr>
  </w:style>
  <w:style w:type="character" w:styleId="838">
    <w:name w:val="Default Char"/>
    <w:next w:val="838"/>
    <w:link w:val="837"/>
    <w:qFormat/>
    <w:rPr>
      <w:rFonts w:ascii="MS Mincho" w:hAnsi="Calibri" w:eastAsia="宋体" w:cs="Times New Roman"/>
      <w:color w:val="000000"/>
      <w:szCs w:val="24"/>
    </w:rPr>
  </w:style>
  <w:style w:type="character" w:styleId="839">
    <w:name w:val="Heading 1 Char_4e684537-e122-4d9b-a6bb-c0269fc10e4f"/>
    <w:basedOn w:val="753"/>
    <w:next w:val="839"/>
    <w:link w:val="752"/>
    <w:uiPriority w:val="9"/>
    <w:qFormat/>
    <w:rPr>
      <w:rFonts w:ascii="Arial" w:hAnsi="Arial" w:eastAsia="Arial" w:cs="Arial"/>
      <w:sz w:val="40"/>
      <w:szCs w:val="40"/>
    </w:rPr>
  </w:style>
  <w:style w:type="character" w:styleId="840">
    <w:name w:val="Heading 2 Char_a42eba35-169b-420c-aec5-ad614c1de9c2"/>
    <w:basedOn w:val="753"/>
    <w:next w:val="840"/>
    <w:link w:val="752"/>
    <w:uiPriority w:val="9"/>
    <w:qFormat/>
    <w:rPr>
      <w:rFonts w:ascii="Arial" w:hAnsi="Arial" w:eastAsia="Arial" w:cs="Arial"/>
      <w:sz w:val="34"/>
    </w:rPr>
  </w:style>
  <w:style w:type="character" w:styleId="841">
    <w:name w:val="Heading 3 Char_6bd27b54-5082-40b3-9742-fa38b68a3700"/>
    <w:basedOn w:val="753"/>
    <w:next w:val="841"/>
    <w:link w:val="752"/>
    <w:uiPriority w:val="9"/>
    <w:qFormat/>
    <w:rPr>
      <w:rFonts w:ascii="Arial" w:hAnsi="Arial" w:eastAsia="Arial" w:cs="Arial"/>
      <w:sz w:val="30"/>
      <w:szCs w:val="30"/>
    </w:rPr>
  </w:style>
  <w:style w:type="character" w:styleId="842">
    <w:name w:val="Heading 4 Char_41e7470f-4855-4ff9-a209-402969ab0ce0"/>
    <w:basedOn w:val="753"/>
    <w:next w:val="842"/>
    <w:link w:val="752"/>
    <w:uiPriority w:val="9"/>
    <w:qFormat/>
    <w:rPr>
      <w:rFonts w:ascii="Arial" w:hAnsi="Arial" w:eastAsia="Arial" w:cs="Arial"/>
      <w:b/>
      <w:bCs/>
      <w:sz w:val="26"/>
      <w:szCs w:val="26"/>
    </w:rPr>
  </w:style>
  <w:style w:type="character" w:styleId="843">
    <w:name w:val="Heading 5 Char_638c4941-cf93-4b71-8d06-187b984cc54e"/>
    <w:basedOn w:val="753"/>
    <w:next w:val="843"/>
    <w:link w:val="752"/>
    <w:uiPriority w:val="9"/>
    <w:qFormat/>
    <w:rPr>
      <w:rFonts w:ascii="Arial" w:hAnsi="Arial" w:eastAsia="Arial" w:cs="Arial"/>
      <w:b/>
      <w:bCs/>
      <w:sz w:val="24"/>
      <w:szCs w:val="24"/>
    </w:rPr>
  </w:style>
  <w:style w:type="character" w:styleId="844">
    <w:name w:val="Heading 6 Char_6124e779-6b5e-492e-ba2c-0ac3e902d9e6"/>
    <w:basedOn w:val="753"/>
    <w:next w:val="844"/>
    <w:link w:val="752"/>
    <w:uiPriority w:val="9"/>
    <w:qFormat/>
    <w:rPr>
      <w:rFonts w:ascii="Arial" w:hAnsi="Arial" w:eastAsia="Arial" w:cs="Arial"/>
      <w:b/>
      <w:bCs/>
      <w:sz w:val="22"/>
      <w:szCs w:val="22"/>
    </w:rPr>
  </w:style>
  <w:style w:type="character" w:styleId="845">
    <w:name w:val="Heading 7 Char_b110c856-243f-4060-991a-33debbe086ef"/>
    <w:basedOn w:val="753"/>
    <w:next w:val="845"/>
    <w:link w:val="752"/>
    <w:uiPriority w:val="9"/>
    <w:qFormat/>
    <w:rPr>
      <w:rFonts w:ascii="Arial" w:hAnsi="Arial" w:eastAsia="Arial" w:cs="Arial"/>
      <w:b/>
      <w:bCs/>
      <w:i/>
      <w:iCs/>
      <w:sz w:val="22"/>
      <w:szCs w:val="22"/>
    </w:rPr>
  </w:style>
  <w:style w:type="character" w:styleId="846">
    <w:name w:val="Heading 8 Char_1a941560-dba7-47d8-84d7-0aa625037874"/>
    <w:basedOn w:val="753"/>
    <w:next w:val="846"/>
    <w:link w:val="752"/>
    <w:uiPriority w:val="9"/>
    <w:qFormat/>
    <w:rPr>
      <w:rFonts w:ascii="Arial" w:hAnsi="Arial" w:eastAsia="Arial" w:cs="Arial"/>
      <w:i/>
      <w:iCs/>
      <w:sz w:val="22"/>
      <w:szCs w:val="22"/>
    </w:rPr>
  </w:style>
  <w:style w:type="character" w:styleId="847">
    <w:name w:val="Heading 9 Char_4a51e33b-a98e-4409-8d82-e8114c22ecff"/>
    <w:basedOn w:val="753"/>
    <w:next w:val="847"/>
    <w:link w:val="752"/>
    <w:uiPriority w:val="9"/>
    <w:qFormat/>
    <w:rPr>
      <w:rFonts w:ascii="Arial" w:hAnsi="Arial" w:eastAsia="Arial" w:cs="Arial"/>
      <w:i/>
      <w:iCs/>
      <w:sz w:val="21"/>
      <w:szCs w:val="21"/>
    </w:rPr>
  </w:style>
  <w:style w:type="paragraph" w:styleId="848">
    <w:name w:val="No Spacing"/>
    <w:next w:val="848"/>
    <w:link w:val="752"/>
    <w:uiPriority w:val="1"/>
    <w:qFormat/>
    <w:pPr>
      <w:spacing w:before="0" w:after="0" w:line="240" w:lineRule="auto"/>
    </w:pPr>
  </w:style>
  <w:style w:type="character" w:styleId="849">
    <w:name w:val="Subtitle Char"/>
    <w:basedOn w:val="753"/>
    <w:next w:val="849"/>
    <w:link w:val="752"/>
    <w:uiPriority w:val="11"/>
    <w:qFormat/>
    <w:rPr>
      <w:sz w:val="24"/>
      <w:szCs w:val="24"/>
    </w:rPr>
  </w:style>
  <w:style w:type="paragraph" w:styleId="850">
    <w:name w:val="Quote"/>
    <w:basedOn w:val="752"/>
    <w:next w:val="752"/>
    <w:link w:val="851"/>
    <w:uiPriority w:val="29"/>
    <w:qFormat/>
    <w:pPr>
      <w:ind w:left="720" w:right="720"/>
    </w:pPr>
    <w:rPr>
      <w:i/>
    </w:rPr>
  </w:style>
  <w:style w:type="character" w:styleId="851">
    <w:name w:val="Quote Char_50123ed9-8870-4703-a0df-68a92ab3f1ad"/>
    <w:next w:val="851"/>
    <w:link w:val="850"/>
    <w:uiPriority w:val="29"/>
    <w:qFormat/>
    <w:rPr>
      <w:i/>
    </w:rPr>
  </w:style>
  <w:style w:type="paragraph" w:styleId="852">
    <w:name w:val="Intense Quote"/>
    <w:basedOn w:val="752"/>
    <w:next w:val="752"/>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name w:val="Intense Quote Char_4ca16cdf-e5f2-485a-b40f-e716cc62f5a8"/>
    <w:next w:val="853"/>
    <w:link w:val="852"/>
    <w:uiPriority w:val="30"/>
    <w:qFormat/>
    <w:rPr>
      <w:i/>
    </w:rPr>
  </w:style>
  <w:style w:type="table" w:styleId="854">
    <w:name w:val="Table Grid Light"/>
    <w:basedOn w:val="754"/>
    <w:next w:val="854"/>
    <w:link w:val="752"/>
    <w:uiPriority w:val="59"/>
    <w:qFormat/>
    <w:pPr>
      <w:spacing w:after="0" w:line="240" w:lineRule="auto"/>
    </w:pPr>
    <w:tblPr/>
  </w:style>
  <w:style w:type="table" w:styleId="855">
    <w:name w:val="Plain Table 1"/>
    <w:basedOn w:val="754"/>
    <w:next w:val="855"/>
    <w:link w:val="752"/>
    <w:uiPriority w:val="59"/>
    <w:qFormat/>
    <w:pPr>
      <w:spacing w:after="0" w:line="240" w:lineRule="auto"/>
    </w:pPr>
    <w:tblPr/>
  </w:style>
  <w:style w:type="table" w:styleId="856">
    <w:name w:val="Plain Table 2"/>
    <w:basedOn w:val="754"/>
    <w:next w:val="856"/>
    <w:link w:val="752"/>
    <w:uiPriority w:val="59"/>
    <w:qFormat/>
    <w:pPr>
      <w:spacing w:after="0" w:line="240" w:lineRule="auto"/>
    </w:pPr>
    <w:tblPr/>
  </w:style>
  <w:style w:type="table" w:styleId="857">
    <w:name w:val="Plain Table 3"/>
    <w:basedOn w:val="754"/>
    <w:next w:val="857"/>
    <w:link w:val="752"/>
    <w:uiPriority w:val="99"/>
    <w:qFormat/>
    <w:pPr>
      <w:spacing w:after="0" w:line="240" w:lineRule="auto"/>
    </w:pPr>
    <w:tblPr/>
  </w:style>
  <w:style w:type="table" w:styleId="858">
    <w:name w:val="Plain Table 4"/>
    <w:basedOn w:val="754"/>
    <w:next w:val="858"/>
    <w:link w:val="752"/>
    <w:uiPriority w:val="99"/>
    <w:qFormat/>
    <w:pPr>
      <w:spacing w:after="0" w:line="240" w:lineRule="auto"/>
    </w:pPr>
    <w:tblPr/>
  </w:style>
  <w:style w:type="table" w:styleId="859">
    <w:name w:val="Plain Table 5"/>
    <w:basedOn w:val="754"/>
    <w:next w:val="859"/>
    <w:link w:val="752"/>
    <w:uiPriority w:val="99"/>
    <w:qFormat/>
    <w:pPr>
      <w:spacing w:after="0" w:line="240" w:lineRule="auto"/>
    </w:pPr>
    <w:tblPr/>
  </w:style>
  <w:style w:type="table" w:styleId="860">
    <w:name w:val="Grid Table 1 Light"/>
    <w:basedOn w:val="754"/>
    <w:next w:val="860"/>
    <w:link w:val="752"/>
    <w:uiPriority w:val="99"/>
    <w:qFormat/>
    <w:pPr>
      <w:spacing w:after="0" w:line="240" w:lineRule="auto"/>
    </w:pPr>
    <w:tblPr/>
  </w:style>
  <w:style w:type="table" w:styleId="861">
    <w:name w:val="Grid Table 1 Light - Accent 1"/>
    <w:basedOn w:val="754"/>
    <w:next w:val="861"/>
    <w:link w:val="752"/>
    <w:uiPriority w:val="99"/>
    <w:qFormat/>
    <w:pPr>
      <w:spacing w:after="0" w:line="240" w:lineRule="auto"/>
    </w:pPr>
    <w:tblPr/>
  </w:style>
  <w:style w:type="table" w:styleId="862">
    <w:name w:val="Grid Table 1 Light - Accent 2"/>
    <w:basedOn w:val="754"/>
    <w:next w:val="862"/>
    <w:link w:val="752"/>
    <w:uiPriority w:val="99"/>
    <w:qFormat/>
    <w:pPr>
      <w:spacing w:after="0" w:line="240" w:lineRule="auto"/>
    </w:pPr>
    <w:tblPr/>
  </w:style>
  <w:style w:type="table" w:styleId="863">
    <w:name w:val="Grid Table 1 Light - Accent 3"/>
    <w:basedOn w:val="754"/>
    <w:next w:val="863"/>
    <w:link w:val="752"/>
    <w:uiPriority w:val="99"/>
    <w:qFormat/>
    <w:pPr>
      <w:spacing w:after="0" w:line="240" w:lineRule="auto"/>
    </w:pPr>
    <w:tblPr/>
  </w:style>
  <w:style w:type="table" w:styleId="864">
    <w:name w:val="Grid Table 1 Light - Accent 4"/>
    <w:basedOn w:val="754"/>
    <w:next w:val="864"/>
    <w:link w:val="752"/>
    <w:uiPriority w:val="99"/>
    <w:qFormat/>
    <w:pPr>
      <w:spacing w:after="0" w:line="240" w:lineRule="auto"/>
    </w:pPr>
    <w:tblPr/>
  </w:style>
  <w:style w:type="table" w:styleId="865">
    <w:name w:val="Grid Table 1 Light - Accent 5"/>
    <w:basedOn w:val="754"/>
    <w:next w:val="865"/>
    <w:link w:val="752"/>
    <w:uiPriority w:val="99"/>
    <w:qFormat/>
    <w:pPr>
      <w:spacing w:after="0" w:line="240" w:lineRule="auto"/>
    </w:pPr>
    <w:tblPr/>
  </w:style>
  <w:style w:type="table" w:styleId="866">
    <w:name w:val="Grid Table 1 Light - Accent 6"/>
    <w:basedOn w:val="754"/>
    <w:next w:val="866"/>
    <w:link w:val="752"/>
    <w:uiPriority w:val="99"/>
    <w:qFormat/>
    <w:pPr>
      <w:spacing w:after="0" w:line="240" w:lineRule="auto"/>
    </w:pPr>
    <w:tblPr/>
  </w:style>
  <w:style w:type="table" w:styleId="867">
    <w:name w:val="Grid Table 2"/>
    <w:basedOn w:val="754"/>
    <w:next w:val="867"/>
    <w:link w:val="752"/>
    <w:uiPriority w:val="99"/>
    <w:qFormat/>
    <w:pPr>
      <w:spacing w:after="0" w:line="240" w:lineRule="auto"/>
    </w:pPr>
    <w:tblPr/>
  </w:style>
  <w:style w:type="table" w:styleId="868">
    <w:name w:val="Grid Table 2 - Accent 1"/>
    <w:basedOn w:val="754"/>
    <w:next w:val="868"/>
    <w:link w:val="752"/>
    <w:uiPriority w:val="99"/>
    <w:qFormat/>
    <w:pPr>
      <w:spacing w:after="0" w:line="240" w:lineRule="auto"/>
    </w:pPr>
    <w:tblPr/>
  </w:style>
  <w:style w:type="table" w:styleId="869">
    <w:name w:val="Grid Table 2 - Accent 2"/>
    <w:basedOn w:val="754"/>
    <w:next w:val="869"/>
    <w:link w:val="752"/>
    <w:uiPriority w:val="99"/>
    <w:qFormat/>
    <w:pPr>
      <w:spacing w:after="0" w:line="240" w:lineRule="auto"/>
    </w:pPr>
    <w:tblPr/>
  </w:style>
  <w:style w:type="table" w:styleId="870">
    <w:name w:val="Grid Table 2 - Accent 3"/>
    <w:basedOn w:val="754"/>
    <w:next w:val="870"/>
    <w:link w:val="752"/>
    <w:uiPriority w:val="99"/>
    <w:qFormat/>
    <w:pPr>
      <w:spacing w:after="0" w:line="240" w:lineRule="auto"/>
    </w:pPr>
    <w:tblPr/>
  </w:style>
  <w:style w:type="table" w:styleId="871">
    <w:name w:val="Grid Table 2 - Accent 4"/>
    <w:basedOn w:val="754"/>
    <w:next w:val="871"/>
    <w:link w:val="752"/>
    <w:uiPriority w:val="99"/>
    <w:qFormat/>
    <w:pPr>
      <w:spacing w:after="0" w:line="240" w:lineRule="auto"/>
    </w:pPr>
    <w:tblPr/>
  </w:style>
  <w:style w:type="table" w:styleId="872">
    <w:name w:val="Grid Table 2 - Accent 5"/>
    <w:basedOn w:val="754"/>
    <w:next w:val="872"/>
    <w:link w:val="752"/>
    <w:uiPriority w:val="99"/>
    <w:qFormat/>
    <w:pPr>
      <w:spacing w:after="0" w:line="240" w:lineRule="auto"/>
    </w:pPr>
    <w:tblPr/>
  </w:style>
  <w:style w:type="table" w:styleId="873">
    <w:name w:val="Grid Table 2 - Accent 6"/>
    <w:basedOn w:val="754"/>
    <w:next w:val="873"/>
    <w:link w:val="752"/>
    <w:uiPriority w:val="99"/>
    <w:qFormat/>
    <w:pPr>
      <w:spacing w:after="0" w:line="240" w:lineRule="auto"/>
    </w:pPr>
    <w:tblPr/>
  </w:style>
  <w:style w:type="table" w:styleId="874">
    <w:name w:val="Grid Table 3"/>
    <w:basedOn w:val="754"/>
    <w:next w:val="874"/>
    <w:link w:val="752"/>
    <w:uiPriority w:val="99"/>
    <w:qFormat/>
    <w:pPr>
      <w:spacing w:after="0" w:line="240" w:lineRule="auto"/>
    </w:pPr>
    <w:tblPr/>
  </w:style>
  <w:style w:type="table" w:styleId="875">
    <w:name w:val="Grid Table 3 - Accent 1"/>
    <w:basedOn w:val="754"/>
    <w:next w:val="875"/>
    <w:link w:val="752"/>
    <w:uiPriority w:val="99"/>
    <w:qFormat/>
    <w:pPr>
      <w:spacing w:after="0" w:line="240" w:lineRule="auto"/>
    </w:pPr>
    <w:tblPr/>
  </w:style>
  <w:style w:type="table" w:styleId="876">
    <w:name w:val="Grid Table 3 - Accent 2"/>
    <w:basedOn w:val="754"/>
    <w:next w:val="876"/>
    <w:link w:val="752"/>
    <w:uiPriority w:val="99"/>
    <w:qFormat/>
    <w:pPr>
      <w:spacing w:after="0" w:line="240" w:lineRule="auto"/>
    </w:pPr>
    <w:tblPr/>
  </w:style>
  <w:style w:type="table" w:styleId="877">
    <w:name w:val="Grid Table 3 - Accent 3"/>
    <w:basedOn w:val="754"/>
    <w:next w:val="877"/>
    <w:link w:val="752"/>
    <w:uiPriority w:val="99"/>
    <w:qFormat/>
    <w:pPr>
      <w:spacing w:after="0" w:line="240" w:lineRule="auto"/>
    </w:pPr>
    <w:tblPr/>
  </w:style>
  <w:style w:type="table" w:styleId="878">
    <w:name w:val="Grid Table 3 - Accent 4"/>
    <w:basedOn w:val="754"/>
    <w:next w:val="878"/>
    <w:link w:val="752"/>
    <w:uiPriority w:val="99"/>
    <w:qFormat/>
    <w:pPr>
      <w:spacing w:after="0" w:line="240" w:lineRule="auto"/>
    </w:pPr>
    <w:tblPr/>
  </w:style>
  <w:style w:type="table" w:styleId="879">
    <w:name w:val="Grid Table 3 - Accent 5"/>
    <w:basedOn w:val="754"/>
    <w:next w:val="879"/>
    <w:link w:val="752"/>
    <w:uiPriority w:val="99"/>
    <w:qFormat/>
    <w:pPr>
      <w:spacing w:after="0" w:line="240" w:lineRule="auto"/>
    </w:pPr>
    <w:tblPr/>
  </w:style>
  <w:style w:type="table" w:styleId="880">
    <w:name w:val="Grid Table 3 - Accent 6"/>
    <w:basedOn w:val="754"/>
    <w:next w:val="880"/>
    <w:link w:val="752"/>
    <w:uiPriority w:val="99"/>
    <w:qFormat/>
    <w:pPr>
      <w:spacing w:after="0" w:line="240" w:lineRule="auto"/>
    </w:pPr>
    <w:tblPr/>
  </w:style>
  <w:style w:type="table" w:styleId="881">
    <w:name w:val="Grid Table 4"/>
    <w:basedOn w:val="754"/>
    <w:next w:val="881"/>
    <w:link w:val="752"/>
    <w:uiPriority w:val="59"/>
    <w:qFormat/>
    <w:pPr>
      <w:spacing w:after="0" w:line="240" w:lineRule="auto"/>
    </w:pPr>
    <w:tblPr/>
  </w:style>
  <w:style w:type="table" w:styleId="882">
    <w:name w:val="Grid Table 4 - Accent 1"/>
    <w:basedOn w:val="754"/>
    <w:next w:val="882"/>
    <w:link w:val="752"/>
    <w:uiPriority w:val="59"/>
    <w:qFormat/>
    <w:pPr>
      <w:spacing w:after="0" w:line="240" w:lineRule="auto"/>
    </w:pPr>
    <w:tblPr/>
  </w:style>
  <w:style w:type="table" w:styleId="883">
    <w:name w:val="Grid Table 4 - Accent 2"/>
    <w:basedOn w:val="754"/>
    <w:next w:val="883"/>
    <w:link w:val="752"/>
    <w:uiPriority w:val="59"/>
    <w:qFormat/>
    <w:pPr>
      <w:spacing w:after="0" w:line="240" w:lineRule="auto"/>
    </w:pPr>
    <w:tblPr/>
  </w:style>
  <w:style w:type="table" w:styleId="884">
    <w:name w:val="Grid Table 4 - Accent 3"/>
    <w:basedOn w:val="754"/>
    <w:next w:val="884"/>
    <w:link w:val="752"/>
    <w:uiPriority w:val="59"/>
    <w:qFormat/>
    <w:pPr>
      <w:spacing w:after="0" w:line="240" w:lineRule="auto"/>
    </w:pPr>
    <w:tblPr/>
  </w:style>
  <w:style w:type="table" w:styleId="885">
    <w:name w:val="Grid Table 4 - Accent 4"/>
    <w:basedOn w:val="754"/>
    <w:next w:val="885"/>
    <w:link w:val="752"/>
    <w:uiPriority w:val="59"/>
    <w:qFormat/>
    <w:pPr>
      <w:spacing w:after="0" w:line="240" w:lineRule="auto"/>
    </w:pPr>
    <w:tblPr/>
  </w:style>
  <w:style w:type="table" w:styleId="886">
    <w:name w:val="Grid Table 4 - Accent 5"/>
    <w:basedOn w:val="754"/>
    <w:next w:val="886"/>
    <w:link w:val="752"/>
    <w:uiPriority w:val="59"/>
    <w:qFormat/>
    <w:pPr>
      <w:spacing w:after="0" w:line="240" w:lineRule="auto"/>
    </w:pPr>
    <w:tblPr/>
  </w:style>
  <w:style w:type="table" w:styleId="887">
    <w:name w:val="Grid Table 4 - Accent 6"/>
    <w:basedOn w:val="754"/>
    <w:next w:val="887"/>
    <w:link w:val="752"/>
    <w:uiPriority w:val="59"/>
    <w:qFormat/>
    <w:pPr>
      <w:spacing w:after="0" w:line="240" w:lineRule="auto"/>
    </w:pPr>
    <w:tblPr/>
  </w:style>
  <w:style w:type="table" w:styleId="888">
    <w:name w:val="Grid Table 5 Dark"/>
    <w:basedOn w:val="754"/>
    <w:next w:val="888"/>
    <w:link w:val="752"/>
    <w:uiPriority w:val="99"/>
    <w:qFormat/>
    <w:pPr>
      <w:spacing w:after="0" w:line="240" w:lineRule="auto"/>
    </w:pPr>
    <w:tblPr/>
  </w:style>
  <w:style w:type="table" w:styleId="889">
    <w:name w:val="Grid Table 5 Dark- Accent 1"/>
    <w:basedOn w:val="754"/>
    <w:next w:val="889"/>
    <w:link w:val="752"/>
    <w:uiPriority w:val="99"/>
    <w:qFormat/>
    <w:pPr>
      <w:spacing w:after="0" w:line="240" w:lineRule="auto"/>
    </w:pPr>
    <w:tblPr/>
  </w:style>
  <w:style w:type="table" w:styleId="890">
    <w:name w:val="Grid Table 5 Dark - Accent 2"/>
    <w:basedOn w:val="754"/>
    <w:next w:val="890"/>
    <w:link w:val="752"/>
    <w:uiPriority w:val="99"/>
    <w:qFormat/>
    <w:pPr>
      <w:spacing w:after="0" w:line="240" w:lineRule="auto"/>
    </w:pPr>
    <w:tblPr/>
  </w:style>
  <w:style w:type="table" w:styleId="891">
    <w:name w:val="Grid Table 5 Dark - Accent 3"/>
    <w:basedOn w:val="754"/>
    <w:next w:val="891"/>
    <w:link w:val="752"/>
    <w:uiPriority w:val="99"/>
    <w:qFormat/>
    <w:pPr>
      <w:spacing w:after="0" w:line="240" w:lineRule="auto"/>
    </w:pPr>
    <w:tblPr/>
  </w:style>
  <w:style w:type="table" w:styleId="892">
    <w:name w:val="Grid Table 5 Dark- Accent 4"/>
    <w:basedOn w:val="754"/>
    <w:next w:val="892"/>
    <w:link w:val="752"/>
    <w:uiPriority w:val="99"/>
    <w:qFormat/>
    <w:pPr>
      <w:spacing w:after="0" w:line="240" w:lineRule="auto"/>
    </w:pPr>
    <w:tblPr/>
  </w:style>
  <w:style w:type="table" w:styleId="893">
    <w:name w:val="Grid Table 5 Dark - Accent 5"/>
    <w:basedOn w:val="754"/>
    <w:next w:val="893"/>
    <w:link w:val="752"/>
    <w:uiPriority w:val="99"/>
    <w:qFormat/>
    <w:pPr>
      <w:spacing w:after="0" w:line="240" w:lineRule="auto"/>
    </w:pPr>
    <w:tblPr/>
  </w:style>
  <w:style w:type="table" w:styleId="894">
    <w:name w:val="Grid Table 5 Dark - Accent 6"/>
    <w:basedOn w:val="754"/>
    <w:next w:val="894"/>
    <w:link w:val="752"/>
    <w:uiPriority w:val="99"/>
    <w:qFormat/>
    <w:pPr>
      <w:spacing w:after="0" w:line="240" w:lineRule="auto"/>
    </w:pPr>
    <w:tblPr/>
  </w:style>
  <w:style w:type="table" w:styleId="895">
    <w:name w:val="Grid Table 6 Colorful"/>
    <w:basedOn w:val="754"/>
    <w:next w:val="895"/>
    <w:link w:val="752"/>
    <w:uiPriority w:val="99"/>
    <w:qFormat/>
    <w:pPr>
      <w:spacing w:after="0" w:line="240" w:lineRule="auto"/>
    </w:pPr>
    <w:tblPr/>
  </w:style>
  <w:style w:type="table" w:styleId="896">
    <w:name w:val="Grid Table 6 Colorful - Accent 1"/>
    <w:basedOn w:val="754"/>
    <w:next w:val="896"/>
    <w:link w:val="752"/>
    <w:uiPriority w:val="99"/>
    <w:qFormat/>
    <w:pPr>
      <w:spacing w:after="0" w:line="240" w:lineRule="auto"/>
    </w:pPr>
    <w:tblPr/>
  </w:style>
  <w:style w:type="table" w:styleId="897">
    <w:name w:val="Grid Table 6 Colorful - Accent 2"/>
    <w:basedOn w:val="754"/>
    <w:next w:val="897"/>
    <w:link w:val="752"/>
    <w:uiPriority w:val="99"/>
    <w:qFormat/>
    <w:pPr>
      <w:spacing w:after="0" w:line="240" w:lineRule="auto"/>
    </w:pPr>
    <w:tblPr/>
  </w:style>
  <w:style w:type="table" w:styleId="898">
    <w:name w:val="Grid Table 6 Colorful - Accent 3"/>
    <w:basedOn w:val="754"/>
    <w:next w:val="898"/>
    <w:link w:val="752"/>
    <w:uiPriority w:val="99"/>
    <w:qFormat/>
    <w:pPr>
      <w:spacing w:after="0" w:line="240" w:lineRule="auto"/>
    </w:pPr>
    <w:tblPr/>
  </w:style>
  <w:style w:type="table" w:styleId="899">
    <w:name w:val="Grid Table 6 Colorful - Accent 4"/>
    <w:basedOn w:val="754"/>
    <w:next w:val="899"/>
    <w:link w:val="752"/>
    <w:uiPriority w:val="99"/>
    <w:qFormat/>
    <w:pPr>
      <w:spacing w:after="0" w:line="240" w:lineRule="auto"/>
    </w:pPr>
    <w:tblPr/>
  </w:style>
  <w:style w:type="table" w:styleId="900">
    <w:name w:val="Grid Table 6 Colorful - Accent 5"/>
    <w:basedOn w:val="754"/>
    <w:next w:val="900"/>
    <w:link w:val="752"/>
    <w:uiPriority w:val="99"/>
    <w:qFormat/>
    <w:pPr>
      <w:spacing w:after="0" w:line="240" w:lineRule="auto"/>
    </w:pPr>
    <w:tblPr/>
  </w:style>
  <w:style w:type="table" w:styleId="901">
    <w:name w:val="Grid Table 6 Colorful - Accent 6"/>
    <w:basedOn w:val="754"/>
    <w:next w:val="901"/>
    <w:link w:val="752"/>
    <w:uiPriority w:val="99"/>
    <w:qFormat/>
    <w:pPr>
      <w:spacing w:after="0" w:line="240" w:lineRule="auto"/>
    </w:pPr>
    <w:tblPr/>
  </w:style>
  <w:style w:type="table" w:styleId="902">
    <w:name w:val="Grid Table 7 Colorful"/>
    <w:basedOn w:val="754"/>
    <w:next w:val="902"/>
    <w:link w:val="752"/>
    <w:uiPriority w:val="99"/>
    <w:qFormat/>
    <w:pPr>
      <w:spacing w:after="0" w:line="240" w:lineRule="auto"/>
    </w:pPr>
    <w:tblPr/>
  </w:style>
  <w:style w:type="table" w:styleId="903">
    <w:name w:val="Grid Table 7 Colorful - Accent 1"/>
    <w:basedOn w:val="754"/>
    <w:next w:val="903"/>
    <w:link w:val="752"/>
    <w:uiPriority w:val="99"/>
    <w:qFormat/>
    <w:pPr>
      <w:spacing w:after="0" w:line="240" w:lineRule="auto"/>
    </w:pPr>
    <w:tblPr/>
  </w:style>
  <w:style w:type="table" w:styleId="904">
    <w:name w:val="Grid Table 7 Colorful - Accent 2"/>
    <w:basedOn w:val="754"/>
    <w:next w:val="904"/>
    <w:link w:val="752"/>
    <w:uiPriority w:val="99"/>
    <w:qFormat/>
    <w:pPr>
      <w:spacing w:after="0" w:line="240" w:lineRule="auto"/>
    </w:pPr>
    <w:tblPr/>
  </w:style>
  <w:style w:type="table" w:styleId="905">
    <w:name w:val="Grid Table 7 Colorful - Accent 3"/>
    <w:basedOn w:val="754"/>
    <w:next w:val="905"/>
    <w:link w:val="752"/>
    <w:uiPriority w:val="99"/>
    <w:qFormat/>
    <w:pPr>
      <w:spacing w:after="0" w:line="240" w:lineRule="auto"/>
    </w:pPr>
    <w:tblPr/>
  </w:style>
  <w:style w:type="table" w:styleId="906">
    <w:name w:val="Grid Table 7 Colorful - Accent 4"/>
    <w:basedOn w:val="754"/>
    <w:next w:val="906"/>
    <w:link w:val="752"/>
    <w:uiPriority w:val="99"/>
    <w:qFormat/>
    <w:pPr>
      <w:spacing w:after="0" w:line="240" w:lineRule="auto"/>
    </w:pPr>
    <w:tblPr/>
  </w:style>
  <w:style w:type="table" w:styleId="907">
    <w:name w:val="Grid Table 7 Colorful - Accent 5"/>
    <w:basedOn w:val="754"/>
    <w:next w:val="907"/>
    <w:link w:val="752"/>
    <w:uiPriority w:val="99"/>
    <w:qFormat/>
    <w:pPr>
      <w:spacing w:after="0" w:line="240" w:lineRule="auto"/>
    </w:pPr>
    <w:tblPr/>
  </w:style>
  <w:style w:type="table" w:styleId="908">
    <w:name w:val="Grid Table 7 Colorful - Accent 6"/>
    <w:basedOn w:val="754"/>
    <w:next w:val="908"/>
    <w:link w:val="752"/>
    <w:uiPriority w:val="99"/>
    <w:qFormat/>
    <w:pPr>
      <w:spacing w:after="0" w:line="240" w:lineRule="auto"/>
    </w:pPr>
    <w:tblPr/>
  </w:style>
  <w:style w:type="table" w:styleId="909">
    <w:name w:val="List Table 1 Light"/>
    <w:basedOn w:val="754"/>
    <w:next w:val="909"/>
    <w:link w:val="752"/>
    <w:uiPriority w:val="99"/>
    <w:qFormat/>
    <w:pPr>
      <w:spacing w:after="0" w:line="240" w:lineRule="auto"/>
    </w:pPr>
    <w:tblPr/>
  </w:style>
  <w:style w:type="table" w:styleId="910">
    <w:name w:val="List Table 1 Light - Accent 1"/>
    <w:basedOn w:val="754"/>
    <w:next w:val="910"/>
    <w:link w:val="752"/>
    <w:uiPriority w:val="99"/>
    <w:qFormat/>
    <w:pPr>
      <w:spacing w:after="0" w:line="240" w:lineRule="auto"/>
    </w:pPr>
    <w:tblPr/>
  </w:style>
  <w:style w:type="table" w:styleId="911">
    <w:name w:val="List Table 1 Light - Accent 2"/>
    <w:basedOn w:val="754"/>
    <w:next w:val="911"/>
    <w:link w:val="752"/>
    <w:uiPriority w:val="99"/>
    <w:qFormat/>
    <w:pPr>
      <w:spacing w:after="0" w:line="240" w:lineRule="auto"/>
    </w:pPr>
    <w:tblPr/>
  </w:style>
  <w:style w:type="table" w:styleId="912">
    <w:name w:val="List Table 1 Light - Accent 3"/>
    <w:basedOn w:val="754"/>
    <w:next w:val="912"/>
    <w:link w:val="752"/>
    <w:uiPriority w:val="99"/>
    <w:qFormat/>
    <w:pPr>
      <w:spacing w:after="0" w:line="240" w:lineRule="auto"/>
    </w:pPr>
    <w:tblPr/>
  </w:style>
  <w:style w:type="table" w:styleId="913">
    <w:name w:val="List Table 1 Light - Accent 4"/>
    <w:basedOn w:val="754"/>
    <w:next w:val="913"/>
    <w:link w:val="752"/>
    <w:uiPriority w:val="99"/>
    <w:qFormat/>
    <w:pPr>
      <w:spacing w:after="0" w:line="240" w:lineRule="auto"/>
    </w:pPr>
    <w:tblPr/>
  </w:style>
  <w:style w:type="table" w:styleId="914">
    <w:name w:val="List Table 1 Light - Accent 5"/>
    <w:basedOn w:val="754"/>
    <w:next w:val="914"/>
    <w:link w:val="752"/>
    <w:uiPriority w:val="99"/>
    <w:qFormat/>
    <w:pPr>
      <w:spacing w:after="0" w:line="240" w:lineRule="auto"/>
    </w:pPr>
    <w:tblPr/>
  </w:style>
  <w:style w:type="table" w:styleId="915">
    <w:name w:val="List Table 1 Light - Accent 6"/>
    <w:basedOn w:val="754"/>
    <w:next w:val="915"/>
    <w:link w:val="752"/>
    <w:uiPriority w:val="99"/>
    <w:qFormat/>
    <w:pPr>
      <w:spacing w:after="0" w:line="240" w:lineRule="auto"/>
    </w:pPr>
    <w:tblPr/>
  </w:style>
  <w:style w:type="table" w:styleId="916">
    <w:name w:val="List Table 2"/>
    <w:basedOn w:val="754"/>
    <w:next w:val="916"/>
    <w:link w:val="752"/>
    <w:uiPriority w:val="99"/>
    <w:qFormat/>
    <w:pPr>
      <w:spacing w:after="0" w:line="240" w:lineRule="auto"/>
    </w:pPr>
    <w:tblPr/>
  </w:style>
  <w:style w:type="table" w:styleId="917">
    <w:name w:val="List Table 2 - Accent 1"/>
    <w:basedOn w:val="754"/>
    <w:next w:val="917"/>
    <w:link w:val="752"/>
    <w:uiPriority w:val="99"/>
    <w:qFormat/>
    <w:pPr>
      <w:spacing w:after="0" w:line="240" w:lineRule="auto"/>
    </w:pPr>
    <w:tblPr/>
  </w:style>
  <w:style w:type="table" w:styleId="918">
    <w:name w:val="List Table 2 - Accent 2"/>
    <w:basedOn w:val="754"/>
    <w:next w:val="918"/>
    <w:link w:val="752"/>
    <w:uiPriority w:val="99"/>
    <w:qFormat/>
    <w:pPr>
      <w:spacing w:after="0" w:line="240" w:lineRule="auto"/>
    </w:pPr>
    <w:tblPr/>
  </w:style>
  <w:style w:type="table" w:styleId="919">
    <w:name w:val="List Table 2 - Accent 3"/>
    <w:basedOn w:val="754"/>
    <w:next w:val="919"/>
    <w:link w:val="752"/>
    <w:uiPriority w:val="99"/>
    <w:qFormat/>
    <w:pPr>
      <w:spacing w:after="0" w:line="240" w:lineRule="auto"/>
    </w:pPr>
    <w:tblPr/>
  </w:style>
  <w:style w:type="table" w:styleId="920">
    <w:name w:val="List Table 2 - Accent 4"/>
    <w:basedOn w:val="754"/>
    <w:next w:val="920"/>
    <w:link w:val="752"/>
    <w:uiPriority w:val="99"/>
    <w:qFormat/>
    <w:pPr>
      <w:spacing w:after="0" w:line="240" w:lineRule="auto"/>
    </w:pPr>
    <w:tblPr/>
  </w:style>
  <w:style w:type="table" w:styleId="921">
    <w:name w:val="List Table 2 - Accent 5"/>
    <w:basedOn w:val="754"/>
    <w:next w:val="921"/>
    <w:link w:val="752"/>
    <w:uiPriority w:val="99"/>
    <w:qFormat/>
    <w:pPr>
      <w:spacing w:after="0" w:line="240" w:lineRule="auto"/>
    </w:pPr>
    <w:tblPr/>
  </w:style>
  <w:style w:type="table" w:styleId="922">
    <w:name w:val="List Table 2 - Accent 6"/>
    <w:basedOn w:val="754"/>
    <w:next w:val="922"/>
    <w:link w:val="752"/>
    <w:uiPriority w:val="99"/>
    <w:qFormat/>
    <w:pPr>
      <w:spacing w:after="0" w:line="240" w:lineRule="auto"/>
    </w:pPr>
    <w:tblPr/>
  </w:style>
  <w:style w:type="table" w:styleId="923">
    <w:name w:val="List Table 3"/>
    <w:basedOn w:val="754"/>
    <w:next w:val="923"/>
    <w:link w:val="752"/>
    <w:uiPriority w:val="99"/>
    <w:qFormat/>
    <w:pPr>
      <w:spacing w:after="0" w:line="240" w:lineRule="auto"/>
    </w:pPr>
    <w:tblPr/>
  </w:style>
  <w:style w:type="table" w:styleId="924">
    <w:name w:val="List Table 3 - Accent 1"/>
    <w:basedOn w:val="754"/>
    <w:next w:val="924"/>
    <w:link w:val="752"/>
    <w:uiPriority w:val="99"/>
    <w:qFormat/>
    <w:pPr>
      <w:spacing w:after="0" w:line="240" w:lineRule="auto"/>
    </w:pPr>
    <w:tblPr/>
  </w:style>
  <w:style w:type="table" w:styleId="925">
    <w:name w:val="List Table 3 - Accent 2"/>
    <w:basedOn w:val="754"/>
    <w:next w:val="925"/>
    <w:link w:val="752"/>
    <w:uiPriority w:val="99"/>
    <w:qFormat/>
    <w:pPr>
      <w:spacing w:after="0" w:line="240" w:lineRule="auto"/>
    </w:pPr>
    <w:tblPr/>
  </w:style>
  <w:style w:type="table" w:styleId="926">
    <w:name w:val="List Table 3 - Accent 3"/>
    <w:basedOn w:val="754"/>
    <w:next w:val="926"/>
    <w:link w:val="752"/>
    <w:uiPriority w:val="99"/>
    <w:qFormat/>
    <w:pPr>
      <w:spacing w:after="0" w:line="240" w:lineRule="auto"/>
    </w:pPr>
    <w:tblPr/>
  </w:style>
  <w:style w:type="table" w:styleId="927">
    <w:name w:val="List Table 3 - Accent 4"/>
    <w:basedOn w:val="754"/>
    <w:next w:val="927"/>
    <w:link w:val="752"/>
    <w:uiPriority w:val="99"/>
    <w:qFormat/>
    <w:pPr>
      <w:spacing w:after="0" w:line="240" w:lineRule="auto"/>
    </w:pPr>
    <w:tblPr/>
  </w:style>
  <w:style w:type="table" w:styleId="928">
    <w:name w:val="List Table 3 - Accent 5"/>
    <w:basedOn w:val="754"/>
    <w:next w:val="928"/>
    <w:link w:val="752"/>
    <w:uiPriority w:val="99"/>
    <w:qFormat/>
    <w:pPr>
      <w:spacing w:after="0" w:line="240" w:lineRule="auto"/>
    </w:pPr>
    <w:tblPr/>
  </w:style>
  <w:style w:type="table" w:styleId="929">
    <w:name w:val="List Table 3 - Accent 6"/>
    <w:basedOn w:val="754"/>
    <w:next w:val="929"/>
    <w:link w:val="752"/>
    <w:uiPriority w:val="99"/>
    <w:qFormat/>
    <w:pPr>
      <w:spacing w:after="0" w:line="240" w:lineRule="auto"/>
    </w:pPr>
    <w:tblPr/>
  </w:style>
  <w:style w:type="table" w:styleId="930">
    <w:name w:val="List Table 4"/>
    <w:basedOn w:val="754"/>
    <w:next w:val="930"/>
    <w:link w:val="752"/>
    <w:uiPriority w:val="99"/>
    <w:qFormat/>
    <w:pPr>
      <w:spacing w:after="0" w:line="240" w:lineRule="auto"/>
    </w:pPr>
    <w:tblPr/>
  </w:style>
  <w:style w:type="table" w:styleId="931">
    <w:name w:val="List Table 4 - Accent 1"/>
    <w:basedOn w:val="754"/>
    <w:next w:val="931"/>
    <w:link w:val="752"/>
    <w:uiPriority w:val="99"/>
    <w:qFormat/>
    <w:pPr>
      <w:spacing w:after="0" w:line="240" w:lineRule="auto"/>
    </w:pPr>
    <w:tblPr/>
  </w:style>
  <w:style w:type="table" w:styleId="932">
    <w:name w:val="List Table 4 - Accent 2"/>
    <w:basedOn w:val="754"/>
    <w:next w:val="932"/>
    <w:link w:val="752"/>
    <w:uiPriority w:val="99"/>
    <w:qFormat/>
    <w:pPr>
      <w:spacing w:after="0" w:line="240" w:lineRule="auto"/>
    </w:pPr>
    <w:tblPr/>
  </w:style>
  <w:style w:type="table" w:styleId="933">
    <w:name w:val="List Table 4 - Accent 3"/>
    <w:basedOn w:val="754"/>
    <w:next w:val="933"/>
    <w:link w:val="752"/>
    <w:uiPriority w:val="99"/>
    <w:qFormat/>
    <w:pPr>
      <w:spacing w:after="0" w:line="240" w:lineRule="auto"/>
    </w:pPr>
    <w:tblPr/>
  </w:style>
  <w:style w:type="table" w:styleId="934">
    <w:name w:val="List Table 4 - Accent 4"/>
    <w:basedOn w:val="754"/>
    <w:next w:val="934"/>
    <w:link w:val="752"/>
    <w:uiPriority w:val="99"/>
    <w:qFormat/>
    <w:pPr>
      <w:spacing w:after="0" w:line="240" w:lineRule="auto"/>
    </w:pPr>
    <w:tblPr/>
  </w:style>
  <w:style w:type="table" w:styleId="935">
    <w:name w:val="List Table 4 - Accent 5"/>
    <w:basedOn w:val="754"/>
    <w:next w:val="935"/>
    <w:link w:val="752"/>
    <w:uiPriority w:val="99"/>
    <w:qFormat/>
    <w:pPr>
      <w:spacing w:after="0" w:line="240" w:lineRule="auto"/>
    </w:pPr>
    <w:tblPr/>
  </w:style>
  <w:style w:type="table" w:styleId="936">
    <w:name w:val="List Table 4 - Accent 6"/>
    <w:basedOn w:val="754"/>
    <w:next w:val="936"/>
    <w:link w:val="752"/>
    <w:uiPriority w:val="99"/>
    <w:qFormat/>
    <w:pPr>
      <w:spacing w:after="0" w:line="240" w:lineRule="auto"/>
    </w:pPr>
    <w:tblPr/>
  </w:style>
  <w:style w:type="table" w:styleId="937">
    <w:name w:val="List Table 5 Dark"/>
    <w:basedOn w:val="754"/>
    <w:next w:val="937"/>
    <w:link w:val="752"/>
    <w:uiPriority w:val="99"/>
    <w:qFormat/>
    <w:pPr>
      <w:spacing w:after="0" w:line="240" w:lineRule="auto"/>
    </w:pPr>
    <w:tblPr/>
  </w:style>
  <w:style w:type="table" w:styleId="938">
    <w:name w:val="List Table 5 Dark - Accent 1"/>
    <w:basedOn w:val="754"/>
    <w:next w:val="938"/>
    <w:link w:val="752"/>
    <w:uiPriority w:val="99"/>
    <w:qFormat/>
    <w:pPr>
      <w:spacing w:after="0" w:line="240" w:lineRule="auto"/>
    </w:pPr>
    <w:tblPr/>
  </w:style>
  <w:style w:type="table" w:styleId="939">
    <w:name w:val="List Table 5 Dark - Accent 2"/>
    <w:basedOn w:val="754"/>
    <w:next w:val="939"/>
    <w:link w:val="752"/>
    <w:uiPriority w:val="99"/>
    <w:qFormat/>
    <w:pPr>
      <w:spacing w:after="0" w:line="240" w:lineRule="auto"/>
    </w:pPr>
    <w:tblPr/>
  </w:style>
  <w:style w:type="table" w:styleId="940">
    <w:name w:val="List Table 5 Dark - Accent 3"/>
    <w:basedOn w:val="754"/>
    <w:next w:val="940"/>
    <w:link w:val="752"/>
    <w:uiPriority w:val="99"/>
    <w:qFormat/>
    <w:pPr>
      <w:spacing w:after="0" w:line="240" w:lineRule="auto"/>
    </w:pPr>
    <w:tblPr/>
  </w:style>
  <w:style w:type="table" w:styleId="941">
    <w:name w:val="List Table 5 Dark - Accent 4"/>
    <w:basedOn w:val="754"/>
    <w:next w:val="941"/>
    <w:link w:val="752"/>
    <w:uiPriority w:val="99"/>
    <w:qFormat/>
    <w:pPr>
      <w:spacing w:after="0" w:line="240" w:lineRule="auto"/>
    </w:pPr>
    <w:tblPr/>
  </w:style>
  <w:style w:type="table" w:styleId="942">
    <w:name w:val="List Table 5 Dark - Accent 5"/>
    <w:basedOn w:val="754"/>
    <w:next w:val="942"/>
    <w:link w:val="752"/>
    <w:uiPriority w:val="99"/>
    <w:qFormat/>
    <w:pPr>
      <w:spacing w:after="0" w:line="240" w:lineRule="auto"/>
    </w:pPr>
    <w:tblPr/>
  </w:style>
  <w:style w:type="table" w:styleId="943">
    <w:name w:val="List Table 5 Dark - Accent 6"/>
    <w:basedOn w:val="754"/>
    <w:next w:val="943"/>
    <w:link w:val="752"/>
    <w:uiPriority w:val="99"/>
    <w:qFormat/>
    <w:pPr>
      <w:spacing w:after="0" w:line="240" w:lineRule="auto"/>
    </w:pPr>
    <w:tblPr/>
  </w:style>
  <w:style w:type="table" w:styleId="944">
    <w:name w:val="List Table 6 Colorful"/>
    <w:basedOn w:val="754"/>
    <w:next w:val="944"/>
    <w:link w:val="752"/>
    <w:uiPriority w:val="99"/>
    <w:qFormat/>
    <w:pPr>
      <w:spacing w:after="0" w:line="240" w:lineRule="auto"/>
    </w:pPr>
    <w:tblPr/>
  </w:style>
  <w:style w:type="table" w:styleId="945">
    <w:name w:val="List Table 6 Colorful - Accent 1"/>
    <w:basedOn w:val="754"/>
    <w:next w:val="945"/>
    <w:link w:val="752"/>
    <w:uiPriority w:val="99"/>
    <w:qFormat/>
    <w:pPr>
      <w:spacing w:after="0" w:line="240" w:lineRule="auto"/>
    </w:pPr>
    <w:tblPr/>
  </w:style>
  <w:style w:type="table" w:styleId="946">
    <w:name w:val="List Table 6 Colorful - Accent 2"/>
    <w:basedOn w:val="754"/>
    <w:next w:val="946"/>
    <w:link w:val="752"/>
    <w:uiPriority w:val="99"/>
    <w:qFormat/>
    <w:pPr>
      <w:spacing w:after="0" w:line="240" w:lineRule="auto"/>
    </w:pPr>
    <w:tblPr/>
  </w:style>
  <w:style w:type="table" w:styleId="947">
    <w:name w:val="List Table 6 Colorful - Accent 3"/>
    <w:basedOn w:val="754"/>
    <w:next w:val="947"/>
    <w:link w:val="752"/>
    <w:uiPriority w:val="99"/>
    <w:qFormat/>
    <w:pPr>
      <w:spacing w:after="0" w:line="240" w:lineRule="auto"/>
    </w:pPr>
    <w:tblPr/>
  </w:style>
  <w:style w:type="table" w:styleId="948">
    <w:name w:val="List Table 6 Colorful - Accent 4"/>
    <w:basedOn w:val="754"/>
    <w:next w:val="948"/>
    <w:link w:val="752"/>
    <w:uiPriority w:val="99"/>
    <w:qFormat/>
    <w:pPr>
      <w:spacing w:after="0" w:line="240" w:lineRule="auto"/>
    </w:pPr>
    <w:tblPr/>
  </w:style>
  <w:style w:type="table" w:styleId="949">
    <w:name w:val="List Table 6 Colorful - Accent 5"/>
    <w:basedOn w:val="754"/>
    <w:next w:val="949"/>
    <w:link w:val="752"/>
    <w:uiPriority w:val="99"/>
    <w:qFormat/>
    <w:pPr>
      <w:spacing w:after="0" w:line="240" w:lineRule="auto"/>
    </w:pPr>
    <w:tblPr/>
  </w:style>
  <w:style w:type="table" w:styleId="950">
    <w:name w:val="List Table 6 Colorful - Accent 6"/>
    <w:basedOn w:val="754"/>
    <w:next w:val="950"/>
    <w:link w:val="752"/>
    <w:uiPriority w:val="99"/>
    <w:qFormat/>
    <w:pPr>
      <w:spacing w:after="0" w:line="240" w:lineRule="auto"/>
    </w:pPr>
    <w:tblPr/>
  </w:style>
  <w:style w:type="table" w:styleId="951">
    <w:name w:val="List Table 7 Colorful"/>
    <w:basedOn w:val="754"/>
    <w:next w:val="951"/>
    <w:link w:val="752"/>
    <w:uiPriority w:val="99"/>
    <w:qFormat/>
    <w:pPr>
      <w:spacing w:after="0" w:line="240" w:lineRule="auto"/>
    </w:pPr>
    <w:tblPr/>
  </w:style>
  <w:style w:type="table" w:styleId="952">
    <w:name w:val="List Table 7 Colorful - Accent 1"/>
    <w:basedOn w:val="754"/>
    <w:next w:val="952"/>
    <w:link w:val="752"/>
    <w:uiPriority w:val="99"/>
    <w:qFormat/>
    <w:pPr>
      <w:spacing w:after="0" w:line="240" w:lineRule="auto"/>
    </w:pPr>
    <w:tblPr/>
  </w:style>
  <w:style w:type="table" w:styleId="953">
    <w:name w:val="List Table 7 Colorful - Accent 2"/>
    <w:basedOn w:val="754"/>
    <w:next w:val="953"/>
    <w:link w:val="752"/>
    <w:uiPriority w:val="99"/>
    <w:qFormat/>
    <w:pPr>
      <w:spacing w:after="0" w:line="240" w:lineRule="auto"/>
    </w:pPr>
    <w:tblPr/>
  </w:style>
  <w:style w:type="table" w:styleId="954">
    <w:name w:val="List Table 7 Colorful - Accent 3"/>
    <w:basedOn w:val="754"/>
    <w:next w:val="954"/>
    <w:link w:val="752"/>
    <w:uiPriority w:val="99"/>
    <w:qFormat/>
    <w:pPr>
      <w:spacing w:after="0" w:line="240" w:lineRule="auto"/>
    </w:pPr>
    <w:tblPr/>
  </w:style>
  <w:style w:type="table" w:styleId="955">
    <w:name w:val="List Table 7 Colorful - Accent 4"/>
    <w:basedOn w:val="754"/>
    <w:next w:val="955"/>
    <w:link w:val="752"/>
    <w:uiPriority w:val="99"/>
    <w:qFormat/>
    <w:pPr>
      <w:spacing w:after="0" w:line="240" w:lineRule="auto"/>
    </w:pPr>
    <w:tblPr/>
  </w:style>
  <w:style w:type="table" w:styleId="956">
    <w:name w:val="List Table 7 Colorful - Accent 5"/>
    <w:basedOn w:val="754"/>
    <w:next w:val="956"/>
    <w:link w:val="752"/>
    <w:uiPriority w:val="99"/>
    <w:qFormat/>
    <w:pPr>
      <w:spacing w:after="0" w:line="240" w:lineRule="auto"/>
    </w:pPr>
    <w:tblPr/>
  </w:style>
  <w:style w:type="table" w:styleId="957">
    <w:name w:val="List Table 7 Colorful - Accent 6"/>
    <w:basedOn w:val="754"/>
    <w:next w:val="957"/>
    <w:link w:val="752"/>
    <w:uiPriority w:val="99"/>
    <w:qFormat/>
    <w:pPr>
      <w:spacing w:after="0" w:line="240" w:lineRule="auto"/>
    </w:pPr>
    <w:tblPr/>
  </w:style>
  <w:style w:type="table" w:styleId="958">
    <w:name w:val="Lined - Accent"/>
    <w:basedOn w:val="754"/>
    <w:next w:val="958"/>
    <w:link w:val="752"/>
    <w:uiPriority w:val="99"/>
    <w:qFormat/>
    <w:pPr>
      <w:spacing w:after="0" w:line="240" w:lineRule="auto"/>
    </w:pPr>
    <w:rPr>
      <w:color w:val="404040"/>
    </w:rPr>
    <w:tblPr/>
  </w:style>
  <w:style w:type="table" w:styleId="959">
    <w:name w:val="Lined - Accent 1"/>
    <w:basedOn w:val="754"/>
    <w:next w:val="959"/>
    <w:link w:val="752"/>
    <w:uiPriority w:val="99"/>
    <w:qFormat/>
    <w:pPr>
      <w:spacing w:after="0" w:line="240" w:lineRule="auto"/>
    </w:pPr>
    <w:rPr>
      <w:color w:val="404040"/>
    </w:rPr>
    <w:tblPr/>
  </w:style>
  <w:style w:type="table" w:styleId="960">
    <w:name w:val="Lined - Accent 2"/>
    <w:basedOn w:val="754"/>
    <w:next w:val="960"/>
    <w:link w:val="752"/>
    <w:uiPriority w:val="99"/>
    <w:qFormat/>
    <w:pPr>
      <w:spacing w:after="0" w:line="240" w:lineRule="auto"/>
    </w:pPr>
    <w:rPr>
      <w:color w:val="404040"/>
    </w:rPr>
    <w:tblPr/>
  </w:style>
  <w:style w:type="table" w:styleId="961">
    <w:name w:val="Lined - Accent 3"/>
    <w:basedOn w:val="754"/>
    <w:next w:val="961"/>
    <w:link w:val="752"/>
    <w:uiPriority w:val="99"/>
    <w:qFormat/>
    <w:pPr>
      <w:spacing w:after="0" w:line="240" w:lineRule="auto"/>
    </w:pPr>
    <w:rPr>
      <w:color w:val="404040"/>
    </w:rPr>
    <w:tblPr/>
  </w:style>
  <w:style w:type="table" w:styleId="962">
    <w:name w:val="Lined - Accent 4"/>
    <w:basedOn w:val="754"/>
    <w:next w:val="962"/>
    <w:link w:val="752"/>
    <w:uiPriority w:val="99"/>
    <w:qFormat/>
    <w:pPr>
      <w:spacing w:after="0" w:line="240" w:lineRule="auto"/>
    </w:pPr>
    <w:rPr>
      <w:color w:val="404040"/>
    </w:rPr>
    <w:tblPr/>
  </w:style>
  <w:style w:type="table" w:styleId="963">
    <w:name w:val="Lined - Accent 5"/>
    <w:basedOn w:val="754"/>
    <w:next w:val="963"/>
    <w:link w:val="752"/>
    <w:uiPriority w:val="99"/>
    <w:qFormat/>
    <w:pPr>
      <w:spacing w:after="0" w:line="240" w:lineRule="auto"/>
    </w:pPr>
    <w:rPr>
      <w:color w:val="404040"/>
    </w:rPr>
    <w:tblPr/>
  </w:style>
  <w:style w:type="table" w:styleId="964">
    <w:name w:val="Lined - Accent 6"/>
    <w:basedOn w:val="754"/>
    <w:next w:val="964"/>
    <w:link w:val="752"/>
    <w:uiPriority w:val="99"/>
    <w:qFormat/>
    <w:pPr>
      <w:spacing w:after="0" w:line="240" w:lineRule="auto"/>
    </w:pPr>
    <w:rPr>
      <w:color w:val="404040"/>
    </w:rPr>
    <w:tblPr/>
  </w:style>
  <w:style w:type="table" w:styleId="965">
    <w:name w:val="Bordered &amp; Lined - Accent"/>
    <w:basedOn w:val="754"/>
    <w:next w:val="965"/>
    <w:link w:val="752"/>
    <w:uiPriority w:val="99"/>
    <w:qFormat/>
    <w:pPr>
      <w:spacing w:after="0" w:line="240" w:lineRule="auto"/>
    </w:pPr>
    <w:rPr>
      <w:color w:val="404040"/>
    </w:rPr>
    <w:tblPr/>
  </w:style>
  <w:style w:type="table" w:styleId="966">
    <w:name w:val="Bordered &amp; Lined - Accent 1"/>
    <w:basedOn w:val="754"/>
    <w:next w:val="966"/>
    <w:link w:val="752"/>
    <w:uiPriority w:val="99"/>
    <w:qFormat/>
    <w:pPr>
      <w:spacing w:after="0" w:line="240" w:lineRule="auto"/>
    </w:pPr>
    <w:rPr>
      <w:color w:val="404040"/>
    </w:rPr>
    <w:tblPr/>
  </w:style>
  <w:style w:type="table" w:styleId="967">
    <w:name w:val="Bordered &amp; Lined - Accent 2"/>
    <w:basedOn w:val="754"/>
    <w:next w:val="967"/>
    <w:link w:val="752"/>
    <w:uiPriority w:val="99"/>
    <w:qFormat/>
    <w:pPr>
      <w:spacing w:after="0" w:line="240" w:lineRule="auto"/>
    </w:pPr>
    <w:rPr>
      <w:color w:val="404040"/>
    </w:rPr>
    <w:tblPr/>
  </w:style>
  <w:style w:type="table" w:styleId="968">
    <w:name w:val="Bordered &amp; Lined - Accent 3"/>
    <w:basedOn w:val="754"/>
    <w:next w:val="968"/>
    <w:link w:val="752"/>
    <w:uiPriority w:val="99"/>
    <w:qFormat/>
    <w:pPr>
      <w:spacing w:after="0" w:line="240" w:lineRule="auto"/>
    </w:pPr>
    <w:rPr>
      <w:color w:val="404040"/>
    </w:rPr>
    <w:tblPr/>
  </w:style>
  <w:style w:type="table" w:styleId="969">
    <w:name w:val="Bordered &amp; Lined - Accent 4"/>
    <w:basedOn w:val="754"/>
    <w:next w:val="969"/>
    <w:link w:val="752"/>
    <w:uiPriority w:val="99"/>
    <w:qFormat/>
    <w:pPr>
      <w:spacing w:after="0" w:line="240" w:lineRule="auto"/>
    </w:pPr>
    <w:rPr>
      <w:color w:val="404040"/>
    </w:rPr>
    <w:tblPr/>
  </w:style>
  <w:style w:type="table" w:styleId="970">
    <w:name w:val="Bordered &amp; Lined - Accent 5"/>
    <w:basedOn w:val="754"/>
    <w:next w:val="970"/>
    <w:link w:val="752"/>
    <w:uiPriority w:val="99"/>
    <w:qFormat/>
    <w:pPr>
      <w:spacing w:after="0" w:line="240" w:lineRule="auto"/>
    </w:pPr>
    <w:rPr>
      <w:color w:val="404040"/>
    </w:rPr>
    <w:tblPr/>
  </w:style>
  <w:style w:type="table" w:styleId="971">
    <w:name w:val="Bordered &amp; Lined - Accent 6"/>
    <w:basedOn w:val="754"/>
    <w:next w:val="971"/>
    <w:link w:val="752"/>
    <w:uiPriority w:val="99"/>
    <w:qFormat/>
    <w:pPr>
      <w:spacing w:after="0" w:line="240" w:lineRule="auto"/>
    </w:pPr>
    <w:rPr>
      <w:color w:val="404040"/>
    </w:rPr>
    <w:tblPr/>
  </w:style>
  <w:style w:type="table" w:styleId="972">
    <w:name w:val="Bordered"/>
    <w:basedOn w:val="754"/>
    <w:next w:val="972"/>
    <w:link w:val="752"/>
    <w:uiPriority w:val="99"/>
    <w:qFormat/>
    <w:pPr>
      <w:spacing w:after="0" w:line="240" w:lineRule="auto"/>
    </w:pPr>
    <w:tblPr/>
  </w:style>
  <w:style w:type="table" w:styleId="973">
    <w:name w:val="Bordered - Accent 1"/>
    <w:basedOn w:val="754"/>
    <w:next w:val="973"/>
    <w:link w:val="752"/>
    <w:uiPriority w:val="99"/>
    <w:qFormat/>
    <w:pPr>
      <w:spacing w:after="0" w:line="240" w:lineRule="auto"/>
    </w:pPr>
    <w:tblPr/>
  </w:style>
  <w:style w:type="table" w:styleId="974">
    <w:name w:val="Bordered - Accent 2"/>
    <w:basedOn w:val="754"/>
    <w:next w:val="974"/>
    <w:link w:val="752"/>
    <w:uiPriority w:val="99"/>
    <w:qFormat/>
    <w:pPr>
      <w:spacing w:after="0" w:line="240" w:lineRule="auto"/>
    </w:pPr>
    <w:tblPr/>
  </w:style>
  <w:style w:type="table" w:styleId="975">
    <w:name w:val="Bordered - Accent 3"/>
    <w:basedOn w:val="754"/>
    <w:next w:val="975"/>
    <w:link w:val="752"/>
    <w:uiPriority w:val="99"/>
    <w:qFormat/>
    <w:pPr>
      <w:spacing w:after="0" w:line="240" w:lineRule="auto"/>
    </w:pPr>
    <w:tblPr/>
  </w:style>
  <w:style w:type="table" w:styleId="976">
    <w:name w:val="Bordered - Accent 4"/>
    <w:basedOn w:val="754"/>
    <w:next w:val="976"/>
    <w:link w:val="752"/>
    <w:uiPriority w:val="99"/>
    <w:qFormat/>
    <w:pPr>
      <w:spacing w:after="0" w:line="240" w:lineRule="auto"/>
    </w:pPr>
    <w:tblPr/>
  </w:style>
  <w:style w:type="table" w:styleId="977">
    <w:name w:val="Bordered - Accent 5"/>
    <w:basedOn w:val="754"/>
    <w:next w:val="977"/>
    <w:link w:val="752"/>
    <w:uiPriority w:val="99"/>
    <w:qFormat/>
    <w:pPr>
      <w:spacing w:after="0" w:line="240" w:lineRule="auto"/>
    </w:pPr>
    <w:tblPr/>
  </w:style>
  <w:style w:type="table" w:styleId="978">
    <w:name w:val="Bordered - Accent 6"/>
    <w:basedOn w:val="754"/>
    <w:next w:val="978"/>
    <w:link w:val="752"/>
    <w:uiPriority w:val="99"/>
    <w:qFormat/>
    <w:pPr>
      <w:spacing w:after="0" w:line="240" w:lineRule="auto"/>
    </w:pPr>
    <w:tblPr/>
  </w:style>
  <w:style w:type="paragraph" w:styleId="979">
    <w:name w:val="TOC Heading_570eae58-7d51-4921-a2c3-b7a6a02e8224"/>
    <w:next w:val="979"/>
    <w:link w:val="752"/>
    <w:uiPriority w:val="39"/>
    <w:qFormat/>
  </w:style>
  <w:style w:type="paragraph" w:styleId="980">
    <w:name w:val="正文1"/>
    <w:basedOn w:val="752"/>
    <w:next w:val="980"/>
    <w:link w:val="752"/>
    <w:qFormat/>
    <w:pPr>
      <w:ind w:firstLine="510"/>
      <w:spacing w:before="156" w:line="360" w:lineRule="auto"/>
    </w:pPr>
    <w:rPr>
      <w:sz w:val="24"/>
      <w:szCs w:val="20"/>
    </w:rPr>
  </w:style>
  <w:style w:type="paragraph" w:styleId="981">
    <w:name w:val="正文_13"/>
    <w:next w:val="981"/>
    <w:link w:val="752"/>
    <w:qFormat/>
    <w:pPr>
      <w:jc w:val="both"/>
      <w:widowControl w:val="off"/>
    </w:pPr>
    <w:rPr>
      <w:sz w:val="21"/>
      <w:szCs w:val="24"/>
      <w:lang w:eastAsia="zh-CN"/>
    </w:rPr>
  </w:style>
  <w:style w:type="paragraph" w:styleId="982">
    <w:name w:val="Char"/>
    <w:basedOn w:val="752"/>
    <w:next w:val="982"/>
    <w:link w:val="752"/>
    <w:qFormat/>
    <w:pPr>
      <w:ind w:firstLine="922"/>
      <w:jc w:val="left"/>
      <w:spacing w:after="160" w:line="240" w:lineRule="exact"/>
      <w:widowControl/>
    </w:pPr>
    <w:rPr>
      <w:rFonts w:ascii="Arial" w:hAnsi="Arial" w:eastAsia="Times New Roman" w:cs="Verdana"/>
      <w:b/>
      <w:sz w:val="24"/>
      <w:szCs w:val="20"/>
      <w:lang w:eastAsia="en-US"/>
    </w:rPr>
  </w:style>
  <w:style w:type="paragraph" w:styleId="983">
    <w:name w:val="1"/>
    <w:basedOn w:val="752"/>
    <w:next w:val="983"/>
    <w:link w:val="984"/>
    <w:qFormat/>
    <w:pPr>
      <w:jc w:val="left"/>
      <w:spacing w:line="360" w:lineRule="auto"/>
    </w:pPr>
    <w:rPr>
      <w:szCs w:val="24"/>
    </w:rPr>
  </w:style>
  <w:style w:type="character" w:styleId="984">
    <w:name w:val="1 Char"/>
    <w:next w:val="984"/>
    <w:link w:val="983"/>
    <w:qFormat/>
    <w:rPr>
      <w:szCs w:val="24"/>
    </w:rPr>
  </w:style>
  <w:style w:type="paragraph" w:styleId="985">
    <w:name w:val="List Paragraph"/>
    <w:basedOn w:val="752"/>
    <w:next w:val="985"/>
    <w:link w:val="752"/>
    <w:qFormat/>
    <w:pPr>
      <w:ind w:firstLine="420"/>
      <w:spacing w:line="360" w:lineRule="auto"/>
    </w:pPr>
    <w:rPr>
      <w:rFonts w:ascii="Times New Roman" w:hAnsi="Times New Roman" w:eastAsia="宋体" w:cs="Times New Roman"/>
      <w:szCs w:val="24"/>
    </w:rPr>
  </w:style>
  <w:style w:type="paragraph" w:styleId="986">
    <w:name w:val="TOC 标题1"/>
    <w:basedOn w:val="798"/>
    <w:next w:val="752"/>
    <w:link w:val="752"/>
    <w:uiPriority w:val="39"/>
    <w:qFormat/>
    <w:pPr>
      <w:numPr>
        <w:ilvl w:val="0"/>
        <w:numId w:val="0"/>
      </w:numPr>
      <w:jc w:val="left"/>
      <w:spacing w:before="480" w:line="276" w:lineRule="auto"/>
      <w:widowControl/>
      <w:tabs>
        <w:tab w:val="left" w:pos="360" w:leader="none"/>
      </w:tabs>
      <w:outlineLvl w:val="9"/>
    </w:pPr>
    <w:rPr>
      <w:rFonts w:ascii="Cambria" w:hAnsi="Cambria" w:eastAsia="宋体"/>
      <w:bCs/>
      <w:color w:val="365f91"/>
      <w:szCs w:val="28"/>
    </w:rPr>
  </w:style>
  <w:style w:type="character" w:styleId="987">
    <w:name w:val="HTML 预设格式 Char1"/>
    <w:basedOn w:val="753"/>
    <w:next w:val="987"/>
    <w:link w:val="752"/>
    <w:uiPriority w:val="99"/>
    <w:qFormat/>
    <w:rPr>
      <w:rFonts w:ascii="Courier New" w:hAnsi="Courier New" w:cs="Courier New"/>
      <w:sz w:val="20"/>
      <w:szCs w:val="20"/>
    </w:rPr>
  </w:style>
  <w:style w:type="character" w:styleId="988">
    <w:name w:val="普通正文 Char"/>
    <w:next w:val="988"/>
    <w:link w:val="989"/>
    <w:qFormat/>
    <w:rPr>
      <w:rFonts w:ascii="Arial" w:hAnsi="Arial"/>
      <w:sz w:val="24"/>
      <w:szCs w:val="24"/>
    </w:rPr>
  </w:style>
  <w:style w:type="paragraph" w:styleId="989">
    <w:name w:val="普通正文"/>
    <w:basedOn w:val="752"/>
    <w:next w:val="989"/>
    <w:link w:val="988"/>
    <w:qFormat/>
    <w:pPr>
      <w:ind w:firstLine="480"/>
      <w:jc w:val="left"/>
      <w:spacing w:before="120" w:after="120" w:line="360" w:lineRule="auto"/>
    </w:pPr>
    <w:rPr>
      <w:rFonts w:ascii="Arial" w:hAnsi="Arial"/>
      <w:sz w:val="24"/>
      <w:szCs w:val="24"/>
    </w:rPr>
  </w:style>
  <w:style w:type="paragraph" w:styleId="990">
    <w:name w:val="Char1"/>
    <w:basedOn w:val="752"/>
    <w:next w:val="990"/>
    <w:link w:val="752"/>
    <w:qFormat/>
    <w:pPr>
      <w:ind w:firstLine="922"/>
      <w:spacing w:line="360" w:lineRule="auto"/>
      <w:tabs>
        <w:tab w:val="left" w:pos="360" w:leader="none"/>
      </w:tabs>
    </w:pPr>
    <w:rPr>
      <w:rFonts w:ascii="Times New Roman" w:hAnsi="Times New Roman" w:eastAsia="宋体" w:cs="Times New Roman"/>
      <w:sz w:val="24"/>
      <w:szCs w:val="24"/>
    </w:rPr>
  </w:style>
  <w:style w:type="paragraph" w:styleId="991">
    <w:name w:val="目录1"/>
    <w:basedOn w:val="752"/>
    <w:next w:val="991"/>
    <w:link w:val="752"/>
    <w:qFormat/>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992">
    <w:name w:val="font5"/>
    <w:basedOn w:val="752"/>
    <w:next w:val="992"/>
    <w:link w:val="752"/>
    <w:qFormat/>
    <w:pPr>
      <w:jc w:val="left"/>
      <w:spacing w:before="100" w:beforeAutospacing="1" w:after="100" w:afterAutospacing="1"/>
      <w:widowControl/>
    </w:pPr>
    <w:rPr>
      <w:rFonts w:ascii="宋体" w:hAnsi="宋体" w:eastAsia="宋体" w:cs="宋体"/>
      <w:sz w:val="18"/>
      <w:szCs w:val="18"/>
    </w:rPr>
  </w:style>
  <w:style w:type="paragraph" w:styleId="993">
    <w:name w:val="font6"/>
    <w:basedOn w:val="752"/>
    <w:next w:val="993"/>
    <w:link w:val="752"/>
    <w:qFormat/>
    <w:pPr>
      <w:jc w:val="left"/>
      <w:spacing w:before="100" w:beforeAutospacing="1" w:after="100" w:afterAutospacing="1"/>
      <w:widowControl/>
    </w:pPr>
    <w:rPr>
      <w:rFonts w:ascii="宋体" w:hAnsi="宋体" w:eastAsia="宋体" w:cs="宋体"/>
      <w:color w:val="000000"/>
      <w:sz w:val="22"/>
    </w:rPr>
  </w:style>
  <w:style w:type="paragraph" w:styleId="994">
    <w:name w:val="font7"/>
    <w:basedOn w:val="752"/>
    <w:next w:val="994"/>
    <w:link w:val="752"/>
    <w:qFormat/>
    <w:pPr>
      <w:jc w:val="left"/>
      <w:spacing w:before="100" w:beforeAutospacing="1" w:after="100" w:afterAutospacing="1"/>
      <w:widowControl/>
    </w:pPr>
    <w:rPr>
      <w:rFonts w:ascii="Calibri" w:hAnsi="Calibri" w:eastAsia="宋体" w:cs="Calibri"/>
      <w:color w:val="000000"/>
      <w:szCs w:val="21"/>
    </w:rPr>
  </w:style>
  <w:style w:type="paragraph" w:styleId="995">
    <w:name w:val="font8"/>
    <w:basedOn w:val="752"/>
    <w:next w:val="995"/>
    <w:link w:val="752"/>
    <w:qFormat/>
    <w:pPr>
      <w:jc w:val="left"/>
      <w:spacing w:before="100" w:beforeAutospacing="1" w:after="100" w:afterAutospacing="1"/>
      <w:widowControl/>
    </w:pPr>
    <w:rPr>
      <w:rFonts w:ascii="宋体" w:hAnsi="宋体" w:eastAsia="宋体" w:cs="宋体"/>
      <w:color w:val="000000"/>
      <w:szCs w:val="21"/>
    </w:rPr>
  </w:style>
  <w:style w:type="paragraph" w:styleId="996">
    <w:name w:val="font9"/>
    <w:basedOn w:val="752"/>
    <w:next w:val="996"/>
    <w:link w:val="752"/>
    <w:qFormat/>
    <w:pPr>
      <w:jc w:val="left"/>
      <w:spacing w:before="100" w:beforeAutospacing="1" w:after="100" w:afterAutospacing="1"/>
      <w:widowControl/>
    </w:pPr>
    <w:rPr>
      <w:rFonts w:ascii="宋体" w:hAnsi="宋体" w:eastAsia="宋体" w:cs="宋体"/>
      <w:color w:val="000000"/>
      <w:sz w:val="22"/>
    </w:rPr>
  </w:style>
  <w:style w:type="paragraph" w:styleId="997">
    <w:name w:val="font10"/>
    <w:basedOn w:val="752"/>
    <w:next w:val="997"/>
    <w:link w:val="752"/>
    <w:qFormat/>
    <w:pPr>
      <w:jc w:val="left"/>
      <w:spacing w:before="100" w:beforeAutospacing="1" w:after="100" w:afterAutospacing="1"/>
      <w:widowControl/>
    </w:pPr>
    <w:rPr>
      <w:rFonts w:ascii="宋体" w:hAnsi="宋体" w:eastAsia="宋体" w:cs="宋体"/>
      <w:sz w:val="22"/>
    </w:rPr>
  </w:style>
  <w:style w:type="paragraph" w:styleId="998">
    <w:name w:val="font11"/>
    <w:basedOn w:val="752"/>
    <w:next w:val="998"/>
    <w:link w:val="752"/>
    <w:qFormat/>
    <w:pPr>
      <w:jc w:val="left"/>
      <w:spacing w:before="100" w:beforeAutospacing="1" w:after="100" w:afterAutospacing="1"/>
      <w:widowControl/>
    </w:pPr>
    <w:rPr>
      <w:rFonts w:ascii="宋体" w:hAnsi="宋体" w:eastAsia="宋体" w:cs="宋体"/>
      <w:sz w:val="18"/>
      <w:szCs w:val="18"/>
    </w:rPr>
  </w:style>
  <w:style w:type="paragraph" w:styleId="999">
    <w:name w:val="font12"/>
    <w:basedOn w:val="752"/>
    <w:next w:val="999"/>
    <w:link w:val="752"/>
    <w:qFormat/>
    <w:pPr>
      <w:jc w:val="left"/>
      <w:spacing w:before="100" w:beforeAutospacing="1" w:after="100" w:afterAutospacing="1"/>
      <w:widowControl/>
    </w:pPr>
    <w:rPr>
      <w:rFonts w:ascii="宋体" w:hAnsi="宋体" w:eastAsia="宋体" w:cs="宋体"/>
      <w:sz w:val="22"/>
    </w:rPr>
  </w:style>
  <w:style w:type="paragraph" w:styleId="1000">
    <w:name w:val="font13"/>
    <w:basedOn w:val="752"/>
    <w:next w:val="1000"/>
    <w:link w:val="752"/>
    <w:qFormat/>
    <w:pPr>
      <w:jc w:val="left"/>
      <w:spacing w:before="100" w:beforeAutospacing="1" w:after="100" w:afterAutospacing="1"/>
      <w:widowControl/>
    </w:pPr>
    <w:rPr>
      <w:rFonts w:ascii="宋体" w:hAnsi="宋体" w:eastAsia="宋体" w:cs="宋体"/>
      <w:sz w:val="18"/>
      <w:szCs w:val="18"/>
    </w:rPr>
  </w:style>
  <w:style w:type="paragraph" w:styleId="1001">
    <w:name w:val="xl69"/>
    <w:basedOn w:val="752"/>
    <w:next w:val="1001"/>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002">
    <w:name w:val="xl70"/>
    <w:basedOn w:val="752"/>
    <w:next w:val="1002"/>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4"/>
      <w:szCs w:val="24"/>
    </w:rPr>
  </w:style>
  <w:style w:type="paragraph" w:styleId="1003">
    <w:name w:val="xl71"/>
    <w:basedOn w:val="752"/>
    <w:next w:val="1003"/>
    <w:link w:val="7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04">
    <w:name w:val="xl72"/>
    <w:basedOn w:val="752"/>
    <w:next w:val="1004"/>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Calibri"/>
      <w:color w:val="000000"/>
      <w:sz w:val="24"/>
      <w:szCs w:val="24"/>
    </w:rPr>
  </w:style>
  <w:style w:type="paragraph" w:styleId="1005">
    <w:name w:val="xl73"/>
    <w:basedOn w:val="752"/>
    <w:next w:val="1005"/>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06">
    <w:name w:val="xl74"/>
    <w:basedOn w:val="752"/>
    <w:next w:val="1006"/>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Calibri"/>
      <w:color w:val="000000"/>
      <w:szCs w:val="21"/>
    </w:rPr>
  </w:style>
  <w:style w:type="paragraph" w:styleId="1007">
    <w:name w:val="xl75"/>
    <w:basedOn w:val="752"/>
    <w:next w:val="1007"/>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008">
    <w:name w:val="xl76"/>
    <w:basedOn w:val="752"/>
    <w:next w:val="1008"/>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Calibri"/>
      <w:sz w:val="24"/>
      <w:szCs w:val="24"/>
    </w:rPr>
  </w:style>
  <w:style w:type="paragraph" w:styleId="1009">
    <w:name w:val="xl77"/>
    <w:basedOn w:val="752"/>
    <w:next w:val="1009"/>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10">
    <w:name w:val="xl78"/>
    <w:basedOn w:val="752"/>
    <w:next w:val="1010"/>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11">
    <w:name w:val="xl79"/>
    <w:basedOn w:val="752"/>
    <w:next w:val="1011"/>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12">
    <w:name w:val="xl80"/>
    <w:basedOn w:val="752"/>
    <w:next w:val="1012"/>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13">
    <w:name w:val="xl81"/>
    <w:basedOn w:val="752"/>
    <w:next w:val="1013"/>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14">
    <w:name w:val="xl82"/>
    <w:basedOn w:val="752"/>
    <w:next w:val="1014"/>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15">
    <w:name w:val="xl83"/>
    <w:basedOn w:val="752"/>
    <w:next w:val="1015"/>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16">
    <w:name w:val="xl65"/>
    <w:basedOn w:val="752"/>
    <w:next w:val="1016"/>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017">
    <w:name w:val="xl66"/>
    <w:basedOn w:val="752"/>
    <w:next w:val="1017"/>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18">
    <w:name w:val="xl67"/>
    <w:basedOn w:val="752"/>
    <w:next w:val="1018"/>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宋体"/>
      <w:color w:val="000000"/>
      <w:sz w:val="24"/>
      <w:szCs w:val="24"/>
    </w:rPr>
  </w:style>
  <w:style w:type="paragraph" w:styleId="1019">
    <w:name w:val="xl68"/>
    <w:basedOn w:val="752"/>
    <w:next w:val="1019"/>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020">
    <w:name w:val="xl63"/>
    <w:basedOn w:val="752"/>
    <w:next w:val="1020"/>
    <w:link w:val="752"/>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sz w:val="24"/>
      <w:szCs w:val="24"/>
    </w:rPr>
  </w:style>
  <w:style w:type="paragraph" w:styleId="1021">
    <w:name w:val="xl64"/>
    <w:basedOn w:val="752"/>
    <w:next w:val="1021"/>
    <w:link w:val="752"/>
    <w:qFormat/>
    <w:pPr>
      <w:jc w:val="center"/>
      <w:spacing w:before="100" w:beforeAutospacing="1" w:after="100" w:afterAutospacing="1"/>
      <w:shd w:val="clear" w:color="000000" w:fill="ffffff"/>
      <w:widowControl/>
      <w:pBdr>
        <w:top w:val="single" w:color="000000" w:sz="8" w:space="0"/>
        <w:right w:val="single" w:color="000000" w:sz="8" w:space="0"/>
      </w:pBdr>
    </w:pPr>
    <w:rPr>
      <w:rFonts w:ascii="宋体" w:hAnsi="宋体" w:eastAsia="宋体" w:cs="宋体"/>
      <w:b/>
      <w:bCs/>
      <w:sz w:val="24"/>
      <w:szCs w:val="24"/>
    </w:rPr>
  </w:style>
  <w:style w:type="character" w:styleId="1022">
    <w:name w:val="font31"/>
    <w:basedOn w:val="753"/>
    <w:next w:val="1022"/>
    <w:link w:val="752"/>
    <w:qFormat/>
    <w:rPr>
      <w:rFonts w:ascii="Times New Roman" w:hAnsi="Times New Roman" w:cs="Times New Roman"/>
      <w:color w:val="000000"/>
      <w:sz w:val="21"/>
      <w:szCs w:val="21"/>
      <w:u w:val="none"/>
    </w:rPr>
  </w:style>
  <w:style w:type="character" w:styleId="1023">
    <w:name w:val="font41"/>
    <w:basedOn w:val="753"/>
    <w:next w:val="1023"/>
    <w:link w:val="752"/>
    <w:qFormat/>
    <w:rPr>
      <w:rFonts w:hint="eastAsia" w:ascii="宋体" w:hAnsi="宋体" w:eastAsia="宋体" w:cs="宋体"/>
      <w:color w:val="000000"/>
      <w:sz w:val="21"/>
      <w:szCs w:val="21"/>
      <w:u w:val="none"/>
    </w:rPr>
  </w:style>
  <w:style w:type="character" w:styleId="1024">
    <w:name w:val="font51"/>
    <w:basedOn w:val="753"/>
    <w:next w:val="1024"/>
    <w:link w:val="752"/>
    <w:qFormat/>
    <w:rPr>
      <w:rFonts w:hint="eastAsia" w:ascii="宋体" w:hAnsi="宋体" w:eastAsia="宋体" w:cs="宋体"/>
      <w:color w:val="000000"/>
      <w:sz w:val="20"/>
      <w:szCs w:val="20"/>
      <w:u w:val="none"/>
      <w:vertAlign w:val="subscript"/>
    </w:rPr>
  </w:style>
  <w:style w:type="character" w:styleId="1025">
    <w:name w:val="font61"/>
    <w:basedOn w:val="753"/>
    <w:next w:val="1025"/>
    <w:link w:val="752"/>
    <w:qFormat/>
    <w:rPr>
      <w:rFonts w:hint="eastAsia" w:ascii="宋体" w:hAnsi="宋体" w:eastAsia="宋体" w:cs="宋体"/>
      <w:color w:val="000000"/>
      <w:sz w:val="20"/>
      <w:szCs w:val="20"/>
      <w:u w:val="none"/>
    </w:rPr>
  </w:style>
  <w:style w:type="character" w:styleId="1026">
    <w:name w:val="font71"/>
    <w:basedOn w:val="753"/>
    <w:next w:val="1026"/>
    <w:link w:val="752"/>
    <w:qFormat/>
    <w:rPr>
      <w:rFonts w:hint="eastAsia" w:ascii="宋体" w:hAnsi="宋体" w:eastAsia="宋体" w:cs="宋体"/>
      <w:color w:val="000000"/>
      <w:sz w:val="22"/>
      <w:szCs w:val="22"/>
      <w:u w:val="none"/>
      <w:vertAlign w:val="subscript"/>
    </w:rPr>
  </w:style>
  <w:style w:type="character" w:styleId="1027">
    <w:name w:val="font21"/>
    <w:basedOn w:val="753"/>
    <w:next w:val="1027"/>
    <w:link w:val="752"/>
    <w:qFormat/>
    <w:rPr>
      <w:rFonts w:hint="eastAsia" w:ascii="宋体" w:hAnsi="宋体" w:eastAsia="宋体" w:cs="宋体"/>
      <w:color w:val="000000"/>
      <w:sz w:val="22"/>
      <w:szCs w:val="22"/>
      <w:u w:val="none"/>
    </w:rPr>
  </w:style>
  <w:style w:type="character" w:styleId="1028">
    <w:name w:val="font81"/>
    <w:basedOn w:val="753"/>
    <w:next w:val="1028"/>
    <w:link w:val="752"/>
    <w:qFormat/>
    <w:rPr>
      <w:rFonts w:hint="eastAsia" w:ascii="宋体" w:hAnsi="宋体" w:eastAsia="宋体" w:cs="宋体"/>
      <w:color w:val="000000"/>
      <w:sz w:val="22"/>
      <w:szCs w:val="22"/>
      <w:u w:val="none"/>
      <w:vertAlign w:val="subscript"/>
    </w:rPr>
  </w:style>
  <w:style w:type="paragraph" w:styleId="1029">
    <w:name w:val="列出段落1"/>
    <w:basedOn w:val="752"/>
    <w:next w:val="1029"/>
    <w:link w:val="752"/>
    <w:qFormat/>
    <w:pPr>
      <w:ind w:left="720" w:firstLine="360"/>
      <w:jc w:val="left"/>
      <w:widowControl/>
    </w:pPr>
    <w:rPr>
      <w:rFonts w:ascii="Calibri" w:hAnsi="Calibri"/>
      <w:sz w:val="22"/>
      <w:szCs w:val="20"/>
      <w:lang w:eastAsia="en-US"/>
    </w:rPr>
  </w:style>
  <w:style w:type="paragraph" w:styleId="1030">
    <w:name w:val="列表段落1"/>
    <w:basedOn w:val="752"/>
    <w:next w:val="1030"/>
    <w:link w:val="752"/>
    <w:uiPriority w:val="34"/>
    <w:qFormat/>
    <w:pPr>
      <w:contextualSpacing/>
      <w:ind w:left="720"/>
      <w:jc w:val="left"/>
      <w:widowControl/>
    </w:pPr>
    <w:rPr>
      <w:sz w:val="24"/>
      <w:lang w:eastAsia="en-US" w:bidi="en-US"/>
    </w:rPr>
  </w:style>
  <w:style w:type="paragraph" w:styleId="1031">
    <w:name w:val="p0"/>
    <w:basedOn w:val="752"/>
    <w:next w:val="1031"/>
    <w:link w:val="752"/>
    <w:qFormat/>
    <w:pPr>
      <w:widowControl/>
    </w:pPr>
    <w:rPr>
      <w:rFonts w:ascii="Calibri" w:hAnsi="Calibri"/>
      <w:sz w:val="21"/>
      <w:szCs w:val="21"/>
    </w:rPr>
  </w:style>
  <w:style w:type="character" w:styleId="1032">
    <w:name w:val="font101"/>
    <w:basedOn w:val="753"/>
    <w:next w:val="1032"/>
    <w:link w:val="752"/>
    <w:qFormat/>
    <w:rPr>
      <w:rFonts w:ascii="Arial" w:hAnsi="Arial" w:cs="Arial"/>
      <w:color w:val="000000"/>
      <w:sz w:val="20"/>
      <w:szCs w:val="20"/>
      <w:u w:val="none"/>
    </w:rPr>
  </w:style>
  <w:style w:type="character" w:styleId="1033">
    <w:name w:val="font151"/>
    <w:basedOn w:val="753"/>
    <w:next w:val="1033"/>
    <w:link w:val="752"/>
    <w:qFormat/>
    <w:rPr>
      <w:rFonts w:hint="eastAsia" w:ascii="宋体" w:hAnsi="宋体" w:eastAsia="宋体" w:cs="宋体"/>
      <w:b/>
      <w:bCs/>
      <w:color w:val="000000"/>
      <w:sz w:val="20"/>
      <w:szCs w:val="20"/>
      <w:u w:val="none"/>
    </w:rPr>
  </w:style>
  <w:style w:type="character" w:styleId="27829" w:default="1">
    <w:name w:val="Default Paragraph Font"/>
    <w:uiPriority w:val="1"/>
    <w:semiHidden/>
    <w:unhideWhenUsed/>
  </w:style>
  <w:style w:type="numbering" w:styleId="27830" w:default="1">
    <w:name w:val="No List"/>
    <w:uiPriority w:val="99"/>
    <w:semiHidden/>
    <w:unhideWhenUsed/>
  </w:style>
  <w:style w:type="table" w:styleId="27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Eag</dc:creator>
  <cp:lastModifiedBy>陈健</cp:lastModifiedBy>
  <cp:revision>2</cp:revision>
  <dcterms:created xsi:type="dcterms:W3CDTF">2023-11-27T19:30:00Z</dcterms:created>
  <dcterms:modified xsi:type="dcterms:W3CDTF">2024-11-08T07:40:22Z</dcterms:modified>
</cp:coreProperties>
</file>