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firstLine="0" w:firstLineChars="0"/>
        <w:jc w:val="center"/>
        <w:rPr>
          <w:rStyle w:val="8"/>
          <w:rFonts w:hAnsi="宋体"/>
          <w:sz w:val="36"/>
          <w:szCs w:val="36"/>
        </w:rPr>
      </w:pPr>
      <w:r>
        <w:rPr>
          <w:rStyle w:val="8"/>
          <w:rFonts w:hint="eastAsia" w:ascii="宋体" w:hAnsi="宋体"/>
          <w:sz w:val="36"/>
          <w:szCs w:val="36"/>
        </w:rPr>
        <w:t>盐城市住房和城乡建设局盐城市绿色建造、智能建造与绿色建材产业发展路径与适宜技术研究与咨询服务项目</w:t>
      </w:r>
      <w:bookmarkStart w:id="0" w:name="_GoBack"/>
      <w:bookmarkEnd w:id="0"/>
      <w:r>
        <w:rPr>
          <w:rStyle w:val="8"/>
          <w:rFonts w:hAnsi="宋体"/>
          <w:sz w:val="36"/>
          <w:szCs w:val="36"/>
        </w:rPr>
        <w:t>需求</w:t>
      </w:r>
    </w:p>
    <w:p>
      <w:pPr>
        <w:pStyle w:val="5"/>
        <w:ind w:firstLine="624"/>
      </w:pPr>
    </w:p>
    <w:p>
      <w:pPr>
        <w:pStyle w:val="2"/>
        <w:widowControl w:val="0"/>
        <w:ind w:firstLine="480"/>
        <w:rPr>
          <w:color w:val="auto"/>
        </w:rPr>
      </w:pPr>
      <w:r>
        <w:rPr>
          <w:rFonts w:hint="eastAsia"/>
          <w:color w:val="auto"/>
        </w:rPr>
        <w:t>1、指导盐城市绿色建造工作开展，提供相关政策、技术咨询，完成配套政策建议编制工作，研究制定《盐城市绿色建造试点工作实施方案》；搭建绿色建造适宜技术体系、工艺工法与评价体系，研究制定《盐城市绿色建造评价标准》。</w:t>
      </w:r>
    </w:p>
    <w:p>
      <w:pPr>
        <w:pStyle w:val="2"/>
        <w:widowControl w:val="0"/>
        <w:ind w:firstLine="480"/>
        <w:rPr>
          <w:color w:val="auto"/>
        </w:rPr>
      </w:pPr>
      <w:r>
        <w:rPr>
          <w:rFonts w:hint="eastAsia"/>
          <w:color w:val="auto"/>
        </w:rPr>
        <w:t>2、协助遴选绿色建造试点项目并为试点项目实践提供咨询服务，组织申报与评审工作，确定试点项目清单，对申报成功的项目进行指导和巡查，形成《绿色建造试点项目月度巡检纪要》、《绿色建造试点项目总结报告》等试点项目过程成果，并协助示范项目开展绿色建造观摩活动。</w:t>
      </w:r>
    </w:p>
    <w:p>
      <w:pPr>
        <w:pStyle w:val="2"/>
        <w:widowControl w:val="0"/>
        <w:ind w:firstLine="480"/>
        <w:rPr>
          <w:color w:val="auto"/>
        </w:rPr>
      </w:pPr>
      <w:r>
        <w:rPr>
          <w:rFonts w:hint="eastAsia"/>
          <w:color w:val="auto"/>
        </w:rPr>
        <w:t>3、研究与绿色建造相适应的建筑工人安全能力素质及现场安全生产保障技术措施，制定《关于巩固提升盐城市建筑施工安全标准化水平的通知》。</w:t>
      </w:r>
    </w:p>
    <w:p>
      <w:pPr>
        <w:pStyle w:val="2"/>
        <w:widowControl w:val="0"/>
        <w:ind w:firstLine="480"/>
        <w:rPr>
          <w:color w:val="auto"/>
        </w:rPr>
      </w:pPr>
      <w:r>
        <w:rPr>
          <w:rFonts w:hint="eastAsia"/>
          <w:color w:val="auto"/>
        </w:rPr>
        <w:t>4、对盐城市绿色建材的应用现状与产业发展情况进行调研，摸清盐城市场绿色建材的门类与数量，分析建筑市场对绿色建材的需求量，研究形成绿色建材产业链培育重点方向报告，从固链、强链出发，挖掘重点培育产业链链主企业，建立规上企业培育库，为推进绿色建材产业链培育工作提供咨询服务。</w:t>
      </w:r>
    </w:p>
    <w:p>
      <w:pPr>
        <w:pStyle w:val="2"/>
        <w:widowControl w:val="0"/>
        <w:ind w:firstLine="480"/>
        <w:rPr>
          <w:color w:val="auto"/>
        </w:rPr>
      </w:pPr>
      <w:r>
        <w:rPr>
          <w:rFonts w:hint="eastAsia"/>
          <w:color w:val="auto"/>
        </w:rPr>
        <w:t>5、研究制定《盐城市绿色建材技术要求与指导手册》，内容主要包括绿色建材概述、绿色建材认证流程、认证机构、绿色建材分类及各类建材产品的技术要求等，为绿色建材工程应用提出指导性建议。</w:t>
      </w:r>
    </w:p>
    <w:p>
      <w:pPr>
        <w:pStyle w:val="2"/>
        <w:widowControl w:val="0"/>
        <w:ind w:firstLine="480"/>
        <w:rPr>
          <w:color w:val="auto"/>
        </w:rPr>
      </w:pPr>
      <w:r>
        <w:rPr>
          <w:rFonts w:hint="eastAsia"/>
          <w:color w:val="auto"/>
        </w:rPr>
        <w:t>6、梳理绿色建材的种类，建立“绿色建材采信应用数据库”。</w:t>
      </w:r>
    </w:p>
    <w:p>
      <w:pPr>
        <w:pStyle w:val="2"/>
        <w:widowControl w:val="0"/>
        <w:ind w:firstLine="480"/>
        <w:rPr>
          <w:color w:val="auto"/>
        </w:rPr>
      </w:pPr>
      <w:r>
        <w:rPr>
          <w:rFonts w:hint="eastAsia"/>
          <w:color w:val="auto"/>
        </w:rPr>
        <w:t>7、根据绿色建造试点项目推进，协助主管单位核查绿色建材使用情况，编制《盐城市建设项目应用绿色建材技术指引》。</w:t>
      </w:r>
    </w:p>
    <w:p>
      <w:pPr>
        <w:pStyle w:val="2"/>
        <w:widowControl w:val="0"/>
        <w:ind w:firstLine="480"/>
        <w:rPr>
          <w:color w:val="auto"/>
        </w:rPr>
      </w:pPr>
      <w:r>
        <w:rPr>
          <w:rFonts w:hint="eastAsia"/>
          <w:color w:val="auto"/>
        </w:rPr>
        <w:t>8、组织、落实绿色建造、绿色建材等相关技术咨询与宣贯培训工作。在服务期内，面向全市建筑工程、建材企业等每个季度开展至少1次宣贯培训活动，其中至少应邀请建设领域绿色建造或者绿色建材方面专家授课1次。</w:t>
      </w:r>
    </w:p>
    <w:p>
      <w:r>
        <w:rPr>
          <w:rFonts w:hint="eastAsia"/>
          <w:color w:val="auto"/>
        </w:rPr>
        <w:t>注：采购标的的所属行业为其他未列明行业，根据《工业和信息化部、国家统计局、国家发展和改革委员会、财政部关于印发中小企业划型标准规定的通知》（工信部联企业[2011]300号）规定的划分标准填写。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DI4Yzk3Y2I3YTZlNWY2NjAyOGE2ZDI2MThjYmUifQ=="/>
  </w:docVars>
  <w:rsids>
    <w:rsidRoot w:val="1C224D19"/>
    <w:rsid w:val="1C224D19"/>
    <w:rsid w:val="3097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480"/>
      <w:jc w:val="both"/>
      <w:textAlignment w:val="baseline"/>
    </w:pPr>
    <w:rPr>
      <w:rFonts w:ascii="Times New Roman" w:hAnsi="Times New Roman" w:eastAsia="宋体" w:cstheme="minorBidi"/>
      <w:kern w:val="2"/>
      <w:sz w:val="21"/>
      <w:szCs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560" w:lineRule="exact"/>
      <w:ind w:firstLine="200" w:firstLineChars="200"/>
    </w:pPr>
    <w:rPr>
      <w:rFonts w:ascii="宋体" w:hAnsi="宋体" w:cs="宋体"/>
      <w:color w:val="FF0000"/>
      <w:sz w:val="24"/>
      <w:szCs w:val="24"/>
    </w:rPr>
  </w:style>
  <w:style w:type="paragraph" w:styleId="3">
    <w:name w:val="Body Text Indent"/>
    <w:basedOn w:val="1"/>
    <w:next w:val="4"/>
    <w:autoRedefine/>
    <w:qFormat/>
    <w:uiPriority w:val="0"/>
    <w:pPr>
      <w:widowControl w:val="0"/>
      <w:spacing w:line="200" w:lineRule="exact"/>
      <w:ind w:firstLine="301"/>
      <w:textAlignment w:val="auto"/>
    </w:pPr>
    <w:rPr>
      <w:rFonts w:ascii="宋体" w:hAnsi="Courier New" w:cs="宋体"/>
      <w:spacing w:val="-4"/>
      <w:sz w:val="18"/>
      <w:szCs w:val="20"/>
    </w:rPr>
  </w:style>
  <w:style w:type="paragraph" w:styleId="4">
    <w:name w:val="envelope return"/>
    <w:basedOn w:val="1"/>
    <w:autoRedefine/>
    <w:qFormat/>
    <w:uiPriority w:val="0"/>
    <w:pPr>
      <w:snapToGrid w:val="0"/>
    </w:pPr>
    <w:rPr>
      <w:rFonts w:ascii="Arial" w:hAnsi="Arial" w:cs="Arial"/>
    </w:rPr>
  </w:style>
  <w:style w:type="paragraph" w:styleId="5">
    <w:name w:val="Body Text First Indent 2"/>
    <w:basedOn w:val="3"/>
    <w:next w:val="2"/>
    <w:qFormat/>
    <w:uiPriority w:val="99"/>
    <w:pPr>
      <w:ind w:firstLine="420" w:firstLineChars="200"/>
    </w:pPr>
    <w:rPr>
      <w:rFonts w:ascii="楷体_GB2312" w:eastAsia="楷体_GB2312"/>
      <w:sz w:val="32"/>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2024-05-11T08:59:00Z</dcterms:created>
  <dc:creator>可乐</dc:creator>
  <cp:lastModifiedBy>Administrator</cp:lastModifiedBy>
  <dcterms:modified xsi:type="dcterms:W3CDTF">2024-05-11T09:06:39Z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6AF52125031241E4B8B7F556AF8E91F7_11</vt:lpwstr>
  </property>
</Properties>
</file>