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5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编号：JSZC-320000-JSWD-G2025-0064号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扬州大学兽医学院生物安全型家禽负压隔离器（P3专用）采购项目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4310" cy="373200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11244" name=""/>
                        <pic:cNvPicPr>
                          <a:picLocks noChangeAspect="1"/>
                        </pic:cNvPicPr>
                        <pic:nvPr/>
                      </pic:nvPicPr>
                      <pic:blipFill>
                        <a:blip/>
                        <a:stretch/>
                      </pic:blipFill>
                      <pic:spPr bwMode="auto">
                        <a:xfrm>
                          <a:off x="0" y="0"/>
                          <a:ext cx="5274309" cy="373200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93.9pt;mso-wrap-distance-left:0.0pt;mso-wrap-distance-top:0.0pt;mso-wrap-distance-right:0.0pt;mso-wrap-distance-bottom:0.0pt;" stroked="false">
                <v:path textboxrect="0,0,0,0"/>
              </v:shape>
            </w:pict>
          </mc:Fallback>
        </mc:AlternateContent>
      </w: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江苏万达工程造价事务所有限公司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2025年5月6日</w:t>
      </w:r>
      <w:r/>
    </w:p>
    <w:p>
      <w:pPr>
        <w:ind w:left="0" w:right="0" w:firstLine="0"/>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 录</w:t>
      </w:r>
      <w:r/>
    </w:p>
    <w:p>
      <w:pPr>
        <w:ind w:left="0" w:right="0" w:firstLine="0"/>
        <w:jc w:val="both"/>
        <w:spacing w:before="0" w:after="0" w:line="85" w:lineRule="atLeast"/>
        <w:tabs>
          <w:tab w:val="left" w:pos="8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招标公告</w:t>
        <w:tab/>
      </w:r>
      <w:r/>
    </w:p>
    <w:p>
      <w:pPr>
        <w:ind w:left="0" w:right="0" w:firstLine="0"/>
        <w:jc w:val="both"/>
        <w:spacing w:before="0" w:after="0" w:line="85" w:lineRule="atLeast"/>
        <w:tabs>
          <w:tab w:val="left" w:pos="8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 投标人须知</w:t>
        <w:tab/>
      </w:r>
      <w:r/>
    </w:p>
    <w:p>
      <w:pPr>
        <w:ind w:left="0" w:right="0" w:firstLine="0"/>
        <w:jc w:val="both"/>
        <w:spacing w:before="0" w:after="0" w:line="85" w:lineRule="atLeast"/>
        <w:tabs>
          <w:tab w:val="left" w:pos="8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 合同条款及格式</w:t>
        <w:tab/>
      </w:r>
      <w:r/>
    </w:p>
    <w:p>
      <w:pPr>
        <w:ind w:left="0" w:right="0" w:firstLine="0"/>
        <w:jc w:val="both"/>
        <w:spacing w:before="0" w:after="0" w:line="85" w:lineRule="atLeast"/>
        <w:tabs>
          <w:tab w:val="left" w:pos="8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项目需求</w:t>
        <w:tab/>
      </w:r>
      <w:r/>
    </w:p>
    <w:p>
      <w:pPr>
        <w:ind w:left="0" w:right="0" w:firstLine="0"/>
        <w:jc w:val="both"/>
        <w:spacing w:before="0" w:after="0" w:line="85" w:lineRule="atLeast"/>
        <w:tabs>
          <w:tab w:val="left" w:pos="8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 评标方法及评标标准</w:t>
        <w:tab/>
      </w:r>
      <w:r/>
    </w:p>
    <w:p>
      <w:pPr>
        <w:ind w:left="0" w:right="0" w:firstLine="0"/>
        <w:jc w:val="both"/>
        <w:spacing w:before="0" w:after="0" w:line="85" w:lineRule="atLeast"/>
        <w:tabs>
          <w:tab w:val="left" w:pos="8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 投标文件格式</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61"/>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第一章招标公告</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受扬州大学的委托，江苏万达工程造价事务所有限公司就</w:t>
      </w:r>
      <w:r>
        <w:rPr>
          <w:rFonts w:ascii="SimSun" w:hAnsi="SimSun" w:eastAsia="SimSun" w:cs="SimSun"/>
          <w:color w:val="000000"/>
          <w:sz w:val="21"/>
          <w:u w:val="single"/>
        </w:rPr>
        <w:t xml:space="preserve">扬州大学兽医学院生物安全型家禽负压隔离器（P3专用）采购项目</w:t>
      </w:r>
      <w:r>
        <w:rPr>
          <w:rFonts w:ascii="SimSun" w:hAnsi="SimSun" w:eastAsia="SimSun" w:cs="SimSun"/>
          <w:color w:val="000000"/>
          <w:sz w:val="21"/>
        </w:rPr>
        <w:t xml:space="preserve">(JSZC-320000-JSWD-G2025-0064号)进行公开招标采购，欢迎符合条件的供应商投标。</w:t>
      </w:r>
      <w:r/>
    </w:p>
    <w:p>
      <w:pPr>
        <w:ind w:left="0" w:right="0" w:firstLine="422"/>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扬州大学兽医学院生物安全型家禽负压隔离器（P3专用）采购项目JSZC-320000-JSWD-G2025-0064 招标项目</w:t>
      </w:r>
      <w:r>
        <w:rPr>
          <w:rFonts w:ascii="SimSun" w:hAnsi="SimSun" w:eastAsia="SimSun" w:cs="SimSun"/>
          <w:color w:val="000000"/>
          <w:sz w:val="21"/>
        </w:rPr>
        <w:t xml:space="preserve">的潜在投标人应在</w:t>
      </w:r>
      <w:r>
        <w:rPr>
          <w:rFonts w:ascii="SimSun" w:hAnsi="SimSun" w:eastAsia="SimSun" w:cs="SimSun"/>
          <w:color w:val="000000"/>
          <w:sz w:val="21"/>
          <w:u w:val="single"/>
        </w:rPr>
        <w:t xml:space="preserve">“扬州大学采购管理办公室网”、“扬州大学网”、“江苏省政府采购网”和“中国政府采购网”</w:t>
      </w:r>
      <w:r>
        <w:rPr>
          <w:rFonts w:ascii="SimSun" w:hAnsi="SimSun" w:eastAsia="SimSun" w:cs="SimSun"/>
          <w:color w:val="000000"/>
          <w:sz w:val="21"/>
        </w:rPr>
        <w:t xml:space="preserve">获取招标文件，并于</w:t>
      </w:r>
      <w:r>
        <w:rPr>
          <w:rFonts w:ascii="SimSun" w:hAnsi="SimSun" w:eastAsia="SimSun" w:cs="SimSun"/>
          <w:color w:val="000000"/>
          <w:sz w:val="21"/>
          <w:u w:val="single"/>
        </w:rPr>
        <w:t xml:space="preserve">2025年5月27日14:30</w:t>
      </w:r>
      <w:r>
        <w:rPr>
          <w:rFonts w:ascii="SimSun" w:hAnsi="SimSun" w:eastAsia="SimSun" w:cs="SimSun"/>
          <w:color w:val="000000"/>
          <w:sz w:val="21"/>
        </w:rPr>
        <w:t xml:space="preserve">（北京时间）前递交投标文件。</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1.项目编号：JSZC-320000-JSWD-G2025-0064号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2.项目名称：扬州大学兽医学院生物安全型家禽负压隔离器（P3专用）采购项目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3.预算金额：110万元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4最高限价：110万元。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5.采购需求：（详细内容见本招标文件第四章）。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6.合同履行期限：合同签订之日起40日历天内完成供货、安装、调试、验收并投入使用。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w:t>
      </w:r>
      <w:r>
        <w:rPr>
          <w:rFonts w:ascii="SimSun" w:hAnsi="SimSun" w:eastAsia="SimSun" w:cs="SimSun"/>
          <w:color w:val="000000"/>
          <w:sz w:val="21"/>
          <w:u w:val="single"/>
        </w:rPr>
        <w:t xml:space="preserve">不接受</w:t>
      </w:r>
      <w:r>
        <w:rPr>
          <w:rFonts w:ascii="SimSun" w:hAnsi="SimSun" w:eastAsia="SimSun" w:cs="SimSun"/>
          <w:color w:val="000000"/>
          <w:sz w:val="21"/>
        </w:rPr>
        <w:t xml:space="preserve">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w:t>
      </w:r>
      <w:r>
        <w:rPr>
          <w:rFonts w:ascii="SimSun" w:hAnsi="SimSun" w:eastAsia="SimSun" w:cs="SimSun"/>
          <w:color w:val="000000"/>
          <w:sz w:val="21"/>
          <w:u w:val="single"/>
        </w:rPr>
        <w:t xml:space="preserve">不接受</w:t>
      </w:r>
      <w:r>
        <w:rPr>
          <w:rFonts w:ascii="SimSun" w:hAnsi="SimSun" w:eastAsia="SimSun" w:cs="SimSun"/>
          <w:color w:val="000000"/>
          <w:sz w:val="21"/>
        </w:rPr>
        <w:t xml:space="preserve">进口产品投标。</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）投标函</w:t>
      </w:r>
      <w:r>
        <w:rPr>
          <w:rFonts w:ascii="Calibri" w:hAnsi="Calibri" w:eastAsia="Calibri" w:cs="Calibri"/>
          <w:color w:val="000000"/>
          <w:sz w:val="21"/>
        </w:rPr>
        <w:t xml:space="preserve">(</w:t>
      </w:r>
      <w:r>
        <w:rPr>
          <w:rFonts w:ascii="SimSun" w:hAnsi="SimSun" w:eastAsia="SimSun" w:cs="SimSun"/>
          <w:color w:val="000000"/>
          <w:sz w:val="21"/>
        </w:rPr>
        <w:t xml:space="preserve">原件</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）资格声明</w:t>
      </w:r>
      <w:r>
        <w:rPr>
          <w:rFonts w:ascii="Calibri" w:hAnsi="Calibri" w:eastAsia="Calibri" w:cs="Calibri"/>
          <w:color w:val="000000"/>
          <w:sz w:val="21"/>
        </w:rPr>
        <w:t xml:space="preserve">(</w:t>
      </w:r>
      <w:r>
        <w:rPr>
          <w:rFonts w:ascii="SimSun" w:hAnsi="SimSun" w:eastAsia="SimSun" w:cs="SimSun"/>
          <w:color w:val="000000"/>
          <w:sz w:val="21"/>
        </w:rPr>
        <w:t xml:space="preserve">原件</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）若法定代表人参加投标的，须提供本人身份证复印件</w:t>
      </w:r>
      <w:r>
        <w:rPr>
          <w:rFonts w:ascii="Calibri" w:hAnsi="Calibri" w:eastAsia="Calibri" w:cs="Calibri"/>
          <w:color w:val="000000"/>
          <w:sz w:val="21"/>
        </w:rPr>
        <w:t xml:space="preserve">(</w:t>
      </w:r>
      <w:r>
        <w:rPr>
          <w:rFonts w:ascii="SimSun" w:hAnsi="SimSun" w:eastAsia="SimSun" w:cs="SimSun"/>
          <w:color w:val="000000"/>
          <w:sz w:val="21"/>
        </w:rPr>
        <w:t xml:space="preserve">原件备查</w:t>
      </w:r>
      <w:r>
        <w:rPr>
          <w:rFonts w:ascii="Calibri" w:hAnsi="Calibri" w:eastAsia="Calibri" w:cs="Calibri"/>
          <w:color w:val="000000"/>
          <w:sz w:val="21"/>
        </w:rPr>
        <w:t xml:space="preserve">)</w:t>
      </w:r>
      <w:r>
        <w:rPr>
          <w:rFonts w:ascii="SimSun" w:hAnsi="SimSun" w:eastAsia="SimSun" w:cs="SimSun"/>
          <w:color w:val="000000"/>
          <w:sz w:val="21"/>
        </w:rPr>
        <w:t xml:space="preserve">；若授权代表参加的，须提供《法人授权书》原件和授权代表身份证复印件（原件备查）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）营业执照副本或民办非企业单位登记证书或事业单位法人证书等相关身份证明材料</w:t>
      </w:r>
      <w:r>
        <w:rPr>
          <w:rFonts w:ascii="Calibri" w:hAnsi="Calibri" w:eastAsia="Calibri" w:cs="Calibri"/>
          <w:color w:val="000000"/>
          <w:sz w:val="21"/>
        </w:rPr>
        <w:t xml:space="preserve">(</w:t>
      </w:r>
      <w:r>
        <w:rPr>
          <w:rFonts w:ascii="SimSun" w:hAnsi="SimSun" w:eastAsia="SimSun" w:cs="SimSun"/>
          <w:color w:val="000000"/>
          <w:sz w:val="21"/>
        </w:rPr>
        <w:t xml:space="preserve">复印件加盖投标人公章</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）依法缴纳职工社会保障资金的证明材料</w:t>
      </w:r>
      <w:r>
        <w:rPr>
          <w:rFonts w:ascii="Calibri" w:hAnsi="Calibri" w:eastAsia="Calibri" w:cs="Calibri"/>
          <w:color w:val="000000"/>
          <w:sz w:val="21"/>
        </w:rPr>
        <w:t xml:space="preserve">(</w:t>
      </w:r>
      <w:r>
        <w:rPr>
          <w:rFonts w:ascii="SimSun" w:hAnsi="SimSun" w:eastAsia="SimSun" w:cs="SimSun"/>
          <w:color w:val="000000"/>
          <w:sz w:val="21"/>
        </w:rPr>
        <w:t xml:space="preserve">复印件加盖投标人公章</w:t>
      </w:r>
      <w:r>
        <w:rPr>
          <w:rFonts w:ascii="Calibri" w:hAnsi="Calibri" w:eastAsia="Calibri" w:cs="Calibri"/>
          <w:color w:val="000000"/>
          <w:sz w:val="21"/>
        </w:rPr>
        <w:t xml:space="preserve">)(</w:t>
      </w:r>
      <w:r>
        <w:rPr>
          <w:rFonts w:ascii="SimSun" w:hAnsi="SimSun" w:eastAsia="SimSun" w:cs="SimSun"/>
          <w:color w:val="000000"/>
          <w:sz w:val="21"/>
        </w:rPr>
        <w:t xml:space="preserve">税务、银行或社会保险基金管理部门出具的近一年内任意一份缴纳职工社会保障资金的缴款凭证或缴款证明</w:t>
      </w:r>
      <w:r>
        <w:rPr>
          <w:rFonts w:ascii="Calibri" w:hAnsi="Calibri" w:eastAsia="Calibri" w:cs="Calibri"/>
          <w:color w:val="000000"/>
          <w:sz w:val="21"/>
        </w:rPr>
        <w:t xml:space="preserve">)</w:t>
      </w:r>
      <w:r>
        <w:rPr>
          <w:rFonts w:ascii="SimSun" w:hAnsi="SimSun" w:eastAsia="SimSun" w:cs="SimSun"/>
          <w:color w:val="000000"/>
          <w:sz w:val="21"/>
        </w:rPr>
        <w:t xml:space="preserve">（投标人依法享受缓缴、免缴的提供证明材料）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）投标人近一年内任意一份依法纳税的缴款凭证</w:t>
      </w:r>
      <w:r>
        <w:rPr>
          <w:rFonts w:ascii="Calibri" w:hAnsi="Calibri" w:eastAsia="Calibri" w:cs="Calibri"/>
          <w:color w:val="000000"/>
          <w:sz w:val="21"/>
        </w:rPr>
        <w:t xml:space="preserve">(</w:t>
      </w:r>
      <w:r>
        <w:rPr>
          <w:rFonts w:ascii="SimSun" w:hAnsi="SimSun" w:eastAsia="SimSun" w:cs="SimSun"/>
          <w:color w:val="000000"/>
          <w:sz w:val="21"/>
        </w:rPr>
        <w:t xml:space="preserve">复印件加盖投标人公章</w:t>
      </w:r>
      <w:r>
        <w:rPr>
          <w:rFonts w:ascii="Calibri" w:hAnsi="Calibri" w:eastAsia="Calibri" w:cs="Calibri"/>
          <w:color w:val="000000"/>
          <w:sz w:val="21"/>
        </w:rPr>
        <w:t xml:space="preserve">)</w:t>
      </w:r>
      <w:r>
        <w:rPr>
          <w:rFonts w:ascii="SimSun" w:hAnsi="SimSun" w:eastAsia="SimSun" w:cs="SimSun"/>
          <w:color w:val="000000"/>
          <w:sz w:val="21"/>
        </w:rPr>
        <w:t xml:space="preserve">（投标人依法享受缓缴、免缴的提供证明材料）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）上一年度（</w:t>
      </w:r>
      <w:r>
        <w:rPr>
          <w:rFonts w:ascii="Calibri" w:hAnsi="Calibri" w:eastAsia="Calibri" w:cs="Calibri"/>
          <w:color w:val="000000"/>
          <w:sz w:val="21"/>
        </w:rPr>
        <w:t xml:space="preserve">2023</w:t>
      </w:r>
      <w:r>
        <w:rPr>
          <w:rFonts w:ascii="SimSun" w:hAnsi="SimSun" w:eastAsia="SimSun" w:cs="SimSun"/>
          <w:color w:val="000000"/>
          <w:sz w:val="21"/>
        </w:rPr>
        <w:t xml:space="preserve">或</w:t>
      </w:r>
      <w:r>
        <w:rPr>
          <w:rFonts w:ascii="Calibri" w:hAnsi="Calibri" w:eastAsia="Calibri" w:cs="Calibri"/>
          <w:color w:val="000000"/>
          <w:sz w:val="21"/>
        </w:rPr>
        <w:t xml:space="preserve">2024</w:t>
      </w:r>
      <w:r>
        <w:rPr>
          <w:rFonts w:ascii="SimSun" w:hAnsi="SimSun" w:eastAsia="SimSun" w:cs="SimSun"/>
          <w:color w:val="000000"/>
          <w:sz w:val="21"/>
        </w:rPr>
        <w:t xml:space="preserve">）的财务报告情况（成立不满一年不需提供，复印件加盖投标人公章</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）投标人参加本次政府采购活动前</w:t>
      </w:r>
      <w:r>
        <w:rPr>
          <w:rFonts w:ascii="Calibri" w:hAnsi="Calibri" w:eastAsia="Calibri" w:cs="Calibri"/>
          <w:color w:val="000000"/>
          <w:sz w:val="21"/>
        </w:rPr>
        <w:t xml:space="preserve">3</w:t>
      </w:r>
      <w:r>
        <w:rPr>
          <w:rFonts w:ascii="SimSun" w:hAnsi="SimSun" w:eastAsia="SimSun" w:cs="SimSun"/>
          <w:color w:val="000000"/>
          <w:sz w:val="21"/>
        </w:rPr>
        <w:t xml:space="preserve">年内在经营活动中没有重大违法记录的书面声明（原件）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）供应商信用承诺书（原件）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注：享受国家政策缓缴或减免规费税金的，可提供政策支持文件替代相关证明材料。如参加本项目的供应商为新成立公司（成立时间距开标时间不到</w:t>
      </w:r>
      <w:r>
        <w:rPr>
          <w:rFonts w:ascii="Calibri" w:hAnsi="Calibri" w:eastAsia="Calibri" w:cs="Calibri"/>
          <w:b/>
          <w:color w:val="000000"/>
          <w:sz w:val="21"/>
        </w:rPr>
        <w:t xml:space="preserve">1</w:t>
      </w:r>
      <w:r>
        <w:rPr>
          <w:rFonts w:ascii="SimSun" w:hAnsi="SimSun" w:eastAsia="SimSun" w:cs="SimSun"/>
          <w:b/>
          <w:color w:val="000000"/>
          <w:sz w:val="21"/>
        </w:rPr>
        <w:t xml:space="preserve">年）、个体工商户、自然人或事业单位等非企业法人，则无需提供上述</w:t>
      </w:r>
      <w:r>
        <w:rPr>
          <w:rFonts w:ascii="Calibri" w:hAnsi="Calibri" w:eastAsia="Calibri" w:cs="Calibri"/>
          <w:b/>
          <w:color w:val="000000"/>
          <w:sz w:val="21"/>
        </w:rPr>
        <w:t xml:space="preserve">5</w:t>
      </w:r>
      <w:r>
        <w:rPr>
          <w:rFonts w:ascii="SimSun" w:hAnsi="SimSun" w:eastAsia="SimSun" w:cs="SimSun"/>
          <w:b/>
          <w:color w:val="000000"/>
          <w:sz w:val="21"/>
        </w:rPr>
        <w:t xml:space="preserve">、</w:t>
      </w:r>
      <w:r>
        <w:rPr>
          <w:rFonts w:ascii="Calibri" w:hAnsi="Calibri" w:eastAsia="Calibri" w:cs="Calibri"/>
          <w:b/>
          <w:color w:val="000000"/>
          <w:sz w:val="21"/>
        </w:rPr>
        <w:t xml:space="preserve">6</w:t>
      </w:r>
      <w:r>
        <w:rPr>
          <w:rFonts w:ascii="SimSun" w:hAnsi="SimSun" w:eastAsia="SimSun" w:cs="SimSun"/>
          <w:b/>
          <w:color w:val="000000"/>
          <w:sz w:val="21"/>
        </w:rPr>
        <w:t xml:space="preserve">、</w:t>
      </w:r>
      <w:r>
        <w:rPr>
          <w:rFonts w:ascii="Calibri" w:hAnsi="Calibri" w:eastAsia="Calibri" w:cs="Calibri"/>
          <w:b/>
          <w:color w:val="000000"/>
          <w:sz w:val="21"/>
        </w:rPr>
        <w:t xml:space="preserve">7</w:t>
      </w:r>
      <w:r>
        <w:rPr>
          <w:rFonts w:ascii="SimSun" w:hAnsi="SimSun" w:eastAsia="SimSun" w:cs="SimSun"/>
          <w:b/>
          <w:color w:val="000000"/>
          <w:sz w:val="21"/>
        </w:rPr>
        <w:t xml:space="preserve">三项。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rPr>
          <w:rFonts w:ascii="SimSun" w:hAnsi="SimSun" w:eastAsia="SimSun" w:cs="SimSun"/>
          <w:b/>
          <w:i/>
          <w:color w:val="000000"/>
          <w:sz w:val="21"/>
          <w:u w:val="single"/>
        </w:rPr>
        <w:t xml:space="preserve">本项目专门面向中小企业采购，供应商须提供《中小企业声明函》。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（三）本项目的特定资格要求：无。</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招标文件提供及公告期限：自招标公告在“中国政府采购网”、“江苏省政府采购网”、“扬州大学采购管理办公室门户网站”和“扬州大学网”发布之日起</w:t>
      </w:r>
      <w:r>
        <w:rPr>
          <w:rFonts w:ascii="Calibri" w:hAnsi="Calibri" w:eastAsia="Calibri" w:cs="Calibri"/>
          <w:color w:val="000000"/>
          <w:sz w:val="21"/>
          <w:u w:val="none"/>
        </w:rPr>
        <w:t xml:space="preserve">5</w:t>
      </w:r>
      <w:r>
        <w:rPr>
          <w:rFonts w:ascii="SimSun" w:hAnsi="SimSun" w:eastAsia="SimSun" w:cs="SimSun"/>
          <w:color w:val="000000"/>
          <w:sz w:val="21"/>
          <w:u w:val="none"/>
        </w:rPr>
        <w:t xml:space="preserve">个工作日。招标文件在“扬州大学采购管理办公室门户网站”上获取，供应商如确定参加投标，请在公告期限内及时登录扬州大学采购管理办公室门户网站（</w:t>
      </w:r>
      <w:r>
        <w:rPr>
          <w:rFonts w:ascii="Calibri" w:hAnsi="Calibri" w:eastAsia="Calibri" w:cs="Calibri"/>
          <w:color w:val="000000"/>
          <w:sz w:val="21"/>
          <w:u w:val="none"/>
        </w:rPr>
        <w:t xml:space="preserve">http://cgb.yzu.edu.cn/</w:t>
      </w:r>
      <w:r>
        <w:rPr>
          <w:rFonts w:ascii="SimSun" w:hAnsi="SimSun" w:eastAsia="SimSun" w:cs="SimSun"/>
          <w:color w:val="000000"/>
          <w:sz w:val="21"/>
          <w:u w:val="none"/>
        </w:rPr>
        <w:t xml:space="preserve">）注册、登录、报名、交费。有关本次招标的事项若存在变动或修改，敬请及时关注“中国政府采购网”、“江苏省政府采购网”、“扬州大学采购管理办公室门户网站”和“扬州大学网”发布的信息或更正公告。</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投标文件接收开始时间：2025年5月27日14：00（北京时间）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投标文件接收结束时间：2025年5月27日14：30（北京时间）</w:t>
      </w:r>
      <w:r/>
    </w:p>
    <w:p>
      <w:pPr>
        <w:ind w:left="42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投标文件接收地点：江苏万达工程造价事务所有限公司开标室（</w:t>
      </w:r>
      <w:r>
        <w:rPr>
          <w:rFonts w:ascii="SimSun" w:hAnsi="SimSun" w:eastAsia="SimSun" w:cs="SimSun"/>
          <w:color w:val="000000"/>
          <w:sz w:val="21"/>
          <w:u w:val="none"/>
        </w:rPr>
        <w:t xml:space="preserve">扬州市邗江北路中石化南侧邗文化博物馆</w:t>
      </w:r>
      <w:r>
        <w:rPr>
          <w:rFonts w:ascii="Calibri" w:hAnsi="Calibri" w:eastAsia="Calibri" w:cs="Calibri"/>
          <w:color w:val="000000"/>
          <w:sz w:val="21"/>
        </w:rPr>
        <w:t xml:space="preserve">1</w:t>
      </w:r>
      <w:r>
        <w:rPr>
          <w:rFonts w:ascii="SimSun" w:hAnsi="SimSun" w:eastAsia="SimSun" w:cs="SimSun"/>
          <w:color w:val="000000"/>
          <w:sz w:val="21"/>
        </w:rPr>
        <w:t xml:space="preserve">号院）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rPr>
          <w:rFonts w:ascii="SimSun" w:hAnsi="SimSun" w:eastAsia="SimSun" w:cs="SimSun"/>
          <w:color w:val="000000"/>
          <w:sz w:val="21"/>
          <w:u w:val="single"/>
        </w:rPr>
        <w:t xml:space="preserve">2025年5月27日14:30</w:t>
      </w:r>
      <w:r>
        <w:rPr>
          <w:rFonts w:ascii="SimSun" w:hAnsi="SimSun" w:eastAsia="SimSun" w:cs="SimSun"/>
          <w:color w:val="000000"/>
          <w:sz w:val="21"/>
        </w:rPr>
        <w:t xml:space="preserve">（北京时间）</w:t>
      </w:r>
      <w:r/>
    </w:p>
    <w:p>
      <w:pPr>
        <w:ind w:left="42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开标地点：江苏万达工程造价事务所有限公司开标室（扬州市邗江北路中石化南侧邗文化博物馆</w:t>
      </w:r>
      <w:r>
        <w:rPr>
          <w:rFonts w:ascii="Calibri" w:hAnsi="Calibri" w:eastAsia="Calibri" w:cs="Calibri"/>
          <w:color w:val="000000"/>
          <w:sz w:val="21"/>
        </w:rPr>
        <w:t xml:space="preserve">1</w:t>
      </w:r>
      <w:r>
        <w:rPr>
          <w:rFonts w:ascii="SimSun" w:hAnsi="SimSun" w:eastAsia="SimSun" w:cs="SimSun"/>
          <w:color w:val="000000"/>
          <w:sz w:val="21"/>
        </w:rPr>
        <w:t xml:space="preserve">号院）</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招标公告及招标文件公告期限为自本公告发布之日起5个工作日。</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1、投标文件份数:</w:t>
      </w:r>
      <w:r>
        <w:rPr>
          <w:rFonts w:ascii="SimSun" w:hAnsi="SimSun" w:eastAsia="SimSun" w:cs="SimSun"/>
          <w:color w:val="000000"/>
          <w:sz w:val="21"/>
        </w:rPr>
        <w:t xml:space="preserve">纸质版一式五份</w:t>
      </w:r>
      <w:r>
        <w:rPr>
          <w:rFonts w:ascii="Calibri" w:hAnsi="Calibri" w:eastAsia="Calibri" w:cs="Calibri"/>
          <w:color w:val="000000"/>
          <w:sz w:val="21"/>
        </w:rPr>
        <w:t xml:space="preserve">(</w:t>
      </w:r>
      <w:r>
        <w:rPr>
          <w:rFonts w:ascii="SimSun" w:hAnsi="SimSun" w:eastAsia="SimSun" w:cs="SimSun"/>
          <w:color w:val="000000"/>
          <w:sz w:val="21"/>
        </w:rPr>
        <w:t xml:space="preserve">壹份正本、肆份副本</w:t>
      </w:r>
      <w:r>
        <w:rPr>
          <w:rFonts w:ascii="Calibri" w:hAnsi="Calibri" w:eastAsia="Calibri" w:cs="Calibri"/>
          <w:color w:val="000000"/>
          <w:sz w:val="21"/>
        </w:rPr>
        <w:t xml:space="preserve">)</w:t>
      </w:r>
      <w:r>
        <w:rPr>
          <w:rFonts w:ascii="SimSun" w:hAnsi="SimSun" w:eastAsia="SimSun" w:cs="SimSun"/>
          <w:color w:val="000000"/>
          <w:sz w:val="21"/>
        </w:rPr>
        <w:t xml:space="preserve">、电子版壹份</w:t>
      </w:r>
      <w:r>
        <w:rPr>
          <w:rFonts w:ascii="Calibri" w:hAnsi="Calibri" w:eastAsia="Calibri" w:cs="Calibri"/>
          <w:color w:val="000000"/>
          <w:sz w:val="21"/>
        </w:rPr>
        <w:t xml:space="preserve">(</w:t>
      </w:r>
      <w:r>
        <w:rPr>
          <w:rFonts w:ascii="SimSun" w:hAnsi="SimSun" w:eastAsia="SimSun" w:cs="SimSun"/>
          <w:color w:val="000000"/>
          <w:sz w:val="21"/>
        </w:rPr>
        <w:t xml:space="preserve">一般应为</w:t>
      </w:r>
      <w:r>
        <w:rPr>
          <w:rFonts w:ascii="Calibri" w:hAnsi="Calibri" w:eastAsia="Calibri" w:cs="Calibri"/>
          <w:color w:val="000000"/>
          <w:sz w:val="21"/>
        </w:rPr>
        <w:t xml:space="preserve">U</w:t>
      </w:r>
      <w:r>
        <w:rPr>
          <w:rFonts w:ascii="SimSun" w:hAnsi="SimSun" w:eastAsia="SimSun" w:cs="SimSun"/>
          <w:color w:val="000000"/>
          <w:sz w:val="21"/>
        </w:rPr>
        <w:t xml:space="preserve">盘或光盘形式，</w:t>
      </w:r>
      <w:r>
        <w:rPr>
          <w:rFonts w:ascii="SimSun" w:hAnsi="SimSun" w:eastAsia="SimSun" w:cs="SimSun"/>
          <w:b/>
          <w:color w:val="000000"/>
          <w:sz w:val="21"/>
        </w:rPr>
        <w:t xml:space="preserve">为纸质标书盖章原件扫描版，</w:t>
      </w:r>
      <w:r>
        <w:rPr>
          <w:rFonts w:ascii="SimSun" w:hAnsi="SimSun" w:eastAsia="SimSun" w:cs="SimSun"/>
          <w:color w:val="000000"/>
          <w:sz w:val="21"/>
        </w:rPr>
        <w:t xml:space="preserve">随纸质正本文件一并或单独密封提交</w:t>
      </w:r>
      <w:r>
        <w:rPr>
          <w:rFonts w:ascii="Calibri" w:hAnsi="Calibri" w:eastAsia="Calibri" w:cs="Calibri"/>
          <w:color w:val="000000"/>
          <w:sz w:val="21"/>
        </w:rPr>
        <w:t xml:space="preserve">)</w:t>
      </w:r>
      <w:r>
        <w:rPr>
          <w:rFonts w:ascii="SimSun" w:hAnsi="SimSun" w:eastAsia="SimSun" w:cs="SimSun"/>
          <w:color w:val="000000"/>
          <w:sz w:val="21"/>
        </w:rPr>
        <w:t xml:space="preserve">。当电子版文件和纸质正本文件不一致时，以纸质正本文件为准。电子版文件用于辅助评标和平台存档，投标人需承担前述不一致造成的不利后果。每份投标文件须清楚标明</w:t>
      </w:r>
      <w:r>
        <w:rPr>
          <w:rFonts w:ascii="Calibri" w:hAnsi="Calibri" w:eastAsia="Calibri" w:cs="Calibri"/>
          <w:color w:val="000000"/>
          <w:sz w:val="21"/>
        </w:rPr>
        <w:t xml:space="preserve">“</w:t>
      </w:r>
      <w:r>
        <w:rPr>
          <w:rFonts w:ascii="SimSun" w:hAnsi="SimSun" w:eastAsia="SimSun" w:cs="SimSun"/>
          <w:color w:val="000000"/>
          <w:sz w:val="21"/>
        </w:rPr>
        <w:t xml:space="preserve">正本</w:t>
      </w:r>
      <w:r>
        <w:rPr>
          <w:rFonts w:ascii="Calibri" w:hAnsi="Calibri" w:eastAsia="Calibri" w:cs="Calibri"/>
          <w:color w:val="000000"/>
          <w:sz w:val="21"/>
        </w:rPr>
        <w:t xml:space="preserve">”</w:t>
      </w:r>
      <w:r>
        <w:rPr>
          <w:rFonts w:ascii="SimSun" w:hAnsi="SimSun" w:eastAsia="SimSun" w:cs="SimSun"/>
          <w:color w:val="000000"/>
          <w:sz w:val="21"/>
        </w:rPr>
        <w:t xml:space="preserve">或</w:t>
      </w:r>
      <w:r>
        <w:rPr>
          <w:rFonts w:ascii="Calibri" w:hAnsi="Calibri" w:eastAsia="Calibri" w:cs="Calibri"/>
          <w:color w:val="000000"/>
          <w:sz w:val="21"/>
        </w:rPr>
        <w:t xml:space="preserve">“</w:t>
      </w:r>
      <w:r>
        <w:rPr>
          <w:rFonts w:ascii="SimSun" w:hAnsi="SimSun" w:eastAsia="SimSun" w:cs="SimSun"/>
          <w:color w:val="000000"/>
          <w:sz w:val="21"/>
        </w:rPr>
        <w:t xml:space="preserve">副本</w:t>
      </w:r>
      <w:r>
        <w:rPr>
          <w:rFonts w:ascii="Calibri" w:hAnsi="Calibri" w:eastAsia="Calibri" w:cs="Calibri"/>
          <w:color w:val="000000"/>
          <w:sz w:val="21"/>
        </w:rPr>
        <w:t xml:space="preserve">”</w:t>
      </w:r>
      <w:r>
        <w:rPr>
          <w:rFonts w:ascii="SimSun" w:hAnsi="SimSun" w:eastAsia="SimSun" w:cs="SimSun"/>
          <w:color w:val="000000"/>
          <w:sz w:val="21"/>
        </w:rPr>
        <w:t xml:space="preserve">字样。一旦正本和副本不符，以正本为准。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2、本项目在“扬州大学采购管理办公室网”、“扬州大学网”、“江苏省政府采购网”和“中国政府采购网”发布公告。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3、本次采购不收取投标保证金。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4、本文件中斜体下划线部分为实质性响应条件，为必须遵守的条件，如不满足将作无效投标文件处理。</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5、为落实好政府采购履约资金扶持政策，中标/成交供应商可凭政府采购合同办理融资贷款，详见江苏政府采购网“政采贷”专栏。</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w:t>
      </w:r>
      <w:r>
        <w:rPr>
          <w:rFonts w:ascii="SimSun" w:hAnsi="SimSun" w:eastAsia="SimSun" w:cs="SimSun"/>
          <w:color w:val="000000"/>
          <w:sz w:val="21"/>
        </w:rPr>
        <w:t xml:space="preserve">下，本项目优先采购节能产品、环境标志产品。</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7、供应商对于所投产品的包装应按照“财办库〔2020〕123号《关于印发商品包装政府采购需求标准（试行）》、《快递包装政府采购需求标准（试行）的通知》”执行。</w:t>
      </w:r>
      <w:r/>
    </w:p>
    <w:p>
      <w:pPr>
        <w:ind w:left="0" w:right="0" w:firstLine="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七、本次招标联系方式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称：扬州大学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址：扬州市大学南路88号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联系人：杨文浩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联系方式：15205270143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称：江苏万达工程造价事务所有限公司</w:t>
      </w:r>
      <w:r/>
    </w:p>
    <w:p>
      <w:pPr>
        <w:ind w:left="42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址：扬州市邗江北路中石化南侧邗文化博物馆</w:t>
      </w:r>
      <w:r>
        <w:rPr>
          <w:rFonts w:ascii="Calibri" w:hAnsi="Calibri" w:eastAsia="Calibri" w:cs="Calibri"/>
          <w:color w:val="000000"/>
          <w:sz w:val="21"/>
        </w:rPr>
        <w:t xml:space="preserve">1</w:t>
      </w:r>
      <w:r>
        <w:rPr>
          <w:rFonts w:ascii="SimSun" w:hAnsi="SimSun" w:eastAsia="SimSun" w:cs="SimSun"/>
          <w:color w:val="000000"/>
          <w:sz w:val="21"/>
        </w:rPr>
        <w:t xml:space="preserve">号院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联系人：肖红红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联系方式：17368903512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61"/>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1、招标方式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本招标文件中“供应商”，即“投标人”，是指参加投标竞争，并符合招标文件规定资格条件的法人、其他组织或者自然人。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满足招标公告中供应商的资格条件要求的规定。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满足本文件实质性条款的规定。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 何，代理机构在任何情况下均无义务和责任承担这些费用。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4.2本次采购（招标）采用线上报名交费方式，投标（响应）人应当按照《扬州大学采购管理系统——供应商操作手册》（下载地址：http://cgb.yzu.edu.cn/info/1084/5117.htm），登录扬州大学采购管理办公室网（http://cgb.yzu.edu.cn/）注册、登录、报名、交费。如未按要求操作，导致投标（响应）无效，由此产生的风险自行承担。</w:t>
      </w:r>
      <w:r/>
    </w:p>
    <w:p>
      <w:pPr>
        <w:pStyle w:val="664"/>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4.3本次采购由各中标供应商在领取中标通知书前一次性支付给招标代理机构代理服务费，招标代理服务费按国家计委计价格〔2002〕1980号文规定服务类标准*27.17 %计算。（具体计算方式详见下表）。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7"/>
        <w:gridCol w:w="2214"/>
        <w:gridCol w:w="1879"/>
        <w:gridCol w:w="2171"/>
      </w:tblGrid>
      <w:tr>
        <w:trPr>
          <w:trHeight w:val="4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7" w:type="dxa"/>
            <w:vAlign w:val="center"/>
            <w:vMerge w:val="restart"/>
            <w:textDirection w:val="lrTb"/>
            <w:noWrap w:val="false"/>
          </w:tcPr>
          <w:p>
            <w:pPr>
              <w:ind w:left="1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项目</w:t>
            </w:r>
            <w:r/>
          </w:p>
          <w:p>
            <w:pPr>
              <w:ind w:left="1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100万以下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100万以上</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代理服务费最高限价</w:t>
            </w:r>
            <w:r/>
          </w:p>
        </w:tc>
      </w:tr>
      <w:tr>
        <w:trPr>
          <w:trHeight w:val="95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（折扣率）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105"/>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p>
            <w:pPr>
              <w:ind w:left="0" w:right="0" w:firstLine="105"/>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14" w:type="dxa"/>
            <w:vAlign w:val="center"/>
            <w:vMerge w:val="restart"/>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2000元</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9" w:type="dxa"/>
            <w:vAlign w:val="center"/>
            <w:vMerge w:val="restart"/>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27.17  </w:t>
            </w:r>
            <w:r>
              <w:rPr>
                <w:rFonts w:ascii="SimSun" w:hAnsi="SimSun" w:eastAsia="SimSun" w:cs="SimSun"/>
                <w:color w:val="000000"/>
                <w:sz w:val="21"/>
              </w:rPr>
              <w:t xml:space="preserve">%</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10000元</w:t>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27  </w:t>
            </w:r>
            <w:r>
              <w:rPr>
                <w:rFonts w:ascii="SimSun" w:hAnsi="SimSun" w:eastAsia="SimSun" w:cs="SimSun"/>
                <w:color w:val="000000"/>
                <w:sz w:val="21"/>
              </w:rPr>
              <w:t xml:space="preserve">%</w:t>
            </w:r>
            <w:r/>
          </w:p>
        </w:tc>
        <w:tc>
          <w:tcPr>
            <w:vMerge w:val="continue"/>
            <w:textDirection w:val="lrTb"/>
            <w:noWrap w:val="false"/>
          </w:tcPr>
          <w:p>
            <w:r/>
            <w:r/>
          </w:p>
        </w:tc>
      </w:tr>
    </w:tbl>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基准费率表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64"/>
        <w:gridCol w:w="1759"/>
        <w:gridCol w:w="1759"/>
        <w:gridCol w:w="1759"/>
      </w:tblGrid>
      <w:tr>
        <w:trPr>
          <w:trHeight w:val="22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中标金额（万元）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货物采购</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服务采购</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工程采购</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100以下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0.55％</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5000-1亿</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1亿以上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（1）代理服务费以人民币支付；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（2）代理服务费支付方式：一次性以电汇或转账形式支付。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（3）招标代理服务费不在响应报价中单列，包含在响应总价中，由中标人支付给代理机构。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4.3专家评审费参考《扬州市财政局关于进一步规范扬州市政府采购专家评审费标准的通知》（扬财购〔2020〕40号）执行，由采购人支付。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招标文件如果要求供应商提交备选投标方案的，供应商可以提交备选方案；否则，备选方案将被拒绝。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任何要求对招标文件进行澄清的投标人，应在投标截止日期的十日前按招标公告中的通讯地址，以书面形式通知代理机构。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在投标截止时间前，代理机构可以对招标文件进行修改。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8.2代理机构在招标文件要求提交投标文件截止时间前，有权按照法定要求推迟投标截止时间和开标时间。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8.3招标文件的修改将在“扬州大学采购管理办公室网”、“扬州大学网”、“江苏省政府采购网”和“中国政府采购网”公布，补充文件将作为招标文件的组成部分，并对投标人具有约束力。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9、投标文件的语言、度量衡单位、货币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9.1投标人提交的投标文件以及投标人与代理机构就有关投标的所有来往通知、函件和文件均应使用简体中文。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9.3投标人应使用人民币报价。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（3）非实质性响应对照表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（6）技术参数响应及偏离表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 （投标人认为有必要提供的声明和文件，如有自拟并自行添加）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10.2投标人应当根据招标文件要求编制投标文件，投标文件应对招标文件提出的要求和条件作出响应，并在相应的投标文件中逐条标明满足与否。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11、证明投标人资格及符合招标文件规定的文件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11.1投标人应按要求提交资格证明文件及符合招标文件规定的文件。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11.2投标人应提交证明其有资格参加投标和中标后有能力独立履行合同的文件。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11.3投标人除必须具有履行合同所需提供的产品或服务的能力外，还必须具备相应的财务、技术方面的能力。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11.4投标人应提交根据合同要求提供的证明服务质量合格以及符合招标文件规定的证明文件。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11.5证明投标人所提供服务与招标文件的要求相一致的文件可以是手册、图纸、文字资料和数据。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12、投标配置与分项报价表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采购人需求的服务供应、安装，调试及有关技术服务等。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12.3有关费用处理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12.4其他费用处理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招标文件未列明，而投标人认为必需的费用也需列入报价。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12.5投标货币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投标文件中的服务单价和总价无特殊规定的采用人民币报价，以元为单位标注。招标文件中另有规定的按规定执行。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 投标配置与分项报价表上的价格应按下列方式分开填写：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2、项目单价按投标配置及分项报价表中要求填报。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13、技术参数响应及偏离表、商务条款响应及偏离表及投标货物说明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对招标文件中的技术与商务条款要求逐项作出响应或偏离，并说明原因；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详细阐述所投货物的主要组成部分、功能设计、实现思路及关键技术；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投标人认为需要的其他技术文件或说明。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14、服务承诺及售后服务机构、人员的情况介绍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14.1投标人的服务承诺应按不低于招标文件中商务要求的标准。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14.2提供投标人有关售后服务的管理制度、售后服务机构的分布情况、售后服务人员的数量、素质、技术水平及售后服务的反应能力。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投标人应按照招标文件中提供的格式完整、正确填写投标函、开标一览表。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开标一览表中的价格应与投标文件中分项报价表中的价格一致，如不一致，不作为无效投标处理，但评标时按开标一览表中价格为准。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投标有效期为开标之日起六十（60）天。投标有效期比规定短的将被视为非响应性投标而予以拒绝。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投标文件的递交投标人应当采购文件的规定，在投标截止时间前制作并递交投标文件。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17.2投标人应对要求提供的资格证明文件（如资质证书、资格证书）、技术资料（检测报告等）复印件加盖公章封入标书。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17.3投标人应当在招标文件要求提交投标文件的截止时间前，将投标文件提交至指定地点，逾期提交的投标文件，代理机构将拒收。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18.1 投标人递交投标文件的时间不得迟于招标公告中规定的投标截止时间。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代理机构可以按照规定，通过修改招标文件延长投标截止日期，在此情况下，投标人的所有权利和义务以及投标人受制的截止日期均应以延长后新的截止日期为准。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19.1代理机构拒绝接收在其规定的投标截止时间后递交的任何投标文件。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投标人可在投标截止时间前，撤回其投标文件，并且以书面形式通知代理机构，否则，代理机构将拒绝。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20.1.2 投标人撤回投标文件，则认为其不再参与本项目投标活动。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投标人可在投标截止时间前，对其投标文件进行修改，并且以书面形式通知代理机构，否则，代理机构将拒绝。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在投标截止时间之后，投标人不得对其投标文件作任何修改。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在投标截止时间至招标文件中规定的投标有效期满之间的这段时间内，投标人不得撤回其投标。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代理机构将在招标公告中规定的时间和地点组织公开开标。投标人应委派携带有效证件的代表准时参加，参加开标的代表需签名以证明其出席。投标人未参加开标的，视同认可开标结果。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23.2开标仪式由代理机构组织，采购人代表、监委、投标人代表等参加。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按照规定同意撤回的投标文件将不予开封。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开标时请投标人推选的代表查验投标文件密封情况，投标登记簿上作记录无误后，代理机构当众拆封宣读每份投标文件中“开标一览表”的内容，未列入开标一览表的内容一律不在开标时宣读。开标时未宣读的投标报价信息，不得在评标时采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代理机构将指定专人负责开标记录并存档备查，各投标人需仔细核对开标记录相关内容并签字确认。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投标人在报价时不允许采用选择性报价，否则将被视为无效投标。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22.1 开标后，代理机构将立即组织评标委员会（以下简称评委会）进行评标。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评委会由采购人代表和有关技术、经济等方面的专家组成，且人员构成符合政府采购有关规定。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22.3评委会独立工作，负责评审所有投标文件并确定中标候选人。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23.2在评标过程中，投标人不得以任何行为影响评标过程，否则其投标文件将被作为无效投标文件。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在评标期间，代理机构将设专门工作人员与投标人联系。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采用综合评分法的项目，未中标的投标人可于中标结果公告期限届满之日起由其法定代表人或授权代表人携带本人有效身份证件到代理机构进行查询，逾期将不予受理。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24、投标的澄清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评标期间，为有助于对投标文件的审查、评价和比较，评委会有权以书面形式要求投标人对其投标文件进行澄清，但并非对每个投标人都作澄清要求。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接到评委会澄清要求的投标人如未按规定作出澄清，其风险由投标人自行承担。</w:t>
      </w:r>
      <w:r>
        <w:rPr>
          <w:rFonts w:ascii="SimSun" w:hAnsi="SimSun" w:eastAsia="SimSun" w:cs="SimSun"/>
          <w:b/>
          <w:color w:val="000000"/>
          <w:sz w:val="21"/>
        </w:rPr>
        <w:t xml:space="preserve">25、对投标文件的初审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25.1投标文件初审分为资格审查和符合性审查。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25.1.1资格审查：依据法律法规和招标文件的规定，由采购人对投标文件中的资格证明文件进行审查。并将审查结论以书面形式向评委会反馈。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25.1.2符合性检查：依据招标文件的规定，由评委会从投标文件的有效性、完整性和对招标文件的响应程度进行审查，以确定是否对招标文件的实质性要求作出响应。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未通过资格审查或符合性审查的投标人，代理机构将告知未通过资格审查或符合性审查的原因，评审结束后，代理机构将不再告知未通过资格审查或符合性审查的原因。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（2）大写金额与小写金额不一致的，以大写金额为准。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25.5评委会将按上述修正错误的方法调整投标文件中的投标报价，并告知投标人，调整后的价格对投标人具有约束力。如果投标人不接受修正后的价格，则其投标将被拒绝。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25.6评委会将允许修正投标文件中不构成重大偏离的、微小的、非正规的、不一致的或不规则的地方，但这些修改不能影响任何投标人相应的名次排列。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w:t>
      </w:r>
      <w:r>
        <w:rPr>
          <w:rFonts w:ascii="SimSun" w:hAnsi="SimSun" w:eastAsia="SimSun" w:cs="SimSun"/>
          <w:b/>
          <w:color w:val="000000"/>
          <w:sz w:val="21"/>
          <w:u w:val="single"/>
        </w:rPr>
        <w:t xml:space="preserve">（本项目的核心产品为:生物安全型家禽负压隔离器）</w:t>
      </w:r>
      <w:r>
        <w:rPr>
          <w:rFonts w:ascii="SimSun" w:hAnsi="SimSun" w:eastAsia="SimSun" w:cs="SimSun"/>
          <w:color w:val="000000"/>
          <w:sz w:val="21"/>
        </w:rPr>
        <w:t xml:space="preserve">。多家投标人提供的核心产品品牌相同的，按前两款规定处理。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 投标人在开、评标全过程中应保持通信畅通，并安排专人与代理机构及评委会联系。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26、无效投标、废标及投标人不足三家的处理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未按照招标文件规定要求签署、盖章的；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投标人在报价时采用选择性报价；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投标人不具备招标文件中规定资格要求的；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 投标人的报价超过了采购预算或最高限价的；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26.1.5 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26.1.6 不符合招标文件中规定的其他实质性要求和条件的（本招标文件中斜体且有下划线部分为实质性要求和条件，包括但不限于该范围）：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26.1.7 投标人被“信用中国”网站、“中国政府采购网”列入失信被执行人或重大税收违法案件当事人名单或政府采购严重失信行为记录名单。若接受联合体的项目，两个以上的自然人、法人或者其他组织组成一个联合体，以一个投标人的身份共同参加本次采购活动的，联合体成员存在不良信用记录的，视同联合体存在不良应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26.1.8 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26.1.9 评标委员会认为投标人的报价明显低于其他通过符合性审查的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26.1.10 本项目采购产品被财政部、国家发展改革委、生态环境部等列入“节能产品品目清单”、“环境标志产品品目清单”强制采购范围，而投标人所投标产品不在强制采购范围内的。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26.1.11其他法律法规及本招标文件规定的属无效投标的情形。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26.2.1符合专业条件的供应商或者对招标文件做实质响应的供应商不足三家的。26.2.2出现影响采购公正的违法、违规行为的。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26.2.4评委会认定招标文件存在歧义、重大缺陷导致评审工作无法进行。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投标截止时间结束后参加投标的供应商不足三家的处理：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26.3.1如出现投标截止时间结束后参加投标的供应商或者在评标期间对招标文件做出实质性响应的供应商不足三家情况，按政府采购相关规定执行。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27.1评委会根据本招标文件规定的评标方法与评标标准向采购人推荐出3名中标候选人。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采购人应根据评委会推荐的中标候选人确定中标人。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27.3代理机构将在“扬州大学采购管理办公室网”、“扬州大学网”、“江苏省政府采购网”和“中国政府采购网”发布中标公告，公告期限为1个工作日。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27.4若有充分证据证明，中标人出现下列情况之一的，一经查实，将被取消中标资格：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27.4.1提供虚假材料谋取中标的；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27.4.2向采购人、代理机构行贿或者提供其他不正当利益的；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27.4.3恶意竞争，投标总报价明显低于其自身合理成本且又无法提供证明的；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27.4.4属于本文件规定的无效条件，但在评标过程中又未被评委会发现的；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27.4.5与采购人或者其他投标人恶意串通的；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27.4.6采取不正当手段诋毁、排挤其他供应商的；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27.4.7不符合法律法规的规定的。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27.5.1不同投标人的投标文件由同一单位或者个人编制。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27.5.2不同投标人委托同一单位或者个人办理投标事宜。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27.5.4不同投标人的投标文件异常一致或者投标报价呈规律性差异。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27.5.5不同投标人的投标文件相互混装。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28.2.1对采购文件提出质疑的，应当在获取采购文件之日或者采购文件公告期限届满之日起7个工作日内提出。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28.2.2对采购过程提出质疑的，为各采购程序环节结束之日起7个工作日内提出。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28.2.3对中标结果提出质疑的，为中标结果公告期限届满之日起7个工作日内提出。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 代理机构及采购人只接收以纸质原件形式送达的质疑，</w:t>
      </w:r>
      <w:r>
        <w:rPr>
          <w:rFonts w:ascii="SimSun" w:hAnsi="SimSun" w:eastAsia="SimSun" w:cs="SimSun"/>
          <w:b/>
          <w:color w:val="000000"/>
          <w:sz w:val="21"/>
          <w:u w:val="single"/>
        </w:rPr>
        <w:t xml:space="preserve">同时需与采购代理机构经办人确认是否收到《质疑函》，如供应商未按上述要求去做，将自行承担所产生的风险。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28.6代理机构收到质疑申请后，将对质疑的形式和内容进行审查，如质疑内容、格式不符合规定，代理机构将告知质疑人进行补正。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28.7质疑人应当在法定质疑期限内进行补正并重新提交质疑函。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28.8.5供应商组成联合体参加投标，联合体中任何一方或多方未按要求签字、盖章、加盖公章的质疑。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28.10代理机构应当在收到供应商的书面质疑后7个工作日内作出答复，并以书面形式通知质疑供应商和其他有关供应商，但答复的内容不得涉及商业秘密。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29.l 中标结果确定后，代理机构将向中标人发出中标通知书。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 中标投标人收到中标通知书后，应签字确认中标通知书已收到。若无回复，则公告后视同中标投标人已经知悉并同意接受。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29.3中标通知书将是合同的一个组成部分。对采购人和中标人均具有法律效力。中标通知书发出后，采购人改变中标结果的，或者中标人放弃中标项目的，应当依法承担法律责任。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所有投标文件都将作为档案保存，不论中标与否，代理机构均不退回。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 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30.l中标人应在中标通知书发出之日起三十日内，按照招标文件确定的事项与采购人签订政府采购合同。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招标文件、中标人的投标文件及招标过程中有关澄清、承诺文件均应作为合同附件。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 签订合同后，</w:t>
      </w:r>
      <w:r>
        <w:rPr>
          <w:rFonts w:ascii="SimSun" w:hAnsi="SimSun" w:eastAsia="SimSun" w:cs="SimSun"/>
          <w:i/>
          <w:color w:val="000000"/>
          <w:sz w:val="21"/>
          <w:u w:val="single"/>
        </w:rPr>
        <w:t xml:space="preserve">中标人不得将货物或服务及其他服务进行转包</w:t>
      </w:r>
      <w:r>
        <w:rPr>
          <w:rFonts w:ascii="SimSun" w:hAnsi="SimSun" w:eastAsia="SimSun" w:cs="SimSun"/>
          <w:color w:val="000000"/>
          <w:sz w:val="21"/>
        </w:rPr>
        <w:t xml:space="preserve">。未经采购人同意，中标人也不得采用分包的形式履行合同，否则采购人有权终止合同，中标人的履约保证金将不予退还。转包或分包造成采购人损失的，中标人应承担赔偿责任。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33.1 依据《政府采购促进中小企业发展管理办法》享受扶持政策获得政府采购合同的，小微企业不得将合同分包给大中型企业，中型企业不得将合同分包给大型企业。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61"/>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第三章合同条款及格式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扬州大学货物类（国产）采购合同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甲方（买方）：</w:t>
      </w:r>
      <w:r>
        <w:rPr>
          <w:rFonts w:ascii="SimSun" w:hAnsi="SimSun" w:eastAsia="SimSun" w:cs="SimSun"/>
          <w:b/>
          <w:color w:val="000000"/>
          <w:sz w:val="21"/>
          <w:u w:val="single"/>
        </w:rPr>
        <w:t xml:space="preserve">  扬州大学</w:t>
      </w:r>
      <w:r>
        <w:rPr>
          <w:rFonts w:ascii="SimSun" w:hAnsi="SimSun" w:eastAsia="SimSun" w:cs="SimSun"/>
          <w:b/>
          <w:color w:val="000000"/>
          <w:sz w:val="21"/>
        </w:rPr>
        <w:t xml:space="preserve">                    签订地点：</w:t>
      </w: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乙方（卖方）：</w:t>
      </w:r>
      <w:r>
        <w:rPr>
          <w:rFonts w:ascii="SimSun" w:hAnsi="SimSun" w:eastAsia="SimSun" w:cs="SimSun"/>
          <w:b/>
          <w:color w:val="000000"/>
          <w:sz w:val="21"/>
          <w:u w:val="single"/>
        </w:rPr>
        <w:t xml:space="preserve">             </w:t>
      </w:r>
      <w:r>
        <w:rPr>
          <w:rFonts w:ascii="SimSun" w:hAnsi="SimSun" w:eastAsia="SimSun" w:cs="SimSun"/>
          <w:b/>
          <w:color w:val="000000"/>
          <w:sz w:val="21"/>
        </w:rPr>
        <w:t xml:space="preserve">                    签订时间：</w:t>
      </w:r>
      <w:r>
        <w:rPr>
          <w:rFonts w:ascii="SimSun" w:hAnsi="SimSun" w:eastAsia="SimSun" w:cs="SimSun"/>
          <w:b/>
          <w:color w:val="000000"/>
          <w:sz w:val="21"/>
          <w:u w:val="single"/>
        </w:rPr>
        <w:t xml:space="preserve">      </w:t>
      </w:r>
      <w:r>
        <w:rPr>
          <w:rFonts w:ascii="SimSun" w:hAnsi="SimSun" w:eastAsia="SimSun" w:cs="SimSun"/>
          <w:b/>
          <w:color w:val="000000"/>
          <w:sz w:val="21"/>
        </w:rPr>
        <w:t xml:space="preserve">年</w:t>
      </w:r>
      <w:r>
        <w:rPr>
          <w:rFonts w:ascii="SimSun" w:hAnsi="SimSun" w:eastAsia="SimSun" w:cs="SimSun"/>
          <w:b/>
          <w:color w:val="000000"/>
          <w:sz w:val="21"/>
          <w:u w:val="single"/>
        </w:rPr>
        <w:t xml:space="preserve">   </w:t>
      </w:r>
      <w:r>
        <w:rPr>
          <w:rFonts w:ascii="SimSun" w:hAnsi="SimSun" w:eastAsia="SimSun" w:cs="SimSun"/>
          <w:b/>
          <w:color w:val="000000"/>
          <w:sz w:val="21"/>
        </w:rPr>
        <w:t xml:space="preserve">月 </w:t>
      </w:r>
      <w:r>
        <w:rPr>
          <w:rFonts w:ascii="SimSun" w:hAnsi="SimSun" w:eastAsia="SimSun" w:cs="SimSun"/>
          <w:b/>
          <w:color w:val="000000"/>
          <w:sz w:val="21"/>
          <w:u w:val="single"/>
        </w:rPr>
        <w:t xml:space="preserve">   </w:t>
      </w:r>
      <w:r>
        <w:rPr>
          <w:rFonts w:ascii="SimSun" w:hAnsi="SimSun" w:eastAsia="SimSun" w:cs="SimSun"/>
          <w:b/>
          <w:color w:val="000000"/>
          <w:sz w:val="21"/>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 </w:t>
      </w:r>
      <w:r/>
    </w:p>
    <w:p>
      <w:pPr>
        <w:ind w:left="0" w:right="55" w:firstLine="422"/>
        <w:jc w:val="both"/>
        <w:spacing w:before="0" w:after="0" w:line="85" w:lineRule="atLeast"/>
        <w:tabs>
          <w:tab w:val="left" w:pos="900" w:leader="none"/>
          <w:tab w:val="left" w:pos="9540" w:leader="none"/>
          <w:tab w:val="left" w:pos="96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扬州大学</w:t>
      </w:r>
      <w:r>
        <w:rPr>
          <w:rFonts w:ascii="SimSun" w:hAnsi="SimSun" w:eastAsia="SimSun" w:cs="SimSun"/>
          <w:color w:val="000000"/>
          <w:sz w:val="21"/>
        </w:rPr>
        <w:t xml:space="preserve">（以下简称甲方）与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根据《中华人民共和国政府采购法》、《中华人民共和国民法典》等法律法规的规定，经过商务招标与技术洽谈，按照投标文件的要求及承诺，在信任与协商的基础上，就乙方为甲方提供下列产品及技术服务达成本合同书，条款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一、供货清单：</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乙方向甲方提供下列产品：</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3"/>
        <w:gridCol w:w="284"/>
        <w:gridCol w:w="992"/>
        <w:gridCol w:w="709"/>
        <w:gridCol w:w="1134"/>
        <w:gridCol w:w="992"/>
        <w:gridCol w:w="1417"/>
        <w:gridCol w:w="993"/>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 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参数要求：投标文件为本合同的技术参数及配置</w:t>
            </w:r>
            <w:r/>
          </w:p>
        </w:tc>
      </w:tr>
      <w:tr>
        <w:trPr>
          <w:trHeight w:val="4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合计（人民币）</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合同总额人民币</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三、交货方式：</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交货时间：202</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日前。如甲方提出推迟供货，按重新约定时间执行。</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交货地点：扬州大学指定交货地点实验室</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3.3乙方按照设备名称、产地、标准、型号、规格、数量及原装全套标配附件，送至甲方指定地点，由双方共同清点核实、交货。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四、付款方式：</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合同总额含运费、安装费、调试费；</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4.2乙方货物全部送达甲方指定地点，乙方现场安装，并在1个月内经具有资质第三方根据RB/T 199-2015《实验室设备生物安全性能评价技术规范》关于动物隔离设备评价的相关要求现场验收合格后，甲方应向乙方支付合同总金额的100%；验收不合格，甲方有权拒付尾款。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五、组成本合同的有关文件</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5.1乙方应按招标文件规定的时间向甲方提供使用货物的有关技术资料。</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关于本项目政府采购的招投标文件或与本次采购活动方式相适应的文件及有关附件是本合同不可分割的组成部分，这些文件包括但不限于：</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（1）招标文件；                   （2）投标产品配置与报价文件；</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（3）供货一览表；                 （4）技术参数响应表；</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（5）服务承诺；                   （6）中标通知书；</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（7）甲乙双方补充协议；           （8）乙方投标时提供的投标文件。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六、知识产权保证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七、产权保证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乙方保证所交付的货物的所有权无任何抵押、查封等权利瑕疵。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八、履约保证金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收取履约保证金的，允许中标人自主选择支票、汇票、本票、保函等非现金形式缴纳或提交，应当在采购合同中约定履约保证金退还的方式、时间、条件和不予退还的情形，明确逾期退还履约保证金的违约责任。</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8.2履约保证金用以约束乙方在合同履行中的行为，以及弥补合同履行中由于乙方自身行为可能给甲方带来的各种损失；若履约保证金额不足以弥补乙方违约造成甲方损失的，甲方可继续向乙方主张索赔。</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履约保证金收取：无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九、转包或分包</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本合同禁止转包，本合同范围的货物，应由乙方直接供应的，不得转让他人供应。</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经甲方同意，乙方可以依法采取分包方式履行合同，但是分包方式履行的，乙方应就采购项目向甲方负全责。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十、验收标准</w:t>
      </w:r>
      <w:r>
        <w:rPr>
          <w:rFonts w:ascii="SimSun" w:hAnsi="SimSun" w:eastAsia="SimSun" w:cs="SimSun"/>
          <w:color w:val="000000"/>
          <w:sz w:val="21"/>
        </w:rPr>
        <w:t xml:space="preserve">：</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仪器设备验收标准：投标文件的技术参数作为验收标准。</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仪器设备是对中国大陆行销产品，具有该产品质保证书，厂商认定的进货渠道证明及备查记号。国产仪器设备应有出厂合格证书、质保证书、技术标准（质量标准）、装箱单等，包装完好。乙方应保证对其所提供的仪器设备享有完整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十一、质量保证及售后服务</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乙方应按招标文件规定及投标文件承诺的货物性能、技术要求、质量标准向甲方提供未经使用的全新产品；若技术性能无特殊说明，则按国家有关部门最新颁布的标准及规范为准。</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乙方提供的货物在质保期内因货物本身的质量问题发生故障，乙方应负责免费更换。对达不到技术要求者，根据实际情况，经双方协商，可按以下办法处理：</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⑴更换：由乙方承担所发生的全部费用。</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⑵贬值处理：由甲乙双方合议定价。</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⑶退货处理：乙方应退还甲方支付的合同款，同时应承担该货物的直接费用（运输、保险、检验、货款利息及银行手续费等）。</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如在使用过程中发生质量问题，乙方在接到甲方通知后在_________小时内到达甲方现场。</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在质保期内，乙方应对货物出现的质量及安全问题负责处理解决并承担一切费用。</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11.6上述的货物免费保修期为______年，因人为因素出现的故障不在免费保修范围内。超过保修期的机器设备，终身维修，维修时只收部件成本费。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十二、货物包装、发运及运输</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乙方应在货物发运前对其进行满足运输距离、防潮、防震、防锈和防破损装卸等要求包装，以保证货物安全运达甲方指定地点。</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乙方发货时，产品使用说明书、检验证明书、随配附件和工具以及清单一并附于货物内。</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货物在交付甲方前发生的风险均由乙方负责。</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货物在规定的交付期限内由乙方送达甲方指定的地点，经初步验收即视为货物交付。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十三、交货、调试和验收</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13.1乙方应当在合同生效后</w:t>
      </w:r>
      <w:r>
        <w:rPr>
          <w:rFonts w:ascii="SimSun" w:hAnsi="SimSun" w:eastAsia="SimSun" w:cs="SimSun"/>
          <w:color w:val="000000"/>
          <w:sz w:val="21"/>
          <w:u w:val="single"/>
        </w:rPr>
        <w:t xml:space="preserve">     </w:t>
      </w:r>
      <w:r>
        <w:rPr>
          <w:rFonts w:ascii="SimSun" w:hAnsi="SimSun" w:eastAsia="SimSun" w:cs="SimSun"/>
          <w:color w:val="000000"/>
          <w:sz w:val="21"/>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货到甲方后，甲乙双方须在七个工作日内初次验收，甲方对乙方提交的货物依据招标文件上的技术规格要求和国家有关质量标准进行现场初步验收，外观、说明书、包装符合招标文件技术要求的，给予签收，初步验收不合格的不予签收。</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乙方按照招标文件要求负责产品安装并培训甲方的使用操作人员，乙方在甲方使用前进行调试，调试直到符合技术要求的甲方才做最终验收。</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甲乙双方关于调试和验收的其他约定：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十四、违约责任：</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双方应按合同约定的期限履行合同。除发生不可抗力外，乙方每迟交一天，向甲方交纳合同总额5‰的违约金；甲方如未能按期支付货款，由甲方支付乙方每日5‰的违约金。</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乙方所供仪器设备如不符合本合同第十三项验收标准、不符合投标文件中所承诺的技术标准、不符合国家相关强制性技术标准，甲方有权退货，并按乙方延误供货所造成的损失情况，向甲方交纳违约金。</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如果甲方使用乙方所供仪器设备，因乙方的权利瑕疵而受到第三方的追究，乙方要代替甲方向第三方承担责任，并赔偿甲方的经济损失。</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14.4如果因乙方原因本合同终止，乙方应在合同终止之日起五个工作日内无条件退还甲方已付的合同预付款项，且甲方保留向乙方追究因此造成的相关损失的权利。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十五、不可抗力事件处理</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十六、争议解决</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因货物的质量问题发生争议的，可在国家认可的质量检测机构对货物质量进行鉴定。货物符合标准的，鉴定费由甲方承担；货物不符合质量标准的，鉴定费由乙方承担。</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因履行本合同引起的或与本合同有关的争议，甲、乙双方应首先通过友好协商解决；如果协商不能解决争议，甲乙双方同意采取下列两种方式的第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种方式解决争议：</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（1）向甲方所在地有管辖权的人民法院提起诉讼，适用中华人民共和国法律；</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（2）向扬州仲裁委员会按其仲裁规则申请仲裁。</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若甲乙双方任何一方都没有选择解除合同的，为避免扩大损失，在诉讼或仲裁期间，双方应继续履行。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w:t>
      </w:r>
      <w:r>
        <w:rPr>
          <w:rFonts w:ascii="SimSun" w:hAnsi="SimSun" w:eastAsia="SimSun" w:cs="SimSun"/>
          <w:color w:val="000000"/>
          <w:sz w:val="21"/>
        </w:rPr>
        <w:t xml:space="preserve">本合同为一式柒份，合同附件、合同备忘录与本合同正文具有同等法律效力，甲方执三份，乙方执两份，见证方及财政监管部门各执一份。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w:t>
      </w:r>
      <w:r>
        <w:rPr>
          <w:rFonts w:ascii="SimSun" w:hAnsi="SimSun" w:eastAsia="SimSun" w:cs="SimSun"/>
          <w:color w:val="000000"/>
          <w:sz w:val="21"/>
        </w:rPr>
        <w:t xml:space="preserve">未尽事宜，双方协商后可签订合同备忘录。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十九、</w:t>
      </w:r>
      <w:r>
        <w:rPr>
          <w:rFonts w:ascii="SimSun" w:hAnsi="SimSun" w:eastAsia="SimSun" w:cs="SimSun"/>
          <w:color w:val="000000"/>
          <w:sz w:val="21"/>
        </w:rPr>
        <w:t xml:space="preserve">乙方在项目实施中做好安全工作，一切安全责任由乙方承担。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二十、</w:t>
      </w:r>
      <w:r>
        <w:rPr>
          <w:rFonts w:ascii="SimSun" w:hAnsi="SimSun" w:eastAsia="SimSun" w:cs="SimSun"/>
          <w:color w:val="000000"/>
          <w:sz w:val="21"/>
        </w:rPr>
        <w:t xml:space="preserve">合同经双方法定代表人或授权代表签字并加盖单位公章，并经江苏万达工程造价事务所有限公司见证盖章后生效。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二十一、其他约定</w:t>
      </w:r>
      <w:r>
        <w:rPr>
          <w:rFonts w:ascii="SimSun" w:hAnsi="SimSun" w:eastAsia="SimSun" w:cs="SimSun"/>
          <w:color w:val="000000"/>
          <w:sz w:val="21"/>
        </w:rPr>
        <w:t xml:space="preserve">事项：</w:t>
      </w:r>
      <w:r>
        <w:rPr>
          <w:rFonts w:ascii="SimSun" w:hAnsi="SimSun" w:eastAsia="SimSun" w:cs="SimSun"/>
          <w:b/>
          <w:color w:val="000000"/>
          <w:sz w:val="21"/>
        </w:rPr>
        <w:t xml:space="preserve"> 提供正规的增值税专用发票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二十二、</w:t>
      </w:r>
      <w:r>
        <w:rPr>
          <w:rFonts w:ascii="SimSun" w:hAnsi="SimSun" w:eastAsia="SimSun" w:cs="SimSun"/>
          <w:color w:val="000000"/>
          <w:sz w:val="21"/>
        </w:rPr>
        <w:t xml:space="preserve">扬州大学开票资料</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户    名： 扬州大学</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开户行： 中国工商银行扬州分行汶河支行</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账    号： 1108022009000002048</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统一社会信用代码：12320000466007837W</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    址： 扬州市大学南路88号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  -  -  -  -  -  -  -  -  -  -  -  -  -  -  -  -  -  -   -  -  -  -  -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   </w:t>
      </w:r>
      <w:r>
        <w:rPr>
          <w:rFonts w:ascii="SimSun" w:hAnsi="SimSun" w:eastAsia="SimSun" w:cs="SimSun"/>
          <w:color w:val="000000"/>
          <w:sz w:val="21"/>
        </w:rPr>
        <w:t xml:space="preserve">扬 州 大 学</w:t>
      </w:r>
      <w:r>
        <w:rPr>
          <w:rFonts w:ascii="SimSun" w:hAnsi="SimSun" w:eastAsia="SimSun" w:cs="SimSun"/>
          <w:b/>
          <w:color w:val="000000"/>
          <w:sz w:val="21"/>
        </w:rPr>
        <w:tab/>
        <w:t xml:space="preserve">          </w:t>
      </w:r>
      <w:r>
        <w:rPr>
          <w:rFonts w:ascii="SimSun" w:hAnsi="SimSun" w:eastAsia="SimSun" w:cs="SimSun"/>
          <w:color w:val="000000"/>
          <w:sz w:val="21"/>
        </w:rPr>
        <w:t xml:space="preserve">乙方：</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甲方代表：</w:t>
        <w:tab/>
        <w:t xml:space="preserve">                      乙方代表：</w:t>
      </w:r>
      <w:r/>
    </w:p>
    <w:p>
      <w:pPr>
        <w:ind w:left="0" w:right="0" w:firstLine="210"/>
        <w:jc w:val="both"/>
        <w:spacing w:before="312" w:after="0" w:line="85" w:lineRule="atLeast"/>
        <w:tabs>
          <w:tab w:val="left" w:pos="46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电话：0514-87977298          电    话：</w:t>
      </w:r>
      <w:r/>
    </w:p>
    <w:p>
      <w:pPr>
        <w:ind w:left="0" w:right="0" w:firstLine="21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用户代表：账号：</w:t>
      </w:r>
      <w:r/>
    </w:p>
    <w:p>
      <w:pPr>
        <w:ind w:left="0" w:right="0" w:firstLine="399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w:t>
      </w:r>
      <w:r/>
    </w:p>
    <w:p>
      <w:pPr>
        <w:ind w:left="0" w:right="0" w:firstLine="2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见证方：江苏万达工程造价事务所有限公司</w:t>
      </w:r>
      <w:r/>
    </w:p>
    <w:p>
      <w:pPr>
        <w:ind w:left="0" w:right="0" w:firstLine="2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项目经办人：</w:t>
      </w:r>
      <w:r/>
    </w:p>
    <w:p>
      <w:pPr>
        <w:ind w:left="0" w:right="0" w:firstLine="210"/>
        <w:jc w:val="right"/>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 - -- -- -- -- -- -- -- ---- -- -- - -- -- -- -- -- -- -- ---- -- -- - -- -- -- </w:t>
      </w:r>
      <w:r>
        <w:rPr>
          <w:rFonts w:ascii="SimSun" w:hAnsi="SimSun" w:eastAsia="SimSun" w:cs="SimSun"/>
          <w:b/>
          <w:color w:val="000000"/>
          <w:sz w:val="20"/>
        </w:rPr>
        <w:t xml:space="preserve">附：配置清单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1"/>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采购标的对应的中小企业划分标准所属行业一览表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3986"/>
        <w:gridCol w:w="3107"/>
      </w:tblGrid>
      <w:tr>
        <w:trPr>
          <w:trHeight w:val="9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生物安全型家禽负压隔离器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采购标的清单</w:t>
      </w:r>
      <w:r>
        <w:rPr>
          <w:rFonts w:ascii="SimSun" w:hAnsi="SimSun" w:eastAsia="SimSun" w:cs="SimSun"/>
          <w:color w:val="000000"/>
          <w:sz w:val="21"/>
        </w:rPr>
        <w:t xml:space="preserve">：</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3945"/>
        <w:gridCol w:w="1310"/>
        <w:gridCol w:w="1090"/>
        <w:gridCol w:w="788"/>
      </w:tblGrid>
      <w:tr>
        <w:trPr>
          <w:trHeight w:val="4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生物安全型家禽负压隔离器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1.1主体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★1.1.1外型尺寸：≤2000（L）×≤820(W)×≤1900(H)mm,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内部饲养区尺寸：≥1400(L)x≥700(W)x≥700(H)(mm)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1.1.2压差:-150-0Pa(可调）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1.1.3噪音：≤55dB(A),工作灯：≥200Lx(可调）,动物灯：5-10 Lx(可调）,换气次数：＞20次/小时,电源：220VAC50Hz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主要材质：隔离器主体全部采用SUS304不锈钢制作，它包括动物饲养区，下部可移动框架，电气箱等；不锈钢板采用SUS304拉丝板，隔离器箱体厚度≥2.5mm；PC板厚度15mm。动物饲养区底垫主框可折叠，不锈钢丝直径≥10mm，网格不锈钢丝直径≥3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1.3主机测试：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1.3.1门密封采用硅胶充气密封条，具有气密门气压在线监测功能，当气压值低于设置值时，气泵将自动开启充气。确保运行过程的安全性。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★1.3.2主机排风口要求采用恒压连接方式，以保障最远处笼盒风量平衡；笼架笼具回风管采用一次成型等径三通及平板式插板连接器与主机连接；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★1.3.3隔离器饲养区顶部设有进风高效过滤器和排风高效过滤器，过滤效率为99.99%。进风过滤器和排风过滤器设有DOP检测口。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1.3.4隔离器除进风、排风过滤器外，电气箱、风机及管道均设在隔离器顶部，进风管道和排风管道安装电动阀门，便于设备消毒及检漏。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1.4隔离器配置：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★1.4.1隔离器内部安装有一套自动饮水水嘴，外部配有不锈钢饮水水箱，水箱顶部必须安装呼吸器，确保动物饮水的安全。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1.4.2隔离器内部配置一个不锈钢食料盒，动物能在食盒两边自由觅食。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1.4.3隔离器内部配置操作台面，供操作使用，可放置小型手术器材。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1.4.4隔离器内部设置插座1个，通电供熏蒸等小型仪器使用。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★1.4.5隔离器饲养区顶部安装照明灯，灯光照度可调，工作灯光与动物灯光切换速度可调，昼夜自动切换。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★1.4.6隔离器传递部分设有传递窗，设在靠进风过滤器的一侧，污物传递桶设在饲养区底部。传递窗为双开门传递窗，密封方式采用机械压迫式密封，密封条材质为硅胶，传递窗口径≥300*270mm、深度≥370mm。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隔离器设有污物传递桶口直径不小于270mm，便于动物污物的传递。传递桶采用圆形旋转联动结构，即传递桶盖在未与隔离器连接时，盖与传递桶相连接，并处于密封状态，当传递桶与隔离器连接时，在旋转到位后，传递桶密封盖自动与传递桶分离同时与隔离器内门自动连接，并保持与门之间的密封，操作完成后，反向旋转传递桶，与门相连的传递桶盖与门自动分离，同时与传递桶相连接，并保持与传递桶的密封;传递桶桶身采用铝板制作，与隔离器连接部SUS304材料制作，可高温高压消毒，在桶底设有呼吸器（0.22μm），超压时保护传递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1.4.8隔离器的一侧设有气化过氧化氢消毒循环接口，接口采用SUS304不锈钢卫生级快装接头，接口管径必须为38mm。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1.4.9隔离器下部支架采用厚度≥1.5mm的SUS304发纹不锈钢方管制作，接缝处满焊，焊缝处进行打磨抛光及拉丝等工艺，确保架子表面光滑、美观，架子成品对角线误差不超过0.5mm。架子安装4个不锈钢304活动脚轮，二个带有刹车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1.4.10隔离器设有双面操作，设计可掀开式大门，便于实验结束后的清理，每扇大门应采用不锈钢框架和透明PC板制作，每个操作面安装三个操作手套，手套为优质丁腈橡胶一体式手套，手套袖口直径≥200mm。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1.4.11隔离器饲养区顶部在排风过滤器位置安装初效过滤器，初效过滤器为板式初效过滤器，并装有密封插槽，便于单手操作更换。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1.5隔离器控制系统：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隔离器采用全自动控制模式，配备可编程逻辑控制器（PLC）进行精准控制，搭配≥7寸人机界面（HMI）用于操作。该人机界面可实时展示隔离器的温度、湿度、压差及换气次数等运行数据，确保运行状态一目了然，方便操作人员随时监控与调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1.5.2控制系统具备多种运行模式，如自动模式、手动模式、工作模式、消毒模式、捡漏模式。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★1.5.3采用直流变频静音风机，送排风各一个风机（电压：DC48V、功率：90W，最大风量：350MAX. m³/h，转速：2400± 10% r/min，噪音：66MAX dBA）。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1.5.4具备压差、温度、湿度、风机故障、电动阀门故障等报警功能，出现异常隔离器及时报警，提醒操作人员及时进行处置。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1.5.5每台隔离器具备数字通讯功能，采用RS485通讯，通讯协议为Modbus协议，通讯距离不低于1000m。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隔离器安装加热器（电发热丝干烧加热,功率：1000W），加热器安装在进风过滤器前端，并与风机联动，温度可根据客户需要设置，温度传感器响应时间小于0.1秒。温度误差小于+-1℃。温度调节采用PID调节。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三、安装、调试及验收要求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设备安装、调试完成后，由采购人组织验收，验收合格后，采购人及中标人双方共同签署验收文件。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仪器到货：</w:t>
      </w:r>
      <w:r>
        <w:rPr>
          <w:rFonts w:ascii="SimSun" w:hAnsi="SimSun" w:eastAsia="SimSun" w:cs="SimSun"/>
          <w:color w:val="000000"/>
          <w:sz w:val="21"/>
        </w:rPr>
        <w:t xml:space="preserve">仪器到货前应将安装环境要求书面通知给用户，并与用户协商足够准备时间。到货时需按用户要求免费将设备在双方商定的时间运到指定安装位置。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仪器安装调试：</w:t>
      </w:r>
      <w:r>
        <w:rPr>
          <w:rFonts w:ascii="SimSun" w:hAnsi="SimSun" w:eastAsia="SimSun" w:cs="SimSun"/>
          <w:color w:val="000000"/>
          <w:sz w:val="21"/>
        </w:rPr>
        <w:t xml:space="preserve">用户实验室环境符合安装要求后，由学校设备管理部门、仪器用户及仪器安装工程师现场进行开箱检查，确认仪器无损，用户清点仪器及配件清单后，由仪器安装工程师免费执行安装调试直至达到验收指标（以技术规格要求指标为验收指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w:t>
      </w:r>
      <w:r>
        <w:rPr>
          <w:rFonts w:ascii="SimSun" w:hAnsi="SimSun" w:eastAsia="SimSun" w:cs="SimSun"/>
          <w:b/>
          <w:color w:val="000000"/>
          <w:sz w:val="21"/>
        </w:rPr>
        <w:t xml:space="preserve">安装完成时间：根据</w:t>
      </w:r>
      <w:r>
        <w:rPr>
          <w:rFonts w:ascii="SimSun" w:hAnsi="SimSun" w:eastAsia="SimSun" w:cs="SimSun"/>
          <w:color w:val="000000"/>
          <w:sz w:val="21"/>
        </w:rPr>
        <w:t xml:space="preserve">采购人要求完成安装调试，如在规定的时间内由于中标人的原因不能完成安装和调试，中标人应承担由此给采购人造成的损失。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rPr>
          <w:rFonts w:ascii="SimSun" w:hAnsi="SimSun" w:eastAsia="SimSun" w:cs="SimSun"/>
          <w:b/>
          <w:color w:val="000000"/>
          <w:sz w:val="21"/>
        </w:rPr>
        <w:t xml:space="preserve">安装标准：</w:t>
      </w:r>
      <w:r>
        <w:rPr>
          <w:rFonts w:ascii="SimSun" w:hAnsi="SimSun" w:eastAsia="SimSun" w:cs="SimSun"/>
          <w:color w:val="000000"/>
          <w:sz w:val="21"/>
        </w:rPr>
        <w:t xml:space="preserve">符合我国国家有关技术规范要求和技术标准，所有的软件和硬件必须保证同时安装到位。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供应商应免费提供合同货物的安装服务。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供应商在投标文件中应提供安装调试计划、对安装场地和环境的要求。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rPr>
          <w:rFonts w:ascii="SimSun" w:hAnsi="SimSun" w:eastAsia="SimSun" w:cs="SimSun"/>
          <w:b/>
          <w:color w:val="000000"/>
          <w:sz w:val="21"/>
        </w:rPr>
        <w:t xml:space="preserve">验收要求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4.1设备最终验收标准：国家有关标准、采购文件用户需求书、技术要求及相关的投标文件。验收结果以该项目验收单结论为准。验收测试所需要的材料、设备和测试样品等均由卖方负责提供。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4.2设备在实验室现场安装完成后验收合格的条件：需通过RB/T 199-2015《实验室设备生物安全性能评价技术规范》的检测。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1、供货期≤40日</w:t>
      </w:r>
      <w:r>
        <w:rPr>
          <w:rFonts w:ascii="SimSun" w:hAnsi="SimSun" w:eastAsia="SimSun" w:cs="SimSun"/>
          <w:b/>
          <w:i/>
          <w:color w:val="000000"/>
          <w:sz w:val="21"/>
          <w:u w:val="single"/>
        </w:rPr>
        <w:t xml:space="preserve">（自合同签订之日起，提供承诺书加盖投标人公章，格式自拟）</w:t>
      </w:r>
      <w:r>
        <w:rPr>
          <w:rFonts w:ascii="SimSun" w:hAnsi="SimSun" w:eastAsia="SimSun" w:cs="SimSun"/>
          <w:i/>
          <w:color w:val="000000"/>
          <w:sz w:val="21"/>
          <w:u w:val="single"/>
        </w:rPr>
        <w:t xml:space="preserve">，交货方式：一次交货，交货地点：用户指定。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2、设备性能符合RB/T 199-2015《实验室设备生物安全性能评价技术规范》关于动物隔离设备评价的相关要求</w:t>
      </w:r>
      <w:r>
        <w:rPr>
          <w:rFonts w:ascii="SimSun" w:hAnsi="SimSun" w:eastAsia="SimSun" w:cs="SimSun"/>
          <w:b/>
          <w:i/>
          <w:color w:val="000000"/>
          <w:sz w:val="21"/>
          <w:u w:val="single"/>
        </w:rPr>
        <w:t xml:space="preserve">（提供相关证明材料复印件加盖投标人公章）。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3、质保期：免费质保期不少于3年</w:t>
      </w:r>
      <w:r>
        <w:rPr>
          <w:rFonts w:ascii="SimSun" w:hAnsi="SimSun" w:eastAsia="SimSun" w:cs="SimSun"/>
          <w:i/>
          <w:color w:val="000000"/>
          <w:sz w:val="21"/>
          <w:u w:val="single"/>
        </w:rPr>
        <w:t xml:space="preserve">（</w:t>
      </w:r>
      <w:r>
        <w:rPr>
          <w:rFonts w:ascii="SimSun" w:hAnsi="SimSun" w:eastAsia="SimSun" w:cs="SimSun"/>
          <w:b/>
          <w:i/>
          <w:color w:val="000000"/>
          <w:sz w:val="21"/>
          <w:u w:val="single"/>
        </w:rPr>
        <w:t xml:space="preserve">自采购人验收合格之日起计算，提供承诺书加盖投标人公章，格式自拟</w:t>
      </w:r>
      <w:r>
        <w:rPr>
          <w:rFonts w:ascii="SimSun" w:hAnsi="SimSun" w:eastAsia="SimSun" w:cs="SimSun"/>
          <w:i/>
          <w:color w:val="000000"/>
          <w:sz w:val="21"/>
          <w:u w:val="single"/>
        </w:rPr>
        <w:t xml:space="preserve">）</w:t>
      </w:r>
      <w:r>
        <w:rPr>
          <w:rFonts w:ascii="SimSun" w:hAnsi="SimSun" w:eastAsia="SimSun" w:cs="SimSun"/>
          <w:b/>
          <w:i/>
          <w:color w:val="000000"/>
          <w:sz w:val="21"/>
          <w:u w:val="single"/>
        </w:rPr>
        <w:t xml:space="preserve">。</w:t>
      </w:r>
      <w:r>
        <w:rPr>
          <w:rFonts w:ascii="SimSun" w:hAnsi="SimSun" w:eastAsia="SimSun" w:cs="SimSun"/>
          <w:i/>
          <w:color w:val="000000"/>
          <w:sz w:val="21"/>
          <w:u w:val="single"/>
        </w:rPr>
        <w:t xml:space="preserve">供应商提供现场免费安装、调试设备，进行操作试验，直至运行正常。操作软件终身免费升级，分析软件终身免费使用。设备主体、显示屏、加热器、风机、污物传递桶等主要部件在质保范围内免费更换。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4、售后服务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4.1中标人承诺，产品出现问题、故障等时应于采购人提出报修后的4小时内作出应答，进行电话指导、网上诊断协助排除故障。质保期内24小时内指派具备专业资格的合格的中标方维修人员按约前往采购人指定的现场提供上门维修或相关售后服务。维修过程中所需零配件中标人在接到通知后最长不超过3天必须送达采购人指定地点。（</w:t>
      </w:r>
      <w:r>
        <w:rPr>
          <w:rFonts w:ascii="SimSun" w:hAnsi="SimSun" w:eastAsia="SimSun" w:cs="SimSun"/>
          <w:b/>
          <w:i/>
          <w:color w:val="000000"/>
          <w:sz w:val="21"/>
          <w:u w:val="single"/>
        </w:rPr>
        <w:t xml:space="preserve">提供承诺书加盖投标人公章，格式自拟</w:t>
      </w:r>
      <w:r>
        <w:rPr>
          <w:rFonts w:ascii="SimSun" w:hAnsi="SimSun" w:eastAsia="SimSun" w:cs="SimSun"/>
          <w:i/>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4.2供应商应在投标文件中提供消耗品或易耗品价格。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4.3供应商应在投标文件中应详细说明收费标准，包括保修价格、设备配件价格，维修服务费。提供维修点的分布情况。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4.4供应商应在投标文件中提供售后服务方案，如售后服务机构备品备件储备，售后服务机构技术服务人员情况。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5、培训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5.1</w:t>
      </w:r>
      <w:r>
        <w:rPr>
          <w:rFonts w:ascii="SimSun" w:hAnsi="SimSun" w:eastAsia="SimSun" w:cs="SimSun"/>
          <w:i/>
          <w:color w:val="000000"/>
          <w:sz w:val="21"/>
          <w:u w:val="single"/>
        </w:rPr>
        <w:t xml:space="preserve">中标人应承诺安排原厂工程师或其认可的应用专家为采购人至少40名仪器操作人员提供免费培训服务。在仪器安装现场开展操作及维护培训，内容涵盖设备基本结构、性能、主要部件构造及处理、日常使用操作、保养管理、常见故障与紧急情况处理，以及仪器基本原理、基础理论课程。通过培训，确保采购人技术人员掌握操作和初步维修技术，能熟练调整参数并及时处理故障。同时，中标人指派专人负责与采购人联系售后服务事宜，在集中培训后，若采购人有技术问题，中标人将在24小时内提供详细技术方案并予以解决。</w:t>
      </w:r>
      <w:r>
        <w:rPr>
          <w:rFonts w:ascii="SimSun" w:hAnsi="SimSun" w:eastAsia="SimSun" w:cs="SimSun"/>
          <w:b/>
          <w:i/>
          <w:color w:val="000000"/>
          <w:sz w:val="21"/>
          <w:u w:val="single"/>
        </w:rPr>
        <w:t xml:space="preserve">（提供承诺书加盖投标人公章，格式自拟）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5.2供应商应在投标文件的培训方案中详细说明。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6、人员配置</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提供人员配置表，明确项目负责人及主要相关技术人员，具有类似项目从业经验，中标后能赴现场进行商谈，并在细节方面给予采购人专业的沟通指导。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五、其他说明及要求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1、投标人为确保所投产品质保期结束后正常使用、维护，需向采购人提供的备品备件及专用工具。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应包括招标文件所确定招标范围全部内容的价格体现，应包括全部货物、辅助材料、安装、调试、人工、机械、运输、仓储、保险、运费、各种税费、保险、劳保及质保期间等一切费用。请各投标单位认真考虑其各种风险，除合同另有规定之外，采购人不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必须按照招标文件要求对产品的各个参数指标作出实质性应答，任何偏差都必须列入偏离表中。中标后，中标人在合同谈判中提出的任何偏差都不得超过此偏差表中明确提供产品的品牌、型号、规格和外形、尺寸、安装及一些必须说明的技术参数，同时明确生产厂家、型号规格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装队伍必须加强管理，遵守现场的一切规章制度，文明施工，注意安全；安装期间，中标人必须服从采购人管理，且出现的一切安全事故均由中标人自行承担。货物进场须经采购人验货后才能安装；中标人安装人员、施工机械或在运输装卸途中对其他产品及邻近管线等造成损坏，应由中标人负责修复及承担一切费用；无论安装期间或退换过程中，中标人负责及时清理垃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6、中标人在接到采购人通知后，需根据采购人要求及现场具体情况，拟定产品进场方案报采购人，征得采购人同意后方可安排产品进场。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人所提供的产品应符合招标项目的技术要求，如出现技术参数等不符合招标文件及投标文件的质量问题，采购人有权要求中标人免费更换，如供应商未在20日内完成更换且给采购人造成影响的，则采购人有权解除合同并要求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8、在接到采购人报修后，中标人需在规定时间内响应并到达现场解决故障，若因为中标人维修不及时，给采购人造成影响的，采购人有权追究其法律责任。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9、所有设备和部件必须是全新的，未曾使用过的。投标人应对本次采购的所有货物进行响应，部分响应将被拒绝（部分响应是指未对本次采购的所有货物进行响应并报价）。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10、投标设备型号若为再制造产品（翻新机）型号，其投标将被拒绝</w:t>
      </w:r>
      <w:r>
        <w:rPr>
          <w:rFonts w:ascii="SimSun" w:hAnsi="SimSun" w:eastAsia="SimSun" w:cs="SimSun"/>
          <w:b/>
          <w:i/>
          <w:color w:val="000000"/>
          <w:sz w:val="21"/>
          <w:u w:val="single"/>
        </w:rPr>
        <w:t xml:space="preserve">(提供承诺书加盖投标人公章，格式自拟）。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六、节能产品要求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http://www.ccgp.gov.cn/zcfg/mof/201904/t20190403_11849836.htm）查询，</w:t>
      </w:r>
      <w:r>
        <w:rPr>
          <w:rFonts w:ascii="SimSun" w:hAnsi="SimSun" w:eastAsia="SimSun" w:cs="SimSun"/>
          <w:i/>
          <w:color w:val="000000"/>
          <w:sz w:val="21"/>
          <w:u w:val="single"/>
        </w:rPr>
        <w:t xml:space="preserve">并在投标文件内提供由国家确定的认证机构出具的、处于有效期之内的节能产品认证证书复印件加盖投标人公章，否则视为无效投标。（本项目涉及强制采购范围内产品有：无）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pStyle w:val="661"/>
        <w:ind w:left="0" w:right="0" w:firstLine="1807"/>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一、评标方法</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本次采用综合评分法，评标结果按评审后得分由高到低顺序排列。得分相同的，按投标报价由低到高顺序排列。得分且投标报价相同的并列。投标文件满足招标文件全部实质性要求，</w:t>
      </w:r>
      <w:r>
        <w:rPr>
          <w:rFonts w:ascii="SimSun" w:hAnsi="SimSun" w:eastAsia="SimSun" w:cs="SimSun"/>
          <w:color w:val="000000"/>
          <w:sz w:val="21"/>
        </w:rPr>
        <w:t xml:space="preserve">且按照评审因素的量化指标评审得分由高到低推荐三名中标候选人。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二、政府采购政策功能落实</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（1）供应商需按照采购文件的要求提供相应的《中小企业声明函》。</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（2）企业标准请参照《关于印发中小企业划型标准规定的通知》（工信部联企业〔2011〕300号）文件规定自行填写。</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2、残疾人福利单位</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3、监狱和戒毒企业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315" w:right="0" w:firstLine="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5"/>
        <w:gridCol w:w="720"/>
        <w:gridCol w:w="750"/>
        <w:gridCol w:w="6897"/>
      </w:tblGrid>
      <w:tr>
        <w:trPr>
          <w:trHeight w:val="85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评审细则</w:t>
            </w:r>
            <w:r/>
          </w:p>
        </w:tc>
      </w:tr>
      <w:tr>
        <w:trPr>
          <w:trHeight w:val="8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价格分采用低价优先法计算，即满足招标文件要求且报价最低的供应商报价为评标基准价，其价格分为满分30分，其他供应商的价格分统一按照以下公式计算：投标报价得分=(最低报价/该投标单位的投标报价)*30。</w:t>
            </w:r>
            <w:r/>
          </w:p>
          <w:p>
            <w:pPr>
              <w:ind w:left="0" w:right="0" w:firstLine="422"/>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说明：（1）此处投标报价指经过报价修正，及因落实政府采购政策进行价格调整后的报价（计算时，按四舍五入法保留两位小数）；</w:t>
            </w:r>
            <w:r/>
          </w:p>
          <w:p>
            <w:pPr>
              <w:ind w:left="0" w:right="0" w:firstLine="422"/>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标委员会认为投标单位的报价明显低于其他通过符合性审查的投标单位的报价，有可能影响产品质量或者不能诚信履约的，要求其在评标现场合理的时间内提供书面说明，必要时提交相关证明材料；投标单位不能证明其报价合理性的，将其作为无效投标处理。</w:t>
            </w:r>
            <w:r/>
          </w:p>
        </w:tc>
      </w:tr>
      <w:tr>
        <w:trPr>
          <w:trHeight w:val="48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技术性能指标响应程度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投标人所投产品技术参数全部满足招标要求的得满分35分；在此基础上，招标文件中标注“★”的内容为重要参数，每有一项负偏离扣2分，其他内容为一般性参数，每有一项负偏离扣1分，扣完为止。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技术参数需提供相关证明材料，证明材料为生产厂家公开发布的能直接反应该产品技术参数的证明资料(包括但不限于公开发行的产品彩页或产品说明书或第三方检测机构的检测报告等)或按照招标文件要求提供的证明材料。未提供有效证明材料或证明材料中内容与所填报指标不一致的，该指标按负偏离处理。</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方案，包括对场地环境的了解、人员的安排、时间进度的规划，对设备的调试进度安排，调试的步骤、措施，问题的解决方案等，方案考虑充分措施有效得10分，方案合理措施一般得6分，方案较差得2分，无方案得0分。</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培训方案，包括但不限于培训对象、课时安排、师资力量安排等，方案考虑充分安排有效得5分，方案合理安排一般得3分，方案较差得1分，无方案得0分。</w:t>
            </w:r>
            <w:r/>
          </w:p>
        </w:tc>
      </w:tr>
      <w:tr>
        <w:trPr>
          <w:trHeight w:val="2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1、投标人或所投产品制造商具有有效的质量管理体系认证、环境管理体系认证、职业健康安全管理体系认证、安全生产标准化证书，每有一个，得0.5分，最高得2分。</w:t>
            </w:r>
            <w:r>
              <w:rPr>
                <w:rFonts w:ascii="SimSun" w:hAnsi="SimSun" w:eastAsia="SimSun" w:cs="SimSun"/>
                <w:b/>
                <w:color w:val="000000"/>
                <w:sz w:val="21"/>
              </w:rPr>
              <w:t xml:space="preserve">（提供证书复印件并加盖投标人公章）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2、投标人或所投产品制造商具有与本建设项目相关设施的专利技术，每提供1个专利证书得1分，最高2分，未提供不得分。</w:t>
            </w:r>
            <w:r>
              <w:rPr>
                <w:rFonts w:ascii="SimSun" w:hAnsi="SimSun" w:eastAsia="SimSun" w:cs="SimSun"/>
                <w:b/>
                <w:color w:val="000000"/>
                <w:sz w:val="21"/>
              </w:rPr>
              <w:t xml:space="preserve">（提供证书复印件并加盖投标人公章）</w:t>
            </w:r>
            <w:r/>
          </w:p>
        </w:tc>
      </w:tr>
      <w:tr>
        <w:trPr>
          <w:trHeight w:val="4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1、售后服务：针对本项目提供的售后服务方案包含但不限于：(1) 响应机制；(2）售后服务流程；（3）售后服务保障措施；（4）应急保障措施；（5）售后服务机构技术服务人员情况。以上五项内容每提供一小项内容适用于项目且无缺失的方案。方案科学合理，内容完整可行性强得8分；方案较合理性、内容较完整、可行性较强得5分；方案的合理性、内容完整性、技术可行性一般得2分；方案的合理性、内容完整性、技术可行性很差不得分。</w:t>
            </w:r>
            <w:r/>
          </w:p>
        </w:tc>
      </w:tr>
      <w:tr>
        <w:trPr>
          <w:trHeight w:val="79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1、免费质保期在满足采购文件（三年）的基础上每增加1年加1分，最多加2分</w:t>
            </w:r>
            <w:r>
              <w:rPr>
                <w:rFonts w:ascii="SimSun" w:hAnsi="SimSun" w:eastAsia="SimSun" w:cs="SimSun"/>
                <w:b/>
                <w:color w:val="000000"/>
                <w:sz w:val="21"/>
              </w:rPr>
              <w:t xml:space="preserve">（提供承诺函原件加盖投标人公章，格式自拟）</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1、投标人自2021年1月1日至今（以合同签订时间为准），具有类似业绩，每提供一份得2分，满分6分。（</w:t>
            </w:r>
            <w:r>
              <w:rPr>
                <w:rFonts w:ascii="SimSun" w:hAnsi="SimSun" w:eastAsia="SimSun" w:cs="SimSun"/>
                <w:b/>
                <w:color w:val="000000"/>
                <w:sz w:val="21"/>
              </w:rPr>
              <w:t xml:space="preserve">需同时提供合同、验收合格相关证明材料，以上资料需提供复印件并加盖投标人公章</w:t>
            </w:r>
            <w:r>
              <w:rPr>
                <w:rFonts w:ascii="SimSun" w:hAnsi="SimSun" w:eastAsia="SimSun" w:cs="SimSun"/>
                <w:color w:val="000000"/>
                <w:sz w:val="21"/>
              </w:rPr>
              <w:t xml:space="preserve">）</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61"/>
        <w:ind w:left="0" w:right="0" w:firstLine="2168"/>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一、资格性和符合性检查响应对照表</w:t>
        <w:br/>
        <w:t xml:space="preserve">二、资信证明文件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三、特定资格要求的证明文件（如果本项目设置特定资格要求，则需要提供）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四、企业报价折扣证明（中小企业声明函、残疾人福利性单位声明函）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五、投标分项报价表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六、技术要求响应及偏离表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七、商务要求响应及偏离表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八、开标一览表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九、主要标的信息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一、资格性和符合性检查响应对照表</w:t>
      </w:r>
      <w:r/>
    </w:p>
    <w:p>
      <w:pPr>
        <w:ind w:left="0" w:right="210" w:firstLine="306"/>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投标人全称（加盖公章）：</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3486"/>
        <w:gridCol w:w="2141"/>
        <w:gridCol w:w="2143"/>
      </w:tblGrid>
      <w:tr>
        <w:trPr>
          <w:trHeight w:val="11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center"/>
              <w:spacing w:before="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w:t>
            </w:r>
            <w:r/>
          </w:p>
          <w:p>
            <w:pPr>
              <w:ind w:left="0" w:right="0" w:firstLine="0"/>
              <w:jc w:val="center"/>
              <w:spacing w:before="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页码位置</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b/>
                <w:i/>
                <w:color w:val="000000"/>
                <w:sz w:val="21"/>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both"/>
              <w:spacing w:before="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both"/>
              <w:spacing w:before="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both"/>
              <w:spacing w:before="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both"/>
              <w:spacing w:before="0" w:after="20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both"/>
              <w:spacing w:before="0" w:after="20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6" w:type="dxa"/>
            <w:vAlign w:val="center"/>
            <w:textDirection w:val="lrTb"/>
            <w:noWrap w:val="false"/>
          </w:tcPr>
          <w:p>
            <w:pPr>
              <w:ind w:left="0" w:right="0" w:firstLine="0"/>
              <w:jc w:val="center"/>
              <w:spacing w:before="0" w:after="2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招标文件中的其他实质性要求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0"/>
        </w:numPr>
        <w:jc w:val="both"/>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资信证明文件要求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（一）符合相关法律法规规定的条件：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投标函</w:t>
      </w:r>
      <w:r>
        <w:rPr>
          <w:rFonts w:ascii="Calibri" w:hAnsi="Calibri" w:eastAsia="Calibri" w:cs="Calibri"/>
          <w:color w:val="000000"/>
          <w:sz w:val="21"/>
        </w:rPr>
        <w:t xml:space="preserve">(</w:t>
      </w:r>
      <w:r>
        <w:rPr>
          <w:rFonts w:ascii="SimSun" w:hAnsi="SimSun" w:eastAsia="SimSun" w:cs="SimSun"/>
          <w:color w:val="000000"/>
          <w:sz w:val="21"/>
        </w:rPr>
        <w:t xml:space="preserve">原件</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资格声明</w:t>
      </w:r>
      <w:r>
        <w:rPr>
          <w:rFonts w:ascii="Calibri" w:hAnsi="Calibri" w:eastAsia="Calibri" w:cs="Calibri"/>
          <w:color w:val="000000"/>
          <w:sz w:val="21"/>
        </w:rPr>
        <w:t xml:space="preserve">(</w:t>
      </w:r>
      <w:r>
        <w:rPr>
          <w:rFonts w:ascii="SimSun" w:hAnsi="SimSun" w:eastAsia="SimSun" w:cs="SimSun"/>
          <w:color w:val="000000"/>
          <w:sz w:val="21"/>
        </w:rPr>
        <w:t xml:space="preserve">原件</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若法定代表人参加投标的，须提供本人身份证复印件</w:t>
      </w:r>
      <w:r>
        <w:rPr>
          <w:rFonts w:ascii="Calibri" w:hAnsi="Calibri" w:eastAsia="Calibri" w:cs="Calibri"/>
          <w:color w:val="000000"/>
          <w:sz w:val="21"/>
        </w:rPr>
        <w:t xml:space="preserve">(</w:t>
      </w:r>
      <w:r>
        <w:rPr>
          <w:rFonts w:ascii="SimSun" w:hAnsi="SimSun" w:eastAsia="SimSun" w:cs="SimSun"/>
          <w:color w:val="000000"/>
          <w:sz w:val="21"/>
        </w:rPr>
        <w:t xml:space="preserve">原件备查</w:t>
      </w:r>
      <w:r>
        <w:rPr>
          <w:rFonts w:ascii="Calibri" w:hAnsi="Calibri" w:eastAsia="Calibri" w:cs="Calibri"/>
          <w:color w:val="000000"/>
          <w:sz w:val="21"/>
        </w:rPr>
        <w:t xml:space="preserve">)</w:t>
      </w:r>
      <w:r>
        <w:rPr>
          <w:rFonts w:ascii="SimSun" w:hAnsi="SimSun" w:eastAsia="SimSun" w:cs="SimSun"/>
          <w:color w:val="000000"/>
          <w:sz w:val="21"/>
        </w:rPr>
        <w:t xml:space="preserve">；若授权代表参加的，须提供《法人授权书》原件和授权代表身份证复印件（原件备查）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营业执照副本或民办非企业单位登记证书或事业单位法人证书等相关身份证明材料</w:t>
      </w:r>
      <w:r>
        <w:rPr>
          <w:rFonts w:ascii="Calibri" w:hAnsi="Calibri" w:eastAsia="Calibri" w:cs="Calibri"/>
          <w:color w:val="000000"/>
          <w:sz w:val="21"/>
        </w:rPr>
        <w:t xml:space="preserve">(</w:t>
      </w:r>
      <w:r>
        <w:rPr>
          <w:rFonts w:ascii="SimSun" w:hAnsi="SimSun" w:eastAsia="SimSun" w:cs="SimSun"/>
          <w:color w:val="000000"/>
          <w:sz w:val="21"/>
        </w:rPr>
        <w:t xml:space="preserve">复印件加盖投标人公章</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依法缴纳职工社会保障资金的证明材料</w:t>
      </w:r>
      <w:r>
        <w:rPr>
          <w:rFonts w:ascii="Calibri" w:hAnsi="Calibri" w:eastAsia="Calibri" w:cs="Calibri"/>
          <w:color w:val="000000"/>
          <w:sz w:val="21"/>
        </w:rPr>
        <w:t xml:space="preserve">(</w:t>
      </w:r>
      <w:r>
        <w:rPr>
          <w:rFonts w:ascii="SimSun" w:hAnsi="SimSun" w:eastAsia="SimSun" w:cs="SimSun"/>
          <w:color w:val="000000"/>
          <w:sz w:val="21"/>
        </w:rPr>
        <w:t xml:space="preserve">复印件加盖投标人公章</w:t>
      </w:r>
      <w:r>
        <w:rPr>
          <w:rFonts w:ascii="Calibri" w:hAnsi="Calibri" w:eastAsia="Calibri" w:cs="Calibri"/>
          <w:color w:val="000000"/>
          <w:sz w:val="21"/>
        </w:rPr>
        <w:t xml:space="preserve">)(</w:t>
      </w:r>
      <w:r>
        <w:rPr>
          <w:rFonts w:ascii="SimSun" w:hAnsi="SimSun" w:eastAsia="SimSun" w:cs="SimSun"/>
          <w:color w:val="000000"/>
          <w:sz w:val="21"/>
        </w:rPr>
        <w:t xml:space="preserve">税务、银行或社会保险基金管理部门出具的近一年内任意一份缴纳职工社会保障资金的缴款凭证或缴款证明</w:t>
      </w:r>
      <w:r>
        <w:rPr>
          <w:rFonts w:ascii="Calibri" w:hAnsi="Calibri" w:eastAsia="Calibri" w:cs="Calibri"/>
          <w:color w:val="000000"/>
          <w:sz w:val="21"/>
        </w:rPr>
        <w:t xml:space="preserve">)</w:t>
      </w:r>
      <w:r>
        <w:rPr>
          <w:rFonts w:ascii="SimSun" w:hAnsi="SimSun" w:eastAsia="SimSun" w:cs="SimSun"/>
          <w:color w:val="000000"/>
          <w:sz w:val="21"/>
        </w:rPr>
        <w:t xml:space="preserve">（投标人依法享受缓缴、免缴的提供证明材料）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投标人近一年内任意一份依法纳税的缴款凭证</w:t>
      </w:r>
      <w:r>
        <w:rPr>
          <w:rFonts w:ascii="Calibri" w:hAnsi="Calibri" w:eastAsia="Calibri" w:cs="Calibri"/>
          <w:color w:val="000000"/>
          <w:sz w:val="21"/>
        </w:rPr>
        <w:t xml:space="preserve">(</w:t>
      </w:r>
      <w:r>
        <w:rPr>
          <w:rFonts w:ascii="SimSun" w:hAnsi="SimSun" w:eastAsia="SimSun" w:cs="SimSun"/>
          <w:color w:val="000000"/>
          <w:sz w:val="21"/>
        </w:rPr>
        <w:t xml:space="preserve">复印件加盖投标人公章</w:t>
      </w:r>
      <w:r>
        <w:rPr>
          <w:rFonts w:ascii="Calibri" w:hAnsi="Calibri" w:eastAsia="Calibri" w:cs="Calibri"/>
          <w:color w:val="000000"/>
          <w:sz w:val="21"/>
        </w:rPr>
        <w:t xml:space="preserve">)</w:t>
      </w:r>
      <w:r>
        <w:rPr>
          <w:rFonts w:ascii="SimSun" w:hAnsi="SimSun" w:eastAsia="SimSun" w:cs="SimSun"/>
          <w:color w:val="000000"/>
          <w:sz w:val="21"/>
        </w:rPr>
        <w:t xml:space="preserve">（投标人依法享受缓缴、免缴的提供证明材料）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上一年度（</w:t>
      </w:r>
      <w:r>
        <w:rPr>
          <w:rFonts w:ascii="Calibri" w:hAnsi="Calibri" w:eastAsia="Calibri" w:cs="Calibri"/>
          <w:color w:val="000000"/>
          <w:sz w:val="21"/>
        </w:rPr>
        <w:t xml:space="preserve">2023</w:t>
      </w:r>
      <w:r>
        <w:rPr>
          <w:rFonts w:ascii="SimSun" w:hAnsi="SimSun" w:eastAsia="SimSun" w:cs="SimSun"/>
          <w:color w:val="000000"/>
          <w:sz w:val="21"/>
        </w:rPr>
        <w:t xml:space="preserve">或</w:t>
      </w:r>
      <w:r>
        <w:rPr>
          <w:rFonts w:ascii="Calibri" w:hAnsi="Calibri" w:eastAsia="Calibri" w:cs="Calibri"/>
          <w:color w:val="000000"/>
          <w:sz w:val="21"/>
        </w:rPr>
        <w:t xml:space="preserve">2024</w:t>
      </w:r>
      <w:r>
        <w:rPr>
          <w:rFonts w:ascii="SimSun" w:hAnsi="SimSun" w:eastAsia="SimSun" w:cs="SimSun"/>
          <w:color w:val="000000"/>
          <w:sz w:val="21"/>
        </w:rPr>
        <w:t xml:space="preserve">）的财务报告情况（成立不满一年不需提供，复印件加盖投标人公章</w:t>
      </w:r>
      <w:r>
        <w:rPr>
          <w:rFonts w:ascii="Calibri" w:hAnsi="Calibri" w:eastAsia="Calibri" w:cs="Calibri"/>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投标人参加本次政府采购活动前</w:t>
      </w:r>
      <w:r>
        <w:rPr>
          <w:rFonts w:ascii="Calibri" w:hAnsi="Calibri" w:eastAsia="Calibri" w:cs="Calibri"/>
          <w:color w:val="000000"/>
          <w:sz w:val="21"/>
        </w:rPr>
        <w:t xml:space="preserve">3</w:t>
      </w:r>
      <w:r>
        <w:rPr>
          <w:rFonts w:ascii="SimSun" w:hAnsi="SimSun" w:eastAsia="SimSun" w:cs="SimSun"/>
          <w:color w:val="000000"/>
          <w:sz w:val="21"/>
        </w:rPr>
        <w:t xml:space="preserve">年内在经营活动中没有重大违法记录的书面声明（原件）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供应商信用承诺书（原件）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注：享受国家政策缓缴或减免规费税金的，可提供政策支持文件替代相关证明材料。如参加本项目的供应商为新成立公司（成立时间距开标时间不到</w:t>
      </w:r>
      <w:r>
        <w:rPr>
          <w:rFonts w:ascii="Calibri" w:hAnsi="Calibri" w:eastAsia="Calibri" w:cs="Calibri"/>
          <w:b/>
          <w:color w:val="000000"/>
          <w:sz w:val="21"/>
        </w:rPr>
        <w:t xml:space="preserve">1</w:t>
      </w:r>
      <w:r>
        <w:rPr>
          <w:rFonts w:ascii="SimSun" w:hAnsi="SimSun" w:eastAsia="SimSun" w:cs="SimSun"/>
          <w:b/>
          <w:color w:val="000000"/>
          <w:sz w:val="21"/>
        </w:rPr>
        <w:t xml:space="preserve">年）、个体工商户、自然人或事业单位等非企业法人，则无需提供上述</w:t>
      </w:r>
      <w:r>
        <w:rPr>
          <w:rFonts w:ascii="Calibri" w:hAnsi="Calibri" w:eastAsia="Calibri" w:cs="Calibri"/>
          <w:b/>
          <w:color w:val="000000"/>
          <w:sz w:val="21"/>
        </w:rPr>
        <w:t xml:space="preserve">5</w:t>
      </w:r>
      <w:r>
        <w:rPr>
          <w:rFonts w:ascii="SimSun" w:hAnsi="SimSun" w:eastAsia="SimSun" w:cs="SimSun"/>
          <w:b/>
          <w:color w:val="000000"/>
          <w:sz w:val="21"/>
        </w:rPr>
        <w:t xml:space="preserve">、</w:t>
      </w:r>
      <w:r>
        <w:rPr>
          <w:rFonts w:ascii="Calibri" w:hAnsi="Calibri" w:eastAsia="Calibri" w:cs="Calibri"/>
          <w:b/>
          <w:color w:val="000000"/>
          <w:sz w:val="21"/>
        </w:rPr>
        <w:t xml:space="preserve">6</w:t>
      </w:r>
      <w:r>
        <w:rPr>
          <w:rFonts w:ascii="SimSun" w:hAnsi="SimSun" w:eastAsia="SimSun" w:cs="SimSun"/>
          <w:b/>
          <w:color w:val="000000"/>
          <w:sz w:val="21"/>
        </w:rPr>
        <w:t xml:space="preserve">、</w:t>
      </w:r>
      <w:r>
        <w:rPr>
          <w:rFonts w:ascii="Calibri" w:hAnsi="Calibri" w:eastAsia="Calibri" w:cs="Calibri"/>
          <w:b/>
          <w:color w:val="000000"/>
          <w:sz w:val="21"/>
        </w:rPr>
        <w:t xml:space="preserve">7</w:t>
      </w:r>
      <w:r>
        <w:rPr>
          <w:rFonts w:ascii="SimSun" w:hAnsi="SimSun" w:eastAsia="SimSun" w:cs="SimSun"/>
          <w:b/>
          <w:color w:val="000000"/>
          <w:sz w:val="21"/>
        </w:rPr>
        <w:t xml:space="preserve">三项。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b/>
          <w:i/>
          <w:color w:val="000000"/>
          <w:sz w:val="21"/>
          <w:u w:val="single"/>
        </w:rPr>
        <w:t xml:space="preserve">本项目专门面向中小企业采购，供应商须提供《中小企业声明函》。</w:t>
      </w:r>
      <w:r/>
    </w:p>
    <w:p>
      <w:pPr>
        <w:pStyle w:val="663"/>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rPr>
          <w:rFonts w:ascii="SimSun" w:hAnsi="SimSun" w:eastAsia="SimSun" w:cs="SimSun"/>
          <w:b/>
          <w:color w:val="000000"/>
          <w:sz w:val="21"/>
        </w:rPr>
        <w:t xml:space="preserve">、投标函格式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致：江苏万达工程造价事务所有限公司</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号招标文件，正式授权下述签字人</w:t>
      </w:r>
      <w:r>
        <w:rPr>
          <w:rFonts w:ascii="Times New Roman" w:hAnsi="Times New Roman" w:eastAsia="Times New Roman" w:cs="Times New Roman"/>
          <w:color w:val="000000"/>
          <w:sz w:val="21"/>
        </w:rPr>
        <w:t xml:space="preserve">______________(</w:t>
      </w:r>
      <w:r>
        <w:rPr>
          <w:rFonts w:ascii="SimSun" w:hAnsi="SimSun" w:eastAsia="SimSun" w:cs="SimSun"/>
          <w:color w:val="000000"/>
          <w:sz w:val="21"/>
        </w:rPr>
        <w:t xml:space="preserve">姓名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代表我方</w:t>
      </w:r>
      <w:r>
        <w:rPr>
          <w:rFonts w:ascii="Times New Roman" w:hAnsi="Times New Roman" w:eastAsia="Times New Roman" w:cs="Times New Roman"/>
          <w:color w:val="000000"/>
          <w:sz w:val="21"/>
        </w:rPr>
        <w:t xml:space="preserve">______________</w:t>
      </w:r>
      <w:r>
        <w:rPr>
          <w:rFonts w:ascii="SimSun" w:hAnsi="SimSun" w:eastAsia="SimSun" w:cs="SimSun"/>
          <w:color w:val="000000"/>
          <w:sz w:val="21"/>
        </w:rPr>
        <w:t xml:space="preserve">（投标人的名称），全权处理本次项目投标的有关事宜。</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w:t>
      </w:r>
      <w:r>
        <w:rPr>
          <w:rFonts w:ascii="Times New Roman" w:hAnsi="Times New Roman" w:eastAsia="Times New Roman" w:cs="Times New Roman"/>
          <w:color w:val="000000"/>
          <w:sz w:val="21"/>
        </w:rPr>
        <w:t xml:space="preserve">__________</w:t>
      </w:r>
      <w:r>
        <w:rPr>
          <w:rFonts w:ascii="SimSun" w:hAnsi="SimSun" w:eastAsia="SimSun" w:cs="SimSun"/>
          <w:color w:val="000000"/>
          <w:sz w:val="21"/>
        </w:rPr>
        <w:t xml:space="preserve">签字人兹宣布同意如下：</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按照招标文件规定的各项要求，向买方提供所需货物与服务。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我们完全理解贵方不一定将合同授予最低报价的投标人。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我们已详细审核全部招标文件及其有效补充文件，我们知道必须放弃提出含糊不清或误解问题的权利。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如果在开标后规定的投标有效期内撤回投标或中标后拒绝签订合同，我们的投标保证金（如有）可不予退还。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同意向贵方提供贵方可能另外要求的与投标有关的任何证据或资料，并保证我方已提供和将要提供的文件是真实的、准确的。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一旦我方中标，我方将根据招标文件的规定，严格履行合同的责任和义务，并保证在招标文件规定的时间完成项目，交付买方验收、使用。</w:t>
      </w:r>
      <w:r/>
    </w:p>
    <w:p>
      <w:pPr>
        <w:ind w:left="425" w:right="0" w:firstLine="105"/>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与本投标有关的正式通讯地址为：</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编：</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rPr>
        <w:t xml:space="preserve">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rPr>
        <w:t xml:space="preserve">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户：</w:t>
      </w:r>
      <w:r>
        <w:rPr>
          <w:rFonts w:ascii="Times New Roman" w:hAnsi="Times New Roman" w:eastAsia="Times New Roman" w:cs="Times New Roman"/>
          <w:color w:val="000000"/>
          <w:sz w:val="21"/>
        </w:rPr>
        <w:t xml:space="preserve">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号：</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Times New Roman" w:hAnsi="Times New Roman" w:eastAsia="Times New Roman" w:cs="Times New Roman"/>
          <w:color w:val="000000"/>
          <w:sz w:val="21"/>
        </w:rPr>
        <w:t xml:space="preserve">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rPr>
        <w:t xml:space="preserve">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2、资 格 声 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1、名称及其他情况：</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（1）投标人名称：</w:t>
      </w:r>
      <w:r>
        <w:rPr>
          <w:rFonts w:ascii="SimSun" w:hAnsi="SimSun" w:eastAsia="SimSun" w:cs="SimSun"/>
          <w:color w:val="000000"/>
          <w:sz w:val="21"/>
          <w:u w:val="single"/>
        </w:rPr>
        <w:t xml:space="preserve">                            </w:t>
      </w:r>
      <w:r/>
    </w:p>
    <w:p>
      <w:pPr>
        <w:ind w:left="0" w:right="0" w:firstLine="315"/>
        <w:jc w:val="both"/>
        <w:spacing w:before="0" w:after="0" w:line="85" w:lineRule="atLeast"/>
        <w:tabs>
          <w:tab w:val="left" w:pos="45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（2）地址：</w:t>
      </w:r>
      <w:r>
        <w:rPr>
          <w:rFonts w:ascii="SimSun" w:hAnsi="SimSun" w:eastAsia="SimSun" w:cs="SimSun"/>
          <w:color w:val="000000"/>
          <w:sz w:val="21"/>
          <w:u w:val="single"/>
        </w:rPr>
        <w:t xml:space="preserve">                                  </w:t>
      </w:r>
      <w:r>
        <w:rPr>
          <w:rFonts w:ascii="SimSun" w:hAnsi="SimSun" w:eastAsia="SimSun" w:cs="SimSun"/>
          <w:color w:val="000000"/>
          <w:sz w:val="21"/>
        </w:rPr>
        <w:tab/>
        <w:t xml:space="preserve">邮编：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85" w:lineRule="atLeast"/>
        <w:tabs>
          <w:tab w:val="left" w:pos="600"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（3）成立和/或注册日期：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（4）法定代表人：</w:t>
      </w:r>
      <w:r>
        <w:rPr>
          <w:rFonts w:ascii="SimSun" w:hAnsi="SimSun" w:eastAsia="SimSun" w:cs="SimSun"/>
          <w:color w:val="000000"/>
          <w:sz w:val="21"/>
          <w:u w:val="single"/>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（5）实收资本：</w:t>
      </w:r>
      <w:r>
        <w:rPr>
          <w:rFonts w:ascii="SimSun" w:hAnsi="SimSun" w:eastAsia="SimSun" w:cs="SimSun"/>
          <w:color w:val="000000"/>
          <w:sz w:val="21"/>
          <w:u w:val="single"/>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（6）近期资产负债表：（到</w:t>
      </w:r>
      <w:r>
        <w:rPr>
          <w:rFonts w:ascii="SimSun" w:hAnsi="SimSun" w:eastAsia="SimSun" w:cs="SimSun"/>
          <w:color w:val="000000"/>
          <w:sz w:val="21"/>
          <w:u w:val="single"/>
        </w:rPr>
        <w:t xml:space="preserve">20  年12月31日</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&lt;1&gt; 固定资产：</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&lt;2&gt; 流动资金：</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&lt;3&gt; 长期负债：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&lt;4&gt; 短期负债：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2、近三年同类投标货物和服务的主要销售业绩（无有效联系人、联系方式和合同复印件的视为未填报本项目）：</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5"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3、本次招标要求的其他资格文件以及投标人认为需要声明的其他情况：</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兹证明上述声明是真实的、正确的，并提供了全部能提供的资料和数据，我们同意遵照贵方要求出示有关证明文件，如有虚假，自愿丧失中标资格，一年内退出扬州政府采购市场。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（注：资格声明为格式文件,请勿修改，否则将导致投标文件无效。）</w:t>
      </w:r>
      <w:r/>
    </w:p>
    <w:p>
      <w:pPr>
        <w:ind w:left="0" w:right="0" w:firstLine="0"/>
        <w:spacing w:before="240" w:after="312"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240" w:after="312"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3、法人授权书</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本授权书声明：________________（投标人名称）授权________________（被授权人的姓名）为我方就</w:t>
      </w:r>
      <w:r>
        <w:rPr>
          <w:rFonts w:ascii="SimSun" w:hAnsi="SimSun" w:eastAsia="SimSun" w:cs="SimSun"/>
          <w:color w:val="000000"/>
          <w:sz w:val="21"/>
          <w:u w:val="single"/>
        </w:rPr>
        <w:t xml:space="preserve">          号                       </w:t>
      </w:r>
      <w:r>
        <w:rPr>
          <w:rFonts w:ascii="SimSun" w:hAnsi="SimSun" w:eastAsia="SimSun" w:cs="SimSun"/>
          <w:color w:val="000000"/>
          <w:sz w:val="21"/>
        </w:rPr>
        <w:t xml:space="preserve">项目采购活动的合法代理人，以本公司名义全权处理一切与该项目采购有关的事务。</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被授权人签字：_____________________</w:t>
      </w:r>
      <w:r>
        <w:rPr>
          <w:rFonts w:ascii="SimSun" w:hAnsi="SimSun" w:eastAsia="SimSun" w:cs="SimSun"/>
          <w:color w:val="000000"/>
          <w:sz w:val="21"/>
          <w:u w:val="single"/>
        </w:rPr>
        <w:t xml:space="preserve">         </w:t>
      </w:r>
      <w:r>
        <w:rPr>
          <w:rFonts w:ascii="SimSun" w:hAnsi="SimSun" w:eastAsia="SimSun" w:cs="SimSun"/>
          <w:color w:val="000000"/>
          <w:sz w:val="21"/>
        </w:rPr>
        <w:t xml:space="preserve">__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联系电话（手机）：</w:t>
      </w:r>
      <w:r>
        <w:rPr>
          <w:rFonts w:ascii="SimSun" w:hAnsi="SimSun" w:eastAsia="SimSun" w:cs="SimSun"/>
          <w:color w:val="000000"/>
          <w:sz w:val="21"/>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单位名称：____________________________________</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授权单位盖章：_________________________________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4、参加本次政府采购活动前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法定代表人或授权代表签字：</w:t>
      </w:r>
      <w:r>
        <w:rPr>
          <w:rFonts w:ascii="SimSun" w:hAnsi="SimSun" w:eastAsia="SimSun" w:cs="SimSun"/>
          <w:color w:val="000000"/>
          <w:sz w:val="21"/>
          <w:u w:val="single"/>
        </w:rPr>
        <w:t xml:space="preserve">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5、供应商信用承诺书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承诺主体名称：</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统一社会信用代码：</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为维护公平竞争、规范有序的市场秩序，营造诚实守信的信用环境，共同推进社会信用体系建设完善，树立企业诚信守法形象，本企业对________________________项目采购活动郑重承诺如下：</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一、对提供给注册登记部门、行业管理部门、司法部门、行业组织以及在采购活动中提交的所有资料的合法性、真实性、准确性和有效性负责；</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二、严格按照国家法律法规和规章开展采购活动，全面履行应尽的责任和义务，全面做到履约守信，具备《中华人民共和国政府采购法》第二十二条第一款规定的条件；</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三、严格依法开展生产经营活动，主动接受行业监管，自愿接受依法开展的日常检查；违法失信经营后将自愿接受约束和惩戒，并依法承担相应责任；</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四、自觉接受行政管理部门、行业组织、社会公众、新闻舆论的监督；</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五、自觉做到自我约束、自我管理，不制假售假、商标侵权、虚假宣传、违约毁约、恶意逃债、偷税漏税、垄断和不正当竞争，维护经营者、消费者的合法权益；</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六、提出质疑和投诉坚持依法依规、诚实信用原则，在全国范围12个月内没有三次以上查无实据的采购投诉；</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七、严格遵守信用信息公示相关规定，向社会公示信用信息；</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八、在“信用中国”和“中国政府采购网”网站中无违法违规、较重或严重失信记录；</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十、本承诺书自签订之日起生效。</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承诺单位（公章）：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6、中小企业声明函（货物）</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企业名称（加盖公章）：</w:t>
      </w:r>
      <w:r/>
    </w:p>
    <w:p>
      <w:pPr>
        <w:ind w:left="0" w:right="480" w:firstLine="5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72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3.供应商自行勾选制造商的企业规模类型。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中小微企业划型标准</w:t>
      </w:r>
      <w:r/>
    </w:p>
    <w:p>
      <w:pPr>
        <w:ind w:left="0" w:right="0" w:firstLine="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中小微企业划型标准如下：</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bl>
    <w:p>
      <w:pPr>
        <w:ind w:left="0" w:right="0" w:firstLine="81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实质性要求响应及偏离表</w:t>
        <w:br/>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405"/>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投标单位名称（公章）：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技术要求响应及偏离表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附件：证明材料1，证明材料2，……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投标单位名称（公章）：</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商务要求响应及偏离表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7"/>
        <w:gridCol w:w="2359"/>
        <w:gridCol w:w="2098"/>
        <w:gridCol w:w="1609"/>
        <w:gridCol w:w="12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9" w:type="dxa"/>
            <w:vAlign w:val="top"/>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售后技术服务要求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9" w:type="dxa"/>
            <w:vAlign w:val="top"/>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9" w:type="dxa"/>
            <w:vAlign w:val="top"/>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天内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9" w:type="dxa"/>
            <w:vAlign w:val="top"/>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9" w:type="dxa"/>
            <w:vAlign w:val="top"/>
            <w:textDirection w:val="lrTb"/>
            <w:noWrap w:val="false"/>
          </w:tcPr>
          <w:p>
            <w:pPr>
              <w:ind w:left="0" w:right="0"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附件：证明材料1，证明材料2，……</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投标单位授权代表姓名（签字）：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投标单位名称（公章）：</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主要标的信息（中标后将公示）</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0"/>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w:t>
            </w:r>
            <w:r/>
          </w:p>
        </w:tc>
      </w:tr>
      <w:tr>
        <w:trPr>
          <w:trHeight w:val="40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投标单位名称（公章）：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Noto Sans CJK JP Regular">
    <w:panose1 w:val="020B0503020202020204"/>
  </w:font>
  <w:font w:name="Courier New">
    <w:panose1 w:val="02070309020205020404"/>
  </w:font>
  <w:font w:name="等线">
    <w:panose1 w:val="02010600030101010101"/>
  </w:font>
  <w:font w:name="楷体_GB2312">
    <w:panose1 w:val="02010609060101010101"/>
  </w:font>
  <w:font w:name="DengXian">
    <w:panose1 w:val="02010600030101010101"/>
  </w:font>
  <w:font w:name="黑体">
    <w:panose1 w:val="02010609060101010101"/>
  </w:font>
  <w:font w:name="Verdana">
    <w:panose1 w:val="020B0604030504040204"/>
  </w:font>
  <w:font w:name="幼圆">
    <w:panose1 w:val="02010509060101010101"/>
  </w:font>
  <w:font w:name="Calibri">
    <w:panose1 w:val="020F0502020204030204"/>
  </w:font>
  <w:font w:name="Arial">
    <w:panose1 w:val="020B0604020202020204"/>
  </w:font>
  <w:font w:name="SimSun">
    <w:panose1 w:val="0201060003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both"/>
      <w:spacing w:before="0" w:after="0"/>
      <w:tabs>
        <w:tab w:val="left" w:pos="4153" w:leader="none"/>
        <w:tab w:val="left" w:pos="8306"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18"/>
        <w:highlight w:val="white"/>
      </w:rPr>
      <w:t xml:space="preserve">JSZC-320000-JSWD-G2025-0064</w:t>
    </w:r>
    <w:r>
      <w:rPr>
        <w:rFonts w:ascii="SimSun" w:hAnsi="SimSun" w:eastAsia="SimSun" w:cs="SimSun"/>
        <w:color w:val="000000"/>
        <w:sz w:val="18"/>
      </w:rPr>
      <w:t xml:space="preserve">                                   江苏万达工程造价事务所有限公司</w:t>
    </w: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9"/>
      <w:isLgl w:val="false"/>
      <w:suff w:val="tab"/>
      <w:lvlText w:val="%1"/>
      <w:lvlJc w:val="left"/>
      <w:pPr>
        <w:pStyle w:val="727"/>
        <w:ind w:left="0" w:firstLine="0"/>
      </w:pPr>
      <w:rPr>
        <w:rFonts w:hint="eastAsia"/>
      </w:rPr>
    </w:lvl>
    <w:lvl w:ilvl="1">
      <w:start w:val="1"/>
      <w:numFmt w:val="decimal"/>
      <w:pStyle w:val="847"/>
      <w:isLgl w:val="false"/>
      <w:suff w:val="tab"/>
      <w:lvlText w:val="_x0002_.%2"/>
      <w:lvlJc w:val="left"/>
      <w:pPr>
        <w:pStyle w:val="727"/>
        <w:ind w:left="0" w:firstLine="284"/>
      </w:pPr>
    </w:lvl>
    <w:lvl w:ilvl="2">
      <w:start w:val="1"/>
      <w:numFmt w:val="decimal"/>
      <w:pStyle w:val="903"/>
      <w:isLgl w:val="false"/>
      <w:suff w:val="tab"/>
      <w:lvlText w:val="%1.%2.%3"/>
      <w:lvlJc w:val="left"/>
      <w:pPr>
        <w:pStyle w:val="727"/>
        <w:ind w:left="0" w:firstLine="567"/>
      </w:pPr>
      <w:rPr>
        <w:rFonts w:hint="eastAsia"/>
      </w:rPr>
    </w:lvl>
    <w:lvl w:ilvl="3">
      <w:start w:val="1"/>
      <w:numFmt w:val="decimal"/>
      <w:isLgl w:val="false"/>
      <w:suff w:val="tab"/>
      <w:lvlText w:val="%1.%2.%3.%4"/>
      <w:lvlJc w:val="left"/>
      <w:pPr>
        <w:pStyle w:val="727"/>
        <w:ind w:left="1984" w:hanging="708"/>
      </w:pPr>
      <w:rPr>
        <w:rFonts w:hint="eastAsia"/>
      </w:rPr>
    </w:lvl>
    <w:lvl w:ilvl="4">
      <w:start w:val="1"/>
      <w:numFmt w:val="decimal"/>
      <w:isLgl w:val="false"/>
      <w:suff w:val="tab"/>
      <w:lvlText w:val="%1.%2.%3.%4.%5"/>
      <w:lvlJc w:val="left"/>
      <w:pPr>
        <w:pStyle w:val="727"/>
        <w:ind w:left="2551" w:hanging="850"/>
      </w:pPr>
      <w:rPr>
        <w:rFonts w:hint="eastAsia"/>
      </w:rPr>
    </w:lvl>
    <w:lvl w:ilvl="5">
      <w:start w:val="1"/>
      <w:numFmt w:val="decimal"/>
      <w:isLgl w:val="false"/>
      <w:suff w:val="tab"/>
      <w:lvlText w:val="%1.%2.%3.%4.%5.%6"/>
      <w:lvlJc w:val="left"/>
      <w:pPr>
        <w:pStyle w:val="727"/>
        <w:ind w:left="3260" w:hanging="1134"/>
      </w:pPr>
      <w:rPr>
        <w:rFonts w:hint="eastAsia"/>
      </w:rPr>
    </w:lvl>
    <w:lvl w:ilvl="6">
      <w:start w:val="1"/>
      <w:numFmt w:val="decimal"/>
      <w:isLgl w:val="false"/>
      <w:suff w:val="tab"/>
      <w:lvlText w:val="%1.%2.%3.%4.%5.%6.%7"/>
      <w:lvlJc w:val="left"/>
      <w:pPr>
        <w:pStyle w:val="727"/>
        <w:ind w:left="3827" w:hanging="1276"/>
      </w:pPr>
      <w:rPr>
        <w:rFonts w:hint="eastAsia"/>
      </w:rPr>
    </w:lvl>
    <w:lvl w:ilvl="7">
      <w:start w:val="1"/>
      <w:numFmt w:val="decimal"/>
      <w:isLgl w:val="false"/>
      <w:suff w:val="tab"/>
      <w:lvlText w:val="%1.%2.%3.%4.%5.%6.%7.%8"/>
      <w:lvlJc w:val="left"/>
      <w:pPr>
        <w:pStyle w:val="727"/>
        <w:ind w:left="4394" w:hanging="1418"/>
      </w:pPr>
      <w:rPr>
        <w:rFonts w:hint="eastAsia"/>
      </w:rPr>
    </w:lvl>
    <w:lvl w:ilvl="8">
      <w:start w:val="1"/>
      <w:numFmt w:val="decimal"/>
      <w:isLgl w:val="false"/>
      <w:suff w:val="tab"/>
      <w:lvlText w:val="%1.%2.%3.%4.%5.%6.%7.%8.%9"/>
      <w:lvlJc w:val="left"/>
      <w:pPr>
        <w:pStyle w:val="727"/>
        <w:ind w:left="5102" w:hanging="1700"/>
      </w:pPr>
      <w:rPr>
        <w:rFonts w:hint="eastAsia"/>
      </w:rPr>
    </w:lvl>
  </w:abstractNum>
  <w:abstractNum w:abstractNumId="2">
    <w:multiLevelType w:val="hybridMultilevel"/>
    <w:lvl w:ilvl="0">
      <w:start w:val="1"/>
      <w:numFmt w:val="chineseCounting"/>
      <w:isLgl w:val="false"/>
      <w:suff w:val="nothing"/>
      <w:lvlText w:val="%1、"/>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pStyle w:val="727"/>
        <w:ind w:left="3813" w:hanging="450"/>
      </w:pPr>
    </w:lvl>
    <w:lvl w:ilvl="1">
      <w:start w:val="1"/>
      <w:numFmt w:val="lowerLetter"/>
      <w:isLgl w:val="false"/>
      <w:suff w:val="tab"/>
      <w:lvlText w:val="%2)"/>
      <w:lvlJc w:val="left"/>
      <w:pPr>
        <w:pStyle w:val="727"/>
        <w:ind w:left="4203" w:hanging="420"/>
      </w:pPr>
    </w:lvl>
    <w:lvl w:ilvl="2">
      <w:start w:val="1"/>
      <w:numFmt w:val="lowerRoman"/>
      <w:isLgl w:val="false"/>
      <w:suff w:val="tab"/>
      <w:lvlText w:val="%3."/>
      <w:lvlJc w:val="right"/>
      <w:pPr>
        <w:pStyle w:val="727"/>
        <w:ind w:left="4623" w:hanging="420"/>
      </w:pPr>
    </w:lvl>
    <w:lvl w:ilvl="3">
      <w:start w:val="1"/>
      <w:numFmt w:val="decimal"/>
      <w:isLgl w:val="false"/>
      <w:suff w:val="tab"/>
      <w:lvlText w:val="%4."/>
      <w:lvlJc w:val="left"/>
      <w:pPr>
        <w:pStyle w:val="727"/>
        <w:ind w:left="5043" w:hanging="420"/>
      </w:pPr>
    </w:lvl>
    <w:lvl w:ilvl="4">
      <w:start w:val="1"/>
      <w:numFmt w:val="lowerLetter"/>
      <w:isLgl w:val="false"/>
      <w:suff w:val="tab"/>
      <w:lvlText w:val="%5)"/>
      <w:lvlJc w:val="left"/>
      <w:pPr>
        <w:pStyle w:val="727"/>
        <w:ind w:left="5463" w:hanging="420"/>
      </w:pPr>
    </w:lvl>
    <w:lvl w:ilvl="5">
      <w:start w:val="1"/>
      <w:numFmt w:val="lowerRoman"/>
      <w:isLgl w:val="false"/>
      <w:suff w:val="tab"/>
      <w:lvlText w:val="%6."/>
      <w:lvlJc w:val="right"/>
      <w:pPr>
        <w:pStyle w:val="727"/>
        <w:ind w:left="5883" w:hanging="420"/>
      </w:pPr>
    </w:lvl>
    <w:lvl w:ilvl="6">
      <w:start w:val="1"/>
      <w:numFmt w:val="decimal"/>
      <w:isLgl w:val="false"/>
      <w:suff w:val="tab"/>
      <w:lvlText w:val="%7."/>
      <w:lvlJc w:val="left"/>
      <w:pPr>
        <w:pStyle w:val="727"/>
        <w:ind w:left="6303" w:hanging="420"/>
      </w:pPr>
    </w:lvl>
    <w:lvl w:ilvl="7">
      <w:start w:val="1"/>
      <w:numFmt w:val="lowerLetter"/>
      <w:isLgl w:val="false"/>
      <w:suff w:val="tab"/>
      <w:lvlText w:val="%8)"/>
      <w:lvlJc w:val="left"/>
      <w:pPr>
        <w:pStyle w:val="727"/>
        <w:ind w:left="6723" w:hanging="420"/>
      </w:pPr>
    </w:lvl>
    <w:lvl w:ilvl="8">
      <w:start w:val="1"/>
      <w:numFmt w:val="lowerRoman"/>
      <w:isLgl w:val="false"/>
      <w:suff w:val="tab"/>
      <w:lvlText w:val="%9."/>
      <w:lvlJc w:val="right"/>
      <w:pPr>
        <w:pStyle w:val="727"/>
        <w:ind w:left="7143"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3813" w:hanging="450"/>
      </w:pPr>
    </w:lvl>
    <w:lvl w:ilvl="1">
      <w:start w:val="1"/>
      <w:numFmt w:val="lowerLetter"/>
      <w:isLgl w:val="false"/>
      <w:suff w:val="tab"/>
      <w:lvlText w:val="%2)"/>
      <w:lvlJc w:val="left"/>
      <w:pPr>
        <w:ind w:left="4203" w:hanging="420"/>
      </w:pPr>
    </w:lvl>
    <w:lvl w:ilvl="2">
      <w:start w:val="1"/>
      <w:numFmt w:val="decimal"/>
      <w:isLgl w:val="false"/>
      <w:suff w:val="tab"/>
      <w:lvlText w:val="%3."/>
      <w:lvlJc w:val="right"/>
      <w:pPr>
        <w:ind w:left="4623" w:hanging="420"/>
      </w:pPr>
    </w:lvl>
    <w:lvl w:ilvl="3">
      <w:start w:val="1"/>
      <w:numFmt w:val="decimal"/>
      <w:isLgl w:val="false"/>
      <w:suff w:val="tab"/>
      <w:lvlText w:val="%4."/>
      <w:lvlJc w:val="left"/>
      <w:pPr>
        <w:ind w:left="5043" w:hanging="420"/>
      </w:pPr>
    </w:lvl>
    <w:lvl w:ilvl="4">
      <w:start w:val="1"/>
      <w:numFmt w:val="lowerLetter"/>
      <w:isLgl w:val="false"/>
      <w:suff w:val="tab"/>
      <w:lvlText w:val="%5)"/>
      <w:lvlJc w:val="left"/>
      <w:pPr>
        <w:ind w:left="5463" w:hanging="420"/>
      </w:pPr>
    </w:lvl>
    <w:lvl w:ilvl="5">
      <w:start w:val="1"/>
      <w:numFmt w:val="decimal"/>
      <w:isLgl w:val="false"/>
      <w:suff w:val="tab"/>
      <w:lvlText w:val="%6."/>
      <w:lvlJc w:val="right"/>
      <w:pPr>
        <w:ind w:left="5883" w:hanging="420"/>
      </w:pPr>
    </w:lvl>
    <w:lvl w:ilvl="6">
      <w:start w:val="1"/>
      <w:numFmt w:val="decimal"/>
      <w:isLgl w:val="false"/>
      <w:suff w:val="tab"/>
      <w:lvlText w:val="%7."/>
      <w:lvlJc w:val="left"/>
      <w:pPr>
        <w:ind w:left="6303" w:hanging="420"/>
      </w:pPr>
    </w:lvl>
    <w:lvl w:ilvl="7">
      <w:start w:val="1"/>
      <w:numFmt w:val="lowerLetter"/>
      <w:isLgl w:val="false"/>
      <w:suff w:val="tab"/>
      <w:lvlText w:val="%8)"/>
      <w:lvlJc w:val="left"/>
      <w:pPr>
        <w:ind w:left="6723" w:hanging="420"/>
      </w:pPr>
    </w:lvl>
    <w:lvl w:ilvl="8">
      <w:start w:val="1"/>
      <w:numFmt w:val="decimal"/>
      <w:isLgl w:val="false"/>
      <w:suff w:val="tab"/>
      <w:lvlText w:val="%9."/>
      <w:lvlJc w:val="right"/>
      <w:pPr>
        <w:ind w:left="7143"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813" w:hanging="450"/>
      </w:pPr>
    </w:lvl>
    <w:lvl w:ilvl="1">
      <w:start w:val="1"/>
      <w:numFmt w:val="lowerLetter"/>
      <w:isLgl w:val="false"/>
      <w:suff w:val="tab"/>
      <w:lvlText w:val="%2)"/>
      <w:lvlJc w:val="left"/>
      <w:pPr>
        <w:ind w:left="4203" w:hanging="420"/>
      </w:pPr>
    </w:lvl>
    <w:lvl w:ilvl="2">
      <w:start w:val="1"/>
      <w:numFmt w:val="decimal"/>
      <w:isLgl w:val="false"/>
      <w:suff w:val="tab"/>
      <w:lvlText w:val="%3."/>
      <w:lvlJc w:val="right"/>
      <w:pPr>
        <w:ind w:left="4623" w:hanging="420"/>
      </w:pPr>
    </w:lvl>
    <w:lvl w:ilvl="3">
      <w:start w:val="1"/>
      <w:numFmt w:val="decimal"/>
      <w:isLgl w:val="false"/>
      <w:suff w:val="tab"/>
      <w:lvlText w:val="%4."/>
      <w:lvlJc w:val="left"/>
      <w:pPr>
        <w:ind w:left="5043" w:hanging="420"/>
      </w:pPr>
    </w:lvl>
    <w:lvl w:ilvl="4">
      <w:start w:val="1"/>
      <w:numFmt w:val="lowerLetter"/>
      <w:isLgl w:val="false"/>
      <w:suff w:val="tab"/>
      <w:lvlText w:val="%5)"/>
      <w:lvlJc w:val="left"/>
      <w:pPr>
        <w:ind w:left="5463" w:hanging="420"/>
      </w:pPr>
    </w:lvl>
    <w:lvl w:ilvl="5">
      <w:start w:val="1"/>
      <w:numFmt w:val="decimal"/>
      <w:isLgl w:val="false"/>
      <w:suff w:val="tab"/>
      <w:lvlText w:val="%6."/>
      <w:lvlJc w:val="right"/>
      <w:pPr>
        <w:ind w:left="5883" w:hanging="420"/>
      </w:pPr>
    </w:lvl>
    <w:lvl w:ilvl="6">
      <w:start w:val="1"/>
      <w:numFmt w:val="decimal"/>
      <w:isLgl w:val="false"/>
      <w:suff w:val="tab"/>
      <w:lvlText w:val="%7."/>
      <w:lvlJc w:val="left"/>
      <w:pPr>
        <w:ind w:left="6303" w:hanging="420"/>
      </w:pPr>
    </w:lvl>
    <w:lvl w:ilvl="7">
      <w:start w:val="1"/>
      <w:numFmt w:val="lowerLetter"/>
      <w:isLgl w:val="false"/>
      <w:suff w:val="tab"/>
      <w:lvlText w:val="%8)"/>
      <w:lvlJc w:val="left"/>
      <w:pPr>
        <w:ind w:left="6723" w:hanging="420"/>
      </w:pPr>
    </w:lvl>
    <w:lvl w:ilvl="8">
      <w:start w:val="1"/>
      <w:numFmt w:val="decimal"/>
      <w:isLgl w:val="false"/>
      <w:suff w:val="tab"/>
      <w:lvlText w:val="%9."/>
      <w:lvlJc w:val="right"/>
      <w:pPr>
        <w:ind w:left="7143" w:hanging="420"/>
      </w:pPr>
    </w:lvl>
  </w:abstractNum>
  <w:num w:numId="1">
    <w:abstractNumId w:val="1"/>
  </w:num>
  <w:num w:numId="2">
    <w:abstractNumId w:val="2"/>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name w:val="Heading 1"/>
    <w:basedOn w:val="727"/>
    <w:next w:val="727"/>
    <w:link w:val="881"/>
    <w:uiPriority w:val="9"/>
    <w:qFormat/>
    <w:pPr>
      <w:keepLines/>
      <w:keepNext/>
      <w:spacing w:before="480" w:after="200"/>
      <w:outlineLvl w:val="0"/>
    </w:pPr>
    <w:rPr>
      <w:rFonts w:ascii="Arial" w:hAnsi="Arial" w:eastAsia="Arial" w:cs="Arial"/>
      <w:sz w:val="40"/>
      <w:szCs w:val="40"/>
    </w:rPr>
  </w:style>
  <w:style w:type="paragraph" w:styleId="662">
    <w:name w:val="Heading 2"/>
    <w:basedOn w:val="727"/>
    <w:next w:val="727"/>
    <w:link w:val="862"/>
    <w:uiPriority w:val="9"/>
    <w:unhideWhenUsed/>
    <w:qFormat/>
    <w:pPr>
      <w:keepLines/>
      <w:keepNext/>
      <w:spacing w:before="360" w:after="200"/>
      <w:outlineLvl w:val="1"/>
    </w:pPr>
    <w:rPr>
      <w:rFonts w:ascii="Arial" w:hAnsi="Arial" w:eastAsia="Arial" w:cs="Arial"/>
      <w:sz w:val="34"/>
    </w:rPr>
  </w:style>
  <w:style w:type="paragraph" w:styleId="663">
    <w:name w:val="Heading 3"/>
    <w:basedOn w:val="727"/>
    <w:next w:val="727"/>
    <w:link w:val="846"/>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727"/>
    <w:next w:val="727"/>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727"/>
    <w:next w:val="727"/>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727"/>
    <w:next w:val="727"/>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727"/>
    <w:next w:val="72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727"/>
    <w:next w:val="727"/>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727"/>
    <w:next w:val="727"/>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727"/>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727"/>
    <w:next w:val="727"/>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727"/>
    <w:next w:val="727"/>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727"/>
    <w:next w:val="727"/>
    <w:link w:val="683"/>
    <w:uiPriority w:val="29"/>
    <w:qFormat/>
    <w:pPr>
      <w:ind w:left="720" w:right="720"/>
    </w:pPr>
    <w:rPr>
      <w:i/>
    </w:rPr>
  </w:style>
  <w:style w:type="character" w:styleId="683">
    <w:name w:val="Quote Char"/>
    <w:link w:val="682"/>
    <w:uiPriority w:val="29"/>
    <w:rPr>
      <w:i/>
    </w:rPr>
  </w:style>
  <w:style w:type="paragraph" w:styleId="684">
    <w:name w:val="Intense Quote"/>
    <w:basedOn w:val="727"/>
    <w:next w:val="727"/>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727"/>
    <w:link w:val="866"/>
    <w:uiPriority w:val="99"/>
    <w:unhideWhenUsed/>
    <w:pPr>
      <w:spacing w:after="0" w:line="240" w:lineRule="auto"/>
      <w:tabs>
        <w:tab w:val="center" w:pos="7143" w:leader="none"/>
        <w:tab w:val="right" w:pos="14287" w:leader="none"/>
      </w:tabs>
    </w:pPr>
  </w:style>
  <w:style w:type="paragraph" w:styleId="687">
    <w:name w:val="Footer"/>
    <w:basedOn w:val="727"/>
    <w:link w:val="942"/>
    <w:uiPriority w:val="99"/>
    <w:unhideWhenUsed/>
    <w:pPr>
      <w:spacing w:after="0" w:line="240" w:lineRule="auto"/>
      <w:tabs>
        <w:tab w:val="center" w:pos="7143" w:leader="none"/>
        <w:tab w:val="right" w:pos="14287" w:leader="none"/>
      </w:tabs>
    </w:pPr>
  </w:style>
  <w:style w:type="paragraph" w:styleId="688">
    <w:name w:val="Caption"/>
    <w:basedOn w:val="727"/>
    <w:next w:val="727"/>
    <w:uiPriority w:val="35"/>
    <w:semiHidden/>
    <w:unhideWhenUsed/>
    <w:qFormat/>
    <w:pPr>
      <w:spacing w:line="276" w:lineRule="auto"/>
    </w:pPr>
    <w:rPr>
      <w:b/>
      <w:bCs/>
      <w:color w:val="4f81bd" w:themeColor="accent1"/>
      <w:sz w:val="18"/>
      <w:szCs w:val="18"/>
    </w:rPr>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9">
    <w:name w:val="Hyperlink"/>
    <w:uiPriority w:val="99"/>
    <w:unhideWhenUsed/>
    <w:rPr>
      <w:color w:val="0000ff" w:themeColor="hyperlink"/>
      <w:u w:val="single"/>
    </w:rPr>
  </w:style>
  <w:style w:type="paragraph" w:styleId="710">
    <w:name w:val="footnote text"/>
    <w:basedOn w:val="727"/>
    <w:link w:val="711"/>
    <w:uiPriority w:val="99"/>
    <w:semiHidden/>
    <w:unhideWhenUsed/>
    <w:pPr>
      <w:spacing w:after="40" w:line="240" w:lineRule="auto"/>
    </w:pPr>
    <w:rPr>
      <w:sz w:val="18"/>
    </w:rPr>
  </w:style>
  <w:style w:type="character" w:styleId="711">
    <w:name w:val="Footnote Text Char"/>
    <w:link w:val="710"/>
    <w:uiPriority w:val="99"/>
    <w:rPr>
      <w:sz w:val="18"/>
    </w:rPr>
  </w:style>
  <w:style w:type="character" w:styleId="712">
    <w:name w:val="footnote reference"/>
    <w:uiPriority w:val="99"/>
    <w:unhideWhenUsed/>
    <w:rPr>
      <w:vertAlign w:val="superscript"/>
    </w:rPr>
  </w:style>
  <w:style w:type="paragraph" w:styleId="713">
    <w:name w:val="endnote text"/>
    <w:basedOn w:val="727"/>
    <w:link w:val="714"/>
    <w:uiPriority w:val="99"/>
    <w:semiHidden/>
    <w:unhideWhenUsed/>
    <w:pPr>
      <w:spacing w:after="0" w:line="240" w:lineRule="auto"/>
    </w:pPr>
    <w:rPr>
      <w:sz w:val="20"/>
    </w:rPr>
  </w:style>
  <w:style w:type="character" w:styleId="714">
    <w:name w:val="Endnote Text Char"/>
    <w:link w:val="713"/>
    <w:uiPriority w:val="99"/>
    <w:rPr>
      <w:sz w:val="20"/>
    </w:rPr>
  </w:style>
  <w:style w:type="character" w:styleId="715">
    <w:name w:val="endnote reference"/>
    <w:uiPriority w:val="99"/>
    <w:semiHidden/>
    <w:unhideWhenUsed/>
    <w:rPr>
      <w:vertAlign w:val="superscript"/>
    </w:rPr>
  </w:style>
  <w:style w:type="paragraph" w:styleId="716">
    <w:name w:val="toc 1"/>
    <w:basedOn w:val="727"/>
    <w:next w:val="727"/>
    <w:uiPriority w:val="39"/>
    <w:unhideWhenUsed/>
    <w:pPr>
      <w:ind w:left="0" w:right="0" w:firstLine="0"/>
      <w:spacing w:after="57"/>
    </w:pPr>
  </w:style>
  <w:style w:type="paragraph" w:styleId="717">
    <w:name w:val="toc 2"/>
    <w:basedOn w:val="727"/>
    <w:next w:val="727"/>
    <w:uiPriority w:val="39"/>
    <w:unhideWhenUsed/>
    <w:pPr>
      <w:ind w:left="283" w:right="0" w:firstLine="0"/>
      <w:spacing w:after="57"/>
    </w:pPr>
  </w:style>
  <w:style w:type="paragraph" w:styleId="718">
    <w:name w:val="toc 3"/>
    <w:basedOn w:val="727"/>
    <w:next w:val="727"/>
    <w:uiPriority w:val="39"/>
    <w:unhideWhenUsed/>
    <w:pPr>
      <w:ind w:left="567" w:right="0" w:firstLine="0"/>
      <w:spacing w:after="57"/>
    </w:pPr>
  </w:style>
  <w:style w:type="paragraph" w:styleId="719">
    <w:name w:val="toc 4"/>
    <w:basedOn w:val="727"/>
    <w:next w:val="727"/>
    <w:uiPriority w:val="39"/>
    <w:unhideWhenUsed/>
    <w:pPr>
      <w:ind w:left="850" w:right="0" w:firstLine="0"/>
      <w:spacing w:after="57"/>
    </w:pPr>
  </w:style>
  <w:style w:type="paragraph" w:styleId="720">
    <w:name w:val="toc 5"/>
    <w:basedOn w:val="727"/>
    <w:next w:val="727"/>
    <w:uiPriority w:val="39"/>
    <w:unhideWhenUsed/>
    <w:pPr>
      <w:ind w:left="1134" w:right="0" w:firstLine="0"/>
      <w:spacing w:after="57"/>
    </w:pPr>
  </w:style>
  <w:style w:type="paragraph" w:styleId="721">
    <w:name w:val="toc 6"/>
    <w:basedOn w:val="727"/>
    <w:next w:val="727"/>
    <w:uiPriority w:val="39"/>
    <w:unhideWhenUsed/>
    <w:pPr>
      <w:ind w:left="1417" w:right="0" w:firstLine="0"/>
      <w:spacing w:after="57"/>
    </w:pPr>
  </w:style>
  <w:style w:type="paragraph" w:styleId="722">
    <w:name w:val="toc 7"/>
    <w:basedOn w:val="727"/>
    <w:next w:val="727"/>
    <w:uiPriority w:val="39"/>
    <w:unhideWhenUsed/>
    <w:pPr>
      <w:ind w:left="1701" w:right="0" w:firstLine="0"/>
      <w:spacing w:after="57"/>
    </w:pPr>
  </w:style>
  <w:style w:type="paragraph" w:styleId="723">
    <w:name w:val="toc 8"/>
    <w:basedOn w:val="727"/>
    <w:next w:val="727"/>
    <w:uiPriority w:val="39"/>
    <w:unhideWhenUsed/>
    <w:pPr>
      <w:ind w:left="1984" w:right="0" w:firstLine="0"/>
      <w:spacing w:after="57"/>
    </w:pPr>
  </w:style>
  <w:style w:type="paragraph" w:styleId="724">
    <w:name w:val="toc 9"/>
    <w:basedOn w:val="727"/>
    <w:next w:val="727"/>
    <w:uiPriority w:val="39"/>
    <w:unhideWhenUsed/>
    <w:pPr>
      <w:ind w:left="2268" w:right="0" w:firstLine="0"/>
      <w:spacing w:after="57"/>
    </w:pPr>
  </w:style>
  <w:style w:type="paragraph" w:styleId="725">
    <w:name w:val="TOC Heading"/>
    <w:uiPriority w:val="39"/>
    <w:unhideWhenUsed/>
  </w:style>
  <w:style w:type="paragraph" w:styleId="726">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Calibri" w:hAnsi="Calibri"/>
      <w:sz w:val="21"/>
      <w:szCs w:val="22"/>
      <w:lang w:val="en-US" w:eastAsia="zh-CN" w:bidi="ar-SA"/>
    </w:rPr>
  </w:style>
  <w:style w:type="paragraph" w:styleId="728">
    <w:name w:val="标题 1"/>
    <w:basedOn w:val="727"/>
    <w:next w:val="727"/>
    <w:link w:val="727"/>
    <w:uiPriority w:val="9"/>
    <w:qFormat/>
    <w:pPr>
      <w:keepLines/>
      <w:keepNext/>
      <w:spacing w:before="340" w:after="330" w:line="578" w:lineRule="auto"/>
      <w:outlineLvl w:val="0"/>
    </w:pPr>
    <w:rPr>
      <w:b/>
      <w:bCs/>
      <w:sz w:val="44"/>
      <w:szCs w:val="44"/>
    </w:rPr>
  </w:style>
  <w:style w:type="paragraph" w:styleId="729">
    <w:name w:val="标题 2"/>
    <w:basedOn w:val="727"/>
    <w:next w:val="739"/>
    <w:link w:val="727"/>
    <w:qFormat/>
    <w:pPr>
      <w:jc w:val="center"/>
      <w:keepLines/>
      <w:keepNext/>
      <w:spacing w:before="260" w:after="260" w:line="416" w:lineRule="auto"/>
      <w:outlineLvl w:val="1"/>
    </w:pPr>
    <w:rPr>
      <w:rFonts w:ascii="Arial" w:hAnsi="Arial" w:eastAsia="幼圆" w:cs="Arial"/>
      <w:b/>
      <w:bCs/>
      <w:sz w:val="44"/>
      <w:szCs w:val="44"/>
    </w:rPr>
  </w:style>
  <w:style w:type="paragraph" w:styleId="730">
    <w:name w:val="标题 3"/>
    <w:basedOn w:val="727"/>
    <w:next w:val="727"/>
    <w:link w:val="727"/>
    <w:qFormat/>
    <w:pPr>
      <w:keepLines/>
      <w:keepNext/>
      <w:spacing w:before="260" w:after="260" w:line="416" w:lineRule="auto"/>
      <w:outlineLvl w:val="2"/>
    </w:pPr>
    <w:rPr>
      <w:b/>
      <w:bCs/>
      <w:sz w:val="32"/>
      <w:szCs w:val="32"/>
    </w:rPr>
  </w:style>
  <w:style w:type="paragraph" w:styleId="731">
    <w:name w:val="标题 4"/>
    <w:basedOn w:val="727"/>
    <w:next w:val="727"/>
    <w:link w:val="740"/>
    <w:uiPriority w:val="9"/>
    <w:qFormat/>
    <w:pPr>
      <w:keepLines/>
      <w:keepNext/>
      <w:spacing w:before="320" w:after="200"/>
      <w:outlineLvl w:val="3"/>
    </w:pPr>
    <w:rPr>
      <w:rFonts w:ascii="Arial" w:hAnsi="Arial" w:eastAsia="Arial" w:cs="Arial"/>
      <w:b/>
      <w:bCs/>
      <w:sz w:val="26"/>
      <w:szCs w:val="26"/>
    </w:rPr>
  </w:style>
  <w:style w:type="paragraph" w:styleId="732">
    <w:name w:val="标题 5"/>
    <w:basedOn w:val="727"/>
    <w:next w:val="727"/>
    <w:link w:val="741"/>
    <w:uiPriority w:val="9"/>
    <w:qFormat/>
    <w:pPr>
      <w:keepLines/>
      <w:keepNext/>
      <w:spacing w:before="320" w:after="200"/>
      <w:outlineLvl w:val="4"/>
    </w:pPr>
    <w:rPr>
      <w:rFonts w:ascii="Arial" w:hAnsi="Arial" w:eastAsia="Arial" w:cs="Arial"/>
      <w:b/>
      <w:bCs/>
      <w:sz w:val="24"/>
      <w:szCs w:val="24"/>
    </w:rPr>
  </w:style>
  <w:style w:type="paragraph" w:styleId="733">
    <w:name w:val="标题 6"/>
    <w:basedOn w:val="727"/>
    <w:next w:val="727"/>
    <w:link w:val="742"/>
    <w:uiPriority w:val="9"/>
    <w:qFormat/>
    <w:pPr>
      <w:keepLines/>
      <w:keepNext/>
      <w:spacing w:before="320" w:after="200"/>
      <w:outlineLvl w:val="5"/>
    </w:pPr>
    <w:rPr>
      <w:rFonts w:ascii="Arial" w:hAnsi="Arial" w:eastAsia="Arial" w:cs="Arial"/>
      <w:b/>
      <w:bCs/>
      <w:sz w:val="22"/>
    </w:rPr>
  </w:style>
  <w:style w:type="paragraph" w:styleId="734">
    <w:name w:val="标题 7"/>
    <w:basedOn w:val="727"/>
    <w:next w:val="727"/>
    <w:link w:val="743"/>
    <w:uiPriority w:val="9"/>
    <w:qFormat/>
    <w:pPr>
      <w:keepLines/>
      <w:keepNext/>
      <w:spacing w:before="320" w:after="200"/>
      <w:outlineLvl w:val="6"/>
    </w:pPr>
    <w:rPr>
      <w:rFonts w:ascii="Arial" w:hAnsi="Arial" w:eastAsia="Arial" w:cs="Arial"/>
      <w:b/>
      <w:bCs/>
      <w:i/>
      <w:iCs/>
      <w:sz w:val="22"/>
    </w:rPr>
  </w:style>
  <w:style w:type="paragraph" w:styleId="735">
    <w:name w:val="标题 8"/>
    <w:basedOn w:val="727"/>
    <w:next w:val="727"/>
    <w:link w:val="744"/>
    <w:uiPriority w:val="9"/>
    <w:qFormat/>
    <w:pPr>
      <w:keepLines/>
      <w:keepNext/>
      <w:spacing w:before="320" w:after="200"/>
      <w:outlineLvl w:val="7"/>
    </w:pPr>
    <w:rPr>
      <w:rFonts w:ascii="Arial" w:hAnsi="Arial" w:eastAsia="Arial" w:cs="Arial"/>
      <w:i/>
      <w:iCs/>
      <w:sz w:val="22"/>
    </w:rPr>
  </w:style>
  <w:style w:type="paragraph" w:styleId="736">
    <w:name w:val="标题 9"/>
    <w:basedOn w:val="727"/>
    <w:next w:val="727"/>
    <w:link w:val="745"/>
    <w:uiPriority w:val="9"/>
    <w:qFormat/>
    <w:pPr>
      <w:keepLines/>
      <w:keepNext/>
      <w:spacing w:before="320" w:after="200"/>
      <w:outlineLvl w:val="8"/>
    </w:pPr>
    <w:rPr>
      <w:rFonts w:ascii="Arial" w:hAnsi="Arial" w:eastAsia="Arial" w:cs="Arial"/>
      <w:i/>
      <w:iCs/>
      <w:szCs w:val="21"/>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paragraph" w:styleId="739">
    <w:name w:val="正文缩进"/>
    <w:basedOn w:val="727"/>
    <w:next w:val="739"/>
    <w:link w:val="727"/>
    <w:unhideWhenUsed/>
    <w:qFormat/>
    <w:pPr>
      <w:ind w:firstLine="420"/>
    </w:pPr>
  </w:style>
  <w:style w:type="character" w:styleId="740">
    <w:name w:val="标题 4 字符"/>
    <w:next w:val="740"/>
    <w:link w:val="731"/>
    <w:uiPriority w:val="9"/>
    <w:qFormat/>
    <w:rPr>
      <w:rFonts w:ascii="Arial" w:hAnsi="Arial" w:eastAsia="Arial" w:cs="Arial"/>
      <w:b/>
      <w:bCs/>
      <w:sz w:val="26"/>
      <w:szCs w:val="26"/>
    </w:rPr>
  </w:style>
  <w:style w:type="character" w:styleId="741">
    <w:name w:val="标题 5 字符"/>
    <w:next w:val="741"/>
    <w:link w:val="732"/>
    <w:uiPriority w:val="9"/>
    <w:qFormat/>
    <w:rPr>
      <w:rFonts w:ascii="Arial" w:hAnsi="Arial" w:eastAsia="Arial" w:cs="Arial"/>
      <w:b/>
      <w:bCs/>
      <w:sz w:val="24"/>
      <w:szCs w:val="24"/>
    </w:rPr>
  </w:style>
  <w:style w:type="character" w:styleId="742">
    <w:name w:val="标题 6 字符"/>
    <w:next w:val="742"/>
    <w:link w:val="733"/>
    <w:uiPriority w:val="9"/>
    <w:qFormat/>
    <w:rPr>
      <w:rFonts w:ascii="Arial" w:hAnsi="Arial" w:eastAsia="Arial" w:cs="Arial"/>
      <w:b/>
      <w:bCs/>
      <w:sz w:val="22"/>
      <w:szCs w:val="22"/>
    </w:rPr>
  </w:style>
  <w:style w:type="character" w:styleId="743">
    <w:name w:val="标题 7 字符"/>
    <w:next w:val="743"/>
    <w:link w:val="734"/>
    <w:uiPriority w:val="9"/>
    <w:qFormat/>
    <w:rPr>
      <w:rFonts w:ascii="Arial" w:hAnsi="Arial" w:eastAsia="Arial" w:cs="Arial"/>
      <w:b/>
      <w:bCs/>
      <w:i/>
      <w:iCs/>
      <w:sz w:val="22"/>
      <w:szCs w:val="22"/>
    </w:rPr>
  </w:style>
  <w:style w:type="character" w:styleId="744">
    <w:name w:val="标题 8 字符"/>
    <w:next w:val="744"/>
    <w:link w:val="735"/>
    <w:uiPriority w:val="9"/>
    <w:qFormat/>
    <w:rPr>
      <w:rFonts w:ascii="Arial" w:hAnsi="Arial" w:eastAsia="Arial" w:cs="Arial"/>
      <w:i/>
      <w:iCs/>
      <w:sz w:val="22"/>
      <w:szCs w:val="22"/>
    </w:rPr>
  </w:style>
  <w:style w:type="character" w:styleId="745">
    <w:name w:val="标题 9 字符"/>
    <w:next w:val="745"/>
    <w:link w:val="736"/>
    <w:uiPriority w:val="9"/>
    <w:qFormat/>
    <w:rPr>
      <w:rFonts w:ascii="Arial" w:hAnsi="Arial" w:eastAsia="Arial" w:cs="Arial"/>
      <w:i/>
      <w:iCs/>
      <w:sz w:val="21"/>
      <w:szCs w:val="21"/>
    </w:rPr>
  </w:style>
  <w:style w:type="paragraph" w:styleId="746">
    <w:name w:val="目录 7"/>
    <w:basedOn w:val="727"/>
    <w:next w:val="727"/>
    <w:link w:val="727"/>
    <w:uiPriority w:val="39"/>
    <w:unhideWhenUsed/>
    <w:qFormat/>
    <w:pPr>
      <w:ind w:left="1701"/>
      <w:spacing w:after="57"/>
    </w:pPr>
  </w:style>
  <w:style w:type="paragraph" w:styleId="747">
    <w:name w:val="引文目录"/>
    <w:basedOn w:val="727"/>
    <w:next w:val="727"/>
    <w:link w:val="727"/>
    <w:qFormat/>
    <w:pPr>
      <w:ind w:left="420" w:firstLine="200"/>
      <w:spacing w:line="360" w:lineRule="auto"/>
    </w:pPr>
    <w:rPr>
      <w:rFonts w:ascii="Times New Roman" w:hAnsi="Times New Roman"/>
      <w:sz w:val="24"/>
      <w:szCs w:val="24"/>
    </w:rPr>
  </w:style>
  <w:style w:type="paragraph" w:styleId="748">
    <w:name w:val="题注"/>
    <w:basedOn w:val="727"/>
    <w:next w:val="727"/>
    <w:link w:val="727"/>
    <w:uiPriority w:val="35"/>
    <w:qFormat/>
    <w:pPr>
      <w:spacing w:line="276" w:lineRule="auto"/>
    </w:pPr>
    <w:rPr>
      <w:b/>
      <w:bCs/>
      <w:color w:val="5b9bd5"/>
      <w:sz w:val="18"/>
      <w:szCs w:val="18"/>
    </w:rPr>
  </w:style>
  <w:style w:type="paragraph" w:styleId="749">
    <w:name w:val="批注文字"/>
    <w:basedOn w:val="727"/>
    <w:next w:val="749"/>
    <w:link w:val="750"/>
    <w:qFormat/>
    <w:pPr>
      <w:jc w:val="left"/>
    </w:pPr>
  </w:style>
  <w:style w:type="character" w:styleId="750">
    <w:name w:val="批注文字 字符"/>
    <w:next w:val="750"/>
    <w:link w:val="749"/>
    <w:qFormat/>
    <w:rPr>
      <w:rFonts w:ascii="Calibri" w:hAnsi="Calibri"/>
      <w:sz w:val="21"/>
      <w:szCs w:val="22"/>
    </w:rPr>
  </w:style>
  <w:style w:type="paragraph" w:styleId="751">
    <w:name w:val="正文文本"/>
    <w:basedOn w:val="727"/>
    <w:next w:val="752"/>
    <w:link w:val="727"/>
    <w:qFormat/>
    <w:rPr>
      <w:rFonts w:ascii="楷体_GB2312" w:hAnsi="Arial" w:eastAsia="楷体_GB2312"/>
      <w:sz w:val="28"/>
      <w:szCs w:val="28"/>
    </w:rPr>
  </w:style>
  <w:style w:type="paragraph" w:styleId="752">
    <w:name w:val="正文文本 2"/>
    <w:basedOn w:val="727"/>
    <w:next w:val="752"/>
    <w:link w:val="727"/>
    <w:qFormat/>
    <w:pPr>
      <w:spacing w:after="120" w:line="480" w:lineRule="auto"/>
    </w:pPr>
  </w:style>
  <w:style w:type="paragraph" w:styleId="753">
    <w:name w:val="正文文本缩进"/>
    <w:basedOn w:val="727"/>
    <w:next w:val="727"/>
    <w:link w:val="727"/>
    <w:qFormat/>
    <w:pPr>
      <w:ind w:left="420"/>
      <w:spacing w:after="120"/>
    </w:pPr>
    <w:rPr>
      <w:rFonts w:ascii="等线" w:hAnsi="等线" w:eastAsia="等线"/>
    </w:rPr>
  </w:style>
  <w:style w:type="paragraph" w:styleId="754">
    <w:name w:val="索引 4"/>
    <w:basedOn w:val="727"/>
    <w:next w:val="727"/>
    <w:link w:val="727"/>
    <w:uiPriority w:val="99"/>
    <w:qFormat/>
    <w:pPr>
      <w:ind w:left="600"/>
    </w:pPr>
    <w:rPr>
      <w:rFonts w:ascii="Verdana" w:hAnsi="Verdana"/>
      <w:szCs w:val="20"/>
    </w:rPr>
  </w:style>
  <w:style w:type="paragraph" w:styleId="755">
    <w:name w:val="目录 5"/>
    <w:basedOn w:val="727"/>
    <w:next w:val="727"/>
    <w:link w:val="727"/>
    <w:uiPriority w:val="39"/>
    <w:unhideWhenUsed/>
    <w:qFormat/>
    <w:pPr>
      <w:ind w:left="1134"/>
      <w:spacing w:after="57"/>
    </w:pPr>
  </w:style>
  <w:style w:type="paragraph" w:styleId="756">
    <w:name w:val="目录 3"/>
    <w:basedOn w:val="727"/>
    <w:next w:val="727"/>
    <w:link w:val="727"/>
    <w:uiPriority w:val="39"/>
    <w:unhideWhenUsed/>
    <w:qFormat/>
    <w:pPr>
      <w:ind w:left="567"/>
      <w:spacing w:after="57"/>
    </w:pPr>
  </w:style>
  <w:style w:type="paragraph" w:styleId="757">
    <w:name w:val="纯文本"/>
    <w:basedOn w:val="727"/>
    <w:next w:val="757"/>
    <w:link w:val="727"/>
    <w:uiPriority w:val="99"/>
    <w:qFormat/>
    <w:rPr>
      <w:rFonts w:ascii="宋体" w:hAnsi="Courier New"/>
      <w:sz w:val="20"/>
      <w:szCs w:val="21"/>
    </w:rPr>
  </w:style>
  <w:style w:type="paragraph" w:styleId="758">
    <w:name w:val="目录 8"/>
    <w:basedOn w:val="727"/>
    <w:next w:val="727"/>
    <w:link w:val="727"/>
    <w:uiPriority w:val="39"/>
    <w:unhideWhenUsed/>
    <w:qFormat/>
    <w:pPr>
      <w:ind w:left="1984"/>
      <w:spacing w:after="57"/>
    </w:pPr>
  </w:style>
  <w:style w:type="paragraph" w:styleId="759">
    <w:name w:val="正文文本缩进 2"/>
    <w:basedOn w:val="727"/>
    <w:next w:val="759"/>
    <w:link w:val="727"/>
    <w:uiPriority w:val="99"/>
    <w:unhideWhenUsed/>
    <w:qFormat/>
    <w:pPr>
      <w:ind w:firstLine="510"/>
      <w:spacing w:line="520" w:lineRule="exact"/>
    </w:pPr>
    <w:rPr>
      <w:rFonts w:ascii="华文仿宋" w:eastAsia="华文仿宋"/>
      <w:sz w:val="28"/>
      <w:szCs w:val="20"/>
    </w:rPr>
  </w:style>
  <w:style w:type="paragraph" w:styleId="760">
    <w:name w:val="尾注文本"/>
    <w:basedOn w:val="727"/>
    <w:next w:val="760"/>
    <w:link w:val="761"/>
    <w:uiPriority w:val="99"/>
    <w:unhideWhenUsed/>
    <w:qFormat/>
    <w:rPr>
      <w:sz w:val="20"/>
    </w:rPr>
  </w:style>
  <w:style w:type="character" w:styleId="761">
    <w:name w:val="尾注文本 字符"/>
    <w:next w:val="761"/>
    <w:link w:val="760"/>
    <w:uiPriority w:val="99"/>
    <w:qFormat/>
    <w:rPr>
      <w:sz w:val="20"/>
    </w:rPr>
  </w:style>
  <w:style w:type="paragraph" w:styleId="762">
    <w:name w:val="批注框文本"/>
    <w:basedOn w:val="727"/>
    <w:next w:val="762"/>
    <w:link w:val="763"/>
    <w:qFormat/>
    <w:rPr>
      <w:sz w:val="18"/>
      <w:szCs w:val="18"/>
    </w:rPr>
  </w:style>
  <w:style w:type="character" w:styleId="763">
    <w:name w:val="批注框文本 字符"/>
    <w:next w:val="763"/>
    <w:link w:val="762"/>
    <w:qFormat/>
    <w:rPr>
      <w:sz w:val="18"/>
      <w:szCs w:val="18"/>
    </w:rPr>
  </w:style>
  <w:style w:type="paragraph" w:styleId="764">
    <w:name w:val="页脚"/>
    <w:basedOn w:val="727"/>
    <w:next w:val="764"/>
    <w:link w:val="727"/>
    <w:uiPriority w:val="99"/>
    <w:unhideWhenUsed/>
    <w:qFormat/>
    <w:pPr>
      <w:jc w:val="left"/>
      <w:tabs>
        <w:tab w:val="center" w:pos="4153" w:leader="none"/>
        <w:tab w:val="right" w:pos="8306" w:leader="none"/>
      </w:tabs>
    </w:pPr>
    <w:rPr>
      <w:sz w:val="18"/>
      <w:szCs w:val="18"/>
    </w:rPr>
  </w:style>
  <w:style w:type="paragraph" w:styleId="765">
    <w:name w:val="寄信人地址"/>
    <w:basedOn w:val="727"/>
    <w:next w:val="765"/>
    <w:link w:val="727"/>
    <w:uiPriority w:val="99"/>
    <w:unhideWhenUsed/>
    <w:qFormat/>
    <w:rPr>
      <w:rFonts w:ascii="Arial" w:hAnsi="Arial"/>
    </w:rPr>
  </w:style>
  <w:style w:type="paragraph" w:styleId="766">
    <w:name w:val="页眉"/>
    <w:basedOn w:val="727"/>
    <w:next w:val="766"/>
    <w:link w:val="72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67">
    <w:name w:val="目录 1"/>
    <w:basedOn w:val="727"/>
    <w:next w:val="727"/>
    <w:link w:val="727"/>
    <w:uiPriority w:val="39"/>
    <w:unhideWhenUsed/>
    <w:qFormat/>
  </w:style>
  <w:style w:type="paragraph" w:styleId="768">
    <w:name w:val="目录 4"/>
    <w:basedOn w:val="727"/>
    <w:next w:val="727"/>
    <w:link w:val="727"/>
    <w:uiPriority w:val="39"/>
    <w:unhideWhenUsed/>
    <w:qFormat/>
    <w:pPr>
      <w:ind w:left="850"/>
      <w:spacing w:after="57"/>
    </w:pPr>
  </w:style>
  <w:style w:type="paragraph" w:styleId="769">
    <w:name w:val="副标题"/>
    <w:basedOn w:val="727"/>
    <w:next w:val="727"/>
    <w:link w:val="770"/>
    <w:uiPriority w:val="11"/>
    <w:qFormat/>
    <w:pPr>
      <w:spacing w:before="200" w:after="200"/>
    </w:pPr>
    <w:rPr>
      <w:sz w:val="24"/>
      <w:szCs w:val="24"/>
    </w:rPr>
  </w:style>
  <w:style w:type="character" w:styleId="770">
    <w:name w:val="副标题 字符"/>
    <w:next w:val="770"/>
    <w:link w:val="769"/>
    <w:uiPriority w:val="11"/>
    <w:qFormat/>
    <w:rPr>
      <w:sz w:val="24"/>
      <w:szCs w:val="24"/>
    </w:rPr>
  </w:style>
  <w:style w:type="paragraph" w:styleId="771">
    <w:name w:val="脚注文本"/>
    <w:basedOn w:val="727"/>
    <w:next w:val="771"/>
    <w:link w:val="772"/>
    <w:uiPriority w:val="99"/>
    <w:unhideWhenUsed/>
    <w:qFormat/>
    <w:pPr>
      <w:spacing w:after="40"/>
    </w:pPr>
    <w:rPr>
      <w:sz w:val="18"/>
    </w:rPr>
  </w:style>
  <w:style w:type="character" w:styleId="772">
    <w:name w:val="脚注文本 字符"/>
    <w:next w:val="772"/>
    <w:link w:val="771"/>
    <w:uiPriority w:val="99"/>
    <w:qFormat/>
    <w:rPr>
      <w:sz w:val="18"/>
    </w:rPr>
  </w:style>
  <w:style w:type="paragraph" w:styleId="773">
    <w:name w:val="目录 6"/>
    <w:basedOn w:val="727"/>
    <w:next w:val="727"/>
    <w:link w:val="727"/>
    <w:uiPriority w:val="39"/>
    <w:unhideWhenUsed/>
    <w:qFormat/>
    <w:pPr>
      <w:ind w:left="1417"/>
      <w:spacing w:after="57"/>
    </w:pPr>
  </w:style>
  <w:style w:type="paragraph" w:styleId="774">
    <w:name w:val="图表目录"/>
    <w:basedOn w:val="727"/>
    <w:next w:val="727"/>
    <w:link w:val="727"/>
    <w:uiPriority w:val="99"/>
    <w:unhideWhenUsed/>
    <w:qFormat/>
  </w:style>
  <w:style w:type="paragraph" w:styleId="775">
    <w:name w:val="目录 2"/>
    <w:basedOn w:val="727"/>
    <w:next w:val="727"/>
    <w:link w:val="727"/>
    <w:uiPriority w:val="39"/>
    <w:unhideWhenUsed/>
    <w:qFormat/>
    <w:pPr>
      <w:ind w:left="283"/>
      <w:spacing w:after="57"/>
    </w:pPr>
  </w:style>
  <w:style w:type="paragraph" w:styleId="776">
    <w:name w:val="目录 9"/>
    <w:basedOn w:val="727"/>
    <w:next w:val="727"/>
    <w:link w:val="727"/>
    <w:uiPriority w:val="39"/>
    <w:unhideWhenUsed/>
    <w:qFormat/>
    <w:pPr>
      <w:ind w:left="2268"/>
      <w:spacing w:after="57"/>
    </w:pPr>
  </w:style>
  <w:style w:type="paragraph" w:styleId="777">
    <w:name w:val="信息标题"/>
    <w:basedOn w:val="727"/>
    <w:next w:val="777"/>
    <w:link w:val="727"/>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78">
    <w:name w:val="普通(网站)"/>
    <w:basedOn w:val="727"/>
    <w:next w:val="778"/>
    <w:link w:val="727"/>
    <w:qFormat/>
    <w:rPr>
      <w:rFonts w:ascii="Times New Roman" w:hAnsi="Times New Roman"/>
      <w:sz w:val="24"/>
    </w:rPr>
  </w:style>
  <w:style w:type="paragraph" w:styleId="779">
    <w:name w:val="标题"/>
    <w:basedOn w:val="727"/>
    <w:next w:val="727"/>
    <w:link w:val="780"/>
    <w:uiPriority w:val="10"/>
    <w:qFormat/>
    <w:pPr>
      <w:contextualSpacing/>
      <w:spacing w:before="300" w:after="200"/>
    </w:pPr>
    <w:rPr>
      <w:sz w:val="48"/>
      <w:szCs w:val="48"/>
    </w:rPr>
  </w:style>
  <w:style w:type="character" w:styleId="780">
    <w:name w:val="标题 字符"/>
    <w:next w:val="780"/>
    <w:link w:val="779"/>
    <w:uiPriority w:val="10"/>
    <w:qFormat/>
    <w:rPr>
      <w:sz w:val="48"/>
      <w:szCs w:val="48"/>
    </w:rPr>
  </w:style>
  <w:style w:type="paragraph" w:styleId="781">
    <w:name w:val="批注主题"/>
    <w:basedOn w:val="749"/>
    <w:next w:val="749"/>
    <w:link w:val="782"/>
    <w:qFormat/>
    <w:rPr>
      <w:b/>
      <w:bCs/>
    </w:rPr>
  </w:style>
  <w:style w:type="character" w:styleId="782">
    <w:name w:val="批注主题 字符"/>
    <w:next w:val="782"/>
    <w:link w:val="781"/>
    <w:qFormat/>
    <w:rPr>
      <w:rFonts w:ascii="Calibri" w:hAnsi="Calibri"/>
      <w:b/>
      <w:bCs/>
      <w:sz w:val="21"/>
      <w:szCs w:val="22"/>
    </w:rPr>
  </w:style>
  <w:style w:type="paragraph" w:styleId="783">
    <w:name w:val="正文首行缩进"/>
    <w:basedOn w:val="751"/>
    <w:next w:val="727"/>
    <w:link w:val="727"/>
    <w:qFormat/>
    <w:pPr>
      <w:ind w:firstLine="420"/>
      <w:spacing w:after="120"/>
    </w:pPr>
    <w:rPr>
      <w:rFonts w:ascii="Times New Roman" w:eastAsia="宋体"/>
      <w:sz w:val="21"/>
    </w:rPr>
  </w:style>
  <w:style w:type="paragraph" w:styleId="784">
    <w:name w:val="正文首行缩进 2"/>
    <w:basedOn w:val="753"/>
    <w:next w:val="784"/>
    <w:link w:val="727"/>
    <w:qFormat/>
    <w:pPr>
      <w:ind w:firstLine="420"/>
      <w:spacing w:before="100" w:beforeAutospacing="1"/>
    </w:pPr>
    <w:rPr>
      <w:rFonts w:ascii="Times New Roman" w:hAnsi="Times New Roman" w:eastAsia="宋体"/>
      <w:sz w:val="20"/>
      <w:szCs w:val="21"/>
    </w:rPr>
  </w:style>
  <w:style w:type="table" w:styleId="785">
    <w:name w:val="网格型"/>
    <w:basedOn w:val="738"/>
    <w:next w:val="785"/>
    <w:link w:val="727"/>
    <w:qFormat/>
    <w:pPr>
      <w:jc w:val="both"/>
      <w:widowControl w:val="off"/>
    </w:pPr>
    <w:tblPr/>
  </w:style>
  <w:style w:type="character" w:styleId="786">
    <w:name w:val="要点"/>
    <w:basedOn w:val="737"/>
    <w:next w:val="786"/>
    <w:link w:val="727"/>
    <w:qFormat/>
    <w:rPr>
      <w:b/>
    </w:rPr>
  </w:style>
  <w:style w:type="character" w:styleId="787">
    <w:name w:val="尾注引用"/>
    <w:next w:val="787"/>
    <w:link w:val="727"/>
    <w:uiPriority w:val="99"/>
    <w:unhideWhenUsed/>
    <w:qFormat/>
    <w:rPr>
      <w:vertAlign w:val="superscript"/>
    </w:rPr>
  </w:style>
  <w:style w:type="character" w:styleId="788">
    <w:name w:val="页码"/>
    <w:next w:val="788"/>
    <w:link w:val="727"/>
    <w:qFormat/>
  </w:style>
  <w:style w:type="character" w:styleId="789">
    <w:name w:val="超链接"/>
    <w:next w:val="789"/>
    <w:link w:val="727"/>
    <w:qFormat/>
    <w:rPr>
      <w:color w:val="0000ff"/>
      <w:u w:val="single"/>
    </w:rPr>
  </w:style>
  <w:style w:type="character" w:styleId="790">
    <w:name w:val="批注引用"/>
    <w:next w:val="790"/>
    <w:link w:val="727"/>
    <w:qFormat/>
    <w:rPr>
      <w:sz w:val="21"/>
      <w:szCs w:val="21"/>
    </w:rPr>
  </w:style>
  <w:style w:type="character" w:styleId="791">
    <w:name w:val="脚注引用"/>
    <w:next w:val="791"/>
    <w:link w:val="727"/>
    <w:uiPriority w:val="99"/>
    <w:unhideWhenUsed/>
    <w:qFormat/>
    <w:rPr>
      <w:vertAlign w:val="superscript"/>
    </w:rPr>
  </w:style>
  <w:style w:type="paragraph" w:styleId="792">
    <w:name w:val="正文（缩进）"/>
    <w:basedOn w:val="727"/>
    <w:next w:val="793"/>
    <w:link w:val="727"/>
    <w:qFormat/>
    <w:pPr>
      <w:ind w:firstLine="480"/>
    </w:pPr>
  </w:style>
  <w:style w:type="paragraph" w:styleId="793">
    <w:name w:val="Char Char Char Char Char Char Char Char Char"/>
    <w:basedOn w:val="727"/>
    <w:next w:val="794"/>
    <w:link w:val="727"/>
    <w:qFormat/>
    <w:pPr>
      <w:ind w:left="360" w:firstLine="5784"/>
      <w:jc w:val="both"/>
      <w:spacing w:before="0" w:after="0" w:line="240" w:lineRule="auto"/>
      <w:widowControl w:val="off"/>
    </w:pPr>
  </w:style>
  <w:style w:type="paragraph" w:styleId="794">
    <w:name w:val="正文文本 21"/>
    <w:basedOn w:val="727"/>
    <w:next w:val="795"/>
    <w:link w:val="727"/>
    <w:qFormat/>
    <w:pPr>
      <w:ind w:left="720" w:firstLine="5680"/>
      <w:jc w:val="both"/>
      <w:spacing w:before="0" w:after="0" w:line="240" w:lineRule="auto"/>
      <w:widowControl/>
    </w:pPr>
  </w:style>
  <w:style w:type="paragraph" w:styleId="795">
    <w:name w:val="默认段落字体 Para Char Char Char Char Char Char Char"/>
    <w:basedOn w:val="727"/>
    <w:next w:val="796"/>
    <w:link w:val="727"/>
    <w:uiPriority w:val="1723"/>
    <w:qFormat/>
    <w:pPr>
      <w:ind w:firstLine="200"/>
    </w:pPr>
    <w:rPr>
      <w:rFonts w:cs="Arial"/>
    </w:rPr>
  </w:style>
  <w:style w:type="paragraph" w:styleId="796">
    <w:name w:val="样式 首行缩进:  2 字符"/>
    <w:basedOn w:val="727"/>
    <w:next w:val="797"/>
    <w:link w:val="727"/>
    <w:qFormat/>
    <w:pPr>
      <w:ind w:left="480" w:firstLine="5856"/>
      <w:jc w:val="both"/>
      <w:spacing w:before="0" w:after="0" w:line="360" w:lineRule="auto"/>
      <w:widowControl w:val="off"/>
    </w:pPr>
  </w:style>
  <w:style w:type="paragraph" w:styleId="797">
    <w:name w:val="样式 段后: 0.25 行"/>
    <w:basedOn w:val="727"/>
    <w:next w:val="798"/>
    <w:link w:val="727"/>
    <w:qFormat/>
    <w:pPr>
      <w:ind w:left="420" w:firstLine="5796"/>
      <w:spacing w:before="0" w:after="0" w:line="300" w:lineRule="auto"/>
      <w:widowControl/>
    </w:pPr>
  </w:style>
  <w:style w:type="paragraph" w:styleId="798">
    <w:name w:val="正文 New New New New New New New New New New New New New New"/>
    <w:next w:val="776"/>
    <w:link w:val="727"/>
    <w:qFormat/>
    <w:pPr>
      <w:ind w:firstLine="2048"/>
      <w:jc w:val="both"/>
      <w:widowControl w:val="off"/>
    </w:pPr>
    <w:rPr>
      <w:rFonts w:ascii="Calibri" w:hAnsi="Calibri" w:eastAsia="宋体" w:cs="Times New Roman"/>
      <w:lang w:val="en-US" w:eastAsia="zh-CN" w:bidi="ar-SA"/>
    </w:rPr>
  </w:style>
  <w:style w:type="paragraph" w:styleId="799">
    <w:name w:val="目录 91"/>
    <w:basedOn w:val="727"/>
    <w:next w:val="727"/>
    <w:link w:val="727"/>
    <w:uiPriority w:val="39"/>
    <w:unhideWhenUsed/>
    <w:qFormat/>
    <w:pPr>
      <w:ind w:left="2268" w:right="0" w:firstLine="0"/>
      <w:spacing w:after="57"/>
    </w:pPr>
  </w:style>
  <w:style w:type="paragraph" w:styleId="800">
    <w:name w:val="正文1"/>
    <w:basedOn w:val="727"/>
    <w:next w:val="800"/>
    <w:link w:val="727"/>
    <w:qFormat/>
    <w:pPr>
      <w:jc w:val="left"/>
      <w:spacing w:line="360" w:lineRule="atLeast"/>
    </w:pPr>
    <w:rPr>
      <w:rFonts w:ascii="宋体" w:hAnsi="Calibri" w:eastAsia="宋体" w:cs="Times New Roman"/>
      <w:sz w:val="24"/>
      <w:szCs w:val="20"/>
    </w:rPr>
  </w:style>
  <w:style w:type="paragraph" w:styleId="801">
    <w:name w:val="列表段落"/>
    <w:basedOn w:val="727"/>
    <w:next w:val="801"/>
    <w:link w:val="727"/>
    <w:qFormat/>
    <w:pPr>
      <w:ind w:firstLine="420"/>
    </w:pPr>
  </w:style>
  <w:style w:type="table" w:styleId="802">
    <w:name w:val="Bordered - Accent 2"/>
    <w:basedOn w:val="738"/>
    <w:next w:val="802"/>
    <w:link w:val="727"/>
    <w:uiPriority w:val="99"/>
    <w:qFormat/>
    <w:tblPr/>
  </w:style>
  <w:style w:type="table" w:styleId="803">
    <w:name w:val="Grid Table 1 Light - Accent 3"/>
    <w:basedOn w:val="738"/>
    <w:next w:val="803"/>
    <w:link w:val="727"/>
    <w:uiPriority w:val="99"/>
    <w:qFormat/>
    <w:tblPr/>
  </w:style>
  <w:style w:type="paragraph" w:styleId="804">
    <w:name w:val="修订1"/>
    <w:next w:val="804"/>
    <w:link w:val="727"/>
    <w:uiPriority w:val="99"/>
    <w:semiHidden/>
    <w:qFormat/>
    <w:rPr>
      <w:rFonts w:ascii="Calibri" w:hAnsi="Calibri"/>
      <w:sz w:val="21"/>
      <w:szCs w:val="22"/>
      <w:lang w:val="en-US" w:eastAsia="zh-CN" w:bidi="ar-SA"/>
    </w:rPr>
  </w:style>
  <w:style w:type="table" w:styleId="805">
    <w:name w:val="Bordered - Accent 1"/>
    <w:basedOn w:val="738"/>
    <w:next w:val="805"/>
    <w:link w:val="727"/>
    <w:uiPriority w:val="99"/>
    <w:qFormat/>
    <w:tblPr/>
  </w:style>
  <w:style w:type="paragraph" w:styleId="806">
    <w:name w:val="Table Paragraph"/>
    <w:basedOn w:val="727"/>
    <w:next w:val="806"/>
    <w:link w:val="727"/>
    <w:uiPriority w:val="1"/>
    <w:qFormat/>
    <w:rPr>
      <w:rFonts w:ascii="Noto Sans CJK JP Regular" w:hAnsi="Noto Sans CJK JP Regular" w:eastAsia="Noto Sans CJK JP Regular" w:cs="Noto Sans CJK JP Regular"/>
    </w:rPr>
  </w:style>
  <w:style w:type="paragraph" w:styleId="807">
    <w:name w:val="章标题"/>
    <w:next w:val="727"/>
    <w:link w:val="72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08">
    <w:name w:val="引用"/>
    <w:basedOn w:val="727"/>
    <w:next w:val="727"/>
    <w:link w:val="809"/>
    <w:uiPriority w:val="29"/>
    <w:qFormat/>
    <w:pPr>
      <w:ind w:left="720" w:right="720"/>
    </w:pPr>
    <w:rPr>
      <w:i/>
    </w:rPr>
  </w:style>
  <w:style w:type="character" w:styleId="809">
    <w:name w:val="引用 字符"/>
    <w:next w:val="809"/>
    <w:link w:val="808"/>
    <w:uiPriority w:val="29"/>
    <w:qFormat/>
    <w:rPr>
      <w:i/>
    </w:rPr>
  </w:style>
  <w:style w:type="table" w:styleId="810">
    <w:name w:val="Bordered &amp; Lined - Accent"/>
    <w:basedOn w:val="738"/>
    <w:next w:val="810"/>
    <w:link w:val="727"/>
    <w:uiPriority w:val="99"/>
    <w:qFormat/>
    <w:rPr>
      <w:color w:val="404040"/>
    </w:rPr>
    <w:tblPr/>
  </w:style>
  <w:style w:type="table" w:styleId="811">
    <w:name w:val="无格式表格 51"/>
    <w:basedOn w:val="738"/>
    <w:next w:val="811"/>
    <w:link w:val="727"/>
    <w:uiPriority w:val="99"/>
    <w:qFormat/>
    <w:tblPr/>
  </w:style>
  <w:style w:type="table" w:styleId="812">
    <w:name w:val="Table Grid Light"/>
    <w:basedOn w:val="738"/>
    <w:next w:val="812"/>
    <w:link w:val="727"/>
    <w:uiPriority w:val="59"/>
    <w:qFormat/>
    <w:tblPr/>
  </w:style>
  <w:style w:type="table" w:styleId="813">
    <w:name w:val="Bordered &amp; Lined - Accent 3"/>
    <w:basedOn w:val="738"/>
    <w:next w:val="813"/>
    <w:link w:val="727"/>
    <w:uiPriority w:val="99"/>
    <w:qFormat/>
    <w:rPr>
      <w:color w:val="404040"/>
    </w:rPr>
    <w:tblPr/>
  </w:style>
  <w:style w:type="table" w:styleId="814">
    <w:name w:val="Grid Table 5 Dark- Accent 4"/>
    <w:basedOn w:val="738"/>
    <w:next w:val="814"/>
    <w:link w:val="727"/>
    <w:uiPriority w:val="99"/>
    <w:qFormat/>
    <w:tblPr/>
  </w:style>
  <w:style w:type="table" w:styleId="815">
    <w:name w:val="Grid Table 6 Colorful - Accent 4"/>
    <w:basedOn w:val="738"/>
    <w:next w:val="815"/>
    <w:link w:val="727"/>
    <w:uiPriority w:val="99"/>
    <w:qFormat/>
    <w:tblPr/>
  </w:style>
  <w:style w:type="table" w:styleId="816">
    <w:name w:val="Grid Table 6 Colorful - Accent 6"/>
    <w:basedOn w:val="738"/>
    <w:next w:val="816"/>
    <w:link w:val="727"/>
    <w:uiPriority w:val="99"/>
    <w:qFormat/>
    <w:tblPr/>
  </w:style>
  <w:style w:type="table" w:styleId="817">
    <w:name w:val="Grid Table 1 Light - Accent 6"/>
    <w:basedOn w:val="738"/>
    <w:next w:val="817"/>
    <w:link w:val="727"/>
    <w:uiPriority w:val="99"/>
    <w:qFormat/>
    <w:tblPr/>
  </w:style>
  <w:style w:type="table" w:styleId="818">
    <w:name w:val="Grid Table 7 Colorful - Accent 3"/>
    <w:basedOn w:val="738"/>
    <w:next w:val="818"/>
    <w:link w:val="727"/>
    <w:uiPriority w:val="99"/>
    <w:qFormat/>
    <w:tblPr/>
  </w:style>
  <w:style w:type="table" w:styleId="819">
    <w:name w:val="清单表 31"/>
    <w:basedOn w:val="738"/>
    <w:next w:val="819"/>
    <w:link w:val="727"/>
    <w:uiPriority w:val="99"/>
    <w:qFormat/>
    <w:tblPr/>
  </w:style>
  <w:style w:type="paragraph" w:styleId="820">
    <w:name w:val="正文文本1"/>
    <w:basedOn w:val="800"/>
    <w:next w:val="821"/>
    <w:link w:val="727"/>
    <w:qFormat/>
    <w:pPr>
      <w:spacing w:after="120"/>
    </w:pPr>
    <w:rPr>
      <w:lang w:eastAsia="en-US"/>
    </w:rPr>
  </w:style>
  <w:style w:type="paragraph" w:styleId="821">
    <w:name w:val="一级条标题"/>
    <w:basedOn w:val="807"/>
    <w:next w:val="822"/>
    <w:link w:val="72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2">
    <w:name w:val="段"/>
    <w:basedOn w:val="800"/>
    <w:next w:val="727"/>
    <w:link w:val="727"/>
    <w:qFormat/>
    <w:pPr>
      <w:ind w:firstLine="200"/>
      <w:widowControl/>
    </w:pPr>
    <w:rPr>
      <w:sz w:val="20"/>
    </w:rPr>
  </w:style>
  <w:style w:type="table" w:styleId="823">
    <w:name w:val="Grid Table 7 Colorful - Accent 2"/>
    <w:basedOn w:val="738"/>
    <w:next w:val="823"/>
    <w:link w:val="727"/>
    <w:uiPriority w:val="99"/>
    <w:qFormat/>
    <w:tblPr/>
  </w:style>
  <w:style w:type="table" w:styleId="824">
    <w:name w:val="Grid Table 4 - Accent 1"/>
    <w:basedOn w:val="738"/>
    <w:next w:val="824"/>
    <w:link w:val="727"/>
    <w:uiPriority w:val="59"/>
    <w:qFormat/>
    <w:tblPr/>
  </w:style>
  <w:style w:type="table" w:styleId="825">
    <w:name w:val="List Table 4 - Accent 4"/>
    <w:basedOn w:val="738"/>
    <w:next w:val="825"/>
    <w:link w:val="727"/>
    <w:uiPriority w:val="99"/>
    <w:qFormat/>
    <w:tblPr/>
  </w:style>
  <w:style w:type="table" w:styleId="826">
    <w:name w:val="Lined - Accent 3"/>
    <w:basedOn w:val="738"/>
    <w:next w:val="826"/>
    <w:link w:val="727"/>
    <w:uiPriority w:val="99"/>
    <w:qFormat/>
    <w:rPr>
      <w:color w:val="404040"/>
    </w:rPr>
    <w:tblPr/>
  </w:style>
  <w:style w:type="table" w:styleId="827">
    <w:name w:val="List Table 5 Dark - Accent 4"/>
    <w:basedOn w:val="738"/>
    <w:next w:val="827"/>
    <w:link w:val="727"/>
    <w:uiPriority w:val="99"/>
    <w:qFormat/>
    <w:tblPr/>
  </w:style>
  <w:style w:type="table" w:styleId="828">
    <w:name w:val="网格表 6 彩色1"/>
    <w:basedOn w:val="738"/>
    <w:next w:val="828"/>
    <w:link w:val="727"/>
    <w:uiPriority w:val="99"/>
    <w:qFormat/>
    <w:tblPr/>
  </w:style>
  <w:style w:type="table" w:styleId="829">
    <w:name w:val="Lined - Accent 5"/>
    <w:basedOn w:val="738"/>
    <w:next w:val="829"/>
    <w:link w:val="727"/>
    <w:uiPriority w:val="99"/>
    <w:qFormat/>
    <w:rPr>
      <w:color w:val="404040"/>
    </w:rPr>
    <w:tblPr/>
  </w:style>
  <w:style w:type="table" w:styleId="830">
    <w:name w:val="List Table 2 - Accent 1"/>
    <w:basedOn w:val="738"/>
    <w:next w:val="830"/>
    <w:link w:val="727"/>
    <w:uiPriority w:val="99"/>
    <w:qFormat/>
    <w:tblPr/>
  </w:style>
  <w:style w:type="table" w:styleId="831">
    <w:name w:val="List Table 2 - Accent 3"/>
    <w:basedOn w:val="738"/>
    <w:next w:val="831"/>
    <w:link w:val="727"/>
    <w:uiPriority w:val="99"/>
    <w:qFormat/>
    <w:tblPr/>
  </w:style>
  <w:style w:type="table" w:styleId="832">
    <w:name w:val="List Table 6 Colorful - Accent 4"/>
    <w:basedOn w:val="738"/>
    <w:next w:val="832"/>
    <w:link w:val="727"/>
    <w:uiPriority w:val="99"/>
    <w:qFormat/>
    <w:tblPr/>
  </w:style>
  <w:style w:type="paragraph" w:styleId="833">
    <w:name w:val="无间隔"/>
    <w:next w:val="833"/>
    <w:link w:val="727"/>
    <w:uiPriority w:val="1"/>
    <w:qFormat/>
    <w:rPr>
      <w:sz w:val="21"/>
      <w:szCs w:val="22"/>
      <w:lang w:val="en-US" w:eastAsia="zh-CN" w:bidi="ar-SA"/>
    </w:rPr>
  </w:style>
  <w:style w:type="character" w:styleId="834">
    <w:name w:val="明显引用 字符"/>
    <w:next w:val="834"/>
    <w:link w:val="835"/>
    <w:uiPriority w:val="30"/>
    <w:qFormat/>
    <w:rPr>
      <w:i/>
    </w:rPr>
  </w:style>
  <w:style w:type="paragraph" w:styleId="835">
    <w:name w:val="明显引用"/>
    <w:basedOn w:val="727"/>
    <w:next w:val="727"/>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6">
    <w:name w:val="Grid Table 7 Colorful - Accent 4"/>
    <w:basedOn w:val="738"/>
    <w:next w:val="836"/>
    <w:link w:val="727"/>
    <w:uiPriority w:val="99"/>
    <w:qFormat/>
    <w:tblPr/>
  </w:style>
  <w:style w:type="table" w:styleId="837">
    <w:name w:val="List Table 3 - Accent 4"/>
    <w:basedOn w:val="738"/>
    <w:next w:val="837"/>
    <w:link w:val="727"/>
    <w:uiPriority w:val="99"/>
    <w:qFormat/>
    <w:tblPr/>
  </w:style>
  <w:style w:type="table" w:styleId="838">
    <w:name w:val="List Table 6 Colorful - Accent 3"/>
    <w:basedOn w:val="738"/>
    <w:next w:val="838"/>
    <w:link w:val="727"/>
    <w:uiPriority w:val="99"/>
    <w:qFormat/>
    <w:tblPr/>
  </w:style>
  <w:style w:type="table" w:styleId="839">
    <w:name w:val="List Table 2 - Accent 5"/>
    <w:basedOn w:val="738"/>
    <w:next w:val="839"/>
    <w:link w:val="727"/>
    <w:uiPriority w:val="99"/>
    <w:qFormat/>
    <w:tblPr/>
  </w:style>
  <w:style w:type="table" w:styleId="840">
    <w:name w:val="List Table 1 Light - Accent 3"/>
    <w:basedOn w:val="738"/>
    <w:next w:val="840"/>
    <w:link w:val="727"/>
    <w:uiPriority w:val="99"/>
    <w:qFormat/>
    <w:tblPr/>
  </w:style>
  <w:style w:type="table" w:styleId="841">
    <w:name w:val="Bordered"/>
    <w:basedOn w:val="738"/>
    <w:next w:val="841"/>
    <w:link w:val="727"/>
    <w:uiPriority w:val="99"/>
    <w:qFormat/>
    <w:tblPr/>
  </w:style>
  <w:style w:type="table" w:styleId="842">
    <w:name w:val="List Table 1 Light - Accent 2"/>
    <w:basedOn w:val="738"/>
    <w:next w:val="842"/>
    <w:link w:val="727"/>
    <w:uiPriority w:val="99"/>
    <w:qFormat/>
    <w:tblPr/>
  </w:style>
  <w:style w:type="table" w:styleId="843">
    <w:name w:val="Bordered - Accent 4"/>
    <w:basedOn w:val="738"/>
    <w:next w:val="843"/>
    <w:link w:val="727"/>
    <w:uiPriority w:val="99"/>
    <w:qFormat/>
    <w:tblPr/>
  </w:style>
  <w:style w:type="table" w:styleId="844">
    <w:name w:val="网格表 21"/>
    <w:basedOn w:val="738"/>
    <w:next w:val="844"/>
    <w:link w:val="727"/>
    <w:uiPriority w:val="99"/>
    <w:qFormat/>
    <w:tblPr/>
  </w:style>
  <w:style w:type="table" w:styleId="845">
    <w:name w:val="Bordered &amp; Lined - Accent 5"/>
    <w:basedOn w:val="738"/>
    <w:next w:val="845"/>
    <w:link w:val="727"/>
    <w:uiPriority w:val="99"/>
    <w:qFormat/>
    <w:rPr>
      <w:color w:val="404040"/>
    </w:rPr>
    <w:tblPr/>
  </w:style>
  <w:style w:type="character" w:styleId="846">
    <w:name w:val="Heading 3 Char"/>
    <w:next w:val="846"/>
    <w:link w:val="727"/>
    <w:uiPriority w:val="9"/>
    <w:qFormat/>
    <w:rPr>
      <w:rFonts w:ascii="Arial" w:hAnsi="Arial" w:eastAsia="Arial" w:cs="Arial"/>
      <w:sz w:val="30"/>
      <w:szCs w:val="30"/>
    </w:rPr>
  </w:style>
  <w:style w:type="paragraph" w:styleId="847">
    <w:name w:val="02"/>
    <w:next w:val="847"/>
    <w:link w:val="727"/>
    <w:qFormat/>
    <w:pPr>
      <w:numPr>
        <w:ilvl w:val="1"/>
        <w:numId w:val="1"/>
      </w:numPr>
      <w:spacing w:line="360" w:lineRule="auto"/>
      <w:outlineLvl w:val="1"/>
    </w:pPr>
    <w:rPr>
      <w:rFonts w:ascii="Calibri" w:hAnsi="Calibri"/>
      <w:b/>
      <w:sz w:val="28"/>
      <w:szCs w:val="22"/>
      <w:lang w:val="en-US" w:eastAsia="zh-CN" w:bidi="ar-SA"/>
    </w:rPr>
  </w:style>
  <w:style w:type="table" w:styleId="848">
    <w:name w:val="List Table 5 Dark - Accent 5"/>
    <w:basedOn w:val="738"/>
    <w:next w:val="848"/>
    <w:link w:val="727"/>
    <w:uiPriority w:val="99"/>
    <w:qFormat/>
    <w:tblPr/>
  </w:style>
  <w:style w:type="table" w:styleId="849">
    <w:name w:val="Grid Table 6 Colorful - Accent 1"/>
    <w:basedOn w:val="738"/>
    <w:next w:val="849"/>
    <w:link w:val="727"/>
    <w:uiPriority w:val="99"/>
    <w:qFormat/>
    <w:tblPr/>
  </w:style>
  <w:style w:type="table" w:styleId="850">
    <w:name w:val="List Table 5 Dark - Accent 6"/>
    <w:basedOn w:val="738"/>
    <w:next w:val="850"/>
    <w:link w:val="727"/>
    <w:uiPriority w:val="99"/>
    <w:qFormat/>
    <w:tblPr/>
  </w:style>
  <w:style w:type="table" w:styleId="851">
    <w:name w:val="Grid Table 3 - Accent 1"/>
    <w:basedOn w:val="738"/>
    <w:next w:val="851"/>
    <w:link w:val="727"/>
    <w:uiPriority w:val="99"/>
    <w:qFormat/>
    <w:tblPr/>
  </w:style>
  <w:style w:type="table" w:styleId="852">
    <w:name w:val="Grid Table 3 - Accent 6"/>
    <w:basedOn w:val="738"/>
    <w:next w:val="852"/>
    <w:link w:val="727"/>
    <w:uiPriority w:val="99"/>
    <w:qFormat/>
    <w:tblPr/>
  </w:style>
  <w:style w:type="table" w:styleId="853">
    <w:name w:val="Grid Table 3 - Accent 4"/>
    <w:basedOn w:val="738"/>
    <w:next w:val="853"/>
    <w:link w:val="727"/>
    <w:uiPriority w:val="99"/>
    <w:qFormat/>
    <w:tblPr/>
  </w:style>
  <w:style w:type="table" w:styleId="854">
    <w:name w:val="List Table 3 - Accent 2"/>
    <w:basedOn w:val="738"/>
    <w:next w:val="854"/>
    <w:link w:val="727"/>
    <w:uiPriority w:val="99"/>
    <w:qFormat/>
    <w:tblPr/>
  </w:style>
  <w:style w:type="table" w:styleId="855">
    <w:name w:val="Grid Table 3 - Accent 5"/>
    <w:basedOn w:val="738"/>
    <w:next w:val="855"/>
    <w:link w:val="727"/>
    <w:uiPriority w:val="99"/>
    <w:qFormat/>
    <w:tblPr/>
  </w:style>
  <w:style w:type="table" w:styleId="856">
    <w:name w:val="List Table 1 Light - Accent 1"/>
    <w:basedOn w:val="738"/>
    <w:next w:val="856"/>
    <w:link w:val="727"/>
    <w:uiPriority w:val="99"/>
    <w:qFormat/>
    <w:tblPr/>
  </w:style>
  <w:style w:type="table" w:styleId="857">
    <w:name w:val="Grid Table 5 Dark- Accent 1"/>
    <w:basedOn w:val="738"/>
    <w:next w:val="857"/>
    <w:link w:val="727"/>
    <w:uiPriority w:val="99"/>
    <w:qFormat/>
    <w:tblPr/>
  </w:style>
  <w:style w:type="table" w:styleId="858">
    <w:name w:val="List Table 2 - Accent 2"/>
    <w:basedOn w:val="738"/>
    <w:next w:val="858"/>
    <w:link w:val="727"/>
    <w:uiPriority w:val="99"/>
    <w:qFormat/>
    <w:tblPr/>
  </w:style>
  <w:style w:type="paragraph" w:styleId="859">
    <w:name w:val="Revision"/>
    <w:next w:val="859"/>
    <w:link w:val="727"/>
    <w:uiPriority w:val="99"/>
    <w:unhideWhenUsed/>
    <w:qFormat/>
    <w:rPr>
      <w:rFonts w:ascii="Calibri" w:hAnsi="Calibri"/>
      <w:sz w:val="21"/>
      <w:szCs w:val="22"/>
      <w:lang w:val="en-US" w:eastAsia="zh-CN" w:bidi="ar-SA"/>
    </w:rPr>
  </w:style>
  <w:style w:type="table" w:styleId="860">
    <w:name w:val="清单表 6 彩色1"/>
    <w:basedOn w:val="738"/>
    <w:next w:val="860"/>
    <w:link w:val="727"/>
    <w:uiPriority w:val="99"/>
    <w:qFormat/>
    <w:tblPr/>
  </w:style>
  <w:style w:type="table" w:styleId="861">
    <w:name w:val="List Table 3 - Accent 5"/>
    <w:basedOn w:val="738"/>
    <w:next w:val="861"/>
    <w:link w:val="727"/>
    <w:uiPriority w:val="99"/>
    <w:qFormat/>
    <w:tblPr/>
  </w:style>
  <w:style w:type="character" w:styleId="862">
    <w:name w:val="Heading 2 Char"/>
    <w:next w:val="862"/>
    <w:link w:val="727"/>
    <w:uiPriority w:val="9"/>
    <w:qFormat/>
    <w:rPr>
      <w:rFonts w:ascii="Arial" w:hAnsi="Arial" w:eastAsia="Arial" w:cs="Arial"/>
      <w:sz w:val="34"/>
    </w:rPr>
  </w:style>
  <w:style w:type="table" w:styleId="863">
    <w:name w:val="List Table 4 - Accent 1"/>
    <w:basedOn w:val="738"/>
    <w:next w:val="863"/>
    <w:link w:val="727"/>
    <w:uiPriority w:val="99"/>
    <w:qFormat/>
    <w:tblPr/>
  </w:style>
  <w:style w:type="table" w:styleId="864">
    <w:name w:val="List Table 4 - Accent 6"/>
    <w:basedOn w:val="738"/>
    <w:next w:val="864"/>
    <w:link w:val="727"/>
    <w:uiPriority w:val="99"/>
    <w:qFormat/>
    <w:tblPr/>
  </w:style>
  <w:style w:type="table" w:styleId="865">
    <w:name w:val="Grid Table 6 Colorful - Accent 2"/>
    <w:basedOn w:val="738"/>
    <w:next w:val="865"/>
    <w:link w:val="727"/>
    <w:uiPriority w:val="99"/>
    <w:qFormat/>
    <w:tblPr/>
  </w:style>
  <w:style w:type="character" w:styleId="866">
    <w:name w:val="Header Char"/>
    <w:next w:val="866"/>
    <w:link w:val="727"/>
    <w:uiPriority w:val="99"/>
    <w:qFormat/>
  </w:style>
  <w:style w:type="table" w:styleId="867">
    <w:name w:val="List Table 6 Colorful - Accent 1"/>
    <w:basedOn w:val="738"/>
    <w:next w:val="867"/>
    <w:link w:val="727"/>
    <w:uiPriority w:val="99"/>
    <w:qFormat/>
    <w:tblPr/>
  </w:style>
  <w:style w:type="table" w:styleId="868">
    <w:name w:val="Grid Table 6 Colorful - Accent 3"/>
    <w:basedOn w:val="738"/>
    <w:next w:val="868"/>
    <w:link w:val="727"/>
    <w:uiPriority w:val="99"/>
    <w:qFormat/>
    <w:tblPr/>
  </w:style>
  <w:style w:type="table" w:styleId="869">
    <w:name w:val="List Table 3 - Accent 6"/>
    <w:basedOn w:val="738"/>
    <w:next w:val="869"/>
    <w:link w:val="727"/>
    <w:uiPriority w:val="99"/>
    <w:qFormat/>
    <w:tblPr/>
  </w:style>
  <w:style w:type="character" w:styleId="870">
    <w:name w:val="Footer Char"/>
    <w:next w:val="870"/>
    <w:link w:val="727"/>
    <w:uiPriority w:val="99"/>
    <w:qFormat/>
  </w:style>
  <w:style w:type="table" w:styleId="871">
    <w:name w:val="List Table 2 - Accent 4"/>
    <w:basedOn w:val="738"/>
    <w:next w:val="871"/>
    <w:link w:val="727"/>
    <w:uiPriority w:val="99"/>
    <w:qFormat/>
    <w:tblPr/>
  </w:style>
  <w:style w:type="table" w:styleId="872">
    <w:name w:val="List Table 4 - Accent 3"/>
    <w:basedOn w:val="738"/>
    <w:next w:val="872"/>
    <w:link w:val="727"/>
    <w:uiPriority w:val="99"/>
    <w:qFormat/>
    <w:tblPr/>
  </w:style>
  <w:style w:type="table" w:styleId="873">
    <w:name w:val="Grid Table 2 - Accent 1"/>
    <w:basedOn w:val="738"/>
    <w:next w:val="873"/>
    <w:link w:val="727"/>
    <w:uiPriority w:val="99"/>
    <w:qFormat/>
    <w:tblPr/>
  </w:style>
  <w:style w:type="paragraph" w:styleId="874">
    <w:name w:val="Char"/>
    <w:basedOn w:val="727"/>
    <w:next w:val="874"/>
    <w:link w:val="727"/>
    <w:qFormat/>
    <w:pPr>
      <w:ind w:firstLine="200"/>
      <w:tabs>
        <w:tab w:val="left" w:pos="360" w:leader="none"/>
      </w:tabs>
    </w:pPr>
    <w:rPr>
      <w:rFonts w:ascii="Times New Roman" w:hAnsi="Times New Roman"/>
      <w:sz w:val="28"/>
      <w:szCs w:val="30"/>
    </w:rPr>
  </w:style>
  <w:style w:type="paragraph" w:styleId="875">
    <w:name w:val="GP正文(首行缩进)"/>
    <w:basedOn w:val="727"/>
    <w:next w:val="875"/>
    <w:link w:val="727"/>
    <w:qFormat/>
    <w:pPr>
      <w:ind w:firstLine="480"/>
      <w:jc w:val="left"/>
    </w:pPr>
    <w:rPr>
      <w:rFonts w:ascii="Times New Roman" w:hAnsi="宋体"/>
      <w:sz w:val="24"/>
      <w:szCs w:val="24"/>
    </w:rPr>
  </w:style>
  <w:style w:type="table" w:styleId="876">
    <w:name w:val="List Table 7 Colorful - Accent 5"/>
    <w:basedOn w:val="738"/>
    <w:next w:val="876"/>
    <w:link w:val="727"/>
    <w:uiPriority w:val="99"/>
    <w:qFormat/>
    <w:tblPr/>
  </w:style>
  <w:style w:type="table" w:styleId="877">
    <w:name w:val="Bordered &amp; Lined - Accent 2"/>
    <w:basedOn w:val="738"/>
    <w:next w:val="877"/>
    <w:link w:val="727"/>
    <w:uiPriority w:val="99"/>
    <w:qFormat/>
    <w:rPr>
      <w:color w:val="404040"/>
    </w:rPr>
    <w:tblPr/>
  </w:style>
  <w:style w:type="table" w:styleId="878">
    <w:name w:val="清单表 41"/>
    <w:basedOn w:val="738"/>
    <w:next w:val="878"/>
    <w:link w:val="727"/>
    <w:uiPriority w:val="99"/>
    <w:qFormat/>
    <w:tblPr/>
  </w:style>
  <w:style w:type="table" w:styleId="879">
    <w:name w:val="Grid Table 2 - Accent 4"/>
    <w:basedOn w:val="738"/>
    <w:next w:val="879"/>
    <w:link w:val="727"/>
    <w:uiPriority w:val="99"/>
    <w:qFormat/>
    <w:tblPr/>
  </w:style>
  <w:style w:type="table" w:styleId="880">
    <w:name w:val="List Table 7 Colorful - Accent 2"/>
    <w:basedOn w:val="738"/>
    <w:next w:val="880"/>
    <w:link w:val="727"/>
    <w:uiPriority w:val="99"/>
    <w:qFormat/>
    <w:tblPr/>
  </w:style>
  <w:style w:type="character" w:styleId="881">
    <w:name w:val="Heading 1 Char"/>
    <w:next w:val="881"/>
    <w:link w:val="727"/>
    <w:uiPriority w:val="9"/>
    <w:qFormat/>
    <w:rPr>
      <w:rFonts w:ascii="Arial" w:hAnsi="Arial" w:eastAsia="Arial" w:cs="Arial"/>
      <w:sz w:val="40"/>
      <w:szCs w:val="40"/>
    </w:rPr>
  </w:style>
  <w:style w:type="table" w:styleId="882">
    <w:name w:val="Grid Table 1 Light - Accent 5"/>
    <w:basedOn w:val="738"/>
    <w:next w:val="882"/>
    <w:link w:val="727"/>
    <w:uiPriority w:val="99"/>
    <w:qFormat/>
    <w:tblPr/>
  </w:style>
  <w:style w:type="table" w:styleId="883">
    <w:name w:val="List Table 6 Colorful - Accent 5"/>
    <w:basedOn w:val="738"/>
    <w:next w:val="883"/>
    <w:link w:val="727"/>
    <w:uiPriority w:val="99"/>
    <w:qFormat/>
    <w:tblPr/>
  </w:style>
  <w:style w:type="table" w:styleId="884">
    <w:name w:val="Lined - Accent 4"/>
    <w:basedOn w:val="738"/>
    <w:next w:val="884"/>
    <w:link w:val="727"/>
    <w:uiPriority w:val="99"/>
    <w:qFormat/>
    <w:rPr>
      <w:color w:val="404040"/>
    </w:rPr>
    <w:tblPr/>
  </w:style>
  <w:style w:type="character" w:styleId="885">
    <w:name w:val="font71"/>
    <w:next w:val="885"/>
    <w:link w:val="727"/>
    <w:qFormat/>
    <w:rPr>
      <w:rFonts w:hint="eastAsia" w:ascii="宋体" w:hAnsi="宋体" w:eastAsia="宋体" w:cs="宋体"/>
      <w:color w:val="ff0000"/>
      <w:sz w:val="21"/>
      <w:szCs w:val="21"/>
      <w:u w:val="none"/>
    </w:rPr>
  </w:style>
  <w:style w:type="table" w:styleId="886">
    <w:name w:val="List Table 4 - Accent 5"/>
    <w:basedOn w:val="738"/>
    <w:next w:val="886"/>
    <w:link w:val="727"/>
    <w:uiPriority w:val="99"/>
    <w:qFormat/>
    <w:tblPr/>
  </w:style>
  <w:style w:type="table" w:styleId="887">
    <w:name w:val="Grid Table 5 Dark - Accent 5"/>
    <w:basedOn w:val="738"/>
    <w:next w:val="887"/>
    <w:link w:val="727"/>
    <w:uiPriority w:val="99"/>
    <w:qFormat/>
    <w:tblPr/>
  </w:style>
  <w:style w:type="table" w:styleId="888">
    <w:name w:val="Grid Table 3 - Accent 2"/>
    <w:basedOn w:val="738"/>
    <w:next w:val="888"/>
    <w:link w:val="727"/>
    <w:uiPriority w:val="99"/>
    <w:qFormat/>
    <w:tblPr/>
  </w:style>
  <w:style w:type="table" w:styleId="889">
    <w:name w:val="清单表 21"/>
    <w:basedOn w:val="738"/>
    <w:next w:val="889"/>
    <w:link w:val="727"/>
    <w:uiPriority w:val="99"/>
    <w:qFormat/>
    <w:tblPr/>
  </w:style>
  <w:style w:type="table" w:styleId="890">
    <w:name w:val="Bordered - Accent 5"/>
    <w:basedOn w:val="738"/>
    <w:next w:val="890"/>
    <w:link w:val="727"/>
    <w:uiPriority w:val="99"/>
    <w:qFormat/>
    <w:tblPr/>
  </w:style>
  <w:style w:type="table" w:styleId="891">
    <w:name w:val="List Table 2 - Accent 6"/>
    <w:basedOn w:val="738"/>
    <w:next w:val="891"/>
    <w:link w:val="727"/>
    <w:uiPriority w:val="99"/>
    <w:qFormat/>
    <w:tblPr/>
  </w:style>
  <w:style w:type="table" w:styleId="892">
    <w:name w:val="清单表 5 深色1"/>
    <w:basedOn w:val="738"/>
    <w:next w:val="892"/>
    <w:link w:val="727"/>
    <w:uiPriority w:val="99"/>
    <w:qFormat/>
    <w:tblPr/>
  </w:style>
  <w:style w:type="paragraph" w:styleId="893">
    <w:name w:val="列出段落2"/>
    <w:basedOn w:val="727"/>
    <w:next w:val="893"/>
    <w:link w:val="727"/>
    <w:uiPriority w:val="34"/>
    <w:qFormat/>
    <w:pPr>
      <w:ind w:firstLine="420"/>
    </w:pPr>
    <w:rPr>
      <w:rFonts w:ascii="宋体"/>
      <w:color w:val="404040"/>
    </w:rPr>
  </w:style>
  <w:style w:type="table" w:styleId="894">
    <w:name w:val="Grid Table 1 Light - Accent 2"/>
    <w:basedOn w:val="738"/>
    <w:next w:val="894"/>
    <w:link w:val="727"/>
    <w:uiPriority w:val="99"/>
    <w:qFormat/>
    <w:tblPr/>
  </w:style>
  <w:style w:type="table" w:styleId="895">
    <w:name w:val="Grid Table 6 Colorful - Accent 5"/>
    <w:basedOn w:val="738"/>
    <w:next w:val="895"/>
    <w:link w:val="727"/>
    <w:uiPriority w:val="99"/>
    <w:qFormat/>
    <w:tblPr/>
  </w:style>
  <w:style w:type="table" w:styleId="896">
    <w:name w:val="List Table 6 Colorful - Accent 6"/>
    <w:basedOn w:val="738"/>
    <w:next w:val="896"/>
    <w:link w:val="727"/>
    <w:uiPriority w:val="99"/>
    <w:qFormat/>
    <w:tblPr/>
  </w:style>
  <w:style w:type="table" w:styleId="897">
    <w:name w:val="网格表 1 浅色1"/>
    <w:basedOn w:val="738"/>
    <w:next w:val="897"/>
    <w:link w:val="727"/>
    <w:uiPriority w:val="99"/>
    <w:qFormat/>
    <w:tblPr/>
  </w:style>
  <w:style w:type="table" w:styleId="898">
    <w:name w:val="无格式表格 11"/>
    <w:basedOn w:val="738"/>
    <w:next w:val="898"/>
    <w:link w:val="727"/>
    <w:uiPriority w:val="59"/>
    <w:qFormat/>
    <w:tblPr/>
  </w:style>
  <w:style w:type="paragraph" w:styleId="899">
    <w:name w:val="01"/>
    <w:basedOn w:val="727"/>
    <w:next w:val="899"/>
    <w:link w:val="727"/>
    <w:qFormat/>
    <w:pPr>
      <w:numPr>
        <w:ilvl w:val="0"/>
        <w:numId w:val="1"/>
      </w:numPr>
      <w:jc w:val="left"/>
      <w:spacing w:line="360" w:lineRule="auto"/>
      <w:outlineLvl w:val="0"/>
    </w:pPr>
    <w:rPr>
      <w:rFonts w:ascii="宋体" w:hAnsi="宋体"/>
      <w:b/>
      <w:sz w:val="32"/>
      <w:szCs w:val="28"/>
    </w:rPr>
  </w:style>
  <w:style w:type="table" w:styleId="900">
    <w:name w:val="Grid Table 7 Colorful - Accent 6"/>
    <w:basedOn w:val="738"/>
    <w:next w:val="900"/>
    <w:link w:val="727"/>
    <w:uiPriority w:val="99"/>
    <w:qFormat/>
    <w:tblPr/>
  </w:style>
  <w:style w:type="table" w:styleId="901">
    <w:name w:val="List Table 7 Colorful - Accent 3"/>
    <w:basedOn w:val="738"/>
    <w:next w:val="901"/>
    <w:link w:val="727"/>
    <w:uiPriority w:val="99"/>
    <w:qFormat/>
    <w:tblPr/>
  </w:style>
  <w:style w:type="table" w:styleId="902">
    <w:name w:val="List Table 3 - Accent 1"/>
    <w:basedOn w:val="738"/>
    <w:next w:val="902"/>
    <w:link w:val="727"/>
    <w:uiPriority w:val="99"/>
    <w:qFormat/>
    <w:tblPr/>
  </w:style>
  <w:style w:type="paragraph" w:styleId="903">
    <w:name w:val="03"/>
    <w:next w:val="903"/>
    <w:link w:val="727"/>
    <w:qFormat/>
    <w:pPr>
      <w:numPr>
        <w:ilvl w:val="2"/>
        <w:numId w:val="1"/>
      </w:numPr>
      <w:spacing w:line="360" w:lineRule="auto"/>
      <w:outlineLvl w:val="2"/>
    </w:pPr>
    <w:rPr>
      <w:rFonts w:ascii="Calibri" w:hAnsi="Calibri"/>
      <w:b/>
      <w:sz w:val="28"/>
      <w:szCs w:val="22"/>
      <w:lang w:val="en-US" w:eastAsia="zh-CN" w:bidi="ar-SA"/>
    </w:rPr>
  </w:style>
  <w:style w:type="table" w:styleId="904">
    <w:name w:val="List Table 3 - Accent 3"/>
    <w:basedOn w:val="738"/>
    <w:next w:val="904"/>
    <w:link w:val="727"/>
    <w:uiPriority w:val="99"/>
    <w:qFormat/>
    <w:tblPr/>
  </w:style>
  <w:style w:type="table" w:styleId="905">
    <w:name w:val="Grid Table 1 Light - Accent 4"/>
    <w:basedOn w:val="738"/>
    <w:next w:val="905"/>
    <w:link w:val="727"/>
    <w:uiPriority w:val="99"/>
    <w:qFormat/>
    <w:tblPr/>
  </w:style>
  <w:style w:type="table" w:styleId="906">
    <w:name w:val="Grid Table 5 Dark - Accent 6"/>
    <w:basedOn w:val="738"/>
    <w:next w:val="906"/>
    <w:link w:val="727"/>
    <w:uiPriority w:val="99"/>
    <w:qFormat/>
    <w:tblPr/>
  </w:style>
  <w:style w:type="table" w:styleId="907">
    <w:name w:val="List Table 5 Dark - Accent 1"/>
    <w:basedOn w:val="738"/>
    <w:next w:val="907"/>
    <w:link w:val="727"/>
    <w:uiPriority w:val="99"/>
    <w:qFormat/>
    <w:tblPr/>
  </w:style>
  <w:style w:type="table" w:styleId="908">
    <w:name w:val="清单表 1 浅色1"/>
    <w:basedOn w:val="738"/>
    <w:next w:val="908"/>
    <w:link w:val="727"/>
    <w:uiPriority w:val="99"/>
    <w:qFormat/>
    <w:tblPr/>
  </w:style>
  <w:style w:type="character" w:styleId="909">
    <w:name w:val="font41"/>
    <w:next w:val="909"/>
    <w:link w:val="727"/>
    <w:qFormat/>
    <w:rPr>
      <w:rFonts w:hint="eastAsia" w:ascii="宋体" w:hAnsi="宋体" w:eastAsia="宋体" w:cs="宋体"/>
      <w:color w:val="000000"/>
      <w:sz w:val="21"/>
      <w:szCs w:val="21"/>
      <w:u w:val="none"/>
    </w:rPr>
  </w:style>
  <w:style w:type="table" w:styleId="910">
    <w:name w:val="Grid Table 1 Light - Accent 1"/>
    <w:basedOn w:val="738"/>
    <w:next w:val="910"/>
    <w:link w:val="727"/>
    <w:uiPriority w:val="99"/>
    <w:qFormat/>
    <w:tblPr/>
  </w:style>
  <w:style w:type="table" w:styleId="911">
    <w:name w:val="List Table 6 Colorful - Accent 2"/>
    <w:basedOn w:val="738"/>
    <w:next w:val="911"/>
    <w:link w:val="727"/>
    <w:uiPriority w:val="99"/>
    <w:qFormat/>
    <w:tblPr/>
  </w:style>
  <w:style w:type="table" w:styleId="912">
    <w:name w:val="Grid Table 7 Colorful - Accent 5"/>
    <w:basedOn w:val="738"/>
    <w:next w:val="912"/>
    <w:link w:val="727"/>
    <w:uiPriority w:val="99"/>
    <w:qFormat/>
    <w:tblPr/>
  </w:style>
  <w:style w:type="table" w:styleId="913">
    <w:name w:val="Grid Table 4 - Accent 6"/>
    <w:basedOn w:val="738"/>
    <w:next w:val="913"/>
    <w:link w:val="727"/>
    <w:uiPriority w:val="59"/>
    <w:qFormat/>
    <w:tblPr/>
  </w:style>
  <w:style w:type="table" w:styleId="914">
    <w:name w:val="Lined - Accent 1"/>
    <w:basedOn w:val="738"/>
    <w:next w:val="914"/>
    <w:link w:val="727"/>
    <w:uiPriority w:val="99"/>
    <w:qFormat/>
    <w:rPr>
      <w:color w:val="404040"/>
    </w:rPr>
    <w:tblPr/>
  </w:style>
  <w:style w:type="table" w:styleId="915">
    <w:name w:val="List Table 7 Colorful - Accent 4"/>
    <w:basedOn w:val="738"/>
    <w:next w:val="915"/>
    <w:link w:val="727"/>
    <w:uiPriority w:val="99"/>
    <w:qFormat/>
    <w:tblPr/>
  </w:style>
  <w:style w:type="table" w:styleId="916">
    <w:name w:val="List Table 5 Dark - Accent 3"/>
    <w:basedOn w:val="738"/>
    <w:next w:val="916"/>
    <w:link w:val="727"/>
    <w:uiPriority w:val="99"/>
    <w:qFormat/>
    <w:tblPr/>
  </w:style>
  <w:style w:type="paragraph" w:styleId="917">
    <w:name w:val="朱-正文"/>
    <w:basedOn w:val="727"/>
    <w:next w:val="917"/>
    <w:link w:val="727"/>
    <w:qFormat/>
    <w:pPr>
      <w:ind w:firstLine="200"/>
    </w:pPr>
    <w:rPr>
      <w:rFonts w:ascii="Times New Roman"/>
      <w:color w:val="000000"/>
      <w:szCs w:val="24"/>
      <w:lang w:val="en-GB"/>
    </w:rPr>
  </w:style>
  <w:style w:type="table" w:styleId="918">
    <w:name w:val="Grid Table 7 Colorful - Accent 1"/>
    <w:basedOn w:val="738"/>
    <w:next w:val="918"/>
    <w:link w:val="727"/>
    <w:uiPriority w:val="99"/>
    <w:qFormat/>
    <w:tblPr/>
  </w:style>
  <w:style w:type="table" w:styleId="919">
    <w:name w:val="Grid Table 2 - Accent 5"/>
    <w:basedOn w:val="738"/>
    <w:next w:val="919"/>
    <w:link w:val="727"/>
    <w:uiPriority w:val="99"/>
    <w:qFormat/>
    <w:tblPr/>
  </w:style>
  <w:style w:type="table" w:styleId="920">
    <w:name w:val="List Table 1 Light - Accent 6"/>
    <w:basedOn w:val="738"/>
    <w:next w:val="920"/>
    <w:link w:val="727"/>
    <w:uiPriority w:val="99"/>
    <w:qFormat/>
    <w:tblPr/>
  </w:style>
  <w:style w:type="table" w:styleId="921">
    <w:name w:val="Bordered &amp; Lined - Accent 4"/>
    <w:basedOn w:val="738"/>
    <w:next w:val="921"/>
    <w:link w:val="727"/>
    <w:uiPriority w:val="99"/>
    <w:qFormat/>
    <w:rPr>
      <w:color w:val="404040"/>
    </w:rPr>
    <w:tblPr/>
  </w:style>
  <w:style w:type="table" w:styleId="922">
    <w:name w:val="List Table 1 Light - Accent 5"/>
    <w:basedOn w:val="738"/>
    <w:next w:val="922"/>
    <w:link w:val="727"/>
    <w:uiPriority w:val="99"/>
    <w:qFormat/>
    <w:tblPr/>
  </w:style>
  <w:style w:type="table" w:styleId="923">
    <w:name w:val="Grid Table 4 - Accent 3"/>
    <w:basedOn w:val="738"/>
    <w:next w:val="923"/>
    <w:link w:val="727"/>
    <w:uiPriority w:val="59"/>
    <w:qFormat/>
    <w:tblPr/>
  </w:style>
  <w:style w:type="table" w:styleId="924">
    <w:name w:val="Grid Table 4 - Accent 4"/>
    <w:basedOn w:val="738"/>
    <w:next w:val="924"/>
    <w:link w:val="727"/>
    <w:uiPriority w:val="59"/>
    <w:qFormat/>
    <w:tblPr/>
  </w:style>
  <w:style w:type="table" w:styleId="925">
    <w:name w:val="Grid Table 5 Dark - Accent 3"/>
    <w:basedOn w:val="738"/>
    <w:next w:val="925"/>
    <w:link w:val="727"/>
    <w:uiPriority w:val="99"/>
    <w:qFormat/>
    <w:tblPr/>
  </w:style>
  <w:style w:type="paragraph" w:styleId="926">
    <w:name w:val="普通正文"/>
    <w:basedOn w:val="727"/>
    <w:next w:val="926"/>
    <w:link w:val="727"/>
    <w:qFormat/>
    <w:pPr>
      <w:ind w:firstLine="480"/>
      <w:jc w:val="left"/>
      <w:spacing w:before="120" w:after="120" w:line="360" w:lineRule="auto"/>
    </w:pPr>
    <w:rPr>
      <w:rFonts w:ascii="Arial" w:hAnsi="Arial"/>
      <w:sz w:val="24"/>
      <w:szCs w:val="24"/>
    </w:rPr>
  </w:style>
  <w:style w:type="table" w:styleId="927">
    <w:name w:val="Grid Table 5 Dark - Accent 2"/>
    <w:basedOn w:val="738"/>
    <w:next w:val="927"/>
    <w:link w:val="727"/>
    <w:uiPriority w:val="99"/>
    <w:qFormat/>
    <w:tblPr/>
  </w:style>
  <w:style w:type="table" w:styleId="928">
    <w:name w:val="Grid Table 2 - Accent 6"/>
    <w:basedOn w:val="738"/>
    <w:next w:val="928"/>
    <w:link w:val="727"/>
    <w:uiPriority w:val="99"/>
    <w:qFormat/>
    <w:tblPr/>
  </w:style>
  <w:style w:type="table" w:styleId="929">
    <w:name w:val="无格式表格 41"/>
    <w:basedOn w:val="738"/>
    <w:next w:val="929"/>
    <w:link w:val="727"/>
    <w:uiPriority w:val="99"/>
    <w:qFormat/>
    <w:tblPr/>
  </w:style>
  <w:style w:type="table" w:styleId="930">
    <w:name w:val="Lined - Accent"/>
    <w:basedOn w:val="738"/>
    <w:next w:val="930"/>
    <w:link w:val="727"/>
    <w:uiPriority w:val="99"/>
    <w:qFormat/>
    <w:rPr>
      <w:color w:val="404040"/>
    </w:rPr>
    <w:tblPr/>
  </w:style>
  <w:style w:type="table" w:styleId="931">
    <w:name w:val="Bordered &amp; Lined - Accent 1"/>
    <w:basedOn w:val="738"/>
    <w:next w:val="931"/>
    <w:link w:val="727"/>
    <w:uiPriority w:val="99"/>
    <w:qFormat/>
    <w:rPr>
      <w:color w:val="404040"/>
    </w:rPr>
    <w:tblPr/>
  </w:style>
  <w:style w:type="table" w:styleId="932">
    <w:name w:val="Grid Table 2 - Accent 2"/>
    <w:basedOn w:val="738"/>
    <w:next w:val="932"/>
    <w:link w:val="727"/>
    <w:uiPriority w:val="99"/>
    <w:qFormat/>
    <w:tblPr/>
  </w:style>
  <w:style w:type="table" w:styleId="933">
    <w:name w:val="Bordered - Accent 3"/>
    <w:basedOn w:val="738"/>
    <w:next w:val="933"/>
    <w:link w:val="727"/>
    <w:uiPriority w:val="99"/>
    <w:qFormat/>
    <w:tblPr/>
  </w:style>
  <w:style w:type="table" w:styleId="934">
    <w:name w:val="Lined - Accent 2"/>
    <w:basedOn w:val="738"/>
    <w:next w:val="934"/>
    <w:link w:val="727"/>
    <w:uiPriority w:val="99"/>
    <w:qFormat/>
    <w:rPr>
      <w:color w:val="404040"/>
    </w:rPr>
    <w:tblPr/>
  </w:style>
  <w:style w:type="table" w:styleId="935">
    <w:name w:val="无格式表格 21"/>
    <w:basedOn w:val="738"/>
    <w:next w:val="935"/>
    <w:link w:val="727"/>
    <w:uiPriority w:val="59"/>
    <w:qFormat/>
    <w:tblPr/>
  </w:style>
  <w:style w:type="table" w:styleId="936">
    <w:name w:val="网格表 5 深色1"/>
    <w:basedOn w:val="738"/>
    <w:next w:val="936"/>
    <w:link w:val="727"/>
    <w:uiPriority w:val="99"/>
    <w:qFormat/>
    <w:tblPr/>
  </w:style>
  <w:style w:type="table" w:styleId="937">
    <w:name w:val="Grid Table 4 - Accent 2"/>
    <w:basedOn w:val="738"/>
    <w:next w:val="937"/>
    <w:link w:val="727"/>
    <w:uiPriority w:val="59"/>
    <w:qFormat/>
    <w:tblPr/>
  </w:style>
  <w:style w:type="table" w:styleId="938">
    <w:name w:val="Bordered &amp; Lined - Accent 6"/>
    <w:basedOn w:val="738"/>
    <w:next w:val="938"/>
    <w:link w:val="727"/>
    <w:uiPriority w:val="99"/>
    <w:qFormat/>
    <w:rPr>
      <w:color w:val="404040"/>
    </w:rPr>
    <w:tblPr/>
  </w:style>
  <w:style w:type="table" w:styleId="939">
    <w:name w:val="List Table 7 Colorful - Accent 1"/>
    <w:basedOn w:val="738"/>
    <w:next w:val="939"/>
    <w:link w:val="727"/>
    <w:uiPriority w:val="99"/>
    <w:qFormat/>
    <w:tblPr/>
  </w:style>
  <w:style w:type="table" w:styleId="940">
    <w:name w:val="List Table 1 Light - Accent 4"/>
    <w:basedOn w:val="738"/>
    <w:next w:val="940"/>
    <w:link w:val="727"/>
    <w:uiPriority w:val="99"/>
    <w:qFormat/>
    <w:tblPr/>
  </w:style>
  <w:style w:type="table" w:styleId="941">
    <w:name w:val="网格表 31"/>
    <w:basedOn w:val="738"/>
    <w:next w:val="941"/>
    <w:link w:val="727"/>
    <w:uiPriority w:val="99"/>
    <w:qFormat/>
    <w:tblPr/>
  </w:style>
  <w:style w:type="character" w:styleId="942">
    <w:name w:val="Caption Char"/>
    <w:next w:val="942"/>
    <w:link w:val="727"/>
    <w:uiPriority w:val="99"/>
    <w:qFormat/>
  </w:style>
  <w:style w:type="table" w:styleId="943">
    <w:name w:val="网格表 7 彩色1"/>
    <w:basedOn w:val="738"/>
    <w:next w:val="943"/>
    <w:link w:val="727"/>
    <w:uiPriority w:val="99"/>
    <w:qFormat/>
    <w:tblPr/>
  </w:style>
  <w:style w:type="table" w:styleId="944">
    <w:name w:val="Grid Table 4 - Accent 5"/>
    <w:basedOn w:val="738"/>
    <w:next w:val="944"/>
    <w:link w:val="727"/>
    <w:uiPriority w:val="59"/>
    <w:qFormat/>
    <w:tblPr/>
  </w:style>
  <w:style w:type="table" w:styleId="945">
    <w:name w:val="List Table 7 Colorful - Accent 6"/>
    <w:basedOn w:val="738"/>
    <w:next w:val="945"/>
    <w:link w:val="727"/>
    <w:uiPriority w:val="99"/>
    <w:qFormat/>
    <w:tblPr/>
  </w:style>
  <w:style w:type="table" w:styleId="946">
    <w:name w:val="Grid Table 3 - Accent 3"/>
    <w:basedOn w:val="738"/>
    <w:next w:val="946"/>
    <w:link w:val="727"/>
    <w:uiPriority w:val="99"/>
    <w:qFormat/>
    <w:tblPr/>
  </w:style>
  <w:style w:type="table" w:styleId="947">
    <w:name w:val="List Table 4 - Accent 2"/>
    <w:basedOn w:val="738"/>
    <w:next w:val="947"/>
    <w:link w:val="727"/>
    <w:uiPriority w:val="99"/>
    <w:qFormat/>
    <w:tblPr/>
  </w:style>
  <w:style w:type="table" w:styleId="948">
    <w:name w:val="清单表 7 彩色1"/>
    <w:basedOn w:val="738"/>
    <w:next w:val="948"/>
    <w:link w:val="727"/>
    <w:uiPriority w:val="99"/>
    <w:qFormat/>
    <w:tblPr/>
  </w:style>
  <w:style w:type="table" w:styleId="949">
    <w:name w:val="List Table 5 Dark - Accent 2"/>
    <w:basedOn w:val="738"/>
    <w:next w:val="949"/>
    <w:link w:val="727"/>
    <w:uiPriority w:val="99"/>
    <w:qFormat/>
    <w:tblPr/>
  </w:style>
  <w:style w:type="table" w:styleId="950">
    <w:name w:val="Grid Table 2 - Accent 3"/>
    <w:basedOn w:val="738"/>
    <w:next w:val="950"/>
    <w:link w:val="727"/>
    <w:uiPriority w:val="99"/>
    <w:qFormat/>
    <w:tblPr/>
  </w:style>
  <w:style w:type="table" w:styleId="951">
    <w:name w:val="Bordered - Accent 6"/>
    <w:basedOn w:val="738"/>
    <w:next w:val="951"/>
    <w:link w:val="727"/>
    <w:uiPriority w:val="99"/>
    <w:qFormat/>
    <w:tblPr/>
  </w:style>
  <w:style w:type="paragraph" w:styleId="952">
    <w:name w:val="正文（1）"/>
    <w:basedOn w:val="727"/>
    <w:next w:val="952"/>
    <w:link w:val="727"/>
    <w:qFormat/>
    <w:pPr>
      <w:ind w:firstLine="200"/>
    </w:pPr>
    <w:rPr>
      <w:szCs w:val="24"/>
    </w:rPr>
  </w:style>
  <w:style w:type="paragraph" w:styleId="953">
    <w:name w:val="TOC 标题1"/>
    <w:next w:val="953"/>
    <w:link w:val="727"/>
    <w:uiPriority w:val="39"/>
    <w:unhideWhenUsed/>
    <w:qFormat/>
    <w:rPr>
      <w:sz w:val="21"/>
      <w:szCs w:val="22"/>
      <w:lang w:val="en-US" w:eastAsia="zh-CN" w:bidi="ar-SA"/>
    </w:rPr>
  </w:style>
  <w:style w:type="table" w:styleId="954">
    <w:name w:val="Lined - Accent 6"/>
    <w:basedOn w:val="738"/>
    <w:next w:val="954"/>
    <w:link w:val="727"/>
    <w:uiPriority w:val="99"/>
    <w:qFormat/>
    <w:rPr>
      <w:color w:val="404040"/>
    </w:rPr>
    <w:tblPr/>
  </w:style>
  <w:style w:type="table" w:styleId="955">
    <w:name w:val="无格式表格 31"/>
    <w:basedOn w:val="738"/>
    <w:next w:val="955"/>
    <w:link w:val="727"/>
    <w:uiPriority w:val="99"/>
    <w:qFormat/>
    <w:tblPr/>
  </w:style>
  <w:style w:type="table" w:styleId="956">
    <w:name w:val="网格表 41"/>
    <w:basedOn w:val="738"/>
    <w:next w:val="956"/>
    <w:link w:val="727"/>
    <w:uiPriority w:val="59"/>
    <w:qFormat/>
    <w:tblPr/>
  </w:style>
  <w:style w:type="paragraph" w:styleId="957">
    <w:name w:val="Default"/>
    <w:next w:val="727"/>
    <w:link w:val="727"/>
    <w:qFormat/>
    <w:pPr>
      <w:widowControl w:val="off"/>
    </w:pPr>
    <w:rPr>
      <w:rFonts w:ascii="宋体" w:cs="宋体"/>
      <w:color w:val="000000"/>
      <w:sz w:val="24"/>
      <w:szCs w:val="24"/>
      <w:lang w:val="en-US" w:eastAsia="zh-CN" w:bidi="ar-SA"/>
    </w:rPr>
  </w:style>
  <w:style w:type="character" w:styleId="958" w:default="1">
    <w:name w:val="Default Paragraph Font"/>
    <w:uiPriority w:val="1"/>
    <w:semiHidden/>
    <w:unhideWhenUsed/>
  </w:style>
  <w:style w:type="numbering" w:styleId="959" w:default="1">
    <w:name w:val="No List"/>
    <w:uiPriority w:val="99"/>
    <w:semiHidden/>
    <w:unhideWhenUsed/>
  </w:style>
  <w:style w:type="table" w:styleId="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胡祖云</cp:lastModifiedBy>
  <cp:revision>8</cp:revision>
  <dcterms:created xsi:type="dcterms:W3CDTF">2024-11-28T16:30:00Z</dcterms:created>
  <dcterms:modified xsi:type="dcterms:W3CDTF">2025-05-06T08:03:51Z</dcterms:modified>
</cp:coreProperties>
</file>