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版本号：BZ.GK-政采-202201</w:t>
      </w:r>
      <w:r/>
    </w:p>
    <w:p>
      <w:pPr>
        <w:ind w:left="-199" w:firstLine="199"/>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372"/>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372"/>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995"/>
        <w:jc w:val="center"/>
        <w:spacing w:before="100" w:after="100" w:line="360" w:lineRule="auto"/>
        <w:tabs>
          <w:tab w:val="left" w:pos="168" w:leader="none"/>
          <w:tab w:val="center" w:pos="4422" w:leader="none"/>
        </w:tabs>
        <w:rPr>
          <w:rFonts w:hint="eastAsia" w:ascii="宋体" w:hAnsi="宋体" w:cs="宋体"/>
          <w:b/>
          <w:color w:val="000000" w:themeColor="text1"/>
          <w:sz w:val="56"/>
          <w:szCs w:val="56"/>
          <w14:textFill>
            <w14:solidFill>
              <w14:schemeClr w14:val="tx1"/>
            </w14:solidFill>
          </w14:textFill>
        </w:rPr>
      </w:pPr>
      <w:r>
        <w:rPr>
          <w:rFonts w:hint="eastAsia" w:ascii="宋体" w:hAnsi="宋体" w:cs="宋体"/>
          <w:b/>
          <w:color w:val="000000" w:themeColor="text1"/>
          <w:sz w:val="56"/>
          <w:szCs w:val="56"/>
          <w14:textFill>
            <w14:solidFill>
              <w14:schemeClr w14:val="tx1"/>
            </w14:solidFill>
          </w14:textFill>
        </w:rPr>
        <w:t xml:space="preserve">南京鼓楼医院</w:t>
      </w:r>
      <w:r/>
    </w:p>
    <w:p>
      <w:pPr>
        <w:ind w:left="0" w:right="-420" w:firstLine="640"/>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lang w:eastAsia="zh-CN"/>
          <w14:textFill>
            <w14:solidFill>
              <w14:schemeClr w14:val="tx1"/>
            </w14:solidFill>
          </w14:textFill>
        </w:rPr>
      </w:pPr>
      <w:r>
        <w:rPr>
          <w:rFonts w:hint="eastAsia" w:ascii="宋体" w:hAnsi="宋体" w:cs="宋体"/>
          <w:b/>
          <w:color w:val="000000" w:themeColor="text1"/>
          <w:sz w:val="56"/>
          <w:szCs w:val="56"/>
          <w:lang w:eastAsia="zh-CN"/>
          <w14:textFill>
            <w14:solidFill>
              <w14:schemeClr w14:val="tx1"/>
            </w14:solidFill>
          </w14:textFill>
        </w:rPr>
        <w:t xml:space="preserve">医疗责任保险服务项目</w:t>
      </w:r>
      <w:r/>
    </w:p>
    <w:p>
      <w:pPr>
        <w:pStyle w:val="880"/>
        <w:ind w:firstLine="1493"/>
        <w:spacing w:line="360" w:lineRule="auto"/>
        <w:rPr>
          <w:rFonts w:hint="eastAsia" w:hAnsi="宋体" w:cs="宋体"/>
          <w:b/>
          <w:color w:val="000000" w:themeColor="text1"/>
          <w:sz w:val="84"/>
          <w:szCs w:val="84"/>
          <w14:textFill>
            <w14:solidFill>
              <w14:schemeClr w14:val="tx1"/>
            </w14:solidFill>
          </w14:textFill>
        </w:rPr>
      </w:pPr>
      <w:r>
        <w:rPr>
          <w:rFonts w:hint="eastAsia" w:hAnsi="宋体" w:cs="宋体"/>
          <w:b/>
          <w:color w:val="000000" w:themeColor="text1"/>
          <w:sz w:val="84"/>
          <w:szCs w:val="84"/>
          <w14:textFill>
            <w14:solidFill>
              <w14:schemeClr w14:val="tx1"/>
            </w14:solidFill>
          </w14:textFill>
        </w:rPr>
      </w:r>
      <w:r/>
    </w:p>
    <w:p>
      <w:pPr>
        <w:pStyle w:val="880"/>
        <w:ind w:firstLine="1493"/>
        <w:jc w:val="center"/>
        <w:spacing w:line="360" w:lineRule="auto"/>
        <w:rPr>
          <w:rFonts w:hint="eastAsia" w:hAnsi="宋体" w:cs="宋体"/>
          <w:b/>
          <w:color w:val="000000" w:themeColor="text1"/>
          <w:sz w:val="84"/>
          <w:szCs w:val="84"/>
          <w14:textFill>
            <w14:solidFill>
              <w14:schemeClr w14:val="tx1"/>
            </w14:solidFill>
          </w14:textFill>
        </w:rPr>
      </w:pPr>
      <w:r>
        <w:rPr>
          <w:rFonts w:hint="eastAsia" w:hAnsi="宋体" w:cs="宋体"/>
          <w:b/>
          <w:color w:val="000000" w:themeColor="text1"/>
          <w:sz w:val="84"/>
          <w:szCs w:val="84"/>
          <w14:textFill>
            <w14:solidFill>
              <w14:schemeClr w14:val="tx1"/>
            </w14:solidFill>
          </w14:textFill>
        </w:rPr>
        <w:t xml:space="preserve">招 标 文 件</w:t>
      </w:r>
      <w:r/>
    </w:p>
    <w:p>
      <w:pPr>
        <w:ind w:firstLine="1706"/>
        <w:jc w:val="center"/>
        <w:spacing w:line="360" w:lineRule="auto"/>
        <w:rPr>
          <w:rFonts w:hint="eastAsia" w:ascii="宋体" w:hAnsi="宋体" w:cs="宋体"/>
          <w:b/>
          <w:color w:val="000000" w:themeColor="text1"/>
          <w:sz w:val="96"/>
          <w14:textFill>
            <w14:solidFill>
              <w14:schemeClr w14:val="tx1"/>
            </w14:solidFill>
          </w14:textFill>
        </w:rPr>
      </w:pPr>
      <w:r>
        <w:rPr>
          <w:rFonts w:hint="eastAsia" w:ascii="宋体" w:hAnsi="宋体" w:cs="宋体"/>
          <w:b/>
          <w:color w:val="000000" w:themeColor="text1"/>
          <w:sz w:val="96"/>
          <w14:textFill>
            <w14:solidFill>
              <w14:schemeClr w14:val="tx1"/>
            </w14:solidFill>
          </w14:textFill>
        </w:rPr>
      </w:r>
      <w:r/>
    </w:p>
    <w:p>
      <w:pPr>
        <w:ind w:right="640" w:firstLine="1060"/>
        <w:jc w:val="center"/>
        <w:spacing w:line="360" w:lineRule="auto"/>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项目编号：</w:t>
      </w:r>
      <w:r>
        <w:rPr>
          <w:rFonts w:hint="eastAsia" w:ascii="宋体" w:hAnsi="宋体" w:cs="宋体"/>
          <w:b/>
          <w:color w:val="000000" w:themeColor="text1"/>
          <w:sz w:val="32"/>
          <w:szCs w:val="32"/>
          <w:lang w:eastAsia="zh-CN"/>
          <w14:textFill>
            <w14:solidFill>
              <w14:schemeClr w14:val="tx1"/>
            </w14:solidFill>
          </w14:textFill>
        </w:rPr>
        <w:t xml:space="preserve">JSZC-320100-JITC-G2025-0308</w:t>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firstLine="566"/>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right="640"/>
        <w:spacing w:line="360" w:lineRule="auto"/>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采购代理机构：江苏省招标中心有限公司</w:t>
      </w:r>
      <w:r/>
    </w:p>
    <w:p>
      <w:pPr>
        <w:ind w:firstLine="569"/>
        <w:jc w:val="center"/>
        <w:spacing w:line="360" w:lineRule="auto"/>
        <w:rPr>
          <w:rFonts w:hint="eastAsia"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二O二五年</w:t>
      </w:r>
      <w:r>
        <w:rPr>
          <w:rFonts w:hint="eastAsia" w:ascii="宋体" w:hAnsi="宋体" w:cs="宋体"/>
          <w:b/>
          <w:color w:val="000000" w:themeColor="text1"/>
          <w:sz w:val="32"/>
          <w:lang w:val="en-US" w:eastAsia="zh-CN"/>
          <w14:textFill>
            <w14:solidFill>
              <w14:schemeClr w14:val="tx1"/>
            </w14:solidFill>
          </w14:textFill>
        </w:rPr>
        <w:t xml:space="preserve">十</w:t>
      </w:r>
      <w:r>
        <w:rPr>
          <w:rFonts w:hint="eastAsia" w:ascii="宋体" w:hAnsi="宋体" w:cs="宋体"/>
          <w:b/>
          <w:color w:val="000000" w:themeColor="text1"/>
          <w:sz w:val="32"/>
          <w14:textFill>
            <w14:solidFill>
              <w14:schemeClr w14:val="tx1"/>
            </w14:solidFill>
          </w14:textFill>
        </w:rPr>
        <w:t xml:space="preserve">月</w:t>
      </w:r>
      <w:r/>
    </w:p>
    <w:p>
      <w:pPr>
        <w:ind w:firstLine="569"/>
        <w:spacing w:line="360" w:lineRule="auto"/>
        <w:rPr>
          <w:rFonts w:hint="eastAsia" w:ascii="宋体" w:hAnsi="宋体" w:cs="宋体"/>
          <w:b/>
          <w:color w:val="000000" w:themeColor="text1"/>
          <w:sz w:val="32"/>
          <w:szCs w:val="32"/>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80264696"/>
      <w:r/>
      <w:bookmarkStart w:id="1" w:name="_Toc531620161"/>
      <w:r/>
      <w:r/>
    </w:p>
    <w:p>
      <w:pPr>
        <w:ind w:firstLine="569"/>
        <w:jc w:val="center"/>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目   录</w:t>
      </w:r>
      <w:r/>
    </w:p>
    <w:p>
      <w:pPr>
        <w:pStyle w:val="1078"/>
        <w:ind w:firstLine="426"/>
        <w:spacing w:line="360" w:lineRule="auto"/>
        <w:tabs>
          <w:tab w:val="right" w:pos="8834" w:leader="dot"/>
        </w:tabs>
        <w:rPr>
          <w:rFonts w:hint="eastAsia" w:ascii="宋体" w:hAnsi="宋体" w:eastAsia="宋体" w:cs="宋体"/>
          <w:b/>
          <w:color w:val="000000" w:themeColor="text1"/>
          <w:sz w:val="21"/>
          <w:szCs w:val="22"/>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TOC \o "1-3" \h \z \u </w:instrText>
      </w:r>
      <w:r>
        <w:rPr>
          <w:rFonts w:hint="eastAsia" w:ascii="宋体" w:hAnsi="宋体" w:eastAsia="宋体" w:cs="宋体"/>
          <w:b/>
          <w:color w:val="000000" w:themeColor="text1"/>
          <w14:textFill>
            <w14:solidFill>
              <w14:schemeClr w14:val="tx1"/>
            </w14:solidFill>
          </w14:textFill>
        </w:rPr>
        <w:fldChar w:fldCharType="separate"/>
      </w:r>
      <w:r/>
    </w:p>
    <w:p>
      <w:pPr>
        <w:pStyle w:val="1078"/>
        <w:spacing w:line="360" w:lineRule="auto"/>
        <w:tabs>
          <w:tab w:val="left" w:pos="780" w:leader="none"/>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"_Toc107246211"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第一章</w:t>
      </w:r>
      <w:r>
        <w:rPr>
          <w:rFonts w:hint="eastAsia" w:ascii="宋体" w:hAnsi="宋体" w:eastAsia="宋体" w:cs="宋体"/>
          <w:b/>
          <w:color w:val="000000" w:themeColor="text1"/>
          <w14:textFill>
            <w14:solidFill>
              <w14:schemeClr w14:val="tx1"/>
            </w14:solidFill>
          </w14:textFill>
        </w:rPr>
        <w:tab/>
      </w:r>
      <w:r>
        <w:rPr>
          <w:rStyle w:val="905"/>
          <w:rFonts w:hint="eastAsia" w:ascii="宋体" w:hAnsi="宋体" w:eastAsia="宋体" w:cs="宋体"/>
          <w:b/>
          <w:color w:val="000000" w:themeColor="text1"/>
          <w14:textFill>
            <w14:solidFill>
              <w14:schemeClr w14:val="tx1"/>
            </w14:solidFill>
          </w14:textFill>
        </w:rPr>
        <w:t xml:space="preserve">招标公告</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_Toc107246211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left" w:pos="780" w:leader="none"/>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"_Toc107246212"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第二章</w:t>
      </w:r>
      <w:r>
        <w:rPr>
          <w:rFonts w:hint="eastAsia" w:ascii="宋体" w:hAnsi="宋体" w:eastAsia="宋体" w:cs="宋体"/>
          <w:b/>
          <w:color w:val="000000" w:themeColor="text1"/>
          <w14:textFill>
            <w14:solidFill>
              <w14:schemeClr w14:val="tx1"/>
            </w14:solidFill>
          </w14:textFill>
        </w:rPr>
        <w:tab/>
      </w:r>
      <w:r>
        <w:rPr>
          <w:rStyle w:val="905"/>
          <w:rFonts w:hint="eastAsia" w:ascii="宋体" w:hAnsi="宋体" w:eastAsia="宋体" w:cs="宋体"/>
          <w:b/>
          <w:color w:val="000000" w:themeColor="text1"/>
          <w14:textFill>
            <w14:solidFill>
              <w14:schemeClr w14:val="tx1"/>
            </w14:solidFill>
          </w14:textFill>
        </w:rPr>
        <w:t xml:space="preserve">投标人须知</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_Toc107246212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7</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"_Toc107246214"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一．总则</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_Toc107246214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13</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"_Toc107246230"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二．招标文件</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_Toc107246230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17</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"_Toc107246233"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三．投标文件</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_Toc107246233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18</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"_Toc107246240"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四．投标文件的递交</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_Toc107246240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21</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"_Toc107246245"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五．开标和评标</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_Toc107246245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22</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"_Toc107246257"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六．确定中标</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_Toc107246257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25</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"_Toc107246263"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七．询问与质疑</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_Toc107246263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26</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"_Toc107246266"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八．其他</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_Toc107246266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27</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"_Toc107246270"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第三章 政府采购合同条款及格式</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_Toc107246270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28</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"_Toc107246271"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第四章 采购需求</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_Toc107246271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44</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14:textFill>
            <w14:solidFill>
              <w14:schemeClr w14:val="tx1"/>
            </w14:solidFill>
          </w14:textFill>
        </w:rPr>
      </w:pPr>
      <w:r>
        <w:fldChar w:fldCharType="begin"/>
      </w:r>
      <w:r>
        <w:instrText xml:space="preserve"> HYPERLINK \l "_Toc107246272"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第五章 评标方法与评标标准</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_Toc107246272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67</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pStyle w:val="1078"/>
        <w:spacing w:line="360" w:lineRule="auto"/>
        <w:tabs>
          <w:tab w:val="right" w:pos="8834" w:leader="dot"/>
        </w:tabs>
        <w:rPr>
          <w:rFonts w:hint="eastAsia" w:ascii="宋体" w:hAnsi="宋体" w:eastAsia="宋体" w:cs="宋体"/>
          <w:b/>
          <w:color w:val="000000" w:themeColor="text1"/>
          <w:sz w:val="21"/>
          <w:szCs w:val="22"/>
          <w14:textFill>
            <w14:solidFill>
              <w14:schemeClr w14:val="tx1"/>
            </w14:solidFill>
          </w14:textFill>
        </w:rPr>
      </w:pPr>
      <w:r>
        <w:fldChar w:fldCharType="begin"/>
      </w:r>
      <w:r>
        <w:instrText xml:space="preserve"> HYPERLINK \l "_Toc107246273" </w:instrText>
      </w:r>
      <w:r>
        <w:fldChar w:fldCharType="separate"/>
      </w:r>
      <w:r>
        <w:rPr>
          <w:rStyle w:val="905"/>
          <w:rFonts w:hint="eastAsia" w:ascii="宋体" w:hAnsi="宋体" w:eastAsia="宋体" w:cs="宋体"/>
          <w:b/>
          <w:color w:val="000000" w:themeColor="text1"/>
          <w14:textFill>
            <w14:solidFill>
              <w14:schemeClr w14:val="tx1"/>
            </w14:solidFill>
          </w14:textFill>
        </w:rPr>
        <w:t xml:space="preserve">第六章 投标文件格式</w:t>
      </w:r>
      <w:r>
        <w:rPr>
          <w:rFonts w:hint="eastAsia" w:ascii="宋体" w:hAnsi="宋体" w:eastAsia="宋体" w:cs="宋体"/>
          <w:b/>
          <w:color w:val="000000" w:themeColor="text1"/>
          <w14:textFill>
            <w14:solidFill>
              <w14:schemeClr w14:val="tx1"/>
            </w14:solidFill>
          </w14:textFill>
        </w:rPr>
        <w:tab/>
      </w:r>
      <w:r>
        <w:rPr>
          <w:rFonts w:hint="eastAsia" w:ascii="宋体" w:hAnsi="宋体" w:eastAsia="宋体" w:cs="宋体"/>
          <w:b/>
          <w:color w:val="000000" w:themeColor="text1"/>
          <w14:textFill>
            <w14:solidFill>
              <w14:schemeClr w14:val="tx1"/>
            </w14:solidFill>
          </w14:textFill>
        </w:rPr>
        <w:fldChar w:fldCharType="begin"/>
      </w:r>
      <w:r>
        <w:rPr>
          <w:rFonts w:hint="eastAsia" w:ascii="宋体" w:hAnsi="宋体" w:eastAsia="宋体" w:cs="宋体"/>
          <w:b/>
          <w:color w:val="000000" w:themeColor="text1"/>
          <w14:textFill>
            <w14:solidFill>
              <w14:schemeClr w14:val="tx1"/>
            </w14:solidFill>
          </w14:textFill>
        </w:rPr>
        <w:instrText xml:space="preserve"> PAGEREF _Toc107246273 \h </w:instrText>
      </w:r>
      <w:r>
        <w:rPr>
          <w:rFonts w:hint="eastAsia" w:ascii="宋体" w:hAnsi="宋体" w:eastAsia="宋体" w:cs="宋体"/>
          <w:b/>
          <w:color w:val="000000" w:themeColor="text1"/>
          <w14:textFill>
            <w14:solidFill>
              <w14:schemeClr w14:val="tx1"/>
            </w14:solidFill>
          </w14:textFill>
        </w:rPr>
        <w:fldChar w:fldCharType="separate"/>
      </w:r>
      <w:r>
        <w:rPr>
          <w:rFonts w:hint="eastAsia" w:ascii="宋体" w:hAnsi="宋体" w:eastAsia="宋体" w:cs="宋体"/>
          <w:b/>
          <w:color w:val="000000" w:themeColor="text1"/>
          <w14:textFill>
            <w14:solidFill>
              <w14:schemeClr w14:val="tx1"/>
            </w14:solidFill>
          </w14:textFill>
        </w:rPr>
        <w:t xml:space="preserve">70</w:t>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rPr>
          <w:rFonts w:hint="eastAsia" w:ascii="宋体" w:hAnsi="宋体" w:eastAsia="宋体" w:cs="宋体"/>
          <w:b/>
          <w:color w:val="000000" w:themeColor="text1"/>
          <w14:textFill>
            <w14:solidFill>
              <w14:schemeClr w14:val="tx1"/>
            </w14:solidFill>
          </w14:textFill>
        </w:rPr>
        <w:fldChar w:fldCharType="end"/>
      </w:r>
      <w:r/>
    </w:p>
    <w:p>
      <w:pPr>
        <w:ind w:firstLine="569"/>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 w:val="32"/>
          <w:lang w:val="zh-CN"/>
          <w14:textFill>
            <w14:solidFill>
              <w14:schemeClr w14:val="tx1"/>
            </w14:solidFill>
          </w14:textFill>
        </w:rPr>
        <w:br w:type="page" w:clear="all"/>
      </w:r>
      <w:bookmarkEnd w:id="0"/>
      <w:r/>
      <w:bookmarkEnd w:id="1"/>
      <w:r/>
      <w:r/>
    </w:p>
    <w:p>
      <w:pPr>
        <w:pStyle w:val="897"/>
        <w:ind w:firstLine="3213"/>
        <w:jc w:val="both"/>
        <w:spacing w:line="360" w:lineRule="auto"/>
        <w:rPr>
          <w:rFonts w:hint="eastAsia" w:ascii="宋体" w:hAnsi="宋体" w:cs="宋体"/>
          <w:color w:val="000000" w:themeColor="text1"/>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themeColor="text1"/>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u w:val="single"/>
          <w14:textFill>
            <w14:solidFill>
              <w14:schemeClr w14:val="tx1"/>
            </w14:solidFill>
          </w14:textFill>
        </w:rPr>
        <w:t xml:space="preserve">南京鼓楼医院</w:t>
      </w:r>
      <w:r>
        <w:rPr>
          <w:rFonts w:hint="eastAsia" w:ascii="宋体" w:hAnsi="宋体" w:cs="宋体"/>
          <w:bCs/>
          <w:color w:val="000000" w:themeColor="text1"/>
          <w:szCs w:val="21"/>
          <w:u w:val="single"/>
          <w:lang w:eastAsia="zh-CN"/>
          <w14:textFill>
            <w14:solidFill>
              <w14:schemeClr w14:val="tx1"/>
            </w14:solidFill>
          </w14:textFill>
        </w:rPr>
        <w:t xml:space="preserve">医疗责任保险服务项目</w:t>
      </w:r>
      <w:r>
        <w:rPr>
          <w:rFonts w:hint="eastAsia" w:ascii="宋体" w:hAnsi="宋体" w:cs="宋体"/>
          <w:bCs/>
          <w:color w:val="000000" w:themeColor="text1"/>
          <w:szCs w:val="21"/>
          <w14:textFill>
            <w14:solidFill>
              <w14:schemeClr w14:val="tx1"/>
            </w14:solidFill>
          </w14:textFill>
        </w:rPr>
        <w:t xml:space="preserve">的潜在投标人应在规定时间内通过</w:t>
      </w:r>
      <w:r>
        <w:rPr>
          <w:rFonts w:hint="eastAsia" w:ascii="Microsoft New Tai Lue" w:hAnsi="Microsoft New Tai Lue" w:cs="Microsoft New Tai Lue"/>
          <w:bCs/>
          <w:color w:val="000000" w:themeColor="text1"/>
          <w:szCs w:val="21"/>
          <w:u w:val="single"/>
          <w14:textFill>
            <w14:solidFill>
              <w14:schemeClr w14:val="tx1"/>
            </w14:solidFill>
          </w14:textFill>
        </w:rPr>
        <w:t xml:space="preserve">江苏政府采购网</w:t>
      </w:r>
      <w:r>
        <w:rPr>
          <w:rFonts w:hint="eastAsia" w:ascii="宋体" w:hAnsi="宋体" w:cs="宋体"/>
          <w:bCs/>
          <w:color w:val="000000" w:themeColor="text1"/>
          <w:szCs w:val="21"/>
          <w14:textFill>
            <w14:solidFill>
              <w14:schemeClr w14:val="tx1"/>
            </w14:solidFill>
          </w14:textFill>
        </w:rPr>
        <w:t xml:space="preserve">获取招标文件，并</w:t>
      </w:r>
      <w:r>
        <w:rPr>
          <w:rFonts w:hint="eastAsia" w:ascii="宋体" w:hAnsi="宋体" w:cs="宋体"/>
          <w:bCs/>
          <w:color w:val="000000" w:themeColor="text1"/>
          <w:szCs w:val="21"/>
          <w:highlight w:val="none"/>
          <w14:textFill>
            <w14:solidFill>
              <w14:schemeClr w14:val="tx1"/>
            </w14:solidFill>
          </w14:textFill>
        </w:rPr>
        <w:t xml:space="preserve">于</w:t>
      </w:r>
      <w:r>
        <w:rPr>
          <w:rFonts w:hint="eastAsia" w:ascii="宋体" w:hAnsi="宋体" w:cs="宋体"/>
          <w:bCs/>
          <w:color w:val="000000" w:themeColor="text1"/>
          <w:szCs w:val="21"/>
          <w:highlight w:val="none"/>
          <w:u w:val="single"/>
          <w14:textFill>
            <w14:solidFill>
              <w14:schemeClr w14:val="tx1"/>
            </w14:solidFill>
          </w14:textFill>
        </w:rPr>
        <w:t xml:space="preserve">2025年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11月5</w:t>
      </w:r>
      <w:r>
        <w:rPr>
          <w:rFonts w:hint="eastAsia" w:ascii="宋体" w:hAnsi="宋体" w:cs="宋体"/>
          <w:bCs/>
          <w:color w:val="000000" w:themeColor="text1"/>
          <w:szCs w:val="21"/>
          <w:highlight w:val="none"/>
          <w:u w:val="single"/>
          <w14:textFill>
            <w14:solidFill>
              <w14:schemeClr w14:val="tx1"/>
            </w14:solidFill>
          </w14:textFill>
        </w:rPr>
        <w:t xml:space="preserve">日14:</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bCs/>
          <w:color w:val="000000" w:themeColor="text1"/>
          <w:szCs w:val="21"/>
          <w:highlight w:val="none"/>
          <w:u w:val="single"/>
          <w14:textFill>
            <w14:solidFill>
              <w14:schemeClr w14:val="tx1"/>
            </w14:solidFill>
          </w14:textFill>
        </w:rPr>
        <w:t xml:space="preserve">0（</w:t>
      </w:r>
      <w:r>
        <w:rPr>
          <w:rFonts w:hint="eastAsia" w:ascii="宋体" w:hAnsi="宋体" w:cs="宋体"/>
          <w:bCs/>
          <w:color w:val="000000" w:themeColor="text1"/>
          <w:szCs w:val="21"/>
          <w:u w:val="single"/>
          <w14:textFill>
            <w14:solidFill>
              <w14:schemeClr w14:val="tx1"/>
            </w14:solidFill>
          </w14:textFill>
        </w:rPr>
        <w:t xml:space="preserve">北京时间</w:t>
      </w:r>
      <w:r>
        <w:rPr>
          <w:rFonts w:hint="eastAsia" w:ascii="宋体" w:hAnsi="宋体" w:cs="宋体"/>
          <w:bCs/>
          <w:color w:val="000000" w:themeColor="text1"/>
          <w:szCs w:val="21"/>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14:textFill>
            <w14:solidFill>
              <w14:schemeClr w14:val="tx1"/>
            </w14:solidFill>
          </w14:textFill>
        </w:rPr>
        <w:t xml:space="preserve">一、项目</w:t>
      </w:r>
      <w:bookmarkEnd w:id="3"/>
      <w:r>
        <w:rPr>
          <w:rFonts w:hint="eastAsia" w:ascii="宋体" w:hAnsi="宋体" w:cs="宋体"/>
          <w:b/>
          <w:bCs/>
          <w:color w:val="000000" w:themeColor="text1"/>
          <w:szCs w:val="44"/>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1.1项目编号：</w:t>
      </w:r>
      <w:r>
        <w:rPr>
          <w:rFonts w:hint="eastAsia" w:ascii="宋体" w:hAnsi="宋体" w:cs="宋体"/>
          <w:bCs/>
          <w:color w:val="000000" w:themeColor="text1"/>
          <w:szCs w:val="21"/>
          <w:lang w:eastAsia="zh-CN"/>
          <w14:textFill>
            <w14:solidFill>
              <w14:schemeClr w14:val="tx1"/>
            </w14:solidFill>
          </w14:textFill>
        </w:rPr>
        <w:t xml:space="preserve">JSZC-320100-JITC-G2025-0308</w:t>
      </w:r>
      <w:r/>
    </w:p>
    <w:p>
      <w:pPr>
        <w:ind w:firstLine="420"/>
        <w:spacing w:line="360" w:lineRule="auto"/>
        <w:rPr>
          <w:rFonts w:hint="eastAsia" w:ascii="宋体" w:hAnsi="宋体" w:eastAsia="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1.2项目名称：南京鼓楼医院</w:t>
      </w:r>
      <w:r>
        <w:rPr>
          <w:rFonts w:hint="eastAsia" w:ascii="宋体" w:hAnsi="宋体" w:cs="宋体"/>
          <w:bCs/>
          <w:color w:val="000000" w:themeColor="text1"/>
          <w:szCs w:val="21"/>
          <w:lang w:eastAsia="zh-CN"/>
          <w14:textFill>
            <w14:solidFill>
              <w14:schemeClr w14:val="tx1"/>
            </w14:solidFill>
          </w14:textFill>
        </w:rPr>
        <w:t xml:space="preserve">医疗责任保险服务项目</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1.3预算金额：本项目</w:t>
      </w:r>
      <w:r>
        <w:rPr>
          <w:rFonts w:hint="eastAsia" w:ascii="宋体" w:hAnsi="宋体" w:cs="宋体"/>
          <w:bCs/>
          <w:color w:val="000000" w:themeColor="text1"/>
          <w:szCs w:val="21"/>
          <w14:textFill>
            <w14:solidFill>
              <w14:schemeClr w14:val="tx1"/>
            </w14:solidFill>
          </w14:textFill>
        </w:rPr>
        <w:t xml:space="preserve">单</w:t>
      </w:r>
      <w:r>
        <w:rPr>
          <w:rFonts w:hint="eastAsia" w:ascii="宋体" w:hAnsi="宋体" w:cs="宋体"/>
          <w:bCs/>
          <w:color w:val="000000" w:themeColor="text1"/>
          <w:szCs w:val="21"/>
          <w14:textFill>
            <w14:solidFill>
              <w14:schemeClr w14:val="tx1"/>
            </w14:solidFill>
          </w14:textFill>
        </w:rPr>
        <w:t xml:space="preserve">年度</w:t>
      </w:r>
      <w:r>
        <w:rPr>
          <w:rFonts w:hint="eastAsia" w:ascii="宋体" w:hAnsi="宋体" w:cs="宋体"/>
          <w:bCs/>
          <w:color w:val="000000" w:themeColor="text1"/>
          <w:szCs w:val="21"/>
          <w14:textFill>
            <w14:solidFill>
              <w14:schemeClr w14:val="tx1"/>
            </w14:solidFill>
          </w14:textFill>
        </w:rPr>
        <w:t xml:space="preserve">预算</w:t>
      </w:r>
      <w:r>
        <w:rPr>
          <w:rFonts w:hint="eastAsia" w:ascii="宋体" w:hAnsi="宋体" w:cs="宋体"/>
          <w:bCs/>
          <w:color w:val="000000" w:themeColor="text1"/>
          <w:szCs w:val="21"/>
          <w:lang w:val="en-US" w:eastAsia="zh-CN"/>
          <w14:textFill>
            <w14:solidFill>
              <w14:schemeClr w14:val="tx1"/>
            </w14:solidFill>
          </w14:textFill>
        </w:rPr>
        <w:t xml:space="preserve">850</w:t>
      </w:r>
      <w:r>
        <w:rPr>
          <w:rFonts w:hint="eastAsia" w:ascii="宋体" w:hAnsi="宋体" w:cs="宋体"/>
          <w:bCs/>
          <w:color w:val="000000" w:themeColor="text1"/>
          <w:szCs w:val="21"/>
          <w14:textFill>
            <w14:solidFill>
              <w14:schemeClr w14:val="tx1"/>
            </w14:solidFill>
          </w14:textFill>
        </w:rPr>
        <w:t xml:space="preserve">万元</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eastAsia="zh-CN"/>
          <w14:textFill>
            <w14:solidFill>
              <w14:schemeClr w14:val="tx1"/>
            </w14:solidFill>
          </w14:textFill>
        </w:rPr>
        <w:t xml:space="preserve">两年</w:t>
      </w:r>
      <w:r>
        <w:rPr>
          <w:rFonts w:hint="eastAsia" w:ascii="宋体" w:hAnsi="宋体" w:cs="宋体"/>
          <w:bCs/>
          <w:color w:val="000000" w:themeColor="text1"/>
          <w:szCs w:val="21"/>
          <w:lang w:eastAsia="zh-CN"/>
          <w14:textFill>
            <w14:solidFill>
              <w14:schemeClr w14:val="tx1"/>
            </w14:solidFill>
          </w14:textFill>
        </w:rPr>
        <w:t xml:space="preserve">度</w:t>
      </w:r>
      <w:r>
        <w:rPr>
          <w:rFonts w:hint="eastAsia" w:ascii="宋体" w:hAnsi="宋体" w:cs="宋体"/>
          <w:bCs/>
          <w:color w:val="000000" w:themeColor="text1"/>
          <w:szCs w:val="21"/>
          <w:lang w:eastAsia="zh-CN"/>
          <w14:textFill>
            <w14:solidFill>
              <w14:schemeClr w14:val="tx1"/>
            </w14:solidFill>
          </w14:textFill>
        </w:rPr>
        <w:t xml:space="preserve">预算</w:t>
      </w:r>
      <w:r>
        <w:rPr>
          <w:rFonts w:hint="eastAsia" w:ascii="宋体" w:hAnsi="宋体" w:cs="宋体"/>
          <w:bCs/>
          <w:color w:val="000000" w:themeColor="text1"/>
          <w:szCs w:val="21"/>
          <w:lang w:eastAsia="zh-CN"/>
          <w14:textFill>
            <w14:solidFill>
              <w14:schemeClr w14:val="tx1"/>
            </w14:solidFill>
          </w14:textFill>
        </w:rPr>
        <w:t xml:space="preserve">共1700</w:t>
      </w:r>
      <w:r>
        <w:rPr>
          <w:rFonts w:hint="eastAsia" w:ascii="宋体" w:hAnsi="宋体" w:cs="宋体"/>
          <w:bCs/>
          <w:color w:val="000000" w:themeColor="text1"/>
          <w:szCs w:val="21"/>
          <w:lang w:eastAsia="zh-CN"/>
          <w14:textFill>
            <w14:solidFill>
              <w14:schemeClr w14:val="tx1"/>
            </w14:solidFill>
          </w14:textFill>
        </w:rPr>
        <w:t xml:space="preserve">万元</w:t>
      </w:r>
      <w:r>
        <w:rPr>
          <w:rFonts w:hint="eastAsia" w:ascii="宋体" w:hAnsi="宋体" w:cs="宋体"/>
          <w:bCs/>
          <w:color w:val="000000" w:themeColor="text1"/>
          <w:szCs w:val="21"/>
          <w14:textFill>
            <w14:solidFill>
              <w14:schemeClr w14:val="tx1"/>
            </w14:solidFill>
          </w14:textFill>
        </w:rPr>
        <w:t xml:space="preserve">。</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★1.4最高限价：本项目投标总价不得高于人民币</w:t>
      </w:r>
      <w:r>
        <w:rPr>
          <w:rFonts w:hint="eastAsia" w:ascii="宋体" w:hAnsi="宋体" w:cs="宋体"/>
          <w:b/>
          <w:color w:val="000000" w:themeColor="text1"/>
          <w:szCs w:val="21"/>
          <w:lang w:val="en-US" w:eastAsia="zh-CN"/>
          <w14:textFill>
            <w14:solidFill>
              <w14:schemeClr w14:val="tx1"/>
            </w14:solidFill>
          </w14:textFill>
        </w:rPr>
        <w:t xml:space="preserve">800</w:t>
      </w:r>
      <w:r>
        <w:rPr>
          <w:rFonts w:hint="eastAsia" w:ascii="宋体" w:hAnsi="宋体" w:cs="宋体"/>
          <w:b/>
          <w:color w:val="000000" w:themeColor="text1"/>
          <w:szCs w:val="21"/>
          <w14:textFill>
            <w14:solidFill>
              <w14:schemeClr w14:val="tx1"/>
            </w14:solidFill>
          </w14:textFill>
        </w:rPr>
        <w:t xml:space="preserve">万元（投标人投标报价不得超过上述限价金额，否则将作无效标处理）。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1.5采购需求：采购</w:t>
      </w:r>
      <w:r>
        <w:rPr>
          <w:rFonts w:hint="eastAsia" w:ascii="宋体" w:hAnsi="宋体" w:cs="宋体"/>
          <w:bCs/>
          <w:color w:val="000000" w:themeColor="text1"/>
          <w:szCs w:val="21"/>
          <w:lang w:eastAsia="zh-CN"/>
          <w14:textFill>
            <w14:solidFill>
              <w14:schemeClr w14:val="tx1"/>
            </w14:solidFill>
          </w14:textFill>
        </w:rPr>
        <w:t xml:space="preserve">医疗责任保险服务项目</w:t>
      </w:r>
      <w:r>
        <w:rPr>
          <w:rFonts w:hint="eastAsia" w:ascii="宋体" w:hAnsi="宋体" w:cs="宋体"/>
          <w:bCs/>
          <w:color w:val="000000" w:themeColor="text1"/>
          <w:szCs w:val="21"/>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1.6标段划分：本项目共划分1个标段。</w:t>
      </w:r>
      <w:r/>
    </w:p>
    <w:p>
      <w:pPr>
        <w:ind w:firstLine="420"/>
        <w:spacing w:line="360" w:lineRule="auto"/>
        <w:rPr>
          <w:rFonts w:hint="eastAsia" w:ascii="宋体" w:hAnsi="宋体" w:eastAsia="宋体" w:cs="宋体"/>
          <w:b/>
          <w:color w:val="000000" w:themeColor="text1"/>
          <w:szCs w:val="21"/>
          <w:highlight w:val="yellow"/>
          <w:lang w:eastAsia="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★1.7合同履行期限：</w:t>
      </w:r>
      <w:r>
        <w:rPr>
          <w:rFonts w:hint="eastAsia" w:ascii="宋体" w:hAnsi="宋体" w:cs="宋体"/>
          <w:b/>
          <w:color w:val="000000" w:themeColor="text1"/>
          <w:szCs w:val="21"/>
          <w:highlight w:val="none"/>
          <w:lang w:val="en-US" w:eastAsia="zh-CN"/>
          <w14:textFill>
            <w14:solidFill>
              <w14:schemeClr w14:val="tx1"/>
            </w14:solidFill>
          </w14:textFill>
        </w:rPr>
        <w:t xml:space="preserve">两</w:t>
      </w:r>
      <w:r>
        <w:rPr>
          <w:rFonts w:hint="eastAsia" w:ascii="宋体" w:hAnsi="宋体" w:cs="宋体"/>
          <w:b/>
          <w:color w:val="000000" w:themeColor="text1"/>
          <w:szCs w:val="21"/>
          <w:highlight w:val="none"/>
          <w14:textFill>
            <w14:solidFill>
              <w14:schemeClr w14:val="tx1"/>
            </w14:solidFill>
          </w14:textFill>
        </w:rPr>
        <w:t xml:space="preserve">年</w:t>
      </w:r>
      <w:r>
        <w:rPr>
          <w:rFonts w:hint="eastAsia" w:ascii="宋体" w:hAnsi="宋体" w:cs="宋体"/>
          <w:b/>
          <w:color w:val="000000" w:themeColor="text1"/>
          <w:szCs w:val="21"/>
          <w:highlight w:val="none"/>
          <w:lang w:eastAsia="zh-CN"/>
          <w14:textFill>
            <w14:solidFill>
              <w14:schemeClr w14:val="tx1"/>
            </w14:solidFill>
          </w14:textFill>
        </w:rPr>
        <w:t xml:space="preserve">。保险合同一年一签，一年合同到期后，经考核合格采购人与供应商续签下一年合同，如考核未合格，采购人有权不再与供应商签订下一年度合同。</w:t>
      </w:r>
      <w:r/>
    </w:p>
    <w:p>
      <w:pPr>
        <w:ind w:firstLine="420"/>
        <w:spacing w:line="360" w:lineRule="auto"/>
        <w:rPr>
          <w:rFonts w:hint="default" w:ascii="宋体" w:hAnsi="宋体" w:eastAsia="宋体" w:cs="宋体"/>
          <w:b/>
          <w:bCs w:val="0"/>
          <w:color w:val="000000" w:themeColor="text1"/>
          <w:szCs w:val="21"/>
          <w:lang w:val="en-US" w:eastAsia="zh-CN"/>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★1.8本项目是否接受联合体投标：接受</w:t>
      </w:r>
      <w:r>
        <w:rPr>
          <w:rFonts w:hint="eastAsia" w:ascii="宋体" w:hAnsi="宋体" w:cs="宋体"/>
          <w:b/>
          <w:bCs w:val="0"/>
          <w:color w:val="000000" w:themeColor="text1"/>
          <w:szCs w:val="21"/>
          <w:lang w:eastAsia="zh-CN"/>
          <w14:textFill>
            <w14:solidFill>
              <w14:schemeClr w14:val="tx1"/>
            </w14:solidFill>
          </w14:textFill>
        </w:rPr>
        <w:t xml:space="preserve">（</w:t>
      </w:r>
      <w:r>
        <w:rPr>
          <w:rFonts w:hint="eastAsia" w:ascii="宋体" w:hAnsi="宋体" w:cs="宋体"/>
          <w:b/>
          <w:bCs w:val="0"/>
          <w:color w:val="000000" w:themeColor="text1"/>
          <w:szCs w:val="21"/>
          <w:lang w:val="en-US" w:eastAsia="zh-CN"/>
          <w14:textFill>
            <w14:solidFill>
              <w14:schemeClr w14:val="tx1"/>
            </w14:solidFill>
          </w14:textFill>
        </w:rPr>
        <w:t xml:space="preserve">联合体须满足的相关要求，详见招标文件）</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★1.9本项目是否接受进口产品：不接受</w:t>
      </w:r>
      <w:r/>
    </w:p>
    <w:p>
      <w:pPr>
        <w:ind w:firstLine="373"/>
        <w:spacing w:line="360" w:lineRule="auto"/>
        <w:rPr>
          <w:rFonts w:hint="eastAsia" w:ascii="宋体" w:hAnsi="宋体" w:cs="宋体"/>
          <w:b/>
          <w:bCs/>
          <w:color w:val="000000" w:themeColor="text1"/>
          <w:szCs w:val="44"/>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
          <w:bCs/>
          <w:color w:val="000000" w:themeColor="text1"/>
          <w:szCs w:val="44"/>
          <w14:textFill>
            <w14:solidFill>
              <w14:schemeClr w14:val="tx1"/>
            </w14:solidFill>
          </w14:textFill>
        </w:rPr>
        <w:t xml:space="preserve">二、</w:t>
      </w:r>
      <w:bookmarkEnd w:id="9"/>
      <w:r>
        <w:rPr>
          <w:rFonts w:hint="eastAsia" w:ascii="宋体" w:hAnsi="宋体" w:cs="宋体"/>
          <w:b/>
          <w:bCs/>
          <w:color w:val="000000" w:themeColor="text1"/>
          <w:szCs w:val="44"/>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13" w:name="_Toc80264699"/>
      <w:r/>
      <w:bookmarkStart w:id="14" w:name="_Toc80792690"/>
      <w:r/>
      <w:bookmarkStart w:id="15" w:name="_Toc93909067"/>
      <w:r/>
      <w:bookmarkStart w:id="16" w:name="_Toc96347853"/>
      <w:r>
        <w:rPr>
          <w:rFonts w:hint="eastAsia" w:ascii="宋体" w:hAnsi="宋体" w:cs="宋体"/>
          <w:bCs/>
          <w:color w:val="000000" w:themeColor="text1"/>
          <w:szCs w:val="21"/>
          <w14:textFill>
            <w14:solidFill>
              <w14:schemeClr w14:val="tx1"/>
            </w14:solidFill>
          </w14:textFill>
        </w:rPr>
        <w:t xml:space="preserve">2.1</w:t>
      </w:r>
      <w:r>
        <w:rPr>
          <w:rFonts w:hint="eastAsia" w:ascii="宋体" w:hAnsi="宋体" w:cs="宋体"/>
          <w:bCs/>
          <w:color w:val="000000" w:themeColor="text1"/>
          <w:szCs w:val="21"/>
          <w:lang w:val="en-US" w:eastAsia="zh-CN"/>
          <w14:textFill>
            <w14:solidFill>
              <w14:schemeClr w14:val="tx1"/>
            </w14:solidFill>
          </w14:textFill>
        </w:rPr>
        <w:t xml:space="preserve">供应商（</w:t>
      </w:r>
      <w:r>
        <w:rPr>
          <w:rFonts w:hint="eastAsia" w:ascii="宋体" w:hAnsi="宋体" w:cs="宋体"/>
          <w:b/>
          <w:bCs w:val="0"/>
          <w:color w:val="000000" w:themeColor="text1"/>
          <w:szCs w:val="21"/>
          <w:lang w:val="en-US" w:eastAsia="zh-CN"/>
          <w14:textFill>
            <w14:solidFill>
              <w14:schemeClr w14:val="tx1"/>
            </w14:solidFill>
          </w14:textFill>
        </w:rPr>
        <w:t xml:space="preserve">或联合体各方</w:t>
      </w:r>
      <w:r>
        <w:rPr>
          <w:rFonts w:hint="eastAsia" w:ascii="宋体" w:hAnsi="宋体" w:cs="宋体"/>
          <w:bCs/>
          <w:color w:val="000000" w:themeColor="text1"/>
          <w:szCs w:val="21"/>
          <w:lang w:val="en-US" w:eastAsia="zh-CN"/>
          <w14:textFill>
            <w14:solidFill>
              <w14:schemeClr w14:val="tx1"/>
            </w14:solidFill>
          </w14:textFill>
        </w:rPr>
        <w:t xml:space="preserve">）应</w:t>
      </w:r>
      <w:r>
        <w:rPr>
          <w:rFonts w:hint="eastAsia" w:ascii="宋体" w:hAnsi="宋体" w:cs="宋体"/>
          <w:bCs/>
          <w:color w:val="000000" w:themeColor="text1"/>
          <w:szCs w:val="21"/>
          <w14:textFill>
            <w14:solidFill>
              <w14:schemeClr w14:val="tx1"/>
            </w14:solidFill>
          </w14:textFill>
        </w:rPr>
        <w:t xml:space="preserve">满足《中华人民共和国政府采购法》第二十二条规定：</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2.1.1具有独立承担民事责任的能力，投标人提供在有效经营期内的营业执照、法人授权书（法人直接参与投标的可不提供）、法人身份证复印件、投标人代表身份证复印件</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lang w:val="en-US" w:eastAsia="zh-CN"/>
          <w14:textFill>
            <w14:solidFill>
              <w14:schemeClr w14:val="tx1"/>
            </w14:solidFill>
          </w14:textFill>
        </w:rPr>
        <w:t xml:space="preserve">本项目为保险服务采购，允许保险公司分支机构（分公司或支公司）参与投标</w:t>
      </w:r>
      <w:r>
        <w:rPr>
          <w:rFonts w:hint="eastAsia" w:ascii="宋体" w:hAnsi="宋体" w:cs="宋体"/>
          <w:bCs/>
          <w:color w:val="000000" w:themeColor="text1"/>
          <w:szCs w:val="21"/>
          <w:lang w:eastAsia="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2.1.2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ind w:firstLine="420"/>
        <w:spacing w:line="360" w:lineRule="auto"/>
        <w:rPr>
          <w:rFonts w:ascii="宋体" w:hAnsi="宋体" w:cs="宋体"/>
          <w:bCs/>
          <w:szCs w:val="21"/>
        </w:rPr>
      </w:pPr>
      <w:r>
        <w:rPr>
          <w:rFonts w:hint="eastAsia" w:ascii="宋体" w:hAnsi="宋体" w:cs="宋体"/>
          <w:bCs/>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宋体" w:hAnsi="宋体" w:cs="宋体"/>
          <w:bCs/>
          <w:szCs w:val="21"/>
        </w:rPr>
      </w:pPr>
      <w:r>
        <w:rPr>
          <w:rFonts w:hint="eastAsia" w:ascii="宋体" w:hAnsi="宋体" w:cs="宋体"/>
          <w:bCs/>
          <w:szCs w:val="21"/>
        </w:rPr>
        <w:t xml:space="preserve">2.1.4有依法缴纳税收和社会保障资金的良好记录，提供本次采购活动前6个月内（即</w:t>
      </w:r>
      <w:r>
        <w:rPr>
          <w:rFonts w:hint="eastAsia" w:ascii="宋体" w:hAnsi="宋体" w:cs="宋体"/>
          <w:bCs/>
          <w:szCs w:val="21"/>
          <w:lang w:eastAsia="zh-CN"/>
        </w:rPr>
        <w:t xml:space="preserve">2025年</w:t>
      </w:r>
      <w:r>
        <w:rPr>
          <w:rFonts w:hint="eastAsia" w:ascii="宋体" w:hAnsi="宋体" w:cs="宋体"/>
          <w:bCs/>
          <w:szCs w:val="21"/>
          <w:lang w:val="en-US" w:eastAsia="zh-CN"/>
        </w:rPr>
        <w:t xml:space="preserve">3</w:t>
      </w:r>
      <w:r>
        <w:rPr>
          <w:rFonts w:hint="eastAsia" w:ascii="宋体" w:hAnsi="宋体" w:cs="宋体"/>
          <w:bCs/>
          <w:szCs w:val="21"/>
          <w:lang w:eastAsia="zh-CN"/>
        </w:rPr>
        <w:t xml:space="preserve">月（含）以来</w:t>
      </w:r>
      <w:r>
        <w:rPr>
          <w:rFonts w:hint="eastAsia" w:ascii="宋体" w:hAnsi="宋体" w:cs="宋体"/>
          <w:bCs/>
          <w:szCs w:val="21"/>
        </w:rPr>
        <w:t xml:space="preserve">），至少1个月缴纳税收和社会保险的凭证复印件，依法享受免缴、缓缴的，提供证明材料复印件；</w:t>
      </w:r>
      <w:r/>
    </w:p>
    <w:p>
      <w:pPr>
        <w:ind w:firstLine="420"/>
        <w:spacing w:line="360" w:lineRule="auto"/>
        <w:rPr>
          <w:rFonts w:ascii="宋体" w:hAnsi="宋体" w:cs="宋体"/>
          <w:bCs/>
          <w:szCs w:val="21"/>
        </w:rPr>
      </w:pPr>
      <w:r>
        <w:rPr>
          <w:rFonts w:hint="eastAsia" w:ascii="宋体" w:hAnsi="宋体" w:cs="宋体"/>
          <w:bCs/>
          <w:szCs w:val="21"/>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宋体" w:hAnsi="宋体" w:cs="宋体"/>
          <w:bCs/>
          <w:szCs w:val="21"/>
        </w:rPr>
      </w:pPr>
      <w:r>
        <w:rPr>
          <w:rFonts w:hint="eastAsia" w:ascii="宋体" w:hAnsi="宋体" w:cs="宋体"/>
          <w:bCs/>
          <w:szCs w:val="21"/>
        </w:rPr>
        <w:t xml:space="preserve">2.1.6法律、行政法规规定的其他条件。</w:t>
      </w:r>
      <w:r/>
    </w:p>
    <w:p>
      <w:pPr>
        <w:ind w:firstLine="420"/>
        <w:spacing w:line="360" w:lineRule="auto"/>
        <w:rPr>
          <w:rFonts w:ascii="宋体" w:hAnsi="宋体" w:cs="宋体"/>
          <w:bCs/>
          <w:szCs w:val="21"/>
        </w:rPr>
      </w:pPr>
      <w:r>
        <w:rPr>
          <w:rFonts w:hint="eastAsia" w:ascii="宋体" w:hAnsi="宋体" w:cs="宋体"/>
          <w:bCs/>
          <w:szCs w:val="21"/>
        </w:rPr>
        <w:t xml:space="preserve">说明：</w:t>
      </w:r>
      <w:bookmarkStart w:id="17" w:name="_Toc35393635"/>
      <w:r>
        <w:rPr>
          <w:rFonts w:hint="eastAsia" w:ascii="宋体" w:hAnsi="宋体" w:cs="宋体"/>
          <w:bCs/>
          <w:szCs w:val="21"/>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szCs w:val="21"/>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2.2落实政府采购政策需满足的资格要求：</w:t>
      </w:r>
      <w:r/>
    </w:p>
    <w:p>
      <w:pPr>
        <w:ind w:firstLine="420"/>
        <w:spacing w:line="360" w:lineRule="auto"/>
        <w:rPr>
          <w:rFonts w:ascii="宋体" w:hAnsi="宋体" w:cs="宋体"/>
          <w:bCs/>
          <w:szCs w:val="21"/>
        </w:rPr>
      </w:pPr>
      <w:r>
        <w:rPr>
          <w:rFonts w:hint="eastAsia" w:ascii="宋体" w:hAnsi="宋体" w:cs="宋体"/>
          <w:bCs/>
          <w:szCs w:val="21"/>
        </w:rPr>
        <w:t xml:space="preserve">2.2.1中小企业政策：■本项目不面向中小企业预留采购份额</w:t>
      </w:r>
      <w:r/>
    </w:p>
    <w:p>
      <w:pPr>
        <w:ind w:firstLine="420"/>
        <w:spacing w:line="360" w:lineRule="auto"/>
        <w:rPr>
          <w:rFonts w:ascii="宋体" w:hAnsi="宋体" w:cs="宋体"/>
          <w:bCs/>
          <w:szCs w:val="21"/>
        </w:rPr>
      </w:pPr>
      <w:r>
        <w:rPr>
          <w:rFonts w:hint="eastAsia" w:ascii="宋体" w:hAnsi="宋体" w:cs="宋体"/>
          <w:bCs/>
          <w:szCs w:val="21"/>
        </w:rPr>
        <w:t xml:space="preserve">2.2.2其它落实政府采购政策的资格要求（如有）：无。</w:t>
      </w:r>
      <w:r/>
    </w:p>
    <w:p>
      <w:pPr>
        <w:ind w:firstLine="420"/>
        <w:spacing w:line="360" w:lineRule="auto"/>
        <w:rPr>
          <w:rFonts w:ascii="宋体" w:hAnsi="宋体" w:cs="宋体"/>
          <w:b/>
          <w:szCs w:val="21"/>
        </w:rPr>
      </w:pPr>
      <w:r>
        <w:rPr>
          <w:rFonts w:hint="eastAsia" w:ascii="宋体" w:hAnsi="宋体" w:cs="宋体"/>
          <w:bCs/>
          <w:szCs w:val="21"/>
        </w:rPr>
        <w:t xml:space="preserve">2.3本项目的特定资格要求：</w:t>
      </w:r>
      <w:r/>
    </w:p>
    <w:p>
      <w:pPr>
        <w:ind w:firstLine="420"/>
        <w:spacing w:line="360" w:lineRule="auto"/>
        <w:rPr>
          <w:rFonts w:ascii="宋体" w:hAnsi="宋体" w:cs="宋体"/>
          <w:bCs/>
          <w:szCs w:val="21"/>
        </w:rPr>
      </w:pPr>
      <w:r>
        <w:rPr>
          <w:rFonts w:hint="eastAsia" w:ascii="宋体" w:hAnsi="宋体" w:cs="宋体"/>
          <w:bCs/>
          <w:szCs w:val="21"/>
        </w:rPr>
        <w:t xml:space="preserve">2.3.1供应商存在下列情形的不得参加本次招标活动：</w:t>
      </w:r>
      <w:r/>
    </w:p>
    <w:p>
      <w:pPr>
        <w:ind w:firstLine="420"/>
        <w:spacing w:line="360" w:lineRule="auto"/>
        <w:rPr>
          <w:rFonts w:ascii="宋体" w:hAnsi="宋体" w:cs="宋体"/>
          <w:bCs/>
          <w:szCs w:val="21"/>
        </w:rPr>
      </w:pPr>
      <w:r>
        <w:rPr>
          <w:rFonts w:hint="eastAsia" w:ascii="宋体" w:hAnsi="宋体" w:cs="宋体"/>
          <w:bCs/>
          <w:szCs w:val="21"/>
        </w:rPr>
        <w:t xml:space="preserve">2.3.1.1单位负责人为同一人或者存在直接控股、管理关系的不同供应商，不得参加同一合同项下的政府采购活动。</w:t>
      </w:r>
      <w:r/>
    </w:p>
    <w:p>
      <w:pPr>
        <w:ind w:firstLine="420"/>
        <w:spacing w:line="360" w:lineRule="auto"/>
        <w:rPr>
          <w:rFonts w:ascii="宋体" w:hAnsi="宋体" w:cs="宋体"/>
          <w:bCs/>
          <w:szCs w:val="21"/>
        </w:rPr>
      </w:pPr>
      <w:r>
        <w:rPr>
          <w:rFonts w:hint="eastAsia" w:ascii="宋体" w:hAnsi="宋体" w:cs="宋体"/>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ascii="宋体" w:hAnsi="宋体" w:cs="宋体"/>
          <w:bCs/>
          <w:szCs w:val="21"/>
        </w:rPr>
      </w:pPr>
      <w:r>
        <w:rPr>
          <w:rFonts w:hint="eastAsia" w:ascii="宋体" w:hAnsi="宋体" w:cs="宋体"/>
          <w:bCs/>
          <w:szCs w:val="21"/>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其他资格要求：</w:t>
      </w:r>
      <w:r>
        <w:rPr>
          <w:rFonts w:hint="eastAsia" w:ascii="宋体" w:hAnsi="宋体" w:cs="宋体"/>
          <w:bCs/>
          <w:color w:val="000000" w:themeColor="text1"/>
          <w:szCs w:val="21"/>
          <w:highlight w:val="none"/>
          <w:lang w:val="en-US" w:eastAsia="zh-CN"/>
          <w14:textFill>
            <w14:solidFill>
              <w14:schemeClr w14:val="tx1"/>
            </w14:solidFill>
          </w14:textFill>
        </w:rPr>
        <w:t xml:space="preserve">供应商（或联合体各方）</w:t>
      </w:r>
      <w:r>
        <w:rPr>
          <w:rFonts w:hint="eastAsia" w:ascii="宋体" w:hAnsi="宋体" w:cs="宋体"/>
          <w:bCs/>
          <w:color w:val="000000" w:themeColor="text1"/>
          <w:szCs w:val="21"/>
          <w:highlight w:val="none"/>
          <w:lang w:eastAsia="zh-CN"/>
          <w14:textFill>
            <w14:solidFill>
              <w14:schemeClr w14:val="tx1"/>
            </w14:solidFill>
          </w14:textFill>
        </w:rPr>
        <w:t xml:space="preserve">应为在中华人民共和国境内注册、经国家保险监督管理机构批准设立且持有《中华人民共和国经营保险业务许可证》的保险公司或其分支机构（</w:t>
      </w:r>
      <w:r>
        <w:rPr>
          <w:rFonts w:hint="eastAsia" w:ascii="宋体" w:hAnsi="宋体" w:cs="宋体"/>
          <w:bCs/>
          <w:color w:val="000000" w:themeColor="text1"/>
          <w:szCs w:val="21"/>
          <w:highlight w:val="none"/>
          <w:lang w:val="en-US" w:eastAsia="zh-CN"/>
          <w14:textFill>
            <w14:solidFill>
              <w14:schemeClr w14:val="tx1"/>
            </w14:solidFill>
          </w14:textFill>
        </w:rPr>
        <w:t xml:space="preserve">提供证书复印件，联合体投标的，</w:t>
      </w:r>
      <w:r>
        <w:rPr>
          <w:rFonts w:hint="eastAsia" w:ascii="宋体" w:hAnsi="宋体" w:cs="宋体"/>
          <w:b/>
          <w:bCs w:val="0"/>
          <w:color w:val="000000" w:themeColor="text1"/>
          <w:szCs w:val="21"/>
          <w:highlight w:val="none"/>
          <w:lang w:val="en-US" w:eastAsia="zh-CN"/>
          <w14:textFill>
            <w14:solidFill>
              <w14:schemeClr w14:val="tx1"/>
            </w14:solidFill>
          </w14:textFill>
        </w:rPr>
        <w:t xml:space="preserve">联合体各方</w:t>
      </w:r>
      <w:r>
        <w:rPr>
          <w:rFonts w:hint="eastAsia" w:ascii="宋体" w:hAnsi="宋体" w:cs="宋体"/>
          <w:bCs/>
          <w:color w:val="000000" w:themeColor="text1"/>
          <w:szCs w:val="21"/>
          <w:highlight w:val="none"/>
          <w:lang w:val="en-US" w:eastAsia="zh-CN"/>
          <w14:textFill>
            <w14:solidFill>
              <w14:schemeClr w14:val="tx1"/>
            </w14:solidFill>
          </w14:textFill>
        </w:rPr>
        <w:t xml:space="preserve">均应提供上述证书复印件</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themeColor="text1"/>
          <w:szCs w:val="21"/>
          <w14:textFill>
            <w14:solidFill>
              <w14:schemeClr w14:val="tx1"/>
            </w14:solidFill>
          </w14:textFill>
        </w:rPr>
      </w:pPr>
      <w:r/>
      <w:bookmarkStart w:id="18" w:name="_Toc80264700"/>
      <w:r>
        <w:rPr>
          <w:rFonts w:hint="eastAsia" w:ascii="宋体" w:hAnsi="宋体" w:cs="宋体"/>
          <w:bCs/>
          <w:color w:val="000000" w:themeColor="text1"/>
          <w:szCs w:val="21"/>
          <w14:textFill>
            <w14:solidFill>
              <w14:schemeClr w14:val="tx1"/>
            </w14:solidFill>
          </w14:textFill>
        </w:rPr>
        <w:t xml:space="preserve">时间：自招标文件公告发布之日起5个工作日</w:t>
      </w:r>
      <w:r/>
    </w:p>
    <w:p>
      <w:pPr>
        <w:ind w:firstLine="525"/>
        <w:spacing w:after="40" w:line="360" w:lineRule="auto"/>
        <w:rPr>
          <w:rFonts w:hint="eastAsia" w:ascii="宋体" w:hAnsi="宋体" w:cs="宋体"/>
          <w:bCs/>
          <w:color w:val="000000" w:themeColor="text1"/>
          <w:szCs w:val="21"/>
          <w14:textFill>
            <w14:solidFill>
              <w14:schemeClr w14:val="tx1"/>
            </w14:solidFill>
          </w14:textFill>
        </w:rPr>
      </w:pPr>
      <w:r/>
      <w:bookmarkStart w:id="19" w:name="_Toc80792691"/>
      <w:r/>
      <w:bookmarkStart w:id="20" w:name="_Toc93909068"/>
      <w:r/>
      <w:bookmarkStart w:id="21" w:name="_Toc96347854"/>
      <w:r>
        <w:rPr>
          <w:rFonts w:hint="eastAsia" w:ascii="Microsoft New Tai Lue" w:hAnsi="Microsoft New Tai Lue" w:cs="Microsoft New Tai Lue"/>
          <w:bCs/>
          <w:color w:val="000000" w:themeColor="text1"/>
          <w:szCs w:val="21"/>
          <w14:textFill>
            <w14:solidFill>
              <w14:schemeClr w14:val="tx1"/>
            </w14:solidFill>
          </w14:textFill>
        </w:rPr>
        <w:t xml:space="preserve">获取地点：江苏政府采购网</w:t>
      </w:r>
      <w:r>
        <w:rPr>
          <w:rFonts w:hint="eastAsia" w:ascii="宋体" w:hAnsi="宋体" w:cs="宋体"/>
          <w:bCs/>
          <w:color w:val="000000" w:themeColor="text1"/>
          <w:szCs w:val="21"/>
          <w14:textFill>
            <w14:solidFill>
              <w14:schemeClr w14:val="tx1"/>
            </w14:solidFill>
          </w14:textFill>
        </w:rPr>
        <w:t xml:space="preserve">。</w:t>
      </w:r>
      <w:r/>
    </w:p>
    <w:p>
      <w:pPr>
        <w:ind w:firstLine="525"/>
        <w:spacing w:after="40" w:line="360" w:lineRule="auto"/>
        <w:rPr>
          <w:rFonts w:hint="eastAsia" w:ascii="宋体" w:hAnsi="宋体" w:cs="宋体"/>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获取方式：网上下载</w:t>
      </w:r>
      <w:r/>
    </w:p>
    <w:p>
      <w:pPr>
        <w:ind w:firstLine="525"/>
        <w:spacing w:after="40"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售价：0元。</w:t>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四、</w:t>
      </w:r>
      <w:bookmarkEnd w:id="18"/>
      <w:r/>
      <w:bookmarkEnd w:id="19"/>
      <w:r>
        <w:rPr>
          <w:rFonts w:hint="eastAsia" w:ascii="宋体" w:hAnsi="宋体" w:cs="宋体"/>
          <w:b/>
          <w:bCs/>
          <w:color w:val="000000" w:themeColor="text1"/>
          <w:szCs w:val="44"/>
          <w14:textFill>
            <w14:solidFill>
              <w14:schemeClr w14:val="tx1"/>
            </w14:solidFill>
          </w14:textFill>
        </w:rPr>
        <w:t xml:space="preserve">递交投标文件截止时间、开标时间和地点</w:t>
      </w:r>
      <w:bookmarkEnd w:id="20"/>
      <w:r/>
      <w:bookmarkEnd w:id="21"/>
      <w:r/>
      <w:r/>
    </w:p>
    <w:p>
      <w:pPr>
        <w:ind w:firstLine="525"/>
        <w:spacing w:after="40" w:line="360" w:lineRule="auto"/>
        <w:tabs>
          <w:tab w:val="left" w:pos="3990" w:leader="none"/>
        </w:tabs>
        <w:rPr>
          <w:rFonts w:ascii="Microsoft New Tai Lue" w:hAnsi="Microsoft New Tai Lue" w:cs="Microsoft New Tai Lue"/>
          <w:bCs/>
          <w:color w:val="000000" w:themeColor="text1"/>
          <w:szCs w:val="21"/>
          <w:highlight w:val="none"/>
          <w14:textFill>
            <w14:solidFill>
              <w14:schemeClr w14:val="tx1"/>
            </w14:solidFill>
          </w14:textFill>
        </w:rPr>
      </w:pPr>
      <w:r/>
      <w:bookmarkStart w:id="22" w:name="_Toc80792693"/>
      <w:r/>
      <w:bookmarkStart w:id="23" w:name="_Toc93909069"/>
      <w:r/>
      <w:bookmarkStart w:id="24" w:name="_Toc96347855"/>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提交投标文件截止时间、开标时间：2025年</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月</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日14：30（北京时间）</w:t>
      </w:r>
      <w:r/>
    </w:p>
    <w:p>
      <w:pPr>
        <w:ind w:firstLine="525"/>
        <w:spacing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提交投标文件地点：江苏省政府采购管理交易系统（苏采云）（以下简称“苏采云”）（网址： http://jszfcg.jsczt.cn/）</w:t>
      </w:r>
      <w:r/>
    </w:p>
    <w:p>
      <w:pPr>
        <w:ind w:firstLine="525"/>
        <w:spacing w:after="40" w:line="360" w:lineRule="auto"/>
        <w:rPr>
          <w:rFonts w:hint="eastAsia"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Microsoft New Tai Lue" w:hAnsi="Microsoft New Tai Lue" w:cs="Microsoft New Tai Lue"/>
            <w:bCs/>
            <w:color w:val="000000" w:themeColor="text1"/>
            <w:szCs w:val="21"/>
            <w14:textFill>
              <w14:solidFill>
                <w14:schemeClr w14:val="tx1"/>
              </w14:solidFill>
            </w14:textFill>
          </w:rPr>
        </w:sdtPr>
        <w:sdtContent>
          <w:r>
            <w:rPr>
              <w:rFonts w:hint="eastAsia" w:ascii="Microsoft New Tai Lue" w:hAnsi="Microsoft New Tai Lue" w:cs="Microsoft New Tai Lue"/>
              <w:bCs/>
              <w:color w:val="000000" w:themeColor="text1"/>
              <w:szCs w:val="21"/>
              <w14:textFill>
                <w14:solidFill>
                  <w14:schemeClr w14:val="tx1"/>
                </w14:solidFill>
              </w14:textFill>
            </w:rPr>
            <w:t xml:space="preserve">“苏采云”网上开标大厅</w:t>
          </w:r>
        </w:sdtContent>
      </w:sdt>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五、</w:t>
      </w:r>
      <w:bookmarkEnd w:id="22"/>
      <w:r>
        <w:rPr>
          <w:rFonts w:hint="eastAsia" w:ascii="宋体" w:hAnsi="宋体" w:cs="宋体"/>
          <w:b/>
          <w:bCs/>
          <w:color w:val="000000" w:themeColor="text1"/>
          <w:szCs w:val="44"/>
          <w14:textFill>
            <w14:solidFill>
              <w14:schemeClr w14:val="tx1"/>
            </w14:solidFill>
          </w14:textFill>
        </w:rPr>
        <w:t xml:space="preserve">公告期</w:t>
      </w:r>
      <w:bookmarkEnd w:id="23"/>
      <w:r/>
      <w:bookmarkEnd w:id="24"/>
      <w:r>
        <w:rPr>
          <w:rFonts w:hint="eastAsia" w:ascii="宋体" w:hAnsi="宋体" w:cs="宋体"/>
          <w:b/>
          <w:bCs/>
          <w:color w:val="000000" w:themeColor="text1"/>
          <w:szCs w:val="44"/>
          <w14:textFill>
            <w14:solidFill>
              <w14:schemeClr w14:val="tx1"/>
            </w14:solidFill>
          </w14:textFill>
        </w:rPr>
        <w:t xml:space="preserve">限</w:t>
      </w:r>
      <w:r/>
    </w:p>
    <w:p>
      <w:pPr>
        <w:ind w:firstLine="525"/>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14:textFill>
            <w14:solidFill>
              <w14:schemeClr w14:val="tx1"/>
            </w14:solidFill>
          </w14:textFill>
        </w:rPr>
      </w:pPr>
      <w:r/>
      <w:bookmarkStart w:id="25" w:name="_Toc96347856"/>
      <w:r/>
      <w:bookmarkStart w:id="26" w:name="_Toc93909070"/>
      <w:r>
        <w:rPr>
          <w:rFonts w:hint="eastAsia" w:ascii="宋体" w:hAnsi="宋体" w:cs="宋体"/>
          <w:b/>
          <w:bCs/>
          <w:color w:val="000000" w:themeColor="text1"/>
          <w:szCs w:val="44"/>
          <w14:textFill>
            <w14:solidFill>
              <w14:schemeClr w14:val="tx1"/>
            </w14:solidFill>
          </w14:textFill>
        </w:rPr>
        <w:t xml:space="preserve">六、其他补充事宜</w:t>
      </w:r>
      <w:bookmarkEnd w:id="25"/>
      <w:r/>
      <w:bookmarkEnd w:id="26"/>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27" w:name="_Toc80792694"/>
      <w:r/>
      <w:bookmarkStart w:id="28" w:name="_Toc80264702"/>
      <w:r/>
      <w:bookmarkStart w:id="29" w:name="_Toc93909071"/>
      <w:r/>
      <w:bookmarkStart w:id="30" w:name="_Toc96347857"/>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bCs/>
          <w:color w:val="000000" w:themeColor="text1"/>
          <w:szCs w:val="21"/>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（五）《关于做好政府采购支持企业发展有关事项的通知》</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2、供应商诚信档案管理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000000" w:themeColor="text1"/>
          <w:szCs w:val="44"/>
          <w14:textFill>
            <w14:solidFill>
              <w14:schemeClr w14:val="tx1"/>
            </w14:solidFill>
          </w14:textFill>
        </w:rPr>
      </w:pPr>
      <w:r>
        <w:rPr>
          <w:rFonts w:hint="eastAsia" w:ascii="宋体" w:hAnsi="宋体" w:cs="宋体"/>
          <w:b/>
          <w:bCs/>
          <w:color w:val="000000" w:themeColor="text1"/>
          <w:szCs w:val="44"/>
          <w14:textFill>
            <w14:solidFill>
              <w14:schemeClr w14:val="tx1"/>
            </w14:solidFill>
          </w14:textFill>
        </w:rPr>
        <w:t xml:space="preserve">七、</w:t>
      </w:r>
      <w:bookmarkEnd w:id="27"/>
      <w:r/>
      <w:bookmarkEnd w:id="28"/>
      <w:r>
        <w:rPr>
          <w:rFonts w:hint="eastAsia" w:ascii="宋体" w:hAnsi="宋体" w:cs="宋体"/>
          <w:b/>
          <w:bCs/>
          <w:color w:val="000000" w:themeColor="text1"/>
          <w:szCs w:val="44"/>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ascii="宋体" w:hAnsi="宋体" w:cs="宋体"/>
          <w:color w:val="000000" w:themeColor="text1"/>
          <w:szCs w:val="21"/>
          <w14:textFill>
            <w14:solidFill>
              <w14:schemeClr w14:val="tx1"/>
            </w14:solidFill>
          </w14:textFill>
        </w:rPr>
      </w:pPr>
      <w:r/>
      <w:bookmarkStart w:id="31" w:name="_Toc28359085"/>
      <w:r>
        <w:rPr>
          <w:rFonts w:hint="eastAsia" w:ascii="宋体" w:hAnsi="宋体" w:cs="宋体"/>
          <w:color w:val="000000" w:themeColor="text1"/>
          <w:szCs w:val="21"/>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址：南京市中山路321号</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s="宋体"/>
          <w:szCs w:val="21"/>
        </w:rPr>
        <w:t xml:space="preserve">朱老师</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w:t>
      </w:r>
      <w:r>
        <w:rPr>
          <w:rFonts w:hint="eastAsia" w:ascii="宋体" w:hAnsi="宋体" w:cs="宋体"/>
          <w:szCs w:val="21"/>
        </w:rPr>
        <w:t xml:space="preserve">025-83105798</w:t>
      </w:r>
      <w:r/>
    </w:p>
    <w:p>
      <w:pPr>
        <w:ind w:firstLine="560"/>
        <w:jc w:val="left"/>
        <w:spacing w:line="360" w:lineRule="auto"/>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en-US" w:eastAsia="zh-CN"/>
          <w14:textFill>
            <w14:solidFill>
              <w14:schemeClr w14:val="tx1"/>
            </w14:solidFill>
          </w14:textFill>
        </w:rPr>
        <w:t xml:space="preserve">保</w:t>
      </w:r>
      <w:r>
        <w:rPr>
          <w:rFonts w:hint="eastAsia" w:ascii="宋体" w:hAnsi="宋体" w:cs="宋体"/>
          <w:szCs w:val="21"/>
        </w:rPr>
        <w:t xml:space="preserve">险经纪人信息</w:t>
      </w:r>
      <w:r/>
    </w:p>
    <w:p>
      <w:pPr>
        <w:ind w:firstLine="560"/>
        <w:jc w:val="left"/>
        <w:spacing w:line="360" w:lineRule="auto"/>
        <w:rPr>
          <w:rFonts w:hint="eastAsia" w:ascii="宋体" w:hAnsi="宋体" w:cs="宋体"/>
          <w:szCs w:val="21"/>
        </w:rPr>
      </w:pPr>
      <w:r>
        <w:rPr>
          <w:rFonts w:hint="eastAsia" w:ascii="宋体" w:hAnsi="宋体" w:cs="宋体"/>
          <w:szCs w:val="21"/>
        </w:rPr>
        <w:t xml:space="preserve">名称：江泰保险经纪股份有限公司江苏营业部</w:t>
      </w:r>
      <w:r/>
    </w:p>
    <w:p>
      <w:pPr>
        <w:ind w:firstLine="560"/>
        <w:jc w:val="left"/>
        <w:spacing w:line="360" w:lineRule="auto"/>
        <w:rPr>
          <w:rFonts w:hint="eastAsia" w:ascii="宋体" w:hAnsi="宋体" w:cs="宋体"/>
          <w:szCs w:val="21"/>
        </w:rPr>
      </w:pPr>
      <w:r>
        <w:rPr>
          <w:rFonts w:hint="eastAsia" w:ascii="宋体" w:hAnsi="宋体" w:cs="宋体"/>
          <w:szCs w:val="21"/>
        </w:rPr>
        <w:t xml:space="preserve">地址：南京市中山南路189号11层</w:t>
      </w:r>
      <w:r/>
    </w:p>
    <w:p>
      <w:pPr>
        <w:ind w:firstLine="560"/>
        <w:jc w:val="left"/>
        <w:spacing w:line="360" w:lineRule="auto"/>
        <w:rPr>
          <w:rFonts w:hint="eastAsia" w:ascii="宋体" w:hAnsi="宋体" w:cs="宋体"/>
          <w:szCs w:val="21"/>
        </w:rPr>
      </w:pPr>
      <w:r>
        <w:rPr>
          <w:rFonts w:hint="eastAsia" w:ascii="宋体" w:hAnsi="宋体" w:cs="宋体"/>
          <w:szCs w:val="21"/>
        </w:rPr>
        <w:t xml:space="preserve">项目联系人：沈老师</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电话：025-89637991</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．采购代理机构信息</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 址：南京市雨花台区宁双路19号云密城C栋3楼305室</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联系人：张秋宇、</w:t>
      </w:r>
      <w:r>
        <w:rPr>
          <w:rFonts w:hint="eastAsia" w:ascii="宋体" w:hAnsi="宋体" w:cs="宋体"/>
          <w:color w:val="000000" w:themeColor="text1"/>
          <w:szCs w:val="21"/>
          <w:lang w:val="en-US" w:eastAsia="zh-CN"/>
          <w14:textFill>
            <w14:solidFill>
              <w14:schemeClr w14:val="tx1"/>
            </w14:solidFill>
          </w14:textFill>
        </w:rPr>
        <w:t xml:space="preserve">高颖、</w:t>
      </w:r>
      <w:r>
        <w:rPr>
          <w:rFonts w:hint="eastAsia" w:ascii="宋体" w:hAnsi="宋体" w:cs="宋体"/>
          <w:color w:val="000000" w:themeColor="text1"/>
          <w:szCs w:val="21"/>
          <w14:textFill>
            <w14:solidFill>
              <w14:schemeClr w14:val="tx1"/>
            </w14:solidFill>
          </w14:textFill>
        </w:rPr>
        <w:t xml:space="preserve">呼禹、宗超</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联系方式：15261870871、18761879918、13851876930</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．项目联系方式</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项目联系人：张秋宇、</w:t>
      </w:r>
      <w:r>
        <w:rPr>
          <w:rFonts w:hint="eastAsia" w:ascii="宋体" w:hAnsi="宋体" w:cs="宋体"/>
          <w:color w:val="000000" w:themeColor="text1"/>
          <w:szCs w:val="21"/>
          <w:lang w:val="en-US" w:eastAsia="zh-CN"/>
          <w14:textFill>
            <w14:solidFill>
              <w14:schemeClr w14:val="tx1"/>
            </w14:solidFill>
          </w14:textFill>
        </w:rPr>
        <w:t xml:space="preserve">高颖、</w:t>
      </w:r>
      <w:r>
        <w:rPr>
          <w:rFonts w:hint="eastAsia" w:ascii="宋体" w:hAnsi="宋体" w:cs="宋体"/>
          <w:color w:val="000000" w:themeColor="text1"/>
          <w:szCs w:val="21"/>
          <w14:textFill>
            <w14:solidFill>
              <w14:schemeClr w14:val="tx1"/>
            </w14:solidFill>
          </w14:textFill>
        </w:rPr>
        <w:t xml:space="preserve">呼禹</w:t>
      </w:r>
      <w:r/>
    </w:p>
    <w:p>
      <w:pPr>
        <w:ind w:firstLine="52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 话：15261870871、18761879918</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bookmarkEnd w:id="5"/>
      <w:r/>
      <w:bookmarkEnd w:id="31"/>
      <w:r/>
      <w:r/>
    </w:p>
    <w:p>
      <w:pPr>
        <w:pStyle w:val="87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7"/>
        <w:spacing w:line="360" w:lineRule="auto"/>
        <w:rPr>
          <w:rFonts w:hint="eastAsia" w:ascii="宋体" w:hAnsi="宋体" w:cs="宋体"/>
          <w:color w:val="000000" w:themeColor="text1"/>
          <w14:textFill>
            <w14:solidFill>
              <w14:schemeClr w14:val="tx1"/>
            </w14:solidFill>
          </w14:textFill>
        </w:rPr>
      </w:pPr>
      <w:r/>
      <w:bookmarkStart w:id="32" w:name="_Toc107246212"/>
      <w:r>
        <w:rPr>
          <w:rFonts w:hint="eastAsia" w:ascii="宋体" w:hAnsi="宋体" w:cs="宋体"/>
          <w:color w:val="000000" w:themeColor="text1"/>
          <w14:textFill>
            <w14:solidFill>
              <w14:schemeClr w14:val="tx1"/>
            </w14:solidFill>
          </w14:textFill>
        </w:rPr>
        <w:t xml:space="preserve">第二章  投标人须知</w:t>
      </w:r>
      <w:bookmarkEnd w:id="6"/>
      <w:r/>
      <w:bookmarkEnd w:id="32"/>
      <w:r/>
      <w:r/>
    </w:p>
    <w:p>
      <w:pPr>
        <w:ind w:firstLine="569"/>
        <w:jc w:val="center"/>
        <w:spacing w:line="360" w:lineRule="auto"/>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投标人须知前附表</w:t>
      </w:r>
      <w:r/>
    </w:p>
    <w:p>
      <w:pPr>
        <w:ind w:firstLine="372"/>
        <w:jc w:val="cente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本表是对《投标人须知》正文的具体补充和修改，如有矛盾，以本《前附表》为准。</w:t>
      </w:r>
      <w:r/>
    </w:p>
    <w:p>
      <w:pPr>
        <w:ind w:firstLine="372"/>
        <w:jc w:val="cente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标记“</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”的选项意为适用于本项目，标记“□”的选项意为不适用于本项目。</w:t>
      </w:r>
      <w:r/>
    </w:p>
    <w:tbl>
      <w:tblPr>
        <w:tblStyle w:val="86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578"/>
        </w:trPr>
        <w:tc>
          <w:tcPr>
            <w:tcW w:w="675" w:type="dxa"/>
            <w:vAlign w:val="center"/>
            <w:textDirection w:val="lrTb"/>
            <w:noWrap w:val="false"/>
          </w:tcPr>
          <w:p>
            <w:pPr>
              <w:pStyle w:val="1100"/>
              <w:jc w:val="center"/>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序号</w:t>
            </w:r>
            <w:r/>
          </w:p>
        </w:tc>
        <w:tc>
          <w:tcPr>
            <w:tcW w:w="850" w:type="dxa"/>
            <w:vAlign w:val="center"/>
            <w:textDirection w:val="lrTb"/>
            <w:noWrap w:val="false"/>
          </w:tcPr>
          <w:p>
            <w:pPr>
              <w:pStyle w:val="1100"/>
              <w:jc w:val="center"/>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条款号</w:t>
            </w:r>
            <w:r/>
          </w:p>
        </w:tc>
        <w:tc>
          <w:tcPr>
            <w:tcW w:w="2835" w:type="dxa"/>
            <w:vAlign w:val="center"/>
            <w:textDirection w:val="lrTb"/>
            <w:noWrap w:val="false"/>
          </w:tcPr>
          <w:p>
            <w:pPr>
              <w:pStyle w:val="1100"/>
              <w:ind w:firstLine="373"/>
              <w:jc w:val="center"/>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条款名称</w:t>
            </w:r>
            <w:r/>
          </w:p>
        </w:tc>
        <w:tc>
          <w:tcPr>
            <w:tcW w:w="4982" w:type="dxa"/>
            <w:vAlign w:val="center"/>
            <w:textDirection w:val="lrTb"/>
            <w:noWrap w:val="false"/>
          </w:tcPr>
          <w:p>
            <w:pPr>
              <w:pStyle w:val="1100"/>
              <w:ind w:firstLine="373"/>
              <w:jc w:val="center"/>
              <w:spacing w:line="360" w:lineRule="auto"/>
              <w:rPr>
                <w:rFonts w:hint="eastAsia" w:hAnsi="宋体" w:cs="宋体"/>
                <w:b/>
                <w:color w:val="000000" w:themeColor="text1"/>
                <w:sz w:val="21"/>
                <w14:textFill>
                  <w14:solidFill>
                    <w14:schemeClr w14:val="tx1"/>
                  </w14:solidFill>
                </w14:textFill>
              </w:rPr>
            </w:pPr>
            <w:r>
              <w:rPr>
                <w:rFonts w:hint="eastAsia" w:hAnsi="宋体" w:cs="宋体"/>
                <w:b/>
                <w:color w:val="000000" w:themeColor="text1"/>
                <w:sz w:val="21"/>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采购人</w:t>
            </w:r>
            <w:r/>
          </w:p>
        </w:tc>
        <w:tc>
          <w:tcPr>
            <w:tcW w:w="4982" w:type="dxa"/>
            <w:vAlign w:val="center"/>
            <w:textDirection w:val="lrTb"/>
            <w:noWrap w:val="false"/>
          </w:tcPr>
          <w:p>
            <w:pPr>
              <w:pStyle w:val="1097"/>
              <w:spacing w:before="16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名  称：南京鼓楼医院</w:t>
            </w:r>
            <w:r/>
          </w:p>
          <w:p>
            <w:pPr>
              <w:pStyle w:val="1097"/>
              <w:spacing w:before="16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地  址：南京市中山路321号</w:t>
            </w:r>
            <w:r/>
          </w:p>
          <w:p>
            <w:pPr>
              <w:pStyle w:val="1097"/>
              <w:spacing w:before="16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联系人：</w:t>
            </w:r>
            <w:r>
              <w:rPr>
                <w:rFonts w:hint="eastAsia"/>
                <w:color w:val="000000" w:themeColor="text1"/>
                <w:sz w:val="21"/>
                <w:szCs w:val="21"/>
                <w:lang w:val="en-US" w:eastAsia="zh-CN" w:bidi="ar-SA"/>
                <w14:textFill>
                  <w14:solidFill>
                    <w14:schemeClr w14:val="tx1"/>
                  </w14:solidFill>
                </w14:textFill>
              </w:rPr>
              <w:t xml:space="preserve">朱</w:t>
            </w:r>
            <w:r>
              <w:rPr>
                <w:rFonts w:hint="eastAsia"/>
                <w:color w:val="000000" w:themeColor="text1"/>
                <w:sz w:val="21"/>
                <w:szCs w:val="21"/>
                <w:lang w:val="en-US" w:bidi="ar-SA"/>
                <w14:textFill>
                  <w14:solidFill>
                    <w14:schemeClr w14:val="tx1"/>
                  </w14:solidFill>
                </w14:textFill>
              </w:rPr>
              <w:t xml:space="preserve">老师</w:t>
            </w:r>
            <w:r/>
          </w:p>
          <w:p>
            <w:pPr>
              <w:pStyle w:val="1097"/>
              <w:spacing w:before="16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电  话：</w:t>
            </w:r>
            <w:r>
              <w:rPr>
                <w:rFonts w:hint="eastAsia" w:ascii="宋体" w:hAnsi="宋体" w:cs="宋体"/>
                <w:szCs w:val="21"/>
              </w:rPr>
              <w:t xml:space="preserve">025-83105798</w:t>
            </w:r>
            <w:r/>
          </w:p>
        </w:tc>
      </w:tr>
      <w:tr>
        <w:trPr>
          <w:jc w:val="center"/>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2.2</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采购代理机构</w:t>
            </w:r>
            <w:r/>
          </w:p>
        </w:tc>
        <w:tc>
          <w:tcPr>
            <w:tcW w:w="4982" w:type="dxa"/>
            <w:vAlign w:val="center"/>
            <w:textDirection w:val="lrTb"/>
            <w:noWrap w:val="false"/>
          </w:tcPr>
          <w:p>
            <w:pPr>
              <w:pStyle w:val="1097"/>
              <w:spacing w:before="16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名 称 ：江苏省招标中心有限公司</w:t>
            </w:r>
            <w:r/>
          </w:p>
          <w:p>
            <w:pPr>
              <w:pStyle w:val="1097"/>
              <w:spacing w:before="16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地 址 ：南京市雨花台区宁双路19号云密城C栋3楼305室</w:t>
            </w:r>
            <w:r/>
          </w:p>
          <w:p>
            <w:pPr>
              <w:pStyle w:val="1097"/>
              <w:spacing w:before="16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联系人：张秋宇、</w:t>
            </w:r>
            <w:r>
              <w:rPr>
                <w:rFonts w:hint="eastAsia"/>
                <w:color w:val="000000" w:themeColor="text1"/>
                <w:sz w:val="21"/>
                <w:szCs w:val="21"/>
                <w:lang w:val="en-US" w:eastAsia="zh-CN" w:bidi="ar-SA"/>
                <w14:textFill>
                  <w14:solidFill>
                    <w14:schemeClr w14:val="tx1"/>
                  </w14:solidFill>
                </w14:textFill>
              </w:rPr>
              <w:t xml:space="preserve">高颖、</w:t>
            </w:r>
            <w:r>
              <w:rPr>
                <w:rFonts w:hint="eastAsia"/>
                <w:color w:val="000000" w:themeColor="text1"/>
                <w:sz w:val="21"/>
                <w:szCs w:val="21"/>
                <w:lang w:val="en-US" w:bidi="ar-SA"/>
                <w14:textFill>
                  <w14:solidFill>
                    <w14:schemeClr w14:val="tx1"/>
                  </w14:solidFill>
                </w14:textFill>
              </w:rPr>
              <w:t xml:space="preserve">呼禹、宗超</w:t>
            </w:r>
            <w:r/>
          </w:p>
          <w:p>
            <w:pPr>
              <w:pStyle w:val="1097"/>
              <w:spacing w:before="160" w:line="360" w:lineRule="auto"/>
              <w:rPr>
                <w:rFonts w:hint="eastAsia"/>
                <w:color w:val="000000" w:themeColor="text1"/>
                <w:sz w:val="21"/>
                <w:szCs w:val="21"/>
                <w14:textFill>
                  <w14:solidFill>
                    <w14:schemeClr w14:val="tx1"/>
                  </w14:solidFill>
                </w14:textFill>
              </w:rPr>
            </w:pPr>
            <w:r>
              <w:rPr>
                <w:rFonts w:hint="eastAsia"/>
                <w:color w:val="000000" w:themeColor="text1"/>
                <w:sz w:val="21"/>
                <w:szCs w:val="21"/>
                <w:lang w:val="en-US" w:bidi="ar-SA"/>
                <w14:textFill>
                  <w14:solidFill>
                    <w14:schemeClr w14:val="tx1"/>
                  </w14:solidFill>
                </w14:textFill>
              </w:rPr>
              <w:t xml:space="preserve">电  话：15261870871、18761879918、13851876930</w:t>
            </w:r>
            <w:r/>
          </w:p>
        </w:tc>
      </w:tr>
      <w:tr>
        <w:trPr>
          <w:jc w:val="center"/>
          <w:trHeight w:val="510"/>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4</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本项目执行的政府采购政策</w:t>
            </w:r>
            <w:r/>
          </w:p>
        </w:tc>
        <w:tc>
          <w:tcPr>
            <w:tcW w:w="4982" w:type="dxa"/>
            <w:vAlign w:val="center"/>
            <w:textDirection w:val="lrTb"/>
            <w:noWrap w:val="false"/>
          </w:tcPr>
          <w:p>
            <w:pPr>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w:t>
            </w:r>
            <w:r>
              <w:rPr>
                <w:rFonts w:hint="eastAsia" w:ascii="宋体" w:hAnsi="宋体" w:cs="宋体"/>
                <w:color w:val="000000" w:themeColor="text1"/>
                <w:szCs w:val="21"/>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4</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8.1</w:t>
            </w:r>
            <w:r/>
          </w:p>
        </w:tc>
        <w:tc>
          <w:tcPr>
            <w:tcW w:w="2835"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现场考察</w:t>
            </w:r>
            <w:r/>
          </w:p>
        </w:tc>
        <w:tc>
          <w:tcPr>
            <w:tcW w:w="4982"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■不组织</w:t>
            </w:r>
            <w:r/>
          </w:p>
        </w:tc>
      </w:tr>
      <w:tr>
        <w:trPr>
          <w:jc w:val="center"/>
          <w:trHeight w:val="510"/>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5</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9.1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开标前答疑会</w:t>
            </w:r>
            <w:r/>
          </w:p>
        </w:tc>
        <w:tc>
          <w:tcPr>
            <w:tcW w:w="4982"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■不召开</w:t>
            </w:r>
            <w:r/>
          </w:p>
        </w:tc>
      </w:tr>
      <w:tr>
        <w:trPr>
          <w:jc w:val="center"/>
          <w:trHeight w:val="510"/>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6</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10</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联合体投标</w:t>
            </w:r>
            <w:r/>
          </w:p>
        </w:tc>
        <w:tc>
          <w:tcPr>
            <w:tcW w:w="4982" w:type="dxa"/>
            <w:vAlign w:val="center"/>
            <w:textDirection w:val="lrTb"/>
            <w:noWrap w:val="false"/>
          </w:tcPr>
          <w:p>
            <w:pPr>
              <w:jc w:val="left"/>
              <w:spacing w:line="360" w:lineRule="auto"/>
              <w:rPr>
                <w:rFonts w:hint="eastAsia" w:ascii="宋体" w:hAnsi="宋体" w:cs="宋体"/>
                <w:b/>
                <w:bCs/>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■接受</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lang w:eastAsia="zh-CN"/>
                <w14:textFill>
                  <w14:solidFill>
                    <w14:schemeClr w14:val="tx1"/>
                  </w14:solidFill>
                </w14:textFill>
              </w:rPr>
              <w:t xml:space="preserve">★</w:t>
            </w:r>
            <w:r>
              <w:rPr>
                <w:rFonts w:hint="eastAsia" w:ascii="宋体" w:hAnsi="宋体" w:cs="宋体"/>
                <w:b/>
                <w:bCs/>
                <w:color w:val="000000" w:themeColor="text1"/>
                <w:szCs w:val="21"/>
                <w:lang w:val="en-US" w:eastAsia="zh-CN"/>
                <w14:textFill>
                  <w14:solidFill>
                    <w14:schemeClr w14:val="tx1"/>
                  </w14:solidFill>
                </w14:textFill>
              </w:rPr>
              <w:t xml:space="preserve">联合体必须满足如下要求：</w:t>
            </w:r>
            <w:r/>
          </w:p>
          <w:p>
            <w:pPr>
              <w:numPr>
                <w:ilvl w:val="0"/>
                <w:numId w:val="2"/>
              </w:numPr>
              <w:jc w:val="left"/>
              <w:spacing w:line="360" w:lineRule="auto"/>
              <w:rPr>
                <w:rFonts w:hint="eastAsia"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本项目允许</w:t>
            </w:r>
            <w:r>
              <w:rPr>
                <w:rFonts w:hint="default" w:ascii="宋体" w:hAnsi="宋体" w:cs="宋体"/>
                <w:b/>
                <w:bCs/>
                <w:color w:val="000000" w:themeColor="text1"/>
                <w:szCs w:val="21"/>
                <w:lang w:val="en-US" w:eastAsia="zh-CN"/>
                <w14:textFill>
                  <w14:solidFill>
                    <w14:schemeClr w14:val="tx1"/>
                  </w14:solidFill>
                </w14:textFill>
              </w:rPr>
              <w:t xml:space="preserve">两个</w:t>
            </w:r>
            <w:r>
              <w:rPr>
                <w:rFonts w:hint="eastAsia" w:ascii="宋体" w:hAnsi="宋体" w:cs="宋体"/>
                <w:b/>
                <w:bCs/>
                <w:color w:val="000000" w:themeColor="text1"/>
                <w:szCs w:val="21"/>
                <w:lang w:val="en-US" w:eastAsia="zh-CN"/>
                <w14:textFill>
                  <w14:solidFill>
                    <w14:schemeClr w14:val="tx1"/>
                  </w14:solidFill>
                </w14:textFill>
              </w:rPr>
              <w:t xml:space="preserve">及</w:t>
            </w:r>
            <w:r>
              <w:rPr>
                <w:rFonts w:hint="default" w:ascii="宋体" w:hAnsi="宋体" w:cs="宋体"/>
                <w:b/>
                <w:bCs/>
                <w:color w:val="000000" w:themeColor="text1"/>
                <w:szCs w:val="21"/>
                <w:lang w:val="en-US" w:eastAsia="zh-CN"/>
                <w14:textFill>
                  <w14:solidFill>
                    <w14:schemeClr w14:val="tx1"/>
                  </w14:solidFill>
                </w14:textFill>
              </w:rPr>
              <w:t xml:space="preserve">以上的自然人、法人或者其他组织可以组成一个联合体，以一个供应商的身份共同</w:t>
            </w:r>
            <w:r>
              <w:rPr>
                <w:rFonts w:hint="default" w:ascii="宋体" w:hAnsi="宋体" w:cs="宋体"/>
                <w:b/>
                <w:bCs/>
                <w:color w:val="000000" w:themeColor="text1"/>
                <w:szCs w:val="21"/>
                <w:highlight w:val="none"/>
                <w:lang w:val="en-US" w:eastAsia="zh-CN"/>
                <w14:textFill>
                  <w14:solidFill>
                    <w14:schemeClr w14:val="tx1"/>
                  </w14:solidFill>
                </w14:textFill>
              </w:rPr>
              <w:t xml:space="preserve">参加政府采购</w:t>
            </w:r>
            <w:r>
              <w:rPr>
                <w:rFonts w:hint="eastAsia" w:ascii="宋体" w:hAnsi="宋体" w:cs="宋体"/>
                <w:b/>
                <w:bCs/>
                <w:color w:val="000000" w:themeColor="text1"/>
                <w:szCs w:val="21"/>
                <w:highlight w:val="none"/>
                <w:lang w:val="en-US" w:eastAsia="zh-CN"/>
                <w14:textFill>
                  <w14:solidFill>
                    <w14:schemeClr w14:val="tx1"/>
                  </w14:solidFill>
                </w14:textFill>
              </w:rPr>
              <w:t xml:space="preserve">。</w:t>
            </w:r>
            <w:r/>
          </w:p>
          <w:p>
            <w:pPr>
              <w:numPr>
                <w:ilvl w:val="0"/>
                <w:numId w:val="0"/>
              </w:numPr>
              <w:jc w:val="left"/>
              <w:spacing w:line="360" w:lineRule="auto"/>
              <w:rPr>
                <w:rFonts w:hint="default" w:ascii="宋体" w:hAnsi="宋体" w:cs="宋体"/>
                <w:b/>
                <w:bCs/>
                <w:color w:val="000000" w:themeColor="text1"/>
                <w:szCs w:val="21"/>
                <w:highlight w:val="none"/>
                <w:lang w:val="en-US" w:eastAsia="zh-CN"/>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2、本项目同一联合体中，联合体成员单位数量不得</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超过5家。联合体应在联合体协议中约定牵头单位，并明确各联合体成员的承保比例（其中牵头单位应作为首席承保人，负责联合体对承保业务进行日常管理及协调。牵头单位承保比例</w:t>
            </w:r>
            <w:r>
              <w:rPr>
                <w:rFonts w:hint="eastAsia" w:ascii="宋体" w:hAnsi="宋体" w:cs="宋体"/>
                <w:b/>
                <w:bCs/>
                <w:color w:val="000000" w:themeColor="text1"/>
                <w:szCs w:val="21"/>
                <w:highlight w:val="none"/>
                <w:lang w:val="en-US" w:eastAsia="zh-CN"/>
                <w14:textFill>
                  <w14:solidFill>
                    <w14:schemeClr w14:val="tx1"/>
                  </w14:solidFill>
                </w14:textFill>
              </w:rPr>
              <w:t xml:space="preserve">不得低于50%</w:t>
            </w:r>
            <w:r>
              <w:rPr>
                <w:rFonts w:hint="default" w:ascii="宋体" w:hAnsi="宋体" w:cs="宋体"/>
                <w:b/>
                <w:bCs/>
                <w:color w:val="000000" w:themeColor="text1"/>
                <w:szCs w:val="21"/>
                <w:highlight w:val="none"/>
                <w:lang w:val="en-US" w:eastAsia="zh-CN"/>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其余联合体成员单位将作为共保人，承保比例由联合体自行协商确定。联合体合计承保比例须为100%）。</w:t>
            </w:r>
            <w:r/>
          </w:p>
          <w:p>
            <w:pPr>
              <w:jc w:val="left"/>
              <w:spacing w:line="360" w:lineRule="auto"/>
              <w:rPr>
                <w:rFonts w:hint="default" w:ascii="宋体" w:hAnsi="宋体" w:cs="宋体"/>
                <w:b/>
                <w:bCs/>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3</w:t>
            </w:r>
            <w:r>
              <w:rPr>
                <w:rFonts w:hint="default" w:ascii="宋体" w:hAnsi="宋体" w:cs="宋体"/>
                <w:b/>
                <w:bCs/>
                <w:color w:val="000000" w:themeColor="text1"/>
                <w:szCs w:val="21"/>
                <w:lang w:val="en-US" w:eastAsia="zh-CN"/>
                <w14:textFill>
                  <w14:solidFill>
                    <w14:schemeClr w14:val="tx1"/>
                  </w14:solidFill>
                </w14:textFill>
              </w:rPr>
              <w:t xml:space="preserve">、联合体各方均应当满足《中华人民共和国政府采购法》第二十二条规定的条件，并在投标文件中提供联合体各方的相关证明材料。</w:t>
            </w:r>
            <w:r/>
          </w:p>
          <w:p>
            <w:pPr>
              <w:jc w:val="left"/>
              <w:spacing w:line="360" w:lineRule="auto"/>
              <w:rPr>
                <w:rFonts w:hint="default" w:ascii="宋体" w:hAnsi="宋体" w:cs="宋体"/>
                <w:b/>
                <w:bCs/>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4</w:t>
            </w:r>
            <w:r>
              <w:rPr>
                <w:rFonts w:hint="default" w:ascii="宋体" w:hAnsi="宋体" w:cs="宋体"/>
                <w:b/>
                <w:bCs/>
                <w:color w:val="000000" w:themeColor="text1"/>
                <w:szCs w:val="21"/>
                <w:lang w:val="en-US" w:eastAsia="zh-CN"/>
                <w14:textFill>
                  <w14:solidFill>
                    <w14:schemeClr w14:val="tx1"/>
                  </w14:solidFill>
                </w14:textFill>
              </w:rPr>
              <w:t xml:space="preserve">、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r/>
          </w:p>
          <w:p>
            <w:pPr>
              <w:jc w:val="left"/>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5</w:t>
            </w:r>
            <w:r>
              <w:rPr>
                <w:rFonts w:hint="default" w:ascii="宋体" w:hAnsi="宋体" w:cs="宋体"/>
                <w:b/>
                <w:bCs/>
                <w:color w:val="000000" w:themeColor="text1"/>
                <w:szCs w:val="21"/>
                <w:lang w:val="en-US" w:eastAsia="zh-CN"/>
                <w14:textFill>
                  <w14:solidFill>
                    <w14:schemeClr w14:val="tx1"/>
                  </w14:solidFill>
                </w14:textFill>
              </w:rPr>
              <w:t xml:space="preserve">、 联合体应以联合协议中确定的牵头方名义进行项目</w:t>
            </w:r>
            <w:r>
              <w:rPr>
                <w:rFonts w:hint="eastAsia" w:ascii="宋体" w:hAnsi="宋体" w:cs="宋体"/>
                <w:b/>
                <w:bCs/>
                <w:color w:val="000000" w:themeColor="text1"/>
                <w:szCs w:val="21"/>
                <w:lang w:val="en-US" w:eastAsia="zh-CN"/>
                <w14:textFill>
                  <w14:solidFill>
                    <w14:schemeClr w14:val="tx1"/>
                  </w14:solidFill>
                </w14:textFill>
              </w:rPr>
              <w:t xml:space="preserve">招标文件获取、</w:t>
            </w:r>
            <w:r>
              <w:rPr>
                <w:rFonts w:hint="default" w:ascii="宋体" w:hAnsi="宋体" w:cs="宋体"/>
                <w:b/>
                <w:bCs/>
                <w:color w:val="000000" w:themeColor="text1"/>
                <w:szCs w:val="21"/>
                <w:lang w:val="en-US" w:eastAsia="zh-CN"/>
                <w14:textFill>
                  <w14:solidFill>
                    <w14:schemeClr w14:val="tx1"/>
                  </w14:solidFill>
                </w14:textFill>
              </w:rPr>
              <w:t xml:space="preserve">递交投标文件等事宜。</w:t>
            </w:r>
            <w:r>
              <w:rPr>
                <w:rFonts w:hint="eastAsia" w:ascii="宋体" w:hAnsi="宋体" w:cs="宋体"/>
                <w:b/>
                <w:bCs/>
                <w:color w:val="000000" w:themeColor="text1"/>
                <w:szCs w:val="21"/>
                <w:lang w:val="en-US" w:eastAsia="zh-CN"/>
                <w14:textFill>
                  <w14:solidFill>
                    <w14:schemeClr w14:val="tx1"/>
                  </w14:solidFill>
                </w14:textFill>
              </w:rPr>
              <w:t xml:space="preserve">除联合体协议须由联合体各方签署外，投标文件其它须签字、盖章的内容，由联合体牵头单位签字、盖章即可。</w:t>
            </w:r>
            <w:r/>
          </w:p>
          <w:p>
            <w:pPr>
              <w:jc w:val="left"/>
              <w:spacing w:line="360" w:lineRule="auto"/>
              <w:rPr>
                <w:rFonts w:hint="default" w:ascii="宋体" w:hAnsi="宋体" w:cs="宋体"/>
                <w:b/>
                <w:bCs/>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6</w:t>
            </w:r>
            <w:r>
              <w:rPr>
                <w:rFonts w:hint="default" w:ascii="宋体" w:hAnsi="宋体" w:cs="宋体"/>
                <w:b/>
                <w:bCs/>
                <w:color w:val="000000" w:themeColor="text1"/>
                <w:szCs w:val="21"/>
                <w:lang w:val="en-US" w:eastAsia="zh-CN"/>
                <w14:textFill>
                  <w14:solidFill>
                    <w14:schemeClr w14:val="tx1"/>
                  </w14:solidFill>
                </w14:textFill>
              </w:rPr>
              <w:t xml:space="preserve">、联合体成员存在不良信用记录的，视同联合体存在不良信用记录。</w:t>
            </w:r>
            <w:r/>
          </w:p>
          <w:p>
            <w:pPr>
              <w:jc w:val="left"/>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7</w:t>
            </w:r>
            <w:r>
              <w:rPr>
                <w:rFonts w:hint="default" w:ascii="宋体" w:hAnsi="宋体" w:cs="宋体"/>
                <w:b/>
                <w:bCs/>
                <w:color w:val="000000" w:themeColor="text1"/>
                <w:szCs w:val="21"/>
                <w:lang w:val="en-US" w:eastAsia="zh-CN"/>
                <w14:textFill>
                  <w14:solidFill>
                    <w14:schemeClr w14:val="tx1"/>
                  </w14:solidFill>
                </w14:textFill>
              </w:rPr>
              <w:t xml:space="preserve">.以联合体形式参加政府采购活动的，其投诉应当由组成联合体的所有供应商共同提出。</w:t>
            </w:r>
            <w:r/>
          </w:p>
          <w:p>
            <w:pPr>
              <w:jc w:val="left"/>
              <w:spacing w:line="360" w:lineRule="auto"/>
              <w:rPr>
                <w:rFonts w:hint="default" w:ascii="宋体" w:hAnsi="宋体" w:cs="宋体"/>
                <w:color w:val="000000" w:themeColor="text1"/>
                <w:szCs w:val="21"/>
                <w:lang w:val="en-US" w:eastAsia="zh-CN"/>
                <w14:textFill>
                  <w14:solidFill>
                    <w14:schemeClr w14:val="tx1"/>
                  </w14:solidFill>
                </w14:textFill>
              </w:rPr>
            </w:pPr>
            <w:r>
              <w:rPr>
                <w:rFonts w:hint="eastAsia" w:ascii="宋体" w:hAnsi="宋体" w:cs="宋体"/>
                <w:b/>
                <w:bCs/>
                <w:color w:val="000000" w:themeColor="text1"/>
                <w:szCs w:val="21"/>
                <w:lang w:val="en-US" w:eastAsia="zh-CN"/>
                <w14:textFill>
                  <w14:solidFill>
                    <w14:schemeClr w14:val="tx1"/>
                  </w14:solidFill>
                </w14:textFill>
              </w:rPr>
              <w:t xml:space="preserve">8</w:t>
            </w:r>
            <w:r>
              <w:rPr>
                <w:rFonts w:hint="default" w:ascii="宋体" w:hAnsi="宋体" w:cs="宋体"/>
                <w:b/>
                <w:bCs/>
                <w:color w:val="000000" w:themeColor="text1"/>
                <w:szCs w:val="21"/>
                <w:lang w:val="en-US" w:eastAsia="zh-CN"/>
                <w14:textFill>
                  <w14:solidFill>
                    <w14:schemeClr w14:val="tx1"/>
                  </w14:solidFill>
                </w14:textFill>
              </w:rPr>
              <w:t xml:space="preserve">、联合体各方应当共同与采购人签订采购合同，就合同约定的事项对采购人承担连带责任。</w:t>
            </w:r>
            <w:r/>
          </w:p>
        </w:tc>
      </w:tr>
      <w:tr>
        <w:trPr>
          <w:jc w:val="center"/>
          <w:trHeight w:val="772"/>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7</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11.1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分包</w:t>
            </w:r>
            <w:r/>
          </w:p>
        </w:tc>
        <w:tc>
          <w:tcPr>
            <w:tcW w:w="4982" w:type="dxa"/>
            <w:vAlign w:val="center"/>
            <w:textDirection w:val="lrTb"/>
            <w:noWrap w:val="false"/>
          </w:tcPr>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本项目的非主体、非关键性工作是否允许分包：</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■不允许</w:t>
            </w:r>
            <w:r/>
          </w:p>
        </w:tc>
      </w:tr>
      <w:tr>
        <w:trPr>
          <w:jc w:val="center"/>
          <w:trHeight w:val="283"/>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8</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12.1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样品</w:t>
            </w:r>
            <w:r/>
          </w:p>
        </w:tc>
        <w:tc>
          <w:tcPr>
            <w:tcW w:w="4982" w:type="dxa"/>
            <w:vAlign w:val="center"/>
            <w:textDirection w:val="lrTb"/>
            <w:noWrap w:val="false"/>
          </w:tcPr>
          <w:p>
            <w:pPr>
              <w:pStyle w:val="874"/>
              <w:spacing w:line="360" w:lineRule="auto"/>
              <w:rPr>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投标样品递交：■不需要。详见第四章《采购需求》</w:t>
            </w:r>
            <w:r/>
          </w:p>
        </w:tc>
      </w:tr>
      <w:tr>
        <w:trPr>
          <w:jc w:val="center"/>
          <w:trHeight w:val="734"/>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9</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13.1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采购进口产品</w:t>
            </w:r>
            <w:r/>
          </w:p>
        </w:tc>
        <w:tc>
          <w:tcPr>
            <w:tcW w:w="4982"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10</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14.1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采购预算</w:t>
            </w:r>
            <w:r/>
          </w:p>
        </w:tc>
        <w:tc>
          <w:tcPr>
            <w:tcW w:w="4982" w:type="dxa"/>
            <w:vAlign w:val="center"/>
            <w:textDirection w:val="lrTb"/>
            <w:noWrap w:val="false"/>
          </w:tcPr>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w:t>
            </w:r>
            <w:r>
              <w:rPr>
                <w:rFonts w:hint="eastAsia" w:ascii="宋体" w:hAnsi="宋体" w:cs="宋体"/>
                <w:color w:val="000000" w:themeColor="text1"/>
                <w:szCs w:val="21"/>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11</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14.2</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本项目设定的最高限价</w:t>
            </w:r>
            <w:r/>
          </w:p>
        </w:tc>
        <w:tc>
          <w:tcPr>
            <w:tcW w:w="4982" w:type="dxa"/>
            <w:vAlign w:val="center"/>
            <w:textDirection w:val="lrTb"/>
            <w:noWrap w:val="false"/>
          </w:tcPr>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w:t>
            </w:r>
            <w:r>
              <w:rPr>
                <w:rFonts w:hint="eastAsia" w:ascii="宋体" w:hAnsi="宋体" w:cs="宋体"/>
                <w:color w:val="000000" w:themeColor="text1"/>
                <w:szCs w:val="21"/>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12</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15.1</w:t>
            </w:r>
            <w:r/>
          </w:p>
        </w:tc>
        <w:tc>
          <w:tcPr>
            <w:tcW w:w="2835" w:type="dxa"/>
            <w:vAlign w:val="center"/>
            <w:textDirection w:val="lrTb"/>
            <w:noWrap w:val="false"/>
          </w:tcPr>
          <w:p>
            <w:pPr>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供应商资格条件</w:t>
            </w:r>
            <w:r/>
          </w:p>
        </w:tc>
        <w:tc>
          <w:tcPr>
            <w:tcW w:w="4982" w:type="dxa"/>
            <w:vAlign w:val="center"/>
            <w:textDirection w:val="lrTb"/>
            <w:noWrap w:val="false"/>
          </w:tcPr>
          <w:p>
            <w:pPr>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13</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20.5</w:t>
            </w:r>
            <w:r/>
          </w:p>
        </w:tc>
        <w:tc>
          <w:tcPr>
            <w:tcW w:w="2835" w:type="dxa"/>
            <w:vAlign w:val="center"/>
            <w:textDirection w:val="lrTb"/>
            <w:noWrap w:val="false"/>
          </w:tcPr>
          <w:p>
            <w:pPr>
              <w:pStyle w:val="1100"/>
              <w:jc w:val="left"/>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投标报价</w:t>
            </w:r>
            <w:r/>
          </w:p>
        </w:tc>
        <w:tc>
          <w:tcPr>
            <w:tcW w:w="4982" w:type="dxa"/>
            <w:vAlign w:val="center"/>
            <w:textDirection w:val="lrTb"/>
            <w:noWrap w:val="false"/>
          </w:tcPr>
          <w:p>
            <w:pPr>
              <w:pStyle w:val="1111"/>
              <w:contextualSpacing/>
              <w:ind w:firstLine="0"/>
              <w:jc w:val="left"/>
              <w:spacing w:line="360" w:lineRule="auto"/>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投标报价的其他要求：无。</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14</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21.1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投标有效期</w:t>
            </w:r>
            <w:r/>
          </w:p>
        </w:tc>
        <w:tc>
          <w:tcPr>
            <w:tcW w:w="4982" w:type="dxa"/>
            <w:vAlign w:val="center"/>
            <w:textDirection w:val="lrTb"/>
            <w:noWrap w:val="false"/>
          </w:tcPr>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15</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22.1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投标保证金</w:t>
            </w:r>
            <w:r/>
          </w:p>
        </w:tc>
        <w:tc>
          <w:tcPr>
            <w:tcW w:w="4982"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16</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23.1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投标文件份数</w:t>
            </w:r>
            <w:r/>
          </w:p>
        </w:tc>
        <w:tc>
          <w:tcPr>
            <w:tcW w:w="4982" w:type="dxa"/>
            <w:vAlign w:val="center"/>
            <w:textDirection w:val="lrTb"/>
            <w:noWrap w:val="false"/>
          </w:tcPr>
          <w:p>
            <w:pPr>
              <w:pStyle w:val="1100"/>
              <w:spacing w:line="360" w:lineRule="auto"/>
              <w:rPr>
                <w:rFonts w:hint="eastAsia" w:hAnsi="宋体" w:cs="宋体"/>
                <w:b/>
                <w:bCs/>
                <w:color w:val="000000" w:themeColor="text1"/>
                <w:sz w:val="21"/>
                <w14:textFill>
                  <w14:solidFill>
                    <w14:schemeClr w14:val="tx1"/>
                  </w14:solidFill>
                </w14:textFill>
              </w:rPr>
            </w:pPr>
            <w:r>
              <w:rPr>
                <w:rFonts w:hint="eastAsia" w:hAnsi="宋体" w:cs="宋体"/>
                <w:bCs/>
                <w:color w:val="000000" w:themeColor="text1"/>
                <w14:textFill>
                  <w14:solidFill>
                    <w14:schemeClr w14:val="tx1"/>
                  </w14:solidFill>
                </w14:textFill>
              </w:rPr>
              <w:t xml:space="preserve">■</w:t>
            </w:r>
            <w:r>
              <w:rPr>
                <w:rFonts w:hint="eastAsia" w:hAnsi="宋体" w:cs="宋体"/>
                <w:bCs/>
                <w:color w:val="000000" w:themeColor="text1"/>
                <w:sz w:val="21"/>
                <w14:textFill>
                  <w14:solidFill>
                    <w14:schemeClr w14:val="tx1"/>
                  </w14:solidFill>
                </w14:textFill>
              </w:rPr>
              <w:t xml:space="preserve">不适用</w:t>
            </w:r>
            <w:r/>
          </w:p>
        </w:tc>
      </w:tr>
      <w:tr>
        <w:trPr>
          <w:jc w:val="center"/>
          <w:trHeight w:val="1292"/>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17</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24.1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投标文件的递交</w:t>
            </w:r>
            <w:r/>
          </w:p>
        </w:tc>
        <w:tc>
          <w:tcPr>
            <w:tcW w:w="4982" w:type="dxa"/>
            <w:vAlign w:val="center"/>
            <w:textDirection w:val="lrTb"/>
            <w:noWrap w:val="false"/>
          </w:tcPr>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18</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25.1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提交投标文件的截止时间、地点</w:t>
            </w:r>
            <w:r/>
          </w:p>
        </w:tc>
        <w:tc>
          <w:tcPr>
            <w:tcW w:w="4982"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19</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28.1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开标时间、地点</w:t>
            </w:r>
            <w:r/>
          </w:p>
        </w:tc>
        <w:tc>
          <w:tcPr>
            <w:tcW w:w="4982"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20</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29.2.1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信用查询</w:t>
            </w:r>
            <w:r/>
          </w:p>
        </w:tc>
        <w:tc>
          <w:tcPr>
            <w:tcW w:w="4982" w:type="dxa"/>
            <w:vAlign w:val="center"/>
            <w:textDirection w:val="lrTb"/>
            <w:noWrap w:val="false"/>
          </w:tcPr>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21</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30.1.1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评标委员会</w:t>
            </w:r>
            <w:r/>
          </w:p>
        </w:tc>
        <w:tc>
          <w:tcPr>
            <w:tcW w:w="4982" w:type="dxa"/>
            <w:vAlign w:val="center"/>
            <w:textDirection w:val="lrTb"/>
            <w:noWrap w:val="false"/>
          </w:tcPr>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22</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30.5.3</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核心产品</w:t>
            </w:r>
            <w:r>
              <w:rPr>
                <w:rFonts w:hint="eastAsia" w:hAnsi="宋体" w:cs="宋体"/>
                <w:color w:val="000000" w:themeColor="text1"/>
                <w:sz w:val="21"/>
                <w14:textFill>
                  <w14:solidFill>
                    <w14:schemeClr w14:val="tx1"/>
                  </w14:solidFill>
                </w14:textFill>
              </w:rPr>
              <w:tab/>
            </w:r>
            <w:r/>
          </w:p>
        </w:tc>
        <w:tc>
          <w:tcPr>
            <w:tcW w:w="4982" w:type="dxa"/>
            <w:vAlign w:val="center"/>
            <w:textDirection w:val="lrTb"/>
            <w:noWrap w:val="false"/>
          </w:tcPr>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■服务类，本项目不涉及核心产品。</w:t>
            </w:r>
            <w:r/>
          </w:p>
        </w:tc>
      </w:tr>
      <w:tr>
        <w:trPr>
          <w:jc w:val="center"/>
          <w:trHeight w:val="922"/>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23</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31.3</w:t>
            </w:r>
            <w:r/>
          </w:p>
        </w:tc>
        <w:tc>
          <w:tcPr>
            <w:tcW w:w="2835" w:type="dxa"/>
            <w:vAlign w:val="center"/>
            <w:textDirection w:val="lrTb"/>
            <w:noWrap w:val="false"/>
          </w:tcPr>
          <w:p>
            <w:pPr>
              <w:pStyle w:val="1100"/>
              <w:jc w:val="left"/>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确定中标单位</w:t>
            </w:r>
            <w:r/>
          </w:p>
        </w:tc>
        <w:tc>
          <w:tcPr>
            <w:tcW w:w="4982"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24</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31.4</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公告媒体</w:t>
            </w:r>
            <w:r/>
          </w:p>
        </w:tc>
        <w:tc>
          <w:tcPr>
            <w:tcW w:w="4982" w:type="dxa"/>
            <w:vAlign w:val="center"/>
            <w:textDirection w:val="lrTb"/>
            <w:noWrap w:val="false"/>
          </w:tcPr>
          <w:p>
            <w:pPr>
              <w:pStyle w:val="1100"/>
              <w:jc w:val="left"/>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25</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35.1</w:t>
            </w:r>
            <w:r/>
          </w:p>
        </w:tc>
        <w:tc>
          <w:tcPr>
            <w:tcW w:w="283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履约保证金</w:t>
            </w:r>
            <w:r/>
          </w:p>
        </w:tc>
        <w:tc>
          <w:tcPr>
            <w:tcW w:w="4982" w:type="dxa"/>
            <w:vAlign w:val="center"/>
            <w:textDirection w:val="lrTb"/>
            <w:noWrap w:val="false"/>
          </w:tcPr>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■不要求提供</w:t>
            </w:r>
            <w:r/>
          </w:p>
        </w:tc>
      </w:tr>
      <w:tr>
        <w:trPr>
          <w:jc w:val="center"/>
          <w:trHeight w:val="65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26</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36.1</w:t>
            </w:r>
            <w:r/>
          </w:p>
        </w:tc>
        <w:tc>
          <w:tcPr>
            <w:tcW w:w="2835" w:type="dxa"/>
            <w:vAlign w:val="center"/>
            <w:textDirection w:val="lrTb"/>
            <w:noWrap w:val="false"/>
          </w:tcPr>
          <w:p>
            <w:pPr>
              <w:ind w:left="-533" w:firstLine="533"/>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供应商对采购文件的</w:t>
            </w:r>
            <w:r>
              <w:rPr>
                <w:rFonts w:hint="eastAsia" w:hAnsi="宋体" w:cs="宋体"/>
                <w:color w:val="000000" w:themeColor="text1"/>
                <w14:textFill>
                  <w14:solidFill>
                    <w14:schemeClr w14:val="tx1"/>
                  </w14:solidFill>
                </w14:textFill>
              </w:rPr>
              <w:t xml:space="preserve">询问</w:t>
            </w:r>
            <w:r/>
          </w:p>
        </w:tc>
        <w:tc>
          <w:tcPr>
            <w:tcW w:w="4982" w:type="dxa"/>
            <w:vAlign w:val="center"/>
            <w:textDirection w:val="lrTb"/>
            <w:noWrap w:val="false"/>
          </w:tcPr>
          <w:p>
            <w:pPr>
              <w:pStyle w:val="880"/>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w:t>
            </w:r>
            <w:r>
              <w:rPr>
                <w:rFonts w:hint="eastAsia" w:hAnsi="宋体" w:cs="宋体"/>
                <w:color w:val="000000" w:themeColor="text1"/>
                <w:highlight w:val="none"/>
                <w14:textFill>
                  <w14:solidFill>
                    <w14:schemeClr w14:val="tx1"/>
                  </w14:solidFill>
                </w14:textFill>
              </w:rPr>
              <w:t xml:space="preserve">递交投标文件截止时间前15日。</w:t>
            </w:r>
            <w:r/>
          </w:p>
          <w:p>
            <w:pPr>
              <w:pStyle w:val="880"/>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14:textFill>
                  <w14:solidFill>
                    <w14:schemeClr w14:val="tx1"/>
                  </w14:solidFill>
                </w14:textFill>
              </w:rPr>
              <w:t xml:space="preserve">15261870871@163.com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86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27</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37.1</w:t>
            </w:r>
            <w:r/>
          </w:p>
        </w:tc>
        <w:tc>
          <w:tcPr>
            <w:tcW w:w="2835" w:type="dxa"/>
            <w:vAlign w:val="center"/>
            <w:textDirection w:val="lrTb"/>
            <w:noWrap w:val="false"/>
          </w:tcPr>
          <w:p>
            <w:pPr>
              <w:ind w:left="-533" w:firstLine="533"/>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供应商对采购文件提出的</w:t>
            </w:r>
            <w:r/>
          </w:p>
          <w:p>
            <w:pPr>
              <w:ind w:left="-533" w:firstLine="533"/>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质疑</w:t>
            </w:r>
            <w:r/>
          </w:p>
        </w:tc>
        <w:tc>
          <w:tcPr>
            <w:tcW w:w="4982" w:type="dxa"/>
            <w:vAlign w:val="center"/>
            <w:textDirection w:val="lrTb"/>
            <w:noWrap w:val="false"/>
          </w:tcPr>
          <w:p>
            <w:pPr>
              <w:pStyle w:val="880"/>
              <w:spacing w:line="360" w:lineRule="auto"/>
              <w:rPr>
                <w:rFonts w:hint="eastAsia" w:hAnsi="宋体" w:cs="宋体"/>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u w:val="single"/>
                <w14:textFill>
                  <w14:solidFill>
                    <w14:schemeClr w14:val="tx1"/>
                  </w14:solidFill>
                </w14:textFill>
              </w:rPr>
              <w:t xml:space="preserve">15261870871@163.com</w:t>
            </w:r>
            <w:r>
              <w:rPr>
                <w:rFonts w:hint="eastAsia" w:hAnsi="宋体" w:cs="宋体"/>
                <w:bCs/>
                <w:color w:val="000000" w:themeColor="text1"/>
                <w14:textFill>
                  <w14:solidFill>
                    <w14:schemeClr w14:val="tx1"/>
                  </w14:solidFill>
                </w14:textFill>
              </w:rPr>
              <w:t xml:space="preserve">邮箱）通知，采购代理机构将以邮件形式进行答复。</w:t>
            </w:r>
            <w:r/>
          </w:p>
        </w:tc>
      </w:tr>
      <w:tr>
        <w:trPr>
          <w:jc w:val="center"/>
          <w:trHeight w:val="3526"/>
        </w:trPr>
        <w:tc>
          <w:tcPr>
            <w:tcW w:w="675"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28</w:t>
            </w:r>
            <w:r/>
          </w:p>
        </w:tc>
        <w:tc>
          <w:tcPr>
            <w:tcW w:w="850" w:type="dxa"/>
            <w:vAlign w:val="center"/>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38.1</w:t>
            </w:r>
            <w:r/>
          </w:p>
        </w:tc>
        <w:tc>
          <w:tcPr>
            <w:tcW w:w="2835" w:type="dxa"/>
            <w:vAlign w:val="center"/>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招标代理服务费</w:t>
            </w:r>
            <w:r/>
          </w:p>
        </w:tc>
        <w:tc>
          <w:tcPr>
            <w:tcW w:w="4982" w:type="dxa"/>
            <w:vAlign w:val="center"/>
            <w:textDirection w:val="lrTb"/>
            <w:noWrap w:val="false"/>
          </w:tcPr>
          <w:p>
            <w:pPr>
              <w:pStyle w:val="880"/>
              <w:spacing w:line="360" w:lineRule="auto"/>
              <w:rPr>
                <w:rFonts w:hint="eastAsia" w:hAnsi="宋体" w:cs="宋体"/>
                <w:bCs/>
                <w:color w:val="000000" w:themeColor="text1"/>
                <w14:textFill>
                  <w14:solidFill>
                    <w14:schemeClr w14:val="tx1"/>
                  </w14:solidFill>
                </w14:textFill>
              </w:rPr>
            </w:pPr>
            <w:r>
              <w:rPr>
                <w:rFonts w:hint="eastAsia" w:hAnsi="宋体" w:cs="宋体"/>
                <w:bCs/>
                <w:color w:val="000000" w:themeColor="text1"/>
                <w14:textFill>
                  <w14:solidFill>
                    <w14:schemeClr w14:val="tx1"/>
                  </w14:solidFill>
                </w14:textFill>
              </w:rPr>
              <w:t xml:space="preserve">中标人在领取中标通知书时，按计价格[2002]1980号文件服务类40%，向采购代理机构支付中标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tc>
      </w:tr>
      <w:tr>
        <w:trPr>
          <w:jc w:val="center"/>
          <w:trHeight w:val="600"/>
        </w:trPr>
        <w:tc>
          <w:tcPr>
            <w:tcW w:w="675" w:type="dxa"/>
            <w:vAlign w:val="center"/>
            <w:vMerge w:val="restart"/>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29</w:t>
            </w:r>
            <w:r/>
          </w:p>
        </w:tc>
        <w:tc>
          <w:tcPr>
            <w:tcW w:w="850" w:type="dxa"/>
            <w:vAlign w:val="center"/>
            <w:vMerge w:val="restart"/>
            <w:textDirection w:val="lrTb"/>
            <w:noWrap w:val="false"/>
          </w:tcPr>
          <w:p>
            <w:pPr>
              <w:pStyle w:val="1100"/>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39.1</w:t>
            </w:r>
            <w:r/>
          </w:p>
        </w:tc>
        <w:tc>
          <w:tcPr>
            <w:tcW w:w="2835" w:type="dxa"/>
            <w:vAlign w:val="center"/>
            <w:vMerge w:val="restart"/>
            <w:textDirection w:val="lrTb"/>
            <w:noWrap w:val="false"/>
          </w:tcPr>
          <w:p>
            <w:pPr>
              <w:pStyle w:val="1100"/>
              <w:jc w:val="left"/>
              <w:spacing w:line="360" w:lineRule="auto"/>
              <w:rPr>
                <w:rFonts w:hint="eastAsia" w:hAnsi="宋体" w:cs="宋体"/>
                <w:color w:val="000000" w:themeColor="text1"/>
                <w:sz w:val="21"/>
                <w14:textFill>
                  <w14:solidFill>
                    <w14:schemeClr w14:val="tx1"/>
                  </w14:solidFill>
                </w14:textFill>
              </w:rPr>
            </w:pPr>
            <w:r>
              <w:rPr>
                <w:rFonts w:hint="eastAsia" w:hAnsi="宋体" w:cs="宋体"/>
                <w:color w:val="000000" w:themeColor="text1"/>
                <w:sz w:val="21"/>
                <w14:textFill>
                  <w14:solidFill>
                    <w14:schemeClr w14:val="tx1"/>
                  </w14:solidFill>
                </w14:textFill>
              </w:rPr>
              <w:t xml:space="preserve">其他规定</w:t>
            </w:r>
            <w:r/>
          </w:p>
        </w:tc>
        <w:tc>
          <w:tcPr>
            <w:tcW w:w="4982" w:type="dxa"/>
            <w:vAlign w:val="center"/>
            <w:textDirection w:val="lrTb"/>
            <w:noWrap w:val="false"/>
          </w:tcPr>
          <w:p>
            <w:pPr>
              <w:pStyle w:val="880"/>
              <w:spacing w:line="360" w:lineRule="auto"/>
              <w:rPr>
                <w:rFonts w:hint="eastAsia" w:hAnsi="宋体" w:cs="宋体"/>
                <w:bCs/>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采购项目类型：服务类</w:t>
            </w:r>
            <w:r/>
          </w:p>
        </w:tc>
      </w:tr>
      <w:tr>
        <w:trPr>
          <w:jc w:val="center"/>
          <w:trHeight w:val="552"/>
        </w:trPr>
        <w:tc>
          <w:tcPr>
            <w:tcW w:w="675" w:type="dxa"/>
            <w:vAlign w:val="center"/>
            <w:vMerge w:val="continue"/>
            <w:textDirection w:val="lrTb"/>
            <w:noWrap w:val="false"/>
          </w:tcPr>
          <w:p>
            <w:pPr>
              <w:pStyle w:val="1100"/>
              <w:ind w:firstLine="372"/>
              <w:jc w:val="center"/>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100"/>
              <w:ind w:firstLine="372"/>
              <w:jc w:val="center"/>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100"/>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880"/>
              <w:spacing w:line="360" w:lineRule="auto"/>
              <w:rPr>
                <w:rFonts w:hint="eastAsia" w:hAnsi="宋体" w:cs="宋体"/>
                <w:bCs/>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标的对应的中小企业划分标准所属行业：其他未列明行业</w:t>
            </w:r>
            <w:r/>
          </w:p>
        </w:tc>
      </w:tr>
      <w:tr>
        <w:trPr>
          <w:jc w:val="center"/>
          <w:trHeight w:val="656"/>
        </w:trPr>
        <w:tc>
          <w:tcPr>
            <w:tcW w:w="675" w:type="dxa"/>
            <w:vAlign w:val="center"/>
            <w:vMerge w:val="continue"/>
            <w:textDirection w:val="lrTb"/>
            <w:noWrap w:val="false"/>
          </w:tcPr>
          <w:p>
            <w:pPr>
              <w:pStyle w:val="1100"/>
              <w:ind w:firstLine="372"/>
              <w:jc w:val="center"/>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100"/>
              <w:ind w:firstLine="372"/>
              <w:jc w:val="center"/>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100"/>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其他规定：</w:t>
            </w:r>
            <w:r>
              <w:rPr>
                <w:rFonts w:hint="eastAsia" w:hAnsi="宋体" w:cs="宋体"/>
                <w:color w:val="000000" w:themeColor="text1"/>
                <w:sz w:val="21"/>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100"/>
              <w:ind w:firstLine="372"/>
              <w:jc w:val="center"/>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100"/>
              <w:ind w:firstLine="372"/>
              <w:jc w:val="center"/>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100"/>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信用承诺相关规定</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w:t>
            </w:r>
            <w:bookmarkStart w:id="33" w:name="_Hlk156831468"/>
            <w:r>
              <w:rPr>
                <w:rFonts w:hint="eastAsia" w:hAnsi="宋体" w:cs="宋体"/>
                <w:bCs/>
                <w:color w:val="000000" w:themeColor="text1"/>
                <w:sz w:val="21"/>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（3）供应商涉及以下情形的，不适用信用承诺，仍须提供上述证明材料：</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①供应商被列入严重失信主体名单； </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②被相关监管部门作出行政处罚且尚在处罚有效期内；</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③其他法律、行政法规规定的不适用信用承诺的情形。</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vMerge w:val="continue"/>
            <w:textDirection w:val="lrTb"/>
            <w:noWrap w:val="false"/>
          </w:tcPr>
          <w:p>
            <w:pPr>
              <w:pStyle w:val="1100"/>
              <w:ind w:firstLine="372"/>
              <w:jc w:val="center"/>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100"/>
              <w:ind w:firstLine="372"/>
              <w:jc w:val="center"/>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100"/>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（一）评审过程中出现下列情形之一的，评审委员会应当启动异常低价投标（响应）审查程序：</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1．投标（响应）报价低于采购项目预算50%的，即投标（响应）报价&lt;采购项目预算×50%；</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2．投标（响应）报价低于采购项目最高限价45%的，即投标（响应）报价&lt;采购项目最高限价×45%；</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 评审委员会认定的供应商报价过低、有可能影响产品质量或者不能诚信履约的其他情形。</w:t>
            </w:r>
            <w:r/>
          </w:p>
          <w:p>
            <w:pPr>
              <w:pStyle w:val="1100"/>
              <w:spacing w:line="360" w:lineRule="auto"/>
              <w:rPr>
                <w:rFonts w:hint="eastAsia"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华文仿宋" w:hAnsi="华文仿宋" w:eastAsia="华文仿宋" w:cs="华文仿宋"/>
                <w:b/>
                <w:bCs w:val="0"/>
                <w:color w:val="000000" w:themeColor="text1"/>
                <w:sz w:val="21"/>
                <w14:textFill>
                  <w14:solidFill>
                    <w14:schemeClr w14:val="tx1"/>
                  </w14:solidFill>
                </w14:textFill>
              </w:rPr>
              <w:t xml:space="preserve">★</w:t>
            </w:r>
            <w:r>
              <w:rPr>
                <w:rFonts w:hint="eastAsia" w:hAnsi="宋体" w:cs="宋体"/>
                <w:b/>
                <w:bCs w:val="0"/>
                <w:color w:val="000000" w:themeColor="text1"/>
                <w:sz w:val="21"/>
                <w14:textFill>
                  <w14:solidFill>
                    <w14:schemeClr w14:val="tx1"/>
                  </w14:solidFill>
                </w14:textFill>
              </w:rPr>
              <w:t xml:space="preserve">投标（响应）供应商不提供书面说明、证明材料，或者提供的书面说明、证明材料不能证明其报价合理性的，评审委员会应当将其作为无效投标（响应）处理。</w:t>
            </w:r>
            <w:r>
              <w:rPr>
                <w:rFonts w:hint="eastAsia" w:hAnsi="宋体" w:cs="宋体"/>
                <w:bCs/>
                <w:color w:val="000000" w:themeColor="text1"/>
                <w:sz w:val="21"/>
                <w14:textFill>
                  <w14:solidFill>
                    <w14:schemeClr w14:val="tx1"/>
                  </w14:solidFill>
                </w14:textFill>
              </w:rPr>
              <w:t xml:space="preserve">审查相关情况应当在评审报告中进行记录。</w:t>
            </w:r>
            <w:r/>
          </w:p>
        </w:tc>
      </w:tr>
    </w:tbl>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80"/>
        <w:ind w:firstLine="1633"/>
        <w:spacing w:line="360" w:lineRule="auto"/>
        <w:rPr>
          <w:rFonts w:hint="eastAsia" w:hAnsi="宋体" w:cs="宋体"/>
          <w:b/>
          <w:bCs/>
          <w:color w:val="000000" w:themeColor="text1"/>
          <w:spacing w:val="100"/>
          <w:sz w:val="72"/>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14:textFill>
            <w14:solidFill>
              <w14:schemeClr w14:val="tx1"/>
            </w14:solidFill>
          </w14:textFill>
        </w:rPr>
      </w:r>
      <w:r/>
    </w:p>
    <w:p>
      <w:pPr>
        <w:pStyle w:val="897"/>
        <w:ind w:firstLine="569"/>
        <w:spacing w:line="360" w:lineRule="auto"/>
        <w:rPr>
          <w:rFonts w:hint="eastAsia" w:ascii="宋体" w:hAnsi="宋体" w:cs="宋体"/>
          <w:color w:val="000000" w:themeColor="text1"/>
          <w14:textFill>
            <w14:solidFill>
              <w14:schemeClr w14:val="tx1"/>
            </w14:solidFill>
          </w14:textFill>
        </w:rPr>
      </w:pPr>
      <w:r/>
      <w:bookmarkStart w:id="34" w:name="_Toc104560837"/>
      <w:r/>
      <w:bookmarkStart w:id="35" w:name="_Toc107246213"/>
      <w:r/>
      <w:bookmarkStart w:id="36" w:name="_Toc103848526"/>
      <w:r/>
      <w:bookmarkStart w:id="37" w:name="_Toc100905199"/>
      <w:r>
        <w:rPr>
          <w:rFonts w:hint="eastAsia" w:ascii="宋体" w:hAnsi="宋体" w:cs="宋体"/>
          <w:color w:val="000000" w:themeColor="text1"/>
          <w14:textFill>
            <w14:solidFill>
              <w14:schemeClr w14:val="tx1"/>
            </w14:solidFill>
          </w14:textFill>
        </w:rPr>
        <w:t xml:space="preserve">投标人须知</w:t>
      </w:r>
      <w:bookmarkEnd w:id="34"/>
      <w:r/>
      <w:bookmarkEnd w:id="35"/>
      <w:r/>
      <w:bookmarkEnd w:id="36"/>
      <w:r/>
      <w:bookmarkEnd w:id="37"/>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38" w:name="_Toc80264706"/>
      <w:r/>
      <w:bookmarkStart w:id="39" w:name="_Toc107246214"/>
      <w:r>
        <w:rPr>
          <w:rFonts w:hint="eastAsia" w:ascii="宋体" w:hAnsi="宋体" w:cs="宋体"/>
          <w:color w:val="000000" w:themeColor="text1"/>
          <w14:textFill>
            <w14:solidFill>
              <w14:schemeClr w14:val="tx1"/>
            </w14:solidFill>
          </w14:textFill>
        </w:rPr>
        <w:t xml:space="preserve">一．</w:t>
      </w:r>
      <w:bookmarkEnd w:id="38"/>
      <w:r>
        <w:rPr>
          <w:rFonts w:hint="eastAsia" w:ascii="宋体" w:hAnsi="宋体" w:cs="宋体"/>
          <w:color w:val="000000" w:themeColor="text1"/>
          <w14:textFill>
            <w14:solidFill>
              <w14:schemeClr w14:val="tx1"/>
            </w14:solidFill>
          </w14:textFill>
        </w:rPr>
        <w:t xml:space="preserve">总则</w:t>
      </w:r>
      <w:bookmarkEnd w:id="39"/>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40" w:name="_Toc103848528"/>
      <w:r/>
      <w:bookmarkStart w:id="41" w:name="_Toc96347862"/>
      <w:r/>
      <w:bookmarkStart w:id="42" w:name="_Toc100905201"/>
      <w:r/>
      <w:bookmarkStart w:id="43" w:name="_Toc107246215"/>
      <w:r/>
      <w:bookmarkStart w:id="44" w:name="_Toc104560839"/>
      <w:r>
        <w:rPr>
          <w:rFonts w:hint="eastAsia" w:ascii="宋体" w:hAnsi="宋体" w:cs="宋体"/>
          <w:color w:val="000000" w:themeColor="text1"/>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1.1本次招标采取公开招标方式，本招标文件仅适用于招标公告中所述项目。</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45" w:name="_Toc103848529"/>
      <w:r/>
      <w:bookmarkStart w:id="46" w:name="_Toc96347863"/>
      <w:r/>
      <w:bookmarkStart w:id="47" w:name="_Toc104560840"/>
      <w:r/>
      <w:bookmarkStart w:id="48" w:name="_Toc100905202"/>
      <w:r/>
      <w:bookmarkStart w:id="49" w:name="_Toc107246216"/>
      <w:r>
        <w:rPr>
          <w:rFonts w:hint="eastAsia" w:ascii="宋体" w:hAnsi="宋体" w:cs="宋体"/>
          <w:color w:val="000000" w:themeColor="text1"/>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2.2</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采购代理机构</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2.3“采购方”是指采购人和</w:t>
      </w:r>
      <w:r>
        <w:rPr>
          <w:rFonts w:hint="eastAsia" w:ascii="宋体" w:hAnsi="宋体" w:cs="宋体"/>
          <w:color w:val="000000" w:themeColor="text1"/>
          <w:szCs w:val="21"/>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2.4</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2.5</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中标供应商</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2.6</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评标委员会</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2.7</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货物</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2.8</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工程</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2.9</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服务</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2.10</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节能产品</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或者</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环保产品</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2.11</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进口产品</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是指通过中国海关报关验放进入中国境内且产自关境外的产品。</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50" w:name="_Toc96347864"/>
      <w:r/>
      <w:bookmarkStart w:id="51" w:name="_Toc103848530"/>
      <w:r/>
      <w:bookmarkStart w:id="52" w:name="_Toc107246217"/>
      <w:r/>
      <w:bookmarkStart w:id="53" w:name="_Toc104560841"/>
      <w:r/>
      <w:bookmarkStart w:id="54" w:name="_Toc100905203"/>
      <w:r>
        <w:rPr>
          <w:rFonts w:hint="eastAsia" w:ascii="宋体" w:hAnsi="宋体" w:cs="宋体"/>
          <w:color w:val="000000" w:themeColor="text1"/>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55" w:name="_Toc100905204"/>
      <w:r>
        <w:rPr>
          <w:rFonts w:hint="eastAsia" w:ascii="宋体" w:hAnsi="宋体" w:cs="宋体"/>
          <w:color w:val="000000" w:themeColor="text1"/>
          <w:szCs w:val="21"/>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56" w:name="_Toc103848531"/>
      <w:r/>
      <w:bookmarkStart w:id="57" w:name="_Toc107246218"/>
      <w:r/>
      <w:bookmarkStart w:id="58" w:name="_Toc104560842"/>
      <w:r>
        <w:rPr>
          <w:rFonts w:hint="eastAsia" w:ascii="宋体" w:hAnsi="宋体" w:cs="宋体"/>
          <w:color w:val="000000" w:themeColor="text1"/>
          <w14:textFill>
            <w14:solidFill>
              <w14:schemeClr w14:val="tx1"/>
            </w14:solidFill>
          </w14:textFill>
        </w:rPr>
        <w:t xml:space="preserve">4.</w:t>
      </w:r>
      <w:bookmarkEnd w:id="56"/>
      <w:r>
        <w:rPr>
          <w:rFonts w:hint="eastAsia" w:ascii="宋体" w:hAnsi="宋体" w:cs="宋体"/>
          <w:color w:val="000000" w:themeColor="text1"/>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4.1.1.1中小企业是</w:t>
      </w:r>
      <w:r>
        <w:rPr>
          <w:rFonts w:hint="eastAsia" w:ascii="宋体" w:hAnsi="宋体" w:cs="宋体"/>
          <w:color w:val="000000" w:themeColor="text1"/>
          <w:szCs w:val="21"/>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4.4未按要求提供相关材料的，不享受相关政策。</w:t>
      </w:r>
      <w:bookmarkEnd w:id="55"/>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59" w:name="_Toc107246219"/>
      <w:r/>
      <w:bookmarkStart w:id="60" w:name="_Toc103848532"/>
      <w:r/>
      <w:bookmarkStart w:id="61" w:name="_Toc104560843"/>
      <w:r/>
      <w:bookmarkStart w:id="62" w:name="_Toc100905205"/>
      <w:r/>
      <w:bookmarkStart w:id="63" w:name="_Toc96347865"/>
      <w:r>
        <w:rPr>
          <w:rFonts w:hint="eastAsia" w:ascii="宋体" w:hAnsi="宋体" w:cs="宋体"/>
          <w:color w:val="000000" w:themeColor="text1"/>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5.1</w:t>
      </w:r>
      <w:bookmarkStart w:id="64" w:name="_Toc80264707"/>
      <w:r>
        <w:rPr>
          <w:rFonts w:hint="eastAsia" w:ascii="宋体" w:hAnsi="宋体" w:cs="宋体"/>
          <w:color w:val="000000" w:themeColor="text1"/>
          <w:szCs w:val="21"/>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65" w:name="_Toc100905206"/>
      <w:r/>
      <w:bookmarkStart w:id="66" w:name="_Toc96347866"/>
      <w:r/>
      <w:bookmarkStart w:id="67" w:name="_Toc107246220"/>
      <w:r/>
      <w:bookmarkStart w:id="68" w:name="_Toc104560844"/>
      <w:r/>
      <w:bookmarkStart w:id="69" w:name="_Toc103848533"/>
      <w:r>
        <w:rPr>
          <w:rFonts w:hint="eastAsia" w:ascii="宋体" w:hAnsi="宋体" w:cs="宋体"/>
          <w:color w:val="000000" w:themeColor="text1"/>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70" w:name="_Toc96347867"/>
      <w:r/>
      <w:bookmarkStart w:id="71" w:name="_Toc100905207"/>
      <w:r>
        <w:rPr>
          <w:rFonts w:hint="eastAsia" w:ascii="宋体" w:hAnsi="宋体" w:cs="宋体"/>
          <w:color w:val="000000" w:themeColor="text1"/>
          <w:szCs w:val="21"/>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72" w:name="_Toc104560845"/>
      <w:r/>
      <w:bookmarkStart w:id="73" w:name="_Toc103848534"/>
      <w:r/>
      <w:bookmarkStart w:id="74" w:name="_Toc107246221"/>
      <w:r>
        <w:rPr>
          <w:rFonts w:hint="eastAsia" w:ascii="宋体" w:hAnsi="宋体" w:cs="宋体"/>
          <w:color w:val="000000" w:themeColor="text1"/>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7.2所有文件中的计量单位，除招标文件有特殊要求外，应采用国家法定计量单位。</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75" w:name="_Toc96347868"/>
      <w:r/>
      <w:bookmarkStart w:id="76" w:name="_Toc100905208"/>
      <w:r/>
      <w:bookmarkStart w:id="77" w:name="_Toc103848535"/>
      <w:r/>
      <w:bookmarkStart w:id="78" w:name="_Toc107246222"/>
      <w:r/>
      <w:bookmarkStart w:id="79" w:name="_Toc104560846"/>
      <w:r>
        <w:rPr>
          <w:rFonts w:hint="eastAsia" w:ascii="宋体" w:hAnsi="宋体" w:cs="宋体"/>
          <w:color w:val="000000" w:themeColor="text1"/>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8.1</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规定现场考察的，供应商须按照</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8.2供应商不按照</w:t>
      </w:r>
      <w:r>
        <w:rPr>
          <w:rFonts w:hint="eastAsia" w:ascii="宋体" w:hAnsi="宋体" w:cs="宋体"/>
          <w:bCs/>
          <w:color w:val="000000" w:themeColor="text1"/>
          <w:szCs w:val="21"/>
          <w14:textFill>
            <w14:solidFill>
              <w14:schemeClr w14:val="tx1"/>
            </w14:solidFill>
          </w14:textFill>
        </w:rPr>
        <w:t xml:space="preserve">本须知的规定</w:t>
      </w:r>
      <w:r>
        <w:rPr>
          <w:rFonts w:hint="eastAsia" w:ascii="宋体" w:hAnsi="宋体" w:cs="宋体"/>
          <w:color w:val="000000" w:themeColor="text1"/>
          <w:szCs w:val="21"/>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80" w:name="_Toc102117275"/>
      <w:r/>
      <w:bookmarkStart w:id="81" w:name="_Toc107246223"/>
      <w:r>
        <w:rPr>
          <w:rFonts w:hint="eastAsia" w:ascii="宋体" w:hAnsi="宋体" w:cs="宋体"/>
          <w:color w:val="000000" w:themeColor="text1"/>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9.1</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规定召开开标前答疑会的，采购方按</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9.2供应商应按</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规定的时间和形式将提出的询问送达采购方，以便采购方在会议期间澄清，逾期的询问将不被接受。</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82" w:name="_Toc100905210"/>
      <w:r/>
      <w:bookmarkStart w:id="83" w:name="_Toc107246224"/>
      <w:r/>
      <w:bookmarkStart w:id="84" w:name="_Toc103848536"/>
      <w:r/>
      <w:bookmarkStart w:id="85" w:name="_Toc104560847"/>
      <w:r/>
      <w:bookmarkStart w:id="86" w:name="_Toc96347869"/>
      <w:r>
        <w:rPr>
          <w:rFonts w:hint="eastAsia" w:ascii="宋体" w:hAnsi="宋体" w:cs="宋体"/>
          <w:color w:val="000000" w:themeColor="text1"/>
          <w:szCs w:val="21"/>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10.1本项目是否接受联合体形式参与详见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87" w:name="_Toc100905213"/>
      <w:r/>
      <w:bookmarkStart w:id="88" w:name="_Toc104560848"/>
      <w:r/>
      <w:bookmarkStart w:id="89" w:name="_Toc103848537"/>
      <w:r/>
      <w:bookmarkStart w:id="90" w:name="_Toc107246225"/>
      <w:r/>
      <w:bookmarkStart w:id="91" w:name="_Toc100905211"/>
      <w:r>
        <w:rPr>
          <w:rFonts w:hint="eastAsia" w:ascii="宋体" w:hAnsi="宋体" w:cs="宋体"/>
          <w:color w:val="000000" w:themeColor="text1"/>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92" w:name="_Toc104560849"/>
      <w:r/>
      <w:bookmarkStart w:id="93" w:name="_Toc107246226"/>
      <w:r>
        <w:rPr>
          <w:rFonts w:hint="eastAsia" w:ascii="宋体" w:hAnsi="宋体" w:cs="宋体"/>
          <w:color w:val="000000" w:themeColor="text1"/>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12.2样品的评审方法以及评审标准等内容见第五章《评标方法与评标标准》。</w:t>
      </w:r>
      <w:bookmarkEnd w:id="86"/>
      <w:r/>
      <w:bookmarkEnd w:id="91"/>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94" w:name="_Toc104560850"/>
      <w:r/>
      <w:bookmarkStart w:id="95" w:name="_Toc100905214"/>
      <w:r/>
      <w:bookmarkStart w:id="96" w:name="_Toc103848538"/>
      <w:r/>
      <w:bookmarkStart w:id="97" w:name="_Toc107246227"/>
      <w:r>
        <w:rPr>
          <w:rFonts w:hint="eastAsia" w:ascii="宋体" w:hAnsi="宋体" w:cs="宋体"/>
          <w:color w:val="000000" w:themeColor="text1"/>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13.1本项目是否采购进口产品及相关要求见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98" w:name="_Toc107246228"/>
      <w:r/>
      <w:bookmarkStart w:id="99" w:name="_Toc104560851"/>
      <w:r>
        <w:rPr>
          <w:rFonts w:hint="eastAsia" w:ascii="宋体" w:hAnsi="宋体" w:cs="宋体"/>
          <w:color w:val="000000" w:themeColor="text1"/>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14.2本项目最高限价要求见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00" w:name="_Toc107246229"/>
      <w:r/>
      <w:bookmarkStart w:id="101" w:name="_Toc104560852"/>
      <w:r>
        <w:rPr>
          <w:rFonts w:hint="eastAsia" w:ascii="宋体" w:hAnsi="宋体" w:cs="宋体"/>
          <w:color w:val="000000" w:themeColor="text1"/>
          <w14:textFill>
            <w14:solidFill>
              <w14:schemeClr w14:val="tx1"/>
            </w14:solidFill>
          </w14:textFill>
        </w:rPr>
        <w:t xml:space="preserve">15.</w:t>
      </w:r>
      <w:r>
        <w:rPr>
          <w:rFonts w:hint="eastAsia" w:ascii="宋体" w:hAnsi="宋体" w:cs="宋体"/>
          <w:bCs w:val="0"/>
          <w:color w:val="000000" w:themeColor="text1"/>
          <w:szCs w:val="21"/>
          <w14:textFill>
            <w14:solidFill>
              <w14:schemeClr w14:val="tx1"/>
            </w14:solidFill>
          </w14:textFill>
        </w:rPr>
        <w:t xml:space="preserve"> 供应商</w:t>
      </w:r>
      <w:r>
        <w:rPr>
          <w:rFonts w:hint="eastAsia" w:ascii="宋体" w:hAnsi="宋体" w:cs="宋体"/>
          <w:color w:val="000000" w:themeColor="text1"/>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15.1</w:t>
      </w:r>
      <w:r>
        <w:rPr>
          <w:rFonts w:hint="eastAsia" w:ascii="宋体" w:hAnsi="宋体" w:cs="宋体"/>
          <w:bCs/>
          <w:color w:val="000000" w:themeColor="text1"/>
          <w:szCs w:val="21"/>
          <w14:textFill>
            <w14:solidFill>
              <w14:schemeClr w14:val="tx1"/>
            </w14:solidFill>
          </w14:textFill>
        </w:rPr>
        <w:t xml:space="preserve">供应商</w:t>
      </w:r>
      <w:r>
        <w:rPr>
          <w:rFonts w:hint="eastAsia" w:ascii="宋体" w:hAnsi="宋体" w:cs="宋体"/>
          <w:color w:val="000000" w:themeColor="text1"/>
          <w:szCs w:val="21"/>
          <w14:textFill>
            <w14:solidFill>
              <w14:schemeClr w14:val="tx1"/>
            </w14:solidFill>
          </w14:textFill>
        </w:rPr>
        <w:t xml:space="preserve">资格条件见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02" w:name="_Toc107246230"/>
      <w:r>
        <w:rPr>
          <w:rFonts w:hint="eastAsia" w:ascii="宋体" w:hAnsi="宋体" w:cs="宋体"/>
          <w:color w:val="000000" w:themeColor="text1"/>
          <w14:textFill>
            <w14:solidFill>
              <w14:schemeClr w14:val="tx1"/>
            </w14:solidFill>
          </w14:textFill>
        </w:rPr>
        <w:t xml:space="preserve">二．招标文件</w:t>
      </w:r>
      <w:bookmarkEnd w:id="64"/>
      <w:r/>
      <w:bookmarkEnd w:id="102"/>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03" w:name="_Toc96347871"/>
      <w:r/>
      <w:bookmarkStart w:id="104" w:name="_Toc100905217"/>
      <w:r/>
      <w:bookmarkStart w:id="105" w:name="_Toc104560854"/>
      <w:r/>
      <w:bookmarkStart w:id="106" w:name="_Toc103848540"/>
      <w:r/>
      <w:bookmarkStart w:id="107" w:name="_Toc107246231"/>
      <w:r>
        <w:rPr>
          <w:rFonts w:hint="eastAsia" w:ascii="宋体" w:hAnsi="宋体" w:cs="宋体"/>
          <w:color w:val="000000" w:themeColor="text1"/>
          <w14:textFill>
            <w14:solidFill>
              <w14:schemeClr w14:val="tx1"/>
            </w14:solidFill>
          </w14:textFill>
        </w:rPr>
        <w:t xml:space="preserve">16.招标文件的构成</w:t>
      </w:r>
      <w:bookmarkEnd w:id="103"/>
      <w:r/>
      <w:bookmarkEnd w:id="104"/>
      <w:r/>
      <w:bookmarkEnd w:id="105"/>
      <w:r/>
      <w:bookmarkEnd w:id="106"/>
      <w:r/>
      <w:bookmarkEnd w:id="107"/>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第六章：</w:t>
      </w:r>
      <w:bookmarkStart w:id="108" w:name="_Toc96347872"/>
      <w:r>
        <w:rPr>
          <w:rFonts w:hint="eastAsia" w:ascii="宋体" w:hAnsi="宋体" w:cs="宋体"/>
          <w:color w:val="000000" w:themeColor="text1"/>
          <w:szCs w:val="21"/>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江苏政府采购网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中国政府采购网”发布的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文件不一致</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lang w:val="zh-CN"/>
          <w14:textFill>
            <w14:solidFill>
              <w14:schemeClr w14:val="tx1"/>
            </w14:solidFill>
          </w14:textFill>
        </w:rPr>
        <w:t xml:space="preserve">，以</w:t>
      </w:r>
      <w:r>
        <w:rPr>
          <w:rFonts w:hint="eastAsia" w:ascii="宋体" w:hAnsi="宋体" w:cs="宋体"/>
          <w:color w:val="000000" w:themeColor="text1"/>
          <w:szCs w:val="21"/>
          <w14:textFill>
            <w14:solidFill>
              <w14:schemeClr w14:val="tx1"/>
            </w14:solidFill>
          </w14:textFill>
        </w:rPr>
        <w:t xml:space="preserve">上述网站</w:t>
      </w:r>
      <w:r>
        <w:rPr>
          <w:rFonts w:hint="eastAsia" w:ascii="宋体" w:hAnsi="宋体" w:cs="宋体"/>
          <w:color w:val="000000" w:themeColor="text1"/>
          <w:szCs w:val="21"/>
          <w:lang w:val="zh-CN"/>
          <w14:textFill>
            <w14:solidFill>
              <w14:schemeClr w14:val="tx1"/>
            </w14:solidFill>
          </w14:textFill>
        </w:rPr>
        <w:t xml:space="preserve">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★招标文件中标注</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16.3</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bCs/>
          <w:color w:val="000000" w:themeColor="text1"/>
          <w:szCs w:val="21"/>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14:textFill>
            <w14:solidFill>
              <w14:schemeClr w14:val="tx1"/>
            </w14:solidFill>
          </w14:textFill>
        </w:rPr>
        <w:t xml:space="preserve">供应商</w:t>
      </w:r>
      <w:r>
        <w:rPr>
          <w:rFonts w:hint="eastAsia" w:ascii="宋体" w:hAnsi="宋体" w:cs="宋体"/>
          <w:bCs/>
          <w:color w:val="000000" w:themeColor="text1"/>
          <w:szCs w:val="21"/>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16.4本项目招标文件如包括多个分包，则除非特别说明，招标文件所列各项要求均为各分包通用要求。</w:t>
      </w:r>
      <w:bookmarkEnd w:id="108"/>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09" w:name="_Toc107246232"/>
      <w:r/>
      <w:bookmarkStart w:id="110" w:name="_Toc96347873"/>
      <w:r/>
      <w:bookmarkStart w:id="111" w:name="_Toc100905218"/>
      <w:r/>
      <w:bookmarkStart w:id="112" w:name="_Toc104560855"/>
      <w:r/>
      <w:bookmarkStart w:id="113" w:name="_Toc103848541"/>
      <w:r>
        <w:rPr>
          <w:rFonts w:hint="eastAsia" w:ascii="宋体" w:hAnsi="宋体" w:cs="宋体"/>
          <w:color w:val="000000" w:themeColor="text1"/>
          <w14:textFill>
            <w14:solidFill>
              <w14:schemeClr w14:val="tx1"/>
            </w14:solidFill>
          </w14:textFill>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114" w:name="_Toc100905219"/>
      <w:r>
        <w:rPr>
          <w:rFonts w:hint="eastAsia" w:ascii="宋体" w:hAnsi="宋体" w:cs="宋体"/>
          <w:color w:val="000000" w:themeColor="text1"/>
          <w:szCs w:val="21"/>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15" w:name="_Toc104560856"/>
      <w:r/>
      <w:bookmarkStart w:id="116" w:name="_Toc91836558"/>
      <w:r/>
      <w:bookmarkStart w:id="117" w:name="_Toc107246233"/>
      <w:r/>
      <w:bookmarkStart w:id="118" w:name="_Toc80264708"/>
      <w:r>
        <w:rPr>
          <w:rFonts w:hint="eastAsia" w:ascii="宋体" w:hAnsi="宋体" w:cs="宋体"/>
          <w:color w:val="000000" w:themeColor="text1"/>
          <w14:textFill>
            <w14:solidFill>
              <w14:schemeClr w14:val="tx1"/>
            </w14:solidFill>
          </w14:textFill>
        </w:rPr>
        <w:t xml:space="preserve">三．投标文件</w:t>
      </w:r>
      <w:bookmarkEnd w:id="115"/>
      <w:r/>
      <w:bookmarkEnd w:id="116"/>
      <w:r/>
      <w:bookmarkEnd w:id="117"/>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19" w:name="_Toc103848543"/>
      <w:r/>
      <w:bookmarkStart w:id="120" w:name="_Toc104560857"/>
      <w:r/>
      <w:bookmarkStart w:id="121" w:name="_Toc107246234"/>
      <w:r/>
      <w:bookmarkStart w:id="122" w:name="_Toc96347875"/>
      <w:r/>
      <w:bookmarkStart w:id="123" w:name="_Toc100905221"/>
      <w:r>
        <w:rPr>
          <w:rFonts w:hint="eastAsia" w:ascii="宋体" w:hAnsi="宋体" w:cs="宋体"/>
          <w:color w:val="000000" w:themeColor="text1"/>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18.2</w:t>
      </w:r>
      <w:r>
        <w:rPr>
          <w:rFonts w:hint="eastAsia" w:ascii="宋体" w:hAnsi="宋体" w:cs="宋体"/>
          <w:b/>
          <w:color w:val="000000" w:themeColor="text1"/>
          <w:sz w:val="22"/>
          <w:szCs w:val="22"/>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（7）投标人具备投标资格的证明文件（</w:t>
      </w:r>
      <w:r>
        <w:rPr>
          <w:rFonts w:hint="eastAsia" w:ascii="宋体" w:hAnsi="宋体" w:cs="宋体"/>
          <w:color w:val="000000" w:themeColor="text1"/>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18.3</w:t>
      </w:r>
      <w:r>
        <w:rPr>
          <w:rFonts w:hint="eastAsia" w:ascii="宋体" w:hAnsi="宋体" w:cs="宋体"/>
          <w:b/>
          <w:color w:val="000000" w:themeColor="text1"/>
          <w:sz w:val="22"/>
          <w:szCs w:val="22"/>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18.4.1投标文件的其他部分由投标人根据编制投标文件需要提供的其他相关文件组成。</w:t>
      </w:r>
      <w:r/>
    </w:p>
    <w:p>
      <w:pPr>
        <w:pStyle w:val="85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124" w:name="_Toc104560858"/>
      <w:r/>
      <w:bookmarkStart w:id="125" w:name="_Toc107246235"/>
      <w:r>
        <w:rPr>
          <w:rFonts w:hint="eastAsia" w:ascii="宋体" w:hAnsi="宋体" w:cs="宋体"/>
          <w:color w:val="000000" w:themeColor="text1"/>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19.1</w:t>
      </w:r>
      <w:r>
        <w:rPr>
          <w:rFonts w:hint="eastAsia" w:ascii="宋体" w:hAnsi="宋体" w:cs="宋体"/>
          <w:color w:val="000000" w:themeColor="text1"/>
          <w:szCs w:val="21"/>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19.2</w:t>
      </w:r>
      <w:r>
        <w:rPr>
          <w:rFonts w:hint="eastAsia" w:ascii="宋体" w:hAnsi="宋体" w:cs="宋体"/>
          <w:color w:val="000000" w:themeColor="text1"/>
          <w:szCs w:val="21"/>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19.3</w:t>
      </w:r>
      <w:r>
        <w:rPr>
          <w:rFonts w:hint="eastAsia" w:ascii="宋体" w:hAnsi="宋体" w:cs="宋体"/>
          <w:color w:val="000000" w:themeColor="text1"/>
          <w:szCs w:val="21"/>
          <w14:textFill>
            <w14:solidFill>
              <w14:schemeClr w14:val="tx1"/>
            </w14:solidFill>
          </w14:textFill>
        </w:rPr>
        <w:t xml:space="preserve">投标文件须对招标文件中的内容做出实质性和完整的响应。</w:t>
      </w:r>
      <w:r/>
    </w:p>
    <w:p>
      <w:pPr>
        <w:pStyle w:val="85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126" w:name="_Toc107246236"/>
      <w:r>
        <w:rPr>
          <w:rFonts w:hint="eastAsia" w:ascii="宋体" w:hAnsi="宋体" w:cs="宋体"/>
          <w:color w:val="000000" w:themeColor="text1"/>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20.1</w:t>
      </w:r>
      <w:r>
        <w:rPr>
          <w:rFonts w:hint="eastAsia" w:ascii="宋体" w:hAnsi="宋体" w:cs="宋体"/>
          <w:color w:val="000000" w:themeColor="text1"/>
          <w:szCs w:val="21"/>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20.2</w:t>
      </w:r>
      <w:r>
        <w:rPr>
          <w:rFonts w:hint="eastAsia" w:ascii="宋体" w:hAnsi="宋体" w:cs="宋体"/>
          <w:b/>
          <w:color w:val="000000" w:themeColor="text1"/>
          <w:szCs w:val="21"/>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20.3</w:t>
      </w:r>
      <w:r>
        <w:rPr>
          <w:rFonts w:hint="eastAsia" w:ascii="宋体" w:hAnsi="宋体" w:cs="宋体"/>
          <w:color w:val="000000" w:themeColor="text1"/>
          <w:szCs w:val="21"/>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14:textFill>
            <w14:solidFill>
              <w14:schemeClr w14:val="tx1"/>
            </w14:solidFill>
          </w14:textFill>
        </w:rPr>
        <w:t xml:space="preserve">★开标一览表须加盖公章或电子公章。</w:t>
      </w:r>
      <w:r>
        <w:rPr>
          <w:rFonts w:hint="eastAsia" w:ascii="宋体" w:hAnsi="宋体" w:cs="宋体"/>
          <w:bCs/>
          <w:color w:val="000000" w:themeColor="text1"/>
          <w:szCs w:val="21"/>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20.5</w:t>
      </w:r>
      <w:r>
        <w:rPr>
          <w:rFonts w:hint="eastAsia" w:ascii="宋体" w:hAnsi="宋体" w:cs="宋体"/>
          <w:color w:val="000000" w:themeColor="text1"/>
          <w:szCs w:val="21"/>
          <w14:textFill>
            <w14:solidFill>
              <w14:schemeClr w14:val="tx1"/>
            </w14:solidFill>
          </w14:textFill>
        </w:rPr>
        <w:t xml:space="preserve">投标报价的其他要求见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bookmarkEnd w:id="122"/>
      <w:r/>
      <w:bookmarkEnd w:id="123"/>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27" w:name="_Toc103848545"/>
      <w:r/>
      <w:bookmarkStart w:id="128" w:name="_Toc107246237"/>
      <w:r/>
      <w:bookmarkStart w:id="129" w:name="_Toc100905224"/>
      <w:r/>
      <w:bookmarkStart w:id="130" w:name="_Toc104560859"/>
      <w:r/>
      <w:bookmarkStart w:id="131" w:name="_Toc103848544"/>
      <w:r/>
      <w:bookmarkStart w:id="132" w:name="_Toc100905223"/>
      <w:r/>
      <w:bookmarkStart w:id="133" w:name="_Toc96347878"/>
      <w:r>
        <w:rPr>
          <w:rFonts w:hint="eastAsia" w:ascii="宋体" w:hAnsi="宋体" w:cs="宋体"/>
          <w:color w:val="000000" w:themeColor="text1"/>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21.1投标有效期见</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规定的投标截止之日起计算。</w:t>
      </w: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34" w:name="_Toc104560860"/>
      <w:r/>
      <w:bookmarkStart w:id="135" w:name="_Toc107246238"/>
      <w:r>
        <w:rPr>
          <w:rFonts w:hint="eastAsia" w:ascii="宋体" w:hAnsi="宋体" w:cs="宋体"/>
          <w:color w:val="000000" w:themeColor="text1"/>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136" w:name="_Toc466452044"/>
      <w:r/>
      <w:bookmarkStart w:id="137" w:name="_Toc420657357"/>
      <w:r/>
      <w:bookmarkStart w:id="138" w:name="_Toc96347879"/>
      <w:r/>
      <w:bookmarkStart w:id="139" w:name="_Toc519241651"/>
      <w:r/>
      <w:bookmarkStart w:id="140" w:name="_Toc420487862"/>
      <w:r/>
      <w:bookmarkStart w:id="141" w:name="_Toc68159552"/>
      <w:r>
        <w:rPr>
          <w:rFonts w:hint="eastAsia" w:ascii="宋体" w:hAnsi="宋体" w:cs="宋体"/>
          <w:bCs/>
          <w:color w:val="000000" w:themeColor="text1"/>
          <w:szCs w:val="21"/>
          <w14:textFill>
            <w14:solidFill>
              <w14:schemeClr w14:val="tx1"/>
            </w14:solidFill>
          </w14:textFill>
        </w:rPr>
        <w:t xml:space="preserve">22.1本项目是否交纳投标保证金见</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22.2</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规定的投标截止时间前，向采购方提交</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规定的投标有效期一致。</w:t>
      </w:r>
      <w:r>
        <w:rPr>
          <w:rFonts w:hint="eastAsia" w:ascii="宋体" w:hAnsi="宋体" w:cs="宋体"/>
          <w:b/>
          <w:color w:val="000000" w:themeColor="text1"/>
          <w:szCs w:val="21"/>
          <w14:textFill>
            <w14:solidFill>
              <w14:schemeClr w14:val="tx1"/>
            </w14:solidFill>
          </w14:textFill>
        </w:rPr>
        <w:t xml:space="preserve">★投标人未按规定缴纳投标保证金的或</w:t>
      </w:r>
      <w:r>
        <w:rPr>
          <w:rFonts w:hint="eastAsia" w:ascii="宋体" w:hAnsi="宋体" w:cs="宋体"/>
          <w:b/>
          <w:bCs/>
          <w:color w:val="000000" w:themeColor="text1"/>
          <w:szCs w:val="21"/>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bookmarkStart w:id="142" w:name="_Toc104560861"/>
      <w:r/>
      <w:bookmarkStart w:id="143" w:name="_Toc96347880"/>
      <w:r/>
      <w:bookmarkStart w:id="144" w:name="_Toc100905225"/>
      <w:r/>
      <w:bookmarkStart w:id="145" w:name="_Toc103848546"/>
      <w:r>
        <w:rPr>
          <w:rFonts w:hint="eastAsia" w:ascii="宋体" w:hAnsi="宋体" w:cs="宋体"/>
          <w:color w:val="000000" w:themeColor="text1"/>
          <w:szCs w:val="21"/>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（6）招标文件规定的其他可以不予退还投标保证金的情形。</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46" w:name="_Toc107246239"/>
      <w:r>
        <w:rPr>
          <w:rFonts w:hint="eastAsia" w:ascii="宋体" w:hAnsi="宋体" w:cs="宋体"/>
          <w:color w:val="000000" w:themeColor="text1"/>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bookmarkStart w:id="147" w:name="_Toc107246240"/>
      <w:r>
        <w:rPr>
          <w:rFonts w:ascii="Microsoft New Tai Lue" w:hAnsi="Microsoft New Tai Lue" w:cs="Microsoft New Tai Lue"/>
          <w:bCs/>
          <w:color w:val="000000" w:themeColor="text1"/>
          <w:szCs w:val="21"/>
          <w14:textFill>
            <w14:solidFill>
              <w14:schemeClr w14:val="tx1"/>
            </w14:solidFill>
          </w14:textFill>
        </w:rPr>
        <w:t xml:space="preserve">23.1</w:t>
      </w:r>
      <w:r>
        <w:rPr>
          <w:rFonts w:ascii="Arial" w:hAnsi="Arial" w:cs="Arial"/>
          <w:color w:val="000000" w:themeColor="text1"/>
          <w:szCs w:val="21"/>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lang w:val="zh-CN"/>
          <w14:textFill>
            <w14:solidFill>
              <w14:schemeClr w14:val="tx1"/>
            </w14:solidFill>
          </w14:textFill>
        </w:rPr>
        <w:t xml:space="preserve">招标代理机构拒绝接收提交</w:t>
      </w:r>
      <w:r>
        <w:rPr>
          <w:rFonts w:ascii="Arial" w:hAnsi="Arial" w:cs="Arial"/>
          <w:color w:val="000000" w:themeColor="text1"/>
          <w:szCs w:val="21"/>
          <w14:textFill>
            <w14:solidFill>
              <w14:schemeClr w14:val="tx1"/>
            </w14:solidFill>
          </w14:textFill>
        </w:rPr>
        <w:t xml:space="preserve">投标</w:t>
      </w:r>
      <w:r>
        <w:rPr>
          <w:rFonts w:ascii="Arial" w:hAnsi="Arial" w:cs="Arial"/>
          <w:color w:val="000000" w:themeColor="text1"/>
          <w:szCs w:val="21"/>
          <w:lang w:val="zh-CN"/>
          <w14:textFill>
            <w14:solidFill>
              <w14:schemeClr w14:val="tx1"/>
            </w14:solidFill>
          </w14:textFill>
        </w:rPr>
        <w:t xml:space="preserve">文件截止时间后上传的任何电子</w:t>
      </w:r>
      <w:r>
        <w:rPr>
          <w:rFonts w:ascii="Arial" w:hAnsi="Arial" w:cs="Arial"/>
          <w:color w:val="000000" w:themeColor="text1"/>
          <w:szCs w:val="21"/>
          <w14:textFill>
            <w14:solidFill>
              <w14:schemeClr w14:val="tx1"/>
            </w14:solidFill>
          </w14:textFill>
        </w:rPr>
        <w:t xml:space="preserve">投标</w:t>
      </w:r>
      <w:r>
        <w:rPr>
          <w:rFonts w:ascii="Arial" w:hAnsi="Arial" w:cs="Arial"/>
          <w:color w:val="000000" w:themeColor="text1"/>
          <w:szCs w:val="21"/>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23.2</w:t>
      </w:r>
      <w:r>
        <w:rPr>
          <w:rFonts w:ascii="Segoe UI Symbol" w:hAnsi="Segoe UI Symbol" w:cs="Segoe UI Symbol"/>
          <w:b/>
          <w:color w:val="000000" w:themeColor="text1"/>
          <w:szCs w:val="21"/>
          <w14:textFill>
            <w14:solidFill>
              <w14:schemeClr w14:val="tx1"/>
            </w14:solidFill>
          </w14:textFill>
        </w:rPr>
        <w:t xml:space="preserve">★</w:t>
      </w:r>
      <w:r>
        <w:rPr>
          <w:rFonts w:hint="eastAsia" w:ascii="Microsoft New Tai Lue" w:hAnsi="Microsoft New Tai Lue" w:cs="Microsoft New Tai Lue"/>
          <w:b/>
          <w:bCs/>
          <w:color w:val="000000" w:themeColor="text1"/>
          <w:szCs w:val="21"/>
          <w14:textFill>
            <w14:solidFill>
              <w14:schemeClr w14:val="tx1"/>
            </w14:solidFill>
          </w14:textFill>
        </w:rPr>
        <w:t xml:space="preserve">投标文件</w:t>
      </w:r>
      <w:r>
        <w:rPr>
          <w:rFonts w:ascii="Microsoft New Tai Lue" w:hAnsi="Microsoft New Tai Lue" w:cs="Microsoft New Tai Lue"/>
          <w:b/>
          <w:bCs/>
          <w:color w:val="000000" w:themeColor="text1"/>
          <w:szCs w:val="21"/>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14:textFill>
            <w14:solidFill>
              <w14:schemeClr w14:val="tx1"/>
            </w14:solidFill>
          </w14:textFill>
        </w:rPr>
        <w:t xml:space="preserve">投标人</w:t>
      </w:r>
      <w:r>
        <w:rPr>
          <w:rFonts w:ascii="Microsoft New Tai Lue" w:hAnsi="Microsoft New Tai Lue" w:cs="Microsoft New Tai Lue"/>
          <w:b/>
          <w:bCs/>
          <w:color w:val="000000" w:themeColor="text1"/>
          <w:szCs w:val="21"/>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14:textFill>
            <w14:solidFill>
              <w14:schemeClr w14:val="tx1"/>
            </w14:solidFill>
          </w14:textFill>
        </w:rPr>
        <w:t xml:space="preserve">（单位</w:t>
      </w:r>
      <w:r>
        <w:rPr>
          <w:rFonts w:ascii="Microsoft New Tai Lue" w:hAnsi="Microsoft New Tai Lue" w:cs="Microsoft New Tai Lue"/>
          <w:b/>
          <w:bCs/>
          <w:color w:val="000000" w:themeColor="text1"/>
          <w:szCs w:val="21"/>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14:textFill>
            <w14:solidFill>
              <w14:schemeClr w14:val="tx1"/>
            </w14:solidFill>
          </w14:textFill>
        </w:rPr>
        <w:t xml:space="preserve">法定代表人</w:t>
      </w:r>
      <w:r>
        <w:rPr>
          <w:rFonts w:ascii="Microsoft New Tai Lue" w:hAnsi="Microsoft New Tai Lue" w:cs="Microsoft New Tai Lue"/>
          <w:b/>
          <w:bCs/>
          <w:color w:val="000000" w:themeColor="text1"/>
          <w:szCs w:val="21"/>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14:textFill>
            <w14:solidFill>
              <w14:schemeClr w14:val="tx1"/>
            </w14:solidFill>
          </w14:textFill>
        </w:rPr>
        <w:t xml:space="preserve">或电子公章</w:t>
      </w:r>
      <w:r>
        <w:rPr>
          <w:rFonts w:ascii="Microsoft New Tai Lue" w:hAnsi="Microsoft New Tai Lue" w:cs="Microsoft New Tai Lue"/>
          <w:bCs/>
          <w:color w:val="000000" w:themeColor="text1"/>
          <w:szCs w:val="21"/>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w:t>
      </w:r>
      <w:r>
        <w:rPr>
          <w:rFonts w:ascii="Microsoft New Tai Lue" w:hAnsi="Microsoft New Tai Lue" w:cs="Microsoft New Tai Lue"/>
          <w:bCs/>
          <w:color w:val="000000" w:themeColor="text1"/>
          <w:szCs w:val="21"/>
          <w14:textFill>
            <w14:solidFill>
              <w14:schemeClr w14:val="tx1"/>
            </w14:solidFill>
          </w14:textFill>
        </w:rPr>
        <w:t xml:space="preserve">3.4</w:t>
      </w:r>
      <w:r>
        <w:rPr>
          <w:rFonts w:ascii="Segoe UI Symbol" w:hAnsi="Segoe UI Symbol" w:cs="Segoe UI Symbol"/>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14:textFill>
            <w14:solidFill>
              <w14:schemeClr w14:val="tx1"/>
            </w14:solidFill>
          </w14:textFill>
        </w:rPr>
        <w:t xml:space="preserve">如</w:t>
      </w:r>
      <w:r>
        <w:rPr>
          <w:rFonts w:ascii="Microsoft New Tai Lue" w:hAnsi="Microsoft New Tai Lue" w:cs="Microsoft New Tai Lue"/>
          <w:b/>
          <w:color w:val="000000" w:themeColor="text1"/>
          <w:szCs w:val="21"/>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b/>
          <w:color w:val="000000" w:themeColor="text1"/>
          <w14:textFill>
            <w14:solidFill>
              <w14:schemeClr w14:val="tx1"/>
            </w14:solidFill>
          </w14:textFill>
        </w:rPr>
        <w:t xml:space="preserve">（</w:t>
      </w:r>
      <w:r>
        <w:rPr>
          <w:rFonts w:hint="eastAsia"/>
          <w:b/>
          <w:color w:val="000000" w:themeColor="text1"/>
          <w14:textFill>
            <w14:solidFill>
              <w14:schemeClr w14:val="tx1"/>
            </w14:solidFill>
          </w14:textFill>
        </w:rPr>
        <w:t xml:space="preserve">格式</w:t>
      </w:r>
      <w:r>
        <w:rPr>
          <w:b/>
          <w:color w:val="000000" w:themeColor="text1"/>
          <w14:textFill>
            <w14:solidFill>
              <w14:schemeClr w14:val="tx1"/>
            </w14:solidFill>
          </w14:textFill>
        </w:rPr>
        <w:t xml:space="preserve">见</w:t>
      </w:r>
      <w:r>
        <w:rPr>
          <w:rFonts w:hint="eastAsia"/>
          <w:b/>
          <w:color w:val="000000" w:themeColor="text1"/>
          <w14:textFill>
            <w14:solidFill>
              <w14:schemeClr w14:val="tx1"/>
            </w14:solidFill>
          </w14:textFill>
        </w:rPr>
        <w:t xml:space="preserve">后</w:t>
      </w:r>
      <w:r>
        <w:rPr>
          <w:b/>
          <w:color w:val="000000" w:themeColor="text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，明确</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14:textFill>
            <w14:solidFill>
              <w14:schemeClr w14:val="tx1"/>
            </w14:solidFill>
          </w14:textFill>
        </w:rPr>
        <w:t xml:space="preserve">我单位</w:t>
      </w:r>
      <w:r>
        <w:rPr>
          <w:rFonts w:ascii="Microsoft New Tai Lue" w:hAnsi="Microsoft New Tai Lue" w:cs="Microsoft New Tai Lue"/>
          <w:b/>
          <w:color w:val="000000" w:themeColor="text1"/>
          <w:szCs w:val="21"/>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14:textFill>
            <w14:solidFill>
              <w14:schemeClr w14:val="tx1"/>
            </w14:solidFill>
          </w14:textFill>
        </w:rPr>
        <w:t xml:space="preserve">”</w:t>
      </w:r>
      <w:r>
        <w:rPr>
          <w:rFonts w:ascii="Microsoft New Tai Lue" w:hAnsi="Microsoft New Tai Lue" w:cs="Microsoft New Tai Lue"/>
          <w:b/>
          <w:color w:val="000000" w:themeColor="text1"/>
          <w:szCs w:val="21"/>
          <w14:textFill>
            <w14:solidFill>
              <w14:schemeClr w14:val="tx1"/>
            </w14:solidFill>
          </w14:textFill>
        </w:rPr>
        <w:t xml:space="preserve">，</w:t>
      </w:r>
      <w:r>
        <w:rPr>
          <w:rFonts w:hint="eastAsia" w:ascii="Microsoft New Tai Lue" w:hAnsi="Microsoft New Tai Lue" w:cs="Microsoft New Tai Lue"/>
          <w:b/>
          <w:color w:val="000000" w:themeColor="text1"/>
          <w:szCs w:val="21"/>
          <w14:textFill>
            <w14:solidFill>
              <w14:schemeClr w14:val="tx1"/>
            </w14:solidFill>
          </w14:textFill>
        </w:rPr>
        <w:t xml:space="preserve">“公章授权书”</w:t>
      </w:r>
      <w:r>
        <w:rPr>
          <w:rFonts w:ascii="Microsoft New Tai Lue" w:hAnsi="Microsoft New Tai Lue" w:cs="Microsoft New Tai Lue"/>
          <w:b/>
          <w:color w:val="000000" w:themeColor="text1"/>
          <w:szCs w:val="21"/>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14:textFill>
            <w14:solidFill>
              <w14:schemeClr w14:val="tx1"/>
            </w14:solidFill>
          </w14:textFill>
        </w:rPr>
        <w:t xml:space="preserve">本次投标使用的</w:t>
      </w:r>
      <w:r>
        <w:rPr>
          <w:rFonts w:ascii="Microsoft New Tai Lue" w:hAnsi="Microsoft New Tai Lue" w:cs="Microsoft New Tai Lue"/>
          <w:b/>
          <w:color w:val="000000" w:themeColor="text1"/>
          <w:szCs w:val="21"/>
          <w14:textFill>
            <w14:solidFill>
              <w14:schemeClr w14:val="tx1"/>
            </w14:solidFill>
          </w14:textFill>
        </w:rPr>
        <w:t xml:space="preserve">专用章</w:t>
      </w:r>
      <w:r>
        <w:rPr>
          <w:rFonts w:hint="eastAsia" w:ascii="Microsoft New Tai Lue" w:hAnsi="Microsoft New Tai Lue" w:cs="Microsoft New Tai Lue"/>
          <w:b/>
          <w:color w:val="000000" w:themeColor="text1"/>
          <w:szCs w:val="21"/>
          <w14:textFill>
            <w14:solidFill>
              <w14:schemeClr w14:val="tx1"/>
            </w14:solidFill>
          </w14:textFill>
        </w:rPr>
        <w:t xml:space="preserve">，否则不予认可</w:t>
      </w:r>
      <w:r>
        <w:rPr>
          <w:rFonts w:ascii="Microsoft New Tai Lue" w:hAnsi="Microsoft New Tai Lue" w:cs="Microsoft New Tai Lue"/>
          <w:b/>
          <w:color w:val="000000" w:themeColor="text1"/>
          <w:szCs w:val="21"/>
          <w14:textFill>
            <w14:solidFill>
              <w14:schemeClr w14:val="tx1"/>
            </w14:solidFill>
          </w14:textFill>
        </w:rPr>
        <w:t xml:space="preserve">。</w:t>
      </w:r>
      <w:r/>
    </w:p>
    <w:p>
      <w:pPr>
        <w:ind w:firstLine="420"/>
        <w:spacing w:before="156" w:after="40" w:line="360" w:lineRule="auto"/>
        <w:rPr>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23.5除</w:t>
      </w:r>
      <w:r>
        <w:rPr>
          <w:rFonts w:hint="eastAsia"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14:textFill>
            <w14:solidFill>
              <w14:schemeClr w14:val="tx1"/>
            </w14:solidFill>
          </w14:textFill>
        </w:rPr>
        <w:t xml:space="preserve">方有效</w:t>
      </w:r>
      <w:r>
        <w:rPr>
          <w:rFonts w:ascii="Microsoft New Tai Lue" w:hAnsi="Microsoft New Tai Lue" w:cs="Microsoft New Tai Lue"/>
          <w:bCs/>
          <w:color w:val="000000" w:themeColor="text1"/>
          <w:szCs w:val="21"/>
          <w14:textFill>
            <w14:solidFill>
              <w14:schemeClr w14:val="tx1"/>
            </w14:solidFill>
          </w14:textFill>
        </w:rPr>
        <w:t xml:space="preserve">。</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四．投标文件的递交</w:t>
      </w:r>
      <w:bookmarkEnd w:id="147"/>
      <w:r/>
      <w:r/>
    </w:p>
    <w:p>
      <w:pPr>
        <w:pStyle w:val="857"/>
        <w:ind w:left="0" w:right="210" w:firstLine="373"/>
        <w:spacing w:line="360" w:lineRule="auto"/>
        <w:rPr>
          <w:rFonts w:ascii="Microsoft New Tai Lue" w:hAnsi="Microsoft New Tai Lue" w:cs="Microsoft New Tai Lue"/>
          <w:color w:val="000000" w:themeColor="text1"/>
          <w:szCs w:val="21"/>
          <w14:textFill>
            <w14:solidFill>
              <w14:schemeClr w14:val="tx1"/>
            </w14:solidFill>
          </w14:textFill>
        </w:rPr>
      </w:pPr>
      <w:r/>
      <w:bookmarkStart w:id="148" w:name="_Toc107246241"/>
      <w:r/>
      <w:bookmarkStart w:id="149" w:name="_Toc100905226"/>
      <w:r/>
      <w:bookmarkStart w:id="150" w:name="_Toc103848548"/>
      <w:r/>
      <w:bookmarkStart w:id="151" w:name="_Toc96347881"/>
      <w:r/>
      <w:bookmarkStart w:id="152" w:name="_Toc104560863"/>
      <w:r>
        <w:rPr>
          <w:rFonts w:hint="eastAsia" w:ascii="宋体" w:hAnsi="宋体" w:cs="宋体"/>
          <w:color w:val="000000" w:themeColor="text1"/>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14:textFill>
            <w14:solidFill>
              <w14:schemeClr w14:val="tx1"/>
            </w14:solidFill>
          </w14:textFill>
        </w:rPr>
        <w:t xml:space="preserve">投标文件的递交</w:t>
      </w:r>
      <w:bookmarkStart w:id="153" w:name="_Toc38931800"/>
      <w:r/>
      <w:bookmarkStart w:id="154" w:name="_Toc89586904"/>
      <w:r/>
      <w:bookmarkStart w:id="155" w:name="_Toc469850063"/>
      <w:r/>
      <w:bookmarkStart w:id="156" w:name="_Toc40202948"/>
      <w:r/>
      <w:bookmarkStart w:id="157" w:name="_Toc51928343"/>
      <w:r/>
      <w:bookmarkStart w:id="158" w:name="_Toc97561941"/>
      <w:r/>
      <w:bookmarkStart w:id="159" w:name="_Toc96347882"/>
      <w:r/>
      <w:bookmarkStart w:id="160" w:name="_Toc46939510"/>
      <w:r/>
      <w:bookmarkStart w:id="161" w:name="_Toc100905227"/>
      <w:r/>
      <w:bookmarkStart w:id="162" w:name="_Toc11952"/>
      <w:r/>
      <w:bookmarkStart w:id="163" w:name="_Toc5042"/>
      <w:r/>
      <w:bookmarkStart w:id="164" w:name="_Toc4536"/>
      <w:r/>
      <w:bookmarkStart w:id="165" w:name="_Toc19963"/>
      <w:r/>
      <w:bookmarkStart w:id="166" w:name="_Toc38933357"/>
      <w:r/>
      <w:bookmarkStart w:id="167" w:name="_Toc38931614"/>
      <w:r/>
      <w:bookmarkStart w:id="168" w:name="_Toc103848549"/>
      <w:r/>
      <w:bookmarkStart w:id="169" w:name="_Toc11464"/>
      <w:r/>
      <w:bookmarkStart w:id="170" w:name="_Toc46960670"/>
      <w:r/>
      <w:bookmarkStart w:id="171" w:name="_Toc91399404"/>
      <w:r/>
      <w:bookmarkStart w:id="172" w:name="_Toc48151397"/>
      <w:r/>
      <w:bookmarkStart w:id="173" w:name="_Toc46219699"/>
      <w:r/>
      <w:bookmarkStart w:id="174" w:name="_Toc50528805"/>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14:textFill>
            <w14:solidFill>
              <w14:schemeClr w14:val="tx1"/>
            </w14:solidFill>
          </w14:textFill>
        </w:rPr>
        <w:t xml:space="preserve">投标</w:t>
      </w:r>
      <w:r>
        <w:rPr>
          <w:rFonts w:ascii="Microsoft New Tai Lue" w:hAnsi="Microsoft New Tai Lue" w:cs="Microsoft New Tai Lue"/>
          <w:bCs/>
          <w:color w:val="000000" w:themeColor="text1"/>
          <w:szCs w:val="21"/>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14:textFill>
            <w14:solidFill>
              <w14:schemeClr w14:val="tx1"/>
            </w14:solidFill>
          </w14:textFill>
        </w:rPr>
        <w:t xml:space="preserve">投标</w:t>
      </w:r>
      <w:r>
        <w:rPr>
          <w:rFonts w:ascii="Microsoft New Tai Lue" w:hAnsi="Microsoft New Tai Lue" w:cs="Microsoft New Tai Lue"/>
          <w:bCs/>
          <w:color w:val="000000" w:themeColor="text1"/>
          <w:szCs w:val="21"/>
          <w:lang w:val="zh-CN"/>
          <w14:textFill>
            <w14:solidFill>
              <w14:schemeClr w14:val="tx1"/>
            </w14:solidFill>
          </w14:textFill>
        </w:rPr>
        <w:t xml:space="preserve">文件。</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75" w:name="_Toc107246242"/>
      <w:r/>
      <w:bookmarkStart w:id="176" w:name="_Toc104560864"/>
      <w:r>
        <w:rPr>
          <w:rFonts w:hint="eastAsia" w:ascii="宋体" w:hAnsi="宋体" w:cs="宋体"/>
          <w:color w:val="000000" w:themeColor="text1"/>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14:textFill>
            <w14:solidFill>
              <w14:schemeClr w14:val="tx1"/>
            </w14:solidFill>
          </w14:textFill>
        </w:rPr>
        <w:t xml:space="preserve">25.1</w:t>
      </w:r>
      <w:r>
        <w:rPr>
          <w:rFonts w:ascii="Microsoft New Tai Lue" w:hAnsi="Microsoft New Tai Lue" w:cs="Microsoft New Tai Lue"/>
          <w:bCs/>
          <w:color w:val="000000" w:themeColor="text1"/>
          <w:szCs w:val="21"/>
          <w14:textFill>
            <w14:solidFill>
              <w14:schemeClr w14:val="tx1"/>
            </w14:solidFill>
          </w14:textFill>
        </w:rPr>
        <w:t xml:space="preserve">投标人</w:t>
      </w:r>
      <w:r>
        <w:rPr>
          <w:rFonts w:ascii="Microsoft New Tai Lue" w:hAnsi="Microsoft New Tai Lue" w:cs="Microsoft New Tai Lue"/>
          <w:bCs/>
          <w:color w:val="000000" w:themeColor="text1"/>
          <w:szCs w:val="21"/>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14:textFill>
            <w14:solidFill>
              <w14:schemeClr w14:val="tx1"/>
            </w14:solidFill>
          </w14:textFill>
        </w:rPr>
        <w:t xml:space="preserve">投标</w:t>
      </w:r>
      <w:r>
        <w:rPr>
          <w:rFonts w:ascii="Microsoft New Tai Lue" w:hAnsi="Microsoft New Tai Lue" w:cs="Microsoft New Tai Lue"/>
          <w:bCs/>
          <w:color w:val="000000" w:themeColor="text1"/>
          <w:szCs w:val="21"/>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14:textFill>
            <w14:solidFill>
              <w14:schemeClr w14:val="tx1"/>
            </w14:solidFill>
          </w14:textFill>
        </w:rPr>
        <w:t xml:space="preserve">25.2</w:t>
      </w:r>
      <w:r>
        <w:rPr>
          <w:rFonts w:ascii="Microsoft New Tai Lue" w:hAnsi="Microsoft New Tai Lue" w:cs="Microsoft New Tai Lue"/>
          <w:bCs/>
          <w:color w:val="000000" w:themeColor="text1"/>
          <w:szCs w:val="21"/>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78" w:name="_Toc107246243"/>
      <w:r/>
      <w:bookmarkStart w:id="179" w:name="_Toc103848550"/>
      <w:r/>
      <w:bookmarkStart w:id="180" w:name="_Toc104560865"/>
      <w:r/>
      <w:bookmarkStart w:id="181" w:name="_Toc100905228"/>
      <w:r>
        <w:rPr>
          <w:rFonts w:hint="eastAsia" w:ascii="宋体" w:hAnsi="宋体" w:cs="宋体"/>
          <w:color w:val="000000" w:themeColor="text1"/>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hint="eastAsia" w:ascii="Microsoft New Tai Lue" w:hAnsi="Microsoft New Tai Lue" w:cs="Microsoft New Tai Lue"/>
          <w:bCs/>
          <w:color w:val="000000" w:themeColor="text1"/>
          <w:szCs w:val="21"/>
          <w:lang w:val="zh-CN"/>
          <w14:textFill>
            <w14:solidFill>
              <w14:schemeClr w14:val="tx1"/>
            </w14:solidFill>
          </w14:textFill>
        </w:rPr>
        <w:t xml:space="preserve">26.4 在投标截止时间至采购文件中规定的投标有效期满之间的这段时间内，投标人不得撤回其投标。</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83" w:name="_Toc107246244"/>
      <w:r/>
      <w:bookmarkStart w:id="184" w:name="_Toc103848551"/>
      <w:r/>
      <w:bookmarkStart w:id="185" w:name="_Toc104560866"/>
      <w:r>
        <w:rPr>
          <w:rFonts w:hint="eastAsia" w:ascii="宋体" w:hAnsi="宋体" w:cs="宋体"/>
          <w:color w:val="000000" w:themeColor="text1"/>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27.2在评标过程中发现投标人有上述情形的，评标委员会应当认定其投标无效，并书面报告本级财政部门。</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86" w:name="_Toc107246245"/>
      <w:r>
        <w:rPr>
          <w:rFonts w:hint="eastAsia" w:ascii="宋体" w:hAnsi="宋体" w:cs="宋体"/>
          <w:color w:val="000000" w:themeColor="text1"/>
          <w14:textFill>
            <w14:solidFill>
              <w14:schemeClr w14:val="tx1"/>
            </w14:solidFill>
          </w14:textFill>
        </w:rPr>
        <w:t xml:space="preserve">五．开标和评标</w:t>
      </w:r>
      <w:bookmarkEnd w:id="186"/>
      <w:r/>
      <w:bookmarkStart w:id="187" w:name="_Toc96347885"/>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88" w:name="_Toc107246246"/>
      <w:r/>
      <w:bookmarkStart w:id="189" w:name="_Toc103848553"/>
      <w:r/>
      <w:bookmarkStart w:id="190" w:name="_Toc104560868"/>
      <w:r/>
      <w:bookmarkStart w:id="191" w:name="_Toc100905230"/>
      <w:r>
        <w:rPr>
          <w:rFonts w:hint="eastAsia" w:ascii="宋体" w:hAnsi="宋体" w:cs="宋体"/>
          <w:color w:val="000000" w:themeColor="text1"/>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28.6投标人未参加开标的，视同认可开标结果。</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29.2</w:t>
      </w:r>
      <w:r>
        <w:rPr>
          <w:rFonts w:hint="eastAsia" w:ascii="宋体" w:hAnsi="宋体" w:cs="宋体"/>
          <w:b/>
          <w:color w:val="000000" w:themeColor="text1"/>
          <w:szCs w:val="21"/>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96" w:name="_Toc107246248"/>
      <w:r>
        <w:rPr>
          <w:rFonts w:hint="eastAsia" w:ascii="宋体" w:hAnsi="宋体" w:cs="宋体"/>
          <w:color w:val="000000" w:themeColor="text1"/>
          <w14:textFill>
            <w14:solidFill>
              <w14:schemeClr w14:val="tx1"/>
            </w14:solidFill>
          </w14:textFill>
        </w:rPr>
        <w:t xml:space="preserve">30.评标</w:t>
      </w:r>
      <w:bookmarkEnd w:id="194"/>
      <w:r/>
      <w:bookmarkEnd w:id="195"/>
      <w:r/>
      <w:bookmarkEnd w:id="196"/>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197" w:name="_Toc104560870"/>
      <w:r/>
      <w:bookmarkStart w:id="198" w:name="_Toc103848555"/>
      <w:r/>
      <w:bookmarkStart w:id="199" w:name="_Toc107246249"/>
      <w:r>
        <w:rPr>
          <w:rFonts w:hint="eastAsia" w:ascii="宋体" w:hAnsi="宋体" w:cs="宋体"/>
          <w:color w:val="000000" w:themeColor="text1"/>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30.1.1评标委员会成员组成见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bCs/>
          <w:color w:val="000000" w:themeColor="text1"/>
          <w:szCs w:val="21"/>
          <w14:textFill>
            <w14:solidFill>
              <w14:schemeClr w14:val="tx1"/>
            </w14:solidFill>
          </w14:textFill>
        </w:rPr>
        <w:t xml:space="preserve">，负责具体评标事务，并独立履行职责。</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00" w:name="_Toc104560871"/>
      <w:r/>
      <w:bookmarkStart w:id="201" w:name="_Toc103848556"/>
      <w:r/>
      <w:bookmarkStart w:id="202" w:name="_Toc107246250"/>
      <w:r>
        <w:rPr>
          <w:rFonts w:hint="eastAsia" w:ascii="宋体" w:hAnsi="宋体" w:cs="宋体"/>
          <w:color w:val="000000" w:themeColor="text1"/>
          <w14:textFill>
            <w14:solidFill>
              <w14:schemeClr w14:val="tx1"/>
            </w14:solidFill>
          </w14:textFill>
        </w:rPr>
        <w:t xml:space="preserve">30.2</w:t>
      </w:r>
      <w:bookmarkEnd w:id="200"/>
      <w:r/>
      <w:bookmarkEnd w:id="201"/>
      <w:r>
        <w:rPr>
          <w:rFonts w:hint="eastAsia" w:ascii="宋体" w:hAnsi="宋体" w:cs="宋体"/>
          <w:color w:val="000000" w:themeColor="text1"/>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bookmarkStart w:id="203" w:name="_Toc103848557"/>
      <w:r/>
      <w:bookmarkStart w:id="204" w:name="_Toc107246251"/>
      <w:r/>
      <w:bookmarkStart w:id="205" w:name="_Toc104560872"/>
      <w:r>
        <w:rPr>
          <w:rFonts w:hint="eastAsia" w:ascii="宋体" w:hAnsi="宋体" w:cs="宋体"/>
          <w:b/>
          <w:bCs w:val="0"/>
          <w:color w:val="000000" w:themeColor="text1"/>
          <w:szCs w:val="21"/>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
          <w:bCs w:val="0"/>
          <w:color w:val="000000" w:themeColor="text1"/>
          <w:szCs w:val="21"/>
          <w14:textFill>
            <w14:solidFill>
              <w14:schemeClr w14:val="tx1"/>
            </w14:solidFill>
          </w14:textFill>
        </w:rPr>
      </w:pPr>
      <w:r>
        <w:rPr>
          <w:rFonts w:hint="eastAsia" w:ascii="宋体" w:hAnsi="宋体" w:cs="宋体"/>
          <w:b/>
          <w:bCs w:val="0"/>
          <w:color w:val="000000" w:themeColor="text1"/>
          <w:szCs w:val="21"/>
          <w14:textFill>
            <w14:solidFill>
              <w14:schemeClr w14:val="tx1"/>
            </w14:solidFill>
          </w14:textFill>
        </w:rPr>
        <w:t xml:space="preserve">（9）现行法律、法规、规章和招标文件规定的其他无效情形。</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30.3.4有效的书面澄清材料，是投标文件的补充材料，成为投标文件的组成部分。</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06" w:name="_Toc107246252"/>
      <w:r>
        <w:rPr>
          <w:rFonts w:hint="eastAsia" w:ascii="宋体" w:hAnsi="宋体" w:cs="宋体"/>
          <w:color w:val="000000" w:themeColor="text1"/>
          <w14:textFill>
            <w14:solidFill>
              <w14:schemeClr w14:val="tx1"/>
            </w14:solidFill>
          </w14:textFill>
        </w:rPr>
        <w:t xml:space="preserve">30.4</w:t>
      </w:r>
      <w:bookmarkEnd w:id="206"/>
      <w:r>
        <w:rPr>
          <w:rFonts w:hint="eastAsia" w:ascii="宋体" w:hAnsi="宋体" w:cs="宋体"/>
          <w:color w:val="000000" w:themeColor="text1"/>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同时出现两种以上不一致的，按照前款规定的顺序修正。</w:t>
      </w:r>
      <w:r>
        <w:rPr>
          <w:rFonts w:hint="eastAsia" w:ascii="仿宋" w:hAnsi="仿宋" w:eastAsia="仿宋" w:cs="仿宋"/>
          <w:b/>
          <w:bCs/>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修正后的报价按照上述规定经投标人确认后产生约束力，投标人不确认的，其投标无效。</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07" w:name="_Toc107246253"/>
      <w:r/>
      <w:bookmarkStart w:id="208" w:name="_Toc104560873"/>
      <w:r/>
      <w:bookmarkStart w:id="209" w:name="_Toc103848558"/>
      <w:r>
        <w:rPr>
          <w:rFonts w:hint="eastAsia" w:ascii="宋体" w:hAnsi="宋体" w:cs="宋体"/>
          <w:color w:val="000000" w:themeColor="text1"/>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。多家投标人提供的核心产品品牌相同的，按前两款规定处理。</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10" w:name="_Toc104560874"/>
      <w:r/>
      <w:bookmarkStart w:id="211" w:name="_Toc107246254"/>
      <w:r/>
      <w:bookmarkStart w:id="212" w:name="_Toc103848559"/>
      <w:r>
        <w:rPr>
          <w:rFonts w:hint="eastAsia" w:ascii="宋体" w:hAnsi="宋体" w:cs="宋体"/>
          <w:color w:val="000000" w:themeColor="text1"/>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30.6.1评标委员会应当按照招标文件中第五章《评标方法和评标标准》，对符合性审查合格的投标文件进行比较与评价。</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13" w:name="_Toc107246255"/>
      <w:r>
        <w:rPr>
          <w:rFonts w:hint="eastAsia" w:ascii="宋体" w:hAnsi="宋体" w:cs="宋体"/>
          <w:color w:val="000000" w:themeColor="text1"/>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30.7.1评标委员会根据全体评标成员签字的原始评标记录和评标结果编写评标报告。</w:t>
      </w:r>
      <w:r/>
    </w:p>
    <w:p>
      <w:pPr>
        <w:pStyle w:val="857"/>
        <w:ind w:left="0" w:right="210" w:firstLine="373"/>
        <w:spacing w:line="360" w:lineRule="auto"/>
        <w:tabs>
          <w:tab w:val="left" w:pos="5882" w:leader="none"/>
        </w:tabs>
        <w:rPr>
          <w:rFonts w:hint="eastAsia" w:ascii="宋体" w:hAnsi="宋体" w:cs="宋体"/>
          <w:color w:val="000000" w:themeColor="text1"/>
          <w14:textFill>
            <w14:solidFill>
              <w14:schemeClr w14:val="tx1"/>
            </w14:solidFill>
          </w14:textFill>
        </w:rPr>
      </w:pPr>
      <w:r/>
      <w:bookmarkStart w:id="214" w:name="_Toc103848561"/>
      <w:r/>
      <w:bookmarkStart w:id="215" w:name="_Toc104560876"/>
      <w:r/>
      <w:bookmarkStart w:id="216" w:name="_Toc107246256"/>
      <w:r>
        <w:rPr>
          <w:rFonts w:hint="eastAsia" w:ascii="宋体" w:hAnsi="宋体" w:cs="宋体"/>
          <w:color w:val="000000" w:themeColor="text1"/>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14:textFill>
            <w14:solidFill>
              <w14:schemeClr w14:val="tx1"/>
            </w14:solidFill>
          </w14:textFill>
        </w:rPr>
        <w:tab/>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30.8.3有关人员对评标情况以及在评标过程中获悉的国家秘密、商业秘密负有保密责任。</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17" w:name="_Toc107246257"/>
      <w:r>
        <w:rPr>
          <w:rFonts w:hint="eastAsia" w:ascii="宋体" w:hAnsi="宋体" w:cs="宋体"/>
          <w:color w:val="000000" w:themeColor="text1"/>
          <w14:textFill>
            <w14:solidFill>
              <w14:schemeClr w14:val="tx1"/>
            </w14:solidFill>
          </w14:textFill>
        </w:rPr>
        <w:t xml:space="preserve">六．确定中标</w:t>
      </w:r>
      <w:bookmarkEnd w:id="217"/>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18" w:name="_Toc104560878"/>
      <w:r/>
      <w:bookmarkStart w:id="219" w:name="_Toc103848563"/>
      <w:r/>
      <w:bookmarkStart w:id="220" w:name="_Toc107246258"/>
      <w:r>
        <w:rPr>
          <w:rFonts w:hint="eastAsia" w:ascii="宋体" w:hAnsi="宋体" w:cs="宋体"/>
          <w:color w:val="000000" w:themeColor="text1"/>
          <w14:textFill>
            <w14:solidFill>
              <w14:schemeClr w14:val="tx1"/>
            </w14:solidFill>
          </w14:textFill>
        </w:rPr>
        <w:t xml:space="preserve">31.确定中标</w:t>
      </w:r>
      <w:bookmarkEnd w:id="218"/>
      <w:r/>
      <w:bookmarkEnd w:id="219"/>
      <w:r>
        <w:rPr>
          <w:rFonts w:hint="eastAsia" w:ascii="宋体" w:hAnsi="宋体" w:cs="宋体"/>
          <w:color w:val="000000" w:themeColor="text1"/>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14:textFill>
            <w14:solidFill>
              <w14:schemeClr w14:val="tx1"/>
            </w14:solidFill>
          </w14:textFill>
        </w:rPr>
      </w:pPr>
      <w:r/>
      <w:bookmarkStart w:id="221" w:name="_Toc104560879"/>
      <w:r/>
      <w:bookmarkStart w:id="222" w:name="_Toc107246259"/>
      <w:r/>
      <w:bookmarkStart w:id="223" w:name="_Toc103848564"/>
      <w:r>
        <w:rPr>
          <w:rFonts w:hint="eastAsia" w:ascii="Microsoft New Tai Lue" w:hAnsi="Microsoft New Tai Lue" w:cs="Microsoft New Tai Lue"/>
          <w:color w:val="000000" w:themeColor="text1"/>
          <w:szCs w:val="21"/>
          <w14:textFill>
            <w14:solidFill>
              <w14:schemeClr w14:val="tx1"/>
            </w14:solidFill>
          </w14:textFill>
        </w:rPr>
        <w:t xml:space="preserve">3</w:t>
      </w:r>
      <w:r>
        <w:rPr>
          <w:rFonts w:ascii="Microsoft New Tai Lue" w:hAnsi="Microsoft New Tai Lue" w:cs="Microsoft New Tai Lue"/>
          <w:color w:val="000000" w:themeColor="text1"/>
          <w:szCs w:val="21"/>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14:textFill>
            <w14:solidFill>
              <w14:schemeClr w14:val="tx1"/>
            </w14:solidFill>
          </w14:textFill>
        </w:rPr>
        <w:t xml:space="preserve">人</w:t>
      </w:r>
      <w:r>
        <w:rPr>
          <w:rFonts w:ascii="Microsoft New Tai Lue" w:hAnsi="Microsoft New Tai Lue" w:cs="Microsoft New Tai Lue"/>
          <w:color w:val="000000" w:themeColor="text1"/>
          <w:szCs w:val="21"/>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14:textFill>
            <w14:solidFill>
              <w14:schemeClr w14:val="tx1"/>
            </w14:solidFill>
          </w14:textFill>
        </w:rPr>
        <w:t xml:space="preserve">，</w:t>
      </w:r>
      <w:r>
        <w:rPr>
          <w:rFonts w:ascii="Microsoft New Tai Lue" w:hAnsi="Microsoft New Tai Lue" w:cs="Microsoft New Tai Lue"/>
          <w:color w:val="000000" w:themeColor="text1"/>
          <w:szCs w:val="21"/>
          <w14:textFill>
            <w14:solidFill>
              <w14:schemeClr w14:val="tx1"/>
            </w14:solidFill>
          </w14:textFill>
        </w:rPr>
        <w:t xml:space="preserve">公告媒体</w:t>
      </w:r>
      <w:r>
        <w:rPr>
          <w:rFonts w:hint="eastAsia" w:ascii="Microsoft New Tai Lue" w:hAnsi="Microsoft New Tai Lue" w:cs="Microsoft New Tai Lue"/>
          <w:color w:val="000000" w:themeColor="text1"/>
          <w:szCs w:val="21"/>
          <w14:textFill>
            <w14:solidFill>
              <w14:schemeClr w14:val="tx1"/>
            </w14:solidFill>
          </w14:textFill>
        </w:rPr>
        <w:t xml:space="preserve">见</w:t>
      </w:r>
      <w:r>
        <w:rPr>
          <w:rFonts w:hint="eastAsia" w:ascii="Microsoft New Tai Lue" w:hAnsi="Microsoft New Tai Lue" w:cs="Microsoft New Tai Lue"/>
          <w:b/>
          <w:color w:val="000000" w:themeColor="text1"/>
          <w:szCs w:val="21"/>
          <w14:textFill>
            <w14:solidFill>
              <w14:schemeClr w14:val="tx1"/>
            </w14:solidFill>
          </w14:textFill>
        </w:rPr>
        <w:t xml:space="preserve">投标人</w:t>
      </w:r>
      <w:r>
        <w:rPr>
          <w:rFonts w:ascii="Microsoft New Tai Lue" w:hAnsi="Microsoft New Tai Lue" w:cs="Microsoft New Tai Lue"/>
          <w:b/>
          <w:color w:val="000000" w:themeColor="text1"/>
          <w:szCs w:val="21"/>
          <w14:textFill>
            <w14:solidFill>
              <w14:schemeClr w14:val="tx1"/>
            </w14:solidFill>
          </w14:textFill>
        </w:rPr>
        <w:t xml:space="preserve">须知</w:t>
      </w:r>
      <w:r>
        <w:rPr>
          <w:rFonts w:hint="eastAsia" w:ascii="Microsoft New Tai Lue" w:hAnsi="Microsoft New Tai Lue" w:cs="Microsoft New Tai Lue"/>
          <w:b/>
          <w:color w:val="000000" w:themeColor="text1"/>
          <w:szCs w:val="21"/>
          <w14:textFill>
            <w14:solidFill>
              <w14:schemeClr w14:val="tx1"/>
            </w14:solidFill>
          </w14:textFill>
        </w:rPr>
        <w:t xml:space="preserve">前附表。</w:t>
      </w:r>
      <w:r>
        <w:rPr>
          <w:rFonts w:hint="eastAsia" w:ascii="Microsoft New Tai Lue" w:hAnsi="Microsoft New Tai Lue" w:cs="Microsoft New Tai Lue"/>
          <w:color w:val="000000" w:themeColor="text1"/>
          <w:szCs w:val="21"/>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14:textFill>
            <w14:solidFill>
              <w14:schemeClr w14:val="tx1"/>
            </w14:solidFill>
          </w14:textFill>
        </w:rPr>
        <w:t xml:space="preserve">可</w:t>
      </w:r>
      <w:r>
        <w:rPr>
          <w:rFonts w:hint="eastAsia" w:ascii="Microsoft New Tai Lue" w:hAnsi="Microsoft New Tai Lue" w:cs="Microsoft New Tai Lue"/>
          <w:color w:val="000000" w:themeColor="text1"/>
          <w:szCs w:val="21"/>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14:textFill>
            <w14:solidFill>
              <w14:schemeClr w14:val="tx1"/>
            </w14:solidFill>
          </w14:textFill>
        </w:rPr>
      </w:pPr>
      <w:r>
        <w:rPr>
          <w:rFonts w:hint="eastAsia" w:ascii="Microsoft New Tai Lue" w:hAnsi="Microsoft New Tai Lue" w:cs="Microsoft New Tai Lue"/>
          <w:color w:val="000000" w:themeColor="text1"/>
          <w:szCs w:val="21"/>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32.3</w:t>
      </w:r>
      <w:bookmarkStart w:id="224" w:name="_Toc103848560"/>
      <w:r/>
      <w:bookmarkStart w:id="225" w:name="_Toc104560875"/>
      <w:r>
        <w:rPr>
          <w:rFonts w:hint="eastAsia" w:ascii="宋体" w:hAnsi="宋体" w:cs="宋体"/>
          <w:color w:val="000000" w:themeColor="text1"/>
          <w:szCs w:val="21"/>
          <w14:textFill>
            <w14:solidFill>
              <w14:schemeClr w14:val="tx1"/>
            </w14:solidFill>
          </w14:textFill>
        </w:rPr>
        <w:t xml:space="preserve">中标通知书发出后，中标人无正当理由不得放弃中标，否则将依法承担法律责任。</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26" w:name="_Toc107246260"/>
      <w:r>
        <w:rPr>
          <w:rFonts w:hint="eastAsia" w:ascii="宋体" w:hAnsi="宋体" w:cs="宋体"/>
          <w:color w:val="000000" w:themeColor="text1"/>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33.2废标后，采购人将废标理由通知所有投标人。</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27" w:name="_Toc103848565"/>
      <w:r/>
      <w:bookmarkStart w:id="228" w:name="_Toc107246261"/>
      <w:r/>
      <w:bookmarkStart w:id="229" w:name="_Toc104560880"/>
      <w:r/>
      <w:bookmarkStart w:id="230" w:name="_Toc16938553"/>
      <w:r/>
      <w:bookmarkStart w:id="231" w:name="_Toc20823309"/>
      <w:r/>
      <w:bookmarkStart w:id="232" w:name="_Toc513029237"/>
      <w:r>
        <w:rPr>
          <w:rFonts w:hint="eastAsia" w:ascii="宋体" w:hAnsi="宋体" w:cs="宋体"/>
          <w:color w:val="000000" w:themeColor="text1"/>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5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33" w:name="_Toc107246262"/>
      <w:r/>
      <w:bookmarkStart w:id="234" w:name="_Toc104560881"/>
      <w:r/>
      <w:bookmarkStart w:id="235" w:name="_Toc103848567"/>
      <w:r>
        <w:rPr>
          <w:rFonts w:hint="eastAsia" w:ascii="宋体" w:hAnsi="宋体" w:cs="宋体"/>
          <w:color w:val="000000" w:themeColor="text1"/>
          <w:szCs w:val="21"/>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35.1本项目是否缴纳履约保证金见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35.2</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35.3中标人没有按照</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36" w:name="_Toc107246263"/>
      <w:r>
        <w:rPr>
          <w:rFonts w:hint="eastAsia" w:ascii="宋体" w:hAnsi="宋体" w:cs="宋体"/>
          <w:color w:val="000000" w:themeColor="text1"/>
          <w14:textFill>
            <w14:solidFill>
              <w14:schemeClr w14:val="tx1"/>
            </w14:solidFill>
          </w14:textFill>
        </w:rPr>
        <w:t xml:space="preserve">七．</w:t>
      </w:r>
      <w:bookmarkStart w:id="237" w:name="_Toc103848569"/>
      <w:r>
        <w:rPr>
          <w:rFonts w:hint="eastAsia" w:ascii="宋体" w:hAnsi="宋体" w:cs="宋体"/>
          <w:color w:val="000000" w:themeColor="text1"/>
          <w14:textFill>
            <w14:solidFill>
              <w14:schemeClr w14:val="tx1"/>
            </w14:solidFill>
          </w14:textFill>
        </w:rPr>
        <w:t xml:space="preserve">询问与质疑</w:t>
      </w:r>
      <w:bookmarkEnd w:id="236"/>
      <w:r/>
      <w:bookmarkEnd w:id="237"/>
      <w:r/>
      <w:r/>
    </w:p>
    <w:p>
      <w:pPr>
        <w:pStyle w:val="85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38" w:name="_Toc107246264"/>
      <w:r/>
      <w:bookmarkStart w:id="239" w:name="_Toc104560883"/>
      <w:r/>
      <w:bookmarkStart w:id="240" w:name="_Toc102117305"/>
      <w:r>
        <w:rPr>
          <w:rFonts w:hint="eastAsia" w:ascii="宋体" w:hAnsi="宋体" w:cs="宋体"/>
          <w:color w:val="000000" w:themeColor="text1"/>
          <w:szCs w:val="21"/>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36.2采购方对供应商依法提出的询问，在3个工作日内作出答复，但答复的内容不得涉及商业秘密。</w:t>
      </w:r>
      <w:r/>
    </w:p>
    <w:p>
      <w:pPr>
        <w:pStyle w:val="85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41" w:name="_Toc104560884"/>
      <w:r/>
      <w:bookmarkStart w:id="242" w:name="_Toc102117306"/>
      <w:r/>
      <w:bookmarkStart w:id="243" w:name="_Toc107246265"/>
      <w:r>
        <w:rPr>
          <w:rFonts w:hint="eastAsia" w:ascii="宋体" w:hAnsi="宋体" w:cs="宋体"/>
          <w:color w:val="000000" w:themeColor="text1"/>
          <w:szCs w:val="21"/>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37.3质疑函应使用财政部制定的范本文件。</w:t>
      </w:r>
      <w:r/>
    </w:p>
    <w:p>
      <w:pPr>
        <w:ind w:firstLine="420"/>
        <w:jc w:val="left"/>
        <w:spacing w:line="360" w:lineRule="auto"/>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37.4采购代理机构接收质疑的联系方式详见前附表。</w:t>
      </w:r>
      <w:r/>
    </w:p>
    <w:p>
      <w:pPr>
        <w:pStyle w:val="857"/>
        <w:ind w:left="0" w:right="210" w:firstLine="373"/>
        <w:spacing w:line="360" w:lineRule="auto"/>
        <w:rPr>
          <w:rFonts w:hint="eastAsia" w:ascii="宋体" w:hAnsi="宋体" w:cs="宋体"/>
          <w:color w:val="000000" w:themeColor="text1"/>
          <w14:textFill>
            <w14:solidFill>
              <w14:schemeClr w14:val="tx1"/>
            </w14:solidFill>
          </w14:textFill>
        </w:rPr>
      </w:pPr>
      <w:r/>
      <w:bookmarkStart w:id="244" w:name="_Toc107246266"/>
      <w:r>
        <w:rPr>
          <w:rFonts w:hint="eastAsia" w:ascii="宋体" w:hAnsi="宋体" w:cs="宋体"/>
          <w:color w:val="000000" w:themeColor="text1"/>
          <w14:textFill>
            <w14:solidFill>
              <w14:schemeClr w14:val="tx1"/>
            </w14:solidFill>
          </w14:textFill>
        </w:rPr>
        <w:t xml:space="preserve">八．其他</w:t>
      </w:r>
      <w:bookmarkEnd w:id="244"/>
      <w:r/>
      <w:r/>
    </w:p>
    <w:p>
      <w:pPr>
        <w:pStyle w:val="85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45" w:name="_Toc107246267"/>
      <w:r/>
      <w:bookmarkStart w:id="246" w:name="_Toc104560886"/>
      <w:r/>
      <w:bookmarkStart w:id="247" w:name="_Toc103848572"/>
      <w:r>
        <w:rPr>
          <w:rFonts w:hint="eastAsia" w:ascii="宋体" w:hAnsi="宋体" w:cs="宋体"/>
          <w:color w:val="000000" w:themeColor="text1"/>
          <w:szCs w:val="21"/>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38.1中标人是否交纳投招标代理服务费及相关要求见</w:t>
      </w:r>
      <w:r>
        <w:rPr>
          <w:rFonts w:hint="eastAsia" w:ascii="宋体" w:hAnsi="宋体" w:cs="宋体"/>
          <w:b/>
          <w:color w:val="000000" w:themeColor="text1"/>
          <w:szCs w:val="21"/>
          <w14:textFill>
            <w14:solidFill>
              <w14:schemeClr w14:val="tx1"/>
            </w14:solidFill>
          </w14:textFill>
        </w:rPr>
        <w:t xml:space="preserve">投标人须知前附表</w:t>
      </w:r>
      <w:r>
        <w:rPr>
          <w:rFonts w:hint="eastAsia" w:ascii="宋体" w:hAnsi="宋体" w:cs="宋体"/>
          <w:color w:val="000000" w:themeColor="text1"/>
          <w:szCs w:val="21"/>
          <w14:textFill>
            <w14:solidFill>
              <w14:schemeClr w14:val="tx1"/>
            </w14:solidFill>
          </w14:textFill>
        </w:rPr>
        <w:t xml:space="preserve">。</w:t>
      </w:r>
      <w:r/>
    </w:p>
    <w:p>
      <w:pPr>
        <w:pStyle w:val="85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48" w:name="_Toc107246268"/>
      <w:r/>
      <w:bookmarkStart w:id="249" w:name="_Toc104560887"/>
      <w:r/>
      <w:bookmarkStart w:id="250" w:name="_Toc103848573"/>
      <w:r>
        <w:rPr>
          <w:rFonts w:hint="eastAsia" w:ascii="宋体" w:hAnsi="宋体" w:cs="宋体"/>
          <w:color w:val="000000" w:themeColor="text1"/>
          <w:szCs w:val="21"/>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39.1投标文件的其他规定见</w:t>
      </w:r>
      <w:r>
        <w:rPr>
          <w:rFonts w:hint="eastAsia" w:ascii="宋体" w:hAnsi="宋体" w:cs="宋体"/>
          <w:b/>
          <w:color w:val="000000" w:themeColor="text1"/>
          <w:szCs w:val="21"/>
          <w14:textFill>
            <w14:solidFill>
              <w14:schemeClr w14:val="tx1"/>
            </w14:solidFill>
          </w14:textFill>
        </w:rPr>
        <w:t xml:space="preserve">投标人须知前附</w:t>
      </w:r>
      <w:r>
        <w:rPr>
          <w:rFonts w:hint="eastAsia" w:ascii="宋体" w:hAnsi="宋体" w:cs="宋体"/>
          <w:color w:val="000000" w:themeColor="text1"/>
          <w:szCs w:val="21"/>
          <w14:textFill>
            <w14:solidFill>
              <w14:schemeClr w14:val="tx1"/>
            </w14:solidFill>
          </w14:textFill>
        </w:rPr>
        <w:t xml:space="preserve">表。</w:t>
      </w:r>
      <w:r/>
    </w:p>
    <w:p>
      <w:pPr>
        <w:pStyle w:val="857"/>
        <w:ind w:left="0" w:right="210" w:firstLine="373"/>
        <w:spacing w:line="360" w:lineRule="auto"/>
        <w:rPr>
          <w:rFonts w:hint="eastAsia" w:ascii="宋体" w:hAnsi="宋体" w:cs="宋体"/>
          <w:color w:val="000000" w:themeColor="text1"/>
          <w:szCs w:val="21"/>
          <w14:textFill>
            <w14:solidFill>
              <w14:schemeClr w14:val="tx1"/>
            </w14:solidFill>
          </w14:textFill>
        </w:rPr>
      </w:pPr>
      <w:r/>
      <w:bookmarkStart w:id="251" w:name="_Toc104560888"/>
      <w:r/>
      <w:bookmarkStart w:id="252" w:name="_Toc107246269"/>
      <w:r/>
      <w:bookmarkStart w:id="253" w:name="_Toc103848574"/>
      <w:r>
        <w:rPr>
          <w:rFonts w:hint="eastAsia" w:ascii="宋体" w:hAnsi="宋体" w:cs="宋体"/>
          <w:color w:val="000000" w:themeColor="text1"/>
          <w:szCs w:val="21"/>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40.1本招标文件的解释权归采购人（或采购代理机构）所有。</w:t>
      </w:r>
      <w:bookmarkEnd w:id="182"/>
      <w:r/>
      <w:r/>
    </w:p>
    <w:p>
      <w:pPr>
        <w:pStyle w:val="897"/>
        <w:numPr>
          <w:ilvl w:val="0"/>
          <w:numId w:val="3"/>
        </w:numPr>
        <w:ind w:firstLine="567"/>
        <w:spacing w:line="360" w:lineRule="auto"/>
        <w:rPr>
          <w:rFonts w:hint="eastAsia" w:ascii="宋体" w:hAnsi="宋体" w:cs="宋体"/>
          <w:color w:val="000000" w:themeColor="text1"/>
          <w14:textFill>
            <w14:solidFill>
              <w14:schemeClr w14:val="tx1"/>
            </w14:solidFill>
          </w14:textFill>
        </w:rPr>
      </w:pPr>
      <w:r/>
      <w:bookmarkStart w:id="254" w:name="_Toc91836563"/>
      <w:r>
        <w:rPr>
          <w:rFonts w:hint="eastAsia" w:ascii="宋体" w:hAnsi="宋体" w:cs="宋体"/>
          <w:color w:val="000000" w:themeColor="text1"/>
          <w14:textFill>
            <w14:solidFill>
              <w14:schemeClr w14:val="tx1"/>
            </w14:solidFill>
          </w14:textFill>
        </w:rPr>
        <w:br w:type="page" w:clear="all"/>
      </w:r>
      <w:bookmarkStart w:id="255" w:name="_Toc107246270"/>
      <w:r>
        <w:rPr>
          <w:rFonts w:hint="eastAsia" w:ascii="宋体" w:hAnsi="宋体" w:cs="宋体"/>
          <w:color w:val="000000" w:themeColor="text1"/>
          <w14:textFill>
            <w14:solidFill>
              <w14:schemeClr w14:val="tx1"/>
            </w14:solidFill>
          </w14:textFill>
        </w:rPr>
        <w:t xml:space="preserve">政府采购合同条款</w:t>
      </w:r>
      <w:bookmarkEnd w:id="254"/>
      <w:r>
        <w:rPr>
          <w:rFonts w:hint="eastAsia" w:ascii="宋体" w:hAnsi="宋体" w:cs="宋体"/>
          <w:color w:val="000000" w:themeColor="text1"/>
          <w14:textFill>
            <w14:solidFill>
              <w14:schemeClr w14:val="tx1"/>
            </w14:solidFill>
          </w14:textFill>
        </w:rPr>
        <w:t xml:space="preserve">及格式</w:t>
      </w:r>
      <w:bookmarkEnd w:id="255"/>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采购人：南京鼓楼医院</w:t>
      </w:r>
      <w:r/>
    </w:p>
    <w:p>
      <w:pPr>
        <w:ind w:firstLine="1260"/>
        <w:spacing w:line="360" w:lineRule="auto"/>
        <w:tabs>
          <w:tab w:val="left" w:pos="0" w:leader="none"/>
        </w:tabs>
        <w:rPr>
          <w:rFonts w:hint="eastAsia" w:ascii="宋体" w:hAnsi="宋体" w:cs="宋体"/>
          <w:szCs w:val="21"/>
        </w:rPr>
      </w:pPr>
      <w:r>
        <w:rPr>
          <w:rFonts w:hint="eastAsia" w:ascii="宋体" w:hAnsi="宋体" w:cs="宋体"/>
          <w:szCs w:val="21"/>
        </w:rPr>
        <w:t xml:space="preserve">注册地址：</w:t>
      </w:r>
      <w:r>
        <w:rPr>
          <w:rFonts w:hint="eastAsia" w:ascii="宋体" w:hAnsi="宋体" w:cs="宋体"/>
          <w:szCs w:val="21"/>
          <w:lang w:val="zh-CN"/>
        </w:rPr>
        <w:t xml:space="preserve">南京市</w:t>
      </w:r>
      <w:r>
        <w:rPr>
          <w:rFonts w:hint="eastAsia" w:ascii="宋体" w:hAnsi="宋体" w:cs="宋体"/>
          <w:szCs w:val="21"/>
        </w:rPr>
        <w:t xml:space="preserve">中山路321号</w:t>
      </w:r>
      <w:r/>
    </w:p>
    <w:p>
      <w:pPr>
        <w:ind w:firstLine="422"/>
        <w:spacing w:line="360" w:lineRule="auto"/>
        <w:tabs>
          <w:tab w:val="left" w:pos="0" w:leader="none"/>
        </w:tabs>
        <w:rPr>
          <w:rFonts w:hint="eastAsia" w:ascii="宋体" w:hAnsi="宋体" w:eastAsia="宋体" w:cs="宋体"/>
          <w:b/>
          <w:bCs/>
          <w:szCs w:val="21"/>
          <w:lang w:eastAsia="zh-CN"/>
        </w:rPr>
      </w:pPr>
      <w:r>
        <w:rPr>
          <w:rFonts w:hint="eastAsia" w:ascii="宋体" w:hAnsi="宋体" w:cs="宋体"/>
          <w:b/>
          <w:bCs/>
          <w:szCs w:val="21"/>
        </w:rPr>
        <w:t xml:space="preserve">供应方：XX保险公司</w:t>
      </w:r>
      <w:r/>
    </w:p>
    <w:p>
      <w:pPr>
        <w:ind w:firstLine="1260"/>
        <w:spacing w:line="360" w:lineRule="auto"/>
        <w:tabs>
          <w:tab w:val="left" w:pos="0" w:leader="none"/>
        </w:tabs>
        <w:rPr>
          <w:rFonts w:hint="eastAsia" w:ascii="宋体" w:hAnsi="宋体" w:cs="宋体"/>
          <w:szCs w:val="21"/>
        </w:rPr>
      </w:pPr>
      <w:r>
        <w:rPr>
          <w:rFonts w:hint="eastAsia" w:ascii="宋体" w:hAnsi="宋体" w:cs="宋体"/>
          <w:szCs w:val="21"/>
        </w:rPr>
        <w:t xml:space="preserve">注册地址：</w:t>
      </w:r>
      <w:r/>
    </w:p>
    <w:p>
      <w:pPr>
        <w:ind w:firstLine="1265"/>
        <w:spacing w:line="360" w:lineRule="auto"/>
        <w:tabs>
          <w:tab w:val="left" w:pos="0" w:leader="none"/>
        </w:tabs>
        <w:rPr>
          <w:rFonts w:hint="eastAsia" w:ascii="宋体" w:hAnsi="宋体" w:eastAsia="宋体" w:cs="宋体"/>
          <w:b/>
          <w:bCs/>
          <w:szCs w:val="21"/>
          <w:lang w:eastAsia="zh-CN"/>
        </w:rPr>
      </w:pPr>
      <w:r>
        <w:rPr>
          <w:rFonts w:hint="eastAsia" w:ascii="宋体" w:hAnsi="宋体" w:cs="宋体"/>
          <w:b/>
          <w:bCs/>
          <w:szCs w:val="21"/>
        </w:rPr>
        <w:t xml:space="preserve">XX保险公司</w:t>
      </w:r>
      <w:r/>
    </w:p>
    <w:p>
      <w:pPr>
        <w:ind w:firstLine="1260"/>
        <w:spacing w:line="360" w:lineRule="auto"/>
        <w:tabs>
          <w:tab w:val="left" w:pos="0" w:leader="none"/>
        </w:tabs>
        <w:rPr>
          <w:rFonts w:hint="eastAsia" w:ascii="宋体" w:hAnsi="宋体" w:cs="宋体"/>
          <w:szCs w:val="21"/>
        </w:rPr>
      </w:pPr>
      <w:r>
        <w:rPr>
          <w:rFonts w:hint="eastAsia" w:ascii="宋体" w:hAnsi="宋体" w:cs="宋体"/>
          <w:szCs w:val="21"/>
        </w:rPr>
        <w:t xml:space="preserve">注册地址：</w:t>
      </w:r>
      <w:r/>
    </w:p>
    <w:p>
      <w:pPr>
        <w:ind w:firstLine="1260"/>
        <w:spacing w:line="360" w:lineRule="auto"/>
        <w:tabs>
          <w:tab w:val="left" w:pos="0" w:leader="none"/>
        </w:tabs>
        <w:rPr>
          <w:rFonts w:hint="eastAsia" w:ascii="宋体" w:hAnsi="宋体" w:cs="宋体"/>
          <w:szCs w:val="21"/>
        </w:rPr>
      </w:pPr>
      <w:r>
        <w:rPr>
          <w:rFonts w:hint="eastAsia" w:ascii="宋体" w:hAnsi="宋体" w:cs="宋体"/>
          <w:szCs w:val="21"/>
        </w:rPr>
        <w:t xml:space="preserve">.......</w:t>
      </w:r>
      <w:r/>
    </w:p>
    <w:p>
      <w:pPr>
        <w:ind w:firstLine="422"/>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经纪人：江泰保险经纪股份有限公司江苏营业部</w:t>
      </w:r>
      <w:r/>
    </w:p>
    <w:p>
      <w:pPr>
        <w:ind w:firstLine="1260"/>
        <w:spacing w:line="360" w:lineRule="auto"/>
        <w:tabs>
          <w:tab w:val="left" w:pos="0" w:leader="none"/>
        </w:tabs>
        <w:rPr>
          <w:rFonts w:hint="eastAsia" w:ascii="宋体" w:hAnsi="宋体" w:cs="宋体"/>
          <w:szCs w:val="21"/>
        </w:rPr>
      </w:pPr>
      <w:r>
        <w:rPr>
          <w:rFonts w:hint="eastAsia" w:ascii="宋体" w:hAnsi="宋体" w:cs="宋体"/>
          <w:szCs w:val="21"/>
        </w:rPr>
        <w:t xml:space="preserve">注册地址：南京市秦淮区中山南路189号11层</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根据《国务院关于保险业改革发展的若干意见》（国发[2006]23号）、《国务院关于加快发展现代保险服务业的若干意见》（国发[</w:t>
      </w:r>
      <w:r>
        <w:rPr>
          <w:rFonts w:hint="eastAsia" w:ascii="宋体" w:hAnsi="宋体" w:cs="宋体"/>
          <w:szCs w:val="21"/>
        </w:rPr>
        <w:t xml:space="preserve">2014]29号）、原国家卫生计生委等五部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通过公开招标的方式确定供应方为南京鼓楼医院医疗责任保险承保人。现按照相关采购文件要求，双方就本产品运作达成以下协议，以兹共同遵守。</w:t>
      </w:r>
      <w:r/>
    </w:p>
    <w:p>
      <w:pPr>
        <w:ind w:firstLine="420"/>
        <w:jc w:val="center"/>
        <w:spacing w:line="360" w:lineRule="auto"/>
        <w:rPr>
          <w:rFonts w:hint="eastAsia" w:ascii="宋体" w:hAnsi="宋体" w:cs="宋体"/>
          <w:szCs w:val="21"/>
        </w:rPr>
      </w:pPr>
      <w:r>
        <w:rPr>
          <w:rFonts w:hint="eastAsia" w:ascii="宋体" w:hAnsi="宋体" w:cs="宋体"/>
          <w:szCs w:val="21"/>
        </w:rPr>
      </w:r>
      <w:r/>
    </w:p>
    <w:p>
      <w:pPr>
        <w:pStyle w:val="858"/>
        <w:jc w:val="center"/>
        <w:spacing w:before="0" w:after="0" w:line="360" w:lineRule="auto"/>
        <w:rPr>
          <w:rFonts w:hint="eastAsia" w:ascii="宋体" w:hAnsi="宋体" w:eastAsia="宋体" w:cs="宋体"/>
          <w:sz w:val="21"/>
          <w:szCs w:val="21"/>
        </w:rPr>
      </w:pPr>
      <w:r/>
      <w:bookmarkStart w:id="256" w:name="_Toc21212"/>
      <w:r/>
      <w:bookmarkStart w:id="257" w:name="_Toc18364"/>
      <w:r>
        <w:rPr>
          <w:rFonts w:hint="eastAsia" w:ascii="宋体" w:hAnsi="宋体" w:eastAsia="宋体" w:cs="宋体"/>
          <w:sz w:val="21"/>
          <w:szCs w:val="21"/>
        </w:rPr>
        <w:t xml:space="preserve">第一部分 定义或释义</w:t>
      </w:r>
      <w:bookmarkEnd w:id="256"/>
      <w:r/>
      <w:bookmarkEnd w:id="257"/>
      <w:r/>
      <w:r/>
    </w:p>
    <w:p>
      <w:pPr>
        <w:pStyle w:val="874"/>
        <w:numPr>
          <w:ilvl w:val="0"/>
          <w:numId w:val="4"/>
        </w:numPr>
        <w:ind w:firstLine="422"/>
        <w:spacing w:after="0" w:line="360" w:lineRule="auto"/>
        <w:rPr>
          <w:rFonts w:hint="eastAsia" w:ascii="宋体" w:hAnsi="宋体" w:cs="宋体"/>
          <w:b/>
          <w:sz w:val="21"/>
          <w:szCs w:val="21"/>
        </w:rPr>
      </w:pPr>
      <w:r/>
      <w:bookmarkStart w:id="258" w:name="_Toc75"/>
      <w:r>
        <w:rPr>
          <w:rFonts w:hint="eastAsia" w:ascii="宋体" w:hAnsi="宋体" w:cs="宋体"/>
          <w:b/>
          <w:sz w:val="21"/>
          <w:szCs w:val="21"/>
        </w:rPr>
        <w:t xml:space="preserve">医疗责任保险产品</w:t>
      </w:r>
      <w:bookmarkEnd w:id="258"/>
      <w:r/>
      <w:r/>
    </w:p>
    <w:p>
      <w:pPr>
        <w:ind w:firstLine="420"/>
        <w:spacing w:line="360" w:lineRule="auto"/>
        <w:rPr>
          <w:rFonts w:hint="eastAsia" w:ascii="宋体" w:hAnsi="宋体" w:cs="宋体"/>
          <w:szCs w:val="21"/>
        </w:rPr>
      </w:pPr>
      <w:r>
        <w:rPr>
          <w:rFonts w:hint="eastAsia" w:ascii="宋体" w:hAnsi="宋体" w:cs="宋体"/>
          <w:szCs w:val="21"/>
        </w:rPr>
        <w:t xml:space="preserve">本协议所称医疗责任保险产品，是指具备标准的保险条款和保险费率机制，并经国家金融监督管理总局或其省一级派出机构审批或者备案的医疗责任险保险产品，通常在某个行政区域市场中通过采购形式产生。</w:t>
      </w:r>
      <w:r/>
    </w:p>
    <w:p>
      <w:pPr>
        <w:pStyle w:val="874"/>
        <w:numPr>
          <w:ilvl w:val="0"/>
          <w:numId w:val="4"/>
        </w:numPr>
        <w:ind w:firstLine="422"/>
        <w:spacing w:after="0" w:line="360" w:lineRule="auto"/>
        <w:rPr>
          <w:rFonts w:hint="eastAsia" w:ascii="宋体" w:hAnsi="宋体" w:cs="宋体"/>
          <w:b/>
          <w:sz w:val="21"/>
          <w:szCs w:val="21"/>
        </w:rPr>
      </w:pPr>
      <w:r/>
      <w:bookmarkStart w:id="259" w:name="_Toc21796"/>
      <w:r>
        <w:rPr>
          <w:rFonts w:hint="eastAsia" w:ascii="宋体" w:hAnsi="宋体" w:cs="宋体"/>
          <w:b/>
          <w:sz w:val="21"/>
          <w:szCs w:val="21"/>
        </w:rPr>
        <w:t xml:space="preserve">投保人</w:t>
      </w:r>
      <w:bookmarkEnd w:id="259"/>
      <w:r/>
      <w:r/>
    </w:p>
    <w:p>
      <w:pPr>
        <w:ind w:firstLine="420"/>
        <w:spacing w:line="360" w:lineRule="auto"/>
        <w:rPr>
          <w:rFonts w:hint="eastAsia" w:ascii="宋体" w:hAnsi="宋体" w:cs="宋体"/>
          <w:szCs w:val="21"/>
        </w:rPr>
      </w:pPr>
      <w:r>
        <w:rPr>
          <w:rFonts w:hint="eastAsia" w:ascii="宋体" w:hAnsi="宋体" w:cs="宋体"/>
          <w:szCs w:val="21"/>
        </w:rPr>
        <w:t xml:space="preserve">本协议所称投保人，指南京鼓楼医院。</w:t>
      </w:r>
      <w:r/>
    </w:p>
    <w:p>
      <w:pPr>
        <w:pStyle w:val="874"/>
        <w:numPr>
          <w:ilvl w:val="0"/>
          <w:numId w:val="4"/>
        </w:numPr>
        <w:ind w:firstLine="422"/>
        <w:spacing w:after="0" w:line="360" w:lineRule="auto"/>
        <w:rPr>
          <w:rFonts w:hint="eastAsia" w:ascii="宋体" w:hAnsi="宋体" w:cs="宋体"/>
          <w:b/>
          <w:sz w:val="21"/>
          <w:szCs w:val="21"/>
        </w:rPr>
      </w:pPr>
      <w:r/>
      <w:bookmarkStart w:id="260" w:name="_Toc8922"/>
      <w:r>
        <w:rPr>
          <w:rFonts w:hint="eastAsia" w:ascii="宋体" w:hAnsi="宋体" w:cs="宋体"/>
          <w:b/>
          <w:sz w:val="21"/>
          <w:szCs w:val="21"/>
        </w:rPr>
        <w:t xml:space="preserve">供应方</w:t>
      </w:r>
      <w:bookmarkEnd w:id="260"/>
      <w:r/>
      <w:r/>
    </w:p>
    <w:p>
      <w:pPr>
        <w:ind w:firstLine="420"/>
        <w:spacing w:line="360" w:lineRule="auto"/>
        <w:rPr>
          <w:rFonts w:hint="eastAsia" w:ascii="宋体" w:hAnsi="宋体" w:cs="宋体"/>
          <w:szCs w:val="21"/>
        </w:rPr>
      </w:pPr>
      <w:r>
        <w:rPr>
          <w:rFonts w:hint="eastAsia" w:ascii="宋体" w:hAnsi="宋体" w:cs="宋体"/>
          <w:szCs w:val="21"/>
        </w:rPr>
        <w:t xml:space="preserve">本协议所称供应方，是指参与本产品承保的保险公司成员统称。</w:t>
      </w:r>
      <w:bookmarkStart w:id="261" w:name="_Toc152993061"/>
      <w:r/>
      <w:bookmarkEnd w:id="261"/>
      <w:r/>
      <w:r/>
    </w:p>
    <w:p>
      <w:pPr>
        <w:pStyle w:val="874"/>
        <w:numPr>
          <w:ilvl w:val="0"/>
          <w:numId w:val="4"/>
        </w:numPr>
        <w:ind w:firstLine="422"/>
        <w:spacing w:after="0" w:line="360" w:lineRule="auto"/>
        <w:rPr>
          <w:rFonts w:hint="eastAsia" w:ascii="宋体" w:hAnsi="宋体" w:cs="宋体"/>
          <w:b/>
          <w:sz w:val="21"/>
          <w:szCs w:val="21"/>
        </w:rPr>
      </w:pPr>
      <w:r/>
      <w:bookmarkStart w:id="262" w:name="_Toc27110"/>
      <w:r>
        <w:rPr>
          <w:rFonts w:hint="eastAsia" w:ascii="宋体" w:hAnsi="宋体" w:cs="宋体"/>
          <w:b/>
          <w:sz w:val="21"/>
          <w:szCs w:val="21"/>
        </w:rPr>
        <w:t xml:space="preserve">保险经纪人</w:t>
      </w:r>
      <w:bookmarkEnd w:id="262"/>
      <w:r/>
      <w:r/>
    </w:p>
    <w:p>
      <w:pPr>
        <w:ind w:firstLine="420"/>
        <w:spacing w:line="360" w:lineRule="auto"/>
        <w:rPr>
          <w:rFonts w:hint="eastAsia" w:ascii="宋体" w:hAnsi="宋体" w:cs="宋体"/>
          <w:szCs w:val="21"/>
        </w:rPr>
      </w:pPr>
      <w:r>
        <w:rPr>
          <w:rFonts w:hint="eastAsia" w:ascii="宋体" w:hAnsi="宋体" w:cs="宋体"/>
          <w:szCs w:val="21"/>
        </w:rPr>
        <w:t xml:space="preserve">本协议所称保险经纪人，是指为本产品的投保人与保险人订立保险合同提供中介服务的江泰保险经纪股份有限公司江苏营业部。</w:t>
      </w:r>
      <w:r/>
    </w:p>
    <w:p>
      <w:pPr>
        <w:pStyle w:val="874"/>
        <w:numPr>
          <w:ilvl w:val="0"/>
          <w:numId w:val="4"/>
        </w:numPr>
        <w:ind w:firstLine="422"/>
        <w:spacing w:after="0" w:line="360" w:lineRule="auto"/>
        <w:rPr>
          <w:rFonts w:hint="eastAsia" w:ascii="宋体" w:hAnsi="宋体" w:cs="宋体"/>
          <w:b/>
          <w:sz w:val="21"/>
          <w:szCs w:val="21"/>
        </w:rPr>
      </w:pPr>
      <w:r/>
      <w:bookmarkStart w:id="263" w:name="_Toc1383"/>
      <w:r>
        <w:rPr>
          <w:rFonts w:hint="eastAsia" w:ascii="宋体" w:hAnsi="宋体" w:cs="宋体"/>
          <w:b/>
          <w:sz w:val="21"/>
          <w:szCs w:val="21"/>
        </w:rPr>
        <w:t xml:space="preserve">医疗风险分担机制</w:t>
      </w:r>
      <w:bookmarkEnd w:id="263"/>
      <w:r/>
      <w:r/>
    </w:p>
    <w:p>
      <w:pPr>
        <w:ind w:firstLine="420"/>
        <w:spacing w:line="360" w:lineRule="auto"/>
        <w:rPr>
          <w:rFonts w:hint="eastAsia" w:ascii="宋体" w:hAnsi="宋体" w:cs="宋体"/>
          <w:szCs w:val="21"/>
        </w:rPr>
      </w:pPr>
      <w:r>
        <w:rPr>
          <w:rFonts w:hint="eastAsia" w:ascii="宋体" w:hAnsi="宋体" w:cs="宋体"/>
          <w:szCs w:val="21"/>
        </w:rPr>
        <w:t xml:space="preserve">本协议所称医疗风险分担机制，是指根据《中华人民共和国卫生健康促进法》、《中华人民共和国医师法》等法律法规为依据，提升社会大众对于医疗风险的客观认知，推动医疗机构、医务人员、患者对医疗风险进行识别，并鼓励采取科学、有效的方式，对医疗风险进行管理或转移，共同承担医疗风险。</w:t>
      </w:r>
      <w:r/>
    </w:p>
    <w:p>
      <w:pPr>
        <w:pStyle w:val="858"/>
        <w:jc w:val="center"/>
        <w:spacing w:before="0" w:after="0" w:line="360" w:lineRule="auto"/>
        <w:rPr>
          <w:rFonts w:hint="eastAsia" w:ascii="宋体" w:hAnsi="宋体" w:eastAsia="宋体" w:cs="宋体"/>
          <w:sz w:val="21"/>
          <w:szCs w:val="21"/>
        </w:rPr>
      </w:pPr>
      <w:r/>
      <w:bookmarkStart w:id="264" w:name="_Toc7527"/>
      <w:r/>
      <w:bookmarkStart w:id="265" w:name="_Toc30011"/>
      <w:r>
        <w:rPr>
          <w:rFonts w:hint="eastAsia" w:ascii="宋体" w:hAnsi="宋体" w:eastAsia="宋体" w:cs="宋体"/>
          <w:sz w:val="21"/>
          <w:szCs w:val="21"/>
        </w:rPr>
        <w:t xml:space="preserve">第二部分 权利与义务</w:t>
      </w:r>
      <w:bookmarkEnd w:id="264"/>
      <w:r/>
      <w:bookmarkEnd w:id="265"/>
      <w:r/>
      <w:r/>
    </w:p>
    <w:p>
      <w:pPr>
        <w:numPr>
          <w:ilvl w:val="0"/>
          <w:numId w:val="5"/>
        </w:numPr>
        <w:ind w:firstLine="422"/>
        <w:spacing w:line="360" w:lineRule="auto"/>
        <w:rPr>
          <w:rFonts w:hint="eastAsia" w:ascii="宋体" w:hAnsi="宋体" w:cs="宋体"/>
          <w:b/>
          <w:bCs/>
          <w:szCs w:val="21"/>
        </w:rPr>
      </w:pPr>
      <w:r>
        <w:rPr>
          <w:rFonts w:hint="eastAsia" w:ascii="宋体" w:hAnsi="宋体" w:cs="宋体"/>
          <w:b/>
          <w:bCs/>
          <w:szCs w:val="21"/>
        </w:rPr>
        <w:t xml:space="preserve">采购人的权利和义务</w:t>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1、如实、准确、完整地向乙方提供与保险合同事项相关的信息与资料；</w:t>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2、在乙方提供保险服务过程中给予必要的协助； </w:t>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3、当保险标的风险性质、风险状况发生重大变化或发生任何可能引起保险索赔事件时，应及时通知供应方和经纪人；</w:t>
      </w:r>
      <w:r/>
    </w:p>
    <w:p>
      <w:pPr>
        <w:pStyle w:val="874"/>
        <w:ind w:firstLine="444"/>
        <w:spacing w:line="360" w:lineRule="auto"/>
        <w:rPr>
          <w:rFonts w:hint="eastAsia" w:ascii="宋体" w:hAnsi="宋体" w:cs="宋体"/>
          <w:sz w:val="21"/>
          <w:szCs w:val="21"/>
        </w:rPr>
      </w:pPr>
      <w:r>
        <w:rPr>
          <w:rFonts w:hint="eastAsia" w:ascii="宋体" w:hAnsi="宋体" w:cs="宋体"/>
          <w:spacing w:val="6"/>
          <w:sz w:val="21"/>
          <w:szCs w:val="21"/>
        </w:rPr>
        <w:t xml:space="preserve">4、对乙方提供的保险合同有知情权、选择权和决定权；</w:t>
      </w:r>
      <w:r/>
    </w:p>
    <w:p>
      <w:pPr>
        <w:ind w:firstLine="422"/>
        <w:spacing w:line="360" w:lineRule="auto"/>
        <w:tabs>
          <w:tab w:val="left" w:pos="0" w:leader="none"/>
        </w:tabs>
        <w:rPr>
          <w:rFonts w:hint="eastAsia" w:ascii="宋体" w:hAnsi="宋体" w:eastAsia="宋体" w:cs="宋体"/>
          <w:b/>
          <w:bCs/>
          <w:szCs w:val="21"/>
          <w:lang w:eastAsia="zh-CN"/>
        </w:rPr>
      </w:pPr>
      <w:r>
        <w:rPr>
          <w:rFonts w:hint="eastAsia" w:ascii="宋体" w:hAnsi="宋体" w:cs="宋体"/>
          <w:b/>
          <w:bCs/>
          <w:szCs w:val="21"/>
        </w:rPr>
        <w:t xml:space="preserve">二、供应方的权利和义务</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负责本产品保险条款的报备，对保险产品满足采购需求及合法合规性承担相应责任；</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供应方</w:t>
      </w:r>
      <w:r>
        <w:rPr>
          <w:rFonts w:hint="eastAsia" w:ascii="宋体" w:hAnsi="宋体" w:cs="宋体"/>
          <w:szCs w:val="21"/>
          <w:lang w:val="en-US" w:eastAsia="zh-CN"/>
        </w:rPr>
        <w:t xml:space="preserve">各成员应</w:t>
      </w:r>
      <w:r>
        <w:rPr>
          <w:rFonts w:hint="eastAsia" w:ascii="宋体" w:hAnsi="宋体" w:cs="宋体"/>
          <w:szCs w:val="21"/>
        </w:rPr>
        <w:t xml:space="preserve">订立承保协议，按照保险合同及本协议的约定承保出单、保费划转、保险理赔等事宜；承保协议约定内容不得违背本协议，不得损害本协议其他各方及被保险人的利益，并报工作领导小组备案执行；</w:t>
      </w:r>
      <w:r/>
    </w:p>
    <w:p>
      <w:pPr>
        <w:numPr>
          <w:ilvl w:val="0"/>
          <w:numId w:val="6"/>
        </w:numPr>
        <w:spacing w:line="360" w:lineRule="auto"/>
        <w:rPr>
          <w:rFonts w:hint="eastAsia" w:ascii="宋体" w:hAnsi="宋体" w:cs="宋体"/>
          <w:szCs w:val="21"/>
        </w:rPr>
      </w:pPr>
      <w:r>
        <w:rPr>
          <w:rFonts w:hint="eastAsia" w:ascii="宋体" w:hAnsi="宋体" w:cs="宋体"/>
          <w:szCs w:val="21"/>
          <w:lang w:val="en-US" w:eastAsia="zh-CN"/>
        </w:rPr>
        <w:t xml:space="preserve">供应方首承公司</w:t>
      </w:r>
      <w:r>
        <w:rPr>
          <w:rFonts w:hint="eastAsia" w:ascii="宋体" w:hAnsi="宋体" w:cs="宋体"/>
          <w:szCs w:val="21"/>
        </w:rPr>
        <w:t xml:space="preserve">代表供应方其他成员与经纪人讨论制定本产品的相关工作标准；</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配合经纪人建立案管中心；</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按照约定，向经纪人支付保险经纪佣金；</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配合经纪人依据市场需求做好保险产品的优化调整工作；</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认可赔处中心出具的案件评估意见，以及“南京市（区）医疗纠纷调解组织”出具的调解协议书；</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配合经纪人对案件进行有效管理；</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按照本协议要求完成与经纪人业务系统对接工作；</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协助经纪人进行风险防范和风险管理等相关工作；</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完善服务质量，根据经纪人提出的意见、建议及时进行相应的整改，并将整改措施和效果告知经纪人。</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供应方出单公司的权利义务：</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1、出具保单及全额保费发票，提供保单信息查询服务。</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2、有收取供应方其他成员份额保费发票的权利和向其他成员及时拨付保费的义务。</w:t>
      </w:r>
      <w:r/>
    </w:p>
    <w:p>
      <w:pPr>
        <w:ind w:firstLine="420"/>
        <w:spacing w:line="360" w:lineRule="auto"/>
        <w:rPr>
          <w:rFonts w:hint="eastAsia" w:ascii="宋体" w:hAnsi="宋体" w:cs="宋体"/>
          <w:szCs w:val="21"/>
        </w:rPr>
      </w:pPr>
      <w:r>
        <w:rPr>
          <w:rFonts w:hint="eastAsia" w:ascii="宋体" w:hAnsi="宋体" w:cs="宋体"/>
          <w:szCs w:val="21"/>
        </w:rPr>
        <w:t xml:space="preserve">3、发生保险事故支付赔款时，负责在本协议约定的期限内代表供应方全额代付赔款至被保险人指定账户。</w:t>
      </w:r>
      <w:r/>
    </w:p>
    <w:p>
      <w:pPr>
        <w:ind w:firstLine="420"/>
        <w:spacing w:line="360" w:lineRule="auto"/>
        <w:rPr>
          <w:rFonts w:hint="eastAsia" w:ascii="宋体" w:hAnsi="宋体" w:cs="宋体"/>
          <w:szCs w:val="21"/>
        </w:rPr>
      </w:pPr>
      <w:r>
        <w:rPr>
          <w:rFonts w:hint="eastAsia" w:ascii="宋体" w:hAnsi="宋体" w:cs="宋体"/>
          <w:szCs w:val="21"/>
        </w:rPr>
        <w:t xml:space="preserve">4、代表供应方成员统一提供处理日常承保、理赔、培训、纠纷防范等服务工作，并根据经纪人的要求协调供应方成员提供承诺的相关服务。</w:t>
      </w:r>
      <w:r/>
    </w:p>
    <w:p>
      <w:pPr>
        <w:ind w:firstLine="420"/>
        <w:spacing w:line="360" w:lineRule="auto"/>
        <w:rPr>
          <w:rFonts w:ascii="宋体" w:hAnsi="宋体" w:cs="宋体"/>
          <w:szCs w:val="21"/>
        </w:rPr>
      </w:pPr>
      <w:r>
        <w:rPr>
          <w:rFonts w:hint="eastAsia" w:ascii="宋体" w:hAnsi="宋体" w:cs="宋体"/>
          <w:szCs w:val="21"/>
        </w:rPr>
        <w:t xml:space="preserve">5、本协议中出单公司为首承公司。</w:t>
      </w:r>
      <w:r/>
    </w:p>
    <w:p>
      <w:pPr>
        <w:numPr>
          <w:ilvl w:val="0"/>
          <w:numId w:val="6"/>
        </w:numPr>
        <w:spacing w:line="360" w:lineRule="auto"/>
        <w:rPr>
          <w:rFonts w:hint="eastAsia" w:ascii="宋体" w:hAnsi="宋体" w:cs="宋体"/>
          <w:szCs w:val="21"/>
        </w:rPr>
      </w:pPr>
      <w:r>
        <w:rPr>
          <w:rFonts w:hint="eastAsia" w:ascii="宋体" w:hAnsi="宋体" w:cs="宋体"/>
          <w:szCs w:val="21"/>
        </w:rPr>
        <w:t xml:space="preserve">相关法律、法规赋予供应方的其他权利和义务。</w:t>
      </w:r>
      <w:r/>
    </w:p>
    <w:p>
      <w:pPr>
        <w:pStyle w:val="913"/>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三、经纪人的权利和义务</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受采购人委托，负责工作计划的落实；</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负责保障“南京地区医疗责任保险赔偿处理中心”（以下简称“赔处中心”）的日常运营，包括费用保障、后勤保障、驻点服务网络、队伍建设、对外宣传、网络信息技术支持以及运营风险控制；</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负责保障案件管理中心的日常运营，包括费用保障、后勤保障、队伍建设等；</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运行“医疗风险管理服务中心”，以通过风险管控服务，协助医院加强安全管理、促进医疗服务质量提升，防范医疗风险，减少医疗纠纷；</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联合供应方对案件进行有效管理；</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推动建立双方的协调沟通机制，协调解决本产品运行过程中遇到的疑难问题，提高运作效率；</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按照本协议约定，向供应方收取保险经纪佣金；</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根据医疗机构的风险转移需求，不断优化和改进本产品，并与供应方共同做好保险产品的动态调整工作；</w:t>
      </w:r>
      <w:r/>
    </w:p>
    <w:p>
      <w:pPr>
        <w:numPr>
          <w:ilvl w:val="0"/>
          <w:numId w:val="7"/>
        </w:numPr>
        <w:spacing w:line="360" w:lineRule="auto"/>
        <w:rPr>
          <w:rFonts w:hint="eastAsia" w:ascii="宋体" w:hAnsi="宋体" w:cs="宋体"/>
          <w:szCs w:val="21"/>
        </w:rPr>
      </w:pPr>
      <w:r>
        <w:rPr>
          <w:rFonts w:hint="eastAsia" w:ascii="宋体" w:hAnsi="宋体" w:cs="宋体"/>
          <w:szCs w:val="21"/>
        </w:rPr>
        <w:t xml:space="preserve">监督供应方的保险服务质量，对供应方进行工作考评，维护投保人、被保险人的保险权益；</w:t>
      </w:r>
      <w:r/>
    </w:p>
    <w:p>
      <w:pPr>
        <w:pStyle w:val="913"/>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（十一）相关法律、法规赋予经纪人的其他权利和义务。</w:t>
      </w:r>
      <w:r/>
    </w:p>
    <w:p>
      <w:pPr>
        <w:pStyle w:val="858"/>
        <w:jc w:val="center"/>
        <w:spacing w:before="0" w:after="0" w:line="360" w:lineRule="auto"/>
        <w:rPr>
          <w:rFonts w:hint="eastAsia" w:ascii="宋体" w:hAnsi="宋体" w:eastAsia="宋体" w:cs="宋体"/>
          <w:sz w:val="21"/>
          <w:szCs w:val="21"/>
        </w:rPr>
      </w:pPr>
      <w:r/>
      <w:bookmarkStart w:id="266" w:name="_Toc23371"/>
      <w:r/>
      <w:bookmarkStart w:id="267" w:name="_Toc25286"/>
      <w:r>
        <w:rPr>
          <w:rFonts w:hint="eastAsia" w:ascii="宋体" w:hAnsi="宋体" w:eastAsia="宋体" w:cs="宋体"/>
          <w:sz w:val="21"/>
          <w:szCs w:val="21"/>
        </w:rPr>
        <w:t xml:space="preserve">第三部分 工作机制</w:t>
      </w:r>
      <w:bookmarkEnd w:id="266"/>
      <w:r/>
      <w:bookmarkEnd w:id="267"/>
      <w:r/>
      <w:r/>
    </w:p>
    <w:p>
      <w:pPr>
        <w:numPr>
          <w:ilvl w:val="0"/>
          <w:numId w:val="8"/>
        </w:numPr>
        <w:ind w:firstLine="422"/>
        <w:jc w:val="left"/>
        <w:spacing w:line="360" w:lineRule="auto"/>
        <w:rPr>
          <w:rFonts w:hint="eastAsia" w:ascii="宋体" w:hAnsi="宋体" w:cs="宋体"/>
          <w:b/>
          <w:bCs/>
          <w:szCs w:val="21"/>
        </w:rPr>
      </w:pPr>
      <w:r/>
      <w:bookmarkStart w:id="268" w:name="_Toc31564"/>
      <w:r>
        <w:rPr>
          <w:rFonts w:hint="eastAsia" w:ascii="宋体" w:hAnsi="宋体" w:cs="宋体"/>
          <w:b/>
          <w:bCs/>
          <w:szCs w:val="21"/>
        </w:rPr>
        <w:t xml:space="preserve">本项目领导小组</w:t>
      </w:r>
      <w:bookmarkEnd w:id="268"/>
      <w:r/>
      <w:r/>
    </w:p>
    <w:p>
      <w:pPr>
        <w:ind w:firstLine="420"/>
        <w:spacing w:line="360" w:lineRule="auto"/>
        <w:rPr>
          <w:rFonts w:hint="eastAsia" w:ascii="宋体" w:hAnsi="宋体" w:cs="宋体"/>
          <w:bCs/>
          <w:szCs w:val="21"/>
        </w:rPr>
      </w:pPr>
      <w:r>
        <w:rPr>
          <w:rFonts w:hint="eastAsia" w:ascii="宋体" w:hAnsi="宋体" w:cs="宋体"/>
          <w:szCs w:val="21"/>
        </w:rPr>
        <w:t xml:space="preserve">本项目领导小组由三方相关领导共同组成，领导小组人员建立联席会议制度，定期召开联席会议，协调解决工作中存在的问题，落实各项具体工作</w:t>
      </w:r>
      <w:r>
        <w:rPr>
          <w:rFonts w:hint="eastAsia" w:ascii="宋体" w:hAnsi="宋体" w:cs="宋体"/>
          <w:bCs/>
          <w:szCs w:val="21"/>
        </w:rPr>
        <w:t xml:space="preserve">。</w:t>
      </w:r>
      <w:r/>
    </w:p>
    <w:p>
      <w:pPr>
        <w:numPr>
          <w:ilvl w:val="0"/>
          <w:numId w:val="9"/>
        </w:numPr>
        <w:spacing w:line="360" w:lineRule="auto"/>
        <w:rPr>
          <w:rFonts w:hint="eastAsia" w:ascii="宋体" w:hAnsi="宋体" w:cs="宋体"/>
          <w:bCs/>
          <w:szCs w:val="21"/>
        </w:rPr>
      </w:pPr>
      <w:r>
        <w:rPr>
          <w:rFonts w:hint="eastAsia" w:ascii="宋体" w:hAnsi="宋体" w:cs="宋体"/>
          <w:bCs/>
          <w:szCs w:val="21"/>
        </w:rPr>
        <w:t xml:space="preserve">人员构成</w:t>
      </w:r>
      <w:r/>
    </w:p>
    <w:p>
      <w:pPr>
        <w:ind w:firstLine="420"/>
        <w:spacing w:line="360" w:lineRule="auto"/>
        <w:rPr>
          <w:rFonts w:hint="eastAsia" w:ascii="宋体" w:hAnsi="宋体" w:cs="宋体"/>
          <w:bCs/>
          <w:szCs w:val="21"/>
        </w:rPr>
      </w:pPr>
      <w:r>
        <w:rPr>
          <w:rFonts w:hint="eastAsia" w:ascii="宋体" w:hAnsi="宋体" w:cs="宋体"/>
          <w:bCs/>
          <w:szCs w:val="21"/>
        </w:rPr>
        <w:t xml:space="preserve">领导小组人员名单如下：</w:t>
      </w:r>
      <w:r/>
    </w:p>
    <w:tbl>
      <w:tblPr>
        <w:tblStyle w:val="867"/>
        <w:tblW w:w="4999" w:type="pct"/>
        <w:jc w:val="center"/>
        <w:tblLayout w:type="autofit"/>
        <w:tblCellMar>
          <w:left w:w="15" w:type="dxa"/>
          <w:top w:w="15" w:type="dxa"/>
          <w:right w:w="15" w:type="dxa"/>
          <w:bottom w:w="15" w:type="dxa"/>
        </w:tblCellMar>
        <w:tblLook w:val="04A0" w:firstRow="1" w:lastRow="0" w:firstColumn="1" w:lastColumn="0" w:noHBand="0" w:noVBand="1"/>
      </w:tblPr>
      <w:tblGrid>
        <w:gridCol w:w="1085"/>
        <w:gridCol w:w="1739"/>
        <w:gridCol w:w="3336"/>
        <w:gridCol w:w="2488"/>
      </w:tblGrid>
      <w:tr>
        <w:trPr>
          <w:jc w:val="center"/>
          <w:trHeight w:val="283"/>
        </w:trPr>
        <w:tc>
          <w:tcPr>
            <w:shd w:val="clear" w:color="auto" w:fill="d9d9d9"/>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成员</w:t>
            </w:r>
            <w:r/>
          </w:p>
        </w:tc>
        <w:tc>
          <w:tcPr>
            <w:shd w:val="clear" w:color="auto" w:fill="d9d9d9"/>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姓名</w:t>
            </w:r>
            <w:r/>
          </w:p>
        </w:tc>
        <w:tc>
          <w:tcPr>
            <w:shd w:val="clear" w:color="auto" w:fill="d9d9d9"/>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单位及职务</w:t>
            </w:r>
            <w:r/>
          </w:p>
        </w:tc>
        <w:tc>
          <w:tcPr>
            <w:shd w:val="clear" w:color="auto" w:fill="d9d9d9"/>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联系方式</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组长</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副组长</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成员</w:t>
            </w:r>
            <w:r/>
          </w:p>
        </w:tc>
        <w:tc>
          <w:tcPr>
            <w:tcBorders>
              <w:top w:val="single" w:color="000000" w:sz="4" w:space="0"/>
              <w:left w:val="single" w:color="000000" w:sz="4" w:space="0"/>
              <w:bottom w:val="single" w:color="000000" w:sz="4" w:space="0"/>
              <w:right w:val="single" w:color="000000" w:sz="4" w:space="0"/>
            </w:tcBorders>
            <w:tcW w:w="1005"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numPr>
          <w:ilvl w:val="0"/>
          <w:numId w:val="9"/>
        </w:numPr>
        <w:spacing w:line="360" w:lineRule="auto"/>
        <w:rPr>
          <w:rFonts w:hint="eastAsia" w:ascii="宋体" w:hAnsi="宋体" w:cs="宋体"/>
          <w:bCs/>
          <w:szCs w:val="21"/>
        </w:rPr>
      </w:pPr>
      <w:r>
        <w:rPr>
          <w:rFonts w:hint="eastAsia" w:ascii="宋体" w:hAnsi="宋体" w:cs="宋体"/>
          <w:bCs/>
          <w:szCs w:val="21"/>
        </w:rPr>
        <w:t xml:space="preserve">工作职责</w:t>
      </w:r>
      <w:r/>
    </w:p>
    <w:p>
      <w:pPr>
        <w:numPr>
          <w:ilvl w:val="0"/>
          <w:numId w:val="10"/>
        </w:numPr>
        <w:ind w:firstLine="420"/>
        <w:spacing w:line="360" w:lineRule="auto"/>
        <w:rPr>
          <w:rFonts w:hint="eastAsia" w:ascii="宋体" w:hAnsi="宋体" w:cs="宋体"/>
          <w:szCs w:val="21"/>
        </w:rPr>
      </w:pPr>
      <w:r>
        <w:rPr>
          <w:rFonts w:hint="eastAsia" w:ascii="宋体" w:hAnsi="宋体" w:cs="宋体"/>
          <w:szCs w:val="21"/>
        </w:rPr>
        <w:t xml:space="preserve">至少每半年召开一次联席会议，通报工作情况，及时解决工作中遇到的困难和问题；</w:t>
      </w:r>
      <w:r/>
    </w:p>
    <w:p>
      <w:pPr>
        <w:numPr>
          <w:ilvl w:val="0"/>
          <w:numId w:val="10"/>
        </w:numPr>
        <w:ind w:firstLine="420"/>
        <w:spacing w:line="360" w:lineRule="auto"/>
        <w:rPr>
          <w:rFonts w:hint="eastAsia" w:ascii="宋体" w:hAnsi="宋体" w:cs="宋体"/>
          <w:szCs w:val="21"/>
        </w:rPr>
      </w:pPr>
      <w:r>
        <w:rPr>
          <w:rFonts w:hint="eastAsia" w:ascii="宋体" w:hAnsi="宋体" w:cs="宋体"/>
          <w:szCs w:val="21"/>
        </w:rPr>
        <w:t xml:space="preserve">负责重大事项的决策及协调处理；</w:t>
      </w:r>
      <w:r/>
    </w:p>
    <w:p>
      <w:pPr>
        <w:numPr>
          <w:ilvl w:val="0"/>
          <w:numId w:val="10"/>
        </w:numPr>
        <w:ind w:firstLine="420"/>
        <w:spacing w:line="360" w:lineRule="auto"/>
        <w:rPr>
          <w:rFonts w:hint="eastAsia" w:ascii="宋体" w:hAnsi="宋体" w:cs="宋体"/>
          <w:szCs w:val="21"/>
        </w:rPr>
      </w:pPr>
      <w:r>
        <w:rPr>
          <w:rFonts w:hint="eastAsia" w:ascii="宋体" w:hAnsi="宋体" w:cs="宋体"/>
          <w:szCs w:val="21"/>
        </w:rPr>
        <w:t xml:space="preserve">负责制订案件管理规则，确保案件数据的一致性</w:t>
      </w:r>
      <w:r/>
    </w:p>
    <w:p>
      <w:pPr>
        <w:numPr>
          <w:ilvl w:val="0"/>
          <w:numId w:val="10"/>
        </w:numPr>
        <w:ind w:firstLine="420"/>
        <w:spacing w:line="360" w:lineRule="auto"/>
        <w:rPr>
          <w:rFonts w:hint="eastAsia" w:ascii="宋体" w:hAnsi="宋体" w:cs="宋体"/>
          <w:szCs w:val="21"/>
        </w:rPr>
      </w:pPr>
      <w:r>
        <w:rPr>
          <w:rFonts w:hint="eastAsia" w:ascii="宋体" w:hAnsi="宋体" w:cs="宋体"/>
          <w:szCs w:val="21"/>
        </w:rPr>
        <w:t xml:space="preserve">负责运作机制的决策。</w:t>
      </w:r>
      <w:r/>
    </w:p>
    <w:p>
      <w:pPr>
        <w:numPr>
          <w:ilvl w:val="0"/>
          <w:numId w:val="8"/>
        </w:numPr>
        <w:ind w:firstLine="422"/>
        <w:jc w:val="left"/>
        <w:spacing w:line="360" w:lineRule="auto"/>
        <w:rPr>
          <w:rFonts w:hint="eastAsia" w:ascii="宋体" w:hAnsi="宋体" w:cs="宋体"/>
          <w:b/>
          <w:bCs/>
          <w:szCs w:val="21"/>
        </w:rPr>
      </w:pPr>
      <w:r/>
      <w:bookmarkStart w:id="269" w:name="_Toc26994"/>
      <w:r>
        <w:rPr>
          <w:rFonts w:hint="eastAsia" w:ascii="宋体" w:hAnsi="宋体" w:cs="宋体"/>
          <w:b/>
          <w:bCs/>
          <w:szCs w:val="21"/>
        </w:rPr>
        <w:t xml:space="preserve">工作小组</w:t>
      </w:r>
      <w:bookmarkEnd w:id="269"/>
      <w:r/>
      <w:r/>
    </w:p>
    <w:p>
      <w:pPr>
        <w:ind w:firstLine="420"/>
        <w:spacing w:line="360" w:lineRule="auto"/>
        <w:rPr>
          <w:rFonts w:hint="eastAsia" w:ascii="宋体" w:hAnsi="宋体" w:cs="宋体"/>
          <w:bCs/>
          <w:szCs w:val="21"/>
        </w:rPr>
      </w:pPr>
      <w:r>
        <w:rPr>
          <w:rFonts w:hint="eastAsia" w:ascii="宋体" w:hAnsi="宋体" w:cs="宋体"/>
          <w:bCs/>
          <w:szCs w:val="21"/>
        </w:rPr>
        <w:t xml:space="preserve">工作小组成员包括</w:t>
      </w:r>
      <w:r>
        <w:rPr>
          <w:rFonts w:hint="eastAsia" w:ascii="宋体" w:hAnsi="宋体" w:cs="宋体"/>
          <w:szCs w:val="21"/>
        </w:rPr>
        <w:t xml:space="preserve">三方</w:t>
      </w:r>
      <w:r>
        <w:rPr>
          <w:rFonts w:hint="eastAsia" w:ascii="宋体" w:hAnsi="宋体" w:cs="宋体"/>
          <w:bCs/>
          <w:szCs w:val="21"/>
        </w:rPr>
        <w:t xml:space="preserve">相关人员。工作小组人员名单如下：</w:t>
      </w:r>
      <w:r/>
    </w:p>
    <w:p>
      <w:pPr>
        <w:numPr>
          <w:ilvl w:val="0"/>
          <w:numId w:val="11"/>
        </w:numPr>
        <w:spacing w:line="360" w:lineRule="auto"/>
        <w:rPr>
          <w:rFonts w:hint="eastAsia" w:ascii="宋体" w:hAnsi="宋体" w:cs="宋体"/>
          <w:bCs/>
          <w:szCs w:val="21"/>
        </w:rPr>
      </w:pPr>
      <w:r>
        <w:rPr>
          <w:rFonts w:hint="eastAsia" w:ascii="宋体" w:hAnsi="宋体" w:cs="宋体"/>
          <w:bCs/>
          <w:szCs w:val="21"/>
        </w:rPr>
        <w:t xml:space="preserve">人员构成</w:t>
      </w:r>
      <w:r/>
    </w:p>
    <w:tbl>
      <w:tblPr>
        <w:tblStyle w:val="86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062"/>
        <w:gridCol w:w="1331"/>
        <w:gridCol w:w="1730"/>
        <w:gridCol w:w="2526"/>
        <w:gridCol w:w="1999"/>
      </w:tblGrid>
      <w:tr>
        <w:trPr>
          <w:jc w:val="center"/>
          <w:trHeight w:val="283"/>
        </w:trPr>
        <w:tc>
          <w:tcPr>
            <w:shd w:val="clear" w:color="auto" w:fill="d9d9d9"/>
            <w:tcW w:w="6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成员</w:t>
            </w:r>
            <w:r/>
          </w:p>
        </w:tc>
        <w:tc>
          <w:tcPr>
            <w:shd w:val="clear" w:color="auto" w:fill="d9d9d9"/>
            <w:tcW w:w="76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姓名</w:t>
            </w:r>
            <w:r/>
          </w:p>
        </w:tc>
        <w:tc>
          <w:tcPr>
            <w:shd w:val="clear" w:color="auto" w:fill="d9d9d9"/>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单位及职务</w:t>
            </w:r>
            <w:r/>
          </w:p>
        </w:tc>
        <w:tc>
          <w:tcPr>
            <w:shd w:val="clear" w:color="auto" w:fill="d9d9d9"/>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联系方式</w:t>
            </w:r>
            <w:r/>
          </w:p>
        </w:tc>
        <w:tc>
          <w:tcPr>
            <w:shd w:val="clear" w:color="auto" w:fill="d9d9d9"/>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职责分工</w:t>
            </w:r>
            <w:r/>
          </w:p>
        </w:tc>
      </w:tr>
      <w:tr>
        <w:trPr>
          <w:jc w:val="center"/>
          <w:trHeight w:val="283"/>
        </w:trPr>
        <w:tc>
          <w:tcPr>
            <w:tcW w:w="6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组长</w:t>
            </w:r>
            <w:r/>
          </w:p>
        </w:tc>
        <w:tc>
          <w:tcPr>
            <w:tcW w:w="76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6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副组长</w:t>
            </w:r>
            <w:r/>
          </w:p>
        </w:tc>
        <w:tc>
          <w:tcPr>
            <w:tcW w:w="76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6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成员</w:t>
            </w:r>
            <w:r/>
          </w:p>
        </w:tc>
        <w:tc>
          <w:tcPr>
            <w:tcW w:w="76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numPr>
          <w:ilvl w:val="0"/>
          <w:numId w:val="11"/>
        </w:numPr>
        <w:spacing w:line="360" w:lineRule="auto"/>
        <w:rPr>
          <w:rFonts w:hint="eastAsia" w:ascii="宋体" w:hAnsi="宋体" w:cs="宋体"/>
          <w:bCs/>
          <w:szCs w:val="21"/>
        </w:rPr>
      </w:pPr>
      <w:r>
        <w:rPr>
          <w:rFonts w:hint="eastAsia" w:ascii="宋体" w:hAnsi="宋体" w:cs="宋体"/>
          <w:bCs/>
          <w:szCs w:val="21"/>
        </w:rPr>
        <w:t xml:space="preserve">工作内容</w:t>
      </w:r>
      <w:r/>
    </w:p>
    <w:p>
      <w:pPr>
        <w:ind w:firstLine="420"/>
        <w:spacing w:line="360" w:lineRule="auto"/>
        <w:rPr>
          <w:rFonts w:hint="eastAsia" w:ascii="宋体" w:hAnsi="宋体" w:cs="宋体"/>
          <w:bCs/>
          <w:szCs w:val="21"/>
        </w:rPr>
      </w:pPr>
      <w:r>
        <w:rPr>
          <w:rFonts w:hint="eastAsia" w:ascii="宋体" w:hAnsi="宋体" w:cs="宋体"/>
          <w:bCs/>
          <w:szCs w:val="21"/>
        </w:rPr>
        <w:t xml:space="preserve">工作小组在经纪人设立工作办公室，工作小组具体工作内容包括：</w:t>
      </w:r>
      <w:r/>
    </w:p>
    <w:p>
      <w:pPr>
        <w:numPr>
          <w:ilvl w:val="0"/>
          <w:numId w:val="12"/>
        </w:numPr>
        <w:ind w:firstLine="420"/>
        <w:spacing w:line="360" w:lineRule="auto"/>
        <w:rPr>
          <w:rFonts w:hint="eastAsia" w:ascii="宋体" w:hAnsi="宋体" w:cs="宋体"/>
          <w:szCs w:val="21"/>
        </w:rPr>
      </w:pPr>
      <w:r>
        <w:rPr>
          <w:rFonts w:hint="eastAsia" w:ascii="宋体" w:hAnsi="宋体" w:cs="宋体"/>
          <w:szCs w:val="21"/>
        </w:rPr>
        <w:t xml:space="preserve">接受各方对工作中主要问题的反馈，协商处理办法；</w:t>
      </w:r>
      <w:r/>
    </w:p>
    <w:p>
      <w:pPr>
        <w:numPr>
          <w:ilvl w:val="0"/>
          <w:numId w:val="12"/>
        </w:numPr>
        <w:ind w:firstLine="420"/>
        <w:spacing w:line="360" w:lineRule="auto"/>
        <w:rPr>
          <w:rFonts w:hint="eastAsia" w:ascii="宋体" w:hAnsi="宋体" w:cs="宋体"/>
          <w:szCs w:val="21"/>
        </w:rPr>
      </w:pPr>
      <w:r>
        <w:rPr>
          <w:rFonts w:hint="eastAsia" w:ascii="宋体" w:hAnsi="宋体" w:cs="宋体"/>
          <w:szCs w:val="21"/>
        </w:rPr>
        <w:t xml:space="preserve">组织工作领导小组相关会议和活动；</w:t>
      </w:r>
      <w:r/>
    </w:p>
    <w:p>
      <w:pPr>
        <w:numPr>
          <w:ilvl w:val="0"/>
          <w:numId w:val="12"/>
        </w:numPr>
        <w:ind w:firstLine="420"/>
        <w:spacing w:line="360" w:lineRule="auto"/>
        <w:rPr>
          <w:rFonts w:hint="eastAsia" w:ascii="宋体" w:hAnsi="宋体" w:cs="宋体"/>
          <w:szCs w:val="21"/>
        </w:rPr>
      </w:pPr>
      <w:r>
        <w:rPr>
          <w:rFonts w:hint="eastAsia" w:ascii="宋体" w:hAnsi="宋体" w:cs="宋体"/>
          <w:szCs w:val="21"/>
        </w:rPr>
        <w:t xml:space="preserve">配合做好案件管理工作；</w:t>
      </w:r>
      <w:r/>
    </w:p>
    <w:p>
      <w:pPr>
        <w:numPr>
          <w:ilvl w:val="0"/>
          <w:numId w:val="12"/>
        </w:numPr>
        <w:ind w:firstLine="420"/>
        <w:spacing w:line="360" w:lineRule="auto"/>
        <w:rPr>
          <w:rFonts w:hint="eastAsia" w:ascii="宋体" w:hAnsi="宋体" w:cs="宋体"/>
          <w:szCs w:val="21"/>
        </w:rPr>
      </w:pPr>
      <w:r>
        <w:rPr>
          <w:rFonts w:hint="eastAsia" w:ascii="宋体" w:hAnsi="宋体" w:cs="宋体"/>
          <w:szCs w:val="21"/>
        </w:rPr>
        <w:t xml:space="preserve">配合、协助领导小组的工作。</w:t>
      </w:r>
      <w:r/>
    </w:p>
    <w:p>
      <w:pPr>
        <w:ind w:firstLine="420"/>
        <w:spacing w:line="360" w:lineRule="auto"/>
        <w:rPr>
          <w:rFonts w:hint="eastAsia" w:ascii="宋体" w:hAnsi="宋体" w:cs="宋体"/>
          <w:szCs w:val="21"/>
        </w:rPr>
      </w:pPr>
      <w:r>
        <w:rPr>
          <w:rFonts w:hint="eastAsia" w:ascii="宋体" w:hAnsi="宋体" w:cs="宋体"/>
          <w:szCs w:val="21"/>
        </w:rPr>
        <w:t xml:space="preserve">如上述人员变更调整，需以联席会议确定报经纪人备案进行变更。</w:t>
      </w:r>
      <w:r/>
    </w:p>
    <w:p>
      <w:pPr>
        <w:numPr>
          <w:ilvl w:val="0"/>
          <w:numId w:val="8"/>
        </w:numPr>
        <w:ind w:firstLine="422"/>
        <w:jc w:val="left"/>
        <w:spacing w:line="360" w:lineRule="auto"/>
        <w:rPr>
          <w:rFonts w:hint="eastAsia" w:ascii="宋体" w:hAnsi="宋体" w:cs="宋体"/>
          <w:b/>
          <w:bCs/>
          <w:szCs w:val="21"/>
        </w:rPr>
      </w:pPr>
      <w:r/>
      <w:bookmarkStart w:id="270" w:name="_Toc20337"/>
      <w:r>
        <w:rPr>
          <w:rFonts w:hint="eastAsia" w:ascii="宋体" w:hAnsi="宋体" w:cs="宋体"/>
          <w:b/>
          <w:bCs/>
          <w:szCs w:val="21"/>
        </w:rPr>
        <w:t xml:space="preserve">赔偿处理中心</w:t>
      </w:r>
      <w:bookmarkEnd w:id="270"/>
      <w:r/>
      <w:r/>
    </w:p>
    <w:p>
      <w:pPr>
        <w:ind w:firstLine="420"/>
        <w:spacing w:line="360" w:lineRule="auto"/>
        <w:rPr>
          <w:rFonts w:hint="eastAsia" w:ascii="宋体" w:hAnsi="宋体" w:cs="宋体"/>
          <w:bCs/>
          <w:szCs w:val="21"/>
        </w:rPr>
      </w:pPr>
      <w:r>
        <w:rPr>
          <w:rFonts w:hint="eastAsia" w:ascii="宋体" w:hAnsi="宋体" w:cs="宋体"/>
          <w:szCs w:val="21"/>
        </w:rPr>
        <w:t xml:space="preserve">中心成员包括双方</w:t>
      </w:r>
      <w:r>
        <w:rPr>
          <w:rFonts w:hint="eastAsia" w:ascii="宋体" w:hAnsi="宋体" w:cs="宋体"/>
          <w:bCs/>
          <w:szCs w:val="21"/>
        </w:rPr>
        <w:t xml:space="preserve">相关人员名单如下：</w:t>
      </w:r>
      <w:r/>
    </w:p>
    <w:p>
      <w:pPr>
        <w:numPr>
          <w:ilvl w:val="0"/>
          <w:numId w:val="13"/>
        </w:numPr>
        <w:spacing w:line="360" w:lineRule="auto"/>
        <w:rPr>
          <w:rFonts w:hint="eastAsia" w:ascii="宋体" w:hAnsi="宋体" w:cs="宋体"/>
          <w:bCs/>
          <w:szCs w:val="21"/>
        </w:rPr>
      </w:pPr>
      <w:r>
        <w:rPr>
          <w:rFonts w:hint="eastAsia" w:ascii="宋体" w:hAnsi="宋体" w:cs="宋体"/>
          <w:bCs/>
          <w:szCs w:val="21"/>
        </w:rPr>
        <w:t xml:space="preserve">人员构成</w:t>
      </w:r>
      <w:r/>
    </w:p>
    <w:tbl>
      <w:tblPr>
        <w:tblStyle w:val="867"/>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469"/>
        <w:gridCol w:w="924"/>
        <w:gridCol w:w="1730"/>
        <w:gridCol w:w="2526"/>
        <w:gridCol w:w="1998"/>
      </w:tblGrid>
      <w:tr>
        <w:trPr>
          <w:jc w:val="center"/>
          <w:trHeight w:val="283"/>
        </w:trPr>
        <w:tc>
          <w:tcPr>
            <w:shd w:val="clear" w:color="auto" w:fill="d9d9d9"/>
            <w:tcW w:w="84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成员</w:t>
            </w:r>
            <w:r/>
          </w:p>
        </w:tc>
        <w:tc>
          <w:tcPr>
            <w:shd w:val="clear" w:color="auto" w:fill="d9d9d9"/>
            <w:tcW w:w="5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姓名</w:t>
            </w:r>
            <w:r/>
          </w:p>
        </w:tc>
        <w:tc>
          <w:tcPr>
            <w:shd w:val="clear" w:color="auto" w:fill="d9d9d9"/>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单位及职务</w:t>
            </w:r>
            <w:r/>
          </w:p>
        </w:tc>
        <w:tc>
          <w:tcPr>
            <w:shd w:val="clear" w:color="auto" w:fill="d9d9d9"/>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联系方式</w:t>
            </w:r>
            <w:r/>
          </w:p>
        </w:tc>
        <w:tc>
          <w:tcPr>
            <w:shd w:val="clear" w:color="auto" w:fill="d9d9d9"/>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职责分工</w:t>
            </w:r>
            <w:r/>
          </w:p>
        </w:tc>
      </w:tr>
      <w:tr>
        <w:trPr>
          <w:jc w:val="center"/>
          <w:trHeight w:val="283"/>
        </w:trPr>
        <w:tc>
          <w:tcPr>
            <w:tcW w:w="84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5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5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5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5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84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53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numPr>
          <w:ilvl w:val="0"/>
          <w:numId w:val="13"/>
        </w:numPr>
        <w:spacing w:line="360" w:lineRule="auto"/>
        <w:rPr>
          <w:rFonts w:hint="eastAsia" w:ascii="宋体" w:hAnsi="宋体" w:cs="宋体"/>
          <w:bCs/>
          <w:szCs w:val="21"/>
        </w:rPr>
      </w:pPr>
      <w:r>
        <w:rPr>
          <w:rFonts w:hint="eastAsia" w:ascii="宋体" w:hAnsi="宋体" w:cs="宋体"/>
          <w:bCs/>
          <w:szCs w:val="21"/>
        </w:rPr>
        <w:t xml:space="preserve">工作内容</w:t>
      </w:r>
      <w:r/>
    </w:p>
    <w:p>
      <w:pPr>
        <w:numPr>
          <w:ilvl w:val="0"/>
          <w:numId w:val="14"/>
        </w:numPr>
        <w:ind w:firstLine="420"/>
        <w:spacing w:line="360" w:lineRule="auto"/>
        <w:rPr>
          <w:rFonts w:hint="eastAsia" w:ascii="宋体" w:hAnsi="宋体" w:cs="宋体"/>
          <w:szCs w:val="21"/>
        </w:rPr>
      </w:pPr>
      <w:r>
        <w:rPr>
          <w:rFonts w:hint="eastAsia" w:ascii="宋体" w:hAnsi="宋体" w:cs="宋体"/>
          <w:szCs w:val="21"/>
        </w:rPr>
        <w:t xml:space="preserve">配合南京鼓楼医院做好纠纷调解工作，负责医责险案件从报案、评估、索赔、结案和总结分析；</w:t>
      </w:r>
      <w:r/>
    </w:p>
    <w:p>
      <w:pPr>
        <w:numPr>
          <w:ilvl w:val="0"/>
          <w:numId w:val="14"/>
        </w:numPr>
        <w:ind w:firstLine="420"/>
        <w:spacing w:line="360" w:lineRule="auto"/>
        <w:rPr>
          <w:rFonts w:hint="eastAsia" w:ascii="宋体" w:hAnsi="宋体" w:cs="宋体"/>
          <w:szCs w:val="21"/>
        </w:rPr>
      </w:pPr>
      <w:r>
        <w:rPr>
          <w:rFonts w:hint="eastAsia" w:ascii="宋体" w:hAnsi="宋体" w:cs="宋体"/>
          <w:szCs w:val="21"/>
        </w:rPr>
        <w:t xml:space="preserve">配合医院做好案件索赔工作全流程案件的管理；</w:t>
      </w:r>
      <w:r/>
    </w:p>
    <w:p>
      <w:pPr>
        <w:numPr>
          <w:ilvl w:val="0"/>
          <w:numId w:val="14"/>
        </w:numPr>
        <w:ind w:firstLine="420"/>
        <w:spacing w:line="360" w:lineRule="auto"/>
        <w:rPr>
          <w:rFonts w:hint="eastAsia" w:ascii="宋体" w:hAnsi="宋体" w:cs="宋体"/>
          <w:szCs w:val="21"/>
        </w:rPr>
      </w:pPr>
      <w:r>
        <w:rPr>
          <w:rFonts w:hint="eastAsia" w:ascii="宋体" w:hAnsi="宋体" w:cs="宋体"/>
          <w:szCs w:val="21"/>
        </w:rPr>
        <w:t xml:space="preserve">对医责险案件进行数据统计分析；</w:t>
      </w:r>
      <w:r/>
    </w:p>
    <w:p>
      <w:pPr>
        <w:numPr>
          <w:ilvl w:val="0"/>
          <w:numId w:val="14"/>
        </w:numPr>
        <w:ind w:firstLine="420"/>
        <w:spacing w:line="360" w:lineRule="auto"/>
        <w:rPr>
          <w:rFonts w:hint="eastAsia" w:ascii="宋体" w:hAnsi="宋体" w:cs="宋体"/>
          <w:szCs w:val="21"/>
        </w:rPr>
      </w:pPr>
      <w:r>
        <w:rPr>
          <w:rFonts w:hint="eastAsia" w:ascii="宋体" w:hAnsi="宋体" w:cs="宋体"/>
          <w:szCs w:val="21"/>
        </w:rPr>
        <w:t xml:space="preserve">案件各节点工作协调。</w:t>
      </w:r>
      <w:r/>
    </w:p>
    <w:p>
      <w:pPr>
        <w:numPr>
          <w:ilvl w:val="0"/>
          <w:numId w:val="8"/>
        </w:numPr>
        <w:ind w:firstLine="422"/>
        <w:jc w:val="left"/>
        <w:spacing w:line="360" w:lineRule="auto"/>
        <w:rPr>
          <w:rFonts w:hint="eastAsia" w:ascii="宋体" w:hAnsi="宋体" w:cs="宋体"/>
          <w:b/>
          <w:bCs/>
          <w:szCs w:val="21"/>
        </w:rPr>
      </w:pPr>
      <w:r/>
      <w:bookmarkStart w:id="271" w:name="_Toc31567"/>
      <w:r>
        <w:rPr>
          <w:rFonts w:hint="eastAsia" w:ascii="宋体" w:hAnsi="宋体" w:cs="宋体"/>
          <w:b/>
          <w:bCs/>
          <w:szCs w:val="21"/>
        </w:rPr>
        <w:t xml:space="preserve">风险管理服务中心</w:t>
      </w:r>
      <w:bookmarkEnd w:id="271"/>
      <w:r/>
      <w:r/>
    </w:p>
    <w:p>
      <w:pPr>
        <w:ind w:firstLine="420"/>
        <w:spacing w:line="360" w:lineRule="auto"/>
        <w:rPr>
          <w:rFonts w:hint="eastAsia" w:ascii="宋体" w:hAnsi="宋体" w:cs="宋体"/>
          <w:bCs/>
          <w:szCs w:val="21"/>
        </w:rPr>
      </w:pPr>
      <w:r>
        <w:rPr>
          <w:rFonts w:hint="eastAsia" w:ascii="宋体" w:hAnsi="宋体" w:cs="宋体"/>
          <w:szCs w:val="21"/>
        </w:rPr>
        <w:t xml:space="preserve">风险管理服务中心成员由</w:t>
      </w:r>
      <w:r>
        <w:rPr>
          <w:rFonts w:hint="eastAsia" w:ascii="宋体" w:hAnsi="宋体" w:cs="宋体"/>
          <w:bCs/>
          <w:szCs w:val="21"/>
        </w:rPr>
        <w:t xml:space="preserve">经纪人相关人员组成，</w:t>
      </w:r>
      <w:r>
        <w:rPr>
          <w:rFonts w:hint="eastAsia" w:ascii="宋体" w:hAnsi="宋体" w:cs="宋体"/>
          <w:szCs w:val="21"/>
        </w:rPr>
        <w:t xml:space="preserve">风险管理服务中心</w:t>
      </w:r>
      <w:r>
        <w:rPr>
          <w:rFonts w:hint="eastAsia" w:ascii="宋体" w:hAnsi="宋体" w:cs="宋体"/>
          <w:bCs/>
          <w:szCs w:val="21"/>
        </w:rPr>
        <w:t xml:space="preserve">名单如下：</w:t>
      </w:r>
      <w:r/>
    </w:p>
    <w:p>
      <w:pPr>
        <w:numPr>
          <w:ilvl w:val="0"/>
          <w:numId w:val="15"/>
        </w:numPr>
        <w:spacing w:line="360" w:lineRule="auto"/>
        <w:rPr>
          <w:rFonts w:hint="eastAsia" w:ascii="宋体" w:hAnsi="宋体" w:cs="宋体"/>
          <w:bCs/>
          <w:szCs w:val="21"/>
        </w:rPr>
      </w:pPr>
      <w:r>
        <w:rPr>
          <w:rFonts w:hint="eastAsia" w:ascii="宋体" w:hAnsi="宋体" w:cs="宋体"/>
          <w:bCs/>
          <w:szCs w:val="21"/>
        </w:rPr>
        <w:t xml:space="preserve">人员构成</w:t>
      </w:r>
      <w:r/>
    </w:p>
    <w:tbl>
      <w:tblPr>
        <w:tblStyle w:val="867"/>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5" w:type="dxa"/>
          <w:top w:w="15" w:type="dxa"/>
          <w:right w:w="15" w:type="dxa"/>
          <w:bottom w:w="15" w:type="dxa"/>
        </w:tblCellMar>
        <w:tblLook w:val="04A0" w:firstRow="1" w:lastRow="0" w:firstColumn="1" w:lastColumn="0" w:noHBand="0" w:noVBand="1"/>
      </w:tblPr>
      <w:tblGrid>
        <w:gridCol w:w="1062"/>
        <w:gridCol w:w="1331"/>
        <w:gridCol w:w="1730"/>
        <w:gridCol w:w="2526"/>
        <w:gridCol w:w="1999"/>
      </w:tblGrid>
      <w:tr>
        <w:trPr>
          <w:jc w:val="center"/>
          <w:trHeight w:val="283"/>
        </w:trPr>
        <w:tc>
          <w:tcPr>
            <w:shd w:val="clear" w:color="auto" w:fill="d9d9d9"/>
            <w:tcW w:w="6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成员</w:t>
            </w:r>
            <w:r/>
          </w:p>
        </w:tc>
        <w:tc>
          <w:tcPr>
            <w:shd w:val="clear" w:color="auto" w:fill="d9d9d9"/>
            <w:tcW w:w="76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姓名</w:t>
            </w:r>
            <w:r/>
          </w:p>
        </w:tc>
        <w:tc>
          <w:tcPr>
            <w:shd w:val="clear" w:color="auto" w:fill="d9d9d9"/>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单位及职务</w:t>
            </w:r>
            <w:r/>
          </w:p>
        </w:tc>
        <w:tc>
          <w:tcPr>
            <w:shd w:val="clear" w:color="auto" w:fill="d9d9d9"/>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联系方式</w:t>
            </w:r>
            <w:r/>
          </w:p>
        </w:tc>
        <w:tc>
          <w:tcPr>
            <w:shd w:val="clear" w:color="auto" w:fill="d9d9d9"/>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职责分工</w:t>
            </w:r>
            <w:r/>
          </w:p>
        </w:tc>
      </w:tr>
      <w:tr>
        <w:trPr>
          <w:jc w:val="center"/>
          <w:trHeight w:val="283"/>
        </w:trPr>
        <w:tc>
          <w:tcPr>
            <w:tcW w:w="6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组长</w:t>
            </w:r>
            <w:r/>
          </w:p>
        </w:tc>
        <w:tc>
          <w:tcPr>
            <w:tcW w:w="76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6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副组长</w:t>
            </w:r>
            <w:r/>
          </w:p>
        </w:tc>
        <w:tc>
          <w:tcPr>
            <w:tcW w:w="76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3"/>
        </w:trPr>
        <w:tc>
          <w:tcPr>
            <w:tcW w:w="614"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成员</w:t>
            </w:r>
            <w:r/>
          </w:p>
        </w:tc>
        <w:tc>
          <w:tcPr>
            <w:tcW w:w="76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0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60"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155" w:type="pct"/>
            <w:vAlign w:val="top"/>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numPr>
          <w:ilvl w:val="0"/>
          <w:numId w:val="15"/>
        </w:numPr>
        <w:spacing w:line="360" w:lineRule="auto"/>
        <w:rPr>
          <w:rFonts w:hint="eastAsia" w:ascii="宋体" w:hAnsi="宋体" w:cs="宋体"/>
          <w:bCs/>
          <w:szCs w:val="21"/>
        </w:rPr>
      </w:pPr>
      <w:r>
        <w:rPr>
          <w:rFonts w:hint="eastAsia" w:ascii="宋体" w:hAnsi="宋体" w:cs="宋体"/>
          <w:bCs/>
          <w:szCs w:val="21"/>
        </w:rPr>
        <w:t xml:space="preserve">工作内容</w:t>
      </w:r>
      <w:r/>
    </w:p>
    <w:p>
      <w:pPr>
        <w:ind w:firstLine="420"/>
        <w:spacing w:line="360" w:lineRule="auto"/>
        <w:rPr>
          <w:rFonts w:hint="eastAsia" w:ascii="宋体" w:hAnsi="宋体" w:cs="宋体"/>
          <w:bCs/>
          <w:szCs w:val="21"/>
        </w:rPr>
      </w:pPr>
      <w:r>
        <w:rPr>
          <w:rFonts w:hint="eastAsia" w:ascii="宋体" w:hAnsi="宋体" w:cs="宋体"/>
          <w:szCs w:val="21"/>
        </w:rPr>
        <w:t xml:space="preserve">风险管理服务中心</w:t>
      </w:r>
      <w:r>
        <w:rPr>
          <w:rFonts w:hint="eastAsia" w:ascii="宋体" w:hAnsi="宋体" w:cs="宋体"/>
          <w:bCs/>
          <w:szCs w:val="21"/>
        </w:rPr>
        <w:t xml:space="preserve">在经纪人设立办公室，主要工作内容包括：</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协助医疗机构加强安全管理、促进医疗服务质量提升；</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配合医疗机构防范医疗风险，减少医疗纠纷；</w:t>
      </w:r>
      <w:r/>
    </w:p>
    <w:p>
      <w:pPr>
        <w:numPr>
          <w:ilvl w:val="0"/>
          <w:numId w:val="16"/>
        </w:numPr>
        <w:ind w:firstLine="420"/>
        <w:spacing w:line="360" w:lineRule="auto"/>
        <w:rPr>
          <w:rFonts w:hint="eastAsia" w:ascii="宋体" w:hAnsi="宋体" w:cs="宋体"/>
          <w:szCs w:val="21"/>
        </w:rPr>
      </w:pPr>
      <w:r>
        <w:rPr>
          <w:rFonts w:hint="eastAsia" w:ascii="宋体" w:hAnsi="宋体" w:cs="宋体"/>
          <w:szCs w:val="21"/>
        </w:rPr>
        <w:t xml:space="preserve">配合、协助工作领导小组的工作。</w:t>
      </w:r>
      <w:r/>
    </w:p>
    <w:p>
      <w:pPr>
        <w:pStyle w:val="858"/>
        <w:jc w:val="center"/>
        <w:spacing w:before="0" w:after="0" w:line="360" w:lineRule="auto"/>
        <w:rPr>
          <w:rFonts w:hint="eastAsia" w:ascii="宋体" w:hAnsi="宋体" w:eastAsia="宋体" w:cs="宋体"/>
          <w:sz w:val="21"/>
          <w:szCs w:val="21"/>
        </w:rPr>
      </w:pPr>
      <w:r/>
      <w:bookmarkStart w:id="272" w:name="_Toc32572"/>
      <w:r/>
      <w:bookmarkStart w:id="273" w:name="_Toc20631"/>
      <w:r>
        <w:rPr>
          <w:rFonts w:hint="eastAsia" w:ascii="宋体" w:hAnsi="宋体" w:eastAsia="宋体" w:cs="宋体"/>
          <w:sz w:val="21"/>
          <w:szCs w:val="21"/>
        </w:rPr>
        <w:t xml:space="preserve">第四部分 保险承保</w:t>
      </w:r>
      <w:bookmarkEnd w:id="272"/>
      <w:r/>
      <w:bookmarkEnd w:id="273"/>
      <w:r/>
      <w:r/>
    </w:p>
    <w:p>
      <w:pPr>
        <w:numPr>
          <w:ilvl w:val="0"/>
          <w:numId w:val="17"/>
        </w:numPr>
        <w:ind w:firstLine="422"/>
        <w:jc w:val="left"/>
        <w:spacing w:line="360" w:lineRule="auto"/>
        <w:rPr>
          <w:rFonts w:hint="eastAsia" w:ascii="宋体" w:hAnsi="宋体" w:cs="宋体"/>
          <w:b/>
          <w:bCs/>
          <w:szCs w:val="21"/>
        </w:rPr>
      </w:pPr>
      <w:r/>
      <w:bookmarkStart w:id="274" w:name="_Toc12"/>
      <w:r>
        <w:rPr>
          <w:rFonts w:hint="eastAsia" w:ascii="宋体" w:hAnsi="宋体" w:cs="宋体"/>
          <w:b/>
          <w:bCs/>
          <w:szCs w:val="21"/>
        </w:rPr>
        <w:t xml:space="preserve">承保份额</w:t>
      </w:r>
      <w:bookmarkEnd w:id="274"/>
      <w:r/>
      <w:r/>
    </w:p>
    <w:p>
      <w:pPr>
        <w:ind w:firstLine="420"/>
        <w:spacing w:line="360" w:lineRule="auto"/>
        <w:rPr>
          <w:rFonts w:hint="eastAsia" w:ascii="宋体" w:hAnsi="宋体" w:cs="宋体"/>
          <w:szCs w:val="21"/>
        </w:rPr>
      </w:pPr>
      <w:r>
        <w:rPr>
          <w:rFonts w:hint="eastAsia" w:ascii="宋体" w:hAnsi="宋体" w:cs="宋体"/>
          <w:szCs w:val="21"/>
        </w:rPr>
        <w:t xml:space="preserve">为增强各供应方承保能力，分担承保风险，双方特明确如下承保份额：</w:t>
      </w:r>
      <w:r/>
    </w:p>
    <w:tbl>
      <w:tblPr>
        <w:tblStyle w:val="86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6"/>
        <w:gridCol w:w="1799"/>
        <w:gridCol w:w="1799"/>
      </w:tblGrid>
      <w:tr>
        <w:trPr>
          <w:jc w:val="center"/>
        </w:trPr>
        <w:tc>
          <w:tcPr>
            <w:shd w:val="clear" w:color="auto" w:fill="d9d9d9"/>
            <w:tcW w:w="2963"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供应方成员</w:t>
            </w:r>
            <w:r/>
          </w:p>
        </w:tc>
        <w:tc>
          <w:tcPr>
            <w:shd w:val="clear" w:color="auto" w:fill="d9d9d9"/>
            <w:tcW w:w="1018"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承保份额</w:t>
            </w:r>
            <w:r/>
          </w:p>
        </w:tc>
        <w:tc>
          <w:tcPr>
            <w:shd w:val="clear" w:color="auto" w:fill="d9d9d9"/>
            <w:tcW w:w="1018"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供应方成员身份</w:t>
            </w:r>
            <w:r/>
          </w:p>
        </w:tc>
      </w:tr>
      <w:tr>
        <w:trPr>
          <w:jc w:val="center"/>
        </w:trPr>
        <w:tc>
          <w:tcPr>
            <w:tcW w:w="296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1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1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首承公司</w:t>
            </w:r>
            <w:r/>
          </w:p>
        </w:tc>
      </w:tr>
      <w:tr>
        <w:trPr>
          <w:jc w:val="center"/>
        </w:trPr>
        <w:tc>
          <w:tcPr>
            <w:tcW w:w="296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1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1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共保公司</w:t>
            </w:r>
            <w:r/>
          </w:p>
        </w:tc>
      </w:tr>
      <w:tr>
        <w:trPr>
          <w:jc w:val="center"/>
        </w:trPr>
        <w:tc>
          <w:tcPr>
            <w:tcW w:w="296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1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1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w:t>
            </w:r>
            <w:r/>
          </w:p>
        </w:tc>
      </w:tr>
      <w:tr>
        <w:trPr>
          <w:jc w:val="center"/>
        </w:trPr>
        <w:tc>
          <w:tcPr>
            <w:tcW w:w="296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1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01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numPr>
          <w:ilvl w:val="0"/>
          <w:numId w:val="18"/>
        </w:numPr>
        <w:spacing w:line="360" w:lineRule="auto"/>
        <w:rPr>
          <w:rFonts w:hint="eastAsia" w:ascii="宋体" w:hAnsi="宋体" w:cs="宋体"/>
          <w:szCs w:val="21"/>
        </w:rPr>
      </w:pPr>
      <w:r>
        <w:rPr>
          <w:rFonts w:hint="eastAsia" w:ascii="宋体" w:hAnsi="宋体" w:cs="宋体"/>
          <w:szCs w:val="21"/>
        </w:rPr>
        <w:t xml:space="preserve">首承公司在每次保费清分完成后向供应方其他成员发出书面支付通知书，供应方其他成员在接到首承公司发出的支付通知书后及时在共保协议约定的时间内向其指定账户结转相应费用。</w:t>
      </w:r>
      <w:r/>
    </w:p>
    <w:p>
      <w:pPr>
        <w:numPr>
          <w:ilvl w:val="0"/>
          <w:numId w:val="18"/>
        </w:numPr>
        <w:spacing w:line="360" w:lineRule="auto"/>
        <w:rPr>
          <w:rFonts w:hint="eastAsia" w:ascii="宋体" w:hAnsi="宋体" w:cs="宋体"/>
          <w:szCs w:val="21"/>
        </w:rPr>
      </w:pPr>
      <w:r>
        <w:rPr>
          <w:rFonts w:hint="eastAsia" w:ascii="宋体" w:hAnsi="宋体" w:cs="宋体"/>
          <w:szCs w:val="21"/>
        </w:rPr>
        <w:t xml:space="preserve">各供应商应按照首承公司发送的赔款分摊、出单费等费用的结算通知书，及时按照共保协议约定的时间将以上各项费用划转、结清，不得以其他原因为由拖延各项费用的结算。</w:t>
      </w:r>
      <w:r/>
    </w:p>
    <w:p>
      <w:pPr>
        <w:pStyle w:val="858"/>
        <w:jc w:val="center"/>
        <w:spacing w:before="0" w:after="0" w:line="360" w:lineRule="auto"/>
        <w:rPr>
          <w:rFonts w:hint="eastAsia" w:ascii="宋体" w:hAnsi="宋体" w:eastAsia="宋体" w:cs="宋体"/>
          <w:sz w:val="21"/>
          <w:szCs w:val="21"/>
        </w:rPr>
      </w:pPr>
      <w:r/>
      <w:bookmarkStart w:id="275" w:name="_Toc8754"/>
      <w:r/>
      <w:bookmarkStart w:id="276" w:name="_Toc742"/>
      <w:r>
        <w:rPr>
          <w:rFonts w:hint="eastAsia" w:ascii="宋体" w:hAnsi="宋体" w:eastAsia="宋体" w:cs="宋体"/>
          <w:sz w:val="21"/>
          <w:szCs w:val="21"/>
        </w:rPr>
        <w:t xml:space="preserve">第五部分 人民调解与案件处理</w:t>
      </w:r>
      <w:bookmarkEnd w:id="275"/>
      <w:r/>
      <w:bookmarkEnd w:id="276"/>
      <w:r/>
      <w:r/>
    </w:p>
    <w:p>
      <w:pPr>
        <w:numPr>
          <w:ilvl w:val="0"/>
          <w:numId w:val="19"/>
        </w:numPr>
        <w:ind w:firstLine="422"/>
        <w:jc w:val="left"/>
        <w:spacing w:line="360" w:lineRule="auto"/>
        <w:rPr>
          <w:rFonts w:hint="eastAsia" w:ascii="宋体" w:hAnsi="宋体" w:cs="宋体"/>
          <w:b/>
          <w:bCs/>
          <w:szCs w:val="21"/>
        </w:rPr>
      </w:pPr>
      <w:r/>
      <w:bookmarkStart w:id="277" w:name="_Toc10613"/>
      <w:r>
        <w:rPr>
          <w:rFonts w:hint="eastAsia" w:ascii="宋体" w:hAnsi="宋体" w:cs="宋体"/>
          <w:b/>
          <w:bCs/>
          <w:szCs w:val="21"/>
        </w:rPr>
        <w:t xml:space="preserve">人民调解</w:t>
      </w:r>
      <w:bookmarkEnd w:id="277"/>
      <w:r/>
      <w:r/>
    </w:p>
    <w:p>
      <w:pPr>
        <w:numPr>
          <w:ilvl w:val="0"/>
          <w:numId w:val="20"/>
        </w:numPr>
        <w:spacing w:line="360" w:lineRule="auto"/>
        <w:widowControl/>
        <w:rPr>
          <w:rFonts w:hint="eastAsia" w:ascii="宋体" w:hAnsi="宋体" w:cs="宋体"/>
          <w:szCs w:val="21"/>
        </w:rPr>
      </w:pPr>
      <w:r>
        <w:rPr>
          <w:rFonts w:hint="eastAsia" w:ascii="宋体" w:hAnsi="宋体" w:cs="宋体"/>
          <w:szCs w:val="21"/>
        </w:rPr>
        <w:t xml:space="preserve">人民调解组织</w:t>
      </w:r>
      <w:r/>
    </w:p>
    <w:p>
      <w:pPr>
        <w:ind w:firstLine="420"/>
        <w:spacing w:line="360" w:lineRule="auto"/>
        <w:widowControl/>
        <w:rPr>
          <w:rFonts w:hint="eastAsia" w:ascii="宋体" w:hAnsi="宋体" w:cs="宋体"/>
          <w:szCs w:val="21"/>
        </w:rPr>
      </w:pPr>
      <w:r>
        <w:rPr>
          <w:rFonts w:hint="eastAsia" w:ascii="宋体" w:hAnsi="宋体" w:cs="宋体"/>
          <w:szCs w:val="21"/>
        </w:rPr>
        <w:t xml:space="preserve">经纪人负责依照《人民调解法》等相关法律法规的规定，协助当地医疗纠纷调解组织工作开展。</w:t>
      </w:r>
      <w:r/>
    </w:p>
    <w:p>
      <w:pPr>
        <w:numPr>
          <w:ilvl w:val="0"/>
          <w:numId w:val="20"/>
        </w:numPr>
        <w:spacing w:line="360" w:lineRule="auto"/>
        <w:widowControl/>
        <w:rPr>
          <w:rFonts w:hint="eastAsia" w:ascii="宋体" w:hAnsi="宋体" w:cs="宋体"/>
          <w:szCs w:val="21"/>
        </w:rPr>
      </w:pPr>
      <w:r>
        <w:rPr>
          <w:rFonts w:hint="eastAsia" w:ascii="宋体" w:hAnsi="宋体" w:cs="宋体"/>
          <w:szCs w:val="21"/>
        </w:rPr>
        <w:t xml:space="preserve">运行机制</w:t>
      </w:r>
      <w:r/>
    </w:p>
    <w:p>
      <w:pPr>
        <w:ind w:firstLine="420"/>
        <w:spacing w:line="360" w:lineRule="auto"/>
        <w:widowControl/>
        <w:rPr>
          <w:rFonts w:hint="eastAsia" w:ascii="宋体" w:hAnsi="宋体" w:cs="宋体"/>
          <w:szCs w:val="21"/>
        </w:rPr>
      </w:pPr>
      <w:r>
        <w:rPr>
          <w:rFonts w:hint="eastAsia" w:ascii="宋体" w:hAnsi="宋体" w:cs="宋体"/>
          <w:szCs w:val="21"/>
        </w:rPr>
        <w:t xml:space="preserve">经纪人负责保障“南京地区医疗责任保险赔偿处理中心”的日常运营，包括费用保障、后勤保障、驻点服务网络、队伍建设、对外宣传、网络信息技术支持以及运营风险控制。经纪人依照相关法律法规聘用服务人员，建立和完善纠纷调处程序，接受社会各界监督。</w:t>
      </w:r>
      <w:r/>
    </w:p>
    <w:p>
      <w:pPr>
        <w:numPr>
          <w:ilvl w:val="0"/>
          <w:numId w:val="19"/>
        </w:numPr>
        <w:ind w:firstLine="422"/>
        <w:jc w:val="left"/>
        <w:spacing w:line="360" w:lineRule="auto"/>
        <w:rPr>
          <w:rFonts w:hint="eastAsia" w:ascii="宋体" w:hAnsi="宋体" w:cs="宋体"/>
          <w:b/>
          <w:bCs/>
          <w:szCs w:val="21"/>
        </w:rPr>
      </w:pPr>
      <w:r/>
      <w:bookmarkStart w:id="278" w:name="_Toc6713"/>
      <w:r>
        <w:rPr>
          <w:rFonts w:hint="eastAsia" w:ascii="宋体" w:hAnsi="宋体" w:cs="宋体"/>
          <w:b/>
          <w:bCs/>
          <w:szCs w:val="21"/>
        </w:rPr>
        <w:t xml:space="preserve">案件处理</w:t>
      </w:r>
      <w:bookmarkEnd w:id="278"/>
      <w:r/>
      <w:r/>
    </w:p>
    <w:p>
      <w:pPr>
        <w:numPr>
          <w:ilvl w:val="0"/>
          <w:numId w:val="21"/>
        </w:numPr>
        <w:spacing w:line="360" w:lineRule="auto"/>
        <w:widowControl/>
        <w:rPr>
          <w:rFonts w:hint="eastAsia" w:ascii="宋体" w:hAnsi="宋体" w:cs="宋体"/>
          <w:szCs w:val="21"/>
        </w:rPr>
      </w:pPr>
      <w:r>
        <w:rPr>
          <w:rFonts w:hint="eastAsia" w:ascii="宋体" w:hAnsi="宋体" w:cs="宋体"/>
          <w:szCs w:val="21"/>
        </w:rPr>
        <w:t xml:space="preserve">接报案</w:t>
      </w:r>
      <w:r/>
    </w:p>
    <w:p>
      <w:pPr>
        <w:numPr>
          <w:ilvl w:val="0"/>
          <w:numId w:val="22"/>
        </w:numPr>
        <w:ind w:firstLine="420"/>
        <w:spacing w:line="360" w:lineRule="auto"/>
        <w:widowControl/>
        <w:rPr>
          <w:rFonts w:hint="eastAsia" w:ascii="宋体" w:hAnsi="宋体" w:cs="宋体"/>
          <w:bCs/>
          <w:szCs w:val="21"/>
        </w:rPr>
      </w:pPr>
      <w:r>
        <w:rPr>
          <w:rFonts w:hint="eastAsia" w:ascii="宋体" w:hAnsi="宋体" w:cs="宋体"/>
          <w:szCs w:val="21"/>
        </w:rPr>
        <w:t xml:space="preserve">被保险人</w:t>
      </w:r>
      <w:r>
        <w:rPr>
          <w:rFonts w:hint="eastAsia" w:ascii="宋体" w:hAnsi="宋体" w:cs="宋体"/>
          <w:bCs/>
          <w:szCs w:val="21"/>
        </w:rPr>
        <w:t xml:space="preserve">通过</w:t>
      </w:r>
      <w:r>
        <w:rPr>
          <w:rFonts w:hint="eastAsia" w:ascii="宋体" w:hAnsi="宋体" w:cs="宋体"/>
          <w:szCs w:val="21"/>
        </w:rPr>
        <w:t xml:space="preserve">经纪人</w:t>
      </w:r>
      <w:r>
        <w:rPr>
          <w:rFonts w:hint="eastAsia" w:ascii="宋体" w:hAnsi="宋体" w:cs="宋体"/>
          <w:bCs/>
          <w:szCs w:val="21"/>
        </w:rPr>
        <w:t xml:space="preserve">报案的，</w:t>
      </w:r>
      <w:r>
        <w:rPr>
          <w:rFonts w:hint="eastAsia" w:ascii="宋体" w:hAnsi="宋体" w:cs="宋体"/>
          <w:szCs w:val="21"/>
        </w:rPr>
        <w:t xml:space="preserve">经纪人</w:t>
      </w:r>
      <w:r>
        <w:rPr>
          <w:rFonts w:hint="eastAsia" w:ascii="宋体" w:hAnsi="宋体" w:cs="宋体"/>
          <w:bCs/>
          <w:szCs w:val="21"/>
        </w:rPr>
        <w:t xml:space="preserve">应及时向供应方出单公司转报案。</w:t>
      </w:r>
      <w:r/>
    </w:p>
    <w:p>
      <w:pPr>
        <w:numPr>
          <w:ilvl w:val="0"/>
          <w:numId w:val="22"/>
        </w:numPr>
        <w:ind w:firstLine="420"/>
        <w:spacing w:line="360" w:lineRule="auto"/>
        <w:widowControl/>
        <w:rPr>
          <w:rFonts w:hint="eastAsia" w:ascii="宋体" w:hAnsi="宋体" w:cs="宋体"/>
          <w:bCs/>
          <w:szCs w:val="21"/>
        </w:rPr>
      </w:pPr>
      <w:r>
        <w:rPr>
          <w:rFonts w:hint="eastAsia" w:ascii="宋体" w:hAnsi="宋体" w:cs="宋体"/>
          <w:szCs w:val="21"/>
        </w:rPr>
        <w:t xml:space="preserve">被保险人</w:t>
      </w:r>
      <w:r>
        <w:rPr>
          <w:rFonts w:hint="eastAsia" w:ascii="宋体" w:hAnsi="宋体" w:cs="宋体"/>
          <w:bCs/>
          <w:szCs w:val="21"/>
        </w:rPr>
        <w:t xml:space="preserve">向供应方报案的，供应方应及时将报案信息反馈至</w:t>
      </w:r>
      <w:r>
        <w:rPr>
          <w:rFonts w:hint="eastAsia" w:ascii="宋体" w:hAnsi="宋体" w:cs="宋体"/>
          <w:szCs w:val="21"/>
        </w:rPr>
        <w:t xml:space="preserve">案管中心</w:t>
      </w:r>
      <w:r>
        <w:rPr>
          <w:rFonts w:hint="eastAsia" w:ascii="宋体" w:hAnsi="宋体" w:cs="宋体"/>
          <w:bCs/>
          <w:szCs w:val="21"/>
        </w:rPr>
        <w:t xml:space="preserve">。</w:t>
      </w:r>
      <w:r/>
    </w:p>
    <w:p>
      <w:pPr>
        <w:numPr>
          <w:ilvl w:val="0"/>
          <w:numId w:val="22"/>
        </w:numPr>
        <w:ind w:firstLine="420"/>
        <w:spacing w:line="360" w:lineRule="auto"/>
        <w:widowControl/>
        <w:rPr>
          <w:rFonts w:hint="eastAsia" w:ascii="宋体" w:hAnsi="宋体" w:cs="宋体"/>
          <w:bCs/>
          <w:szCs w:val="21"/>
        </w:rPr>
      </w:pPr>
      <w:r>
        <w:rPr>
          <w:rFonts w:hint="eastAsia" w:ascii="宋体" w:hAnsi="宋体" w:cs="宋体"/>
          <w:bCs/>
          <w:szCs w:val="21"/>
        </w:rPr>
        <w:t xml:space="preserve">以下情况，供应方应视同为及时报案：</w:t>
      </w:r>
      <w:r/>
    </w:p>
    <w:p>
      <w:pPr>
        <w:numPr>
          <w:ilvl w:val="0"/>
          <w:numId w:val="23"/>
        </w:numPr>
        <w:ind w:firstLine="420"/>
        <w:spacing w:line="360" w:lineRule="auto"/>
        <w:rPr>
          <w:rFonts w:hint="eastAsia" w:ascii="宋体" w:hAnsi="宋体" w:cs="宋体"/>
          <w:bCs/>
          <w:szCs w:val="21"/>
        </w:rPr>
      </w:pPr>
      <w:r>
        <w:rPr>
          <w:rFonts w:hint="eastAsia" w:ascii="宋体" w:hAnsi="宋体" w:cs="宋体"/>
          <w:bCs/>
          <w:szCs w:val="21"/>
        </w:rPr>
        <w:t xml:space="preserve">对于可从公共媒体包括电视台、权威互联网站等其他途径已经及时知道或者应当及时知道保险事故发生的；</w:t>
      </w:r>
      <w:r/>
    </w:p>
    <w:p>
      <w:pPr>
        <w:numPr>
          <w:ilvl w:val="0"/>
          <w:numId w:val="23"/>
        </w:numPr>
        <w:ind w:firstLine="420"/>
        <w:spacing w:line="360" w:lineRule="auto"/>
        <w:rPr>
          <w:rFonts w:hint="eastAsia" w:ascii="宋体" w:hAnsi="宋体" w:cs="宋体"/>
          <w:bCs/>
          <w:szCs w:val="21"/>
        </w:rPr>
      </w:pPr>
      <w:r>
        <w:rPr>
          <w:rFonts w:hint="eastAsia" w:ascii="宋体" w:hAnsi="宋体" w:cs="宋体"/>
          <w:bCs/>
          <w:szCs w:val="21"/>
        </w:rPr>
        <w:t xml:space="preserve">如因不可抗力因素无法及时报案，供应方认可被保险人及案管中心事后出具的书面说明，并视同为及时报案予以受理；</w:t>
      </w:r>
      <w:r/>
    </w:p>
    <w:p>
      <w:pPr>
        <w:numPr>
          <w:ilvl w:val="0"/>
          <w:numId w:val="23"/>
        </w:numPr>
        <w:ind w:firstLine="420"/>
        <w:spacing w:line="360" w:lineRule="auto"/>
        <w:rPr>
          <w:rFonts w:hint="eastAsia" w:ascii="宋体" w:hAnsi="宋体" w:cs="宋体"/>
          <w:bCs/>
          <w:szCs w:val="21"/>
        </w:rPr>
      </w:pPr>
      <w:r>
        <w:rPr>
          <w:rFonts w:hint="eastAsia" w:ascii="宋体" w:hAnsi="宋体" w:cs="宋体"/>
          <w:bCs/>
          <w:szCs w:val="21"/>
        </w:rPr>
        <w:t xml:space="preserve">供应方认可被保险人说明合理原因的未及时报案。</w:t>
      </w:r>
      <w:r/>
    </w:p>
    <w:p>
      <w:pPr>
        <w:numPr>
          <w:ilvl w:val="0"/>
          <w:numId w:val="22"/>
        </w:numPr>
        <w:ind w:firstLine="420"/>
        <w:spacing w:line="360" w:lineRule="auto"/>
        <w:widowControl/>
        <w:rPr>
          <w:rFonts w:hint="eastAsia" w:ascii="宋体" w:hAnsi="宋体" w:cs="宋体"/>
          <w:szCs w:val="21"/>
        </w:rPr>
      </w:pPr>
      <w:r>
        <w:rPr>
          <w:rFonts w:hint="eastAsia" w:ascii="宋体" w:hAnsi="宋体" w:cs="宋体"/>
          <w:bCs/>
          <w:szCs w:val="21"/>
        </w:rPr>
        <w:t xml:space="preserve">接转报案标准</w:t>
      </w:r>
      <w:r/>
    </w:p>
    <w:p>
      <w:pPr>
        <w:pStyle w:val="870"/>
        <w:spacing w:line="360" w:lineRule="auto"/>
        <w:rPr>
          <w:rFonts w:hint="eastAsia" w:ascii="宋体" w:hAnsi="宋体" w:cs="宋体"/>
          <w:szCs w:val="21"/>
        </w:rPr>
      </w:pPr>
      <w:r>
        <w:rPr>
          <w:rFonts w:hint="eastAsia" w:ascii="宋体" w:hAnsi="宋体" w:cs="宋体"/>
          <w:szCs w:val="21"/>
        </w:rPr>
        <w:t xml:space="preserve">案件符合下列标准之一的，经纪人协助被保险人向供应方出单公司转报案：</w:t>
      </w:r>
      <w:r/>
    </w:p>
    <w:p>
      <w:pPr>
        <w:pStyle w:val="870"/>
        <w:numPr>
          <w:ilvl w:val="0"/>
          <w:numId w:val="24"/>
        </w:numPr>
        <w:spacing w:line="360" w:lineRule="auto"/>
        <w:rPr>
          <w:rFonts w:hint="eastAsia" w:ascii="宋体" w:hAnsi="宋体" w:cs="宋体"/>
          <w:szCs w:val="21"/>
        </w:rPr>
      </w:pPr>
      <w:r>
        <w:rPr>
          <w:rFonts w:hint="eastAsia" w:ascii="宋体" w:hAnsi="宋体" w:cs="宋体"/>
          <w:szCs w:val="21"/>
        </w:rPr>
        <w:t xml:space="preserve">患方向被保险人提交了书面的赔偿请求材料或者有患方签字请求经济赔偿的纠纷事故调查笔录，被保险人向经纪人提交正式书面报案申请的纠纷案件；</w:t>
      </w:r>
      <w:r/>
    </w:p>
    <w:p>
      <w:pPr>
        <w:pStyle w:val="870"/>
        <w:numPr>
          <w:ilvl w:val="0"/>
          <w:numId w:val="24"/>
        </w:numPr>
        <w:spacing w:line="360" w:lineRule="auto"/>
        <w:rPr>
          <w:rFonts w:hint="eastAsia" w:ascii="宋体" w:hAnsi="宋体" w:cs="宋体"/>
          <w:szCs w:val="21"/>
        </w:rPr>
      </w:pPr>
      <w:r>
        <w:rPr>
          <w:rFonts w:hint="eastAsia" w:ascii="宋体" w:hAnsi="宋体" w:cs="宋体"/>
          <w:szCs w:val="21"/>
        </w:rPr>
        <w:t xml:space="preserve">医疗纠纷已被医调委受理，进入程序的调解案件；</w:t>
      </w:r>
      <w:r/>
    </w:p>
    <w:p>
      <w:pPr>
        <w:pStyle w:val="870"/>
        <w:numPr>
          <w:ilvl w:val="0"/>
          <w:numId w:val="24"/>
        </w:numPr>
        <w:spacing w:line="360" w:lineRule="auto"/>
        <w:rPr>
          <w:rFonts w:hint="eastAsia" w:ascii="宋体" w:hAnsi="宋体" w:cs="宋体"/>
          <w:szCs w:val="21"/>
        </w:rPr>
      </w:pPr>
      <w:r>
        <w:rPr>
          <w:rFonts w:hint="eastAsia" w:ascii="宋体" w:hAnsi="宋体" w:cs="宋体"/>
          <w:szCs w:val="21"/>
        </w:rPr>
        <w:t xml:space="preserve">被保险人收到法院传票并报案的诉讼案件。</w:t>
      </w:r>
      <w:r/>
    </w:p>
    <w:p>
      <w:pPr>
        <w:pStyle w:val="870"/>
        <w:numPr>
          <w:ilvl w:val="0"/>
          <w:numId w:val="24"/>
        </w:numPr>
        <w:spacing w:line="360" w:lineRule="auto"/>
        <w:rPr>
          <w:rFonts w:hint="eastAsia" w:ascii="宋体" w:hAnsi="宋体" w:cs="宋体"/>
          <w:szCs w:val="21"/>
        </w:rPr>
      </w:pPr>
      <w:r>
        <w:rPr>
          <w:rFonts w:hint="eastAsia" w:ascii="宋体" w:hAnsi="宋体" w:cs="宋体"/>
          <w:szCs w:val="21"/>
        </w:rPr>
        <w:t xml:space="preserve">行政调解案件、自主协商案件、仲裁案件。</w:t>
      </w:r>
      <w:r/>
    </w:p>
    <w:p>
      <w:pPr>
        <w:pStyle w:val="870"/>
        <w:spacing w:line="360" w:lineRule="auto"/>
        <w:rPr>
          <w:rFonts w:hint="eastAsia" w:ascii="宋体" w:hAnsi="宋体" w:cs="宋体"/>
          <w:szCs w:val="21"/>
        </w:rPr>
      </w:pPr>
      <w:r>
        <w:rPr>
          <w:rFonts w:hint="eastAsia" w:ascii="宋体" w:hAnsi="宋体" w:cs="宋体"/>
          <w:szCs w:val="21"/>
        </w:rPr>
        <w:t xml:space="preserve">不符合以上转报案标准的案件，经纪人应与供应方沟通明确并达成一致，确保案件信息一致。</w:t>
      </w:r>
      <w:r/>
    </w:p>
    <w:p>
      <w:pPr>
        <w:numPr>
          <w:ilvl w:val="0"/>
          <w:numId w:val="21"/>
        </w:numPr>
        <w:spacing w:line="360" w:lineRule="auto"/>
        <w:widowControl/>
        <w:rPr>
          <w:rFonts w:hint="eastAsia" w:ascii="宋体" w:hAnsi="宋体" w:cs="宋体"/>
          <w:szCs w:val="21"/>
        </w:rPr>
      </w:pPr>
      <w:r>
        <w:rPr>
          <w:rFonts w:hint="eastAsia" w:ascii="宋体" w:hAnsi="宋体" w:cs="宋体"/>
          <w:szCs w:val="21"/>
        </w:rPr>
        <w:t xml:space="preserve">理赔服务</w:t>
      </w:r>
      <w:r/>
    </w:p>
    <w:p>
      <w:pPr>
        <w:ind w:firstLine="420"/>
        <w:spacing w:line="360" w:lineRule="auto"/>
        <w:widowControl/>
        <w:rPr>
          <w:rFonts w:hint="eastAsia" w:ascii="宋体" w:hAnsi="宋体" w:cs="宋体"/>
          <w:szCs w:val="21"/>
        </w:rPr>
      </w:pPr>
      <w:r>
        <w:rPr>
          <w:rFonts w:hint="eastAsia" w:ascii="宋体" w:hAnsi="宋体" w:cs="宋体"/>
          <w:szCs w:val="21"/>
        </w:rPr>
        <w:t xml:space="preserve">供应方应为参与本产品的被保险人提供本协议约定的理赔服务，履行《鼓楼医院医疗机构医疗责任保险保险案件赔偿处理办法》的相关规定，《鼓楼医院医疗机构医疗责任保险保险案件赔偿处理办法》详见附件。</w:t>
      </w:r>
      <w:r/>
    </w:p>
    <w:p>
      <w:pPr>
        <w:numPr>
          <w:ilvl w:val="0"/>
          <w:numId w:val="25"/>
        </w:numPr>
        <w:ind w:firstLine="420"/>
        <w:spacing w:line="360" w:lineRule="auto"/>
        <w:widowControl/>
        <w:rPr>
          <w:rFonts w:hint="eastAsia" w:ascii="宋体" w:hAnsi="宋体" w:cs="宋体"/>
          <w:bCs/>
          <w:szCs w:val="21"/>
        </w:rPr>
      </w:pPr>
      <w:r>
        <w:rPr>
          <w:rFonts w:hint="eastAsia" w:ascii="宋体" w:hAnsi="宋体" w:cs="宋体"/>
          <w:bCs/>
          <w:szCs w:val="21"/>
        </w:rPr>
        <w:t xml:space="preserve">供应方认可本协议约定或联席会议决议通过的赔偿标准、索赔材料范围，并据此进行理赔和赔款摊回工作。</w:t>
      </w:r>
      <w:r/>
    </w:p>
    <w:p>
      <w:pPr>
        <w:numPr>
          <w:ilvl w:val="0"/>
          <w:numId w:val="25"/>
        </w:numPr>
        <w:ind w:firstLine="420"/>
        <w:spacing w:line="360" w:lineRule="auto"/>
        <w:widowControl/>
        <w:rPr>
          <w:rFonts w:hint="eastAsia" w:ascii="宋体" w:hAnsi="宋体" w:cs="宋体"/>
          <w:bCs/>
          <w:szCs w:val="21"/>
        </w:rPr>
      </w:pPr>
      <w:r>
        <w:rPr>
          <w:rFonts w:hint="eastAsia" w:ascii="宋体" w:hAnsi="宋体" w:cs="宋体"/>
          <w:bCs/>
          <w:szCs w:val="21"/>
        </w:rPr>
        <w:t xml:space="preserve">供应方在本协议约定时限内完成赔款划付和赔款摊回工作，保证本产品的顺利进行。</w:t>
      </w:r>
      <w:r/>
    </w:p>
    <w:p>
      <w:pPr>
        <w:numPr>
          <w:ilvl w:val="0"/>
          <w:numId w:val="25"/>
        </w:numPr>
        <w:ind w:firstLine="420"/>
        <w:spacing w:line="360" w:lineRule="auto"/>
        <w:widowControl/>
        <w:rPr>
          <w:rFonts w:hint="eastAsia" w:ascii="宋体" w:hAnsi="宋体" w:cs="宋体"/>
          <w:bCs/>
          <w:szCs w:val="21"/>
        </w:rPr>
      </w:pPr>
      <w:r>
        <w:rPr>
          <w:rFonts w:hint="eastAsia" w:ascii="宋体" w:hAnsi="宋体" w:cs="宋体"/>
          <w:bCs/>
          <w:szCs w:val="21"/>
        </w:rPr>
        <w:t xml:space="preserve">供应方出单公司不得以以往已决案件由于供应方共同承保人尚未支付应摊回赔款而拒绝支付新结案的赔款支付。</w:t>
      </w:r>
      <w:r/>
    </w:p>
    <w:p>
      <w:pPr>
        <w:numPr>
          <w:ilvl w:val="0"/>
          <w:numId w:val="25"/>
        </w:numPr>
        <w:ind w:firstLine="420"/>
        <w:spacing w:line="360" w:lineRule="auto"/>
        <w:widowControl/>
        <w:rPr>
          <w:rFonts w:hint="eastAsia" w:ascii="宋体" w:hAnsi="宋体" w:cs="宋体"/>
          <w:bCs/>
          <w:szCs w:val="21"/>
        </w:rPr>
      </w:pPr>
      <w:r>
        <w:rPr>
          <w:rFonts w:hint="eastAsia" w:ascii="宋体" w:hAnsi="宋体" w:cs="宋体"/>
          <w:bCs/>
          <w:szCs w:val="21"/>
        </w:rPr>
        <w:t xml:space="preserve">若患者的残疾程度可以被直观判断或通过病历或通过相似案例等相关资料能够明确判断伤残等级和误工期、营养期、护理期的，医疗纠纷调解组织可以依照最高人民法院、最高人民检察院、公安部、国家安全部、司法部发布的《人体损伤致残程度分级》确定患者残疾级别，出具伤残等级认定意见，供应方不再索要患者残疾程度证明。</w:t>
      </w:r>
      <w:r/>
    </w:p>
    <w:p>
      <w:pPr>
        <w:numPr>
          <w:ilvl w:val="0"/>
          <w:numId w:val="21"/>
        </w:numPr>
        <w:spacing w:line="360" w:lineRule="auto"/>
        <w:widowControl/>
        <w:rPr>
          <w:rFonts w:hint="eastAsia" w:ascii="宋体" w:hAnsi="宋体" w:cs="宋体"/>
          <w:szCs w:val="21"/>
        </w:rPr>
      </w:pPr>
      <w:r>
        <w:rPr>
          <w:rFonts w:hint="eastAsia" w:ascii="宋体" w:hAnsi="宋体" w:cs="宋体"/>
          <w:szCs w:val="21"/>
        </w:rPr>
        <w:t xml:space="preserve">赔偿依据</w:t>
      </w:r>
      <w:r/>
    </w:p>
    <w:p>
      <w:pPr>
        <w:ind w:firstLine="420"/>
        <w:spacing w:line="360" w:lineRule="auto"/>
        <w:widowControl/>
        <w:rPr>
          <w:rFonts w:hint="eastAsia" w:ascii="宋体" w:hAnsi="宋体" w:cs="宋体"/>
          <w:szCs w:val="21"/>
        </w:rPr>
      </w:pPr>
      <w:r>
        <w:rPr>
          <w:rFonts w:hint="eastAsia" w:ascii="宋体" w:hAnsi="宋体" w:cs="宋体"/>
          <w:szCs w:val="21"/>
        </w:rPr>
        <w:t xml:space="preserve">供应方认可并执行案管中心出具的《案件评估意见》和《赔款支付通知书》</w:t>
      </w:r>
      <w:r>
        <w:rPr>
          <w:rStyle w:val="906"/>
          <w:rFonts w:hint="eastAsia" w:ascii="宋体" w:hAnsi="宋体" w:cs="宋体"/>
          <w:szCs w:val="21"/>
        </w:rPr>
        <w:t xml:space="preserve">，将</w:t>
      </w:r>
      <w:r>
        <w:rPr>
          <w:rFonts w:hint="eastAsia" w:ascii="宋体" w:hAnsi="宋体" w:cs="宋体"/>
          <w:szCs w:val="21"/>
        </w:rPr>
        <w:t xml:space="preserve">符合本协议相关约定的医患双方自行和解协议书、</w:t>
      </w:r>
      <w:r>
        <w:rPr>
          <w:rFonts w:hint="eastAsia" w:ascii="宋体" w:hAnsi="宋体" w:cs="宋体"/>
          <w:bCs/>
          <w:szCs w:val="21"/>
        </w:rPr>
        <w:t xml:space="preserve">医疗纠纷调解组织</w:t>
      </w:r>
      <w:r>
        <w:rPr>
          <w:rFonts w:hint="eastAsia" w:ascii="宋体" w:hAnsi="宋体" w:cs="宋体"/>
          <w:szCs w:val="21"/>
        </w:rPr>
        <w:t xml:space="preserve">主持签订的调解协议书、卫生行政部门出具的行政调解书、人民法院出具的民事调解书或判决书作为供应方赔偿的依据。</w:t>
      </w:r>
      <w:r/>
    </w:p>
    <w:p>
      <w:pPr>
        <w:numPr>
          <w:ilvl w:val="0"/>
          <w:numId w:val="21"/>
        </w:numPr>
        <w:spacing w:line="360" w:lineRule="auto"/>
        <w:widowControl/>
        <w:rPr>
          <w:rFonts w:hint="eastAsia" w:ascii="宋体" w:hAnsi="宋体" w:cs="宋体"/>
          <w:szCs w:val="21"/>
        </w:rPr>
      </w:pPr>
      <w:r>
        <w:rPr>
          <w:rFonts w:hint="eastAsia" w:ascii="宋体" w:hAnsi="宋体" w:cs="宋体"/>
          <w:szCs w:val="21"/>
        </w:rPr>
        <w:t xml:space="preserve">赔款支付注意事项</w:t>
      </w:r>
      <w:r/>
    </w:p>
    <w:p>
      <w:pPr>
        <w:numPr>
          <w:ilvl w:val="0"/>
          <w:numId w:val="26"/>
        </w:numPr>
        <w:ind w:firstLine="420"/>
        <w:spacing w:line="360" w:lineRule="auto"/>
        <w:widowControl/>
        <w:rPr>
          <w:rFonts w:hint="eastAsia" w:ascii="宋体" w:hAnsi="宋体" w:cs="宋体"/>
          <w:bCs/>
          <w:szCs w:val="21"/>
        </w:rPr>
      </w:pPr>
      <w:r>
        <w:rPr>
          <w:rFonts w:hint="eastAsia" w:ascii="宋体" w:hAnsi="宋体" w:cs="宋体"/>
          <w:bCs/>
          <w:szCs w:val="21"/>
        </w:rPr>
        <w:t xml:space="preserve">供应方出单公司不得以需要征询供应方共同承保人意见为由影响支付赔款时效。</w:t>
      </w:r>
      <w:r/>
    </w:p>
    <w:p>
      <w:pPr>
        <w:numPr>
          <w:ilvl w:val="0"/>
          <w:numId w:val="26"/>
        </w:numPr>
        <w:ind w:firstLine="420"/>
        <w:spacing w:line="360" w:lineRule="auto"/>
        <w:widowControl/>
        <w:rPr>
          <w:rFonts w:hint="eastAsia" w:ascii="宋体" w:hAnsi="宋体" w:cs="宋体"/>
          <w:bCs/>
          <w:szCs w:val="21"/>
        </w:rPr>
      </w:pPr>
      <w:r>
        <w:rPr>
          <w:rFonts w:hint="eastAsia" w:ascii="宋体" w:hAnsi="宋体" w:cs="宋体"/>
          <w:bCs/>
          <w:szCs w:val="21"/>
        </w:rPr>
        <w:t xml:space="preserve">供应方同意，除另有约定外，供应方出单公司在接到案管中心出具的《鼓楼医院医疗机构医疗责任保险赔款支付通知书》及按照协议约定收集的索赔材料后，按照以下时限向被保险人、受益人或第三者支付赔款：</w:t>
      </w:r>
      <w:r/>
    </w:p>
    <w:tbl>
      <w:tblPr>
        <w:tblStyle w:val="86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988"/>
        <w:gridCol w:w="5146"/>
        <w:gridCol w:w="2700"/>
      </w:tblGrid>
      <w:tr>
        <w:trPr>
          <w:jc w:val="center"/>
          <w:trHeight w:val="377"/>
        </w:trPr>
        <w:tc>
          <w:tcPr>
            <w:shd w:val="clear" w:color="auto" w:fill="d9d9d9"/>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序号</w:t>
            </w:r>
            <w:r/>
          </w:p>
        </w:tc>
        <w:tc>
          <w:tcPr>
            <w:shd w:val="clear" w:color="auto" w:fill="d9d9d9"/>
            <w:tcBorders>
              <w:top w:val="single" w:color="000000" w:sz="4" w:space="0"/>
              <w:left w:val="none" w:color="000000" w:sz="4" w:space="0"/>
              <w:bottom w:val="single" w:color="000000" w:sz="4" w:space="0"/>
              <w:right w:val="single" w:color="000000" w:sz="4" w:space="0"/>
            </w:tcBorders>
            <w:tcW w:w="2912"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赔款金额</w:t>
            </w:r>
            <w:r/>
          </w:p>
        </w:tc>
        <w:tc>
          <w:tcPr>
            <w:shd w:val="clear" w:color="auto" w:fill="d9d9d9"/>
            <w:tcBorders>
              <w:top w:val="single" w:color="000000" w:sz="4" w:space="0"/>
              <w:left w:val="none" w:color="000000" w:sz="4" w:space="0"/>
              <w:bottom w:val="single" w:color="000000" w:sz="4" w:space="0"/>
              <w:right w:val="single" w:color="000000" w:sz="4" w:space="0"/>
            </w:tcBorders>
            <w:tcW w:w="1528"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赔付时效</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29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赔款金额≤RMB5000元</w:t>
            </w:r>
            <w:r/>
          </w:p>
        </w:tc>
        <w:tc>
          <w:tcPr>
            <w:tcBorders>
              <w:top w:val="single" w:color="000000" w:sz="4" w:space="0"/>
              <w:left w:val="none" w:color="000000" w:sz="4" w:space="0"/>
              <w:bottom w:val="single" w:color="000000" w:sz="4" w:space="0"/>
              <w:right w:val="single" w:color="000000" w:sz="4" w:space="0"/>
            </w:tcBorders>
            <w:tcW w:w="15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3个工作日内支付</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29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RMB5000元＜赔款金额≤RMB50000元</w:t>
            </w:r>
            <w:r/>
          </w:p>
        </w:tc>
        <w:tc>
          <w:tcPr>
            <w:tcBorders>
              <w:top w:val="single" w:color="000000" w:sz="4" w:space="0"/>
              <w:left w:val="none" w:color="000000" w:sz="4" w:space="0"/>
              <w:bottom w:val="single" w:color="000000" w:sz="4" w:space="0"/>
              <w:right w:val="single" w:color="000000" w:sz="4" w:space="0"/>
            </w:tcBorders>
            <w:tcW w:w="15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5个工作日内支付</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559"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none" w:color="000000" w:sz="4" w:space="0"/>
              <w:bottom w:val="single" w:color="000000" w:sz="4" w:space="0"/>
              <w:right w:val="single" w:color="000000" w:sz="4" w:space="0"/>
            </w:tcBorders>
            <w:tcW w:w="291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RMB50000元＜赔款金额</w:t>
            </w:r>
            <w:r/>
          </w:p>
        </w:tc>
        <w:tc>
          <w:tcPr>
            <w:tcBorders>
              <w:top w:val="single" w:color="000000" w:sz="4" w:space="0"/>
              <w:left w:val="none" w:color="000000" w:sz="4" w:space="0"/>
              <w:bottom w:val="single" w:color="000000" w:sz="4" w:space="0"/>
              <w:right w:val="single" w:color="000000" w:sz="4" w:space="0"/>
            </w:tcBorders>
            <w:tcW w:w="1528"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10个工作日内支付</w:t>
            </w:r>
            <w:r/>
          </w:p>
        </w:tc>
      </w:tr>
    </w:tbl>
    <w:p>
      <w:pPr>
        <w:numPr>
          <w:ilvl w:val="0"/>
          <w:numId w:val="26"/>
        </w:numPr>
        <w:ind w:firstLine="420"/>
        <w:spacing w:line="360" w:lineRule="auto"/>
        <w:widowControl/>
        <w:rPr>
          <w:rFonts w:hint="eastAsia" w:ascii="宋体" w:hAnsi="宋体" w:cs="宋体"/>
          <w:bCs/>
          <w:szCs w:val="21"/>
        </w:rPr>
      </w:pPr>
      <w:r>
        <w:rPr>
          <w:rFonts w:hint="eastAsia" w:ascii="宋体" w:hAnsi="宋体" w:cs="宋体"/>
          <w:bCs/>
          <w:szCs w:val="21"/>
        </w:rPr>
        <w:t xml:space="preserve">供应方首承公司每月初的前5个工作日与</w:t>
      </w:r>
      <w:r>
        <w:rPr>
          <w:rFonts w:hint="eastAsia" w:ascii="宋体" w:hAnsi="宋体" w:cs="宋体"/>
          <w:szCs w:val="21"/>
        </w:rPr>
        <w:t xml:space="preserve">经纪人</w:t>
      </w:r>
      <w:r>
        <w:rPr>
          <w:rFonts w:hint="eastAsia" w:ascii="宋体" w:hAnsi="宋体" w:cs="宋体"/>
          <w:bCs/>
          <w:szCs w:val="21"/>
        </w:rPr>
        <w:t xml:space="preserve">核对本产品案件处理情况，就具体案件数量、已赔款金额、未决金额、索赔材料等内容进行沟通，双方以书面形式确认。</w:t>
      </w:r>
      <w:r/>
    </w:p>
    <w:p>
      <w:pPr>
        <w:numPr>
          <w:ilvl w:val="0"/>
          <w:numId w:val="26"/>
        </w:numPr>
        <w:ind w:firstLine="420"/>
        <w:spacing w:line="360" w:lineRule="auto"/>
        <w:widowControl/>
        <w:rPr>
          <w:rFonts w:hint="eastAsia" w:ascii="宋体" w:hAnsi="宋体" w:cs="宋体"/>
          <w:bCs/>
          <w:szCs w:val="21"/>
        </w:rPr>
      </w:pPr>
      <w:r>
        <w:rPr>
          <w:rFonts w:hint="eastAsia" w:ascii="宋体" w:hAnsi="宋体" w:cs="宋体"/>
          <w:bCs/>
          <w:szCs w:val="21"/>
        </w:rPr>
        <w:t xml:space="preserve">如供应方首承公司未按约定时间支付赔款，则应按照实际拖延天数向相关的被保险人支付违约金，违约金为未结清款项数额的日利率万分之五。</w:t>
      </w:r>
      <w:r/>
    </w:p>
    <w:p>
      <w:pPr>
        <w:numPr>
          <w:ilvl w:val="0"/>
          <w:numId w:val="21"/>
        </w:numPr>
        <w:spacing w:line="360" w:lineRule="auto"/>
        <w:widowControl/>
        <w:rPr>
          <w:rFonts w:hint="eastAsia" w:ascii="宋体" w:hAnsi="宋体" w:cs="宋体"/>
          <w:szCs w:val="21"/>
        </w:rPr>
      </w:pPr>
      <w:r>
        <w:rPr>
          <w:rFonts w:hint="eastAsia" w:ascii="宋体" w:hAnsi="宋体" w:cs="宋体"/>
          <w:szCs w:val="21"/>
        </w:rPr>
        <w:t xml:space="preserve">绿色通道</w:t>
      </w:r>
      <w:r/>
    </w:p>
    <w:p>
      <w:p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对属于保险责任事故的医疗纠纷且协议金额在20,000元（含）以下的案件，医疗机构可采用简易程序处理，自行与患者达成调解赔偿协议，医院每一保险年度采用本程序处理的案件赔偿总额按照年缴保费的5%作为自行处理的累计赔偿额。</w:t>
      </w:r>
      <w:r/>
    </w:p>
    <w:p>
      <w:pPr>
        <w:numPr>
          <w:ilvl w:val="0"/>
          <w:numId w:val="21"/>
        </w:numPr>
        <w:spacing w:line="360" w:lineRule="auto"/>
        <w:widowControl/>
        <w:rPr>
          <w:rFonts w:hint="eastAsia" w:ascii="宋体" w:hAnsi="宋体" w:cs="宋体"/>
          <w:szCs w:val="21"/>
        </w:rPr>
      </w:pPr>
      <w:r>
        <w:rPr>
          <w:rFonts w:hint="eastAsia" w:ascii="宋体" w:hAnsi="宋体" w:cs="宋体"/>
          <w:szCs w:val="21"/>
        </w:rPr>
        <w:t xml:space="preserve">结案与销案标准</w:t>
      </w:r>
      <w:r/>
    </w:p>
    <w:p>
      <w:pPr>
        <w:numPr>
          <w:ilvl w:val="0"/>
          <w:numId w:val="27"/>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结案标准</w:t>
      </w:r>
      <w:r/>
    </w:p>
    <w:p>
      <w:p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符合下列标准的，经纪人应当通知供应方做结案处理：</w:t>
      </w:r>
      <w:r/>
    </w:p>
    <w:p>
      <w:pPr>
        <w:numPr>
          <w:ilvl w:val="0"/>
          <w:numId w:val="28"/>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已达到年度保单的赔偿限额或事故损失小于免赔额，且供应方</w:t>
      </w:r>
      <w:r>
        <w:rPr>
          <w:rFonts w:hint="eastAsia" w:ascii="宋体" w:hAnsi="宋体" w:cs="宋体"/>
          <w:bCs/>
          <w:szCs w:val="21"/>
        </w:rPr>
        <w:t xml:space="preserve">出具拒赔通知的；</w:t>
      </w:r>
      <w:r/>
    </w:p>
    <w:p>
      <w:pPr>
        <w:numPr>
          <w:ilvl w:val="0"/>
          <w:numId w:val="28"/>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正常支付赔款的。</w:t>
      </w:r>
      <w:r/>
    </w:p>
    <w:p>
      <w:pPr>
        <w:numPr>
          <w:ilvl w:val="0"/>
          <w:numId w:val="27"/>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销案标准</w:t>
      </w:r>
      <w:r/>
    </w:p>
    <w:p>
      <w:p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符合下列标准的，经纪人应当通知供应方做销案处理：</w:t>
      </w:r>
      <w:r/>
    </w:p>
    <w:p>
      <w:pPr>
        <w:numPr>
          <w:ilvl w:val="0"/>
          <w:numId w:val="29"/>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被保险人报错案或重复报案，经纪人协助被保险人上传书面说明材料的；</w:t>
      </w:r>
      <w:r/>
    </w:p>
    <w:p>
      <w:pPr>
        <w:numPr>
          <w:ilvl w:val="0"/>
          <w:numId w:val="29"/>
        </w:numPr>
        <w:ind w:firstLine="420"/>
        <w:spacing w:line="360" w:lineRule="auto"/>
        <w:widowControl/>
        <w:tabs>
          <w:tab w:val="left" w:pos="0" w:leader="none"/>
          <w:tab w:val="left" w:pos="1440" w:leader="none"/>
        </w:tabs>
        <w:rPr>
          <w:rFonts w:hint="eastAsia" w:ascii="宋体" w:hAnsi="宋体" w:cs="宋体"/>
          <w:szCs w:val="21"/>
        </w:rPr>
      </w:pPr>
      <w:r>
        <w:rPr>
          <w:rFonts w:hint="eastAsia" w:ascii="宋体" w:hAnsi="宋体" w:cs="宋体"/>
          <w:szCs w:val="21"/>
        </w:rPr>
        <w:t xml:space="preserve">被保险人超过六个月仍未提交索赔材料的；</w:t>
      </w:r>
      <w:r/>
    </w:p>
    <w:p>
      <w:pPr>
        <w:numPr>
          <w:ilvl w:val="0"/>
          <w:numId w:val="29"/>
        </w:numPr>
        <w:ind w:firstLine="420"/>
        <w:spacing w:line="360" w:lineRule="auto"/>
        <w:widowControl/>
        <w:tabs>
          <w:tab w:val="left" w:pos="0" w:leader="none"/>
          <w:tab w:val="left" w:pos="1440" w:leader="none"/>
        </w:tabs>
        <w:rPr>
          <w:rFonts w:hint="eastAsia" w:ascii="宋体" w:hAnsi="宋体" w:cs="宋体"/>
          <w:szCs w:val="21"/>
        </w:rPr>
      </w:pPr>
      <w:r>
        <w:rPr>
          <w:rFonts w:hint="eastAsia" w:ascii="宋体" w:hAnsi="宋体" w:cs="宋体"/>
          <w:szCs w:val="21"/>
        </w:rPr>
        <w:t xml:space="preserve">供应方接到经纪人书面通知的。</w:t>
      </w:r>
      <w:r/>
    </w:p>
    <w:p>
      <w:pPr>
        <w:numPr>
          <w:ilvl w:val="0"/>
          <w:numId w:val="27"/>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零结案标准</w:t>
      </w:r>
      <w:r/>
    </w:p>
    <w:p>
      <w:p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符合下列标准的，经纪人应当通知供应方做零结案处理：</w:t>
      </w:r>
      <w:r/>
    </w:p>
    <w:p>
      <w:pPr>
        <w:numPr>
          <w:ilvl w:val="0"/>
          <w:numId w:val="30"/>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调解案件，经专家评估和调解，认定被保险人无责，上传被保险人或患者签字同意的无责终结通知书的；</w:t>
      </w:r>
      <w:r/>
    </w:p>
    <w:p>
      <w:pPr>
        <w:numPr>
          <w:ilvl w:val="0"/>
          <w:numId w:val="30"/>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诉讼案件，经法院判决被保险人无需承担赔偿责任的，上传法院判决文书的；</w:t>
      </w:r>
      <w:r/>
    </w:p>
    <w:p>
      <w:pPr>
        <w:numPr>
          <w:ilvl w:val="0"/>
          <w:numId w:val="30"/>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已向供应方报案且供应方已立案的非调解中、诉讼中的纠纷类案件，被保险人超2年无法联系到患方、实际未承担赔偿责任、无法提交索赔资料的；</w:t>
      </w:r>
      <w:r/>
    </w:p>
    <w:p>
      <w:pPr>
        <w:numPr>
          <w:ilvl w:val="0"/>
          <w:numId w:val="30"/>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经协调被保险人放弃向供应方索赔，且有被保险人确认的电话录音（号码原则上应为被保险人报案来电号码）或被保险人提交书面材料的；</w:t>
      </w:r>
      <w:r/>
    </w:p>
    <w:p>
      <w:pPr>
        <w:numPr>
          <w:ilvl w:val="0"/>
          <w:numId w:val="30"/>
        </w:numPr>
        <w:ind w:firstLine="420"/>
        <w:spacing w:line="360" w:lineRule="auto"/>
        <w:widowControl/>
        <w:tabs>
          <w:tab w:val="left" w:pos="0" w:leader="none"/>
          <w:tab w:val="left" w:pos="1440" w:leader="none"/>
        </w:tabs>
        <w:rPr>
          <w:rFonts w:hint="eastAsia" w:ascii="宋体" w:hAnsi="宋体" w:cs="宋体"/>
          <w:bCs/>
          <w:szCs w:val="21"/>
        </w:rPr>
      </w:pPr>
      <w:r>
        <w:rPr>
          <w:rFonts w:hint="eastAsia" w:ascii="宋体" w:hAnsi="宋体" w:cs="宋体"/>
          <w:bCs/>
          <w:szCs w:val="21"/>
        </w:rPr>
        <w:t xml:space="preserve">供应方接到经纪人书面通知的。</w:t>
      </w:r>
      <w:r/>
    </w:p>
    <w:p>
      <w:pPr>
        <w:numPr>
          <w:ilvl w:val="0"/>
          <w:numId w:val="21"/>
        </w:numPr>
        <w:spacing w:line="360" w:lineRule="auto"/>
        <w:widowControl/>
        <w:rPr>
          <w:rFonts w:hint="eastAsia" w:ascii="宋体" w:hAnsi="宋体" w:cs="宋体"/>
          <w:szCs w:val="21"/>
        </w:rPr>
      </w:pPr>
      <w:r>
        <w:rPr>
          <w:rFonts w:hint="eastAsia" w:ascii="宋体" w:hAnsi="宋体" w:cs="宋体"/>
          <w:szCs w:val="21"/>
        </w:rPr>
        <w:t xml:space="preserve">案件重开</w:t>
      </w:r>
      <w:r/>
    </w:p>
    <w:p>
      <w:pPr>
        <w:ind w:firstLine="420"/>
        <w:spacing w:line="360" w:lineRule="auto"/>
        <w:widowControl/>
        <w:tabs>
          <w:tab w:val="left" w:pos="0" w:leader="none"/>
          <w:tab w:val="left" w:pos="1440" w:leader="none"/>
        </w:tabs>
        <w:rPr>
          <w:rFonts w:hint="eastAsia" w:ascii="宋体" w:hAnsi="宋体" w:cs="宋体"/>
          <w:szCs w:val="21"/>
        </w:rPr>
      </w:pPr>
      <w:r>
        <w:rPr>
          <w:rFonts w:hint="eastAsia" w:ascii="宋体" w:hAnsi="宋体" w:cs="宋体"/>
          <w:szCs w:val="21"/>
        </w:rPr>
        <w:t xml:space="preserve">对于供应方已做销案处理的案件，在不违反相关法律法规的前提下，被保险人保留此类案件后续索赔的权利。对于患者再次向被保险人提出索赔的，供应方同意进行案件重开处理。供应方不得以超出索赔时限为由拒绝重开。</w:t>
      </w:r>
      <w:r/>
    </w:p>
    <w:p>
      <w:pPr>
        <w:pStyle w:val="858"/>
        <w:jc w:val="center"/>
        <w:spacing w:before="0" w:after="0" w:line="360" w:lineRule="auto"/>
        <w:rPr>
          <w:rFonts w:hint="eastAsia" w:ascii="宋体" w:hAnsi="宋体" w:eastAsia="宋体" w:cs="宋体"/>
          <w:sz w:val="21"/>
          <w:szCs w:val="21"/>
        </w:rPr>
      </w:pPr>
      <w:r/>
      <w:bookmarkStart w:id="279" w:name="_Toc16312"/>
      <w:r/>
      <w:bookmarkStart w:id="280" w:name="_Toc31112"/>
      <w:r>
        <w:rPr>
          <w:rFonts w:hint="eastAsia" w:ascii="宋体" w:hAnsi="宋体" w:eastAsia="宋体" w:cs="宋体"/>
          <w:sz w:val="21"/>
          <w:szCs w:val="21"/>
        </w:rPr>
        <w:t xml:space="preserve">第六部分 保险供应服务</w:t>
      </w:r>
      <w:bookmarkEnd w:id="279"/>
      <w:r/>
      <w:bookmarkEnd w:id="280"/>
      <w:r/>
      <w:r/>
    </w:p>
    <w:p>
      <w:pPr>
        <w:ind w:firstLine="420"/>
        <w:spacing w:line="360" w:lineRule="auto"/>
        <w:rPr>
          <w:rFonts w:hint="eastAsia" w:ascii="宋体" w:hAnsi="宋体" w:cs="宋体"/>
          <w:b/>
          <w:szCs w:val="21"/>
        </w:rPr>
      </w:pPr>
      <w:r>
        <w:rPr>
          <w:rFonts w:hint="eastAsia" w:ascii="宋体" w:hAnsi="宋体" w:cs="宋体"/>
          <w:szCs w:val="21"/>
        </w:rPr>
        <w:t xml:space="preserve">供应方应为南京鼓楼医院提供以下服务，包括成立专项服务人员工作小组、提供防灾防损、定期提供理赔统计报表等相关理赔服务、内部服务指导范本和内部培训的实施等内容。</w:t>
      </w:r>
      <w:r/>
    </w:p>
    <w:p>
      <w:pPr>
        <w:ind w:firstLine="422"/>
        <w:spacing w:line="360" w:lineRule="auto"/>
        <w:rPr>
          <w:rFonts w:hint="eastAsia" w:ascii="宋体" w:hAnsi="宋体" w:cs="宋体"/>
          <w:b/>
          <w:szCs w:val="21"/>
        </w:rPr>
      </w:pPr>
      <w:r/>
      <w:bookmarkStart w:id="281" w:name="_Toc1416"/>
      <w:r>
        <w:rPr>
          <w:rFonts w:hint="eastAsia" w:ascii="宋体" w:hAnsi="宋体" w:cs="宋体"/>
          <w:b/>
          <w:szCs w:val="21"/>
        </w:rPr>
        <w:t xml:space="preserve">一、供应方设立服务工作小组</w:t>
      </w:r>
      <w:bookmarkEnd w:id="281"/>
      <w:r/>
      <w:r/>
    </w:p>
    <w:p>
      <w:pPr>
        <w:ind w:firstLine="420"/>
        <w:spacing w:line="360" w:lineRule="auto"/>
        <w:rPr>
          <w:rFonts w:hint="eastAsia" w:ascii="宋体" w:hAnsi="宋体" w:cs="宋体"/>
          <w:szCs w:val="21"/>
        </w:rPr>
      </w:pPr>
      <w:r>
        <w:rPr>
          <w:rFonts w:hint="eastAsia" w:ascii="宋体" w:hAnsi="宋体" w:cs="宋体"/>
          <w:szCs w:val="21"/>
        </w:rPr>
        <w:t xml:space="preserve">供应方南京属地公司应成立南京鼓楼医院医疗责任保险专项领导小组和专项工作小组。</w:t>
      </w:r>
      <w:r/>
    </w:p>
    <w:p>
      <w:pPr>
        <w:ind w:firstLine="422"/>
        <w:spacing w:line="360" w:lineRule="auto"/>
        <w:rPr>
          <w:rFonts w:hint="eastAsia" w:ascii="宋体" w:hAnsi="宋体" w:cs="宋体"/>
          <w:b/>
          <w:bCs/>
          <w:szCs w:val="21"/>
        </w:rPr>
      </w:pPr>
      <w:r>
        <w:rPr>
          <w:rFonts w:hint="eastAsia" w:ascii="宋体" w:hAnsi="宋体" w:cs="宋体"/>
          <w:b/>
          <w:bCs/>
          <w:szCs w:val="21"/>
        </w:rPr>
        <w:t xml:space="preserve">（一）专项领导小组的设立</w:t>
      </w:r>
      <w:r/>
    </w:p>
    <w:p>
      <w:pPr>
        <w:ind w:firstLine="420"/>
        <w:spacing w:line="360" w:lineRule="auto"/>
        <w:rPr>
          <w:rFonts w:hint="eastAsia" w:ascii="宋体" w:hAnsi="宋体" w:cs="宋体"/>
          <w:szCs w:val="21"/>
        </w:rPr>
      </w:pPr>
      <w:r>
        <w:rPr>
          <w:rFonts w:hint="eastAsia" w:ascii="宋体" w:hAnsi="宋体" w:cs="宋体"/>
          <w:szCs w:val="21"/>
        </w:rPr>
        <w:t xml:space="preserve">专项领导小组在保险协议签署后投入管理运作，负责协议中各项内容的组织、实施及总体管理。小组主要成员包括组长、日常联系人和组员，小组组长由供应方南京市分公司负责管理本产品的高级管理人员担任，负责参与决策工作中的要事；日常联系人为负责本产品推行的部门级领导担任，其所在部门应为本产品执行及管理单位；组员至少应有2人为南京市分公司负责本产品的部门人员（含负责销售的主管人员），至少应有1人为南京市分公司核赔部门人员，至少应有1人为南京市分公司数据信息部门人员。</w:t>
      </w:r>
      <w:r/>
    </w:p>
    <w:p>
      <w:pPr>
        <w:ind w:firstLine="422"/>
        <w:spacing w:line="360" w:lineRule="auto"/>
        <w:rPr>
          <w:rFonts w:hint="eastAsia" w:ascii="宋体" w:hAnsi="宋体" w:cs="宋体"/>
          <w:szCs w:val="21"/>
        </w:rPr>
      </w:pPr>
      <w:r>
        <w:rPr>
          <w:rFonts w:hint="eastAsia" w:ascii="宋体" w:hAnsi="宋体" w:cs="宋体"/>
          <w:b/>
          <w:bCs/>
          <w:szCs w:val="21"/>
        </w:rPr>
        <w:t xml:space="preserve">（二）专项工作小组的设立</w:t>
      </w:r>
      <w:r/>
    </w:p>
    <w:p>
      <w:pPr>
        <w:ind w:firstLine="420"/>
        <w:spacing w:line="360" w:lineRule="auto"/>
        <w:rPr>
          <w:rFonts w:hint="eastAsia" w:ascii="宋体" w:hAnsi="宋体" w:cs="宋体"/>
          <w:szCs w:val="21"/>
        </w:rPr>
      </w:pPr>
      <w:r>
        <w:rPr>
          <w:rFonts w:hint="eastAsia" w:ascii="宋体" w:hAnsi="宋体" w:cs="宋体"/>
          <w:szCs w:val="21"/>
        </w:rPr>
        <w:t xml:space="preserve">专项工作小组应在当地本产品启动前成立，负责落实本产品承保、理赔及其他各项服务工作。小组组长1名，由供应方各区分支机构相关领导担任，负责组织实施本产品各项服务工作；日常联系人1名，负责按照本协议的有关内容为各被保险人提供日常沟通协调、培训、反馈等各项具体服务工作。</w:t>
      </w:r>
      <w:r/>
    </w:p>
    <w:p>
      <w:pPr>
        <w:ind w:firstLine="422"/>
        <w:spacing w:line="360" w:lineRule="auto"/>
        <w:rPr>
          <w:rFonts w:hint="eastAsia" w:ascii="宋体" w:hAnsi="宋体" w:cs="宋体"/>
          <w:b/>
          <w:bCs/>
          <w:szCs w:val="21"/>
        </w:rPr>
      </w:pPr>
      <w:r/>
      <w:bookmarkStart w:id="282" w:name="_Toc30752"/>
      <w:r>
        <w:rPr>
          <w:rFonts w:hint="eastAsia" w:ascii="宋体" w:hAnsi="宋体" w:cs="宋体"/>
          <w:b/>
          <w:bCs/>
          <w:szCs w:val="21"/>
        </w:rPr>
        <w:t xml:space="preserve">二、供应方服务小组工作职责</w:t>
      </w:r>
      <w:bookmarkEnd w:id="282"/>
      <w:r/>
      <w:r/>
    </w:p>
    <w:p>
      <w:pPr>
        <w:ind w:firstLine="420"/>
        <w:spacing w:line="360" w:lineRule="auto"/>
        <w:rPr>
          <w:rFonts w:hint="eastAsia" w:ascii="宋体" w:hAnsi="宋体" w:cs="宋体"/>
          <w:szCs w:val="21"/>
        </w:rPr>
      </w:pPr>
      <w:r>
        <w:rPr>
          <w:rFonts w:hint="eastAsia" w:ascii="宋体" w:hAnsi="宋体" w:cs="宋体"/>
          <w:szCs w:val="21"/>
        </w:rPr>
        <w:t xml:space="preserve">（一）领导小组工作职责</w:t>
      </w:r>
      <w:r/>
    </w:p>
    <w:p>
      <w:pPr>
        <w:ind w:firstLine="420"/>
        <w:spacing w:line="360" w:lineRule="auto"/>
        <w:rPr>
          <w:rFonts w:hint="eastAsia" w:ascii="宋体" w:hAnsi="宋体" w:cs="宋体"/>
          <w:szCs w:val="21"/>
        </w:rPr>
      </w:pPr>
      <w:r>
        <w:rPr>
          <w:rFonts w:hint="eastAsia" w:ascii="宋体" w:hAnsi="宋体" w:cs="宋体"/>
          <w:szCs w:val="21"/>
        </w:rPr>
        <w:t xml:space="preserve">日常联系人职责为： </w:t>
      </w:r>
      <w:r/>
    </w:p>
    <w:p>
      <w:pPr>
        <w:ind w:firstLine="420"/>
        <w:spacing w:line="360" w:lineRule="auto"/>
        <w:rPr>
          <w:rFonts w:hint="eastAsia" w:ascii="宋体" w:hAnsi="宋体" w:cs="宋体"/>
          <w:szCs w:val="21"/>
        </w:rPr>
      </w:pPr>
      <w:r>
        <w:rPr>
          <w:rFonts w:hint="eastAsia" w:ascii="宋体" w:hAnsi="宋体" w:cs="宋体"/>
          <w:szCs w:val="21"/>
        </w:rPr>
        <w:t xml:space="preserve">1.协助南京鼓楼医院医疗责任保险专项领导小组组长/副组长工作，负责组织实施与总体管理各项工作；</w:t>
      </w:r>
      <w:r/>
    </w:p>
    <w:p>
      <w:pPr>
        <w:ind w:firstLine="420"/>
        <w:spacing w:line="360" w:lineRule="auto"/>
        <w:rPr>
          <w:rFonts w:hint="eastAsia" w:ascii="宋体" w:hAnsi="宋体" w:cs="宋体"/>
          <w:szCs w:val="21"/>
        </w:rPr>
      </w:pPr>
      <w:r>
        <w:rPr>
          <w:rFonts w:hint="eastAsia" w:ascii="宋体" w:hAnsi="宋体" w:cs="宋体"/>
          <w:szCs w:val="21"/>
        </w:rPr>
        <w:t xml:space="preserve">2.负责参加经纪人组织召开的会议，向供应方传达会议精神，并依据会议精神和要求协调公司资源，合理安排行动；</w:t>
      </w:r>
      <w:r/>
    </w:p>
    <w:p>
      <w:pPr>
        <w:ind w:firstLine="420"/>
        <w:spacing w:line="360" w:lineRule="auto"/>
        <w:rPr>
          <w:rFonts w:hint="eastAsia" w:ascii="宋体" w:hAnsi="宋体" w:cs="宋体"/>
          <w:szCs w:val="21"/>
        </w:rPr>
      </w:pPr>
      <w:r>
        <w:rPr>
          <w:rFonts w:hint="eastAsia" w:ascii="宋体" w:hAnsi="宋体" w:cs="宋体"/>
          <w:szCs w:val="21"/>
        </w:rPr>
        <w:t xml:space="preserve">3.负责与经纪人沟通协调，提交有关报告；</w:t>
      </w:r>
      <w:r/>
    </w:p>
    <w:p>
      <w:pPr>
        <w:ind w:firstLine="420"/>
        <w:spacing w:line="360" w:lineRule="auto"/>
        <w:rPr>
          <w:rFonts w:hint="eastAsia" w:ascii="宋体" w:hAnsi="宋体" w:cs="宋体"/>
          <w:szCs w:val="21"/>
        </w:rPr>
      </w:pPr>
      <w:r>
        <w:rPr>
          <w:rFonts w:hint="eastAsia" w:ascii="宋体" w:hAnsi="宋体" w:cs="宋体"/>
          <w:szCs w:val="21"/>
        </w:rPr>
        <w:t xml:space="preserve">4.负责组织供应方（包括南京市分公司及下属机构）的培训、宣贯工作，并邀请经纪人的人员参加；</w:t>
      </w:r>
      <w:r/>
    </w:p>
    <w:p>
      <w:pPr>
        <w:ind w:firstLine="420"/>
        <w:spacing w:line="360" w:lineRule="auto"/>
        <w:rPr>
          <w:rFonts w:hint="eastAsia" w:ascii="宋体" w:hAnsi="宋体" w:cs="宋体"/>
          <w:szCs w:val="21"/>
        </w:rPr>
      </w:pPr>
      <w:r>
        <w:rPr>
          <w:rFonts w:hint="eastAsia" w:ascii="宋体" w:hAnsi="宋体" w:cs="宋体"/>
          <w:szCs w:val="21"/>
        </w:rPr>
        <w:t xml:space="preserve">5.专项领导小组人员发生变动，应在五个工作日内通知经纪人；</w:t>
      </w:r>
      <w:r/>
    </w:p>
    <w:p>
      <w:pPr>
        <w:ind w:firstLine="420"/>
        <w:spacing w:line="360" w:lineRule="auto"/>
        <w:rPr>
          <w:rFonts w:hint="eastAsia" w:ascii="宋体" w:hAnsi="宋体" w:cs="宋体"/>
          <w:szCs w:val="21"/>
        </w:rPr>
      </w:pPr>
      <w:r>
        <w:rPr>
          <w:rFonts w:hint="eastAsia" w:ascii="宋体" w:hAnsi="宋体" w:cs="宋体"/>
          <w:szCs w:val="21"/>
        </w:rPr>
        <w:t xml:space="preserve">6.负责推进本协议约定的各项服务工作、配合性工作，并落实到位；</w:t>
      </w:r>
      <w:r/>
    </w:p>
    <w:p>
      <w:pPr>
        <w:pStyle w:val="870"/>
        <w:spacing w:line="360" w:lineRule="auto"/>
        <w:rPr>
          <w:rFonts w:hint="eastAsia" w:ascii="宋体" w:hAnsi="宋体" w:cs="宋体"/>
          <w:szCs w:val="21"/>
        </w:rPr>
      </w:pPr>
      <w:r>
        <w:rPr>
          <w:rFonts w:hint="eastAsia" w:ascii="宋体" w:hAnsi="宋体" w:cs="宋体"/>
          <w:szCs w:val="21"/>
        </w:rPr>
        <w:t xml:space="preserve">7.负责配合经纪人做好案件管理工作。</w:t>
      </w:r>
      <w:r/>
    </w:p>
    <w:p>
      <w:pPr>
        <w:ind w:firstLine="420"/>
        <w:spacing w:line="360" w:lineRule="auto"/>
        <w:rPr>
          <w:rFonts w:hint="eastAsia" w:ascii="宋体" w:hAnsi="宋体" w:cs="宋体"/>
          <w:szCs w:val="21"/>
        </w:rPr>
      </w:pPr>
      <w:r>
        <w:rPr>
          <w:rFonts w:hint="eastAsia" w:ascii="宋体" w:hAnsi="宋体" w:cs="宋体"/>
          <w:szCs w:val="21"/>
        </w:rPr>
        <w:t xml:space="preserve">（二）专项工作组工作职责：</w:t>
      </w:r>
      <w:r/>
    </w:p>
    <w:p>
      <w:pPr>
        <w:ind w:firstLine="420"/>
        <w:spacing w:line="360" w:lineRule="auto"/>
        <w:rPr>
          <w:rFonts w:hint="eastAsia" w:ascii="宋体" w:hAnsi="宋体" w:cs="宋体"/>
          <w:szCs w:val="21"/>
        </w:rPr>
      </w:pPr>
      <w:r>
        <w:rPr>
          <w:rFonts w:hint="eastAsia" w:ascii="宋体" w:hAnsi="宋体" w:cs="宋体"/>
          <w:szCs w:val="21"/>
        </w:rPr>
        <w:t xml:space="preserve">1.在保险协议签署后投入运行和管理，负责协议中各项内容的组织、实施；</w:t>
      </w:r>
      <w:r/>
    </w:p>
    <w:p>
      <w:pPr>
        <w:ind w:firstLine="420"/>
        <w:spacing w:line="360" w:lineRule="auto"/>
        <w:rPr>
          <w:rFonts w:hint="eastAsia" w:ascii="宋体" w:hAnsi="宋体" w:cs="宋体"/>
          <w:szCs w:val="21"/>
        </w:rPr>
      </w:pPr>
      <w:r>
        <w:rPr>
          <w:rFonts w:hint="eastAsia" w:ascii="宋体" w:hAnsi="宋体" w:cs="宋体"/>
          <w:szCs w:val="21"/>
        </w:rPr>
        <w:t xml:space="preserve">2.专项工作小组负责人参加公司组织的内部培训，并落实培训中的具体工作；</w:t>
      </w:r>
      <w:r/>
    </w:p>
    <w:p>
      <w:pPr>
        <w:ind w:firstLine="420"/>
        <w:spacing w:line="360" w:lineRule="auto"/>
        <w:rPr>
          <w:rFonts w:hint="eastAsia" w:ascii="宋体" w:hAnsi="宋体" w:cs="宋体"/>
          <w:szCs w:val="21"/>
        </w:rPr>
      </w:pPr>
      <w:r>
        <w:rPr>
          <w:rFonts w:hint="eastAsia" w:ascii="宋体" w:hAnsi="宋体" w:cs="宋体"/>
          <w:szCs w:val="21"/>
        </w:rPr>
        <w:t xml:space="preserve">3.接受各方对工作中主要问题的反馈，协商且执行达成一致意见的处理办法；</w:t>
      </w:r>
      <w:r/>
    </w:p>
    <w:p>
      <w:pPr>
        <w:ind w:firstLine="420"/>
        <w:spacing w:line="360" w:lineRule="auto"/>
        <w:rPr>
          <w:rFonts w:hint="eastAsia" w:ascii="宋体" w:hAnsi="宋体" w:cs="宋体"/>
          <w:szCs w:val="21"/>
        </w:rPr>
      </w:pPr>
      <w:r>
        <w:rPr>
          <w:rFonts w:hint="eastAsia" w:ascii="宋体" w:hAnsi="宋体" w:cs="宋体"/>
          <w:szCs w:val="21"/>
        </w:rPr>
        <w:t xml:space="preserve">4.参与较大及以上医疗纠纷案件的协调处理；</w:t>
      </w:r>
      <w:r/>
    </w:p>
    <w:p>
      <w:pPr>
        <w:ind w:firstLine="420"/>
        <w:spacing w:line="360" w:lineRule="auto"/>
        <w:rPr>
          <w:rFonts w:hint="eastAsia" w:ascii="宋体" w:hAnsi="宋体" w:cs="宋体"/>
          <w:szCs w:val="21"/>
        </w:rPr>
      </w:pPr>
      <w:r>
        <w:rPr>
          <w:rFonts w:hint="eastAsia" w:ascii="宋体" w:hAnsi="宋体" w:cs="宋体"/>
          <w:szCs w:val="21"/>
        </w:rPr>
        <w:t xml:space="preserve">5.负责与经纪人之间的沟通与协调，提交有关报告、数据、材料等；</w:t>
      </w:r>
      <w:r/>
    </w:p>
    <w:p>
      <w:pPr>
        <w:ind w:firstLine="420"/>
        <w:spacing w:line="360" w:lineRule="auto"/>
        <w:rPr>
          <w:rFonts w:hint="eastAsia" w:ascii="宋体" w:hAnsi="宋体" w:cs="宋体"/>
          <w:szCs w:val="21"/>
        </w:rPr>
      </w:pPr>
      <w:r>
        <w:rPr>
          <w:rFonts w:hint="eastAsia" w:ascii="宋体" w:hAnsi="宋体" w:cs="宋体"/>
          <w:szCs w:val="21"/>
        </w:rPr>
        <w:t xml:space="preserve">6.负责南京鼓楼医院医疗责任保险有关服务工作、配合性工作的推进；</w:t>
      </w:r>
      <w:r/>
    </w:p>
    <w:p>
      <w:pPr>
        <w:ind w:firstLine="420"/>
        <w:spacing w:line="360" w:lineRule="auto"/>
        <w:rPr>
          <w:rFonts w:hint="eastAsia" w:ascii="宋体" w:hAnsi="宋体" w:cs="宋体"/>
          <w:szCs w:val="21"/>
        </w:rPr>
      </w:pPr>
      <w:r>
        <w:rPr>
          <w:rFonts w:hint="eastAsia" w:ascii="宋体" w:hAnsi="宋体" w:cs="宋体"/>
          <w:szCs w:val="21"/>
        </w:rPr>
        <w:t xml:space="preserve">7.配合经纪人在既定的案件管理规则下，做好接转报案、案件处置、结案、销案、案件重开等工作，建立案件核对和清理机制，确保案件处理时效与案件数据一致性，加强案件管理；</w:t>
      </w:r>
      <w:r/>
    </w:p>
    <w:p>
      <w:pPr>
        <w:ind w:firstLine="420"/>
        <w:spacing w:line="360" w:lineRule="auto"/>
        <w:rPr>
          <w:rFonts w:hint="eastAsia" w:ascii="宋体" w:hAnsi="宋体" w:cs="宋体"/>
          <w:szCs w:val="21"/>
        </w:rPr>
      </w:pPr>
      <w:r>
        <w:rPr>
          <w:rFonts w:hint="eastAsia" w:ascii="宋体" w:hAnsi="宋体" w:cs="宋体"/>
          <w:szCs w:val="21"/>
        </w:rPr>
        <w:t xml:space="preserve">8.日常联系人发生变动，须立即通知对应的经纪人。</w:t>
      </w:r>
      <w:r/>
    </w:p>
    <w:p>
      <w:pPr>
        <w:ind w:firstLine="422"/>
        <w:spacing w:line="360" w:lineRule="auto"/>
        <w:rPr>
          <w:rFonts w:hint="eastAsia" w:ascii="宋体" w:hAnsi="宋体" w:cs="宋体"/>
          <w:b/>
          <w:bCs/>
          <w:szCs w:val="21"/>
        </w:rPr>
      </w:pPr>
      <w:r/>
      <w:bookmarkStart w:id="283" w:name="_Toc24430"/>
      <w:r>
        <w:rPr>
          <w:rFonts w:hint="eastAsia" w:ascii="宋体" w:hAnsi="宋体" w:cs="宋体"/>
          <w:b/>
          <w:szCs w:val="21"/>
        </w:rPr>
        <w:t xml:space="preserve">三、供应方保险服务工作内容</w:t>
      </w:r>
      <w:bookmarkEnd w:id="283"/>
      <w:r/>
      <w:r/>
    </w:p>
    <w:p>
      <w:pPr>
        <w:ind w:firstLine="420"/>
        <w:spacing w:line="360" w:lineRule="auto"/>
        <w:rPr>
          <w:rFonts w:hint="eastAsia" w:ascii="宋体" w:hAnsi="宋体" w:cs="宋体"/>
          <w:szCs w:val="21"/>
        </w:rPr>
      </w:pPr>
      <w:r>
        <w:rPr>
          <w:rFonts w:hint="eastAsia" w:ascii="宋体" w:hAnsi="宋体" w:cs="宋体"/>
          <w:szCs w:val="21"/>
        </w:rPr>
        <w:t xml:space="preserve">（一）定期提供理赔统计报表</w:t>
      </w:r>
      <w:r/>
    </w:p>
    <w:p>
      <w:pPr>
        <w:ind w:firstLine="420"/>
        <w:spacing w:line="360" w:lineRule="auto"/>
        <w:rPr>
          <w:rFonts w:hint="eastAsia" w:ascii="宋体" w:hAnsi="宋体" w:cs="宋体"/>
          <w:szCs w:val="21"/>
        </w:rPr>
      </w:pPr>
      <w:r>
        <w:rPr>
          <w:rFonts w:hint="eastAsia" w:ascii="宋体" w:hAnsi="宋体" w:cs="宋体"/>
          <w:szCs w:val="21"/>
        </w:rPr>
        <w:t xml:space="preserve">按照案管中心规定的格式要求，供应方南京属地公司应于每月15日前向案管中心及经纪人提供负责的案件截至上月末的保险赔案统计报表的电子版本。</w:t>
      </w:r>
      <w:r/>
    </w:p>
    <w:p>
      <w:pPr>
        <w:ind w:firstLine="420"/>
        <w:spacing w:line="360" w:lineRule="auto"/>
        <w:rPr>
          <w:rFonts w:hint="eastAsia" w:ascii="宋体" w:hAnsi="宋体" w:cs="宋体"/>
          <w:szCs w:val="21"/>
        </w:rPr>
      </w:pPr>
      <w:r>
        <w:rPr>
          <w:rFonts w:hint="eastAsia" w:ascii="宋体" w:hAnsi="宋体" w:cs="宋体"/>
          <w:szCs w:val="21"/>
        </w:rPr>
        <w:t xml:space="preserve">（二）内部培训</w:t>
      </w:r>
      <w:r/>
    </w:p>
    <w:p>
      <w:pPr>
        <w:ind w:firstLine="420"/>
        <w:spacing w:line="360" w:lineRule="auto"/>
        <w:rPr>
          <w:rFonts w:hint="eastAsia" w:ascii="宋体" w:hAnsi="宋体" w:cs="宋体"/>
          <w:szCs w:val="21"/>
        </w:rPr>
      </w:pPr>
      <w:r>
        <w:rPr>
          <w:rFonts w:hint="eastAsia" w:ascii="宋体" w:hAnsi="宋体" w:cs="宋体"/>
          <w:szCs w:val="21"/>
        </w:rPr>
        <w:t xml:space="preserve">供应方南京属地公司应本着更好推动本产品的原则，定期和不定期举办内部培训，并形成一种常态机制。</w:t>
      </w:r>
      <w:r/>
    </w:p>
    <w:p>
      <w:pPr>
        <w:ind w:firstLine="420"/>
        <w:spacing w:line="360" w:lineRule="auto"/>
        <w:rPr>
          <w:rFonts w:hint="eastAsia" w:ascii="宋体" w:hAnsi="宋体" w:cs="宋体"/>
          <w:szCs w:val="21"/>
        </w:rPr>
      </w:pPr>
      <w:r>
        <w:rPr>
          <w:rFonts w:hint="eastAsia" w:ascii="宋体" w:hAnsi="宋体" w:cs="宋体"/>
          <w:szCs w:val="21"/>
        </w:rPr>
        <w:t xml:space="preserve">（三）独立核算体系</w:t>
      </w:r>
      <w:r/>
    </w:p>
    <w:p>
      <w:pPr>
        <w:ind w:firstLine="420"/>
        <w:spacing w:line="360" w:lineRule="auto"/>
        <w:rPr>
          <w:rFonts w:hint="eastAsia" w:ascii="宋体" w:hAnsi="宋体" w:cs="宋体"/>
          <w:szCs w:val="21"/>
        </w:rPr>
      </w:pPr>
      <w:r>
        <w:rPr>
          <w:rFonts w:hint="eastAsia" w:ascii="宋体" w:hAnsi="宋体" w:cs="宋体"/>
          <w:szCs w:val="21"/>
        </w:rPr>
        <w:t xml:space="preserve">供应方应建立本项目独立核算体系，实行对本项目的统一核算、统一考核的独立核算管理体制，以避免出现供应方因赔付率不理想而可能产生的服务不积极、甚至拒绝销售本产品的情况。对此供应方应提供具体的措施：</w:t>
      </w:r>
      <w:r/>
    </w:p>
    <w:p>
      <w:pPr>
        <w:ind w:firstLine="420"/>
        <w:spacing w:line="360" w:lineRule="auto"/>
        <w:rPr>
          <w:rFonts w:hint="eastAsia" w:ascii="宋体" w:hAnsi="宋体" w:cs="宋体"/>
          <w:szCs w:val="21"/>
        </w:rPr>
      </w:pPr>
      <w:r>
        <w:rPr>
          <w:rFonts w:hint="eastAsia" w:ascii="宋体" w:hAnsi="宋体" w:cs="宋体"/>
          <w:szCs w:val="21"/>
        </w:rPr>
        <w:t xml:space="preserve">1.对可能影响本项目推进积极性的业务考核体系给予最大程度的宽松政策；</w:t>
      </w:r>
      <w:r/>
    </w:p>
    <w:p>
      <w:pPr>
        <w:ind w:firstLine="420"/>
        <w:spacing w:line="360" w:lineRule="auto"/>
        <w:rPr>
          <w:rFonts w:hint="eastAsia" w:ascii="宋体" w:hAnsi="宋体" w:cs="宋体"/>
          <w:szCs w:val="21"/>
        </w:rPr>
      </w:pPr>
      <w:r>
        <w:rPr>
          <w:rFonts w:hint="eastAsia" w:ascii="宋体" w:hAnsi="宋体" w:cs="宋体"/>
          <w:szCs w:val="21"/>
        </w:rPr>
        <w:t xml:space="preserve">2.对经纪人提供最大程度的灵活政策和工作配合，共同推动本项目。</w:t>
      </w:r>
      <w:r/>
    </w:p>
    <w:p>
      <w:pPr>
        <w:ind w:firstLine="422"/>
        <w:spacing w:line="360" w:lineRule="auto"/>
        <w:rPr>
          <w:rFonts w:hint="eastAsia" w:ascii="宋体" w:hAnsi="宋体" w:cs="宋体"/>
          <w:b/>
          <w:szCs w:val="21"/>
        </w:rPr>
      </w:pPr>
      <w:r/>
      <w:bookmarkStart w:id="284" w:name="_Toc2742"/>
      <w:r>
        <w:rPr>
          <w:rFonts w:hint="eastAsia" w:ascii="宋体" w:hAnsi="宋体" w:cs="宋体"/>
          <w:b/>
          <w:szCs w:val="21"/>
        </w:rPr>
        <w:t xml:space="preserve">四、供应方医疗责任保险理赔服务</w:t>
      </w:r>
      <w:bookmarkEnd w:id="284"/>
      <w:r/>
      <w:r/>
    </w:p>
    <w:p>
      <w:pPr>
        <w:ind w:firstLine="420"/>
        <w:spacing w:line="360" w:lineRule="auto"/>
        <w:rPr>
          <w:rFonts w:hint="eastAsia" w:ascii="宋体" w:hAnsi="宋体" w:cs="宋体"/>
          <w:szCs w:val="21"/>
        </w:rPr>
      </w:pPr>
      <w:r>
        <w:rPr>
          <w:rFonts w:hint="eastAsia" w:ascii="宋体" w:hAnsi="宋体" w:cs="宋体"/>
          <w:szCs w:val="21"/>
        </w:rPr>
        <w:t xml:space="preserve">供应方应为医院提供本协议约定的理赔服务。</w:t>
      </w:r>
      <w:r/>
    </w:p>
    <w:p>
      <w:pPr>
        <w:ind w:firstLine="422"/>
        <w:spacing w:line="360" w:lineRule="auto"/>
        <w:rPr>
          <w:rFonts w:hint="eastAsia" w:ascii="宋体" w:hAnsi="宋体" w:cs="宋体"/>
          <w:b/>
          <w:bCs/>
          <w:szCs w:val="21"/>
        </w:rPr>
      </w:pPr>
      <w:r>
        <w:rPr>
          <w:rFonts w:hint="eastAsia" w:ascii="宋体" w:hAnsi="宋体" w:cs="宋体"/>
          <w:b/>
          <w:bCs/>
          <w:szCs w:val="21"/>
        </w:rPr>
        <w:t xml:space="preserve">（一）推荐专人加入医疗责任保险案管中心、医疗纠纷评估会议</w:t>
      </w:r>
      <w:r/>
    </w:p>
    <w:p>
      <w:pPr>
        <w:ind w:firstLine="420"/>
        <w:spacing w:line="360" w:lineRule="auto"/>
        <w:rPr>
          <w:rFonts w:hint="eastAsia" w:ascii="宋体" w:hAnsi="宋体" w:cs="宋体"/>
          <w:szCs w:val="21"/>
        </w:rPr>
      </w:pPr>
      <w:r>
        <w:rPr>
          <w:rFonts w:hint="eastAsia" w:ascii="宋体" w:hAnsi="宋体" w:cs="宋体"/>
          <w:szCs w:val="21"/>
        </w:rPr>
        <w:t xml:space="preserve">1.供应方应推荐符合业务工作要求的专业理赔人员加入案管中心，参与案管中心采用自行和解简易案件处理赔案过程中的</w:t>
      </w:r>
      <w:r>
        <w:rPr>
          <w:rFonts w:hint="eastAsia" w:ascii="宋体" w:hAnsi="宋体" w:cs="宋体"/>
          <w:bCs/>
          <w:szCs w:val="21"/>
        </w:rPr>
        <w:t xml:space="preserve">赔偿处理相关</w:t>
      </w:r>
      <w:r>
        <w:rPr>
          <w:rFonts w:hint="eastAsia" w:ascii="宋体" w:hAnsi="宋体" w:cs="宋体"/>
          <w:szCs w:val="21"/>
        </w:rPr>
        <w:t xml:space="preserve">工作。</w:t>
      </w:r>
      <w:r/>
    </w:p>
    <w:p>
      <w:pPr>
        <w:ind w:firstLine="420"/>
        <w:spacing w:line="360" w:lineRule="auto"/>
        <w:rPr>
          <w:rFonts w:hint="eastAsia" w:ascii="宋体" w:hAnsi="宋体" w:cs="宋体"/>
          <w:szCs w:val="21"/>
        </w:rPr>
      </w:pPr>
      <w:r>
        <w:rPr>
          <w:rFonts w:hint="eastAsia" w:ascii="宋体" w:hAnsi="宋体" w:cs="宋体"/>
          <w:szCs w:val="21"/>
        </w:rPr>
        <w:t xml:space="preserve">2.供应方应推荐符合业务工作要求的专业人员参加医疗纠纷评估会议，通过参加医疗纠纷评估会议或会签的方式，与医疗纠纷评估会议其他成员共同负责对争议案件进行保险责任以及事故损失确定工作。供应方应积极参与医疗纠纷评估会议、按时完成会签。</w:t>
      </w:r>
      <w:r/>
    </w:p>
    <w:p>
      <w:pPr>
        <w:ind w:firstLine="420"/>
        <w:spacing w:line="360" w:lineRule="auto"/>
        <w:rPr>
          <w:rFonts w:hint="eastAsia" w:ascii="宋体" w:hAnsi="宋体" w:cs="宋体"/>
          <w:szCs w:val="21"/>
        </w:rPr>
      </w:pPr>
      <w:r>
        <w:rPr>
          <w:rFonts w:hint="eastAsia" w:ascii="宋体" w:hAnsi="宋体" w:cs="宋体"/>
          <w:szCs w:val="21"/>
        </w:rPr>
        <w:t xml:space="preserve">3.供应方应推荐符合业务工作要求的专业人员参与</w:t>
      </w:r>
      <w:r>
        <w:rPr>
          <w:rFonts w:hint="eastAsia" w:ascii="宋体" w:hAnsi="宋体" w:cs="宋体"/>
          <w:szCs w:val="21"/>
        </w:rPr>
        <w:t xml:space="preserve">医疗安全与风险预防服务</w:t>
      </w:r>
      <w:r>
        <w:rPr>
          <w:rFonts w:hint="eastAsia" w:ascii="宋体" w:hAnsi="宋体" w:cs="宋体"/>
          <w:szCs w:val="21"/>
        </w:rPr>
        <w:t xml:space="preserve">，积极参与并协调供应方内部资源支持经纪人开展</w:t>
      </w:r>
      <w:r>
        <w:rPr>
          <w:rFonts w:hint="eastAsia" w:ascii="宋体" w:hAnsi="宋体" w:cs="宋体"/>
          <w:szCs w:val="21"/>
        </w:rPr>
        <w:t xml:space="preserve">医疗机构医疗风险防范</w:t>
      </w:r>
      <w:r>
        <w:rPr>
          <w:rFonts w:hint="eastAsia" w:ascii="宋体" w:hAnsi="宋体" w:cs="宋体"/>
          <w:szCs w:val="21"/>
        </w:rPr>
        <w:t xml:space="preserve">相关工作。</w:t>
      </w:r>
      <w:r/>
    </w:p>
    <w:p>
      <w:pPr>
        <w:ind w:firstLine="422"/>
        <w:spacing w:line="360" w:lineRule="auto"/>
        <w:rPr>
          <w:rFonts w:hint="eastAsia" w:ascii="宋体" w:hAnsi="宋体" w:cs="宋体"/>
          <w:b/>
          <w:bCs/>
          <w:szCs w:val="21"/>
        </w:rPr>
      </w:pPr>
      <w:r>
        <w:rPr>
          <w:rFonts w:hint="eastAsia" w:ascii="宋体" w:hAnsi="宋体" w:cs="宋体"/>
          <w:b/>
          <w:bCs/>
          <w:szCs w:val="21"/>
        </w:rPr>
        <w:t xml:space="preserve">（二）指定专人负责医疗责任保险理赔服务</w:t>
      </w:r>
      <w:r/>
    </w:p>
    <w:p>
      <w:pPr>
        <w:ind w:firstLine="420"/>
        <w:spacing w:line="360" w:lineRule="auto"/>
        <w:rPr>
          <w:rFonts w:hint="eastAsia" w:ascii="宋体" w:hAnsi="宋体" w:cs="宋体"/>
          <w:szCs w:val="21"/>
        </w:rPr>
      </w:pPr>
      <w:r>
        <w:rPr>
          <w:rFonts w:hint="eastAsia" w:ascii="宋体" w:hAnsi="宋体" w:cs="宋体"/>
          <w:szCs w:val="21"/>
        </w:rPr>
        <w:t xml:space="preserve">供应方应指定专人负责区域内的理赔事宜，全力配合案管中心工作。理赔服务人员应不少于1人，如发生人员变动应在五个工作日内通知经纪人。</w:t>
      </w:r>
      <w:r/>
    </w:p>
    <w:p>
      <w:pPr>
        <w:ind w:firstLine="422"/>
        <w:spacing w:line="360" w:lineRule="auto"/>
        <w:rPr>
          <w:rFonts w:hint="eastAsia" w:ascii="宋体" w:hAnsi="宋体" w:cs="宋体"/>
          <w:b/>
          <w:bCs/>
          <w:szCs w:val="21"/>
        </w:rPr>
      </w:pPr>
      <w:r>
        <w:rPr>
          <w:rFonts w:hint="eastAsia" w:ascii="宋体" w:hAnsi="宋体" w:cs="宋体"/>
          <w:b/>
          <w:bCs/>
          <w:szCs w:val="21"/>
        </w:rPr>
        <w:t xml:space="preserve">（三）报案</w:t>
      </w:r>
      <w:r/>
    </w:p>
    <w:p>
      <w:pPr>
        <w:ind w:firstLine="420"/>
        <w:spacing w:line="360" w:lineRule="auto"/>
        <w:rPr>
          <w:rFonts w:hint="eastAsia" w:ascii="宋体" w:hAnsi="宋体" w:cs="宋体"/>
          <w:szCs w:val="21"/>
        </w:rPr>
      </w:pPr>
      <w:r>
        <w:rPr>
          <w:rFonts w:hint="eastAsia" w:ascii="宋体" w:hAnsi="宋体" w:cs="宋体"/>
          <w:szCs w:val="21"/>
        </w:rPr>
        <w:t xml:space="preserve">经纪人提供接报案及转报案服务，供应方提供接报案服务，接受经纪人的转报案。被保险人直接向供应方报案，供应方在受理案件后需及时转报案件。</w:t>
      </w:r>
      <w:r/>
    </w:p>
    <w:p>
      <w:pPr>
        <w:ind w:firstLine="420"/>
        <w:spacing w:line="360" w:lineRule="auto"/>
        <w:rPr>
          <w:rFonts w:hint="eastAsia" w:ascii="宋体" w:hAnsi="宋体" w:cs="宋体"/>
          <w:szCs w:val="21"/>
        </w:rPr>
      </w:pPr>
      <w:r>
        <w:rPr>
          <w:rFonts w:hint="eastAsia" w:ascii="宋体" w:hAnsi="宋体" w:cs="宋体"/>
          <w:szCs w:val="21"/>
        </w:rPr>
        <w:t xml:space="preserve">以下情况，供应方应视同为及时报案：</w:t>
      </w:r>
      <w:r/>
    </w:p>
    <w:p>
      <w:pPr>
        <w:ind w:firstLine="420"/>
        <w:spacing w:line="360" w:lineRule="auto"/>
        <w:rPr>
          <w:rFonts w:hint="eastAsia" w:ascii="宋体" w:hAnsi="宋体" w:cs="宋体"/>
          <w:szCs w:val="21"/>
        </w:rPr>
      </w:pPr>
      <w:r>
        <w:rPr>
          <w:rFonts w:hint="eastAsia" w:ascii="宋体" w:hAnsi="宋体" w:cs="宋体"/>
          <w:szCs w:val="21"/>
        </w:rPr>
        <w:t xml:space="preserve">1.对于可从公共媒体包括电视台、权威互联网站等其他途径已经及时知道或者应当及时知道保险事故发生的；</w:t>
      </w:r>
      <w:r/>
    </w:p>
    <w:p>
      <w:pPr>
        <w:ind w:firstLine="420"/>
        <w:spacing w:line="360" w:lineRule="auto"/>
        <w:rPr>
          <w:rFonts w:hint="eastAsia" w:ascii="宋体" w:hAnsi="宋体" w:cs="宋体"/>
          <w:szCs w:val="21"/>
        </w:rPr>
      </w:pPr>
      <w:r>
        <w:rPr>
          <w:rFonts w:hint="eastAsia" w:ascii="宋体" w:hAnsi="宋体" w:cs="宋体"/>
          <w:szCs w:val="21"/>
        </w:rPr>
        <w:t xml:space="preserve">2.如因不可抗力因素无法及时报案，供应方认可被保险人及鼓楼医院医疗机构医疗责任保险赔偿处理中心事后出具的书面说明，并视同为及时报案予以受理；</w:t>
      </w:r>
      <w:r/>
    </w:p>
    <w:p>
      <w:pPr>
        <w:ind w:firstLine="420"/>
        <w:spacing w:line="360" w:lineRule="auto"/>
        <w:rPr>
          <w:rFonts w:hint="eastAsia" w:ascii="宋体" w:hAnsi="宋体" w:cs="宋体"/>
          <w:szCs w:val="21"/>
        </w:rPr>
      </w:pPr>
      <w:r>
        <w:rPr>
          <w:rFonts w:hint="eastAsia" w:ascii="宋体" w:hAnsi="宋体" w:cs="宋体"/>
          <w:szCs w:val="21"/>
        </w:rPr>
        <w:t xml:space="preserve">3.供应方认可并受理经纪人报案提供的报案信息，包括被保险人说明原因的未及时报案；</w:t>
      </w:r>
      <w:r/>
    </w:p>
    <w:p>
      <w:pPr>
        <w:ind w:firstLine="420"/>
        <w:spacing w:line="360" w:lineRule="auto"/>
        <w:rPr>
          <w:rFonts w:hint="eastAsia" w:ascii="宋体" w:hAnsi="宋体" w:cs="宋体"/>
          <w:szCs w:val="21"/>
        </w:rPr>
      </w:pPr>
      <w:r>
        <w:rPr>
          <w:rFonts w:hint="eastAsia" w:ascii="宋体" w:hAnsi="宋体" w:cs="宋体"/>
          <w:szCs w:val="21"/>
        </w:rPr>
        <w:t xml:space="preserve">4.对于做销案处理的案件，如出险患方在法律规定的索赔时效期间内向被保险人提出索赔的，供应方接受重新立案。</w:t>
      </w:r>
      <w:r/>
    </w:p>
    <w:p>
      <w:pPr>
        <w:ind w:firstLine="422"/>
        <w:spacing w:line="360" w:lineRule="auto"/>
        <w:rPr>
          <w:rFonts w:hint="eastAsia" w:ascii="宋体" w:hAnsi="宋体" w:cs="宋体"/>
          <w:b/>
          <w:bCs/>
          <w:szCs w:val="21"/>
        </w:rPr>
      </w:pPr>
      <w:r>
        <w:rPr>
          <w:rFonts w:hint="eastAsia" w:ascii="宋体" w:hAnsi="宋体" w:cs="宋体"/>
          <w:b/>
          <w:bCs/>
          <w:szCs w:val="21"/>
        </w:rPr>
        <w:t xml:space="preserve">（四）责任界定</w:t>
      </w:r>
      <w:r/>
    </w:p>
    <w:p>
      <w:pPr>
        <w:ind w:firstLine="420"/>
        <w:spacing w:line="360" w:lineRule="auto"/>
        <w:rPr>
          <w:rFonts w:hint="eastAsia" w:ascii="宋体" w:hAnsi="宋体" w:cs="宋体"/>
          <w:szCs w:val="21"/>
        </w:rPr>
      </w:pPr>
      <w:r>
        <w:rPr>
          <w:rFonts w:hint="eastAsia" w:ascii="宋体" w:hAnsi="宋体" w:cs="宋体"/>
          <w:szCs w:val="21"/>
        </w:rPr>
        <w:t xml:space="preserve">供应方应认可医疗责任保险</w:t>
      </w:r>
      <w:r>
        <w:rPr>
          <w:rFonts w:hint="eastAsia" w:ascii="宋体" w:hAnsi="宋体" w:cs="宋体"/>
          <w:bCs/>
          <w:szCs w:val="21"/>
        </w:rPr>
        <w:t xml:space="preserve">自行和解、第三方调解、司法诉讼、行政调解的</w:t>
      </w:r>
      <w:r>
        <w:rPr>
          <w:rFonts w:hint="eastAsia" w:ascii="宋体" w:hAnsi="宋体" w:cs="宋体"/>
          <w:szCs w:val="21"/>
        </w:rPr>
        <w:t xml:space="preserve">结果。</w:t>
      </w:r>
      <w:r/>
    </w:p>
    <w:p>
      <w:pPr>
        <w:ind w:firstLine="422"/>
        <w:spacing w:line="360" w:lineRule="auto"/>
        <w:rPr>
          <w:rFonts w:hint="eastAsia" w:ascii="宋体" w:hAnsi="宋体" w:cs="宋体"/>
          <w:b/>
          <w:bCs/>
          <w:szCs w:val="21"/>
        </w:rPr>
      </w:pPr>
      <w:r>
        <w:rPr>
          <w:rFonts w:hint="eastAsia" w:ascii="宋体" w:hAnsi="宋体" w:cs="宋体"/>
          <w:b/>
          <w:bCs/>
          <w:szCs w:val="21"/>
        </w:rPr>
        <w:t xml:space="preserve">（五）核定损失</w:t>
      </w:r>
      <w:r/>
    </w:p>
    <w:p>
      <w:pPr>
        <w:ind w:firstLine="420"/>
        <w:spacing w:line="360" w:lineRule="auto"/>
        <w:rPr>
          <w:rFonts w:hint="eastAsia" w:ascii="宋体" w:hAnsi="宋体" w:cs="宋体"/>
          <w:szCs w:val="21"/>
        </w:rPr>
      </w:pPr>
      <w:r>
        <w:rPr>
          <w:rFonts w:hint="eastAsia" w:ascii="宋体" w:hAnsi="宋体" w:cs="宋体"/>
          <w:szCs w:val="21"/>
        </w:rPr>
        <w:t xml:space="preserve">1.供应方应认可</w:t>
      </w:r>
      <w:r>
        <w:rPr>
          <w:rFonts w:hint="eastAsia" w:ascii="宋体" w:hAnsi="宋体" w:cs="宋体"/>
          <w:bCs/>
          <w:szCs w:val="21"/>
        </w:rPr>
        <w:t xml:space="preserve">自行和解、第三方调解、司法诉讼、行政调解的</w:t>
      </w:r>
      <w:r>
        <w:rPr>
          <w:rFonts w:hint="eastAsia" w:ascii="宋体" w:hAnsi="宋体" w:cs="宋体"/>
          <w:szCs w:val="21"/>
        </w:rPr>
        <w:t xml:space="preserve">结果并依据此结果进行赔偿。</w:t>
      </w:r>
      <w:r/>
    </w:p>
    <w:p>
      <w:pPr>
        <w:ind w:firstLine="420"/>
        <w:spacing w:line="360" w:lineRule="auto"/>
        <w:rPr>
          <w:rFonts w:hint="eastAsia" w:ascii="宋体" w:hAnsi="宋体" w:cs="宋体"/>
          <w:szCs w:val="21"/>
        </w:rPr>
      </w:pPr>
      <w:r>
        <w:rPr>
          <w:rFonts w:hint="eastAsia" w:ascii="宋体" w:hAnsi="宋体" w:cs="宋体"/>
          <w:szCs w:val="21"/>
        </w:rPr>
        <w:t xml:space="preserve">2.经各级人民法院诉讼的案件，供应方应主动申请参与诉讼。</w:t>
      </w:r>
      <w:r/>
    </w:p>
    <w:p>
      <w:pPr>
        <w:ind w:firstLine="422"/>
        <w:spacing w:line="360" w:lineRule="auto"/>
        <w:rPr>
          <w:rFonts w:hint="eastAsia" w:ascii="宋体" w:hAnsi="宋体" w:cs="宋体"/>
          <w:b/>
          <w:bCs/>
          <w:szCs w:val="21"/>
        </w:rPr>
      </w:pPr>
      <w:r>
        <w:rPr>
          <w:rFonts w:hint="eastAsia" w:ascii="宋体" w:hAnsi="宋体" w:cs="宋体"/>
          <w:b/>
          <w:bCs/>
          <w:szCs w:val="21"/>
        </w:rPr>
        <w:t xml:space="preserve">（六）赔款支付</w:t>
      </w:r>
      <w:r/>
    </w:p>
    <w:p>
      <w:pPr>
        <w:ind w:firstLine="420"/>
        <w:spacing w:line="360" w:lineRule="auto"/>
        <w:rPr>
          <w:rFonts w:hint="eastAsia" w:ascii="宋体" w:hAnsi="宋体" w:cs="宋体"/>
          <w:szCs w:val="21"/>
        </w:rPr>
      </w:pPr>
      <w:r>
        <w:rPr>
          <w:rFonts w:hint="eastAsia" w:ascii="宋体" w:hAnsi="宋体" w:cs="宋体"/>
          <w:szCs w:val="21"/>
        </w:rPr>
        <w:t xml:space="preserve">1.供应方同意，在收到案管中心出具的《保险事故赔偿金额确定书》后在协议约定的时间内向医疗机构或者患者支付赔款。供应方不得以需要按照供应方自身赔款支付流程为由影响支付赔款时效。</w:t>
      </w:r>
      <w:r/>
    </w:p>
    <w:p>
      <w:pPr>
        <w:ind w:firstLine="420"/>
        <w:spacing w:line="360" w:lineRule="auto"/>
        <w:rPr>
          <w:rFonts w:hint="eastAsia" w:ascii="宋体" w:hAnsi="宋体" w:cs="宋体"/>
          <w:szCs w:val="21"/>
        </w:rPr>
      </w:pPr>
      <w:r>
        <w:rPr>
          <w:rFonts w:hint="eastAsia" w:ascii="宋体" w:hAnsi="宋体" w:cs="宋体"/>
          <w:szCs w:val="21"/>
        </w:rPr>
        <w:t xml:space="preserve">2.供应方未按约定时间支付赔款，则应按照实际拖延天数向医疗机构或者患者支付违约金，违约金为应付赔款金额按实际违约天数所计算的利息（利率按1年期银行存款利率计）。</w:t>
      </w:r>
      <w:r/>
    </w:p>
    <w:p>
      <w:pPr>
        <w:ind w:firstLine="422"/>
        <w:spacing w:line="360" w:lineRule="auto"/>
        <w:rPr>
          <w:rFonts w:hint="eastAsia" w:ascii="宋体" w:hAnsi="宋体" w:cs="宋体"/>
          <w:szCs w:val="21"/>
        </w:rPr>
      </w:pPr>
      <w:r>
        <w:rPr>
          <w:rFonts w:hint="eastAsia" w:ascii="宋体" w:hAnsi="宋体" w:cs="宋体"/>
          <w:b/>
          <w:bCs/>
          <w:szCs w:val="21"/>
        </w:rPr>
        <w:t xml:space="preserve">（七）沟通案件处理情况</w:t>
      </w:r>
      <w:r/>
    </w:p>
    <w:p>
      <w:pPr>
        <w:ind w:firstLine="420"/>
        <w:spacing w:line="360" w:lineRule="auto"/>
        <w:rPr>
          <w:rFonts w:hint="eastAsia" w:ascii="宋体" w:hAnsi="宋体" w:cs="宋体"/>
          <w:szCs w:val="21"/>
        </w:rPr>
      </w:pPr>
      <w:r>
        <w:rPr>
          <w:rFonts w:hint="eastAsia" w:ascii="宋体" w:hAnsi="宋体" w:cs="宋体"/>
          <w:szCs w:val="21"/>
        </w:rPr>
        <w:t xml:space="preserve">供应方每月初的前5个工作日同经纪人核对医院的案件处理情况，就具体案件数量、已赔款金额、未决金额、索赔材料等内容进行沟通，双方以书面形式确认。供应方每周打印一次理赔计算书，并将本周结案信息汇总，统一递交经纪人。</w:t>
      </w:r>
      <w:r/>
    </w:p>
    <w:p>
      <w:pPr>
        <w:ind w:firstLine="422"/>
        <w:spacing w:line="360" w:lineRule="auto"/>
        <w:rPr>
          <w:rFonts w:hint="eastAsia" w:ascii="宋体" w:hAnsi="宋体" w:cs="宋体"/>
          <w:szCs w:val="21"/>
        </w:rPr>
      </w:pPr>
      <w:r>
        <w:rPr>
          <w:rFonts w:hint="eastAsia" w:ascii="宋体" w:hAnsi="宋体" w:cs="宋体"/>
          <w:b/>
          <w:bCs/>
          <w:szCs w:val="21"/>
        </w:rPr>
        <w:t xml:space="preserve">（八）自行和解简易案件处理</w:t>
      </w:r>
      <w:r/>
    </w:p>
    <w:p>
      <w:pPr>
        <w:ind w:firstLine="420"/>
        <w:spacing w:line="360" w:lineRule="auto"/>
        <w:rPr>
          <w:rFonts w:hint="eastAsia" w:ascii="宋体" w:hAnsi="宋体" w:cs="宋体"/>
          <w:szCs w:val="21"/>
        </w:rPr>
      </w:pPr>
      <w:r>
        <w:rPr>
          <w:rFonts w:hint="eastAsia" w:ascii="宋体" w:hAnsi="宋体" w:cs="宋体"/>
          <w:szCs w:val="21"/>
        </w:rPr>
        <w:t xml:space="preserve">供应方收到赔偿处理中心发出的《医患自行和解协议书》或通过医疗纠纷调解组织签订《调解协议书》以及索赔申请、相关理赔单证后，应按照上述《医患自行和解协议书》或《调解协议书》中确定的金额于3个工作日内向医疗机构或者患者支付赔款。</w:t>
      </w:r>
      <w:r/>
    </w:p>
    <w:p>
      <w:pPr>
        <w:ind w:firstLine="422"/>
        <w:spacing w:line="360" w:lineRule="auto"/>
        <w:rPr>
          <w:rFonts w:hint="eastAsia" w:ascii="宋体" w:hAnsi="宋体" w:cs="宋体"/>
          <w:b/>
          <w:szCs w:val="21"/>
        </w:rPr>
      </w:pPr>
      <w:r>
        <w:rPr>
          <w:rFonts w:hint="eastAsia" w:ascii="宋体" w:hAnsi="宋体" w:cs="宋体"/>
          <w:b/>
          <w:szCs w:val="21"/>
        </w:rPr>
        <w:t xml:space="preserve">（九）制定专属</w:t>
      </w:r>
      <w:r>
        <w:rPr>
          <w:rFonts w:hint="eastAsia" w:ascii="宋体" w:hAnsi="宋体" w:cs="宋体"/>
          <w:b/>
          <w:bCs/>
          <w:szCs w:val="21"/>
        </w:rPr>
        <w:t xml:space="preserve">《保险案件赔偿处理办法》</w:t>
      </w:r>
      <w:r/>
    </w:p>
    <w:p>
      <w:pPr>
        <w:ind w:firstLine="420"/>
        <w:jc w:val="left"/>
        <w:spacing w:line="360" w:lineRule="auto"/>
        <w:rPr>
          <w:rFonts w:hint="eastAsia" w:ascii="宋体" w:hAnsi="宋体" w:cs="宋体"/>
          <w:szCs w:val="21"/>
        </w:rPr>
      </w:pPr>
      <w:r>
        <w:rPr>
          <w:rFonts w:hint="eastAsia" w:ascii="宋体" w:hAnsi="宋体" w:cs="宋体"/>
          <w:szCs w:val="21"/>
        </w:rPr>
        <w:t xml:space="preserve">供应方提供本协议约定的理赔服务，履行《保险案件赔偿处理办法》的相关规定，严格执行。</w:t>
      </w:r>
      <w:r/>
    </w:p>
    <w:p>
      <w:pPr>
        <w:ind w:firstLine="422"/>
        <w:spacing w:line="360" w:lineRule="auto"/>
        <w:rPr>
          <w:rFonts w:hint="eastAsia" w:ascii="宋体" w:hAnsi="宋体" w:cs="宋体"/>
          <w:b/>
          <w:szCs w:val="21"/>
        </w:rPr>
      </w:pPr>
      <w:r>
        <w:rPr>
          <w:rFonts w:hint="eastAsia" w:ascii="宋体" w:hAnsi="宋体" w:cs="宋体"/>
          <w:b/>
          <w:szCs w:val="21"/>
        </w:rPr>
        <w:t xml:space="preserve">（十）案件管理</w:t>
      </w:r>
      <w:r/>
    </w:p>
    <w:p>
      <w:pPr>
        <w:ind w:firstLine="420"/>
        <w:jc w:val="left"/>
        <w:spacing w:line="360" w:lineRule="auto"/>
        <w:rPr>
          <w:rFonts w:hint="eastAsia" w:ascii="宋体" w:hAnsi="宋体" w:cs="宋体"/>
          <w:szCs w:val="21"/>
        </w:rPr>
      </w:pPr>
      <w:r>
        <w:rPr>
          <w:rFonts w:hint="eastAsia" w:ascii="宋体" w:hAnsi="宋体" w:cs="宋体"/>
          <w:szCs w:val="21"/>
        </w:rPr>
        <w:t xml:space="preserve">遵循统一的接转报案标准、结案标准，按照案件分类管理原则，配合经纪人做好案件管理工作，保证理赔时效及结案率。</w:t>
      </w:r>
      <w:r/>
    </w:p>
    <w:p>
      <w:pPr>
        <w:pStyle w:val="858"/>
        <w:jc w:val="center"/>
        <w:spacing w:before="0" w:after="0" w:line="360" w:lineRule="auto"/>
        <w:rPr>
          <w:rFonts w:hint="eastAsia" w:ascii="宋体" w:hAnsi="宋体" w:eastAsia="宋体" w:cs="宋体"/>
          <w:sz w:val="21"/>
          <w:szCs w:val="21"/>
        </w:rPr>
      </w:pPr>
      <w:r/>
      <w:bookmarkStart w:id="285" w:name="_Toc1095"/>
      <w:r/>
      <w:bookmarkStart w:id="286" w:name="_Toc18101"/>
      <w:r>
        <w:rPr>
          <w:rFonts w:hint="eastAsia" w:ascii="宋体" w:hAnsi="宋体" w:eastAsia="宋体" w:cs="宋体"/>
          <w:sz w:val="21"/>
          <w:szCs w:val="21"/>
        </w:rPr>
        <w:t xml:space="preserve">第七部分 通用条款</w:t>
      </w:r>
      <w:bookmarkEnd w:id="285"/>
      <w:r/>
      <w:bookmarkEnd w:id="286"/>
      <w:r/>
      <w:r/>
    </w:p>
    <w:p>
      <w:pPr>
        <w:ind w:firstLine="422"/>
        <w:spacing w:line="360" w:lineRule="auto"/>
        <w:rPr>
          <w:rFonts w:hint="eastAsia" w:ascii="宋体" w:hAnsi="宋体" w:cs="宋体"/>
          <w:b/>
          <w:szCs w:val="21"/>
        </w:rPr>
      </w:pPr>
      <w:r/>
      <w:bookmarkStart w:id="287" w:name="_Toc18772"/>
      <w:r>
        <w:rPr>
          <w:rFonts w:hint="eastAsia" w:ascii="宋体" w:hAnsi="宋体" w:cs="宋体"/>
          <w:b/>
          <w:szCs w:val="21"/>
        </w:rPr>
        <w:t xml:space="preserve">一、信息安全与保密条款</w:t>
      </w:r>
      <w:bookmarkEnd w:id="287"/>
      <w:r/>
      <w:r/>
    </w:p>
    <w:p>
      <w:pPr>
        <w:ind w:firstLine="420"/>
        <w:spacing w:line="360" w:lineRule="auto"/>
        <w:rPr>
          <w:rFonts w:hint="eastAsia" w:ascii="宋体" w:hAnsi="宋体" w:cs="宋体"/>
          <w:bCs/>
          <w:szCs w:val="21"/>
        </w:rPr>
      </w:pPr>
      <w:r>
        <w:rPr>
          <w:rFonts w:hint="eastAsia" w:ascii="宋体" w:hAnsi="宋体" w:cs="宋体"/>
          <w:bCs/>
          <w:szCs w:val="21"/>
        </w:rPr>
        <w:t xml:space="preserve">（一）在本协议中，“保密信息”是指任何属于披露方所拥有的、保密的与商业或</w:t>
      </w:r>
      <w:r>
        <w:rPr>
          <w:rFonts w:hint="eastAsia" w:ascii="宋体" w:hAnsi="宋体" w:cs="宋体"/>
          <w:bCs/>
          <w:szCs w:val="21"/>
        </w:rPr>
        <w:t xml:space="preserve">行为相关的非公开信息，包括但不限于所有被一方标注和约定为“保密”的商业、金融、技术和其他信息。保密信息不但包括书面的和其他可以以有形载体存在的信息，也包括通过口头、视觉、电子或者其他无形的形式传播的信息。保密信息不包括下列信息：(a)已经进入公共领域又不违反本协议的，（b）接受方合法从第三方获得，（c）接受方可以证明在从披露方获得该信息前已经通过合法途径知道的，（d）接受方可以证明该保密信息属于其独立开发出来的。在本协议中的所有条款都会被视为各方的保密信息并且在没有得到其他方书面的同意之前，不可以向外披露。</w:t>
      </w:r>
      <w:r/>
    </w:p>
    <w:p>
      <w:pPr>
        <w:ind w:firstLine="420"/>
        <w:spacing w:line="360" w:lineRule="auto"/>
        <w:rPr>
          <w:rFonts w:hint="eastAsia" w:ascii="宋体" w:hAnsi="宋体" w:cs="宋体"/>
          <w:bCs/>
          <w:szCs w:val="21"/>
        </w:rPr>
      </w:pPr>
      <w:r>
        <w:rPr>
          <w:rFonts w:hint="eastAsia" w:ascii="宋体" w:hAnsi="宋体" w:cs="宋体"/>
          <w:bCs/>
          <w:szCs w:val="21"/>
        </w:rPr>
        <w:t xml:space="preserve">（二）各方同意（a）除了在本协议明确允许的之外，不会向任何第三方披露或者使用其他方披露的保密信息，（b）会采取所有合理的方法来维护所有自己拥有或控制的其他方的保密信息的安全。在任何情况下，其维护其他方的保密信息的方法，其保密等级不应当低于自己维护类似重要等级信息所采用的方法。</w:t>
      </w:r>
      <w:r/>
    </w:p>
    <w:p>
      <w:pPr>
        <w:ind w:firstLine="420"/>
        <w:spacing w:line="360" w:lineRule="auto"/>
        <w:rPr>
          <w:rFonts w:hint="eastAsia" w:ascii="宋体" w:hAnsi="宋体" w:cs="宋体"/>
          <w:bCs/>
          <w:szCs w:val="21"/>
        </w:rPr>
      </w:pPr>
      <w:r>
        <w:rPr>
          <w:rFonts w:hint="eastAsia" w:ascii="宋体" w:hAnsi="宋体" w:cs="宋体"/>
          <w:bCs/>
          <w:szCs w:val="21"/>
        </w:rPr>
        <w:t xml:space="preserve">（三）各方承认任何未经授权披露，或者由接受方未经授权使用保密信息将会对披露方造成不可挽回的伤害和损失。接受方在实际违反或者可能会违反本协议规定的情形时，披露方将有权保护和采取临时性强制措施禁止其保密信息披露，而该措施将不限制披露方寻求的任何其他合法补救措施。</w:t>
      </w:r>
      <w:r/>
    </w:p>
    <w:p>
      <w:pPr>
        <w:ind w:firstLine="420"/>
        <w:spacing w:line="360" w:lineRule="auto"/>
        <w:rPr>
          <w:rFonts w:hint="eastAsia" w:ascii="宋体" w:hAnsi="宋体" w:cs="宋体"/>
          <w:bCs/>
          <w:szCs w:val="21"/>
        </w:rPr>
      </w:pPr>
      <w:r>
        <w:rPr>
          <w:rFonts w:hint="eastAsia" w:ascii="宋体" w:hAnsi="宋体" w:cs="宋体"/>
          <w:bCs/>
          <w:szCs w:val="21"/>
        </w:rPr>
        <w:t xml:space="preserve">（四）除了上述，各方可以将保密信息（a）披露给具有管辖的法院或者其他政府机关或者法律规定的，（b）基于“必须知晓”的前提，在保密的基础上，披露给律师、会计师。另外，可以将保密信息披露给依据其法定职权应当知晓相关事项的政府或监管当局。</w:t>
      </w:r>
      <w:r/>
    </w:p>
    <w:p>
      <w:pPr>
        <w:ind w:firstLine="420"/>
        <w:spacing w:line="360" w:lineRule="auto"/>
        <w:rPr>
          <w:rFonts w:hint="eastAsia" w:ascii="宋体" w:hAnsi="宋体" w:cs="宋体"/>
          <w:bCs/>
          <w:szCs w:val="21"/>
        </w:rPr>
      </w:pPr>
      <w:r>
        <w:rPr>
          <w:rFonts w:hint="eastAsia" w:ascii="宋体" w:hAnsi="宋体" w:cs="宋体"/>
          <w:bCs/>
          <w:szCs w:val="21"/>
        </w:rPr>
        <w:t xml:space="preserve">（五）经纪人通过供应方网络平台开展互联网保险业务的，双方另行签署具体业务合作协议，且经纪人网络平台应具备下列条件：</w:t>
      </w:r>
      <w:r/>
    </w:p>
    <w:p>
      <w:pPr>
        <w:ind w:firstLine="420"/>
        <w:spacing w:line="360" w:lineRule="auto"/>
        <w:rPr>
          <w:rFonts w:hint="eastAsia" w:ascii="宋体" w:hAnsi="宋体" w:cs="宋体"/>
          <w:bCs/>
          <w:szCs w:val="21"/>
        </w:rPr>
      </w:pPr>
      <w:r>
        <w:rPr>
          <w:rFonts w:hint="eastAsia" w:ascii="宋体" w:hAnsi="宋体" w:cs="宋体"/>
          <w:bCs/>
          <w:szCs w:val="21"/>
        </w:rPr>
        <w:t xml:space="preserve">1、具有互联网行业主管部门颁发的许可证或者在互联网行业主管部门完成网站备案，且网站接入地在中华人民共和国境内；</w:t>
      </w:r>
      <w:r/>
    </w:p>
    <w:p>
      <w:pPr>
        <w:ind w:firstLine="420"/>
        <w:spacing w:line="360" w:lineRule="auto"/>
        <w:rPr>
          <w:rFonts w:hint="eastAsia" w:ascii="宋体" w:hAnsi="宋体" w:cs="宋体"/>
          <w:bCs/>
          <w:szCs w:val="21"/>
        </w:rPr>
      </w:pPr>
      <w:r>
        <w:rPr>
          <w:rFonts w:hint="eastAsia" w:ascii="宋体" w:hAnsi="宋体" w:cs="宋体"/>
          <w:bCs/>
          <w:szCs w:val="21"/>
        </w:rPr>
        <w:t xml:space="preserve">2、具有安全可靠的互联网运营系统和信息安全管理体系，实现与供应方应用系统的有效隔离，可以通过供应方或第三方的信息安全检测；</w:t>
      </w:r>
      <w:r/>
    </w:p>
    <w:p>
      <w:pPr>
        <w:ind w:firstLine="420"/>
        <w:spacing w:line="360" w:lineRule="auto"/>
        <w:rPr>
          <w:rFonts w:hint="eastAsia" w:ascii="宋体" w:hAnsi="宋体" w:cs="宋体"/>
          <w:bCs/>
          <w:szCs w:val="21"/>
        </w:rPr>
      </w:pPr>
      <w:r>
        <w:rPr>
          <w:rFonts w:hint="eastAsia" w:ascii="宋体" w:hAnsi="宋体" w:cs="宋体"/>
          <w:bCs/>
          <w:szCs w:val="21"/>
        </w:rPr>
        <w:t xml:space="preserve">3、最近两年未受到互联网行业主管部门、工商行政管理部门等政府部门的重大行政处罚，未被国家金融监督管理总局列入保险行业禁止合作清单；</w:t>
      </w:r>
      <w:r/>
    </w:p>
    <w:p>
      <w:pPr>
        <w:ind w:firstLine="420"/>
        <w:spacing w:line="360" w:lineRule="auto"/>
        <w:rPr>
          <w:rFonts w:hint="eastAsia" w:ascii="宋体" w:hAnsi="宋体" w:cs="宋体"/>
          <w:bCs/>
          <w:szCs w:val="21"/>
        </w:rPr>
      </w:pPr>
      <w:r>
        <w:rPr>
          <w:rFonts w:hint="eastAsia" w:ascii="宋体" w:hAnsi="宋体" w:cs="宋体"/>
          <w:bCs/>
          <w:szCs w:val="21"/>
        </w:rPr>
        <w:t xml:space="preserve">4、国家金融监督管理总局规定的其他条件。</w:t>
      </w:r>
      <w:r/>
    </w:p>
    <w:p>
      <w:pPr>
        <w:ind w:firstLine="422"/>
        <w:spacing w:line="360" w:lineRule="auto"/>
        <w:rPr>
          <w:rFonts w:hint="eastAsia" w:ascii="宋体" w:hAnsi="宋体" w:cs="宋体"/>
          <w:b/>
          <w:szCs w:val="21"/>
        </w:rPr>
      </w:pPr>
      <w:r/>
      <w:bookmarkStart w:id="288" w:name="_Toc18942"/>
      <w:r>
        <w:rPr>
          <w:rFonts w:hint="eastAsia" w:ascii="宋体" w:hAnsi="宋体" w:cs="宋体"/>
          <w:b/>
          <w:szCs w:val="21"/>
        </w:rPr>
        <w:t xml:space="preserve">二、反虚假宣传条款</w:t>
      </w:r>
      <w:bookmarkEnd w:id="288"/>
      <w:r/>
      <w:r/>
    </w:p>
    <w:p>
      <w:pPr>
        <w:ind w:firstLine="420"/>
        <w:spacing w:line="360" w:lineRule="auto"/>
        <w:rPr>
          <w:rFonts w:hint="eastAsia" w:ascii="宋体" w:hAnsi="宋体" w:cs="宋体"/>
          <w:b/>
          <w:szCs w:val="21"/>
        </w:rPr>
      </w:pPr>
      <w:r>
        <w:rPr>
          <w:rFonts w:hint="eastAsia" w:ascii="宋体" w:hAnsi="宋体" w:cs="宋体"/>
          <w:bCs/>
          <w:szCs w:val="21"/>
        </w:rPr>
        <w:t xml:space="preserve">双方均清楚并愿意严格遵守中华人民共和国《著作权法》、《商标法》、《专利法》、《反不正当竞争法》等知识产权类、合同法及广告法等相关法律的规定，双方均有权就本合同所约定事项以约定方式在约定范</w:t>
      </w:r>
      <w:r>
        <w:rPr>
          <w:rFonts w:hint="eastAsia" w:ascii="宋体" w:hAnsi="宋体" w:cs="宋体"/>
          <w:bCs/>
          <w:szCs w:val="21"/>
        </w:rPr>
        <w:t xml:space="preserve">围内进行真实、合理的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r/>
    </w:p>
    <w:p>
      <w:pPr>
        <w:ind w:firstLine="422"/>
        <w:spacing w:line="360" w:lineRule="auto"/>
        <w:rPr>
          <w:rFonts w:hint="eastAsia" w:ascii="宋体" w:hAnsi="宋体" w:cs="宋体"/>
          <w:b/>
          <w:szCs w:val="21"/>
        </w:rPr>
      </w:pPr>
      <w:r/>
      <w:bookmarkStart w:id="289" w:name="_Toc23390"/>
      <w:r>
        <w:rPr>
          <w:rFonts w:hint="eastAsia" w:ascii="宋体" w:hAnsi="宋体" w:cs="宋体"/>
          <w:b/>
          <w:szCs w:val="21"/>
        </w:rPr>
        <w:t xml:space="preserve">三、反商业贿赂条款</w:t>
      </w:r>
      <w:bookmarkEnd w:id="289"/>
      <w:r/>
      <w:r/>
    </w:p>
    <w:p>
      <w:pPr>
        <w:ind w:firstLine="420"/>
        <w:spacing w:line="360" w:lineRule="auto"/>
        <w:rPr>
          <w:rFonts w:hint="eastAsia" w:ascii="宋体" w:hAnsi="宋体" w:cs="宋体"/>
          <w:bCs/>
          <w:szCs w:val="21"/>
        </w:rPr>
      </w:pPr>
      <w:r>
        <w:rPr>
          <w:rFonts w:hint="eastAsia" w:ascii="宋体" w:hAnsi="宋体" w:cs="宋体"/>
          <w:bCs/>
          <w:szCs w:val="21"/>
        </w:rPr>
        <w:t xml:space="preserve">反商业贿赂条款与本合同其它条款具有同等法律效力，合同当事人均同意签订并遵守如下反商业贿赂条款：</w:t>
      </w:r>
      <w:r/>
    </w:p>
    <w:p>
      <w:pPr>
        <w:ind w:firstLine="420"/>
        <w:spacing w:line="360" w:lineRule="auto"/>
        <w:rPr>
          <w:rFonts w:hint="eastAsia" w:ascii="宋体" w:hAnsi="宋体" w:cs="宋体"/>
          <w:bCs/>
          <w:szCs w:val="21"/>
        </w:rPr>
      </w:pPr>
      <w:r>
        <w:rPr>
          <w:rFonts w:hint="eastAsia" w:ascii="宋体" w:hAnsi="宋体" w:cs="宋体"/>
          <w:bCs/>
          <w:szCs w:val="21"/>
        </w:rPr>
        <w:t xml:space="preserve">（一）双方都清楚并愿意严格遵守中华人民共和国反商业贿赂的法律规定，双方都清楚任何形式的贿赂和贪渎行为都将触犯法律，并将受到法律的严惩。</w:t>
      </w:r>
      <w:r/>
    </w:p>
    <w:p>
      <w:pPr>
        <w:ind w:firstLine="420"/>
        <w:spacing w:line="360" w:lineRule="auto"/>
        <w:rPr>
          <w:rFonts w:hint="eastAsia" w:ascii="宋体" w:hAnsi="宋体" w:cs="宋体"/>
          <w:bCs/>
          <w:szCs w:val="21"/>
        </w:rPr>
      </w:pPr>
      <w:r>
        <w:rPr>
          <w:rFonts w:hint="eastAsia" w:ascii="宋体" w:hAnsi="宋体" w:cs="宋体"/>
          <w:bCs/>
          <w:szCs w:val="21"/>
        </w:rPr>
        <w:t xml:space="preserve">（二）供应方或经纪人均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r/>
    </w:p>
    <w:p>
      <w:pPr>
        <w:ind w:firstLine="420"/>
        <w:spacing w:line="360" w:lineRule="auto"/>
        <w:rPr>
          <w:rFonts w:hint="eastAsia" w:ascii="宋体" w:hAnsi="宋体" w:cs="宋体"/>
          <w:bCs/>
          <w:szCs w:val="21"/>
        </w:rPr>
      </w:pPr>
      <w:r>
        <w:rPr>
          <w:rFonts w:hint="eastAsia" w:ascii="宋体" w:hAnsi="宋体" w:cs="宋体"/>
          <w:bCs/>
          <w:szCs w:val="21"/>
        </w:rPr>
        <w:t xml:space="preserve">（三）严格禁止双方经办人员的任何商业贿赂行为。双方方经办人发生本条第二款所列示的任何一种行为，都是违反各方公司制度的，都将受到各方公司制度和国家法律的惩处。</w:t>
      </w:r>
      <w:r/>
    </w:p>
    <w:p>
      <w:pPr>
        <w:ind w:firstLine="420"/>
        <w:spacing w:line="360" w:lineRule="auto"/>
        <w:rPr>
          <w:rFonts w:hint="eastAsia" w:ascii="宋体" w:hAnsi="宋体" w:cs="宋体"/>
          <w:bCs/>
          <w:szCs w:val="21"/>
        </w:rPr>
      </w:pPr>
      <w:r>
        <w:rPr>
          <w:rFonts w:hint="eastAsia" w:ascii="宋体" w:hAnsi="宋体" w:cs="宋体"/>
          <w:bCs/>
          <w:szCs w:val="21"/>
        </w:rPr>
        <w:t xml:space="preserve">（四）郑重提示：双方均反对对方或对方经办人员为了本合同之目的与本合同以外的任何第三方发生本条款第二条所列示的任何一种行为，该等行为都是违反国家法律的行为，并将受到国家法律的惩处。</w:t>
      </w:r>
      <w:r/>
    </w:p>
    <w:p>
      <w:pPr>
        <w:ind w:firstLine="420"/>
        <w:spacing w:line="360" w:lineRule="auto"/>
        <w:rPr>
          <w:rFonts w:hint="eastAsia" w:ascii="宋体" w:hAnsi="宋体" w:cs="宋体"/>
          <w:bCs/>
          <w:szCs w:val="21"/>
        </w:rPr>
      </w:pPr>
      <w:r>
        <w:rPr>
          <w:rFonts w:hint="eastAsia" w:ascii="宋体" w:hAnsi="宋体" w:cs="宋体"/>
          <w:bCs/>
          <w:szCs w:val="21"/>
        </w:rPr>
        <w:t xml:space="preserve">（五）如因一方或一方经办人违反上述第二款、第三款、第四款之规定，给对方造成损失的，应承担损害赔偿责任。</w:t>
      </w:r>
      <w:r/>
    </w:p>
    <w:p>
      <w:pPr>
        <w:ind w:firstLine="422"/>
        <w:spacing w:line="360" w:lineRule="auto"/>
        <w:rPr>
          <w:rFonts w:hint="eastAsia" w:ascii="宋体" w:hAnsi="宋体" w:cs="宋体"/>
          <w:szCs w:val="21"/>
        </w:rPr>
      </w:pPr>
      <w:r/>
      <w:bookmarkStart w:id="290" w:name="_Toc9814"/>
      <w:r>
        <w:rPr>
          <w:rFonts w:hint="eastAsia" w:ascii="宋体" w:hAnsi="宋体" w:cs="宋体"/>
          <w:b/>
          <w:szCs w:val="21"/>
        </w:rPr>
        <w:t xml:space="preserve">四、反洗钱条款</w:t>
      </w:r>
      <w:bookmarkEnd w:id="290"/>
      <w:r/>
      <w:r/>
    </w:p>
    <w:p>
      <w:pPr>
        <w:ind w:firstLine="420"/>
        <w:spacing w:line="360" w:lineRule="auto"/>
        <w:rPr>
          <w:rFonts w:hint="eastAsia" w:ascii="宋体" w:hAnsi="宋体" w:cs="宋体"/>
          <w:szCs w:val="21"/>
        </w:rPr>
      </w:pPr>
      <w:r>
        <w:rPr>
          <w:rFonts w:hint="eastAsia" w:ascii="宋体" w:hAnsi="宋体" w:cs="宋体"/>
          <w:szCs w:val="21"/>
        </w:rPr>
        <w:t xml:space="preserve">双方根据《中华人民共和国反洗钱法》、《金融机构反洗钱规定》、《金融机构客户身份识别和客户身份资料及交易记录保存管理办法》、《金融机构大额交易和可疑交易报告管理办法》、《中国人民银行关于进一步加强金融机构反洗钱工作的通知》、《保险业反洗钱工作管理办法》等法律及监管规定的要求，相互提供必要的协助，采取有效的客户身份识别措施，共同推进反洗钱方面的合作，并就反洗钱方面达成如下协议：</w:t>
      </w:r>
      <w:r/>
    </w:p>
    <w:p>
      <w:pPr>
        <w:ind w:firstLine="420"/>
        <w:spacing w:line="360" w:lineRule="auto"/>
        <w:rPr>
          <w:rFonts w:hint="eastAsia" w:ascii="宋体" w:hAnsi="宋体" w:cs="宋体"/>
          <w:szCs w:val="21"/>
        </w:rPr>
      </w:pPr>
      <w:r>
        <w:rPr>
          <w:rFonts w:hint="eastAsia" w:ascii="宋体" w:hAnsi="宋体" w:cs="宋体"/>
          <w:szCs w:val="21"/>
        </w:rPr>
        <w:t xml:space="preserve">（一）双方应按照反洗钱法律法规要求，分别建立各自的反洗钱内控制度，落实客户身份识别、客户身份资料和交易记录保存、大额和可疑交易识别和报送等相关监管要求。</w:t>
      </w:r>
      <w:r/>
    </w:p>
    <w:p>
      <w:pPr>
        <w:ind w:firstLine="420"/>
        <w:spacing w:line="360" w:lineRule="auto"/>
        <w:rPr>
          <w:rFonts w:hint="eastAsia" w:ascii="宋体" w:hAnsi="宋体" w:cs="宋体"/>
          <w:szCs w:val="21"/>
        </w:rPr>
      </w:pPr>
      <w:r>
        <w:rPr>
          <w:rFonts w:hint="eastAsia" w:ascii="宋体" w:hAnsi="宋体" w:cs="宋体"/>
          <w:szCs w:val="21"/>
        </w:rPr>
        <w:t xml:space="preserve">（二）双方应依法按照相关法律、法规、监管规定对客户进行有效的身份识别，并留存相关资料。</w:t>
      </w:r>
      <w:r/>
    </w:p>
    <w:p>
      <w:pPr>
        <w:ind w:firstLine="420"/>
        <w:spacing w:line="360" w:lineRule="auto"/>
        <w:rPr>
          <w:rFonts w:hint="eastAsia" w:ascii="宋体" w:hAnsi="宋体" w:cs="宋体"/>
          <w:szCs w:val="21"/>
        </w:rPr>
      </w:pPr>
      <w:r>
        <w:rPr>
          <w:rFonts w:hint="eastAsia" w:ascii="宋体" w:hAnsi="宋体" w:cs="宋体"/>
          <w:szCs w:val="21"/>
        </w:rPr>
        <w:t xml:space="preserve">（三）双方应按照《中国人民银行关于加强反洗钱客户身份识别有关工作的通知》（银发[2017]235号）规定，开展非自然人客户“受益所有人”识别工作。</w:t>
      </w:r>
      <w:r/>
    </w:p>
    <w:p>
      <w:pPr>
        <w:ind w:firstLine="420"/>
        <w:spacing w:line="360" w:lineRule="auto"/>
        <w:rPr>
          <w:rFonts w:hint="eastAsia" w:ascii="宋体" w:hAnsi="宋体" w:cs="宋体"/>
          <w:szCs w:val="21"/>
        </w:rPr>
      </w:pPr>
      <w:r>
        <w:rPr>
          <w:rFonts w:hint="eastAsia" w:ascii="宋体" w:hAnsi="宋体" w:cs="宋体"/>
          <w:szCs w:val="21"/>
        </w:rPr>
        <w:t xml:space="preserve">（四）双方应按照人民银行的有关规定依法履行大额、可疑交易的报告义务，双方积极协助对方对大额、可疑交易的调查，并依法在必要时向对方提供国家权力机关调查所需的客户资料信息。经纪人发现客户交易行为可疑，或者发现有利用供应方保单洗钱的迹象的，经纪人应当及时通知供应方。若供应方发现经纪人拓展或者维护的客户具有洗钱嫌疑，经纪人应当根据供应方要求，尽力帮助供应方获取客户的相关资料和信息，以便供应方履行向监管机构报送反洗钱可疑交易的法律义务。</w:t>
      </w:r>
      <w:r/>
    </w:p>
    <w:p>
      <w:pPr>
        <w:ind w:firstLine="420"/>
        <w:spacing w:line="360" w:lineRule="auto"/>
        <w:rPr>
          <w:rFonts w:hint="eastAsia" w:ascii="宋体" w:hAnsi="宋体" w:cs="宋体"/>
          <w:szCs w:val="21"/>
        </w:rPr>
      </w:pPr>
      <w:r>
        <w:rPr>
          <w:rFonts w:hint="eastAsia" w:ascii="宋体" w:hAnsi="宋体" w:cs="宋体"/>
          <w:szCs w:val="21"/>
        </w:rPr>
        <w:t xml:space="preserve">5、双方应做好客户信息保密工作，必要时向对方提供用于监管机构反洗钱检查要求的客户资料，共同作好反洗钱工作，尽到应尽职责。</w:t>
      </w:r>
      <w:r/>
    </w:p>
    <w:p>
      <w:pPr>
        <w:ind w:firstLine="422"/>
        <w:spacing w:line="360" w:lineRule="auto"/>
        <w:rPr>
          <w:rFonts w:hint="eastAsia" w:ascii="宋体" w:hAnsi="宋体" w:cs="宋体"/>
          <w:b/>
          <w:szCs w:val="21"/>
        </w:rPr>
      </w:pPr>
      <w:r/>
      <w:bookmarkStart w:id="291" w:name="_Toc23696"/>
      <w:r>
        <w:rPr>
          <w:rFonts w:hint="eastAsia" w:ascii="宋体" w:hAnsi="宋体" w:cs="宋体"/>
          <w:b/>
          <w:szCs w:val="21"/>
        </w:rPr>
        <w:t xml:space="preserve">五、法律责任</w:t>
      </w:r>
      <w:bookmarkEnd w:id="291"/>
      <w:r/>
      <w:r/>
    </w:p>
    <w:p>
      <w:pPr>
        <w:ind w:firstLine="420"/>
        <w:spacing w:line="360" w:lineRule="auto"/>
        <w:rPr>
          <w:rFonts w:hint="eastAsia" w:ascii="宋体" w:hAnsi="宋体" w:cs="宋体"/>
          <w:szCs w:val="21"/>
        </w:rPr>
      </w:pPr>
      <w:r>
        <w:rPr>
          <w:rFonts w:hint="eastAsia" w:ascii="宋体" w:hAnsi="宋体" w:cs="宋体"/>
          <w:szCs w:val="21"/>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20"/>
        <w:spacing w:line="360" w:lineRule="auto"/>
        <w:rPr>
          <w:rFonts w:hint="eastAsia" w:ascii="宋体" w:hAnsi="宋体" w:cs="宋体"/>
          <w:szCs w:val="21"/>
        </w:rPr>
      </w:pPr>
      <w:r>
        <w:rPr>
          <w:rFonts w:hint="eastAsia" w:ascii="宋体" w:hAnsi="宋体" w:cs="宋体"/>
          <w:szCs w:val="21"/>
        </w:rPr>
        <w:t xml:space="preserve">若发生违约情形，违约方依法依约承担其相应法律责任后，除非守约方同意终止本协议的，本协议仍须继续履行。</w:t>
      </w:r>
      <w:r/>
    </w:p>
    <w:p>
      <w:pPr>
        <w:pStyle w:val="858"/>
        <w:jc w:val="center"/>
        <w:spacing w:before="0" w:after="0" w:line="360" w:lineRule="auto"/>
        <w:rPr>
          <w:rFonts w:hint="eastAsia" w:ascii="宋体" w:hAnsi="宋体" w:eastAsia="宋体" w:cs="宋体"/>
          <w:sz w:val="21"/>
          <w:szCs w:val="21"/>
        </w:rPr>
      </w:pPr>
      <w:r/>
      <w:bookmarkStart w:id="292" w:name="_Toc30511"/>
      <w:r/>
      <w:bookmarkStart w:id="293" w:name="_Toc26445"/>
      <w:r>
        <w:rPr>
          <w:rFonts w:hint="eastAsia" w:ascii="宋体" w:hAnsi="宋体" w:eastAsia="宋体" w:cs="宋体"/>
          <w:sz w:val="21"/>
          <w:szCs w:val="21"/>
        </w:rPr>
        <w:t xml:space="preserve">第八部分 服务质量考评</w:t>
      </w:r>
      <w:bookmarkEnd w:id="292"/>
      <w:r/>
      <w:bookmarkEnd w:id="293"/>
      <w:r/>
      <w:r/>
    </w:p>
    <w:p>
      <w:pPr>
        <w:ind w:firstLine="420"/>
        <w:spacing w:line="360" w:lineRule="auto"/>
        <w:widowControl/>
        <w:rPr>
          <w:rFonts w:hint="eastAsia" w:ascii="宋体" w:hAnsi="宋体" w:cs="宋体"/>
          <w:szCs w:val="21"/>
        </w:rPr>
      </w:pPr>
      <w:r>
        <w:rPr>
          <w:rFonts w:hint="eastAsia" w:ascii="宋体" w:hAnsi="宋体" w:cs="宋体"/>
          <w:szCs w:val="21"/>
        </w:rPr>
        <w:t xml:space="preserve">服务质量考评是指采购人和经纪人依据保险合同、供应方所签订的相关协议及其他相关文件，对供应方在服务质量进行评价，建立考评档案，定期发布结果信息，由工作领导小组依据评价结果提出处理意见。</w:t>
      </w:r>
      <w:r/>
    </w:p>
    <w:p>
      <w:pPr>
        <w:ind w:firstLine="420"/>
        <w:spacing w:line="360" w:lineRule="auto"/>
        <w:rPr>
          <w:rFonts w:hint="eastAsia" w:ascii="宋体" w:hAnsi="宋体" w:cs="宋体"/>
          <w:szCs w:val="21"/>
        </w:rPr>
      </w:pPr>
      <w:r>
        <w:rPr>
          <w:rFonts w:hint="eastAsia" w:ascii="宋体" w:hAnsi="宋体" w:cs="宋体"/>
          <w:szCs w:val="21"/>
        </w:rPr>
        <w:t xml:space="preserve">一、服务质量考评实行统一管理、实时评价，江泰保险经纪负责服务质量评价体系建设，评价制度制订、修订，负责服务质量评价的动态管理，建立考评档案，发布考评结果情况信息，对违约的协议方进行通报。</w:t>
      </w:r>
      <w:r/>
    </w:p>
    <w:p>
      <w:pPr>
        <w:ind w:firstLine="420"/>
        <w:spacing w:line="360" w:lineRule="auto"/>
        <w:rPr>
          <w:rFonts w:hint="eastAsia" w:ascii="宋体" w:hAnsi="宋体" w:cs="宋体"/>
          <w:bCs/>
          <w:szCs w:val="21"/>
        </w:rPr>
      </w:pPr>
      <w:r>
        <w:rPr>
          <w:rFonts w:hint="eastAsia" w:ascii="宋体" w:hAnsi="宋体" w:cs="宋体"/>
          <w:bCs/>
          <w:szCs w:val="21"/>
        </w:rPr>
        <w:t xml:space="preserve">二、履约评价</w:t>
      </w:r>
      <w:r/>
    </w:p>
    <w:p>
      <w:pPr>
        <w:numPr>
          <w:ilvl w:val="0"/>
          <w:numId w:val="31"/>
        </w:numPr>
        <w:jc w:val="left"/>
        <w:spacing w:line="360" w:lineRule="auto"/>
        <w:widowControl/>
        <w:rPr>
          <w:rFonts w:hint="eastAsia" w:ascii="宋体" w:hAnsi="宋体" w:cs="宋体"/>
          <w:szCs w:val="21"/>
        </w:rPr>
      </w:pPr>
      <w:r>
        <w:rPr>
          <w:rFonts w:hint="eastAsia" w:ascii="宋体" w:hAnsi="宋体" w:cs="宋体"/>
          <w:szCs w:val="21"/>
        </w:rPr>
        <w:t xml:space="preserve">考评档案包括建立基本信息和确定履约服务等级两部分内容。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原始履约服务分数为100分，若有违约项，扣除相应分数，剩余分数进行评级。等级按评分分为四个级别，即：</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A级（履约服务好）、B级（履约服务较好）；</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C级（履约服务一般）、D级（履约服务差）。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A：严格履行保险合同与采购协议，服务质量、服务体系健全并全部得到落实。评分为90分及以上。</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B：基本履行保险合同与采购协议内容，服务质量、服务体系健全并基本得到落实。评分为70分至89分。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C：尚能遵守保险合同与采购协议及承诺。评分为60分至69分。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D：不履行保险合同与采购协议、承诺，服务内容、服务质量无法得到保证。评分为60分以下。</w:t>
      </w:r>
      <w:r/>
    </w:p>
    <w:p>
      <w:pPr>
        <w:numPr>
          <w:ilvl w:val="0"/>
          <w:numId w:val="31"/>
        </w:numPr>
        <w:jc w:val="left"/>
        <w:spacing w:line="360" w:lineRule="auto"/>
        <w:widowControl/>
        <w:rPr>
          <w:rFonts w:hint="eastAsia" w:ascii="宋体" w:hAnsi="宋体" w:cs="宋体"/>
          <w:szCs w:val="21"/>
        </w:rPr>
      </w:pPr>
      <w:r>
        <w:rPr>
          <w:rFonts w:hint="eastAsia" w:ascii="宋体" w:hAnsi="宋体" w:cs="宋体"/>
          <w:szCs w:val="21"/>
        </w:rPr>
        <w:t xml:space="preserve">履约服务评价为D级的列入采购人供应商谨慎合作企业名录。</w:t>
      </w:r>
      <w:r/>
    </w:p>
    <w:p>
      <w:pPr>
        <w:ind w:firstLine="420"/>
        <w:spacing w:line="360" w:lineRule="auto"/>
        <w:rPr>
          <w:rFonts w:hint="eastAsia" w:ascii="宋体" w:hAnsi="宋体" w:cs="宋体"/>
          <w:szCs w:val="21"/>
        </w:rPr>
      </w:pPr>
      <w:r>
        <w:rPr>
          <w:rFonts w:hint="eastAsia" w:ascii="宋体" w:hAnsi="宋体" w:cs="宋体"/>
          <w:szCs w:val="21"/>
        </w:rPr>
        <w:t xml:space="preserve">三、凡履约服务评价期内协议方各成员单位有下列情况之一，并经南京鼓楼医院确认的，每次扣除5分：</w:t>
      </w:r>
      <w:r/>
    </w:p>
    <w:p>
      <w:pPr>
        <w:numPr>
          <w:ilvl w:val="0"/>
          <w:numId w:val="32"/>
        </w:numPr>
        <w:jc w:val="left"/>
        <w:spacing w:line="360" w:lineRule="auto"/>
        <w:widowControl/>
        <w:rPr>
          <w:rFonts w:hint="eastAsia" w:ascii="宋体" w:hAnsi="宋体" w:cs="宋体"/>
          <w:szCs w:val="21"/>
        </w:rPr>
      </w:pPr>
      <w:r>
        <w:rPr>
          <w:rFonts w:hint="eastAsia" w:ascii="宋体" w:hAnsi="宋体" w:cs="宋体"/>
          <w:szCs w:val="21"/>
        </w:rPr>
        <w:t xml:space="preserve">未在约定的时间内向医院提供保单、发票的；</w:t>
      </w:r>
      <w:r/>
    </w:p>
    <w:p>
      <w:pPr>
        <w:numPr>
          <w:ilvl w:val="0"/>
          <w:numId w:val="32"/>
        </w:numPr>
        <w:jc w:val="left"/>
        <w:spacing w:line="360" w:lineRule="auto"/>
        <w:widowControl/>
        <w:rPr>
          <w:rFonts w:hint="eastAsia" w:ascii="宋体" w:hAnsi="宋体" w:cs="宋体"/>
          <w:szCs w:val="21"/>
        </w:rPr>
      </w:pPr>
      <w:r>
        <w:rPr>
          <w:rFonts w:hint="eastAsia" w:ascii="宋体" w:hAnsi="宋体" w:cs="宋体"/>
          <w:szCs w:val="21"/>
        </w:rPr>
        <w:t xml:space="preserve">未在约定的时间内支付保险经纪费（佣金）的；</w:t>
      </w:r>
      <w:r/>
    </w:p>
    <w:p>
      <w:pPr>
        <w:numPr>
          <w:ilvl w:val="0"/>
          <w:numId w:val="32"/>
        </w:numPr>
        <w:jc w:val="left"/>
        <w:spacing w:line="360" w:lineRule="auto"/>
        <w:widowControl/>
        <w:rPr>
          <w:rFonts w:hint="eastAsia" w:ascii="宋体" w:hAnsi="宋体" w:cs="宋体"/>
          <w:szCs w:val="21"/>
        </w:rPr>
      </w:pPr>
      <w:r>
        <w:rPr>
          <w:rFonts w:hint="eastAsia" w:ascii="宋体" w:hAnsi="宋体" w:cs="宋体"/>
          <w:szCs w:val="21"/>
        </w:rPr>
        <w:t xml:space="preserve">未在约定的时间内完成共保体保费划分的；</w:t>
      </w:r>
      <w:r/>
    </w:p>
    <w:p>
      <w:pPr>
        <w:numPr>
          <w:ilvl w:val="0"/>
          <w:numId w:val="32"/>
        </w:numPr>
        <w:jc w:val="left"/>
        <w:spacing w:line="360" w:lineRule="auto"/>
        <w:widowControl/>
        <w:rPr>
          <w:rFonts w:hint="eastAsia" w:ascii="宋体" w:hAnsi="宋体" w:cs="宋体"/>
          <w:szCs w:val="21"/>
        </w:rPr>
      </w:pPr>
      <w:r>
        <w:rPr>
          <w:rFonts w:hint="eastAsia" w:ascii="宋体" w:hAnsi="宋体" w:cs="宋体"/>
          <w:szCs w:val="21"/>
        </w:rPr>
        <w:t xml:space="preserve">未在约定的时间内分摊赔款的。</w:t>
      </w:r>
      <w:r/>
    </w:p>
    <w:p>
      <w:pPr>
        <w:ind w:firstLine="420"/>
        <w:spacing w:line="360" w:lineRule="auto"/>
        <w:rPr>
          <w:rFonts w:hint="eastAsia" w:ascii="宋体" w:hAnsi="宋体" w:cs="宋体"/>
          <w:szCs w:val="21"/>
        </w:rPr>
      </w:pPr>
      <w:r>
        <w:rPr>
          <w:rFonts w:hint="eastAsia" w:ascii="宋体" w:hAnsi="宋体" w:cs="宋体"/>
          <w:szCs w:val="21"/>
        </w:rPr>
        <w:t xml:space="preserve">四、凡履约服务评价期内有下列情况之一，并经南京鼓楼医院确认的，每次扣除5分：</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无正当理由拒绝被保险人投保的；</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为不符合退保条件的被保险人办理退保的；</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故意提供虚假的业务数据及资料的；</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无正当理由未按约定支付赔款或拒付赔款的；</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未按照合同约定向企业提供防灾防损服务的；</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接到医疗机构报案未按照约定时间到达现场的；</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对超出保险合同与采购协议所约定的保障范围进行理赔的；</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不能及时协助医疗机构完成投保，造成保险合同倒签；</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不按照采购协议与保险合同约定，使用法律费用的；</w:t>
      </w:r>
      <w:r/>
    </w:p>
    <w:p>
      <w:pPr>
        <w:numPr>
          <w:ilvl w:val="0"/>
          <w:numId w:val="33"/>
        </w:numPr>
        <w:jc w:val="left"/>
        <w:spacing w:line="360" w:lineRule="auto"/>
        <w:widowControl/>
        <w:rPr>
          <w:rFonts w:hint="eastAsia" w:ascii="宋体" w:hAnsi="宋体" w:cs="宋体"/>
          <w:szCs w:val="21"/>
        </w:rPr>
      </w:pPr>
      <w:r>
        <w:rPr>
          <w:rFonts w:hint="eastAsia" w:ascii="宋体" w:hAnsi="宋体" w:cs="宋体"/>
          <w:szCs w:val="21"/>
        </w:rPr>
        <w:t xml:space="preserve">在案件处理过程中弄虚作假。</w:t>
      </w:r>
      <w:r/>
    </w:p>
    <w:p>
      <w:pPr>
        <w:ind w:firstLine="420"/>
        <w:spacing w:line="360" w:lineRule="auto"/>
        <w:rPr>
          <w:rFonts w:hint="eastAsia" w:ascii="宋体" w:hAnsi="宋体" w:cs="宋体"/>
          <w:szCs w:val="21"/>
        </w:rPr>
      </w:pPr>
      <w:r>
        <w:rPr>
          <w:rFonts w:hint="eastAsia" w:ascii="宋体" w:hAnsi="宋体" w:cs="宋体"/>
          <w:szCs w:val="21"/>
        </w:rPr>
        <w:t xml:space="preserve">五、凡履约服务评价期内保险公司有下列情况之一，并经南京鼓楼医院确认的，每次扣除10分：</w:t>
      </w:r>
      <w:r/>
    </w:p>
    <w:p>
      <w:pPr>
        <w:numPr>
          <w:ilvl w:val="0"/>
          <w:numId w:val="34"/>
        </w:numPr>
        <w:jc w:val="left"/>
        <w:spacing w:line="360" w:lineRule="auto"/>
        <w:widowControl/>
        <w:rPr>
          <w:rFonts w:hint="eastAsia" w:ascii="宋体" w:hAnsi="宋体" w:cs="宋体"/>
          <w:szCs w:val="21"/>
        </w:rPr>
      </w:pPr>
      <w:r>
        <w:rPr>
          <w:rFonts w:hint="eastAsia" w:ascii="宋体" w:hAnsi="宋体" w:cs="宋体"/>
          <w:szCs w:val="21"/>
        </w:rPr>
        <w:t xml:space="preserve">在理赔过程中索要超出采购协议约定的理赔材料；</w:t>
      </w:r>
      <w:r/>
    </w:p>
    <w:p>
      <w:pPr>
        <w:numPr>
          <w:ilvl w:val="0"/>
          <w:numId w:val="34"/>
        </w:numPr>
        <w:jc w:val="left"/>
        <w:spacing w:line="360" w:lineRule="auto"/>
        <w:widowControl/>
        <w:rPr>
          <w:rFonts w:hint="eastAsia" w:ascii="宋体" w:hAnsi="宋体" w:cs="宋体"/>
          <w:szCs w:val="21"/>
        </w:rPr>
      </w:pPr>
      <w:r>
        <w:rPr>
          <w:rFonts w:hint="eastAsia" w:ascii="宋体" w:hAnsi="宋体" w:cs="宋体"/>
          <w:szCs w:val="21"/>
        </w:rPr>
        <w:t xml:space="preserve">未按约定完成本产品电子商务系统对接的；</w:t>
      </w:r>
      <w:r/>
    </w:p>
    <w:p>
      <w:pPr>
        <w:numPr>
          <w:ilvl w:val="0"/>
          <w:numId w:val="34"/>
        </w:numPr>
        <w:jc w:val="left"/>
        <w:spacing w:line="360" w:lineRule="auto"/>
        <w:widowControl/>
        <w:rPr>
          <w:rFonts w:hint="eastAsia" w:ascii="宋体" w:hAnsi="宋体" w:cs="宋体"/>
          <w:szCs w:val="21"/>
        </w:rPr>
      </w:pPr>
      <w:r>
        <w:rPr>
          <w:rFonts w:hint="eastAsia" w:ascii="宋体" w:hAnsi="宋体" w:cs="宋体"/>
          <w:szCs w:val="21"/>
        </w:rPr>
        <w:t xml:space="preserve">采购协议期未结束，擅自退出共保体的。</w:t>
      </w:r>
      <w:r/>
    </w:p>
    <w:p>
      <w:pPr>
        <w:ind w:firstLine="420"/>
        <w:spacing w:line="360" w:lineRule="auto"/>
        <w:rPr>
          <w:rFonts w:hint="eastAsia" w:ascii="宋体" w:hAnsi="宋体" w:cs="宋体"/>
          <w:bCs/>
          <w:szCs w:val="21"/>
        </w:rPr>
      </w:pPr>
      <w:r>
        <w:rPr>
          <w:rFonts w:hint="eastAsia" w:ascii="宋体" w:hAnsi="宋体" w:cs="宋体"/>
          <w:bCs/>
          <w:szCs w:val="21"/>
        </w:rPr>
        <w:t xml:space="preserve">六、罚则处理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江泰保险经纪定期将违约处理情况通报，并组织医院对评分为D级供应方进行约谈，出现两次及以上约谈的供应方将取消服务资格，同时通报给当地保险监督管理部门以及相关保险行业协会。</w:t>
      </w:r>
      <w:r/>
    </w:p>
    <w:p>
      <w:pPr>
        <w:ind w:firstLine="420"/>
        <w:spacing w:line="360" w:lineRule="auto"/>
        <w:widowControl/>
        <w:rPr>
          <w:rFonts w:hint="eastAsia" w:ascii="宋体" w:hAnsi="宋体" w:cs="宋体"/>
          <w:szCs w:val="21"/>
        </w:rPr>
      </w:pPr>
      <w:r>
        <w:rPr>
          <w:rFonts w:hint="eastAsia" w:ascii="宋体" w:hAnsi="宋体" w:cs="宋体"/>
          <w:szCs w:val="21"/>
        </w:rPr>
      </w:r>
      <w:r/>
    </w:p>
    <w:p>
      <w:pPr>
        <w:pStyle w:val="858"/>
        <w:jc w:val="center"/>
        <w:spacing w:before="0" w:after="0" w:line="360" w:lineRule="auto"/>
        <w:rPr>
          <w:rFonts w:hint="eastAsia" w:ascii="宋体" w:hAnsi="宋体" w:eastAsia="宋体" w:cs="宋体"/>
          <w:sz w:val="21"/>
          <w:szCs w:val="21"/>
        </w:rPr>
      </w:pPr>
      <w:r/>
      <w:bookmarkStart w:id="294" w:name="_Toc10075"/>
      <w:r/>
      <w:bookmarkStart w:id="295" w:name="_Toc2551"/>
      <w:r>
        <w:rPr>
          <w:rFonts w:hint="eastAsia" w:ascii="宋体" w:hAnsi="宋体" w:eastAsia="宋体" w:cs="宋体"/>
          <w:sz w:val="21"/>
          <w:szCs w:val="21"/>
        </w:rPr>
        <w:t xml:space="preserve">第九部分 协议相关内容</w:t>
      </w:r>
      <w:bookmarkEnd w:id="294"/>
      <w:r/>
      <w:bookmarkEnd w:id="295"/>
      <w:r/>
      <w:r/>
    </w:p>
    <w:p>
      <w:pPr>
        <w:numPr>
          <w:ilvl w:val="0"/>
          <w:numId w:val="35"/>
        </w:numPr>
        <w:spacing w:line="360" w:lineRule="auto"/>
        <w:widowControl/>
        <w:rPr>
          <w:rFonts w:hint="eastAsia" w:ascii="宋体" w:hAnsi="宋体" w:cs="宋体"/>
          <w:szCs w:val="21"/>
        </w:rPr>
      </w:pPr>
      <w:r/>
      <w:bookmarkStart w:id="296" w:name="_Toc12015"/>
      <w:r>
        <w:rPr>
          <w:rFonts w:hint="eastAsia" w:ascii="宋体" w:hAnsi="宋体" w:cs="宋体"/>
          <w:szCs w:val="21"/>
        </w:rPr>
        <w:t xml:space="preserve">协议的构成文件</w:t>
      </w:r>
      <w:bookmarkEnd w:id="296"/>
      <w:r/>
      <w:r/>
    </w:p>
    <w:p>
      <w:pPr>
        <w:ind w:firstLine="420"/>
        <w:spacing w:line="360" w:lineRule="auto"/>
        <w:widowControl/>
        <w:rPr>
          <w:rFonts w:hint="eastAsia" w:ascii="宋体" w:hAnsi="宋体" w:cs="宋体"/>
          <w:szCs w:val="21"/>
        </w:rPr>
      </w:pPr>
      <w:r>
        <w:rPr>
          <w:rFonts w:hint="eastAsia" w:ascii="宋体" w:hAnsi="宋体" w:cs="宋体"/>
          <w:szCs w:val="21"/>
        </w:rPr>
        <w:t xml:space="preserve">下列文件均作为本协议的有效组成部分：</w:t>
      </w:r>
      <w:r/>
    </w:p>
    <w:p>
      <w:pPr>
        <w:numPr>
          <w:ilvl w:val="0"/>
          <w:numId w:val="36"/>
        </w:numPr>
        <w:spacing w:line="360" w:lineRule="auto"/>
        <w:widowControl/>
        <w:rPr>
          <w:rFonts w:hint="eastAsia" w:ascii="宋体" w:hAnsi="宋体" w:cs="宋体"/>
          <w:szCs w:val="21"/>
        </w:rPr>
      </w:pPr>
      <w:r>
        <w:rPr>
          <w:rFonts w:hint="eastAsia" w:ascii="宋体" w:hAnsi="宋体" w:cs="宋体"/>
          <w:szCs w:val="21"/>
        </w:rPr>
        <w:t xml:space="preserve">根据本协议另行制定的其他制度、文件以及联席会议备忘录；</w:t>
      </w:r>
      <w:r/>
    </w:p>
    <w:p>
      <w:pPr>
        <w:numPr>
          <w:ilvl w:val="0"/>
          <w:numId w:val="36"/>
        </w:numPr>
        <w:spacing w:line="360" w:lineRule="auto"/>
        <w:widowControl/>
        <w:rPr>
          <w:rFonts w:hint="eastAsia" w:ascii="宋体" w:hAnsi="宋体" w:cs="宋体"/>
          <w:szCs w:val="21"/>
        </w:rPr>
      </w:pPr>
      <w:r>
        <w:rPr>
          <w:rFonts w:hint="eastAsia" w:ascii="宋体" w:hAnsi="宋体" w:cs="宋体"/>
          <w:szCs w:val="21"/>
        </w:rPr>
        <w:t xml:space="preserve">批单；</w:t>
      </w:r>
      <w:r/>
    </w:p>
    <w:p>
      <w:pPr>
        <w:numPr>
          <w:ilvl w:val="0"/>
          <w:numId w:val="36"/>
        </w:numPr>
        <w:spacing w:line="360" w:lineRule="auto"/>
        <w:widowControl/>
        <w:rPr>
          <w:rFonts w:hint="eastAsia" w:ascii="宋体" w:hAnsi="宋体" w:cs="宋体"/>
          <w:szCs w:val="21"/>
        </w:rPr>
      </w:pPr>
      <w:r>
        <w:rPr>
          <w:rFonts w:hint="eastAsia" w:ascii="宋体" w:hAnsi="宋体" w:cs="宋体"/>
          <w:szCs w:val="21"/>
        </w:rPr>
        <w:t xml:space="preserve">本协议的补充协议；</w:t>
      </w:r>
      <w:r/>
    </w:p>
    <w:p>
      <w:pPr>
        <w:numPr>
          <w:ilvl w:val="0"/>
          <w:numId w:val="36"/>
        </w:numPr>
        <w:spacing w:line="360" w:lineRule="auto"/>
        <w:widowControl/>
        <w:rPr>
          <w:rFonts w:hint="eastAsia" w:ascii="宋体" w:hAnsi="宋体" w:cs="宋体"/>
          <w:szCs w:val="21"/>
        </w:rPr>
      </w:pPr>
      <w:r>
        <w:rPr>
          <w:rFonts w:hint="eastAsia" w:ascii="宋体" w:hAnsi="宋体" w:cs="宋体"/>
          <w:szCs w:val="21"/>
        </w:rPr>
        <w:t xml:space="preserve">本协议文本；</w:t>
      </w:r>
      <w:r/>
    </w:p>
    <w:p>
      <w:pPr>
        <w:numPr>
          <w:ilvl w:val="0"/>
          <w:numId w:val="36"/>
        </w:numPr>
        <w:spacing w:line="360" w:lineRule="auto"/>
        <w:widowControl/>
        <w:rPr>
          <w:rFonts w:hint="eastAsia" w:ascii="宋体" w:hAnsi="宋体" w:cs="宋体"/>
          <w:szCs w:val="21"/>
        </w:rPr>
      </w:pPr>
      <w:r>
        <w:rPr>
          <w:rFonts w:hint="eastAsia" w:ascii="宋体" w:hAnsi="宋体" w:cs="宋体"/>
          <w:szCs w:val="21"/>
        </w:rPr>
        <w:t xml:space="preserve">保险单；</w:t>
      </w:r>
      <w:r/>
    </w:p>
    <w:p>
      <w:pPr>
        <w:numPr>
          <w:ilvl w:val="0"/>
          <w:numId w:val="36"/>
        </w:numPr>
        <w:spacing w:line="360" w:lineRule="auto"/>
        <w:widowControl/>
        <w:rPr>
          <w:rFonts w:hint="eastAsia" w:ascii="宋体" w:hAnsi="宋体" w:cs="宋体"/>
          <w:szCs w:val="21"/>
        </w:rPr>
      </w:pPr>
      <w:r>
        <w:rPr>
          <w:rFonts w:hint="eastAsia" w:ascii="宋体" w:hAnsi="宋体" w:cs="宋体"/>
          <w:szCs w:val="21"/>
        </w:rPr>
        <w:t xml:space="preserve">响应补充文件；</w:t>
      </w:r>
      <w:r/>
    </w:p>
    <w:p>
      <w:pPr>
        <w:numPr>
          <w:ilvl w:val="0"/>
          <w:numId w:val="36"/>
        </w:numPr>
        <w:spacing w:line="360" w:lineRule="auto"/>
        <w:widowControl/>
        <w:rPr>
          <w:rFonts w:hint="eastAsia" w:ascii="宋体" w:hAnsi="宋体" w:cs="宋体"/>
          <w:szCs w:val="21"/>
        </w:rPr>
      </w:pPr>
      <w:r>
        <w:rPr>
          <w:rFonts w:hint="eastAsia" w:ascii="宋体" w:hAnsi="宋体" w:cs="宋体"/>
          <w:szCs w:val="21"/>
        </w:rPr>
        <w:t xml:space="preserve">响应文件；</w:t>
      </w:r>
      <w:r/>
    </w:p>
    <w:p>
      <w:pPr>
        <w:numPr>
          <w:ilvl w:val="0"/>
          <w:numId w:val="36"/>
        </w:numPr>
        <w:spacing w:line="360" w:lineRule="auto"/>
        <w:widowControl/>
        <w:rPr>
          <w:rFonts w:hint="eastAsia" w:ascii="宋体" w:hAnsi="宋体" w:cs="宋体"/>
          <w:szCs w:val="21"/>
        </w:rPr>
      </w:pPr>
      <w:r>
        <w:rPr>
          <w:rFonts w:hint="eastAsia" w:ascii="宋体" w:hAnsi="宋体" w:cs="宋体"/>
          <w:szCs w:val="21"/>
        </w:rPr>
        <w:t xml:space="preserve">采购文件。</w:t>
      </w:r>
      <w:r/>
    </w:p>
    <w:p>
      <w:pPr>
        <w:ind w:firstLine="420"/>
        <w:spacing w:line="360" w:lineRule="auto"/>
        <w:widowControl/>
        <w:rPr>
          <w:rFonts w:hint="eastAsia" w:ascii="宋体" w:hAnsi="宋体" w:cs="宋体"/>
          <w:szCs w:val="21"/>
          <w:highlight w:val="none"/>
        </w:rPr>
      </w:pPr>
      <w:r>
        <w:rPr>
          <w:rFonts w:hint="eastAsia" w:ascii="宋体" w:hAnsi="宋体" w:cs="宋体"/>
          <w:szCs w:val="21"/>
        </w:rPr>
        <w:t xml:space="preserve">如上述文件之间存在矛盾或不一致之处，除有明确约定之外，以排序在前的文件规定的内容为准。</w:t>
      </w:r>
      <w:r/>
    </w:p>
    <w:p>
      <w:pPr>
        <w:numPr>
          <w:ilvl w:val="0"/>
          <w:numId w:val="35"/>
        </w:numPr>
        <w:spacing w:line="360" w:lineRule="auto"/>
        <w:widowControl/>
        <w:rPr>
          <w:rFonts w:hint="eastAsia" w:ascii="宋体" w:hAnsi="宋体" w:cs="宋体"/>
          <w:szCs w:val="21"/>
          <w:highlight w:val="none"/>
        </w:rPr>
      </w:pPr>
      <w:r/>
      <w:bookmarkStart w:id="297" w:name="_Toc18268"/>
      <w:r>
        <w:rPr>
          <w:rFonts w:hint="eastAsia" w:ascii="宋体" w:hAnsi="宋体" w:cs="宋体"/>
          <w:szCs w:val="21"/>
          <w:highlight w:val="none"/>
        </w:rPr>
        <w:t xml:space="preserve">协议的生效</w:t>
      </w:r>
      <w:bookmarkEnd w:id="297"/>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本协议</w:t>
      </w:r>
      <w:r>
        <w:rPr>
          <w:rFonts w:hint="eastAsia" w:ascii="宋体" w:hAnsi="宋体" w:cs="宋体"/>
          <w:szCs w:val="21"/>
          <w:highlight w:val="none"/>
        </w:rPr>
        <w:t xml:space="preserve">自202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  月  日起正式生效，有效期</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年，适用于本产品期内的全部保险单，并在各保险单有效期内持续有效。如果该类保单到期后存在遗留问题，则本协议将持续有效，至保单涉及各项遗留事宜最终处理完毕时为止。</w:t>
      </w:r>
      <w:r/>
    </w:p>
    <w:p>
      <w:pPr>
        <w:numPr>
          <w:ilvl w:val="0"/>
          <w:numId w:val="35"/>
        </w:numPr>
        <w:ind w:firstLine="422"/>
        <w:spacing w:line="360" w:lineRule="auto"/>
        <w:widowControl/>
        <w:rPr>
          <w:rFonts w:hint="eastAsia" w:ascii="宋体" w:hAnsi="宋体" w:cs="宋体"/>
          <w:b/>
          <w:bCs/>
          <w:szCs w:val="21"/>
          <w:highlight w:val="none"/>
        </w:rPr>
      </w:pPr>
      <w:r/>
      <w:bookmarkStart w:id="298" w:name="_Toc19013"/>
      <w:r>
        <w:rPr>
          <w:rFonts w:hint="eastAsia" w:ascii="宋体" w:hAnsi="宋体" w:cs="宋体"/>
          <w:b/>
          <w:bCs/>
          <w:szCs w:val="21"/>
          <w:highlight w:val="none"/>
        </w:rPr>
        <w:t xml:space="preserve">协议的终止与续签</w:t>
      </w:r>
      <w:bookmarkEnd w:id="298"/>
      <w:r/>
      <w:r/>
    </w:p>
    <w:p>
      <w:pPr>
        <w:numPr>
          <w:ilvl w:val="0"/>
          <w:numId w:val="37"/>
        </w:numPr>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产品续转</w:t>
      </w:r>
      <w:r/>
    </w:p>
    <w:p>
      <w:pPr>
        <w:numPr>
          <w:ilvl w:val="0"/>
          <w:numId w:val="38"/>
        </w:num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协议到期后，未到期的保险单不因本协议到期而全部失效或部分失效。各参与方仍须按照已到期的采购协议、补充协议及保险合同的约定，继续承担相应的权利义务及保险责任，直至保险单涉及各项遗留事宜最终处理完毕时为止。</w:t>
      </w:r>
      <w:r/>
    </w:p>
    <w:p>
      <w:pPr>
        <w:numPr>
          <w:ilvl w:val="0"/>
          <w:numId w:val="38"/>
        </w:num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本协议到期前3个月内，经纪人通过服务质量考评同意与供应方或部分供应方继续按照本协议合作的，可由经纪人牵头，组织和召集，双方共同召开联席会议，确定采购协议续签事宜及工作流程。</w:t>
      </w:r>
      <w:r/>
    </w:p>
    <w:p>
      <w:pPr>
        <w:numPr>
          <w:ilvl w:val="0"/>
          <w:numId w:val="38"/>
        </w:num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本协议到期前3个月内，经纪人通过服务质量考评，需要重新选择供应方的。</w:t>
      </w:r>
      <w:r/>
    </w:p>
    <w:p>
      <w:pPr>
        <w:ind w:firstLine="420"/>
        <w:jc w:val="left"/>
        <w:spacing w:line="360" w:lineRule="auto"/>
        <w:widowControl/>
        <w:rPr>
          <w:rFonts w:hint="default" w:ascii="宋体" w:hAnsi="宋体" w:eastAsia="宋体" w:cs="宋体"/>
          <w:szCs w:val="21"/>
          <w:highlight w:val="none"/>
          <w:lang w:val="en-US" w:eastAsia="zh-CN"/>
        </w:rPr>
      </w:pPr>
      <w:r>
        <w:rPr>
          <w:rFonts w:hint="eastAsia" w:ascii="宋体" w:hAnsi="宋体" w:cs="宋体"/>
          <w:szCs w:val="21"/>
          <w:highlight w:val="none"/>
        </w:rPr>
        <w:t xml:space="preserve">由经纪人负责开展并落实保险采购工作。保险采购后，在采购协议签署阶段，经纪人应组织已到期采购协议的供应方成员及拟签署的采购协议成员召开联席会议。联席会议中，经纪人负责促成产品各方尤其是承保就承保、理赔及相关费用衔接问题进行确认，形成联席会议备忘录，经各参会方签字确认并备案。</w:t>
      </w:r>
      <w:r/>
    </w:p>
    <w:p>
      <w:pPr>
        <w:numPr>
          <w:ilvl w:val="0"/>
          <w:numId w:val="37"/>
        </w:numPr>
        <w:spacing w:line="360" w:lineRule="auto"/>
        <w:widowControl/>
        <w:rPr>
          <w:rFonts w:hint="eastAsia" w:ascii="宋体" w:hAnsi="宋体" w:cs="宋体"/>
          <w:szCs w:val="21"/>
        </w:rPr>
      </w:pPr>
      <w:r>
        <w:rPr>
          <w:rFonts w:hint="eastAsia" w:ascii="宋体" w:hAnsi="宋体" w:cs="宋体"/>
          <w:szCs w:val="21"/>
        </w:rPr>
        <w:t xml:space="preserve">其他注意事项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产品续转过程中，医疗机构续保视为连续投保，追溯期不因供应方承保主体变更而中断。除另有约定外，续保的医疗机构适用新协议中关于续保的约定，如医疗机构续保时按照新协议继续适用赔付率调整因子，按照新协议继续享有追溯期等保障；</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涉及下一期新协议的续保问题，可在新协议中具体明确，具体施行以新协议约定为准。</w:t>
      </w:r>
      <w:r/>
    </w:p>
    <w:p>
      <w:pPr>
        <w:numPr>
          <w:ilvl w:val="0"/>
          <w:numId w:val="35"/>
        </w:numPr>
        <w:ind w:firstLine="422"/>
        <w:spacing w:line="360" w:lineRule="auto"/>
        <w:widowControl/>
        <w:rPr>
          <w:rFonts w:hint="eastAsia" w:ascii="宋体" w:hAnsi="宋体" w:cs="宋体"/>
          <w:b/>
          <w:bCs/>
          <w:szCs w:val="21"/>
        </w:rPr>
      </w:pPr>
      <w:r/>
      <w:bookmarkStart w:id="299" w:name="_Toc4074"/>
      <w:r>
        <w:rPr>
          <w:rFonts w:hint="eastAsia" w:ascii="宋体" w:hAnsi="宋体" w:cs="宋体"/>
          <w:b/>
          <w:bCs/>
          <w:szCs w:val="21"/>
        </w:rPr>
        <w:t xml:space="preserve">协议的争议处理</w:t>
      </w:r>
      <w:bookmarkEnd w:id="299"/>
      <w:r/>
      <w:r/>
    </w:p>
    <w:p>
      <w:pPr>
        <w:ind w:firstLine="420"/>
        <w:spacing w:line="360" w:lineRule="auto"/>
        <w:widowControl/>
        <w:rPr>
          <w:rFonts w:hint="eastAsia" w:ascii="宋体" w:hAnsi="宋体" w:cs="宋体"/>
          <w:szCs w:val="21"/>
        </w:rPr>
      </w:pPr>
      <w:r>
        <w:rPr>
          <w:rFonts w:hint="eastAsia" w:ascii="宋体" w:hAnsi="宋体" w:cs="宋体"/>
          <w:szCs w:val="21"/>
        </w:rPr>
        <w:t xml:space="preserve">本协议在履行过程中发生争议的，由各方友好协商解决，协商仍不能解决的，可向协议签约地具有管辖权的人民法院提起诉讼。</w:t>
      </w:r>
      <w:r/>
    </w:p>
    <w:p>
      <w:pPr>
        <w:ind w:firstLine="420"/>
        <w:spacing w:line="360" w:lineRule="auto"/>
        <w:widowControl/>
        <w:rPr>
          <w:rFonts w:hint="eastAsia" w:ascii="宋体" w:hAnsi="宋体" w:cs="宋体"/>
          <w:szCs w:val="21"/>
        </w:rPr>
      </w:pPr>
      <w:r>
        <w:rPr>
          <w:rFonts w:hint="eastAsia" w:ascii="宋体" w:hAnsi="宋体" w:cs="宋体"/>
          <w:szCs w:val="21"/>
        </w:rPr>
        <w:t xml:space="preserve">本协议部分条款在履行过程中发生争议向人民法院提起诉讼解决的，不影响本协议其它条款的执行与效力。</w:t>
      </w:r>
      <w:r/>
    </w:p>
    <w:p>
      <w:pPr>
        <w:numPr>
          <w:ilvl w:val="0"/>
          <w:numId w:val="35"/>
        </w:numPr>
        <w:ind w:firstLine="422"/>
        <w:spacing w:line="360" w:lineRule="auto"/>
        <w:widowControl/>
        <w:rPr>
          <w:rFonts w:hint="eastAsia" w:ascii="宋体" w:hAnsi="宋体" w:cs="宋体"/>
          <w:b/>
          <w:bCs/>
          <w:szCs w:val="21"/>
        </w:rPr>
      </w:pPr>
      <w:r/>
      <w:bookmarkStart w:id="300" w:name="_Toc31500"/>
      <w:r>
        <w:rPr>
          <w:rFonts w:hint="eastAsia" w:ascii="宋体" w:hAnsi="宋体" w:cs="宋体"/>
          <w:b/>
          <w:bCs/>
          <w:szCs w:val="21"/>
        </w:rPr>
        <w:t xml:space="preserve">协议的变更与解除</w:t>
      </w:r>
      <w:bookmarkEnd w:id="300"/>
      <w:r>
        <w:rPr>
          <w:rFonts w:hint="eastAsia" w:ascii="宋体" w:hAnsi="宋体" w:cs="宋体"/>
          <w:b/>
          <w:bCs/>
          <w:szCs w:val="21"/>
        </w:rPr>
        <w:tab/>
      </w:r>
      <w:r/>
    </w:p>
    <w:p>
      <w:pPr>
        <w:ind w:firstLine="420"/>
        <w:spacing w:line="360" w:lineRule="auto"/>
        <w:widowControl/>
        <w:rPr>
          <w:rFonts w:hint="eastAsia" w:ascii="宋体" w:hAnsi="宋体" w:cs="宋体"/>
          <w:szCs w:val="21"/>
        </w:rPr>
      </w:pPr>
      <w:r>
        <w:rPr>
          <w:rFonts w:hint="eastAsia" w:ascii="宋体" w:hAnsi="宋体" w:cs="宋体"/>
          <w:szCs w:val="21"/>
        </w:rPr>
        <w:t xml:space="preserve">在本协议正常履行期间，协议内容的任何修改、变更、解除，必须经协议各方一致同意。</w:t>
      </w:r>
      <w:r/>
    </w:p>
    <w:p>
      <w:pPr>
        <w:ind w:firstLine="420"/>
        <w:spacing w:line="360" w:lineRule="auto"/>
        <w:widowControl/>
        <w:rPr>
          <w:rFonts w:hint="eastAsia" w:ascii="宋体" w:hAnsi="宋体" w:cs="宋体"/>
          <w:szCs w:val="21"/>
        </w:rPr>
      </w:pPr>
      <w:r>
        <w:rPr>
          <w:rFonts w:hint="eastAsia" w:ascii="宋体" w:hAnsi="宋体" w:cs="宋体"/>
          <w:szCs w:val="21"/>
        </w:rPr>
        <w:t xml:space="preserve">在本协议有效期内，如果供应方任何一方未能履行本协议或保险单义务，或者有违反本协议规定的保险服务承诺等行为，联席会议决定可修改本合同中确定的承保构成以及承保份额等相关条款。</w:t>
      </w:r>
      <w:r/>
    </w:p>
    <w:p>
      <w:pPr>
        <w:numPr>
          <w:ilvl w:val="0"/>
          <w:numId w:val="35"/>
        </w:numPr>
        <w:ind w:firstLine="422"/>
        <w:jc w:val="left"/>
        <w:spacing w:line="360" w:lineRule="auto"/>
        <w:widowControl/>
        <w:rPr>
          <w:rFonts w:hint="eastAsia" w:ascii="宋体" w:hAnsi="宋体" w:cs="宋体"/>
          <w:b/>
          <w:bCs/>
          <w:szCs w:val="21"/>
        </w:rPr>
      </w:pPr>
      <w:r/>
      <w:bookmarkStart w:id="301" w:name="_Toc20455"/>
      <w:r>
        <w:rPr>
          <w:rFonts w:hint="eastAsia" w:ascii="宋体" w:hAnsi="宋体" w:cs="宋体"/>
          <w:b/>
          <w:bCs/>
          <w:szCs w:val="21"/>
        </w:rPr>
        <w:t xml:space="preserve">违约责任</w:t>
      </w:r>
      <w:bookmarkEnd w:id="301"/>
      <w:r/>
      <w:r/>
    </w:p>
    <w:p>
      <w:pPr>
        <w:ind w:firstLine="420"/>
        <w:spacing w:line="360" w:lineRule="auto"/>
        <w:widowControl/>
        <w:rPr>
          <w:rFonts w:hint="eastAsia" w:ascii="宋体" w:hAnsi="宋体" w:cs="宋体"/>
          <w:szCs w:val="21"/>
        </w:rPr>
      </w:pPr>
      <w:r>
        <w:rPr>
          <w:rFonts w:hint="eastAsia" w:ascii="宋体" w:hAnsi="宋体" w:cs="宋体"/>
          <w:szCs w:val="21"/>
        </w:rPr>
        <w:t xml:space="preserve">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r/>
    </w:p>
    <w:p>
      <w:pPr>
        <w:ind w:firstLine="420"/>
        <w:spacing w:line="360" w:lineRule="auto"/>
        <w:widowControl/>
        <w:rPr>
          <w:rFonts w:hint="eastAsia" w:ascii="宋体" w:hAnsi="宋体" w:cs="宋体"/>
          <w:szCs w:val="21"/>
        </w:rPr>
      </w:pPr>
      <w:r>
        <w:rPr>
          <w:rFonts w:hint="eastAsia" w:ascii="宋体" w:hAnsi="宋体" w:cs="宋体"/>
          <w:szCs w:val="21"/>
        </w:rPr>
        <w:t xml:space="preserve">若发生违约情形，违约方依法依约承担其相应法律责任后，除非守约方同意终止本协议的，本协议仍须继续履行。</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本协议最终解释权归经纪人所有。</w:t>
      </w:r>
      <w:r/>
    </w:p>
    <w:p>
      <w:pPr>
        <w:numPr>
          <w:ilvl w:val="0"/>
          <w:numId w:val="35"/>
        </w:numPr>
        <w:ind w:firstLine="422"/>
        <w:spacing w:line="360" w:lineRule="auto"/>
        <w:widowControl/>
        <w:rPr>
          <w:rFonts w:hint="eastAsia" w:ascii="宋体" w:hAnsi="宋体" w:cs="宋体"/>
          <w:b/>
          <w:bCs/>
          <w:szCs w:val="21"/>
        </w:rPr>
      </w:pPr>
      <w:r/>
      <w:bookmarkStart w:id="302" w:name="_Toc28485"/>
      <w:r>
        <w:rPr>
          <w:rFonts w:hint="eastAsia" w:ascii="宋体" w:hAnsi="宋体" w:cs="宋体"/>
          <w:b/>
          <w:bCs/>
          <w:szCs w:val="21"/>
        </w:rPr>
        <w:t xml:space="preserve">协议份数</w:t>
      </w:r>
      <w:bookmarkEnd w:id="302"/>
      <w:r/>
      <w:r/>
    </w:p>
    <w:p>
      <w:pPr>
        <w:ind w:firstLine="420"/>
        <w:spacing w:line="360" w:lineRule="auto"/>
        <w:widowControl/>
        <w:rPr>
          <w:rFonts w:hint="eastAsia" w:ascii="宋体" w:hAnsi="宋体" w:cs="宋体"/>
          <w:szCs w:val="21"/>
        </w:rPr>
      </w:pPr>
      <w:r>
        <w:rPr>
          <w:rFonts w:hint="eastAsia" w:ascii="宋体" w:hAnsi="宋体" w:cs="宋体"/>
          <w:szCs w:val="21"/>
        </w:rPr>
        <w:t xml:space="preserve">本合同正本X份、副本X份，采购人和经纪人持正本壹份、副本壹份；供应方各持正本壹份、副本壹份。</w:t>
      </w:r>
      <w:r/>
    </w:p>
    <w:p>
      <w:pPr>
        <w:ind w:firstLine="42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7"/>
        <w:ind w:firstLine="569"/>
        <w:spacing w:line="360" w:lineRule="auto"/>
        <w:rPr>
          <w:rFonts w:hint="eastAsia" w:ascii="宋体" w:hAnsi="宋体" w:cs="宋体"/>
          <w:color w:val="000000" w:themeColor="text1"/>
          <w:sz w:val="24"/>
          <w14:textFill>
            <w14:solidFill>
              <w14:schemeClr w14:val="tx1"/>
            </w14:solidFill>
          </w14:textFill>
        </w:rPr>
      </w:pPr>
      <w:r/>
      <w:bookmarkStart w:id="303" w:name="_Toc107246271"/>
      <w:r/>
      <w:bookmarkStart w:id="304" w:name="_Toc91836564"/>
      <w:r>
        <w:rPr>
          <w:rFonts w:hint="eastAsia" w:ascii="宋体" w:hAnsi="宋体" w:cs="宋体"/>
          <w:color w:val="000000" w:themeColor="text1"/>
          <w14:textFill>
            <w14:solidFill>
              <w14:schemeClr w14:val="tx1"/>
            </w14:solidFill>
          </w14:textFill>
        </w:rPr>
        <w:t xml:space="preserve">第四章 采购需求</w:t>
      </w:r>
      <w:bookmarkEnd w:id="303"/>
      <w:r/>
      <w:bookmarkEnd w:id="304"/>
      <w:r/>
      <w:r/>
    </w:p>
    <w:p>
      <w:pPr>
        <w:ind w:firstLine="480"/>
        <w:spacing w:line="360" w:lineRule="auto"/>
        <w:rPr>
          <w:rFonts w:hint="eastAsia" w:ascii="宋体" w:hAnsi="宋体" w:cs="宋体"/>
          <w:b/>
          <w:bCs/>
          <w:szCs w:val="21"/>
        </w:rPr>
        <w:outlineLvl w:val="1"/>
      </w:pPr>
      <w:r/>
      <w:bookmarkStart w:id="305" w:name="_Toc1444"/>
      <w:r/>
      <w:bookmarkStart w:id="306" w:name="_Hlk93775766"/>
      <w:r>
        <w:rPr>
          <w:rFonts w:hint="eastAsia" w:ascii="宋体" w:hAnsi="宋体" w:cs="宋体"/>
          <w:b/>
          <w:bCs/>
          <w:szCs w:val="21"/>
        </w:rPr>
        <w:t xml:space="preserve">一、项目简介</w:t>
      </w:r>
      <w:bookmarkEnd w:id="305"/>
      <w:r>
        <w:rPr>
          <w:rFonts w:hint="eastAsia" w:ascii="宋体" w:hAnsi="宋体" w:cs="宋体"/>
          <w:b/>
          <w:bCs/>
          <w:szCs w:val="21"/>
        </w:rPr>
        <w:t xml:space="preserve"> </w:t>
      </w:r>
      <w:r/>
    </w:p>
    <w:p>
      <w:pPr>
        <w:ind w:firstLine="48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项目内容：南京鼓楼医院（南京大学医学院附属鼓楼医院）建于1892年，是中国最</w:t>
      </w:r>
      <w:r>
        <w:rPr>
          <w:rFonts w:hint="eastAsia" w:ascii="宋体" w:hAnsi="宋体" w:cs="宋体"/>
          <w:szCs w:val="21"/>
          <w:lang w:val="zh-CN"/>
        </w:rPr>
        <w:t xml:space="preserve">早的西医院之一，具有悠久的历史文化，现已发展成为学科门类齐全、师资力量雄厚、医疗技术精湛、科研实力较强的大型综合性三级甲等医院，各项工作走在行业前列。医院共有鼓楼本部、江北院区、南部院区三个院区，现有床位近4300张，在岗职工6000余人。医院在国家三级公立医院绩效考核中连续五年位列全国第一方阵，2022年度排名全国第7，等级A++。医院是国家公立医院高质量发展试点医院、江苏省首批高水平医院建设单位，牵头建设骨科、妇产、风湿免疫、内分泌4个国家区域医疗中心，参与建设综合类、癌症、心血管3个国家区域医疗中心。</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目前医院正在建立完善医疗风险分担机制，提高患者、医疗机构及医务人员防御医疗风险的能力，保护医患双方合法权益。医院鼓励患者参加医疗意外保险（由患者自愿参保），鼓励医师参加执业责任保险（由医生投保），同时医院将积极整合院内保险资源，</w:t>
      </w:r>
      <w:r>
        <w:rPr>
          <w:rFonts w:hint="eastAsia" w:ascii="宋体" w:hAnsi="宋体" w:cs="宋体"/>
          <w:szCs w:val="21"/>
          <w:lang w:val="en-US" w:eastAsia="zh-CN"/>
        </w:rPr>
        <w:t xml:space="preserve">鼓励承保医责险的保险公司积极参与以上项目。</w:t>
      </w:r>
      <w:r/>
    </w:p>
    <w:p>
      <w:pPr>
        <w:ind w:firstLine="480"/>
        <w:spacing w:line="360" w:lineRule="auto"/>
        <w:rPr>
          <w:rFonts w:ascii="宋体" w:hAnsi="宋体" w:cs="宋体"/>
          <w:szCs w:val="21"/>
        </w:rPr>
      </w:pPr>
      <w:r/>
      <w:bookmarkStart w:id="307" w:name="_Toc29016"/>
      <w:r>
        <w:rPr>
          <w:rFonts w:ascii="宋体" w:hAnsi="宋体" w:cs="宋体"/>
          <w:szCs w:val="21"/>
        </w:rPr>
        <w:t xml:space="preserve">2、项目保险经纪人：江泰保险经纪股份有限公司江苏营业部。</w:t>
      </w:r>
      <w:bookmarkEnd w:id="307"/>
      <w:r/>
      <w:r/>
    </w:p>
    <w:p>
      <w:pPr>
        <w:ind w:firstLine="480"/>
        <w:spacing w:line="360" w:lineRule="auto"/>
        <w:rPr>
          <w:rFonts w:hint="eastAsia" w:ascii="宋体" w:hAnsi="宋体" w:cs="宋体"/>
          <w:szCs w:val="21"/>
        </w:rPr>
      </w:pPr>
      <w:r>
        <w:rPr>
          <w:rFonts w:hint="eastAsia" w:ascii="宋体" w:hAnsi="宋体" w:cs="宋体"/>
          <w:szCs w:val="21"/>
        </w:rPr>
        <w:t xml:space="preserve">3、南京鼓楼医院202</w:t>
      </w:r>
      <w:r>
        <w:rPr>
          <w:rFonts w:hint="eastAsia" w:ascii="宋体" w:hAnsi="宋体" w:cs="宋体"/>
          <w:szCs w:val="21"/>
          <w:lang w:val="en-US" w:eastAsia="zh-CN"/>
        </w:rPr>
        <w:t xml:space="preserve">4</w:t>
      </w:r>
      <w:r>
        <w:rPr>
          <w:rFonts w:hint="eastAsia" w:ascii="宋体" w:hAnsi="宋体" w:cs="宋体"/>
          <w:szCs w:val="21"/>
        </w:rPr>
        <w:t xml:space="preserve">年度部分医疗数据情况（仅供分项报价参考）。</w:t>
      </w:r>
      <w:r/>
    </w:p>
    <w:tbl>
      <w:tblPr>
        <w:tblStyle w:val="867"/>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476"/>
        <w:gridCol w:w="1056"/>
        <w:gridCol w:w="1906"/>
        <w:gridCol w:w="1545"/>
        <w:gridCol w:w="1156"/>
        <w:gridCol w:w="1692"/>
      </w:tblGrid>
      <w:tr>
        <w:trPr>
          <w:jc w:val="center"/>
          <w:trHeight w:val="420"/>
        </w:trPr>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医院名称</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等级</w:t>
            </w:r>
            <w:r/>
          </w:p>
        </w:tc>
        <w:tc>
          <w:tcPr>
            <w:tcBorders>
              <w:top w:val="single" w:color="000000" w:sz="4" w:space="0"/>
              <w:left w:val="single" w:color="000000" w:sz="4" w:space="0"/>
              <w:bottom w:val="single" w:color="000000" w:sz="4" w:space="0"/>
              <w:right w:val="single" w:color="000000" w:sz="4" w:space="0"/>
            </w:tcBorders>
            <w:tcW w:w="1105" w:type="pct"/>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医院类型</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总诊疗人次数</w:t>
            </w:r>
            <w:r/>
          </w:p>
        </w:tc>
        <w:tc>
          <w:tcPr>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出院人数</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住院手术人次数</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86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南京鼓楼医院</w:t>
            </w: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lang w:bidi="ar"/>
              </w:rPr>
              <w:t xml:space="preserve">三级甲等</w:t>
            </w:r>
            <w:r/>
          </w:p>
        </w:tc>
        <w:tc>
          <w:tcPr>
            <w:tcBorders>
              <w:top w:val="single" w:color="000000" w:sz="4" w:space="0"/>
              <w:left w:val="single" w:color="000000" w:sz="4" w:space="0"/>
              <w:bottom w:val="single" w:color="000000" w:sz="4" w:space="0"/>
              <w:right w:val="single" w:color="000000" w:sz="4" w:space="0"/>
            </w:tcBorders>
            <w:tcW w:w="110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lang w:bidi="ar"/>
              </w:rPr>
              <w:t xml:space="preserve">综合性医院</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6337000</w:t>
            </w:r>
            <w:r/>
          </w:p>
        </w:tc>
        <w:tc>
          <w:tcPr>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211068</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rPr>
              <w:t xml:space="preserve">93969</w:t>
            </w:r>
            <w:r>
              <w:rPr>
                <w:rFonts w:hint="eastAsia" w:ascii="宋体" w:hAnsi="宋体" w:cs="宋体"/>
                <w:szCs w:val="21"/>
                <w:lang w:val="en-US" w:eastAsia="zh-CN"/>
              </w:rPr>
              <w:t xml:space="preserve">                                                                                                                                                                       </w:t>
            </w:r>
            <w:r/>
          </w:p>
        </w:tc>
      </w:tr>
    </w:tbl>
    <w:p>
      <w:pPr>
        <w:ind w:firstLine="480"/>
        <w:spacing w:line="360" w:lineRule="auto"/>
        <w:rPr>
          <w:rFonts w:hint="eastAsia" w:ascii="宋体" w:hAnsi="宋体" w:cs="宋体"/>
          <w:b/>
          <w:bCs/>
          <w:szCs w:val="21"/>
        </w:rPr>
        <w:outlineLvl w:val="1"/>
      </w:pPr>
      <w:r>
        <w:rPr>
          <w:rFonts w:hint="eastAsia" w:ascii="宋体" w:hAnsi="宋体" w:cs="宋体"/>
          <w:b/>
          <w:bCs/>
          <w:szCs w:val="21"/>
        </w:rPr>
      </w:r>
      <w:r/>
    </w:p>
    <w:p>
      <w:pPr>
        <w:ind w:firstLine="480"/>
        <w:spacing w:line="360" w:lineRule="auto"/>
        <w:rPr>
          <w:rFonts w:hint="eastAsia" w:ascii="宋体" w:hAnsi="宋体" w:cs="宋体"/>
          <w:b/>
          <w:bCs/>
          <w:szCs w:val="21"/>
        </w:rPr>
        <w:outlineLvl w:val="1"/>
      </w:pPr>
      <w:r>
        <w:rPr>
          <w:rFonts w:hint="eastAsia" w:ascii="宋体" w:hAnsi="宋体" w:cs="宋体"/>
          <w:b/>
          <w:bCs/>
          <w:szCs w:val="21"/>
        </w:rPr>
        <w:t xml:space="preserve">二、医疗责任保险方案 </w:t>
      </w:r>
      <w:r/>
    </w:p>
    <w:tbl>
      <w:tblPr>
        <w:tblStyle w:val="867"/>
        <w:tblW w:w="49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557"/>
        <w:gridCol w:w="7260"/>
      </w:tblGrid>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项  目</w:t>
            </w:r>
            <w:r/>
          </w:p>
        </w:tc>
        <w:tc>
          <w:tcPr>
            <w:shd w:val="clear" w:color="auto" w:fill="ffffff"/>
            <w:tcW w:w="4116"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内  容</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投/被保险人名称</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南京鼓楼医院</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投/被保险人地址</w:t>
            </w:r>
            <w:r/>
          </w:p>
        </w:tc>
        <w:tc>
          <w:tcPr>
            <w:shd w:val="clear" w:color="auto" w:fill="ffffff"/>
            <w:tcW w:w="4116" w:type="pct"/>
            <w:vAlign w:val="center"/>
            <w:textDirection w:val="lrTb"/>
            <w:noWrap w:val="false"/>
          </w:tcPr>
          <w:p>
            <w:pPr>
              <w:jc w:val="left"/>
              <w:keepLines w:val="0"/>
              <w:keepNext w:val="0"/>
              <w:widowControl/>
              <w:rPr>
                <w:rFonts w:hint="eastAsia" w:ascii="宋体" w:hAnsi="宋体" w:eastAsia="宋体" w:cs="宋体"/>
                <w:szCs w:val="21"/>
              </w:rPr>
              <w:suppressLineNumbers w:val="0"/>
            </w:pPr>
            <w:r>
              <w:rPr>
                <w:rFonts w:hint="eastAsia" w:ascii="宋体" w:hAnsi="宋体" w:cs="宋体"/>
                <w:szCs w:val="21"/>
              </w:rPr>
              <w:t xml:space="preserve">南京</w:t>
            </w:r>
            <w:r>
              <w:rPr>
                <w:rFonts w:hint="eastAsia" w:ascii="宋体" w:hAnsi="宋体" w:eastAsia="宋体" w:cs="宋体"/>
                <w:szCs w:val="21"/>
              </w:rPr>
              <w:t xml:space="preserve">市中山路321</w:t>
            </w:r>
            <w:r>
              <w:rPr>
                <w:rFonts w:hint="eastAsia" w:ascii="宋体" w:hAnsi="宋体" w:eastAsia="宋体" w:cs="宋体"/>
                <w:szCs w:val="21"/>
                <w:lang w:val="en-US" w:eastAsia="zh-CN"/>
              </w:rPr>
              <w:t xml:space="preserve">号、中山路358号、中山北路53号、汉门路22号 </w:t>
            </w:r>
            <w:r/>
          </w:p>
          <w:p>
            <w:pPr>
              <w:jc w:val="left"/>
              <w:keepLines w:val="0"/>
              <w:keepNext w:val="0"/>
              <w:widowControl/>
              <w:rPr>
                <w:rFonts w:hint="eastAsia" w:ascii="宋体" w:hAnsi="宋体" w:cs="宋体"/>
                <w:b/>
                <w:bCs/>
                <w:szCs w:val="21"/>
              </w:rPr>
              <w:suppressLineNumbers w:val="0"/>
            </w:pPr>
            <w:r>
              <w:rPr>
                <w:rFonts w:hint="eastAsia" w:ascii="宋体" w:hAnsi="宋体" w:eastAsia="宋体" w:cs="宋体"/>
                <w:szCs w:val="21"/>
                <w:lang w:val="en-US" w:eastAsia="zh-CN"/>
              </w:rPr>
              <w:t xml:space="preserve">南楼二楼、浦珠中路359号</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保险经纪人</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江泰保险经纪股份有限公司江苏营业部</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保险经纪人地址</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南京市中山南路189号11层</w:t>
            </w:r>
            <w:r/>
          </w:p>
        </w:tc>
      </w:tr>
      <w:tr>
        <w:trPr>
          <w:trHeight w:val="90"/>
        </w:trPr>
        <w:tc>
          <w:tcPr>
            <w:shd w:val="clear" w:color="auto" w:fill="ffffff"/>
            <w:tcW w:w="88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b/>
                <w:bCs/>
                <w:szCs w:val="21"/>
              </w:rPr>
              <w:t xml:space="preserve">责任限额</w:t>
            </w:r>
            <w:r/>
          </w:p>
        </w:tc>
        <w:tc>
          <w:tcPr>
            <w:shd w:val="clear" w:color="auto" w:fill="ffffff"/>
            <w:tcW w:w="4116" w:type="pct"/>
            <w:vAlign w:val="center"/>
            <w:textDirection w:val="lrTb"/>
            <w:noWrap w:val="false"/>
          </w:tcPr>
          <w:tbl>
            <w:tblPr>
              <w:tblStyle w:val="867"/>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6249"/>
              <w:gridCol w:w="794"/>
            </w:tblGrid>
            <w:tr>
              <w:trPr>
                <w:trHeight w:val="90"/>
              </w:trPr>
              <w:tc>
                <w:tcPr>
                  <w:tcBorders>
                    <w:top w:val="single" w:color="000000" w:sz="4" w:space="0"/>
                    <w:left w:val="single" w:color="000000" w:sz="4" w:space="0"/>
                    <w:bottom w:val="single" w:color="000000" w:sz="4" w:space="0"/>
                    <w:right w:val="single" w:color="000000" w:sz="4" w:space="0"/>
                  </w:tcBorders>
                  <w:tcW w:w="4471" w:type="pct"/>
                  <w:vAlign w:val="center"/>
                  <w:textDirection w:val="lrTb"/>
                  <w:noWrap/>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项目</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spacing w:line="360" w:lineRule="auto"/>
                    <w:rPr>
                      <w:rFonts w:hint="eastAsia" w:ascii="宋体" w:hAnsi="宋体" w:cs="宋体"/>
                      <w:b/>
                      <w:bCs/>
                      <w:color w:val="auto"/>
                      <w:szCs w:val="21"/>
                    </w:rPr>
                  </w:pPr>
                  <w:r>
                    <w:rPr>
                      <w:rFonts w:hint="eastAsia" w:ascii="宋体" w:hAnsi="宋体" w:cs="宋体"/>
                      <w:b/>
                      <w:bCs/>
                      <w:color w:val="auto"/>
                      <w:szCs w:val="21"/>
                    </w:rPr>
                    <w:t xml:space="preserve">金额</w:t>
                  </w:r>
                  <w:r/>
                </w:p>
              </w:tc>
            </w:tr>
            <w:tr>
              <w:trPr>
                <w:trHeight w:val="90"/>
              </w:trPr>
              <w:tc>
                <w:tcPr>
                  <w:tcBorders>
                    <w:top w:val="single" w:color="000000" w:sz="4" w:space="0"/>
                    <w:left w:val="single" w:color="000000" w:sz="4" w:space="0"/>
                    <w:bottom w:val="single" w:color="000000" w:sz="4" w:space="0"/>
                    <w:right w:val="single" w:color="000000" w:sz="4" w:space="0"/>
                  </w:tcBorders>
                  <w:tcW w:w="4471" w:type="pct"/>
                  <w:vAlign w:val="center"/>
                  <w:textDirection w:val="lrTb"/>
                  <w:noWrap/>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累计责任赔偿限额</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spacing w:line="360" w:lineRule="auto"/>
                    <w:widowControl/>
                    <w:rPr>
                      <w:rFonts w:hint="eastAsia" w:ascii="宋体" w:hAnsi="宋体" w:cs="宋体"/>
                      <w:color w:val="auto"/>
                      <w:szCs w:val="21"/>
                    </w:rPr>
                  </w:pPr>
                  <w:r>
                    <w:rPr>
                      <w:rFonts w:hint="eastAsia" w:ascii="仿宋" w:hAnsi="仿宋" w:eastAsia="仿宋" w:cs="仿宋"/>
                      <w:color w:val="auto"/>
                      <w:szCs w:val="21"/>
                      <w:lang w:eastAsia="zh-CN"/>
                    </w:rPr>
                    <w:t xml:space="preserve">8</w:t>
                  </w:r>
                  <w:r>
                    <w:rPr>
                      <w:rFonts w:hint="eastAsia" w:ascii="仿宋" w:hAnsi="仿宋" w:eastAsia="仿宋" w:cs="仿宋"/>
                      <w:color w:val="auto"/>
                      <w:szCs w:val="21"/>
                      <w:lang w:val="en-US" w:eastAsia="zh-CN"/>
                    </w:rPr>
                    <w:t xml:space="preserve">30</w:t>
                  </w:r>
                  <w:r>
                    <w:rPr>
                      <w:rFonts w:hint="eastAsia" w:ascii="仿宋" w:hAnsi="仿宋" w:eastAsia="仿宋" w:cs="仿宋"/>
                      <w:color w:val="auto"/>
                      <w:szCs w:val="21"/>
                    </w:rPr>
                    <w:t xml:space="preserve">万</w:t>
                  </w:r>
                  <w:r/>
                </w:p>
              </w:tc>
            </w:tr>
            <w:tr>
              <w:trPr>
                <w:trHeight w:val="90"/>
              </w:trPr>
              <w:tc>
                <w:tcPr>
                  <w:tcBorders>
                    <w:top w:val="single" w:color="000000" w:sz="4" w:space="0"/>
                    <w:left w:val="single" w:color="000000" w:sz="4" w:space="0"/>
                    <w:bottom w:val="single" w:color="000000" w:sz="4" w:space="0"/>
                    <w:right w:val="single" w:color="000000" w:sz="4" w:space="0"/>
                  </w:tcBorders>
                  <w:tcW w:w="4471" w:type="pct"/>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死亡案件及残疾案件累计赔偿金限额</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spacing w:line="360" w:lineRule="auto"/>
                    <w:widowControl/>
                    <w:rPr>
                      <w:rFonts w:hint="eastAsia" w:ascii="宋体" w:hAnsi="宋体" w:cs="宋体"/>
                      <w:color w:val="auto"/>
                      <w:szCs w:val="21"/>
                    </w:rPr>
                  </w:pPr>
                  <w:r>
                    <w:rPr>
                      <w:rFonts w:hint="eastAsia" w:ascii="仿宋" w:hAnsi="仿宋" w:eastAsia="仿宋" w:cs="仿宋"/>
                      <w:color w:val="auto"/>
                      <w:szCs w:val="21"/>
                    </w:rPr>
                    <w:t xml:space="preserve">520万</w:t>
                  </w:r>
                  <w:r/>
                </w:p>
              </w:tc>
            </w:tr>
            <w:tr>
              <w:trPr>
                <w:trHeight w:val="90"/>
              </w:trPr>
              <w:tc>
                <w:tcPr>
                  <w:tcBorders>
                    <w:top w:val="single" w:color="000000" w:sz="4" w:space="0"/>
                    <w:left w:val="single" w:color="000000" w:sz="4" w:space="0"/>
                    <w:bottom w:val="single" w:color="000000" w:sz="4" w:space="0"/>
                    <w:right w:val="single" w:color="000000" w:sz="4" w:space="0"/>
                  </w:tcBorders>
                  <w:tcW w:w="4471" w:type="pct"/>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非死亡伤残案件的医疗费、误工费、住宿费、住院伙食补助费、交通费、营养费、受理费、勘验费、解剖费等累计赔偿限额</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spacing w:line="360" w:lineRule="auto"/>
                    <w:widowControl/>
                    <w:rPr>
                      <w:rFonts w:hint="eastAsia" w:ascii="宋体" w:hAnsi="宋体" w:cs="宋体"/>
                      <w:color w:val="auto"/>
                      <w:szCs w:val="21"/>
                    </w:rPr>
                  </w:pPr>
                  <w:r>
                    <w:rPr>
                      <w:rFonts w:hint="eastAsia" w:ascii="仿宋" w:hAnsi="仿宋" w:eastAsia="仿宋" w:cs="仿宋"/>
                      <w:color w:val="auto"/>
                      <w:szCs w:val="21"/>
                      <w:lang w:eastAsia="zh-CN"/>
                    </w:rPr>
                    <w:t xml:space="preserve">3</w:t>
                  </w:r>
                  <w:r>
                    <w:rPr>
                      <w:rFonts w:hint="eastAsia" w:ascii="仿宋" w:hAnsi="仿宋" w:eastAsia="仿宋" w:cs="仿宋"/>
                      <w:color w:val="auto"/>
                      <w:szCs w:val="21"/>
                      <w:lang w:val="en-US" w:eastAsia="zh-CN"/>
                    </w:rPr>
                    <w:t xml:space="preserve">10</w:t>
                  </w:r>
                  <w:r>
                    <w:rPr>
                      <w:rFonts w:hint="eastAsia" w:ascii="仿宋" w:hAnsi="仿宋" w:eastAsia="仿宋" w:cs="仿宋"/>
                      <w:color w:val="auto"/>
                      <w:szCs w:val="21"/>
                    </w:rPr>
                    <w:t xml:space="preserve">万</w:t>
                  </w:r>
                  <w:r/>
                </w:p>
              </w:tc>
            </w:tr>
            <w:tr>
              <w:trPr>
                <w:trHeight w:val="90"/>
              </w:trPr>
              <w:tc>
                <w:tcPr>
                  <w:tcBorders>
                    <w:top w:val="single" w:color="000000" w:sz="4" w:space="0"/>
                    <w:left w:val="single" w:color="000000" w:sz="4" w:space="0"/>
                    <w:bottom w:val="single" w:color="000000" w:sz="4" w:space="0"/>
                    <w:right w:val="single" w:color="000000" w:sz="4" w:space="0"/>
                  </w:tcBorders>
                  <w:tcW w:w="4471" w:type="pct"/>
                  <w:vAlign w:val="center"/>
                  <w:textDirection w:val="lrTb"/>
                  <w:noWrap/>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每次事故赔偿限额</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50万</w:t>
                  </w:r>
                  <w:r/>
                </w:p>
              </w:tc>
            </w:tr>
            <w:tr>
              <w:trPr>
                <w:trHeight w:val="90"/>
              </w:trPr>
              <w:tc>
                <w:tcPr>
                  <w:tcBorders>
                    <w:top w:val="single" w:color="000000" w:sz="4" w:space="0"/>
                    <w:left w:val="single" w:color="000000" w:sz="4" w:space="0"/>
                    <w:bottom w:val="single" w:color="000000" w:sz="4" w:space="0"/>
                    <w:right w:val="single" w:color="000000" w:sz="4" w:space="0"/>
                  </w:tcBorders>
                  <w:tcW w:w="4471" w:type="pct"/>
                  <w:vAlign w:val="center"/>
                  <w:textDirection w:val="lrTb"/>
                  <w:noWrap/>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每次事故每人赔偿限额</w:t>
                  </w:r>
                  <w:r/>
                </w:p>
              </w:tc>
              <w:tc>
                <w:tcPr>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40万</w:t>
                  </w:r>
                  <w:r/>
                </w:p>
              </w:tc>
            </w:tr>
          </w:tbl>
          <w:p>
            <w:pPr>
              <w:pStyle w:val="870"/>
              <w:ind w:firstLine="0"/>
              <w:spacing w:line="360" w:lineRule="auto"/>
              <w:rPr>
                <w:rFonts w:hint="eastAsia" w:ascii="宋体" w:hAnsi="宋体" w:cs="宋体"/>
                <w:color w:val="auto"/>
                <w:szCs w:val="21"/>
              </w:rPr>
            </w:pPr>
            <w:r>
              <w:rPr>
                <w:rFonts w:hint="eastAsia" w:ascii="宋体" w:hAnsi="宋体" w:cs="宋体"/>
                <w:color w:val="auto"/>
                <w:szCs w:val="21"/>
              </w:rPr>
              <w:t xml:space="preserve">特别说明：</w:t>
            </w:r>
            <w:r/>
          </w:p>
          <w:p>
            <w:pPr>
              <w:pStyle w:val="870"/>
              <w:ind w:firstLine="0"/>
              <w:spacing w:line="360" w:lineRule="auto"/>
              <w:rPr>
                <w:rFonts w:hint="eastAsia" w:ascii="宋体" w:hAnsi="宋体" w:cs="宋体"/>
                <w:color w:val="auto"/>
                <w:szCs w:val="21"/>
              </w:rPr>
            </w:pPr>
            <w:r>
              <w:rPr>
                <w:rFonts w:hint="eastAsia" w:ascii="宋体" w:hAnsi="宋体" w:cs="宋体"/>
                <w:color w:val="auto"/>
                <w:szCs w:val="21"/>
              </w:rPr>
              <w:t xml:space="preserve">1、死亡案件赔偿金指一次事故造成被保险人死亡的所有赔款，包含死亡赔偿金、丧葬费、医疗费、精神抚慰金、法律费用等。2、残疾案件赔偿金指一次事故造成患者残疾的所有赔款，包含残疾赔偿金、医疗费、护理费、残疾器具费、法律费用等。</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免赔额</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无</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基本条款</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医疗责任保险条款</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保险期限</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自20</w:t>
            </w:r>
            <w:r>
              <w:rPr>
                <w:rFonts w:hint="eastAsia" w:ascii="宋体" w:hAnsi="宋体" w:cs="宋体"/>
                <w:color w:val="auto"/>
                <w:szCs w:val="21"/>
                <w:lang w:val="en-US" w:eastAsia="zh-CN"/>
              </w:rPr>
              <w:t xml:space="preserve">25</w:t>
            </w:r>
            <w:r>
              <w:rPr>
                <w:rFonts w:hint="eastAsia" w:ascii="宋体" w:hAnsi="宋体" w:cs="宋体"/>
                <w:color w:val="auto"/>
                <w:szCs w:val="21"/>
              </w:rPr>
              <w:t xml:space="preserve">年</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月</w:t>
            </w:r>
            <w:r>
              <w:rPr>
                <w:rFonts w:hint="eastAsia" w:ascii="宋体" w:hAnsi="宋体" w:cs="宋体"/>
                <w:color w:val="auto"/>
                <w:szCs w:val="21"/>
                <w:lang w:val="en-US" w:eastAsia="zh-CN"/>
              </w:rPr>
              <w:t xml:space="preserve">15</w:t>
            </w:r>
            <w:r>
              <w:rPr>
                <w:rFonts w:hint="eastAsia" w:ascii="宋体" w:hAnsi="宋体" w:cs="宋体"/>
                <w:color w:val="auto"/>
                <w:szCs w:val="21"/>
              </w:rPr>
              <w:t xml:space="preserve">日0时起至20</w:t>
            </w:r>
            <w:r>
              <w:rPr>
                <w:rFonts w:hint="eastAsia" w:ascii="宋体" w:hAnsi="宋体" w:cs="宋体"/>
                <w:color w:val="auto"/>
                <w:szCs w:val="21"/>
                <w:lang w:val="en-US" w:eastAsia="zh-CN"/>
              </w:rPr>
              <w:t xml:space="preserve">26</w:t>
            </w:r>
            <w:r>
              <w:rPr>
                <w:rFonts w:hint="eastAsia" w:ascii="宋体" w:hAnsi="宋体" w:cs="宋体"/>
                <w:color w:val="auto"/>
                <w:szCs w:val="21"/>
              </w:rPr>
              <w:t xml:space="preserve">年</w:t>
            </w:r>
            <w:r>
              <w:rPr>
                <w:rFonts w:hint="eastAsia" w:ascii="宋体" w:hAnsi="宋体" w:cs="宋体"/>
                <w:color w:val="auto"/>
                <w:szCs w:val="21"/>
                <w:lang w:val="en-US" w:eastAsia="zh-CN"/>
              </w:rPr>
              <w:t xml:space="preserve">10</w:t>
            </w:r>
            <w:r>
              <w:rPr>
                <w:rFonts w:hint="eastAsia" w:ascii="宋体" w:hAnsi="宋体" w:cs="宋体"/>
                <w:color w:val="auto"/>
                <w:szCs w:val="21"/>
              </w:rPr>
              <w:t xml:space="preserve">月</w:t>
            </w:r>
            <w:r>
              <w:rPr>
                <w:rFonts w:hint="eastAsia" w:ascii="宋体" w:hAnsi="宋体" w:cs="宋体"/>
                <w:color w:val="auto"/>
                <w:szCs w:val="21"/>
                <w:lang w:val="en-US" w:eastAsia="zh-CN"/>
              </w:rPr>
              <w:t xml:space="preserve">14</w:t>
            </w:r>
            <w:r>
              <w:rPr>
                <w:rFonts w:hint="eastAsia" w:ascii="宋体" w:hAnsi="宋体" w:cs="宋体"/>
                <w:color w:val="auto"/>
                <w:szCs w:val="21"/>
              </w:rPr>
              <w:t xml:space="preserve">日24时止，以北京时间为准。</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承保基础</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期内索赔式</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追溯期</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首次投保追溯期设定：首次投保本保险无追溯期；</w:t>
            </w:r>
            <w:r/>
          </w:p>
          <w:p>
            <w:pPr>
              <w:jc w:val="left"/>
              <w:spacing w:line="360" w:lineRule="auto"/>
              <w:widowControl/>
              <w:rPr>
                <w:rFonts w:hint="eastAsia" w:ascii="宋体" w:hAnsi="宋体" w:cs="宋体"/>
                <w:szCs w:val="21"/>
              </w:rPr>
            </w:pPr>
            <w:r>
              <w:rPr>
                <w:rFonts w:hint="eastAsia" w:ascii="宋体" w:hAnsi="宋体" w:cs="宋体"/>
                <w:szCs w:val="21"/>
              </w:rPr>
              <w:t xml:space="preserve">连续投保追溯期设定：连续投保本保险的，追溯期从保险期限起始日向前计算，最长不超过3年，且不早于连续投保本保险的第一张保险单的追溯期的起始日；</w:t>
            </w:r>
            <w:r/>
          </w:p>
          <w:p>
            <w:pPr>
              <w:jc w:val="left"/>
              <w:spacing w:line="360" w:lineRule="auto"/>
              <w:widowControl/>
              <w:rPr>
                <w:rFonts w:hint="eastAsia" w:ascii="宋体" w:hAnsi="宋体" w:cs="宋体"/>
                <w:szCs w:val="21"/>
              </w:rPr>
            </w:pPr>
            <w:r>
              <w:rPr>
                <w:rFonts w:hint="eastAsia" w:ascii="宋体" w:hAnsi="宋体" w:cs="宋体"/>
                <w:szCs w:val="21"/>
              </w:rPr>
              <w:t xml:space="preserve">如果投保人断保后再次投保的，追溯期需重新计算，即追溯期至多仅追溯至重新投保后第一张保险单追溯期的起始日，且最长不超过3年。</w:t>
            </w:r>
            <w:r/>
          </w:p>
        </w:tc>
      </w:tr>
      <w:tr>
        <w:trPr>
          <w:trHeight w:val="454"/>
        </w:trPr>
        <w:tc>
          <w:tcPr>
            <w:shd w:val="clear" w:color="auto" w:fill="ffffff"/>
            <w:tcW w:w="883" w:type="pct"/>
            <w:vAlign w:val="center"/>
            <w:textDirection w:val="lrTb"/>
            <w:noWrap w:val="false"/>
          </w:tcPr>
          <w:p>
            <w:pPr>
              <w:jc w:val="center"/>
              <w:spacing w:line="360" w:lineRule="auto"/>
              <w:widowControl/>
              <w:rPr>
                <w:rFonts w:hint="default" w:ascii="宋体" w:hAnsi="宋体" w:eastAsia="宋体" w:cs="宋体"/>
                <w:b/>
                <w:bCs/>
                <w:szCs w:val="21"/>
                <w:lang w:val="en-US" w:eastAsia="zh-CN"/>
              </w:rPr>
            </w:pPr>
            <w:r>
              <w:rPr>
                <w:rFonts w:hint="eastAsia" w:ascii="宋体" w:hAnsi="宋体" w:cs="宋体"/>
                <w:b/>
                <w:bCs/>
                <w:szCs w:val="21"/>
              </w:rPr>
              <w:t xml:space="preserve">发现期</w:t>
            </w:r>
            <w:r>
              <w:rPr>
                <w:rFonts w:hint="eastAsia" w:ascii="宋体" w:hAnsi="宋体" w:cs="宋体"/>
                <w:b/>
                <w:bCs/>
                <w:szCs w:val="21"/>
                <w:lang w:val="en-US" w:eastAsia="zh-CN"/>
              </w:rPr>
              <w:t xml:space="preserve">/报告期</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本保险合同的保险期限到期时，若投保人未续保，被保险人将自动获得自保险期限到期日第二天起30天的免费发现期</w:t>
            </w:r>
            <w:r>
              <w:rPr>
                <w:rFonts w:hint="eastAsia" w:ascii="宋体" w:hAnsi="宋体" w:cs="宋体"/>
                <w:szCs w:val="21"/>
                <w:lang w:val="en-US" w:eastAsia="zh-CN"/>
              </w:rPr>
              <w:t xml:space="preserve">/报告期</w:t>
            </w:r>
            <w:r>
              <w:rPr>
                <w:rFonts w:hint="eastAsia" w:ascii="宋体" w:hAnsi="宋体" w:cs="宋体"/>
                <w:szCs w:val="21"/>
              </w:rPr>
              <w:t xml:space="preserve">。</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司法管辖</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中华人民共和国司法管辖（不包括港、澳、台地区法律）</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保费支付</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在收到正式保单和发票后，在15天内一次性付清。</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附加条款</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（1）附加医疗产品责任保险条款</w:t>
            </w:r>
            <w:r/>
          </w:p>
          <w:p>
            <w:pPr>
              <w:jc w:val="left"/>
              <w:spacing w:line="360" w:lineRule="auto"/>
              <w:widowControl/>
              <w:rPr>
                <w:rFonts w:hint="eastAsia" w:ascii="宋体" w:hAnsi="宋体" w:cs="宋体"/>
                <w:szCs w:val="21"/>
              </w:rPr>
            </w:pPr>
            <w:r>
              <w:rPr>
                <w:rFonts w:hint="eastAsia" w:ascii="宋体" w:hAnsi="宋体" w:cs="宋体"/>
                <w:szCs w:val="21"/>
              </w:rPr>
              <w:t xml:space="preserve">（2）附加外部医务人员医疗责任保险条款</w:t>
            </w:r>
            <w:r/>
          </w:p>
          <w:p>
            <w:pPr>
              <w:jc w:val="left"/>
              <w:spacing w:line="360" w:lineRule="auto"/>
              <w:widowControl/>
              <w:rPr>
                <w:rFonts w:hint="eastAsia" w:ascii="宋体" w:hAnsi="宋体" w:cs="宋体"/>
                <w:szCs w:val="21"/>
              </w:rPr>
            </w:pPr>
            <w:r>
              <w:rPr>
                <w:rFonts w:hint="eastAsia" w:ascii="宋体" w:hAnsi="宋体" w:cs="宋体"/>
                <w:szCs w:val="21"/>
              </w:rPr>
              <w:t xml:space="preserve">（3）附加精神损害赔偿责任保险条款（每次事故每位患者精神损害抚慰金责任限额：5万元，本限额包含在每次事故每位患者责任限额内）</w:t>
            </w:r>
            <w:r/>
          </w:p>
          <w:p>
            <w:pPr>
              <w:jc w:val="left"/>
              <w:spacing w:line="360" w:lineRule="auto"/>
              <w:widowControl/>
              <w:rPr>
                <w:rFonts w:hint="eastAsia" w:ascii="宋体" w:hAnsi="宋体" w:cs="宋体"/>
                <w:szCs w:val="21"/>
              </w:rPr>
            </w:pPr>
            <w:r>
              <w:rPr>
                <w:rFonts w:hint="eastAsia" w:ascii="宋体" w:hAnsi="宋体" w:cs="宋体"/>
                <w:szCs w:val="21"/>
              </w:rPr>
              <w:t xml:space="preserve">（4）错误和遗漏条款</w:t>
            </w:r>
            <w:r/>
          </w:p>
          <w:p>
            <w:pPr>
              <w:jc w:val="left"/>
              <w:spacing w:line="360" w:lineRule="auto"/>
              <w:widowControl/>
              <w:rPr>
                <w:rFonts w:hint="eastAsia" w:ascii="宋体" w:hAnsi="宋体" w:cs="宋体"/>
                <w:szCs w:val="21"/>
              </w:rPr>
            </w:pPr>
            <w:r>
              <w:rPr>
                <w:rFonts w:hint="eastAsia" w:ascii="宋体" w:hAnsi="宋体" w:cs="宋体"/>
                <w:szCs w:val="21"/>
              </w:rPr>
              <w:t xml:space="preserve">（5）违反条件条款</w:t>
            </w:r>
            <w:r/>
          </w:p>
        </w:tc>
      </w:tr>
      <w:tr>
        <w:trPr>
          <w:trHeight w:val="454"/>
        </w:trPr>
        <w:tc>
          <w:tcPr>
            <w:shd w:val="clear" w:color="auto" w:fill="ffffff"/>
            <w:tcW w:w="883" w:type="pct"/>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效力约定</w:t>
            </w:r>
            <w:r/>
          </w:p>
        </w:tc>
        <w:tc>
          <w:tcPr>
            <w:shd w:val="clear" w:color="auto" w:fill="ffffff"/>
            <w:tcW w:w="4116" w:type="pct"/>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在本保险合同中，格式条款与非格式条款不一致的，应当采用非格式条款。</w:t>
            </w:r>
            <w:r/>
          </w:p>
        </w:tc>
      </w:tr>
      <w:tr>
        <w:trPr>
          <w:trHeight w:val="454"/>
        </w:trPr>
        <w:tc>
          <w:tcPr>
            <w:shd w:val="clear" w:color="auto" w:fill="ffffff"/>
            <w:tcW w:w="883" w:type="pct"/>
            <w:vAlign w:val="center"/>
            <w:textDirection w:val="lrTb"/>
            <w:noWrap w:val="false"/>
          </w:tcPr>
          <w:p>
            <w:pPr>
              <w:jc w:val="center"/>
              <w:spacing w:line="360" w:lineRule="auto"/>
              <w:widowControl/>
              <w:rPr>
                <w:rFonts w:hint="default" w:ascii="宋体" w:hAnsi="宋体" w:eastAsia="宋体" w:cs="宋体"/>
                <w:b/>
                <w:bCs/>
                <w:szCs w:val="21"/>
                <w:lang w:val="en-US" w:eastAsia="zh-CN"/>
              </w:rPr>
            </w:pPr>
            <w:r>
              <w:rPr>
                <w:rFonts w:hint="eastAsia" w:ascii="宋体" w:hAnsi="宋体" w:cs="宋体"/>
                <w:b/>
                <w:bCs/>
                <w:szCs w:val="21"/>
                <w:lang w:val="en-US" w:eastAsia="zh-CN"/>
              </w:rPr>
              <w:t xml:space="preserve">佣金</w:t>
            </w:r>
            <w:r/>
          </w:p>
        </w:tc>
        <w:tc>
          <w:tcPr>
            <w:shd w:val="clear" w:color="auto" w:fill="ffffff"/>
            <w:tcW w:w="4116" w:type="pct"/>
            <w:vAlign w:val="center"/>
            <w:textDirection w:val="lrTb"/>
            <w:noWrap w:val="false"/>
          </w:tcPr>
          <w:p>
            <w:pPr>
              <w:jc w:val="left"/>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rPr>
              <w:t xml:space="preserve">佣金收费标准不超过报价总保费的12%，具体中标人与保险经纪公司协商确定。</w:t>
            </w:r>
            <w:r/>
          </w:p>
        </w:tc>
      </w:tr>
    </w:tbl>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r>
      <w:r/>
    </w:p>
    <w:p>
      <w:pPr>
        <w:jc w:val="center"/>
        <w:spacing w:line="360" w:lineRule="auto"/>
        <w:widowControl/>
        <w:rPr>
          <w:rFonts w:hint="eastAsia" w:ascii="宋体" w:hAnsi="宋体" w:cs="宋体"/>
          <w:b/>
          <w:bCs/>
          <w:szCs w:val="21"/>
        </w:rPr>
      </w:pPr>
      <w:r>
        <w:rPr>
          <w:rFonts w:hint="eastAsia" w:ascii="宋体" w:hAnsi="宋体" w:cs="宋体"/>
          <w:b/>
          <w:bCs/>
          <w:szCs w:val="21"/>
          <w:lang w:bidi="ar"/>
        </w:rPr>
        <w:t xml:space="preserve">医疗机构医疗责任保险条款</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总则</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第一条 </w:t>
      </w:r>
      <w:r>
        <w:rPr>
          <w:rFonts w:hint="eastAsia" w:ascii="宋体" w:hAnsi="宋体" w:cs="宋体"/>
          <w:szCs w:val="21"/>
          <w:lang w:bidi="ar"/>
        </w:rPr>
        <w:t xml:space="preserve">本保险合同由保险条款、投保单、保险单以及批单组成。凡涉及本保险合同的约定，均应采用书面形式。</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第二条 </w:t>
      </w:r>
      <w:r>
        <w:rPr>
          <w:rFonts w:hint="eastAsia" w:ascii="宋体" w:hAnsi="宋体" w:cs="宋体"/>
          <w:szCs w:val="21"/>
          <w:lang w:bidi="ar"/>
        </w:rPr>
        <w:t xml:space="preserve">凡依法设立的医疗机构均可作为本保险合同的被保险人。</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保险责任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第三条 </w:t>
      </w:r>
      <w:r>
        <w:rPr>
          <w:rFonts w:hint="eastAsia" w:ascii="宋体" w:hAnsi="宋体" w:cs="宋体"/>
          <w:szCs w:val="21"/>
          <w:lang w:bidi="ar"/>
        </w:rPr>
        <w:t xml:space="preserve">在保险单中列明的保险期间或者追溯期内，被保险人或者其医务人员在从事与其资格相符的诊疗活动中，发生下列情形，患者或者其近亲属或者其代理人（以下简称患方）在保险期间内或者发现期</w:t>
      </w:r>
      <w:r>
        <w:rPr>
          <w:rFonts w:hint="eastAsia" w:ascii="宋体" w:hAnsi="宋体" w:cs="宋体"/>
          <w:szCs w:val="21"/>
          <w:lang w:val="en-US" w:eastAsia="zh-CN" w:bidi="ar"/>
        </w:rPr>
        <w:t xml:space="preserve">/报告期</w:t>
      </w:r>
      <w:r>
        <w:rPr>
          <w:rFonts w:hint="eastAsia" w:ascii="宋体" w:hAnsi="宋体" w:cs="宋体"/>
          <w:szCs w:val="21"/>
          <w:lang w:bidi="ar"/>
        </w:rPr>
        <w:t xml:space="preserve">内首次向被保险人提出人身损害赔偿请求，依照中华人民共和国法律（不包括香港、澳门、台湾地区法律，下同）应由被保险人承担的经济赔偿责任，保险人按照本保险合同的约定负责赔偿：</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（一）患者在诊疗活动中受到损害，被保险人或者其医务人员有过错的；</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（二）医务人员有下列情形，造成患者损害的：</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医务人员在诊疗活动中未向患者或者其近亲属说明病情和医疗措施的；需要实施手术、特殊检查、特殊治疗，医务人员未及时向患者或者其近亲属具体说明医疗风险、替代医疗方案等情况并取得其明确同意的；</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（三）医务人员在诊疗活动中未尽到与当时的医疗水平相应的诊疗义务，造成患者损害的。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第四条 </w:t>
      </w:r>
      <w:r>
        <w:rPr>
          <w:rFonts w:hint="eastAsia" w:ascii="宋体" w:hAnsi="宋体" w:cs="宋体"/>
          <w:szCs w:val="21"/>
          <w:lang w:bidi="ar"/>
        </w:rPr>
        <w:t xml:space="preserve">发生可能引起本保险合同项下赔偿的情形时，被保险人被提起诉讼或者仲裁，对应由被保险人支付的诉讼费用或者仲裁费用，以及事先经保险人书面同意支付的合理的、必要的鉴定费、取证费、评估费、公证费、律师费及其他法律费用等（以下简称法律费用），保险人按照本保险合同的约定负责赔偿。</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责任免除</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第五条 下列原因造成的损失、费用和责任，保险人不负责赔偿：</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（一）被保险人的故意行为</w:t>
      </w:r>
      <w:r>
        <w:rPr>
          <w:rFonts w:hint="eastAsia" w:ascii="宋体" w:hAnsi="宋体" w:cs="宋体"/>
          <w:szCs w:val="21"/>
          <w:lang w:bidi="ar"/>
        </w:rPr>
        <w:t xml:space="preserve">，但被保险人或者其医务人员在紧急情况下对患者实施的符合相关诊疗规范的约束、隔离等保护性医疗措施不在此限；</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（二）战争、敌对行为、军事行动、武装冲突、恐怖活动、罢工、骚乱、暴动、盗窃、抢劫；</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（三）核反应、核子辐射和放射性污染</w:t>
      </w:r>
      <w:r>
        <w:rPr>
          <w:rFonts w:hint="eastAsia" w:ascii="宋体" w:hAnsi="宋体" w:cs="宋体"/>
          <w:szCs w:val="21"/>
          <w:lang w:bidi="ar"/>
        </w:rPr>
        <w:t xml:space="preserve">，但被保险人或者其医务人员使用放射器材、放射性药物进行治疗的不在此限</w:t>
      </w:r>
      <w:r>
        <w:rPr>
          <w:rFonts w:hint="eastAsia" w:ascii="宋体" w:hAnsi="宋体" w:cs="宋体"/>
          <w:b/>
          <w:bCs/>
          <w:szCs w:val="21"/>
          <w:lang w:bidi="ar"/>
        </w:rPr>
        <w:t xml:space="preserve">；</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（四）地震、雷击、暴雨、洪水等自然灾害；</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（五）火灾、爆炸等非诊疗活动为直接原因产生的意外事故。</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第六条 下列情形造成的损失、费用和责任，保险人不负责赔偿：</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（一）被保险人或者其医务人员从事与其资格不符的诊疗活动或者未经国家有关部门认定合格的被保险人的医务人员进行诊疗活动的；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（二）被保险人或者其医务人员从事未经国家有关部门许可的诊疗活动的；</w:t>
      </w:r>
      <w:r/>
    </w:p>
    <w:p>
      <w:pPr>
        <w:ind w:firstLine="422"/>
        <w:spacing w:line="360" w:lineRule="auto"/>
        <w:rPr>
          <w:rFonts w:hint="eastAsia" w:ascii="宋体" w:hAnsi="宋体" w:cs="宋体"/>
          <w:b/>
          <w:bCs/>
          <w:szCs w:val="21"/>
          <w:lang w:bidi="ar"/>
        </w:rPr>
      </w:pPr>
      <w:r>
        <w:rPr>
          <w:rFonts w:hint="eastAsia" w:ascii="宋体" w:hAnsi="宋体" w:cs="宋体"/>
          <w:b/>
          <w:bCs/>
          <w:szCs w:val="21"/>
          <w:lang w:bidi="ar"/>
        </w:rPr>
        <w:t xml:space="preserve">（三）被保险人或者其医务人员被吊销执业许可证或者被取消执业资格后以及受停业、停职处分期间仍继续进行诊疗活动的；</w:t>
      </w:r>
      <w:r/>
    </w:p>
    <w:p>
      <w:pPr>
        <w:ind w:firstLine="422"/>
        <w:spacing w:line="360" w:lineRule="auto"/>
        <w:rPr>
          <w:rFonts w:hint="eastAsia" w:ascii="宋体" w:hAnsi="宋体" w:cs="宋体"/>
          <w:b/>
          <w:szCs w:val="21"/>
        </w:rPr>
      </w:pPr>
      <w:r>
        <w:rPr>
          <w:rFonts w:hint="eastAsia" w:ascii="宋体" w:hAnsi="宋体" w:cs="宋体"/>
          <w:b/>
          <w:szCs w:val="21"/>
        </w:rPr>
        <w:t xml:space="preserve">（四）被保险人或其医务人员使用伪劣药品、医疗器械或输入不合格血液的；</w:t>
      </w:r>
      <w:r/>
    </w:p>
    <w:p>
      <w:pPr>
        <w:ind w:firstLine="422"/>
        <w:jc w:val="left"/>
        <w:spacing w:line="360" w:lineRule="auto"/>
        <w:widowControl/>
        <w:rPr>
          <w:rFonts w:hint="eastAsia" w:ascii="宋体" w:hAnsi="宋体" w:cs="宋体"/>
          <w:b/>
          <w:bCs/>
          <w:szCs w:val="21"/>
          <w:lang w:bidi="ar"/>
        </w:rPr>
      </w:pPr>
      <w:r>
        <w:rPr>
          <w:rFonts w:hint="eastAsia" w:ascii="宋体" w:hAnsi="宋体" w:cs="宋体"/>
          <w:b/>
          <w:szCs w:val="21"/>
        </w:rPr>
        <w:t xml:space="preserve">（五）被保险人或其医务人员使用未经国家有关部门批准使用的药品、消毒产品和医疗器械</w:t>
      </w:r>
      <w:r>
        <w:rPr>
          <w:rFonts w:hint="eastAsia" w:ascii="宋体" w:hAnsi="宋体" w:cs="宋体"/>
          <w:b/>
          <w:bCs/>
          <w:szCs w:val="21"/>
          <w:lang w:bidi="ar"/>
        </w:rPr>
        <w:t xml:space="preserve">或者未使用卫生行政部门指定血站提供的血液的；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（六）被保险人的医务人员受酒精、毒品、管制药物的影响的状态下进行诊疗活动的；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（七）被保险人或者其医务人员在正当的诊断、治疗范围外使用麻醉药品、医疗用毒性药品、精神药品和放射性药品的；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（八）被保险人或者其医务人员进行不以治疗为目的的医疗美容诊疗活动的；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（九）被保险人或者其医务人员从事临床试验活动的；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（十）患者或者其近亲属不配合被保险人进行符合诊疗规范的诊疗，造成患者人身损害，且被保险人或者其医务人员没有过错的；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（十一）被保险人的医务人员在其他医疗机构进行诊疗活动的；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（十二）因被保险人的公共设施存在缺陷，或者被保险人或者其雇员对医疗机构内的公共设施管理不善或者操作、维护不当，或者被保险人提供的食品引发食物中毒或者其他食源性疾病的。</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第七条 下列损失、费用和责任，保险人也不负责赔偿：</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（一）被保险人的医务人员人身损害</w:t>
      </w:r>
      <w:r>
        <w:rPr>
          <w:rFonts w:hint="eastAsia" w:ascii="宋体" w:hAnsi="宋体" w:cs="宋体"/>
          <w:szCs w:val="21"/>
          <w:lang w:bidi="ar"/>
        </w:rPr>
        <w:t xml:space="preserve">，但其以患者身份接受诊疗时受到人身损害的不在此限；</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（二）被保险人应当承担的合同责任，</w:t>
      </w:r>
      <w:r>
        <w:rPr>
          <w:rFonts w:hint="eastAsia" w:ascii="宋体" w:hAnsi="宋体" w:cs="宋体"/>
          <w:szCs w:val="21"/>
          <w:lang w:bidi="ar"/>
        </w:rPr>
        <w:t xml:space="preserve">但无合同存在时被保险人依法仍应承担的经济赔偿责任不在此限；</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（三）任何财产损失；</w:t>
      </w:r>
      <w:r/>
    </w:p>
    <w:p>
      <w:pPr>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（四）</w:t>
      </w:r>
      <w:r>
        <w:rPr>
          <w:rStyle w:val="901"/>
          <w:rFonts w:hint="eastAsia" w:ascii="宋体" w:hAnsi="宋体" w:cs="宋体"/>
          <w:szCs w:val="21"/>
          <w:lang w:bidi="ar"/>
        </w:rPr>
        <w:t xml:space="preserve">精神损害赔偿</w:t>
      </w:r>
      <w:r>
        <w:rPr>
          <w:rFonts w:hint="eastAsia" w:ascii="宋体" w:hAnsi="宋体" w:cs="宋体"/>
          <w:b/>
          <w:bCs/>
          <w:szCs w:val="21"/>
          <w:lang w:bidi="ar"/>
        </w:rPr>
        <w:t xml:space="preserve">；</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（五）罚款、罚金或者惩罚性赔款；</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（六）应由患方承担的相关费用；</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（七）保险单中载明的应由被保险人自行承担的免赔额。</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责任限额与免赔额（率）</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第八条 </w:t>
      </w:r>
      <w:r>
        <w:rPr>
          <w:rFonts w:hint="eastAsia" w:ascii="宋体" w:hAnsi="宋体" w:cs="宋体"/>
          <w:szCs w:val="21"/>
          <w:lang w:bidi="ar"/>
        </w:rPr>
        <w:t xml:space="preserve">除另有约定外，责任限额包括累计责任限额、每次事故责任限额、每次事故每位患者责任限额、每次事故每位患者施救费用责任限额、每次事故法律费用责任限额、累计法律费用责任限额。责任限额由投保人与保险人协商确定，并在保险合同中列明。</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第九条 </w:t>
      </w:r>
      <w:r>
        <w:rPr>
          <w:rFonts w:hint="eastAsia" w:ascii="宋体" w:hAnsi="宋体" w:cs="宋体"/>
          <w:szCs w:val="21"/>
          <w:lang w:bidi="ar"/>
        </w:rPr>
        <w:t xml:space="preserve">免赔额（率）由投保人与保险人在签订保险合同时协商确定，并在保险合同中载明。</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保险期间</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第十条 </w:t>
      </w:r>
      <w:r>
        <w:rPr>
          <w:rFonts w:hint="eastAsia" w:ascii="宋体" w:hAnsi="宋体" w:cs="宋体"/>
          <w:szCs w:val="21"/>
          <w:lang w:bidi="ar"/>
        </w:rPr>
        <w:t xml:space="preserve">除另有约定外，保险期间为一年，以保险单列明的起讫时间为准。</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保险人义务</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第十一条 </w:t>
      </w:r>
      <w:r>
        <w:rPr>
          <w:rFonts w:hint="eastAsia" w:ascii="宋体" w:hAnsi="宋体" w:cs="宋体"/>
          <w:szCs w:val="21"/>
          <w:lang w:bidi="ar"/>
        </w:rPr>
        <w:t xml:space="preserve">本保险合同成立后，保险人应当及时向投保人签发保险单或者其他保险凭证。</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第十二条 </w:t>
      </w:r>
      <w:r>
        <w:rPr>
          <w:rFonts w:hint="eastAsia" w:ascii="宋体" w:hAnsi="宋体" w:cs="宋体"/>
          <w:szCs w:val="21"/>
          <w:lang w:bidi="ar"/>
        </w:rPr>
        <w:t xml:space="preserve">保险事故发生后，被保险人提供的有关索赔的证明和资料不完整的，保险人应当及时一次性通知投保人、被保险人补充提供。</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第十三条 </w:t>
      </w:r>
      <w:r>
        <w:rPr>
          <w:rFonts w:hint="eastAsia" w:ascii="宋体" w:hAnsi="宋体" w:cs="宋体"/>
          <w:szCs w:val="21"/>
          <w:lang w:bidi="ar"/>
        </w:rPr>
        <w:t xml:space="preserve">保险人收到被保险人的赔偿请求后，应当及时做出核定，并将核定结果通知被保险人。情形复杂的，应当在三十日内做出核定并通知被保险人，对于属于保险责任的，在与被保险人达成有关赔偿金额的协议后十日内，履行赔偿义务。</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保险人按照前款的规定做出核定后，对不属于保险责任的，应当自做出核定之日起三日内向被保险人发出拒绝赔偿保险金通知书，并说明理由。</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第十四条 </w:t>
      </w:r>
      <w:r>
        <w:rPr>
          <w:rFonts w:hint="eastAsia" w:ascii="宋体" w:hAnsi="宋体" w:cs="宋体"/>
          <w:szCs w:val="21"/>
          <w:lang w:bidi="ar"/>
        </w:rPr>
        <w:t xml:space="preserve">保险人自收到赔偿保险金的请求和有关证明、资料之日起六十日内，对其赔偿保险金的数额不能确定的，应当根据已有证明和资料可以确定的数额先予支付；保险人最终确定赔偿的数额后，应当支付相应的差额。</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第十五条</w:t>
      </w:r>
      <w:r>
        <w:rPr>
          <w:rFonts w:hint="eastAsia" w:ascii="宋体" w:hAnsi="宋体" w:cs="宋体"/>
          <w:szCs w:val="21"/>
          <w:lang w:bidi="ar"/>
        </w:rPr>
        <w:t xml:space="preserve"> 被保险人给患者造成损害，被保险人对患者应负的赔偿责任确定的，根据被保险人的请求，保险人应当直接向患者及其他赔偿权利人支付赔款。</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被保险人怠于提出索赔的，患者及其他赔偿权利人有权根据本保险合同就其应获赔偿部分直接向保险人请求赔偿保险金。</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被保险人给患者造成损害，被保险人未向该患者及其他赔偿权利人赔偿的，保险人不得向被保险人赔偿保险金。</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投保人/被保险人义务</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第十六条 </w:t>
      </w:r>
      <w:r>
        <w:rPr>
          <w:rFonts w:hint="eastAsia" w:ascii="宋体" w:hAnsi="宋体" w:cs="宋体"/>
          <w:szCs w:val="21"/>
          <w:lang w:bidi="ar"/>
        </w:rPr>
        <w:t xml:space="preserve">订立保险合同，保险人就保险标的或者被保险人的有关情况提出询问的，投保人应当如实告知，并如实填写投保单。</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投保人故意或者因重大过失未履行前款规定的如实告知义务，足以影响保险人决定是否同意承保或者提高保险费率的，保险人有权解除保险合同。</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前款规定的合同解除权，自保险人知道有解除事由之日起，超过三十日不行使而消灭。发生保险事故的，保险人应当承担赔偿保险金的责任。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投保人故意不履行如实告知义务的，保险人对于合同解除前发生的保险事故，不承担赔偿保险金的责任，并不退还保险费。</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投保人因重大过失未履行如实告知义务，对保险事故的发生有严重影响的，保险人对于合同解除前发生的保险事故，不承担赔偿保险金的责任，但应当退还保险费。</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保险人在合同订立时已经知道投保人未如实告知的情况的，保险人不得解除合同；发生保险事故的，保险人应当承担赔偿保险金的责任。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第十七条 </w:t>
      </w:r>
      <w:r>
        <w:rPr>
          <w:rFonts w:hint="eastAsia" w:ascii="宋体" w:hAnsi="宋体" w:cs="宋体"/>
          <w:szCs w:val="21"/>
          <w:lang w:bidi="ar"/>
        </w:rPr>
        <w:t xml:space="preserve">投保人应按照保险合同的约定缴纳保险费。</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第十八条 </w:t>
      </w:r>
      <w:r>
        <w:rPr>
          <w:rFonts w:hint="eastAsia" w:ascii="宋体" w:hAnsi="宋体" w:cs="宋体"/>
          <w:szCs w:val="21"/>
          <w:lang w:bidi="ar"/>
        </w:rPr>
        <w:t xml:space="preserve">被保险人应遵守《中华人民共和国执业医师法》、《医疗机构管理条例》及其实施细则、《护士条例》以及国家及政府有关部门制定的相关法律、法规及其他规定，加强管理，教育医务人员遵守诊疗规范、常规，恪守医疗服务职业道德，采取合理的预防措施，尽力防止保险事故的发生。</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第十九条 </w:t>
      </w:r>
      <w:r>
        <w:rPr>
          <w:rFonts w:hint="eastAsia" w:ascii="宋体" w:hAnsi="宋体" w:cs="宋体"/>
          <w:szCs w:val="21"/>
          <w:lang w:bidi="ar"/>
        </w:rPr>
        <w:t xml:space="preserve">保险人对被保险人及其医务人员的专业资格、使用药品和医疗器械及其他各项医疗条件进行查验时，被保险人应积极协助并提供保险人需要的用以评估有关风险的详情和资料。但上述查验并不构成保险人对被保险人及其医务人员的专业资格、使用药品和医疗器械及其他各项医疗条件符合相关法律、法规或者规定的确认。保险人将所发现的缺陷或者危险书面告知被保险人后，被保险人应在力所能及，合理限度内及时采取整改措施。</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投保人、被保险人未按照约定履行上述安全义务的，保险人有权要求增加保险费或者解除合同。</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第二十条 </w:t>
      </w:r>
      <w:r>
        <w:rPr>
          <w:rFonts w:hint="eastAsia" w:ascii="宋体" w:hAnsi="宋体" w:cs="宋体"/>
          <w:szCs w:val="21"/>
          <w:lang w:bidi="ar"/>
        </w:rPr>
        <w:t xml:space="preserve">在保险合同有效期内，本合同列明的重要事项如医疗机构类型、医疗机构等级发生变更导致保险标的危险程度显著增加的，被保险人应当及时书面通知保险人，保险人应及时办理批改手续或者调整保险费。</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被保险人未履行前款约定的通知义务的，因保险标的的危险程度显著增加而发生的保险事故，保险人不承担赔偿保险金的责任。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第二十一条 </w:t>
      </w:r>
      <w:r>
        <w:rPr>
          <w:rFonts w:hint="eastAsia" w:ascii="宋体" w:hAnsi="宋体" w:cs="宋体"/>
          <w:szCs w:val="21"/>
          <w:lang w:bidi="ar"/>
        </w:rPr>
        <w:t xml:space="preserve">保险事故发生时，被保险人应当：</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（一）尽力采取必要的措施，防止或者减少损失；</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二）及时通知医疗纠纷调解组织或者通过医疗责任保险报案专线电话报案，并说明事故发生的原因、经过和损失情况，保险人认可由医疗纠纷调解组织或者医疗责任保险报案专线电话提供的报案信息并视同为及时报案；</w:t>
      </w:r>
      <w:r>
        <w:rPr>
          <w:rFonts w:hint="eastAsia" w:ascii="宋体" w:hAnsi="宋体" w:cs="宋体"/>
          <w:b/>
          <w:bCs/>
          <w:szCs w:val="21"/>
          <w:lang w:bidi="ar"/>
        </w:rPr>
        <w:t xml:space="preserve">故意或者因重大过失未及时通知，致使保险事故的性质、原因、损失程度等难以确定的，保险人对无法确定的部分，不承担赔偿责任，</w:t>
      </w:r>
      <w:r>
        <w:rPr>
          <w:rFonts w:hint="eastAsia" w:ascii="宋体" w:hAnsi="宋体" w:cs="宋体"/>
          <w:szCs w:val="21"/>
          <w:lang w:bidi="ar"/>
        </w:rPr>
        <w:t xml:space="preserve">但保险人通过其他途径已经及时知道或者应当及时知道保险事故发生的除外。</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第二十二条 </w:t>
      </w:r>
      <w:r>
        <w:rPr>
          <w:rFonts w:hint="eastAsia" w:ascii="宋体" w:hAnsi="宋体" w:cs="宋体"/>
          <w:szCs w:val="21"/>
          <w:lang w:bidi="ar"/>
        </w:rPr>
        <w:t xml:space="preserve">发生保险责任范围内的损失，应由有关责任方负责赔偿的，被保险人应行使或者保留向该责任方请求赔偿的权利。</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保险事故发生后，保险人未赔偿保险金之前，被保险人放弃对有关责任方请求赔偿的权利的，保险人不承担赔偿责任。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保险人向被保险人赔偿保险金后，被保险人未经保险人同意放弃对有关责任方请求赔偿的权利的，该行为无效。</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在保险人向有关责任方行使代位请求赔偿权利时，被保险人应当向保险人提供必要的文件和其所知道的有关情况。</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由于被保险人的故意或者重大过失致使保险人不能行使代位请求赔偿的权利的，保险人可以扣减或者要求返还相应的保险金。</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第二十三条 未经保险人或者医疗纠纷调解组织书面同意，被保险人对患方做出的任何承诺、拒绝、出价、约定、付款或者赔偿，保险人不受其约束。对于被保险人自行承诺或者支付的赔偿金额，保险人有权重新核定，不属于本保险责任范围或者超出责任限额的，保险人不承担赔偿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第二十四条 </w:t>
      </w:r>
      <w:r>
        <w:rPr>
          <w:rFonts w:hint="eastAsia" w:ascii="宋体" w:hAnsi="宋体" w:cs="宋体"/>
          <w:szCs w:val="21"/>
          <w:lang w:bidi="ar"/>
        </w:rPr>
        <w:t xml:space="preserve">被保险人获悉可能发生诉讼、仲裁时，应及时以书面形式通知保险人；接到人民法院传票或者其他法律文书后，应将其副本及时送交保险人。必要时，经被保险人同意，保险人可以以被保险人的名义处理有关诉讼或者仲裁事宜，被保险人应提供有关文件并给予必要协助。</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对因未及时提供上述通知或者必要协助导致扩大的损失，保险人不承担赔偿责任。</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赔偿处理</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第二十五条 </w:t>
      </w:r>
      <w:r>
        <w:rPr>
          <w:rFonts w:hint="eastAsia" w:ascii="宋体" w:hAnsi="宋体" w:cs="宋体"/>
          <w:szCs w:val="21"/>
          <w:lang w:bidi="ar"/>
        </w:rPr>
        <w:t xml:space="preserve">发生保险事故后，保险人的赔偿金额以按照下列方式之一确定的被保险人的经济赔偿责任为依据：</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（一）在医疗纠纷调解组织主持调解下被保险人与患方达成的调解协议；</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（二）人民法院判决、调解；</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（三）仲裁机构裁决、调解；</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（四）卫生健康行政部门的调解；</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（五）保险人认可的其它方式。</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第二十六条 </w:t>
      </w:r>
      <w:r>
        <w:rPr>
          <w:rFonts w:hint="eastAsia" w:ascii="宋体" w:hAnsi="宋体" w:cs="宋体"/>
          <w:szCs w:val="21"/>
          <w:lang w:bidi="ar"/>
        </w:rPr>
        <w:t xml:space="preserve">被保险人向保险人请求赔偿时，应提交下列单证材料：</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（一）索赔申请书（含事故情况说明）；</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（二）相关医务人员的资格和执业证明、医疗机构与医务人员的关系证明；</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（三）患者病历资料；患者死亡或者残疾的，提供相关机构或者部门出具的死亡证明或者残疾程度证明；</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（四）医疗纠纷调解组织出具的调解协议书、人民法院判决书、人民法院调解书、卫生健康行政部门出具的调解书、仲裁裁决书、仲裁调解书；</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（五）医疗费发票或者可以证明医疗费的其他材料以及依照本保险合同第二十七条应当由被保险人承担的其他费用的证明材料；</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（六）其他被保险人所能提供的与确认保险事故的性质、原因、损失程度等有关的证明和资料。</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第二十七条 </w:t>
      </w:r>
      <w:r>
        <w:rPr>
          <w:rFonts w:hint="eastAsia" w:ascii="宋体" w:hAnsi="宋体" w:cs="宋体"/>
          <w:szCs w:val="21"/>
          <w:lang w:bidi="ar"/>
        </w:rPr>
        <w:t xml:space="preserve">发生本保险合同第三条约定的保险事故，保险人按照法律规定计算下列赔偿项目并结合被保险人的过错程度在本保险合同列明的责任限额内进行赔偿：</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（一）造成人身损害的，包括医疗费、护理费、交通费、营养费、住院伙食补助费等为治疗和康复支出的合理费用，以及因误工减少的收入；</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二）造成残疾的，还包括辅助器具费和残疾赔偿金，残疾等级按照《人体损伤致残程度分级》（最高人民法院、最高人民检察院、公安部、国家安全部、司法部2016年4月18日发布，司法部实施通知文号为司发通〔2016〕48号）确定；</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（三）造成死亡的，还包括赔偿丧葬费和死亡赔偿金。</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第二十八条 </w:t>
      </w:r>
      <w:r>
        <w:rPr>
          <w:rFonts w:hint="eastAsia" w:ascii="宋体" w:hAnsi="宋体" w:cs="宋体"/>
          <w:szCs w:val="21"/>
        </w:rPr>
        <w:t xml:space="preserve">保险人对每次事故的赔偿金额不超过每次事故责任限额；保险人对多次事故的累计赔偿金额不超过累计责任限额。</w:t>
      </w:r>
      <w:r/>
    </w:p>
    <w:p>
      <w:pPr>
        <w:ind w:firstLine="422"/>
        <w:jc w:val="left"/>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第二十九条 </w:t>
      </w:r>
      <w:r>
        <w:rPr>
          <w:rFonts w:hint="eastAsia" w:ascii="宋体" w:hAnsi="宋体" w:cs="宋体"/>
          <w:szCs w:val="21"/>
          <w:lang w:bidi="ar"/>
        </w:rPr>
        <w:t xml:space="preserve">发生保险事故后，保险人对每次事故法律费用赔偿金额在每次事故责任限额之外另行计算，最高不超过每次事故法律费用责任限额，保险人对多次事故的累计法律费用赔偿金额在累计责任限额之外另行计算，最高不超过累计法律费用责任限额。</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第三十条 </w:t>
      </w:r>
      <w:r>
        <w:rPr>
          <w:rFonts w:hint="eastAsia" w:ascii="宋体" w:hAnsi="宋体" w:cs="宋体"/>
          <w:szCs w:val="21"/>
          <w:lang w:bidi="ar"/>
        </w:rPr>
        <w:t xml:space="preserve">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被保险人已经从有关责任方取得赔偿的，保险人赔偿保险金时，可以相应扣减被保险人已从有关责任方取得的赔偿金额。</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第三十一条 </w:t>
      </w:r>
      <w:r>
        <w:rPr>
          <w:rFonts w:hint="eastAsia" w:ascii="宋体" w:hAnsi="宋体" w:cs="宋体"/>
          <w:szCs w:val="21"/>
          <w:lang w:bidi="ar"/>
        </w:rPr>
        <w:t xml:space="preserve">本保险合同保险期间到期时，若投保人未续保，被保险人将自动获得自保险期间到期日第二天起保险合同约定的免费发现期。</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第三十二条 </w:t>
      </w:r>
      <w:r>
        <w:rPr>
          <w:rFonts w:hint="eastAsia" w:ascii="宋体" w:hAnsi="宋体" w:cs="宋体"/>
          <w:szCs w:val="21"/>
          <w:lang w:bidi="ar"/>
        </w:rPr>
        <w:t xml:space="preserve">发生保险事故时，如存在重复保险，则保险人按照本保险合同的责任限额与所有有关保险合同项下的责任限额总和的比例承担赔偿责任。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第三十三条 </w:t>
      </w:r>
      <w:r>
        <w:rPr>
          <w:rFonts w:hint="eastAsia" w:ascii="宋体" w:hAnsi="宋体" w:cs="宋体"/>
          <w:szCs w:val="21"/>
          <w:lang w:bidi="ar"/>
        </w:rPr>
        <w:t xml:space="preserve">被保险人向保险人请求赔偿保险金的诉讼时效期间为三年，自其知道或者应当知道保险事故发生之日起计算。</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争议处理和法律适用</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第三十四条 </w:t>
      </w:r>
      <w:r>
        <w:rPr>
          <w:rFonts w:hint="eastAsia" w:ascii="宋体" w:hAnsi="宋体" w:cs="宋体"/>
          <w:szCs w:val="21"/>
          <w:lang w:bidi="ar"/>
        </w:rPr>
        <w:t xml:space="preserve">因履行本合同发生的争议，由当事人协商解决。当事人协商不成的，可依法向人民法院起诉。</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第三十五条 </w:t>
      </w:r>
      <w:r>
        <w:rPr>
          <w:rFonts w:hint="eastAsia" w:ascii="宋体" w:hAnsi="宋体" w:cs="宋体"/>
          <w:szCs w:val="21"/>
          <w:lang w:bidi="ar"/>
        </w:rPr>
        <w:t xml:space="preserve">本保险合同的争议处理适用中华人民共和国法律。</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其他事项</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第三十六条 </w:t>
      </w:r>
      <w:r>
        <w:rPr>
          <w:rFonts w:hint="eastAsia" w:ascii="宋体" w:hAnsi="宋体" w:cs="宋体"/>
          <w:szCs w:val="21"/>
          <w:lang w:bidi="ar"/>
        </w:rPr>
        <w:t xml:space="preserve">除本保险合同约定外，本保险合同成立后，保险人不得解除本保险合同。</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第三十七条 </w:t>
      </w:r>
      <w:r>
        <w:rPr>
          <w:rFonts w:hint="eastAsia" w:ascii="宋体" w:hAnsi="宋体" w:cs="宋体"/>
          <w:szCs w:val="21"/>
          <w:lang w:bidi="ar"/>
        </w:rPr>
        <w:t xml:space="preserve">保险责任开始前，投保人或者保险人要求解除保险合同的，保险人应当退还全部保险费。保险责任开始后，投保人要求解除保险合同的，自通知保险人之日起，保险合同解除，保险人应向投保人退还未满期保险费。</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释义</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除非另有约定，本保险合同中有关名词的释义如下：</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1.追溯期：</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是指保险合同中约定的从保险期间起始日向前追溯的一段时间,保险人对该段时间内发生且患方在保险期间或者发现期内首次向被保险人提出人身损害赔偿请求的保险事故按照本保险合同的约定承担赔偿责任。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2.医务人员：</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是指在被保险医疗机构执业的经过国家有关部门考核、批准或者承认，取得相应资格的各级各类卫生技术人员。</w:t>
      </w:r>
      <w:r>
        <w:rPr>
          <w:rFonts w:hint="eastAsia" w:ascii="宋体" w:hAnsi="宋体" w:cs="宋体"/>
          <w:szCs w:val="21"/>
        </w:rPr>
        <w:t xml:space="preserve">在本保险合同中，卫生技术人员也包括医疗管理人员、外聘医务人员、进修生、</w:t>
      </w:r>
      <w:r>
        <w:rPr>
          <w:rFonts w:hint="eastAsia" w:ascii="宋体" w:hAnsi="宋体" w:cs="宋体"/>
          <w:szCs w:val="21"/>
          <w:lang w:bidi="ar"/>
        </w:rPr>
        <w:t xml:space="preserve">按照《医学教育临床实践管理暂行规定》(卫办科教发[2008]45号)在临床带教教师或者指导医务人员指导下进行诊疗活动的医学生、试用期医学毕业生。</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3.诊疗活动：</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是指通过各种检查，使用药物、器械及手术等方法，对疾病作出判断和消除疾病、缓解病情、减轻痛苦、改善功能、延长生命、帮助患者恢复健康的活动。本保险合同中诊疗活动包括护理工作，护理工作主要是指医疗机构的医务人员的下述行为：密切观察患者的生命体征和病情变化；正确实施治疗、给药及护理措施，并观察、了解患者的反应；根据患者病情和生活自理能力提供照顾和帮助；提供护理相关的健康指导。</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本保险合同中诊疗活动同时包括医疗美容诊疗活动、健康体检诊疗活动以及被保险人提供健康教育、预防接种、儿童健康管理、孕产妇健康管理、老年人健康管理、慢性病（高血压、糖尿病）患者健康管理、严重精神障碍患者管理、肺结核患者健康管理、中医药健康管理等基本公共卫生服务活动，其中健康体检是指通过医学手段和方法对受检者进行身体检查，了解受检者健康状况、早期发现疾病线索和健康隐患的诊疗行为。</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4.患者：</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指接受诊疗活动的个人。</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5.特殊检查、特殊治疗：</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是指具有下列情形之一的诊断、治疗活动：</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（一）有一定危险性，可能产生不良后果的检查和治疗；</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（二）由于患者体质特殊或者病情危笃，可能对患者产生不良后果和危险的检查和治疗；</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（三）收费可能对患者造成较大经济负担的检查和治疗。</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6.医疗美容：</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是指运用手术、药物、医疗器械以及其他具有创伤性或者侵入性的医学技术方法对人的容貌和人体各部位形态进行的修复与再塑。</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7.医疗纠纷调解组织：</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是指本保险合同保险人认可的医疗纠纷调解组织。主要负责为被保险人提供医疗纠纷案件调解服务。</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8.发现期：</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是指保险合同中约定的从保险期间到期日之后的一段时间。保险人对在保险期间或者追溯期内发生的且患方在该段时间内（即发现期内）首次向被保险人提出人身损害赔偿请求的保险事故按照本保险合同的约定承担赔偿责任。</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9.未满期保险费：</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是指保险人应退还的剩余保险期间的保险费，未满期保险费按照以下公式计算：</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未满期保险费=保险费×（合同解除之日与保险期间截止日期间天数/保险期间天数）×（累计责任限额－累计赔偿金额）/累计责任限额</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累计赔偿金额=已决赔款金额+未决赔款金额</w:t>
      </w:r>
      <w:r/>
    </w:p>
    <w:p>
      <w:pPr>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未决赔款是指赔偿处理中心确定的案件估损金额。如投保人对未决赔款金额有异议，则保险人在未决案件赔偿结案后再向投保人退还未满期保险费。</w:t>
      </w:r>
      <w:r/>
    </w:p>
    <w:p>
      <w:pPr>
        <w:pStyle w:val="1096"/>
        <w:ind w:firstLine="480"/>
        <w:jc w:val="left"/>
        <w:spacing w:line="360" w:lineRule="auto"/>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b/>
          <w:bCs/>
          <w:szCs w:val="21"/>
          <w:lang w:bidi="ar"/>
        </w:rPr>
      </w:pPr>
      <w:r>
        <w:rPr>
          <w:rFonts w:hint="eastAsia" w:ascii="宋体" w:hAnsi="宋体" w:cs="宋体"/>
          <w:b/>
          <w:bCs/>
          <w:szCs w:val="21"/>
          <w:lang w:bidi="ar"/>
        </w:rPr>
        <w:t xml:space="preserve">医疗机构医疗责任保险附加条款</w:t>
      </w:r>
      <w:r/>
    </w:p>
    <w:p>
      <w:pPr>
        <w:ind w:firstLine="422"/>
        <w:jc w:val="left"/>
        <w:spacing w:line="360" w:lineRule="auto"/>
        <w:rPr>
          <w:rFonts w:hint="eastAsia" w:ascii="宋体" w:hAnsi="宋体" w:cs="宋体"/>
          <w:b/>
          <w:szCs w:val="21"/>
          <w:lang w:val="zh-CN" w:bidi="zh-CN"/>
        </w:rPr>
      </w:pPr>
      <w:r>
        <w:rPr>
          <w:rFonts w:hint="eastAsia" w:ascii="宋体" w:hAnsi="宋体" w:cs="宋体"/>
          <w:b/>
          <w:bCs/>
          <w:szCs w:val="21"/>
          <w:lang w:bidi="zh-CN"/>
        </w:rPr>
        <w:t xml:space="preserve">1、</w:t>
      </w:r>
      <w:r>
        <w:rPr>
          <w:rFonts w:hint="eastAsia" w:ascii="宋体" w:hAnsi="宋体" w:cs="宋体"/>
          <w:b/>
          <w:szCs w:val="21"/>
          <w:lang w:val="zh-CN" w:bidi="zh-CN"/>
        </w:rPr>
        <w:t xml:space="preserve">附加医疗产品责任保险条款</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总则</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第一条</w:t>
      </w:r>
      <w:r>
        <w:rPr>
          <w:rFonts w:hint="eastAsia" w:ascii="宋体" w:hAnsi="宋体" w:cs="宋体"/>
          <w:szCs w:val="21"/>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第二条</w:t>
      </w:r>
      <w:r>
        <w:rPr>
          <w:rFonts w:hint="eastAsia" w:ascii="宋体" w:hAnsi="宋体" w:cs="宋体"/>
          <w:szCs w:val="21"/>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widowControl/>
        <w:rPr>
          <w:rFonts w:hint="eastAsia" w:ascii="宋体" w:hAnsi="宋体" w:cs="宋体"/>
          <w:szCs w:val="21"/>
        </w:rPr>
      </w:pPr>
      <w:r>
        <w:rPr>
          <w:rFonts w:hint="eastAsia" w:ascii="宋体" w:hAnsi="宋体" w:cs="宋体"/>
          <w:b/>
          <w:bCs/>
          <w:szCs w:val="21"/>
          <w:lang w:bidi="ar"/>
        </w:rPr>
        <w:t xml:space="preserve">保险责任</w:t>
      </w:r>
      <w:r/>
    </w:p>
    <w:p>
      <w:pPr>
        <w:ind w:firstLine="422"/>
        <w:jc w:val="left"/>
        <w:spacing w:line="360" w:lineRule="auto"/>
        <w:rPr>
          <w:rFonts w:hint="eastAsia" w:ascii="宋体" w:hAnsi="宋体" w:cs="宋体"/>
          <w:szCs w:val="21"/>
          <w:lang w:bidi="ar"/>
        </w:rPr>
      </w:pPr>
      <w:r>
        <w:rPr>
          <w:rFonts w:hint="eastAsia" w:ascii="宋体" w:hAnsi="宋体" w:cs="宋体"/>
          <w:b/>
          <w:bCs/>
          <w:szCs w:val="21"/>
          <w:lang w:bidi="ar"/>
        </w:rPr>
        <w:t xml:space="preserve">第三条</w:t>
      </w:r>
      <w:r>
        <w:rPr>
          <w:rFonts w:hint="eastAsia" w:ascii="宋体" w:hAnsi="宋体" w:cs="宋体"/>
          <w:szCs w:val="21"/>
          <w:lang w:bidi="ar"/>
        </w:rPr>
        <w:t xml:space="preserve"> 在保险单中列明的保险期间或者追溯期内，被保险人或者其医务人员在从事与其资格相符的诊疗活动中，因药品、消毒产品、医疗器械的缺陷或者输入不合格的血液造成患者受到人身损害，患者或者其近亲属或者其代理人在保险期间内或者发现期内首次向被保险人提出人身损害赔偿请求，依照中华人民共和国法律（不包括香港、澳门、台湾地区法律，下同）应由被保险人承担的经济赔偿责任，保险人按照本保险合同的约定负责赔偿。</w:t>
      </w:r>
      <w:r/>
    </w:p>
    <w:p>
      <w:pPr>
        <w:jc w:val="center"/>
        <w:spacing w:line="360" w:lineRule="auto"/>
        <w:rPr>
          <w:rFonts w:hint="eastAsia" w:ascii="宋体" w:hAnsi="宋体" w:cs="宋体"/>
          <w:b/>
          <w:szCs w:val="21"/>
        </w:rPr>
      </w:pPr>
      <w:r>
        <w:rPr>
          <w:rFonts w:hint="eastAsia" w:ascii="宋体" w:hAnsi="宋体" w:cs="宋体"/>
          <w:b/>
          <w:szCs w:val="21"/>
        </w:rPr>
        <w:t xml:space="preserve">责任免除</w:t>
      </w:r>
      <w:r/>
    </w:p>
    <w:p>
      <w:pPr>
        <w:ind w:firstLine="422"/>
        <w:spacing w:line="360" w:lineRule="auto"/>
        <w:rPr>
          <w:rFonts w:hint="eastAsia" w:ascii="宋体" w:hAnsi="宋体" w:cs="宋体"/>
          <w:b/>
          <w:bCs/>
          <w:szCs w:val="21"/>
          <w:lang w:bidi="ar"/>
        </w:rPr>
      </w:pPr>
      <w:r>
        <w:rPr>
          <w:rFonts w:hint="eastAsia" w:ascii="宋体" w:hAnsi="宋体" w:cs="宋体"/>
          <w:b/>
          <w:szCs w:val="21"/>
        </w:rPr>
        <w:t xml:space="preserve">第四条 </w:t>
      </w:r>
      <w:r>
        <w:rPr>
          <w:rFonts w:hint="eastAsia" w:ascii="宋体" w:hAnsi="宋体" w:cs="宋体"/>
          <w:b/>
          <w:bCs/>
          <w:szCs w:val="21"/>
          <w:lang w:bidi="ar"/>
        </w:rPr>
        <w:t xml:space="preserve">被保险人或者其医务人员使用未经国家有关部门批准使用的药品、消毒产品和医疗器械的，或者未使用卫生行政部门指定血站提供的血液的，造成的损失、费用和责任，保险人不负责赔偿。</w:t>
      </w:r>
      <w:r/>
    </w:p>
    <w:p>
      <w:pPr>
        <w:ind w:firstLine="422"/>
        <w:jc w:val="left"/>
        <w:spacing w:line="360" w:lineRule="auto"/>
        <w:rPr>
          <w:rFonts w:hint="eastAsia" w:ascii="宋体" w:hAnsi="宋体" w:cs="宋体"/>
          <w:b/>
          <w:szCs w:val="21"/>
          <w:lang w:val="zh-CN" w:bidi="zh-CN"/>
        </w:rPr>
      </w:pPr>
      <w:r>
        <w:rPr>
          <w:rFonts w:hint="eastAsia" w:ascii="宋体" w:hAnsi="宋体" w:cs="宋体"/>
          <w:b/>
          <w:szCs w:val="21"/>
          <w:lang w:bidi="zh-CN"/>
        </w:rPr>
        <w:t xml:space="preserve">2、</w:t>
      </w:r>
      <w:r>
        <w:rPr>
          <w:rFonts w:hint="eastAsia" w:ascii="宋体" w:hAnsi="宋体" w:cs="宋体"/>
          <w:b/>
          <w:szCs w:val="21"/>
          <w:lang w:val="zh-CN" w:bidi="zh-CN"/>
        </w:rPr>
        <w:t xml:space="preserve">附加外</w:t>
      </w:r>
      <w:r>
        <w:rPr>
          <w:rFonts w:hint="eastAsia" w:ascii="宋体" w:hAnsi="宋体" w:cs="宋体"/>
          <w:b/>
          <w:szCs w:val="21"/>
          <w:lang w:bidi="zh-CN"/>
        </w:rPr>
        <w:t xml:space="preserve">部</w:t>
      </w:r>
      <w:r>
        <w:rPr>
          <w:rFonts w:hint="eastAsia" w:ascii="宋体" w:hAnsi="宋体" w:cs="宋体"/>
          <w:b/>
          <w:szCs w:val="21"/>
          <w:lang w:val="zh-CN" w:bidi="zh-CN"/>
        </w:rPr>
        <w:t xml:space="preserve">医务人员医疗责任保险条款</w:t>
      </w:r>
      <w:r/>
    </w:p>
    <w:p>
      <w:pPr>
        <w:jc w:val="center"/>
        <w:spacing w:line="360" w:lineRule="auto"/>
        <w:rPr>
          <w:rFonts w:hint="eastAsia" w:ascii="宋体" w:hAnsi="宋体" w:cs="宋体"/>
          <w:b/>
          <w:szCs w:val="21"/>
        </w:rPr>
      </w:pPr>
      <w:r>
        <w:rPr>
          <w:rFonts w:hint="eastAsia" w:ascii="宋体" w:hAnsi="宋体" w:cs="宋体"/>
          <w:b/>
          <w:szCs w:val="21"/>
        </w:rPr>
        <w:t xml:space="preserve">总则</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第一条</w:t>
      </w:r>
      <w:r>
        <w:rPr>
          <w:rFonts w:hint="eastAsia" w:ascii="宋体" w:hAnsi="宋体" w:cs="宋体"/>
          <w:szCs w:val="21"/>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第二条</w:t>
      </w:r>
      <w:r>
        <w:rPr>
          <w:rFonts w:hint="eastAsia" w:ascii="宋体" w:hAnsi="宋体" w:cs="宋体"/>
          <w:szCs w:val="21"/>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rPr>
          <w:rFonts w:hint="eastAsia" w:ascii="宋体" w:hAnsi="宋体" w:cs="宋体"/>
          <w:b/>
          <w:szCs w:val="21"/>
        </w:rPr>
      </w:pPr>
      <w:r>
        <w:rPr>
          <w:rFonts w:hint="eastAsia" w:ascii="宋体" w:hAnsi="宋体" w:cs="宋体"/>
          <w:b/>
          <w:szCs w:val="21"/>
        </w:rPr>
        <w:t xml:space="preserve">保险责任</w:t>
      </w:r>
      <w:r/>
    </w:p>
    <w:p>
      <w:pPr>
        <w:ind w:firstLine="422"/>
        <w:spacing w:line="360" w:lineRule="auto"/>
        <w:rPr>
          <w:rFonts w:hint="eastAsia" w:ascii="宋体" w:hAnsi="宋体" w:cs="宋体"/>
          <w:b/>
          <w:szCs w:val="21"/>
        </w:rPr>
      </w:pPr>
      <w:r>
        <w:rPr>
          <w:rFonts w:hint="eastAsia" w:ascii="宋体" w:hAnsi="宋体" w:cs="宋体"/>
          <w:b/>
          <w:bCs/>
          <w:szCs w:val="21"/>
        </w:rPr>
        <w:t xml:space="preserve">第三条 </w:t>
      </w:r>
      <w:r>
        <w:rPr>
          <w:rFonts w:hint="eastAsia" w:ascii="宋体" w:hAnsi="宋体" w:cs="宋体"/>
          <w:szCs w:val="21"/>
        </w:rPr>
        <w:t xml:space="preserve">本保险合同承保的医务人员包括</w:t>
      </w:r>
      <w:r>
        <w:rPr>
          <w:rFonts w:hint="eastAsia" w:ascii="宋体" w:hAnsi="宋体" w:cs="宋体"/>
          <w:szCs w:val="21"/>
          <w:lang w:bidi="ar"/>
        </w:rPr>
        <w:t xml:space="preserve">外请会诊医务人员、符</w:t>
      </w:r>
      <w:r>
        <w:rPr>
          <w:rFonts w:hint="eastAsia" w:ascii="宋体" w:hAnsi="宋体" w:cs="宋体"/>
          <w:szCs w:val="21"/>
          <w:lang w:bidi="ar"/>
        </w:rPr>
        <w:t xml:space="preserve">合多点执业条件的医务人员；在被保险医疗机构进行城乡医院对口支援、支援基层，与被保险医疗机构签订医疗机构帮扶或者托管协议、来自同一医疗集团或者同一医疗联合体在被保险医疗机构多点执业的医务人员；在被保险医疗机构参加慈善或者公益性巡回医疗、义诊（指按照《卫生部关于组织义诊活动实行备案管理的通知》（卫医发[2001]365号）的要求，提供医疗、预防、保健等咨询服务的非商业性社会公益活动）、突发事件或者灾害事故医疗救援工作，参与实施基本和重大公共卫生服务项目的医务人员以及在被保险医疗机构依法从事诊疗活动的其他医务人员</w:t>
      </w:r>
      <w:r>
        <w:rPr>
          <w:rFonts w:hint="eastAsia" w:ascii="宋体" w:hAnsi="宋体" w:cs="宋体"/>
          <w:b/>
          <w:szCs w:val="21"/>
        </w:rPr>
        <w:t xml:space="preserve">。</w:t>
      </w:r>
      <w:r/>
    </w:p>
    <w:p>
      <w:pPr>
        <w:jc w:val="center"/>
        <w:spacing w:line="360" w:lineRule="auto"/>
        <w:rPr>
          <w:rFonts w:hint="eastAsia" w:ascii="宋体" w:hAnsi="宋体" w:cs="宋体"/>
          <w:b/>
          <w:szCs w:val="21"/>
        </w:rPr>
      </w:pPr>
      <w:r>
        <w:rPr>
          <w:rFonts w:hint="eastAsia" w:ascii="宋体" w:hAnsi="宋体" w:cs="宋体"/>
          <w:b/>
          <w:szCs w:val="21"/>
        </w:rPr>
        <w:t xml:space="preserve">责任免除</w:t>
      </w:r>
      <w:r/>
    </w:p>
    <w:p>
      <w:pPr>
        <w:ind w:firstLine="422"/>
        <w:spacing w:line="360" w:lineRule="auto"/>
        <w:rPr>
          <w:rFonts w:hint="eastAsia" w:ascii="宋体" w:hAnsi="宋体" w:cs="宋体"/>
          <w:b/>
          <w:szCs w:val="21"/>
        </w:rPr>
      </w:pPr>
      <w:r>
        <w:rPr>
          <w:rFonts w:hint="eastAsia" w:ascii="宋体" w:hAnsi="宋体" w:cs="宋体"/>
          <w:b/>
          <w:szCs w:val="21"/>
        </w:rPr>
        <w:t xml:space="preserve">（一）医务人员从事与其资格不符的诊疗护理活动造成的损失、费用和责任，保险人不负责赔偿；</w:t>
      </w:r>
      <w:r/>
    </w:p>
    <w:p>
      <w:pPr>
        <w:ind w:firstLine="422"/>
        <w:spacing w:line="360" w:lineRule="auto"/>
        <w:rPr>
          <w:rFonts w:hint="eastAsia" w:ascii="宋体" w:hAnsi="宋体" w:cs="宋体"/>
          <w:b/>
          <w:szCs w:val="21"/>
        </w:rPr>
      </w:pPr>
      <w:r>
        <w:rPr>
          <w:rFonts w:hint="eastAsia" w:ascii="宋体" w:hAnsi="宋体" w:cs="宋体"/>
          <w:b/>
          <w:szCs w:val="21"/>
        </w:rPr>
        <w:t xml:space="preserve">（二）医务人员的会诊费用，保险人不负责赔偿；</w:t>
      </w:r>
      <w:r/>
    </w:p>
    <w:p>
      <w:pPr>
        <w:ind w:firstLine="422"/>
        <w:spacing w:line="360" w:lineRule="auto"/>
        <w:rPr>
          <w:rFonts w:hint="eastAsia" w:ascii="宋体" w:hAnsi="宋体" w:cs="宋体"/>
          <w:b/>
          <w:szCs w:val="21"/>
        </w:rPr>
      </w:pPr>
      <w:r>
        <w:rPr>
          <w:rFonts w:hint="eastAsia" w:ascii="宋体" w:hAnsi="宋体" w:cs="宋体"/>
          <w:b/>
          <w:szCs w:val="21"/>
        </w:rPr>
        <w:t xml:space="preserve">（三）未经被保险人正式批准，被保险人的医务人员或者患方自行外请的医务人员造成的损失、费用和责任，保险人不负责赔偿。</w:t>
      </w:r>
      <w:r/>
    </w:p>
    <w:p>
      <w:pPr>
        <w:ind w:firstLine="422"/>
        <w:jc w:val="left"/>
        <w:spacing w:line="360" w:lineRule="auto"/>
        <w:rPr>
          <w:rFonts w:hint="eastAsia" w:ascii="宋体" w:hAnsi="宋体" w:cs="宋体"/>
          <w:b/>
          <w:szCs w:val="21"/>
          <w:lang w:val="zh-CN" w:bidi="zh-CN"/>
        </w:rPr>
      </w:pPr>
      <w:r>
        <w:rPr>
          <w:rFonts w:hint="eastAsia" w:ascii="宋体" w:hAnsi="宋体" w:cs="宋体"/>
          <w:b/>
          <w:szCs w:val="21"/>
          <w:lang w:bidi="zh-CN"/>
        </w:rPr>
        <w:t xml:space="preserve">3</w:t>
      </w:r>
      <w:r>
        <w:rPr>
          <w:rFonts w:hint="eastAsia" w:ascii="宋体" w:hAnsi="宋体" w:cs="宋体"/>
          <w:b/>
          <w:szCs w:val="21"/>
          <w:lang w:val="zh-CN" w:bidi="zh-CN"/>
        </w:rPr>
        <w:t xml:space="preserve">、</w:t>
      </w:r>
      <w:r>
        <w:rPr>
          <w:rStyle w:val="901"/>
          <w:rFonts w:hint="eastAsia" w:ascii="宋体" w:hAnsi="宋体" w:cs="宋体"/>
          <w:szCs w:val="21"/>
          <w:lang w:val="zh-CN" w:bidi="zh-CN"/>
        </w:rPr>
        <w:t xml:space="preserve">附加精神损害赔偿责任保险条款</w:t>
      </w:r>
      <w:r/>
    </w:p>
    <w:p>
      <w:pPr>
        <w:jc w:val="center"/>
        <w:spacing w:line="360" w:lineRule="auto"/>
        <w:widowControl/>
        <w:rPr>
          <w:rFonts w:hint="eastAsia" w:ascii="宋体" w:hAnsi="宋体" w:cs="宋体"/>
          <w:szCs w:val="21"/>
        </w:rPr>
      </w:pPr>
      <w:r>
        <w:rPr>
          <w:rStyle w:val="901"/>
          <w:rFonts w:hint="eastAsia" w:ascii="宋体" w:hAnsi="宋体" w:cs="宋体"/>
          <w:szCs w:val="21"/>
        </w:rPr>
        <w:t xml:space="preserve">附加精神损害赔偿责任保险条款</w:t>
      </w:r>
      <w:r/>
    </w:p>
    <w:p>
      <w:pPr>
        <w:jc w:val="center"/>
        <w:spacing w:line="360" w:lineRule="auto"/>
        <w:widowControl/>
        <w:rPr>
          <w:rFonts w:hint="eastAsia" w:ascii="宋体" w:hAnsi="宋体" w:cs="宋体"/>
          <w:b/>
          <w:bCs/>
          <w:szCs w:val="21"/>
        </w:rPr>
      </w:pPr>
      <w:r>
        <w:rPr>
          <w:rFonts w:hint="eastAsia" w:ascii="宋体" w:hAnsi="宋体" w:cs="宋体"/>
          <w:b/>
          <w:bCs/>
          <w:szCs w:val="21"/>
        </w:rPr>
        <w:t xml:space="preserve">总则</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第一条</w:t>
      </w:r>
      <w:r>
        <w:rPr>
          <w:rFonts w:hint="eastAsia" w:ascii="宋体" w:hAnsi="宋体" w:cs="宋体"/>
          <w:szCs w:val="21"/>
          <w:lang w:bidi="ar"/>
        </w:rPr>
        <w:t xml:space="preserve"> 在投保《医疗机构医疗责任保险条款》（以下简称主险）的基础上，投保人可以投保本附加险。主险合同效力终止，附加险合同效力亦同时终止；主险合同无效，附加险合同亦无效。</w:t>
      </w:r>
      <w:r/>
    </w:p>
    <w:p>
      <w:pPr>
        <w:ind w:firstLine="422"/>
        <w:jc w:val="left"/>
        <w:spacing w:line="360" w:lineRule="auto"/>
        <w:widowControl/>
        <w:rPr>
          <w:rFonts w:hint="eastAsia" w:ascii="宋体" w:hAnsi="宋体" w:cs="宋体"/>
          <w:szCs w:val="21"/>
        </w:rPr>
      </w:pPr>
      <w:r>
        <w:rPr>
          <w:rFonts w:hint="eastAsia" w:ascii="宋体" w:hAnsi="宋体" w:cs="宋体"/>
          <w:b/>
          <w:bCs/>
          <w:szCs w:val="21"/>
          <w:lang w:bidi="ar"/>
        </w:rPr>
        <w:t xml:space="preserve">第二条</w:t>
      </w:r>
      <w:r>
        <w:rPr>
          <w:rFonts w:hint="eastAsia" w:ascii="宋体" w:hAnsi="宋体" w:cs="宋体"/>
          <w:szCs w:val="21"/>
          <w:lang w:bidi="ar"/>
        </w:rPr>
        <w:t xml:space="preserve"> 附加险合同未约定事项，以主险合同为准；主险合同与附加险合同相抵触之处，以附加险合同为准。凡涉及附加险合同的约定，均应采用书面形式。</w:t>
      </w:r>
      <w:r/>
    </w:p>
    <w:p>
      <w:pPr>
        <w:jc w:val="center"/>
        <w:spacing w:line="360" w:lineRule="auto"/>
        <w:widowControl/>
        <w:rPr>
          <w:rFonts w:hint="eastAsia" w:ascii="宋体" w:hAnsi="宋体" w:cs="宋体"/>
          <w:b/>
          <w:bCs/>
          <w:szCs w:val="21"/>
        </w:rPr>
      </w:pPr>
      <w:r>
        <w:rPr>
          <w:rFonts w:hint="eastAsia" w:ascii="宋体" w:hAnsi="宋体" w:cs="宋体"/>
          <w:b/>
          <w:bCs/>
          <w:szCs w:val="21"/>
        </w:rPr>
        <w:t xml:space="preserve">保险责任</w:t>
      </w:r>
      <w:r/>
    </w:p>
    <w:p>
      <w:pPr>
        <w:ind w:firstLine="422"/>
        <w:spacing w:line="360" w:lineRule="auto"/>
        <w:widowControl/>
        <w:rPr>
          <w:rFonts w:hint="eastAsia" w:ascii="宋体" w:hAnsi="宋体" w:cs="宋体"/>
          <w:szCs w:val="21"/>
        </w:rPr>
      </w:pPr>
      <w:r>
        <w:rPr>
          <w:rStyle w:val="901"/>
          <w:rFonts w:hint="eastAsia" w:ascii="宋体" w:hAnsi="宋体" w:cs="宋体"/>
          <w:szCs w:val="21"/>
        </w:rPr>
        <w:t xml:space="preserve">第三条 </w:t>
      </w:r>
      <w:r>
        <w:rPr>
          <w:rFonts w:hint="eastAsia" w:ascii="宋体" w:hAnsi="宋体" w:cs="宋体"/>
          <w:szCs w:val="21"/>
          <w:lang w:bidi="ar"/>
        </w:rPr>
        <w:t xml:space="preserve">在保险单中列明的保险期间或者追溯期内，被保险人或者其医务人员在从事与其资格相符的诊疗活动中，发生下列情形，患者或者其近亲属或者其代理人在保险期间内首次向被保险人提出</w:t>
      </w:r>
      <w:r>
        <w:rPr>
          <w:rFonts w:hint="eastAsia" w:ascii="宋体" w:hAnsi="宋体" w:cs="宋体"/>
          <w:szCs w:val="21"/>
        </w:rPr>
        <w:t xml:space="preserve">精神损害赔偿请求，</w:t>
      </w:r>
      <w:r>
        <w:rPr>
          <w:rFonts w:hint="eastAsia" w:ascii="宋体" w:hAnsi="宋体" w:cs="宋体"/>
          <w:szCs w:val="21"/>
          <w:lang w:bidi="ar"/>
        </w:rPr>
        <w:t xml:space="preserve">依照中华人民共和国法律（不包括香港、澳门、台湾地区法律，下同）应由被保险人承担的</w:t>
      </w:r>
      <w:r>
        <w:rPr>
          <w:rFonts w:hint="eastAsia" w:ascii="宋体" w:hAnsi="宋体" w:cs="宋体"/>
          <w:szCs w:val="21"/>
        </w:rPr>
        <w:t xml:space="preserve">精神损害</w:t>
      </w:r>
      <w:r>
        <w:rPr>
          <w:rFonts w:hint="eastAsia" w:ascii="宋体" w:hAnsi="宋体" w:cs="宋体"/>
          <w:szCs w:val="21"/>
          <w:lang w:bidi="ar"/>
        </w:rPr>
        <w:t xml:space="preserve">赔偿责任，保险人按照本保险合同的约定负责赔偿</w:t>
      </w:r>
      <w:r>
        <w:rPr>
          <w:rFonts w:hint="eastAsia" w:ascii="宋体" w:hAnsi="宋体" w:cs="宋体"/>
          <w:szCs w:val="21"/>
        </w:rPr>
        <w:t xml:space="preserve">。</w:t>
      </w:r>
      <w:r/>
    </w:p>
    <w:p>
      <w:pPr>
        <w:ind w:firstLine="422"/>
        <w:jc w:val="left"/>
        <w:spacing w:line="360" w:lineRule="auto"/>
        <w:rPr>
          <w:rFonts w:hint="eastAsia" w:ascii="宋体" w:hAnsi="宋体" w:cs="宋体"/>
          <w:b/>
          <w:szCs w:val="21"/>
          <w:lang w:bidi="zh-CN"/>
        </w:rPr>
      </w:pPr>
      <w:r>
        <w:rPr>
          <w:rFonts w:hint="eastAsia" w:ascii="宋体" w:hAnsi="宋体" w:cs="宋体"/>
          <w:b/>
          <w:szCs w:val="21"/>
          <w:lang w:bidi="zh-CN"/>
        </w:rPr>
        <w:t xml:space="preserve">4、错误和遗漏条款</w:t>
      </w:r>
      <w:r/>
    </w:p>
    <w:p>
      <w:pPr>
        <w:ind w:firstLine="420"/>
        <w:spacing w:line="360" w:lineRule="auto"/>
        <w:widowControl/>
        <w:rPr>
          <w:rFonts w:hint="eastAsia" w:ascii="宋体" w:hAnsi="宋体" w:cs="宋体"/>
          <w:szCs w:val="21"/>
        </w:rPr>
      </w:pPr>
      <w:r>
        <w:rPr>
          <w:rFonts w:hint="eastAsia" w:ascii="宋体" w:hAnsi="宋体" w:cs="宋体"/>
          <w:szCs w:val="21"/>
        </w:rPr>
        <w:t xml:space="preserve">兹经双方同意，本保险项下的赔偿责任不因被保险人非故意地延迟、错误或遗漏向保险人申报有关变更或其它有关信息而被拒负，一旦被保险人明白其疏忽或遗漏应在合理的时间内尽快向本公司申报，并根据保险人要求支付自风险增加之日起的适当的附加保险费。</w:t>
      </w:r>
      <w:r/>
    </w:p>
    <w:p>
      <w:pPr>
        <w:ind w:firstLine="422"/>
        <w:jc w:val="left"/>
        <w:spacing w:line="360" w:lineRule="auto"/>
        <w:rPr>
          <w:rFonts w:hint="eastAsia" w:ascii="宋体" w:hAnsi="宋体" w:cs="宋体"/>
          <w:b/>
          <w:szCs w:val="21"/>
          <w:lang w:bidi="zh-CN"/>
        </w:rPr>
      </w:pPr>
      <w:r>
        <w:rPr>
          <w:rFonts w:hint="eastAsia" w:ascii="宋体" w:hAnsi="宋体" w:cs="宋体"/>
          <w:b/>
          <w:szCs w:val="21"/>
          <w:lang w:bidi="zh-CN"/>
        </w:rPr>
        <w:t xml:space="preserve">5、违反条件条款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它保障的有效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医疗责任保险费率规章</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1、保险费计算公式</w:t>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（一）首次投保保险费计算公式</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主险保险费 = （诊疗人次数 * 诊疗人次数基础保险费率 + 出院人数 * 出院人数基础保险费率 + 住院病人手术人次数 * 住院病人手术人次数基础保险费率）</w:t>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（二）续保保险费计算公式</w:t>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续保保险费 = （诊疗人次数 * 诊疗人次数基础保险费率 + 出院人数 * 出院人数基础保险费率 + 住院病人手术人次数 * 住院病人手术人次数基础保险费率） * 合作系数</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根据上一保险年度医院在本项目上的合作程度，包括医务人员执业责任保险及医疗意外险的保费规模和险种赔付率，合作系数为0.85-1。</w:t>
      </w:r>
      <w:r/>
    </w:p>
    <w:tbl>
      <w:tblPr>
        <w:tblStyle w:val="86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02"/>
        <w:gridCol w:w="2723"/>
        <w:gridCol w:w="1907"/>
      </w:tblGrid>
      <w:tr>
        <w:trPr>
          <w:trHeight w:val="408"/>
        </w:trPr>
        <w:tc>
          <w:tcPr>
            <w:tcW w:w="2378" w:type="pct"/>
            <w:vAlign w:val="center"/>
            <w:textDirection w:val="lrTb"/>
            <w:noWrap w:val="false"/>
          </w:tcPr>
          <w:p>
            <w:pPr>
              <w:jc w:val="center"/>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风险分担保费规模</w:t>
            </w:r>
            <w:r/>
          </w:p>
        </w:tc>
        <w:tc>
          <w:tcPr>
            <w:tcW w:w="1541" w:type="pct"/>
            <w:vAlign w:val="center"/>
            <w:textDirection w:val="lrTb"/>
            <w:noWrap w:val="false"/>
          </w:tcPr>
          <w:p>
            <w:pPr>
              <w:jc w:val="center"/>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风险分担险种赔付率</w:t>
            </w:r>
            <w:r/>
          </w:p>
        </w:tc>
        <w:tc>
          <w:tcPr>
            <w:tcW w:w="1079" w:type="pct"/>
            <w:vAlign w:val="center"/>
            <w:textDirection w:val="lrTb"/>
            <w:noWrap w:val="false"/>
          </w:tcPr>
          <w:p>
            <w:pPr>
              <w:jc w:val="center"/>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续保</w:t>
            </w:r>
            <w:r>
              <w:rPr>
                <w:rFonts w:hint="eastAsia" w:ascii="宋体" w:hAnsi="宋体" w:cs="宋体"/>
                <w:b/>
                <w:szCs w:val="21"/>
                <w:highlight w:val="none"/>
                <w:lang w:val="zh-CN"/>
              </w:rPr>
              <w:t xml:space="preserve">合作系数</w:t>
            </w:r>
            <w:r/>
          </w:p>
        </w:tc>
      </w:tr>
      <w:tr>
        <w:trPr>
          <w:trHeight w:val="408"/>
        </w:trPr>
        <w:tc>
          <w:tcPr>
            <w:tcW w:w="2378" w:type="pct"/>
            <w:vAlign w:val="center"/>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小于</w:t>
            </w:r>
            <w:r>
              <w:rPr>
                <w:rFonts w:hint="eastAsia" w:ascii="宋体" w:hAnsi="宋体" w:cs="宋体"/>
                <w:bCs/>
                <w:szCs w:val="21"/>
                <w:highlight w:val="none"/>
              </w:rPr>
              <w:t xml:space="preserve">800</w:t>
            </w:r>
            <w:r>
              <w:rPr>
                <w:rFonts w:hint="eastAsia" w:ascii="宋体" w:hAnsi="宋体" w:cs="宋体"/>
                <w:bCs/>
                <w:szCs w:val="21"/>
                <w:highlight w:val="none"/>
                <w:lang w:val="zh-CN"/>
              </w:rPr>
              <w:t xml:space="preserve">万</w:t>
            </w:r>
            <w:r/>
          </w:p>
        </w:tc>
        <w:tc>
          <w:tcPr>
            <w:tcW w:w="1541" w:type="pct"/>
            <w:vAlign w:val="center"/>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大于等于</w:t>
            </w:r>
            <w:r>
              <w:rPr>
                <w:rFonts w:hint="eastAsia" w:ascii="宋体" w:hAnsi="宋体" w:cs="宋体"/>
                <w:bCs/>
                <w:szCs w:val="21"/>
                <w:highlight w:val="none"/>
              </w:rPr>
              <w:t xml:space="preserve">45</w:t>
            </w:r>
            <w:r>
              <w:rPr>
                <w:rFonts w:hint="eastAsia" w:ascii="宋体" w:hAnsi="宋体" w:cs="宋体"/>
                <w:bCs/>
                <w:szCs w:val="21"/>
                <w:highlight w:val="none"/>
                <w:lang w:val="zh-CN"/>
              </w:rPr>
              <w:t xml:space="preserve">%</w:t>
            </w:r>
            <w:r/>
          </w:p>
        </w:tc>
        <w:tc>
          <w:tcPr>
            <w:tcW w:w="1079" w:type="pct"/>
            <w:vAlign w:val="center"/>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1</w:t>
            </w:r>
            <w:r/>
          </w:p>
        </w:tc>
      </w:tr>
      <w:tr>
        <w:trPr>
          <w:trHeight w:val="408"/>
        </w:trPr>
        <w:tc>
          <w:tcPr>
            <w:tcW w:w="2378" w:type="pct"/>
            <w:vAlign w:val="center"/>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rPr>
              <w:t xml:space="preserve">800</w:t>
            </w:r>
            <w:r>
              <w:rPr>
                <w:rFonts w:hint="eastAsia" w:ascii="宋体" w:hAnsi="宋体" w:cs="宋体"/>
                <w:bCs/>
                <w:szCs w:val="21"/>
                <w:highlight w:val="none"/>
                <w:lang w:val="zh-CN"/>
              </w:rPr>
              <w:t xml:space="preserve">万-1</w:t>
            </w:r>
            <w:r>
              <w:rPr>
                <w:rFonts w:hint="eastAsia" w:ascii="宋体" w:hAnsi="宋体" w:cs="宋体"/>
                <w:bCs/>
                <w:szCs w:val="21"/>
                <w:highlight w:val="none"/>
              </w:rPr>
              <w:t xml:space="preserve">200</w:t>
            </w:r>
            <w:r>
              <w:rPr>
                <w:rFonts w:hint="eastAsia" w:ascii="宋体" w:hAnsi="宋体" w:cs="宋体"/>
                <w:bCs/>
                <w:szCs w:val="21"/>
                <w:highlight w:val="none"/>
                <w:lang w:val="zh-CN"/>
              </w:rPr>
              <w:t xml:space="preserve">万（不含</w:t>
            </w:r>
            <w:r>
              <w:rPr>
                <w:rFonts w:hint="eastAsia" w:ascii="宋体" w:hAnsi="宋体" w:cs="宋体"/>
                <w:bCs/>
                <w:szCs w:val="21"/>
                <w:highlight w:val="none"/>
              </w:rPr>
              <w:t xml:space="preserve">800</w:t>
            </w:r>
            <w:r>
              <w:rPr>
                <w:rFonts w:hint="eastAsia" w:ascii="宋体" w:hAnsi="宋体" w:cs="宋体"/>
                <w:bCs/>
                <w:szCs w:val="21"/>
                <w:highlight w:val="none"/>
                <w:lang w:val="zh-CN"/>
              </w:rPr>
              <w:t xml:space="preserve">万）</w:t>
            </w:r>
            <w:r/>
          </w:p>
        </w:tc>
        <w:tc>
          <w:tcPr>
            <w:tcW w:w="1541" w:type="pct"/>
            <w:vAlign w:val="center"/>
            <w:vMerge w:val="restart"/>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小于</w:t>
            </w:r>
            <w:r>
              <w:rPr>
                <w:rFonts w:hint="eastAsia" w:ascii="宋体" w:hAnsi="宋体" w:cs="宋体"/>
                <w:bCs/>
                <w:szCs w:val="21"/>
                <w:highlight w:val="none"/>
              </w:rPr>
              <w:t xml:space="preserve">45</w:t>
            </w:r>
            <w:r>
              <w:rPr>
                <w:rFonts w:hint="eastAsia" w:ascii="宋体" w:hAnsi="宋体" w:cs="宋体"/>
                <w:bCs/>
                <w:szCs w:val="21"/>
                <w:highlight w:val="none"/>
                <w:lang w:val="zh-CN"/>
              </w:rPr>
              <w:t xml:space="preserve">%</w:t>
            </w:r>
            <w:r/>
          </w:p>
        </w:tc>
        <w:tc>
          <w:tcPr>
            <w:tcW w:w="1079"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lang w:val="zh-CN"/>
              </w:rPr>
              <w:t xml:space="preserve">0.9</w:t>
            </w:r>
            <w:r>
              <w:rPr>
                <w:rFonts w:hint="eastAsia" w:ascii="宋体" w:hAnsi="宋体" w:cs="宋体"/>
                <w:bCs/>
                <w:szCs w:val="21"/>
                <w:highlight w:val="none"/>
              </w:rPr>
              <w:t xml:space="preserve">5</w:t>
            </w:r>
            <w:r/>
          </w:p>
        </w:tc>
      </w:tr>
      <w:tr>
        <w:trPr>
          <w:trHeight w:val="408"/>
        </w:trPr>
        <w:tc>
          <w:tcPr>
            <w:tcW w:w="2378" w:type="pct"/>
            <w:vAlign w:val="center"/>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t xml:space="preserve">1</w:t>
            </w: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0万-</w:t>
            </w:r>
            <w:r>
              <w:rPr>
                <w:rFonts w:hint="eastAsia" w:ascii="宋体" w:hAnsi="宋体" w:cs="宋体"/>
                <w:bCs/>
                <w:szCs w:val="21"/>
                <w:highlight w:val="none"/>
              </w:rPr>
              <w:t xml:space="preserve">1500</w:t>
            </w:r>
            <w:r>
              <w:rPr>
                <w:rFonts w:hint="eastAsia" w:ascii="宋体" w:hAnsi="宋体" w:cs="宋体"/>
                <w:bCs/>
                <w:szCs w:val="21"/>
                <w:highlight w:val="none"/>
                <w:lang w:val="zh-CN"/>
              </w:rPr>
              <w:t xml:space="preserve">万（不含</w:t>
            </w: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00万）</w:t>
            </w:r>
            <w:r/>
          </w:p>
        </w:tc>
        <w:tc>
          <w:tcPr>
            <w:tcW w:w="1541" w:type="pct"/>
            <w:vAlign w:val="center"/>
            <w:vMerge w:val="continue"/>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079"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lang w:val="zh-CN"/>
              </w:rPr>
              <w:t xml:space="preserve">0.</w:t>
            </w:r>
            <w:r>
              <w:rPr>
                <w:rFonts w:hint="eastAsia" w:ascii="宋体" w:hAnsi="宋体" w:cs="宋体"/>
                <w:bCs/>
                <w:szCs w:val="21"/>
                <w:highlight w:val="none"/>
              </w:rPr>
              <w:t xml:space="preserve">9</w:t>
            </w:r>
            <w:r/>
          </w:p>
        </w:tc>
      </w:tr>
      <w:tr>
        <w:trPr>
          <w:trHeight w:val="408"/>
        </w:trPr>
        <w:tc>
          <w:tcPr>
            <w:tcW w:w="2378" w:type="pct"/>
            <w:vAlign w:val="center"/>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rPr>
              <w:t xml:space="preserve">15</w:t>
            </w:r>
            <w:r>
              <w:rPr>
                <w:rFonts w:hint="eastAsia" w:ascii="宋体" w:hAnsi="宋体" w:cs="宋体"/>
                <w:bCs/>
                <w:szCs w:val="21"/>
                <w:highlight w:val="none"/>
                <w:lang w:val="zh-CN"/>
              </w:rPr>
              <w:t xml:space="preserve">00万以上（</w:t>
            </w:r>
            <w:r>
              <w:rPr>
                <w:rFonts w:hint="eastAsia" w:ascii="宋体" w:hAnsi="宋体" w:cs="宋体"/>
                <w:bCs/>
                <w:szCs w:val="21"/>
                <w:highlight w:val="none"/>
              </w:rPr>
              <w:t xml:space="preserve">不含1500万</w:t>
            </w:r>
            <w:r>
              <w:rPr>
                <w:rFonts w:hint="eastAsia" w:ascii="宋体" w:hAnsi="宋体" w:cs="宋体"/>
                <w:bCs/>
                <w:szCs w:val="21"/>
                <w:highlight w:val="none"/>
                <w:lang w:val="zh-CN"/>
              </w:rPr>
              <w:t xml:space="preserve">）</w:t>
            </w:r>
            <w:r/>
          </w:p>
        </w:tc>
        <w:tc>
          <w:tcPr>
            <w:tcW w:w="1541" w:type="pct"/>
            <w:vAlign w:val="center"/>
            <w:vMerge w:val="continue"/>
            <w:textDirection w:val="lrTb"/>
            <w:noWrap w:val="false"/>
          </w:tcPr>
          <w:p>
            <w:pPr>
              <w:jc w:val="center"/>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079" w:type="pct"/>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lang w:val="zh-CN"/>
              </w:rPr>
              <w:t xml:space="preserve">0.</w:t>
            </w:r>
            <w:r>
              <w:rPr>
                <w:rFonts w:hint="eastAsia" w:ascii="宋体" w:hAnsi="宋体" w:cs="宋体"/>
                <w:bCs/>
                <w:szCs w:val="21"/>
                <w:highlight w:val="none"/>
              </w:rPr>
              <w:t xml:space="preserve">85</w:t>
            </w:r>
            <w:r/>
          </w:p>
        </w:tc>
      </w:tr>
    </w:tbl>
    <w:p>
      <w:pPr>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2、基础保险费率</w:t>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53"/>
        <w:gridCol w:w="2105"/>
        <w:gridCol w:w="1774"/>
        <w:gridCol w:w="2700"/>
      </w:tblGrid>
      <w:tr>
        <w:trPr>
          <w:jc w:val="center"/>
          <w:trHeight w:val="340"/>
        </w:trPr>
        <w:tc>
          <w:tcPr>
            <w:shd w:val="clear" w:color="auto" w:fill="f3f3f3"/>
            <w:tcW w:w="1275"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医疗机构等级</w:t>
            </w:r>
            <w:r/>
          </w:p>
        </w:tc>
        <w:tc>
          <w:tcPr>
            <w:shd w:val="clear" w:color="auto" w:fill="f3f3f3"/>
            <w:tcW w:w="1191"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诊疗人次数</w:t>
            </w:r>
            <w:r/>
          </w:p>
        </w:tc>
        <w:tc>
          <w:tcPr>
            <w:shd w:val="clear" w:color="auto" w:fill="f3f3f3"/>
            <w:tcW w:w="1004"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出院人数</w:t>
            </w:r>
            <w:r/>
          </w:p>
        </w:tc>
        <w:tc>
          <w:tcPr>
            <w:shd w:val="clear" w:color="auto" w:fill="f3f3f3"/>
            <w:tcW w:w="1528" w:type="pct"/>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住院病人手术人次数</w:t>
            </w:r>
            <w:r/>
          </w:p>
        </w:tc>
      </w:tr>
      <w:tr>
        <w:trPr>
          <w:jc w:val="center"/>
          <w:trHeight w:val="340"/>
        </w:trPr>
        <w:tc>
          <w:tcPr>
            <w:tcW w:w="1275" w:type="pct"/>
            <w:vAlign w:val="center"/>
            <w:textDirection w:val="lrTb"/>
            <w:noWrap w:val="false"/>
          </w:tcPr>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三级医院</w:t>
            </w:r>
            <w:r/>
          </w:p>
        </w:tc>
        <w:tc>
          <w:tcPr>
            <w:tcW w:w="1191"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元/人次</w:t>
            </w:r>
            <w:r/>
          </w:p>
        </w:tc>
        <w:tc>
          <w:tcPr>
            <w:tcW w:w="100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元/人</w:t>
            </w:r>
            <w:r/>
          </w:p>
        </w:tc>
        <w:tc>
          <w:tcPr>
            <w:tcW w:w="1528"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元/人次</w:t>
            </w:r>
            <w:r/>
          </w:p>
        </w:tc>
      </w:tr>
    </w:tbl>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注：1.诊疗人次数：指上年度所有诊疗工作的总人次数（包括互联网诊疗），统计界定原则为：①按挂号数统计，包括门诊、急诊、出诊、预约诊疗、单项健康检查、健康咨询指导（不含健康讲座）人次。患者1次就诊多次挂号,按实际诊疗次数统计,不包括根据医嘱进行的各项检查、治疗、处置工作量以及免疫接种、健康管理服务人次数；②未挂号就诊、本单位职工就诊及外出诊（不含外出会诊）不收取挂号费的，按实际诊疗人次统计。</w:t>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出院人数：指上年度内所有住院后出院的人数。包括医嘱离院、医嘱转其他医疗机构、非医嘱离院、死亡及其他人数，不含家庭病床撤床人数。统计界定原则：①“死亡”：包括已办住院手续后死亡、未办住院手续而实际上已收容入院的死亡者。②“其他”：指正常分娩和未产出院、未治和住院经检查无病出院、无并发症的人工流产或绝育手术出院者。</w:t>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3.住院病人手术人次数：指上年度有正规手术单或麻醉单施行手术的住院病人总数 (包括产科手术病人数)。同一病人本次在院就诊期间患有同一疾病或不同疾病施行多次手术者,按实际施行的手术次数统计。</w:t>
      </w:r>
      <w:r/>
    </w:p>
    <w:p>
      <w:pPr>
        <w:ind w:firstLine="420"/>
        <w:spacing w:line="360" w:lineRule="auto"/>
        <w:widowControl/>
        <w:rPr>
          <w:rFonts w:hint="eastAsia" w:ascii="宋体" w:hAnsi="宋体" w:cs="宋体"/>
          <w:bCs/>
          <w:szCs w:val="21"/>
        </w:rPr>
      </w:pPr>
      <w:r>
        <w:rPr>
          <w:rFonts w:hint="eastAsia" w:ascii="宋体" w:hAnsi="宋体" w:cs="宋体"/>
          <w:bCs/>
          <w:szCs w:val="21"/>
        </w:rPr>
      </w:r>
      <w:r/>
    </w:p>
    <w:p>
      <w:pPr>
        <w:ind w:firstLine="422"/>
        <w:spacing w:line="360" w:lineRule="auto"/>
        <w:rPr>
          <w:rFonts w:hint="eastAsia" w:ascii="宋体" w:hAnsi="宋体" w:cs="宋体"/>
          <w:b/>
          <w:bCs/>
          <w:szCs w:val="21"/>
        </w:rPr>
        <w:outlineLvl w:val="1"/>
      </w:pPr>
      <w:r>
        <w:rPr>
          <w:rFonts w:hint="eastAsia" w:ascii="宋体" w:hAnsi="宋体" w:cs="宋体"/>
          <w:b/>
          <w:bCs/>
          <w:szCs w:val="21"/>
        </w:rPr>
        <w:t xml:space="preserve">三、医疗责任保险案件赔偿处理办法 </w:t>
      </w:r>
      <w:r/>
    </w:p>
    <w:p>
      <w:pPr>
        <w:numPr>
          <w:ilvl w:val="0"/>
          <w:numId w:val="39"/>
        </w:numPr>
        <w:jc w:val="center"/>
        <w:spacing w:line="360" w:lineRule="auto"/>
        <w:rPr>
          <w:rFonts w:hint="eastAsia" w:ascii="宋体" w:hAnsi="宋体" w:cs="宋体"/>
          <w:b/>
          <w:bCs/>
          <w:szCs w:val="21"/>
        </w:rPr>
      </w:pPr>
      <w:r>
        <w:rPr>
          <w:rFonts w:hint="eastAsia" w:ascii="宋体" w:hAnsi="宋体" w:cs="宋体"/>
          <w:b/>
          <w:bCs/>
          <w:szCs w:val="21"/>
        </w:rPr>
        <w:t xml:space="preserve">总则</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为保护医疗机构、患者和供应方成员的合法权益，特制订本办法。</w:t>
      </w:r>
      <w:r/>
    </w:p>
    <w:p>
      <w:pPr>
        <w:numPr>
          <w:ilvl w:val="0"/>
          <w:numId w:val="39"/>
        </w:numPr>
        <w:jc w:val="center"/>
        <w:spacing w:line="360" w:lineRule="auto"/>
        <w:rPr>
          <w:rFonts w:hint="eastAsia" w:ascii="宋体" w:hAnsi="宋体" w:cs="宋体"/>
          <w:b/>
          <w:bCs/>
          <w:szCs w:val="21"/>
        </w:rPr>
      </w:pPr>
      <w:r>
        <w:rPr>
          <w:rFonts w:hint="eastAsia" w:ascii="宋体" w:hAnsi="宋体" w:cs="宋体"/>
          <w:b/>
          <w:bCs/>
          <w:szCs w:val="21"/>
        </w:rPr>
        <w:t xml:space="preserve">赔偿处理中心</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江泰保险经纪股份有限公司江苏营业部（以下简称江泰保险经纪）设立医疗责任保险案件管理中心（以下简称案管中心），案管中心下设医疗责任保险赔偿处理中心（以下简称赔处中心）负责南京鼓楼医院医疗责任保险案件的赔偿处理相关事宜。</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供应方首承公司和江泰保险经纪分别指定授权代表参加赔处中心相关工作。供应方首承公司授权代表应当具有不低于保单约定的每次事故赔偿限额的案件审批权限，并提供公司签章的授权文件。</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职责：负责各类案件的保险索赔工作；协商确定保险公司理赔需要的材料及核赔规则；接收案件评估岗、诉讼管理岗收集整理的保险案件索赔材料；与保险公司理赔人员进行对接，按时完成报案、索赔、结案相关工作，并保留书面证明材料；按照时效要求催促保险公司及时完成理赔工作；定期与保险公司对接案件未决及已决数据，并出具保险案件数据分析报告；保险案件索赔的其他工作。</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赔处中心应当遵循公正、公平、客观、科学的原则，依据事实和相关法律、法规、诊疗护理规范、保险合同等，对案件的定性、定责、定损、定赔进行审查，及时完成案件处理。</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供应方首承公司应指定专人负责本项目的理赔事宜，全力配合赔处中心的工作，如发生人员变动应及时通知经纪人。首承公司的授权代表应按时与江泰保险经纪就各类案件赔偿处理意见进行会商。</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赔处中心形成的预审意见、风险提示函等相关文件，由江泰保险经纪签章确认。</w:t>
      </w:r>
      <w:r/>
    </w:p>
    <w:p>
      <w:pPr>
        <w:numPr>
          <w:ilvl w:val="0"/>
          <w:numId w:val="39"/>
        </w:numPr>
        <w:jc w:val="center"/>
        <w:spacing w:line="360" w:lineRule="auto"/>
        <w:rPr>
          <w:rFonts w:hint="eastAsia" w:ascii="宋体" w:hAnsi="宋体" w:cs="宋体"/>
          <w:b/>
          <w:bCs/>
          <w:szCs w:val="21"/>
        </w:rPr>
      </w:pPr>
      <w:r>
        <w:rPr>
          <w:rFonts w:hint="eastAsia" w:ascii="宋体" w:hAnsi="宋体" w:cs="宋体"/>
          <w:b/>
          <w:bCs/>
          <w:szCs w:val="21"/>
        </w:rPr>
        <w:t xml:space="preserve">赔偿处理流程</w:t>
      </w:r>
      <w:r/>
    </w:p>
    <w:p>
      <w:pPr>
        <w:numPr>
          <w:ilvl w:val="0"/>
          <w:numId w:val="41"/>
        </w:numPr>
        <w:jc w:val="center"/>
        <w:spacing w:line="360" w:lineRule="auto"/>
        <w:rPr>
          <w:rFonts w:hint="eastAsia" w:ascii="宋体" w:hAnsi="宋体" w:cs="宋体"/>
          <w:b/>
          <w:szCs w:val="21"/>
        </w:rPr>
      </w:pPr>
      <w:r>
        <w:rPr>
          <w:rFonts w:hint="eastAsia" w:ascii="宋体" w:hAnsi="宋体" w:cs="宋体"/>
          <w:b/>
          <w:szCs w:val="21"/>
        </w:rPr>
        <w:t xml:space="preserve">医疗纠纷纠纷处理途径</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根据国家相关法律法规，医疗纠纷可以通过以下途径进行处理：自行和解、第三方调解、司法诉讼、行政调解和仲裁案件。</w:t>
      </w:r>
      <w:r/>
    </w:p>
    <w:p>
      <w:pPr>
        <w:numPr>
          <w:ilvl w:val="0"/>
          <w:numId w:val="41"/>
        </w:numPr>
        <w:jc w:val="center"/>
        <w:spacing w:line="360" w:lineRule="auto"/>
        <w:rPr>
          <w:rFonts w:hint="eastAsia" w:ascii="宋体" w:hAnsi="宋体" w:cs="宋体"/>
          <w:b/>
          <w:szCs w:val="21"/>
        </w:rPr>
      </w:pPr>
      <w:r>
        <w:rPr>
          <w:rFonts w:hint="eastAsia" w:ascii="宋体" w:hAnsi="宋体" w:cs="宋体"/>
          <w:b/>
          <w:szCs w:val="21"/>
        </w:rPr>
        <w:t xml:space="preserve">接转报案</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患者或其近亲属或其代理人首次向医疗机构提出赔偿请求的时间（即索赔时间）为保险出险时间，此时间以下列三个时间中发生在前的为准，保险人有权对出险时间进行核实。</w:t>
      </w:r>
      <w:r/>
    </w:p>
    <w:p>
      <w:pPr>
        <w:numPr>
          <w:ilvl w:val="0"/>
          <w:numId w:val="42"/>
        </w:numPr>
        <w:spacing w:line="360" w:lineRule="auto"/>
        <w:rPr>
          <w:rFonts w:hint="eastAsia" w:ascii="宋体" w:hAnsi="宋体" w:cs="宋体"/>
          <w:bCs/>
          <w:szCs w:val="21"/>
        </w:rPr>
      </w:pPr>
      <w:r>
        <w:rPr>
          <w:rFonts w:hint="eastAsia" w:ascii="宋体" w:hAnsi="宋体" w:cs="宋体"/>
          <w:bCs/>
          <w:szCs w:val="21"/>
        </w:rPr>
        <w:t xml:space="preserve">医疗机构出具的投诉登记材料中所载的患方在首次向医疗机构沟通或投诉过程中明确提出索赔要求的时间；</w:t>
      </w:r>
      <w:r/>
    </w:p>
    <w:p>
      <w:pPr>
        <w:numPr>
          <w:ilvl w:val="0"/>
          <w:numId w:val="42"/>
        </w:numPr>
        <w:spacing w:line="360" w:lineRule="auto"/>
        <w:rPr>
          <w:rFonts w:hint="eastAsia" w:ascii="宋体" w:hAnsi="宋体" w:cs="宋体"/>
          <w:bCs/>
          <w:szCs w:val="21"/>
        </w:rPr>
      </w:pPr>
      <w:r>
        <w:rPr>
          <w:rFonts w:hint="eastAsia" w:ascii="宋体" w:hAnsi="宋体" w:cs="宋体"/>
          <w:bCs/>
          <w:szCs w:val="21"/>
        </w:rPr>
        <w:t xml:space="preserve">或患方提出或同意通过医疗纠纷调解解决纠纷的时间；</w:t>
      </w:r>
      <w:r/>
    </w:p>
    <w:p>
      <w:pPr>
        <w:numPr>
          <w:ilvl w:val="0"/>
          <w:numId w:val="42"/>
        </w:numPr>
        <w:spacing w:line="360" w:lineRule="auto"/>
        <w:rPr>
          <w:rFonts w:hint="eastAsia" w:ascii="宋体" w:hAnsi="宋体" w:cs="宋体"/>
          <w:bCs/>
          <w:szCs w:val="21"/>
        </w:rPr>
      </w:pPr>
      <w:r>
        <w:rPr>
          <w:rFonts w:hint="eastAsia" w:ascii="宋体" w:hAnsi="宋体" w:cs="宋体"/>
          <w:bCs/>
          <w:szCs w:val="21"/>
        </w:rPr>
        <w:t xml:space="preserve">或患方向医疗机构提起诉讼的时间。</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江泰保险经纪电话中心设立400-616-8811专线电话，7*24小时全年不间断受理医疗责任保险的报案。</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赔处中心应协助医疗机构向赔处中心进行报案，赔处中心向供应方进行转报案。</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江泰保险经纪与供应方需严格遵守接转报案标准。赔处中心接到报案后，及时向供应方首承公司转报案。如果医疗纠纷处理途径为第三方调解的，赔处中心应向相应的医疗纠纷调解组织转报案件信息。</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医疗机构向首承公司直接报案的，供应方首承公司应将报案信息及时反馈至赔处中心。</w:t>
      </w:r>
      <w:r/>
    </w:p>
    <w:p>
      <w:pPr>
        <w:ind w:firstLine="420"/>
        <w:spacing w:line="360" w:lineRule="auto"/>
        <w:rPr>
          <w:rFonts w:hint="eastAsia" w:ascii="宋体" w:hAnsi="宋体" w:cs="宋体"/>
          <w:bCs/>
          <w:szCs w:val="21"/>
        </w:rPr>
      </w:pPr>
      <w:r>
        <w:rPr>
          <w:rFonts w:hint="eastAsia" w:ascii="宋体" w:hAnsi="宋体" w:cs="宋体"/>
          <w:bCs/>
          <w:szCs w:val="21"/>
        </w:rPr>
        <w:t xml:space="preserve">医疗机构向医疗纠纷调解组织直接报案的，医疗纠纷调解组织应将报案信息转至赔处中心，由赔处中心完成向供应方进行转报案。</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供应方首承公司受理报案后，需第一时间向报案人提供报案编号，同时反馈给赔处中心。</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医疗机构、赔处中心、首承公司按照本办法完成接转报案工作。</w:t>
      </w:r>
      <w:r/>
    </w:p>
    <w:p>
      <w:pPr>
        <w:numPr>
          <w:ilvl w:val="0"/>
          <w:numId w:val="41"/>
        </w:numPr>
        <w:jc w:val="center"/>
        <w:spacing w:line="360" w:lineRule="auto"/>
        <w:rPr>
          <w:rFonts w:hint="eastAsia" w:ascii="宋体" w:hAnsi="宋体" w:cs="宋体"/>
          <w:b/>
          <w:szCs w:val="21"/>
        </w:rPr>
      </w:pPr>
      <w:r>
        <w:rPr>
          <w:rFonts w:hint="eastAsia" w:ascii="宋体" w:hAnsi="宋体" w:cs="宋体"/>
          <w:b/>
          <w:szCs w:val="21"/>
        </w:rPr>
        <w:t xml:space="preserve">案件处理</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除约定可采用简易程序处理的案件外，其它案件处理均应完成定性、定责、定损、定赔。</w:t>
      </w:r>
      <w:r/>
    </w:p>
    <w:p>
      <w:pPr>
        <w:ind w:firstLine="420"/>
        <w:spacing w:line="360" w:lineRule="auto"/>
        <w:rPr>
          <w:rFonts w:hint="eastAsia" w:ascii="宋体" w:hAnsi="宋体" w:cs="宋体"/>
          <w:bCs/>
          <w:szCs w:val="21"/>
        </w:rPr>
      </w:pPr>
      <w:r>
        <w:rPr>
          <w:rFonts w:hint="eastAsia" w:ascii="宋体" w:hAnsi="宋体" w:cs="宋体"/>
          <w:bCs/>
          <w:szCs w:val="21"/>
        </w:rPr>
        <w:t xml:space="preserve">（一）定性，指对医疗机构的诊疗护理活动是否存在过错，以及该过错与患者的损害后果之间是否存在关联性进行判定；</w:t>
      </w:r>
      <w:r/>
    </w:p>
    <w:p>
      <w:pPr>
        <w:ind w:firstLine="420"/>
        <w:spacing w:line="360" w:lineRule="auto"/>
        <w:rPr>
          <w:rFonts w:hint="eastAsia" w:ascii="宋体" w:hAnsi="宋体" w:cs="宋体"/>
          <w:bCs/>
          <w:szCs w:val="21"/>
        </w:rPr>
      </w:pPr>
      <w:r>
        <w:rPr>
          <w:rFonts w:hint="eastAsia" w:ascii="宋体" w:hAnsi="宋体" w:cs="宋体"/>
          <w:bCs/>
          <w:szCs w:val="21"/>
        </w:rPr>
        <w:t xml:space="preserve">（二）定责，指经定性判定为医疗机构的过错与患者损害后果之间存在因果关系的案件，对医疗机构为患者所受损害所应承担的责任程度进行判定；</w:t>
      </w:r>
      <w:r/>
    </w:p>
    <w:p>
      <w:pPr>
        <w:ind w:firstLine="420"/>
        <w:spacing w:line="360" w:lineRule="auto"/>
        <w:rPr>
          <w:rFonts w:hint="eastAsia" w:ascii="宋体" w:hAnsi="宋体" w:cs="宋体"/>
          <w:bCs/>
          <w:szCs w:val="21"/>
        </w:rPr>
      </w:pPr>
      <w:r>
        <w:rPr>
          <w:rFonts w:hint="eastAsia" w:ascii="宋体" w:hAnsi="宋体" w:cs="宋体"/>
          <w:bCs/>
          <w:szCs w:val="21"/>
        </w:rPr>
        <w:t xml:space="preserve">（三）定损，指对因诊疗活动中的过错给患者所造成的经济损失产品进行确定；</w:t>
      </w:r>
      <w:r/>
    </w:p>
    <w:p>
      <w:pPr>
        <w:ind w:firstLine="420"/>
        <w:spacing w:line="360" w:lineRule="auto"/>
        <w:rPr>
          <w:rFonts w:hint="eastAsia" w:ascii="宋体" w:hAnsi="宋体" w:cs="宋体"/>
          <w:bCs/>
          <w:szCs w:val="21"/>
        </w:rPr>
      </w:pPr>
      <w:r>
        <w:rPr>
          <w:rFonts w:hint="eastAsia" w:ascii="宋体" w:hAnsi="宋体" w:cs="宋体"/>
          <w:bCs/>
          <w:szCs w:val="21"/>
        </w:rPr>
        <w:t xml:space="preserve">（四）定赔，指依据相关法律规定，对患者经济损失产品赔偿金额进行计算。</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本办法所称预审会，是指赔处中心根据相应的法律法规，由医学专家、法律专家对医疗纠纷案件进行性质认定、责任认定和赔偿损失认定的会议。预审会应邀请供应方代表参加，供应方经邀请未参加预审会议，视其同意预审会结果。</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本办法所称合议会，是指医疗机构、供应方对赔偿处理意见提出重大异议的案件、或有重大社会影响力的案件、或重大疑难案件，赔处中心组织相关人员进行合议。合议会成员由医学专家、法律专家、江泰保险经纪风控人员、供应方首承公司的技术人员、医疗纠纷调解组织专业人员组成，可邀请卫生行政部门及司法部门有关人员参加，合议会形成的结果由所有参会成员签字确认。</w:t>
      </w:r>
      <w:r/>
    </w:p>
    <w:p>
      <w:pPr>
        <w:jc w:val="center"/>
        <w:spacing w:line="360" w:lineRule="auto"/>
        <w:rPr>
          <w:rFonts w:hint="eastAsia" w:ascii="宋体" w:hAnsi="宋体" w:cs="宋体"/>
          <w:b/>
          <w:szCs w:val="21"/>
        </w:rPr>
      </w:pPr>
      <w:r>
        <w:rPr>
          <w:rFonts w:hint="eastAsia" w:ascii="宋体" w:hAnsi="宋体" w:cs="宋体"/>
          <w:b/>
          <w:szCs w:val="21"/>
        </w:rPr>
        <w:t xml:space="preserve">第四节 自行和解简易程序</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未超过规定权限的，医疗机构在规定金额及限额内采用自行和解简易程序处理的，应当及时通知赔处中心，赔处中心根据医疗机构要求提供预审意见或赔偿处理意见，并负责协助参保医疗机构向患方收集案件相关材料。</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医患双方达成和解，签订医患自行和解协议书或通过医疗机构所在地医疗纠纷调解组织签订调解协议书。</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赔处中心应当在和解协议生效之日起3个工作日内完成案件的登记、核实、归档，并将索赔材料提交首承公司，首承公司在《采购协议》约定的时效内向医疗机构或者患者支付赔款。</w:t>
      </w:r>
      <w:r/>
    </w:p>
    <w:p>
      <w:pPr>
        <w:jc w:val="center"/>
        <w:spacing w:line="360" w:lineRule="auto"/>
        <w:rPr>
          <w:rFonts w:hint="eastAsia" w:ascii="宋体" w:hAnsi="宋体" w:cs="宋体"/>
          <w:b/>
          <w:szCs w:val="21"/>
        </w:rPr>
      </w:pPr>
      <w:r>
        <w:rPr>
          <w:rFonts w:hint="eastAsia" w:ascii="宋体" w:hAnsi="宋体" w:cs="宋体"/>
          <w:b/>
          <w:szCs w:val="21"/>
        </w:rPr>
        <w:t xml:space="preserve">第五节 第三方调解</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赔处中心应跟踪、记录参保医疗机构医疗纠纷第三方调解案件受理情况。与医疗纠纷调解组织就医疗纠纷处理情况保持有效沟通。</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赔处中心对于医疗纠纷调解组织不受理或终结调解的案件，应当在1个工作日内与医疗机构取得联系，告知医疗机构后续处理相关注意事项，并全程跟进。</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属于保险责任的医疗纠纷案件，由赔处中心组织专家对医疗纠纷案件进行专业评估，或组织召开医疗责任保险案件预审会对医疗纠纷案件进行专业评估，再交由医疗纠纷调解组织调解。无论采取何种方式进行评估，均需要出具《医疗责任保险案件专家评估意见书》</w:t>
      </w:r>
      <w:r>
        <w:rPr>
          <w:rFonts w:hint="eastAsia" w:ascii="宋体" w:hAnsi="宋体" w:cs="宋体"/>
          <w:bCs/>
          <w:szCs w:val="21"/>
          <w:lang w:val="en-US" w:eastAsia="zh-CN"/>
        </w:rPr>
        <w:t xml:space="preserve">等</w:t>
      </w:r>
      <w:r>
        <w:rPr>
          <w:rFonts w:hint="eastAsia" w:ascii="宋体" w:hAnsi="宋体" w:cs="宋体"/>
          <w:bCs/>
          <w:szCs w:val="21"/>
        </w:rPr>
        <w:t xml:space="preserve">。</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疗责任保险案件专家评估意见书》经医疗机构认可提供赔偿处理意见，医疗纠纷调解组织根据《医疗责任保险案件专家评估意见书》，进行调解并促成医患双方达成《调解协议书》。供应方认可调解结果并按照相关约定进行理赔。</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赔处中心应当在医患双方签订调解协议后3个工作日内将索赔材料提交首承公司，首承公司在《采购协议》约定的时效内向医疗机构或者患者支付赔款。</w:t>
      </w:r>
      <w:r/>
    </w:p>
    <w:p>
      <w:pPr>
        <w:jc w:val="center"/>
        <w:spacing w:line="360" w:lineRule="auto"/>
        <w:rPr>
          <w:rFonts w:hint="eastAsia" w:ascii="宋体" w:hAnsi="宋体" w:cs="宋体"/>
          <w:b/>
          <w:szCs w:val="21"/>
        </w:rPr>
      </w:pPr>
      <w:r>
        <w:rPr>
          <w:rFonts w:hint="eastAsia" w:ascii="宋体" w:hAnsi="宋体" w:cs="宋体"/>
          <w:b/>
          <w:szCs w:val="21"/>
        </w:rPr>
        <w:t xml:space="preserve">第六节 司法诉讼及行政调解</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医疗机构在收到法院诉讼传票后，应将法院传票及原告诉状扫描件发至赔处中心。</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赔处中心应协助医疗机构在处理医疗诉讼案件使用合作律师、自聘法律顾问。</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赔处中心应协助督促代理律师在收到诉讼材料及相关病历资料后，于法院开庭前3个工作日完成书面应诉方案。</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当法院决定案件需要进行司法鉴定时，代理律师应及时通知医疗机构、供应方首承公司与赔处中心，各方应重视并共同做好司法鉴定前的准备工作。</w:t>
      </w:r>
      <w:r/>
    </w:p>
    <w:p>
      <w:pPr>
        <w:ind w:firstLine="420"/>
        <w:spacing w:line="360" w:lineRule="auto"/>
        <w:rPr>
          <w:rFonts w:hint="eastAsia" w:ascii="宋体" w:hAnsi="宋体" w:cs="宋体"/>
          <w:bCs/>
          <w:szCs w:val="21"/>
        </w:rPr>
      </w:pPr>
      <w:r>
        <w:rPr>
          <w:rFonts w:hint="eastAsia" w:ascii="宋体" w:hAnsi="宋体" w:cs="宋体"/>
          <w:bCs/>
          <w:szCs w:val="21"/>
        </w:rPr>
        <w:t xml:space="preserve">鉴定机构出具鉴定意见后，赔处中心应当及时组织医疗机构、供应方首承公司进行讨论，医疗机构、供应方首承公司对鉴定意见有异议的，应当在法庭审理时申请鉴定人出庭质证。</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医疗机构及其代理律师收到人民法院一审判决书，应</w:t>
      </w:r>
      <w:r>
        <w:rPr>
          <w:rFonts w:hint="eastAsia" w:ascii="宋体" w:hAnsi="宋体" w:cs="宋体"/>
          <w:bCs/>
          <w:szCs w:val="21"/>
          <w:lang w:val="en-US" w:eastAsia="zh-CN"/>
        </w:rPr>
        <w:t xml:space="preserve">及时</w:t>
      </w:r>
      <w:r>
        <w:rPr>
          <w:rFonts w:hint="eastAsia" w:ascii="宋体" w:hAnsi="宋体" w:cs="宋体"/>
          <w:bCs/>
          <w:szCs w:val="21"/>
        </w:rPr>
        <w:t xml:space="preserve">转交赔处中心及首承公司。医疗机构及供应方首承公司在收到判决书之日起</w:t>
      </w:r>
      <w:r>
        <w:rPr>
          <w:rFonts w:hint="eastAsia" w:ascii="宋体" w:hAnsi="宋体" w:cs="宋体"/>
          <w:bCs/>
          <w:szCs w:val="21"/>
          <w:lang w:val="en-US" w:eastAsia="zh-CN"/>
        </w:rPr>
        <w:t xml:space="preserve">15</w:t>
      </w:r>
      <w:r>
        <w:rPr>
          <w:rFonts w:hint="eastAsia" w:ascii="宋体" w:hAnsi="宋体" w:cs="宋体"/>
          <w:bCs/>
          <w:szCs w:val="21"/>
        </w:rPr>
        <w:t xml:space="preserve">个工作日内沟通协商确认是否上诉。</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不需上诉的案件及终审结案案件，赔处中心提供赔偿处理意见，并在判决书生效之日起</w:t>
      </w:r>
      <w:r>
        <w:rPr>
          <w:rFonts w:hint="eastAsia" w:ascii="宋体" w:hAnsi="宋体" w:cs="宋体"/>
          <w:bCs/>
          <w:szCs w:val="21"/>
          <w:lang w:val="en-US" w:eastAsia="zh-CN"/>
        </w:rPr>
        <w:t xml:space="preserve">1</w:t>
      </w:r>
      <w:r>
        <w:rPr>
          <w:rFonts w:hint="eastAsia" w:ascii="宋体" w:hAnsi="宋体" w:cs="宋体"/>
          <w:bCs/>
          <w:szCs w:val="21"/>
        </w:rPr>
        <w:t xml:space="preserve">5个工作日内将索赔材料提交首承公司，供应方首承公司在《采购协议》约定的时效内向医疗机构或者患者支付赔款。</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疗机构在选择司法调解途径前及达成司法调解协议前，应当就拟达成调解协议的内容征得供应方首承公司书面或电子邮件同意。供应方首承公司应当在司法调解达成一致意见前，与赔处中心协商并出具赔偿处理意见，医疗机构根据赔偿处理意见，参与司法调解。</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医疗纠纷案件通过行政调解途径进行处理的，其处理流程参照司法调解流程。</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应当征求且已经征求供应方首承公司意见，但供应方首承公司在规定时间内未反馈的，视为同意；应当征求但没有征求供应方首承公司意见，供应方首承公司有权对于司法诉讼及行政调解的处理结果提出不同意见。</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案件通过司法诉讼或行政调解途径解决过程中，当事人申请撤回诉讼或行政调解的，后向医疗纠纷调解组织申请第三方调解，医疗纠纷调解组织可以受理。其处理流程参照第三方调解。</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医疗机构、赔处中心、供应方首承公司按照本办法《诉讼案件操作细则》，完成诉讼案件处置工作。</w:t>
      </w:r>
      <w:r/>
    </w:p>
    <w:p>
      <w:pPr>
        <w:numPr>
          <w:ilvl w:val="0"/>
          <w:numId w:val="39"/>
        </w:numPr>
        <w:jc w:val="center"/>
        <w:spacing w:line="360" w:lineRule="auto"/>
        <w:rPr>
          <w:rFonts w:hint="eastAsia" w:ascii="宋体" w:hAnsi="宋体" w:cs="宋体"/>
          <w:b/>
          <w:bCs/>
          <w:szCs w:val="21"/>
        </w:rPr>
      </w:pPr>
      <w:r>
        <w:rPr>
          <w:rFonts w:hint="eastAsia" w:ascii="宋体" w:hAnsi="宋体" w:cs="宋体"/>
          <w:b/>
          <w:bCs/>
          <w:szCs w:val="21"/>
        </w:rPr>
        <w:t xml:space="preserve">案件索赔材料清单</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赔处中心应本着实事求是的原则，尊重客观事实，协助医疗机构收集并整理索赔资料。供应方首承公司及供应方成员不得以以往的工作习惯及理赔标准，对于索赔材料提出额外的要求。</w:t>
      </w:r>
      <w:r/>
    </w:p>
    <w:p>
      <w:pPr>
        <w:numPr>
          <w:ilvl w:val="0"/>
          <w:numId w:val="40"/>
        </w:numPr>
        <w:ind w:firstLine="420"/>
        <w:spacing w:line="360" w:lineRule="auto"/>
        <w:rPr>
          <w:rFonts w:hint="eastAsia" w:ascii="宋体" w:hAnsi="宋体" w:cs="宋体"/>
          <w:bCs/>
          <w:szCs w:val="21"/>
        </w:rPr>
      </w:pPr>
      <w:r>
        <w:rPr>
          <w:rFonts w:hint="eastAsia" w:ascii="宋体" w:hAnsi="宋体" w:cs="宋体"/>
          <w:bCs/>
          <w:szCs w:val="21"/>
        </w:rPr>
        <w:t xml:space="preserve">供应方首承公司应当依据下列单证进行保险赔偿，不再要求当事人提交其他单证。</w:t>
      </w:r>
      <w:r>
        <w:rPr>
          <w:rFonts w:hint="eastAsia" w:ascii="宋体" w:hAnsi="宋体" w:cs="宋体"/>
          <w:bCs/>
          <w:szCs w:val="21"/>
        </w:rPr>
        <w:tab/>
      </w:r>
      <w:r/>
    </w:p>
    <w:tbl>
      <w:tblPr>
        <w:tblStyle w:val="867"/>
        <w:tblW w:w="0" w:type="auto"/>
        <w:jc w:val="center"/>
        <w:tblLayout w:type="autofit"/>
        <w:tblCellMar>
          <w:left w:w="0" w:type="dxa"/>
          <w:top w:w="0" w:type="dxa"/>
          <w:right w:w="0" w:type="dxa"/>
          <w:bottom w:w="0" w:type="dxa"/>
        </w:tblCellMar>
        <w:tblLook w:val="04A0" w:firstRow="1" w:lastRow="0" w:firstColumn="1" w:lastColumn="0" w:noHBand="0" w:noVBand="1"/>
      </w:tblPr>
      <w:tblGrid>
        <w:gridCol w:w="400"/>
        <w:gridCol w:w="3850"/>
        <w:gridCol w:w="742"/>
        <w:gridCol w:w="912"/>
        <w:gridCol w:w="912"/>
        <w:gridCol w:w="912"/>
        <w:gridCol w:w="912"/>
      </w:tblGrid>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索赔单证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自行和解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第三方调解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司法诉讼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司法调解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行政调解</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索赔申请书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医疗纠纷调解组织主持签订的医疗纠纷调解协议书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案件预审会决定书或合议会决议书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医疗技术鉴定意见书、司法过错鉴定意见书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如有需提供</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如有需提供</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开庭传票、司法判决书等诉讼相关文件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损失及赔偿金额计算所需单证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赔款支付通知书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cs="宋体"/>
                <w:szCs w:val="21"/>
                <w:lang w:val="en-US" w:eastAsia="zh-CN" w:bidi="ar"/>
              </w:rPr>
              <w:t xml:space="preserve">主刀或首诊医生执业证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lang w:bidi="ar"/>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eastAsia="宋体" w:cs="宋体"/>
                <w:szCs w:val="21"/>
                <w:lang w:val="en-US" w:eastAsia="zh-CN" w:bidi="ar"/>
              </w:rPr>
            </w:pPr>
            <w:r>
              <w:rPr>
                <w:rFonts w:hint="eastAsia" w:ascii="宋体" w:hAnsi="宋体" w:cs="宋体"/>
                <w:szCs w:val="21"/>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bidi="ar"/>
              </w:rPr>
              <w:t xml:space="preserve">案管中心认为其它有必要的单证</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cs="宋体"/>
                <w:szCs w:val="21"/>
                <w:lang w:bidi="ar"/>
              </w:rPr>
              <w:t xml:space="preserve">√</w:t>
            </w:r>
            <w:r/>
          </w:p>
        </w:tc>
      </w:tr>
    </w:tbl>
    <w:p>
      <w:pPr>
        <w:numPr>
          <w:ilvl w:val="0"/>
          <w:numId w:val="40"/>
        </w:num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损失及赔偿金额计算所需单证包括：患方身份证明材料、患者的死亡证明、患者伤残等级证明、误工费及收入证明材料、医疗费用证明材料、护理费用证明材料、患者病历资料复印件、其他费用材料。</w:t>
      </w:r>
      <w:r/>
    </w:p>
    <w:p>
      <w:pPr>
        <w:numPr>
          <w:ilvl w:val="0"/>
          <w:numId w:val="39"/>
        </w:numPr>
        <w:jc w:val="center"/>
        <w:spacing w:line="360" w:lineRule="auto"/>
        <w:rPr>
          <w:rFonts w:hint="eastAsia" w:ascii="宋体" w:hAnsi="宋体" w:cs="宋体"/>
          <w:b/>
          <w:bCs/>
          <w:szCs w:val="21"/>
        </w:rPr>
      </w:pPr>
      <w:r>
        <w:rPr>
          <w:rFonts w:hint="eastAsia" w:ascii="宋体" w:hAnsi="宋体" w:cs="宋体"/>
          <w:b/>
          <w:bCs/>
          <w:szCs w:val="21"/>
        </w:rPr>
        <w:t xml:space="preserve">损害赔偿项目及标准</w:t>
      </w:r>
      <w:r/>
    </w:p>
    <w:p>
      <w:pPr>
        <w:numPr>
          <w:ilvl w:val="0"/>
          <w:numId w:val="40"/>
        </w:num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在《中华人民共和国民法典》及《最高人民法院关于审理人身损害赔偿案件适用法律若干问题的解释》的基础上，医疗责任保险案件涉及的医疗损害赔偿项目及标准，包括但不限于患者误工期的确定及误工费的计算、患者护理期的确定及护理费的计算、患者营养费的认定及计算、患者住院伙食补助费、患方精神损害抚慰金、患者医疗费、患者被扶养人生活费的认定及计算、患者死亡赔偿金、患者残疾赔偿金</w:t>
      </w:r>
      <w:r>
        <w:rPr>
          <w:rFonts w:hint="eastAsia" w:ascii="宋体" w:hAnsi="宋体" w:cs="宋体"/>
          <w:szCs w:val="21"/>
        </w:rPr>
        <w:t xml:space="preserve">、交通费、住宿费、住院伙食补助费、必要的营养费、残疾辅助器具费、康复费、护理费、后续治疗费、丧葬费、精神损害抚慰金等</w:t>
      </w:r>
      <w:r>
        <w:rPr>
          <w:rFonts w:hint="eastAsia" w:ascii="宋体" w:hAnsi="宋体" w:cs="宋体"/>
          <w:bCs/>
          <w:szCs w:val="21"/>
          <w:lang w:bidi="ar"/>
        </w:rPr>
        <w:t xml:space="preserve">。依照本办法《损害赔偿项目及标准细则》确定。</w:t>
      </w:r>
      <w:r/>
    </w:p>
    <w:p>
      <w:pPr>
        <w:numPr>
          <w:ilvl w:val="0"/>
          <w:numId w:val="40"/>
        </w:num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按照本办法《损害赔偿项目及标准细则》约定计算的损失金额，供应方应当予以认可。</w:t>
      </w:r>
      <w:r/>
    </w:p>
    <w:p>
      <w:pPr>
        <w:numPr>
          <w:ilvl w:val="0"/>
          <w:numId w:val="39"/>
        </w:numPr>
        <w:jc w:val="center"/>
        <w:spacing w:line="360" w:lineRule="auto"/>
        <w:rPr>
          <w:rFonts w:hint="eastAsia" w:ascii="宋体" w:hAnsi="宋体" w:cs="宋体"/>
          <w:b/>
          <w:bCs/>
          <w:szCs w:val="21"/>
        </w:rPr>
      </w:pPr>
      <w:r>
        <w:rPr>
          <w:rFonts w:hint="eastAsia" w:ascii="宋体" w:hAnsi="宋体" w:cs="宋体"/>
          <w:b/>
          <w:bCs/>
          <w:szCs w:val="21"/>
        </w:rPr>
        <w:t xml:space="preserve">其他事项</w:t>
      </w:r>
      <w:r/>
    </w:p>
    <w:p>
      <w:pPr>
        <w:numPr>
          <w:ilvl w:val="0"/>
          <w:numId w:val="40"/>
        </w:num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发生保险事故，医疗机构在保险事故中承担的责任大小，分为全部责任、主要责任、同等责任、次要责任、轻微责任及无责，赔偿比例对应分别为91%-100%、61%-90%、41%-60%、21%-40%、20%以下以及无责任。</w:t>
      </w:r>
      <w:r/>
    </w:p>
    <w:p>
      <w:pPr>
        <w:numPr>
          <w:ilvl w:val="0"/>
          <w:numId w:val="40"/>
        </w:num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对于第三方侵权（如交通事故等）合并发生医疗责任保险案件，赔偿主体除医疗机构外尚有其他主体的，医疗纠纷调解组织召开案件</w:t>
      </w:r>
      <w:r>
        <w:rPr>
          <w:rFonts w:hint="eastAsia" w:ascii="宋体" w:hAnsi="宋体" w:cs="宋体"/>
          <w:bCs/>
          <w:szCs w:val="21"/>
        </w:rPr>
        <w:t xml:space="preserve">预审会</w:t>
      </w:r>
      <w:r>
        <w:rPr>
          <w:rFonts w:hint="eastAsia" w:ascii="宋体" w:hAnsi="宋体" w:cs="宋体"/>
          <w:bCs/>
          <w:szCs w:val="21"/>
          <w:lang w:bidi="ar"/>
        </w:rPr>
        <w:t xml:space="preserve">时，由专家对患者外伤入院时的不良预后风险及医疗机构的医疗过错责任进行评估。供应方应按照</w:t>
      </w:r>
      <w:r>
        <w:rPr>
          <w:rFonts w:hint="eastAsia" w:ascii="宋体" w:hAnsi="宋体" w:cs="宋体"/>
          <w:bCs/>
          <w:szCs w:val="21"/>
        </w:rPr>
        <w:t xml:space="preserve">《医疗责任保险案件专家评估意见书》</w:t>
      </w:r>
      <w:r>
        <w:rPr>
          <w:rFonts w:hint="eastAsia" w:ascii="宋体" w:hAnsi="宋体" w:cs="宋体"/>
          <w:bCs/>
          <w:szCs w:val="21"/>
          <w:lang w:bidi="ar"/>
        </w:rPr>
        <w:t xml:space="preserve">意见，承担相应的赔偿责任，认可或出具相应的分割单，同时不得以要求患者先行处理第三方侵权事件为由拒绝赔偿或拖延赔偿。</w:t>
      </w:r>
      <w:r/>
    </w:p>
    <w:p>
      <w:pPr>
        <w:numPr>
          <w:ilvl w:val="0"/>
          <w:numId w:val="39"/>
        </w:numPr>
        <w:jc w:val="center"/>
        <w:spacing w:line="360" w:lineRule="auto"/>
        <w:rPr>
          <w:rFonts w:hint="eastAsia" w:ascii="宋体" w:hAnsi="宋体" w:cs="宋体"/>
          <w:b/>
          <w:bCs/>
          <w:szCs w:val="21"/>
        </w:rPr>
      </w:pPr>
      <w:r>
        <w:rPr>
          <w:rFonts w:hint="eastAsia" w:ascii="宋体" w:hAnsi="宋体" w:cs="宋体"/>
          <w:b/>
          <w:bCs/>
          <w:szCs w:val="21"/>
        </w:rPr>
        <w:t xml:space="preserve">附则</w:t>
      </w:r>
      <w:r/>
    </w:p>
    <w:p>
      <w:pPr>
        <w:numPr>
          <w:ilvl w:val="0"/>
          <w:numId w:val="40"/>
        </w:num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参与医疗责任保险案件赔偿处理的各方应当严格遵守本办法规定，如有违反，应当及时纠正，拒不纠正的视为构成对本产品的实质违约，本产品领导小组有权根据相应规定进行处理。</w:t>
      </w:r>
      <w:r/>
    </w:p>
    <w:p>
      <w:pPr>
        <w:numPr>
          <w:ilvl w:val="0"/>
          <w:numId w:val="40"/>
        </w:num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本办法由《采购协议》各方共同负责制订、修改、解释。</w:t>
      </w:r>
      <w:r/>
    </w:p>
    <w:p>
      <w:pPr>
        <w:numPr>
          <w:ilvl w:val="0"/>
          <w:numId w:val="40"/>
        </w:num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本办法自采购协议签订之日起施行。</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r>
      <w:r/>
    </w:p>
    <w:p>
      <w:pPr>
        <w:ind w:firstLine="420"/>
        <w:spacing w:line="360" w:lineRule="auto"/>
        <w:rPr>
          <w:rFonts w:hint="eastAsia" w:ascii="宋体" w:hAnsi="宋体" w:cs="宋体"/>
          <w:bCs/>
          <w:szCs w:val="21"/>
        </w:rPr>
      </w:pPr>
      <w:r>
        <w:rPr>
          <w:rFonts w:hint="eastAsia" w:ascii="宋体" w:hAnsi="宋体" w:cs="宋体"/>
          <w:bCs/>
          <w:szCs w:val="21"/>
          <w:lang w:bidi="ar"/>
        </w:rPr>
        <w:t xml:space="preserve">赔偿处理办法细则：</w:t>
      </w:r>
      <w:r>
        <w:rPr>
          <w:rFonts w:hint="eastAsia" w:ascii="宋体" w:hAnsi="宋体" w:cs="宋体"/>
          <w:bCs/>
          <w:szCs w:val="21"/>
        </w:rPr>
        <w:t xml:space="preserve">《诉讼案件操作细则》</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赔偿处理办法细则：《损害赔偿项目及标准细则》</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t xml:space="preserve">赔偿处理办法细则：《诉讼案件操作细则》</w:t>
      </w:r>
      <w:r/>
    </w:p>
    <w:p>
      <w:pPr>
        <w:ind w:firstLine="420"/>
        <w:jc w:val="left"/>
        <w:spacing w:line="360" w:lineRule="auto"/>
        <w:rPr>
          <w:rFonts w:hint="eastAsia" w:ascii="宋体" w:hAnsi="宋体" w:cs="宋体"/>
          <w:szCs w:val="21"/>
        </w:rPr>
      </w:pPr>
      <w:r>
        <w:rPr>
          <w:rFonts w:hint="eastAsia" w:ascii="宋体" w:hAnsi="宋体" w:cs="宋体"/>
          <w:szCs w:val="21"/>
        </w:rPr>
        <w:t xml:space="preserve">1、报案</w:t>
      </w:r>
      <w:r/>
    </w:p>
    <w:p>
      <w:pPr>
        <w:ind w:firstLine="420"/>
        <w:jc w:val="left"/>
        <w:spacing w:line="360" w:lineRule="auto"/>
        <w:rPr>
          <w:rFonts w:hint="eastAsia" w:ascii="宋体" w:hAnsi="宋体" w:cs="宋体"/>
          <w:szCs w:val="21"/>
        </w:rPr>
      </w:pPr>
      <w:r>
        <w:rPr>
          <w:rFonts w:hint="eastAsia" w:ascii="宋体" w:hAnsi="宋体" w:cs="宋体"/>
          <w:szCs w:val="21"/>
        </w:rPr>
        <w:t xml:space="preserve">赔处中心应了解并跟进医疗机构诉讼案件处理情况，提醒医疗机构在收到法院诉讼传票后1个工作日内，将法院传票及原告诉状扫描件发至赔处中心。</w:t>
      </w:r>
      <w:r/>
    </w:p>
    <w:p>
      <w:pPr>
        <w:ind w:firstLine="420"/>
        <w:jc w:val="left"/>
        <w:spacing w:line="360" w:lineRule="auto"/>
        <w:rPr>
          <w:rFonts w:hint="eastAsia" w:ascii="宋体" w:hAnsi="宋体" w:cs="宋体"/>
          <w:szCs w:val="21"/>
        </w:rPr>
      </w:pPr>
      <w:r>
        <w:rPr>
          <w:rFonts w:hint="eastAsia" w:ascii="宋体" w:hAnsi="宋体" w:cs="宋体"/>
          <w:szCs w:val="21"/>
        </w:rPr>
        <w:t xml:space="preserve">赔处中心应与医疗机构建立定期案件处理沟通机制，至少每个月与医疗机构保持沟通。保单到期前，赔处中心应将所有案件向供应方报案或备案。</w:t>
      </w:r>
      <w:r/>
    </w:p>
    <w:p>
      <w:pPr>
        <w:ind w:firstLine="420"/>
        <w:jc w:val="left"/>
        <w:spacing w:line="360" w:lineRule="auto"/>
        <w:rPr>
          <w:rFonts w:hint="eastAsia" w:ascii="宋体" w:hAnsi="宋体" w:cs="宋体"/>
          <w:szCs w:val="21"/>
        </w:rPr>
      </w:pPr>
      <w:r>
        <w:rPr>
          <w:rFonts w:hint="eastAsia" w:ascii="宋体" w:hAnsi="宋体" w:cs="宋体"/>
          <w:szCs w:val="21"/>
        </w:rPr>
        <w:t xml:space="preserve">2、应诉前</w:t>
      </w:r>
      <w:r/>
    </w:p>
    <w:p>
      <w:pPr>
        <w:numPr>
          <w:ilvl w:val="0"/>
          <w:numId w:val="43"/>
        </w:numPr>
        <w:spacing w:line="360" w:lineRule="auto"/>
        <w:rPr>
          <w:rFonts w:hint="eastAsia" w:ascii="宋体" w:hAnsi="宋体" w:cs="宋体"/>
          <w:szCs w:val="21"/>
        </w:rPr>
      </w:pPr>
      <w:r>
        <w:rPr>
          <w:rFonts w:hint="eastAsia" w:ascii="宋体" w:hAnsi="宋体" w:cs="宋体"/>
          <w:szCs w:val="21"/>
        </w:rPr>
        <w:t xml:space="preserve">代理律师选定</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医疗机构在处理医疗诉讼案件使用合作律师、自聘法律顾问时，赔处中心需协助医疗机构与首承公司沟通，经首承公司书面确认后及时反馈医疗机构。规定时间内，首承公司未反馈的，视为同意。</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赔处中心协助医疗机构向首承公司确认的内容，包括但不限于诉讼费、鉴定费、取证费、公证费、律师费、质证费及其他相关费用标准等。</w:t>
      </w:r>
      <w:r/>
    </w:p>
    <w:p>
      <w:pPr>
        <w:numPr>
          <w:ilvl w:val="0"/>
          <w:numId w:val="43"/>
        </w:numPr>
        <w:spacing w:line="360" w:lineRule="auto"/>
        <w:widowControl/>
        <w:rPr>
          <w:rFonts w:hint="eastAsia" w:ascii="宋体" w:hAnsi="宋体" w:cs="宋体"/>
          <w:szCs w:val="21"/>
        </w:rPr>
      </w:pPr>
      <w:r>
        <w:rPr>
          <w:rFonts w:hint="eastAsia" w:ascii="宋体" w:hAnsi="宋体" w:cs="宋体"/>
          <w:szCs w:val="21"/>
        </w:rPr>
        <w:t xml:space="preserve">诉前准备</w:t>
      </w:r>
      <w:r/>
    </w:p>
    <w:p>
      <w:pPr>
        <w:ind w:firstLine="420"/>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赔处中心应协调首承公司、代理律师与医疗机构，在法院开庭前就应诉工作进行沟通。属于调解转诉讼的案件，应提前与代理律师沟通医学专家评估意见，索赔材料清单等。如案件存在以下情况的，赔处中心应告知代理律师提请法院一并处理：</w:t>
      </w:r>
      <w:r/>
    </w:p>
    <w:p>
      <w:pPr>
        <w:ind w:firstLine="420"/>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1.诉讼前已产生的尸检费、鉴定费；</w:t>
      </w:r>
      <w:r/>
    </w:p>
    <w:p>
      <w:pPr>
        <w:ind w:firstLine="420"/>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2.原告（患者）存在医疗欠费；</w:t>
      </w:r>
      <w:r/>
    </w:p>
    <w:p>
      <w:pPr>
        <w:ind w:firstLine="420"/>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3.医疗机构先行垫付的医疗费或其他费用。</w:t>
      </w:r>
      <w:r/>
    </w:p>
    <w:p>
      <w:pPr>
        <w:ind w:firstLine="420"/>
        <w:jc w:val="left"/>
        <w:spacing w:line="360" w:lineRule="auto"/>
        <w:rPr>
          <w:rFonts w:hint="eastAsia" w:ascii="宋体" w:hAnsi="宋体" w:cs="宋体"/>
          <w:szCs w:val="21"/>
        </w:rPr>
      </w:pPr>
      <w:r>
        <w:rPr>
          <w:rFonts w:hint="eastAsia" w:ascii="宋体" w:hAnsi="宋体" w:cs="宋体"/>
          <w:szCs w:val="21"/>
        </w:rPr>
        <w:t xml:space="preserve">3、应诉中</w:t>
      </w:r>
      <w:r/>
    </w:p>
    <w:p>
      <w:pPr>
        <w:numPr>
          <w:ilvl w:val="0"/>
          <w:numId w:val="44"/>
        </w:numPr>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关注庭前调解</w:t>
      </w:r>
      <w:r/>
    </w:p>
    <w:p>
      <w:pPr>
        <w:ind w:firstLine="420"/>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对与法院建立诉调对接机制的机构，要主动与法院沟通，建议法院在征得医患双方同意的前提下，委托医疗纠纷调解组织进行调解，调解过程可以请法院共同参与；如果法院单独进行调解，且医疗机构同意通过庭前调解的方式处理的，赔处中心应提前将赔付要求及医疗损害责任认定情况与医疗机构进行沟通，建议通过过错鉴定程序或者参考医疗纠纷调解组织专家评估意见，在此基础上依据专业鉴定或者评估意见进行调解；否则存在超出责任认定范围的赔偿，供应方不予理赔的风险。</w:t>
      </w:r>
      <w:r/>
    </w:p>
    <w:p>
      <w:pPr>
        <w:numPr>
          <w:ilvl w:val="0"/>
          <w:numId w:val="44"/>
        </w:numPr>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关注案件审理进程</w:t>
      </w:r>
      <w:r/>
    </w:p>
    <w:p>
      <w:pPr>
        <w:ind w:firstLine="420"/>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赔处中心要及时与医院沟通，获悉法院启动对案件进行司法或者过错鉴定时，应告知首承公司，并协调医疗机构做好鉴定前材料准备工作，提醒代理律师与医疗机构应当积极参与鉴定，要选择医疗机构和患者都认可且相对客观公正的鉴定机构进行鉴定，提醒医疗机构和代理律师在鉴定过程中要主动与鉴定机构沟通诊疗情况及过程。</w:t>
      </w:r>
      <w:r/>
    </w:p>
    <w:p>
      <w:pPr>
        <w:ind w:firstLine="420"/>
        <w:spacing w:line="360" w:lineRule="auto"/>
        <w:widowControl/>
        <w:tabs>
          <w:tab w:val="left" w:pos="1050" w:leader="none"/>
        </w:tabs>
        <w:rPr>
          <w:rFonts w:hint="eastAsia" w:ascii="宋体" w:hAnsi="宋体" w:cs="宋体"/>
          <w:szCs w:val="21"/>
        </w:rPr>
      </w:pPr>
      <w:r>
        <w:rPr>
          <w:rFonts w:hint="eastAsia" w:ascii="宋体" w:hAnsi="宋体" w:cs="宋体"/>
          <w:szCs w:val="21"/>
        </w:rPr>
        <w:t xml:space="preserve">赔处中心要与医疗机构和代理律师保持沟通，获悉鉴定意见出具后，立即通知首承公司。如果医疗机构对鉴定意见存在异议的，建议医疗机构和代理律师在法庭审理时申请鉴定人出庭质证。如果首承公司认为鉴定结果存在明显问题且通过书面形式明确表示不认可鉴定意见的，考虑保险条款中有关于“被保险人获悉可能发生诉讼、仲裁时，应及时以书面形式通知保险人；对因未及时提供上述通知或必要协助导致扩大的损失，保险人不承担赔偿责任”约定，赔处中心要做好沟通协调工作，引导医疗机构和代理律师，在法庭审理时申请鉴定人出庭质证。</w:t>
      </w:r>
      <w:r/>
    </w:p>
    <w:p>
      <w:pPr>
        <w:ind w:firstLine="420"/>
        <w:jc w:val="left"/>
        <w:spacing w:line="360" w:lineRule="auto"/>
        <w:rPr>
          <w:rFonts w:hint="eastAsia" w:ascii="宋体" w:hAnsi="宋体" w:cs="宋体"/>
          <w:szCs w:val="21"/>
        </w:rPr>
      </w:pPr>
      <w:r>
        <w:rPr>
          <w:rFonts w:hint="eastAsia" w:ascii="宋体" w:hAnsi="宋体" w:cs="宋体"/>
          <w:szCs w:val="21"/>
        </w:rPr>
        <w:t xml:space="preserve">4、应诉后</w:t>
      </w:r>
      <w:r/>
    </w:p>
    <w:p>
      <w:pPr>
        <w:numPr>
          <w:ilvl w:val="0"/>
          <w:numId w:val="45"/>
        </w:numPr>
        <w:spacing w:line="360" w:lineRule="auto"/>
        <w:tabs>
          <w:tab w:val="left" w:pos="1050" w:leader="none"/>
        </w:tabs>
        <w:rPr>
          <w:rFonts w:hint="eastAsia" w:ascii="宋体" w:hAnsi="宋体" w:cs="宋体"/>
          <w:szCs w:val="21"/>
        </w:rPr>
      </w:pPr>
      <w:r>
        <w:rPr>
          <w:rFonts w:hint="eastAsia" w:ascii="宋体" w:hAnsi="宋体" w:cs="宋体"/>
          <w:szCs w:val="21"/>
        </w:rPr>
        <w:t xml:space="preserve">上诉</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赔处中心获悉医疗机构签收法院一审判决文书后2个工作日内，应协调医疗机构与首承公司商议是否上诉。首承公司应评估案件二审风险，并结合医疗机构的意见，提出是否上诉的建议。</w:t>
      </w:r>
      <w:r/>
    </w:p>
    <w:p>
      <w:pPr>
        <w:numPr>
          <w:ilvl w:val="0"/>
          <w:numId w:val="45"/>
        </w:numPr>
        <w:spacing w:line="360" w:lineRule="auto"/>
        <w:tabs>
          <w:tab w:val="left" w:pos="1050" w:leader="none"/>
        </w:tabs>
        <w:rPr>
          <w:rFonts w:hint="eastAsia" w:ascii="宋体" w:hAnsi="宋体" w:cs="宋体"/>
          <w:szCs w:val="21"/>
        </w:rPr>
      </w:pPr>
      <w:r>
        <w:rPr>
          <w:rFonts w:hint="eastAsia" w:ascii="宋体" w:hAnsi="宋体" w:cs="宋体"/>
          <w:szCs w:val="21"/>
        </w:rPr>
        <w:t xml:space="preserve">协助索赔</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对于医疗机构最终确定不上诉的案件或终审案件，赔处中心应协助医疗机构向首承公司进行索赔，督促首承公司按照采购协议的约定，及时完成案件赔付工作，避免后续产生强制执行费等问题。</w:t>
      </w:r>
      <w:r/>
    </w:p>
    <w:p>
      <w:pPr>
        <w:numPr>
          <w:ilvl w:val="0"/>
          <w:numId w:val="45"/>
        </w:numPr>
        <w:spacing w:line="360" w:lineRule="auto"/>
        <w:tabs>
          <w:tab w:val="left" w:pos="1050" w:leader="none"/>
        </w:tabs>
        <w:rPr>
          <w:rFonts w:hint="eastAsia" w:ascii="宋体" w:hAnsi="宋体" w:cs="宋体"/>
          <w:szCs w:val="21"/>
        </w:rPr>
      </w:pPr>
      <w:r>
        <w:rPr>
          <w:rFonts w:hint="eastAsia" w:ascii="宋体" w:hAnsi="宋体" w:cs="宋体"/>
          <w:szCs w:val="21"/>
        </w:rPr>
        <w:t xml:space="preserve">索赔材料收集及注意事项</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赔处中心应及时提醒医疗机构、代理律师在诉讼案件结案前，及时准确收集相关索赔材料，结案后及时将案件索赔资料整理完毕并提交。在索赔资料收集时，应注意以下事项：</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1.医疗机构索赔材料。</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医疗机构可以将相关证照彩色扫描件向赔处中心进行报备，若此前已报备过的，无需重复提交。医疗机构主体材料原则上每一年度报备一次。</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2.患方索赔材料。</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赔处中心应告知医疗机构和代理律师，在案件审理过程中，主动向法院索要当事人身份、户籍资料复印件等相关材料。</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3.法律费用索赔材料。</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法律费用如由医疗机构先行垫付的，在索赔资料收集阶段，医疗机构应提供缴纳相关法律费用的发票原件或复印件。若涉及鉴定的，需提供鉴定报告原件或复印件。</w:t>
      </w:r>
      <w:r/>
    </w:p>
    <w:p>
      <w:pPr>
        <w:ind w:firstLine="420"/>
        <w:spacing w:line="360" w:lineRule="auto"/>
        <w:tabs>
          <w:tab w:val="left" w:pos="1050" w:leader="none"/>
        </w:tabs>
        <w:rPr>
          <w:rFonts w:hint="eastAsia" w:ascii="宋体" w:hAnsi="宋体" w:cs="宋体"/>
          <w:szCs w:val="21"/>
        </w:rPr>
      </w:pPr>
      <w:r>
        <w:rPr>
          <w:rFonts w:hint="eastAsia" w:ascii="宋体" w:hAnsi="宋体" w:cs="宋体"/>
          <w:szCs w:val="21"/>
        </w:rPr>
        <w:t xml:space="preserve">4.其他索赔材料。</w:t>
      </w:r>
      <w:r/>
    </w:p>
    <w:p>
      <w:pPr>
        <w:ind w:firstLine="420"/>
        <w:jc w:val="left"/>
        <w:spacing w:line="360" w:lineRule="auto"/>
        <w:widowControl/>
        <w:rPr>
          <w:rFonts w:hint="eastAsia" w:ascii="宋体" w:hAnsi="宋体" w:cs="宋体"/>
          <w:bCs/>
          <w:szCs w:val="21"/>
          <w:lang w:bidi="ar"/>
        </w:rPr>
      </w:pPr>
      <w:r>
        <w:rPr>
          <w:rFonts w:hint="eastAsia" w:ascii="宋体" w:hAnsi="宋体" w:cs="宋体"/>
          <w:szCs w:val="21"/>
        </w:rPr>
        <w:t xml:space="preserve">其他索赔材料包括但不限于传票、判决书等诉讼相关文件，以及采购协议约定的其他索赔材料。</w:t>
      </w:r>
      <w:r/>
    </w:p>
    <w:p>
      <w:pPr>
        <w:jc w:val="center"/>
        <w:spacing w:line="360" w:lineRule="auto"/>
        <w:rPr>
          <w:rFonts w:hint="eastAsia" w:ascii="宋体" w:hAnsi="宋体" w:cs="宋体"/>
          <w:b/>
          <w:szCs w:val="21"/>
          <w:lang w:bidi="ar"/>
        </w:rPr>
      </w:pPr>
      <w:r>
        <w:rPr>
          <w:rFonts w:hint="eastAsia" w:ascii="宋体" w:hAnsi="宋体" w:cs="宋体"/>
          <w:b/>
          <w:szCs w:val="21"/>
          <w:lang w:bidi="ar"/>
        </w:rPr>
        <w:t xml:space="preserve">赔偿处理办法细则：《损害赔偿项目及标准细则》</w:t>
      </w:r>
      <w:r/>
    </w:p>
    <w:p>
      <w:pPr>
        <w:ind w:firstLine="420"/>
        <w:spacing w:line="360" w:lineRule="auto"/>
        <w:rPr>
          <w:rFonts w:hint="eastAsia" w:ascii="宋体" w:hAnsi="宋体" w:cs="宋体"/>
          <w:szCs w:val="21"/>
        </w:rPr>
      </w:pPr>
      <w:r>
        <w:rPr>
          <w:rFonts w:hint="eastAsia" w:ascii="宋体" w:hAnsi="宋体" w:cs="宋体"/>
          <w:szCs w:val="21"/>
        </w:rPr>
        <w:t xml:space="preserve">1、关于患者误工期的确定，按照下列标准执行。</w:t>
      </w:r>
      <w:r/>
    </w:p>
    <w:p>
      <w:pPr>
        <w:ind w:firstLine="420"/>
        <w:spacing w:line="360" w:lineRule="auto"/>
        <w:rPr>
          <w:rFonts w:hint="eastAsia" w:ascii="宋体" w:hAnsi="宋体" w:cs="宋体"/>
          <w:szCs w:val="21"/>
        </w:rPr>
      </w:pPr>
      <w:r>
        <w:rPr>
          <w:rFonts w:hint="eastAsia" w:ascii="宋体" w:hAnsi="宋体" w:cs="宋体"/>
          <w:szCs w:val="21"/>
        </w:rPr>
        <w:t xml:space="preserve">（一）误工期起止时间的认定应当与医疗过错起止时间的认定相一致；</w:t>
      </w:r>
      <w:r/>
    </w:p>
    <w:p>
      <w:pPr>
        <w:ind w:firstLine="420"/>
        <w:spacing w:line="360" w:lineRule="auto"/>
        <w:rPr>
          <w:rFonts w:hint="eastAsia" w:ascii="宋体" w:hAnsi="宋体" w:cs="宋体"/>
          <w:szCs w:val="21"/>
        </w:rPr>
      </w:pPr>
      <w:r>
        <w:rPr>
          <w:rFonts w:hint="eastAsia" w:ascii="宋体" w:hAnsi="宋体" w:cs="宋体"/>
          <w:szCs w:val="21"/>
        </w:rPr>
        <w:t xml:space="preserve">（二）因医疗过错致使患者疾病治疗发生迁延的住院时间，应当计入误工期；</w:t>
      </w:r>
      <w:r/>
    </w:p>
    <w:p>
      <w:pPr>
        <w:ind w:firstLine="420"/>
        <w:spacing w:line="360" w:lineRule="auto"/>
        <w:rPr>
          <w:rFonts w:hint="eastAsia" w:ascii="宋体" w:hAnsi="宋体" w:cs="宋体"/>
          <w:szCs w:val="21"/>
        </w:rPr>
      </w:pPr>
      <w:r>
        <w:rPr>
          <w:rFonts w:hint="eastAsia" w:ascii="宋体" w:hAnsi="宋体" w:cs="宋体"/>
          <w:szCs w:val="21"/>
        </w:rPr>
        <w:t xml:space="preserve">（三）因医疗过错致使患者病休的合理时间，应当计入误工期；</w:t>
      </w:r>
      <w:r/>
    </w:p>
    <w:p>
      <w:pPr>
        <w:ind w:firstLine="420"/>
        <w:spacing w:line="360" w:lineRule="auto"/>
        <w:rPr>
          <w:rFonts w:hint="eastAsia" w:ascii="宋体" w:hAnsi="宋体" w:cs="宋体"/>
          <w:szCs w:val="21"/>
        </w:rPr>
      </w:pPr>
      <w:r>
        <w:rPr>
          <w:rFonts w:hint="eastAsia" w:ascii="宋体" w:hAnsi="宋体" w:cs="宋体"/>
          <w:szCs w:val="21"/>
        </w:rPr>
        <w:t xml:space="preserve">（四）患者因医疗损害构成残疾并持续误工的，误工期计算至定残日前一天；由于伤情变化，实际发生两次或两次以上伤残评定并持续误工的，误工期计算至案件处理中被采信的定残结果的定残日前一天（本处包含医疗纠纷调解组织对患者的伤残评定）；</w:t>
      </w:r>
      <w:r/>
    </w:p>
    <w:p>
      <w:pPr>
        <w:ind w:firstLine="420"/>
        <w:spacing w:line="360" w:lineRule="auto"/>
        <w:rPr>
          <w:rFonts w:hint="eastAsia" w:ascii="宋体" w:hAnsi="宋体" w:cs="宋体"/>
          <w:szCs w:val="21"/>
        </w:rPr>
      </w:pPr>
      <w:r>
        <w:rPr>
          <w:rFonts w:hint="eastAsia" w:ascii="宋体" w:hAnsi="宋体" w:cs="宋体"/>
          <w:szCs w:val="21"/>
        </w:rPr>
        <w:t xml:space="preserve">（五）患方无法提供医疗机构开具的医学休假诊断证明的，误工期应当结合患者年龄、体质等因素，参考《人身损害误工期、护理期、营养期评定规范》（GA/T 1193-2014），在标准范围内进行综合评定（本标准中的误工期已包含住院期间的误工期）；</w:t>
      </w:r>
      <w:r/>
    </w:p>
    <w:p>
      <w:pPr>
        <w:ind w:firstLine="420"/>
        <w:spacing w:line="360" w:lineRule="auto"/>
        <w:rPr>
          <w:rFonts w:hint="eastAsia" w:ascii="宋体" w:hAnsi="宋体" w:cs="宋体"/>
          <w:szCs w:val="21"/>
        </w:rPr>
      </w:pPr>
      <w:r>
        <w:rPr>
          <w:rFonts w:hint="eastAsia" w:ascii="宋体" w:hAnsi="宋体" w:cs="宋体"/>
          <w:szCs w:val="21"/>
        </w:rPr>
        <w:t xml:space="preserve">2、关于患者误工费的计算，按照下列标准执行。</w:t>
      </w:r>
      <w:r/>
    </w:p>
    <w:p>
      <w:pPr>
        <w:ind w:firstLine="420"/>
        <w:spacing w:line="360" w:lineRule="auto"/>
        <w:rPr>
          <w:rFonts w:hint="eastAsia" w:ascii="宋体" w:hAnsi="宋体" w:cs="宋体"/>
          <w:szCs w:val="21"/>
        </w:rPr>
      </w:pPr>
      <w:r>
        <w:rPr>
          <w:rFonts w:hint="eastAsia" w:ascii="宋体" w:hAnsi="宋体" w:cs="宋体"/>
          <w:szCs w:val="21"/>
        </w:rPr>
        <w:t xml:space="preserve">（一）患者有固定收入的，应当按照其实际减少的损失计算误工费赔偿，其误工费=误工期间应得收入－务工期间实际收入。</w:t>
      </w:r>
      <w:r/>
    </w:p>
    <w:p>
      <w:pPr>
        <w:ind w:firstLine="420"/>
        <w:spacing w:line="360" w:lineRule="auto"/>
        <w:rPr>
          <w:rFonts w:hint="eastAsia" w:ascii="宋体" w:hAnsi="宋体" w:cs="宋体"/>
          <w:szCs w:val="21"/>
        </w:rPr>
      </w:pPr>
      <w:r>
        <w:rPr>
          <w:rFonts w:hint="eastAsia" w:ascii="宋体" w:hAnsi="宋体" w:cs="宋体"/>
          <w:szCs w:val="21"/>
        </w:rPr>
        <w:t xml:space="preserve">（二）患者无固定收入，但能证明其最近三年的平均收入状况的，其误工费=误工时间（天）×最近三年的平均收入水平（元/天）。</w:t>
      </w:r>
      <w:r/>
    </w:p>
    <w:p>
      <w:pPr>
        <w:ind w:firstLine="420"/>
        <w:spacing w:line="360" w:lineRule="auto"/>
        <w:rPr>
          <w:rFonts w:hint="eastAsia" w:ascii="宋体" w:hAnsi="宋体" w:cs="宋体"/>
          <w:szCs w:val="21"/>
        </w:rPr>
      </w:pPr>
      <w:r>
        <w:rPr>
          <w:rFonts w:hint="eastAsia" w:ascii="宋体" w:hAnsi="宋体" w:cs="宋体"/>
          <w:szCs w:val="21"/>
        </w:rPr>
        <w:t xml:space="preserve">（三）患者无固定收入，且不能证明其最近三年的平均收入状况的，参照与患者相同或者相近行业上一年度职工平均工资计算，其误工费=误工时间（天）×相同、相近行业的上一年职工平均工资（天/元）。</w:t>
      </w:r>
      <w:r/>
    </w:p>
    <w:p>
      <w:pPr>
        <w:ind w:firstLine="420"/>
        <w:spacing w:line="360" w:lineRule="auto"/>
        <w:rPr>
          <w:rFonts w:hint="eastAsia" w:ascii="宋体" w:hAnsi="宋体" w:cs="宋体"/>
          <w:szCs w:val="21"/>
        </w:rPr>
      </w:pPr>
      <w:r>
        <w:rPr>
          <w:rFonts w:hint="eastAsia" w:ascii="宋体" w:hAnsi="宋体" w:cs="宋体"/>
          <w:szCs w:val="21"/>
        </w:rPr>
        <w:t xml:space="preserve">1.相同或相近行业判断标准如下：</w:t>
      </w:r>
      <w:r/>
    </w:p>
    <w:p>
      <w:pPr>
        <w:ind w:firstLine="420"/>
        <w:spacing w:line="360" w:lineRule="auto"/>
        <w:rPr>
          <w:rFonts w:hint="eastAsia" w:ascii="宋体" w:hAnsi="宋体" w:cs="宋体"/>
          <w:szCs w:val="21"/>
        </w:rPr>
      </w:pPr>
      <w:r>
        <w:rPr>
          <w:rFonts w:hint="eastAsia" w:ascii="宋体" w:hAnsi="宋体" w:cs="宋体"/>
          <w:szCs w:val="21"/>
        </w:rPr>
        <w:t xml:space="preserve">（1）产业分类标准；</w:t>
      </w:r>
      <w:r/>
    </w:p>
    <w:p>
      <w:pPr>
        <w:ind w:firstLine="420"/>
        <w:spacing w:line="360" w:lineRule="auto"/>
        <w:rPr>
          <w:rFonts w:hint="eastAsia" w:ascii="宋体" w:hAnsi="宋体" w:cs="宋体"/>
          <w:szCs w:val="21"/>
        </w:rPr>
      </w:pPr>
      <w:r>
        <w:rPr>
          <w:rFonts w:hint="eastAsia" w:ascii="宋体" w:hAnsi="宋体" w:cs="宋体"/>
          <w:szCs w:val="21"/>
        </w:rPr>
        <w:t xml:space="preserve">（2）同一产业内的社会评价标准；</w:t>
      </w:r>
      <w:r/>
    </w:p>
    <w:p>
      <w:pPr>
        <w:ind w:firstLine="420"/>
        <w:spacing w:line="360" w:lineRule="auto"/>
        <w:rPr>
          <w:rFonts w:hint="eastAsia" w:ascii="宋体" w:hAnsi="宋体" w:cs="宋体"/>
          <w:szCs w:val="21"/>
        </w:rPr>
      </w:pPr>
      <w:r>
        <w:rPr>
          <w:rFonts w:hint="eastAsia" w:ascii="宋体" w:hAnsi="宋体" w:cs="宋体"/>
          <w:szCs w:val="21"/>
        </w:rPr>
        <w:t xml:space="preserve">（3）以省为判断标准。</w:t>
      </w:r>
      <w:r/>
    </w:p>
    <w:p>
      <w:pPr>
        <w:ind w:firstLine="420"/>
        <w:spacing w:line="360" w:lineRule="auto"/>
        <w:rPr>
          <w:rFonts w:hint="eastAsia" w:ascii="宋体" w:hAnsi="宋体" w:cs="宋体"/>
          <w:szCs w:val="21"/>
        </w:rPr>
      </w:pPr>
      <w:r>
        <w:rPr>
          <w:rFonts w:hint="eastAsia" w:ascii="宋体" w:hAnsi="宋体" w:cs="宋体"/>
          <w:szCs w:val="21"/>
        </w:rPr>
        <w:t xml:space="preserve">2.相同或相近行业职工平均工资标准以本省高级人民法院每年公布的关于适用《最高人民法院关于审理人身损害赔偿案件适用法律若干问题的解释》有关赔偿产品的费用标准为准，或以本省统计局发布的最新的国民经济和社会发展统计公报及统计年鉴中的相关统计数据为准。</w:t>
      </w:r>
      <w:r/>
    </w:p>
    <w:p>
      <w:pPr>
        <w:ind w:firstLine="420"/>
        <w:spacing w:line="360" w:lineRule="auto"/>
        <w:rPr>
          <w:rFonts w:hint="eastAsia" w:ascii="宋体" w:hAnsi="宋体" w:cs="宋体"/>
          <w:szCs w:val="21"/>
        </w:rPr>
      </w:pPr>
      <w:r>
        <w:rPr>
          <w:rFonts w:hint="eastAsia" w:ascii="宋体" w:hAnsi="宋体" w:cs="宋体"/>
          <w:szCs w:val="21"/>
        </w:rPr>
        <w:t xml:space="preserve">（四）患者无固定收入、不能证明其最近三年的平均收入状况，且不能确定其所属行业情况的，按</w:t>
      </w:r>
      <w:r>
        <w:rPr>
          <w:rFonts w:hint="eastAsia" w:ascii="宋体" w:hAnsi="宋体" w:cs="宋体"/>
          <w:szCs w:val="21"/>
          <w:lang w:val="en-US" w:eastAsia="zh-CN"/>
        </w:rPr>
        <w:t xml:space="preserve">100元/天</w:t>
      </w:r>
      <w:r>
        <w:rPr>
          <w:rFonts w:hint="eastAsia" w:ascii="宋体" w:hAnsi="宋体" w:cs="宋体"/>
          <w:szCs w:val="21"/>
        </w:rPr>
        <w:t xml:space="preserve">计算。</w:t>
      </w:r>
      <w:r/>
    </w:p>
    <w:p>
      <w:pPr>
        <w:ind w:firstLine="420"/>
        <w:spacing w:line="360" w:lineRule="auto"/>
        <w:rPr>
          <w:rFonts w:hint="eastAsia" w:ascii="宋体" w:hAnsi="宋体" w:cs="宋体"/>
          <w:szCs w:val="21"/>
        </w:rPr>
      </w:pPr>
      <w:r>
        <w:rPr>
          <w:rFonts w:hint="eastAsia" w:ascii="宋体" w:hAnsi="宋体" w:cs="宋体"/>
          <w:szCs w:val="21"/>
        </w:rPr>
        <w:t xml:space="preserve">3、患者因医疗过错导致损害，符合下列条件之一的，应当给付患者护理费。</w:t>
      </w:r>
      <w:r/>
    </w:p>
    <w:p>
      <w:pPr>
        <w:ind w:firstLine="420"/>
        <w:spacing w:line="360" w:lineRule="auto"/>
        <w:rPr>
          <w:rFonts w:hint="eastAsia" w:ascii="宋体" w:hAnsi="宋体" w:cs="宋体"/>
          <w:szCs w:val="21"/>
        </w:rPr>
      </w:pPr>
      <w:r>
        <w:rPr>
          <w:rFonts w:hint="eastAsia" w:ascii="宋体" w:hAnsi="宋体" w:cs="宋体"/>
          <w:szCs w:val="21"/>
        </w:rPr>
        <w:t xml:space="preserve">（一）患者护理级别在二级护理以上（含本数）；</w:t>
      </w:r>
      <w:r/>
    </w:p>
    <w:p>
      <w:pPr>
        <w:ind w:firstLine="420"/>
        <w:spacing w:line="360" w:lineRule="auto"/>
        <w:rPr>
          <w:rFonts w:hint="eastAsia" w:ascii="宋体" w:hAnsi="宋体" w:cs="宋体"/>
          <w:szCs w:val="21"/>
        </w:rPr>
      </w:pPr>
      <w:r>
        <w:rPr>
          <w:rFonts w:hint="eastAsia" w:ascii="宋体" w:hAnsi="宋体" w:cs="宋体"/>
          <w:szCs w:val="21"/>
        </w:rPr>
        <w:t xml:space="preserve">（二）医疗机构医嘱载明需陪护的；</w:t>
      </w:r>
      <w:r/>
    </w:p>
    <w:p>
      <w:pPr>
        <w:ind w:firstLine="420"/>
        <w:spacing w:line="360" w:lineRule="auto"/>
        <w:rPr>
          <w:rFonts w:hint="eastAsia" w:ascii="宋体" w:hAnsi="宋体" w:cs="宋体"/>
          <w:szCs w:val="21"/>
        </w:rPr>
      </w:pPr>
      <w:r>
        <w:rPr>
          <w:rFonts w:hint="eastAsia" w:ascii="宋体" w:hAnsi="宋体" w:cs="宋体"/>
          <w:szCs w:val="21"/>
        </w:rPr>
        <w:t xml:space="preserve">（三）按照《人身损害误工期、护理期、营养期评定规范》（GA/T 1193-2014）规定需计算患者护理期的；</w:t>
      </w:r>
      <w:r/>
    </w:p>
    <w:p>
      <w:pPr>
        <w:ind w:firstLine="420"/>
        <w:spacing w:line="360" w:lineRule="auto"/>
        <w:rPr>
          <w:rFonts w:hint="eastAsia" w:ascii="宋体" w:hAnsi="宋体" w:cs="宋体"/>
          <w:szCs w:val="21"/>
        </w:rPr>
      </w:pPr>
      <w:r>
        <w:rPr>
          <w:rFonts w:hint="eastAsia" w:ascii="宋体" w:hAnsi="宋体" w:cs="宋体"/>
          <w:szCs w:val="21"/>
        </w:rPr>
        <w:t xml:space="preserve">（四）经专业评定，患者因医疗损害确需护理的（本处包含医疗纠纷调解组织对患者护理依赖程度的专业评定）；</w:t>
      </w:r>
      <w:r/>
    </w:p>
    <w:p>
      <w:pPr>
        <w:ind w:firstLine="420"/>
        <w:spacing w:line="360" w:lineRule="auto"/>
        <w:rPr>
          <w:rFonts w:hint="eastAsia" w:ascii="宋体" w:hAnsi="宋体" w:cs="宋体"/>
          <w:szCs w:val="21"/>
        </w:rPr>
      </w:pPr>
      <w:r>
        <w:rPr>
          <w:rFonts w:hint="eastAsia" w:ascii="宋体" w:hAnsi="宋体" w:cs="宋体"/>
          <w:szCs w:val="21"/>
        </w:rPr>
        <w:t xml:space="preserve">（五）其他应当给付患者护理费的情形。</w:t>
      </w:r>
      <w:r/>
    </w:p>
    <w:p>
      <w:pPr>
        <w:ind w:firstLine="420"/>
        <w:spacing w:line="360" w:lineRule="auto"/>
        <w:rPr>
          <w:rFonts w:hint="eastAsia" w:ascii="宋体" w:hAnsi="宋体" w:cs="宋体"/>
          <w:szCs w:val="21"/>
        </w:rPr>
      </w:pPr>
      <w:r>
        <w:rPr>
          <w:rFonts w:hint="eastAsia" w:ascii="宋体" w:hAnsi="宋体" w:cs="宋体"/>
          <w:szCs w:val="21"/>
        </w:rPr>
        <w:t xml:space="preserve">4、关于患者护理期的确定，按照下列标准执行。</w:t>
      </w:r>
      <w:r/>
    </w:p>
    <w:p>
      <w:pPr>
        <w:ind w:firstLine="420"/>
        <w:spacing w:line="360" w:lineRule="auto"/>
        <w:rPr>
          <w:rFonts w:hint="eastAsia" w:ascii="宋体" w:hAnsi="宋体" w:cs="宋体"/>
          <w:szCs w:val="21"/>
        </w:rPr>
      </w:pPr>
      <w:r>
        <w:rPr>
          <w:rFonts w:hint="eastAsia" w:ascii="宋体" w:hAnsi="宋体" w:cs="宋体"/>
          <w:szCs w:val="21"/>
        </w:rPr>
        <w:t xml:space="preserve">（一）住院期间患者护理期的计算，其起止时间的认定应当与医疗过错起止时间的认定相一致；</w:t>
      </w:r>
      <w:r/>
    </w:p>
    <w:p>
      <w:pPr>
        <w:ind w:firstLine="420"/>
        <w:spacing w:line="360" w:lineRule="auto"/>
        <w:rPr>
          <w:rFonts w:hint="eastAsia" w:ascii="宋体" w:hAnsi="宋体" w:cs="宋体"/>
          <w:szCs w:val="21"/>
        </w:rPr>
      </w:pPr>
      <w:r>
        <w:rPr>
          <w:rFonts w:hint="eastAsia" w:ascii="宋体" w:hAnsi="宋体" w:cs="宋体"/>
          <w:szCs w:val="21"/>
        </w:rPr>
        <w:t xml:space="preserve">（二）患者护理期的计算，结合其年龄、体质等因素，可以参考《人身损害误工期、护理期、营养期评定规范》（GA/T 1193-2014），在标准范围内进行综合评定（本标准中的护理期已包含住院期间的护理期）；</w:t>
      </w:r>
      <w:r/>
    </w:p>
    <w:p>
      <w:pPr>
        <w:ind w:firstLine="420"/>
        <w:spacing w:line="360" w:lineRule="auto"/>
        <w:rPr>
          <w:rFonts w:hint="eastAsia" w:ascii="宋体" w:hAnsi="宋体" w:cs="宋体"/>
          <w:szCs w:val="21"/>
        </w:rPr>
      </w:pPr>
      <w:r>
        <w:rPr>
          <w:rFonts w:hint="eastAsia" w:ascii="宋体" w:hAnsi="宋体" w:cs="宋体"/>
          <w:szCs w:val="21"/>
        </w:rPr>
        <w:t xml:space="preserve">（三）护理期应当计算至患者恢复生活自理能力时止；患者因医疗损害致残而不能恢复生活自理能力的，据其年龄、健康状况等方面确定护理期限，最长不超过20年。患者是否需要护理，根据其护理依赖程度来确定，可参照《人身损害护理依赖程度评定》（GB/T 31147-2014）相关标准。</w:t>
      </w:r>
      <w:r/>
    </w:p>
    <w:p>
      <w:pPr>
        <w:ind w:firstLine="420"/>
        <w:spacing w:line="360" w:lineRule="auto"/>
        <w:rPr>
          <w:rFonts w:hint="eastAsia" w:ascii="宋体" w:hAnsi="宋体" w:cs="宋体"/>
          <w:szCs w:val="21"/>
        </w:rPr>
      </w:pPr>
      <w:r>
        <w:rPr>
          <w:rFonts w:hint="eastAsia" w:ascii="宋体" w:hAnsi="宋体" w:cs="宋体"/>
          <w:szCs w:val="21"/>
        </w:rPr>
        <w:t xml:space="preserve">5、关于患者护理费的计算，按照下列标准执行。</w:t>
      </w:r>
      <w:r/>
    </w:p>
    <w:p>
      <w:pPr>
        <w:ind w:firstLine="420"/>
        <w:spacing w:line="360" w:lineRule="auto"/>
        <w:rPr>
          <w:rFonts w:hint="eastAsia" w:ascii="宋体" w:hAnsi="宋体" w:cs="宋体"/>
          <w:szCs w:val="21"/>
        </w:rPr>
      </w:pPr>
      <w:r>
        <w:rPr>
          <w:rFonts w:hint="eastAsia" w:ascii="宋体" w:hAnsi="宋体" w:cs="宋体"/>
          <w:szCs w:val="21"/>
        </w:rPr>
        <w:t xml:space="preserve">（一）护理人员有固定收入的，按其实际减少的收入计算(参照误工费相关计算标准）；</w:t>
      </w:r>
      <w:r/>
    </w:p>
    <w:p>
      <w:pPr>
        <w:ind w:firstLine="420"/>
        <w:spacing w:line="360" w:lineRule="auto"/>
        <w:rPr>
          <w:rFonts w:hint="eastAsia" w:ascii="宋体" w:hAnsi="宋体" w:cs="宋体"/>
          <w:szCs w:val="21"/>
        </w:rPr>
      </w:pPr>
      <w:r>
        <w:rPr>
          <w:rFonts w:hint="eastAsia" w:ascii="宋体" w:hAnsi="宋体" w:cs="宋体"/>
          <w:szCs w:val="21"/>
        </w:rPr>
        <w:t xml:space="preserve">（二）护理人员无固定收入但能证明其最近三年的平均收入状况的，以其最近三年的平均收入来计算(参照误工费相关计算标准）；</w:t>
      </w:r>
      <w:r/>
    </w:p>
    <w:p>
      <w:pPr>
        <w:ind w:firstLine="420"/>
        <w:spacing w:line="360" w:lineRule="auto"/>
        <w:rPr>
          <w:rFonts w:hint="eastAsia" w:ascii="宋体" w:hAnsi="宋体" w:cs="宋体"/>
          <w:szCs w:val="21"/>
        </w:rPr>
      </w:pPr>
      <w:r>
        <w:rPr>
          <w:rFonts w:hint="eastAsia" w:ascii="宋体" w:hAnsi="宋体" w:cs="宋体"/>
          <w:szCs w:val="21"/>
        </w:rPr>
        <w:t xml:space="preserve">（三）护理人员没有收入或雇佣护工的，参照当地护工从事同等级别护理的劳务报酬标准计算，但每日护理费应在国家统计局发布的最新服务业日工资标准内。</w:t>
      </w:r>
      <w:r/>
    </w:p>
    <w:p>
      <w:pPr>
        <w:ind w:firstLine="420"/>
        <w:spacing w:line="360" w:lineRule="auto"/>
        <w:rPr>
          <w:rFonts w:hint="eastAsia" w:ascii="宋体" w:hAnsi="宋体" w:cs="宋体"/>
          <w:szCs w:val="21"/>
        </w:rPr>
      </w:pPr>
      <w:r>
        <w:rPr>
          <w:rFonts w:hint="eastAsia" w:ascii="宋体" w:hAnsi="宋体" w:cs="宋体"/>
          <w:szCs w:val="21"/>
        </w:rPr>
        <w:t xml:space="preserve">（四）医患双方已达成调解协议，患者出院后在护理期限尚未届满前死亡的，已支付的护理费中尚未经过的护理期限的护理费不退还。</w:t>
      </w:r>
      <w:r/>
    </w:p>
    <w:p>
      <w:pPr>
        <w:ind w:firstLine="420"/>
        <w:spacing w:line="360" w:lineRule="auto"/>
        <w:rPr>
          <w:rFonts w:hint="eastAsia" w:ascii="宋体" w:hAnsi="宋体" w:cs="宋体"/>
          <w:szCs w:val="21"/>
        </w:rPr>
      </w:pPr>
      <w:r>
        <w:rPr>
          <w:rFonts w:hint="eastAsia" w:ascii="宋体" w:hAnsi="宋体" w:cs="宋体"/>
          <w:szCs w:val="21"/>
        </w:rPr>
        <w:t xml:space="preserve">6、患者营养费的认定，应当注意下列事项。</w:t>
      </w:r>
      <w:r/>
    </w:p>
    <w:p>
      <w:pPr>
        <w:ind w:firstLine="420"/>
        <w:spacing w:line="360" w:lineRule="auto"/>
        <w:rPr>
          <w:rFonts w:hint="eastAsia" w:ascii="宋体" w:hAnsi="宋体" w:cs="宋体"/>
          <w:szCs w:val="21"/>
        </w:rPr>
      </w:pPr>
      <w:r>
        <w:rPr>
          <w:rFonts w:hint="eastAsia" w:ascii="宋体" w:hAnsi="宋体" w:cs="宋体"/>
          <w:szCs w:val="21"/>
        </w:rPr>
        <w:t xml:space="preserve">（一）给付营养费应当根据患者的损害或伤残的具体情况；</w:t>
      </w:r>
      <w:r/>
    </w:p>
    <w:p>
      <w:pPr>
        <w:ind w:firstLine="420"/>
        <w:spacing w:line="360" w:lineRule="auto"/>
        <w:rPr>
          <w:rFonts w:hint="eastAsia" w:ascii="宋体" w:hAnsi="宋体" w:cs="宋体"/>
          <w:szCs w:val="21"/>
        </w:rPr>
      </w:pPr>
      <w:r>
        <w:rPr>
          <w:rFonts w:hint="eastAsia" w:ascii="宋体" w:hAnsi="宋体" w:cs="宋体"/>
          <w:szCs w:val="21"/>
        </w:rPr>
        <w:t xml:space="preserve">（二）给付营养费应当参照医疗机构意见；</w:t>
      </w:r>
      <w:r/>
    </w:p>
    <w:p>
      <w:pPr>
        <w:ind w:firstLine="420"/>
        <w:spacing w:line="360" w:lineRule="auto"/>
        <w:rPr>
          <w:rFonts w:hint="eastAsia" w:ascii="宋体" w:hAnsi="宋体" w:cs="宋体"/>
          <w:szCs w:val="21"/>
        </w:rPr>
      </w:pPr>
      <w:r>
        <w:rPr>
          <w:rFonts w:hint="eastAsia" w:ascii="宋体" w:hAnsi="宋体" w:cs="宋体"/>
          <w:szCs w:val="21"/>
        </w:rPr>
        <w:t xml:space="preserve">（三）无医疗机构意见，根据患者损害情况确需加强营养的，营养期的认定结合患者年龄、体质等因素，参照《人身损害误工期、护理期、营养期评定规范》（GA/T 1193-2014），在标准范围内进行综合评定（本标准中的营养期已包含住院期间的营养期）。</w:t>
      </w:r>
      <w:r/>
    </w:p>
    <w:p>
      <w:pPr>
        <w:ind w:firstLine="420"/>
        <w:spacing w:line="360" w:lineRule="auto"/>
        <w:rPr>
          <w:rFonts w:hint="eastAsia" w:ascii="宋体" w:hAnsi="宋体" w:cs="宋体"/>
          <w:szCs w:val="21"/>
        </w:rPr>
      </w:pPr>
      <w:r>
        <w:rPr>
          <w:rFonts w:hint="eastAsia" w:ascii="宋体" w:hAnsi="宋体" w:cs="宋体"/>
          <w:szCs w:val="21"/>
        </w:rPr>
        <w:t xml:space="preserve">7、患者营养费的赔偿计算，按照下列标准执行。</w:t>
      </w:r>
      <w:r/>
    </w:p>
    <w:p>
      <w:pPr>
        <w:ind w:firstLine="420"/>
        <w:spacing w:line="360" w:lineRule="auto"/>
        <w:rPr>
          <w:rFonts w:hint="eastAsia" w:ascii="宋体" w:hAnsi="宋体" w:cs="宋体"/>
          <w:szCs w:val="21"/>
        </w:rPr>
      </w:pPr>
      <w:r>
        <w:rPr>
          <w:rFonts w:hint="eastAsia" w:ascii="宋体" w:hAnsi="宋体" w:cs="宋体"/>
          <w:szCs w:val="21"/>
        </w:rPr>
        <w:t xml:space="preserve">（一）患者提供了购买营养品的票据的，参考其损害后果、伤残情况、当地消费水平及司法判决实践等因素合理确定赔付金额；</w:t>
      </w:r>
      <w:r/>
    </w:p>
    <w:p>
      <w:pPr>
        <w:ind w:firstLine="420"/>
        <w:spacing w:line="360" w:lineRule="auto"/>
        <w:rPr>
          <w:rFonts w:hint="eastAsia" w:ascii="宋体" w:hAnsi="宋体" w:cs="宋体"/>
          <w:szCs w:val="21"/>
        </w:rPr>
      </w:pPr>
      <w:r>
        <w:rPr>
          <w:rFonts w:hint="eastAsia" w:ascii="宋体" w:hAnsi="宋体" w:cs="宋体"/>
          <w:szCs w:val="21"/>
        </w:rPr>
        <w:t xml:space="preserve">（二）患者未提供购买营养品的票据的，根据医疗机构的建议酌情考虑，可按照当地城镇居民日平均生活费标准的40%-60%进行计算。</w:t>
      </w:r>
      <w:r/>
    </w:p>
    <w:p>
      <w:pPr>
        <w:ind w:firstLine="420"/>
        <w:spacing w:line="360" w:lineRule="auto"/>
        <w:rPr>
          <w:rFonts w:hint="eastAsia" w:ascii="宋体" w:hAnsi="宋体" w:cs="宋体"/>
          <w:szCs w:val="21"/>
        </w:rPr>
      </w:pPr>
      <w:r>
        <w:rPr>
          <w:rFonts w:hint="eastAsia" w:ascii="宋体" w:hAnsi="宋体" w:cs="宋体"/>
          <w:szCs w:val="21"/>
        </w:rPr>
        <w:t xml:space="preserve">当地对营养费的赔偿计算有相关规定或标准的，参照当地规定或标准。</w:t>
      </w:r>
      <w:r/>
    </w:p>
    <w:p>
      <w:pPr>
        <w:ind w:firstLine="420"/>
        <w:spacing w:line="360" w:lineRule="auto"/>
        <w:rPr>
          <w:rFonts w:hint="eastAsia" w:ascii="宋体" w:hAnsi="宋体" w:cs="宋体"/>
          <w:szCs w:val="21"/>
        </w:rPr>
      </w:pPr>
      <w:r>
        <w:rPr>
          <w:rFonts w:hint="eastAsia" w:ascii="宋体" w:hAnsi="宋体" w:cs="宋体"/>
          <w:szCs w:val="21"/>
        </w:rPr>
        <w:t xml:space="preserve">8、患者住院伙食补助费的计算，按照下列标准执行。</w:t>
      </w:r>
      <w:r/>
    </w:p>
    <w:p>
      <w:pPr>
        <w:ind w:firstLine="420"/>
        <w:spacing w:line="360" w:lineRule="auto"/>
        <w:rPr>
          <w:rFonts w:hint="eastAsia" w:ascii="宋体" w:hAnsi="宋体" w:cs="宋体"/>
          <w:szCs w:val="21"/>
        </w:rPr>
      </w:pPr>
      <w:r>
        <w:rPr>
          <w:rFonts w:hint="eastAsia" w:ascii="宋体" w:hAnsi="宋体" w:cs="宋体"/>
          <w:szCs w:val="21"/>
        </w:rPr>
        <w:t xml:space="preserve">（二）患者住院伙食补助费的赔偿期以医疗机构责任范围内的住院天数为限。</w:t>
      </w:r>
      <w:r/>
    </w:p>
    <w:p>
      <w:pPr>
        <w:ind w:firstLine="420"/>
        <w:spacing w:line="360" w:lineRule="auto"/>
        <w:rPr>
          <w:rFonts w:hint="eastAsia" w:ascii="宋体" w:hAnsi="宋体" w:cs="宋体"/>
          <w:szCs w:val="21"/>
        </w:rPr>
      </w:pPr>
      <w:r>
        <w:rPr>
          <w:rFonts w:hint="eastAsia" w:ascii="宋体" w:hAnsi="宋体" w:cs="宋体"/>
          <w:szCs w:val="21"/>
        </w:rPr>
        <w:t xml:space="preserve">（二）患者住院伙食补助费标准参照本省国家机关一般工作人员出差伙食补助费标准计算，住院伙食补助费=住院天数×本省国家机关一般工作人员伙食补助费标准。国家机关一般工作人员出差伙食补助费标准按照财政部发布的《中央和国家机关差旅费管理办法》的相关规定执行。</w:t>
      </w:r>
      <w:r/>
    </w:p>
    <w:p>
      <w:pPr>
        <w:ind w:firstLine="420"/>
        <w:spacing w:line="360" w:lineRule="auto"/>
        <w:rPr>
          <w:rFonts w:hint="eastAsia" w:ascii="宋体" w:hAnsi="宋体" w:cs="宋体"/>
          <w:szCs w:val="21"/>
        </w:rPr>
      </w:pPr>
      <w:r>
        <w:rPr>
          <w:rFonts w:hint="eastAsia" w:ascii="宋体" w:hAnsi="宋体" w:cs="宋体"/>
          <w:szCs w:val="21"/>
        </w:rPr>
        <w:t xml:space="preserve">9、患方精神损害抚慰金的赔偿，应当注意下列事项。</w:t>
      </w:r>
      <w:r/>
    </w:p>
    <w:p>
      <w:pPr>
        <w:ind w:firstLine="420"/>
        <w:spacing w:line="360" w:lineRule="auto"/>
        <w:rPr>
          <w:rFonts w:hint="eastAsia" w:ascii="宋体" w:hAnsi="宋体" w:cs="宋体"/>
          <w:szCs w:val="21"/>
        </w:rPr>
      </w:pPr>
      <w:r>
        <w:rPr>
          <w:rFonts w:hint="eastAsia" w:ascii="宋体" w:hAnsi="宋体" w:cs="宋体"/>
          <w:szCs w:val="21"/>
        </w:rPr>
        <w:t xml:space="preserve">（一）医疗损害致患者死亡、伤残的，可以给付精神损害抚慰金。</w:t>
      </w:r>
      <w:r/>
    </w:p>
    <w:p>
      <w:pPr>
        <w:ind w:firstLine="420"/>
        <w:spacing w:line="360" w:lineRule="auto"/>
        <w:rPr>
          <w:rFonts w:hint="eastAsia" w:ascii="宋体" w:hAnsi="宋体" w:cs="宋体"/>
          <w:szCs w:val="21"/>
        </w:rPr>
      </w:pPr>
      <w:r>
        <w:rPr>
          <w:rFonts w:hint="eastAsia" w:ascii="宋体" w:hAnsi="宋体" w:cs="宋体"/>
          <w:szCs w:val="21"/>
        </w:rPr>
        <w:t xml:space="preserve">（二）医疗损害致患者其他严重后果的，可以给付精神损害抚慰金，其他严重后果的情形包括但不限于：</w:t>
      </w:r>
      <w:r/>
    </w:p>
    <w:p>
      <w:pPr>
        <w:ind w:firstLine="420"/>
        <w:spacing w:line="360" w:lineRule="auto"/>
        <w:rPr>
          <w:rFonts w:hint="eastAsia" w:ascii="宋体" w:hAnsi="宋体" w:cs="宋体"/>
          <w:szCs w:val="21"/>
        </w:rPr>
      </w:pPr>
      <w:r>
        <w:rPr>
          <w:rFonts w:hint="eastAsia" w:ascii="宋体" w:hAnsi="宋体" w:cs="宋体"/>
          <w:szCs w:val="21"/>
        </w:rPr>
        <w:t xml:space="preserve">1.胎死宫内的；</w:t>
      </w:r>
      <w:r/>
    </w:p>
    <w:p>
      <w:pPr>
        <w:ind w:firstLine="420"/>
        <w:spacing w:line="360" w:lineRule="auto"/>
        <w:rPr>
          <w:rFonts w:hint="eastAsia" w:ascii="宋体" w:hAnsi="宋体" w:cs="宋体"/>
          <w:szCs w:val="21"/>
        </w:rPr>
      </w:pPr>
      <w:r>
        <w:rPr>
          <w:rFonts w:hint="eastAsia" w:ascii="宋体" w:hAnsi="宋体" w:cs="宋体"/>
          <w:szCs w:val="21"/>
        </w:rPr>
        <w:t xml:space="preserve">2.损害后果对患者造成职业妨害、严重影响其劳动就业；</w:t>
      </w:r>
      <w:r/>
    </w:p>
    <w:p>
      <w:pPr>
        <w:ind w:firstLine="420"/>
        <w:spacing w:line="360" w:lineRule="auto"/>
        <w:rPr>
          <w:rFonts w:hint="eastAsia" w:ascii="宋体" w:hAnsi="宋体" w:cs="宋体"/>
          <w:szCs w:val="21"/>
        </w:rPr>
      </w:pPr>
      <w:r>
        <w:rPr>
          <w:rFonts w:hint="eastAsia" w:ascii="宋体" w:hAnsi="宋体" w:cs="宋体"/>
          <w:szCs w:val="21"/>
        </w:rPr>
        <w:t xml:space="preserve">3.给患者造成严重身体或精神损伤或巨大痛苦等。</w:t>
      </w:r>
      <w:r/>
    </w:p>
    <w:p>
      <w:pPr>
        <w:ind w:firstLine="420"/>
        <w:spacing w:line="360" w:lineRule="auto"/>
        <w:rPr>
          <w:rFonts w:hint="eastAsia" w:ascii="宋体" w:hAnsi="宋体" w:cs="宋体"/>
          <w:szCs w:val="21"/>
        </w:rPr>
      </w:pPr>
      <w:r>
        <w:rPr>
          <w:rFonts w:hint="eastAsia" w:ascii="宋体" w:hAnsi="宋体" w:cs="宋体"/>
          <w:szCs w:val="21"/>
        </w:rPr>
        <w:t xml:space="preserve">（三）精神损害抚慰金的赔偿数额，应当综合考虑医疗损害的过错程度、所造成后果的严重性、医疗损害的行为方式和当地平均生活水平等因素，酌情确定。</w:t>
      </w:r>
      <w:r/>
    </w:p>
    <w:p>
      <w:pPr>
        <w:ind w:firstLine="420"/>
        <w:spacing w:line="360" w:lineRule="auto"/>
        <w:rPr>
          <w:rFonts w:hint="eastAsia" w:ascii="宋体" w:hAnsi="宋体" w:cs="宋体"/>
          <w:szCs w:val="21"/>
        </w:rPr>
      </w:pPr>
      <w:r>
        <w:rPr>
          <w:rFonts w:hint="eastAsia" w:ascii="宋体" w:hAnsi="宋体" w:cs="宋体"/>
          <w:szCs w:val="21"/>
        </w:rPr>
        <w:t xml:space="preserve">当地对精神损害赔偿有相关规定或标准的，参照当地规定或标准。</w:t>
      </w:r>
      <w:r/>
    </w:p>
    <w:p>
      <w:pPr>
        <w:ind w:firstLine="420"/>
        <w:spacing w:line="360" w:lineRule="auto"/>
        <w:rPr>
          <w:rFonts w:hint="eastAsia" w:ascii="宋体" w:hAnsi="宋体" w:cs="宋体"/>
          <w:szCs w:val="21"/>
        </w:rPr>
      </w:pPr>
      <w:r>
        <w:rPr>
          <w:rFonts w:hint="eastAsia" w:ascii="宋体" w:hAnsi="宋体" w:cs="宋体"/>
          <w:szCs w:val="21"/>
        </w:rPr>
        <w:t xml:space="preserve">10、患者医疗费的计算，应当注意下列事项。</w:t>
      </w:r>
      <w:r/>
    </w:p>
    <w:p>
      <w:pPr>
        <w:ind w:firstLine="420"/>
        <w:spacing w:line="360" w:lineRule="auto"/>
        <w:rPr>
          <w:rFonts w:hint="eastAsia" w:ascii="宋体" w:hAnsi="宋体" w:cs="宋体"/>
          <w:szCs w:val="21"/>
        </w:rPr>
      </w:pPr>
      <w:r>
        <w:rPr>
          <w:rFonts w:hint="eastAsia" w:ascii="宋体" w:hAnsi="宋体" w:cs="宋体"/>
          <w:szCs w:val="21"/>
        </w:rPr>
        <w:t xml:space="preserve">（一）患者主张医疗费的赔偿，应当提供医疗费的相关证明材料。</w:t>
      </w:r>
      <w:r/>
    </w:p>
    <w:p>
      <w:pPr>
        <w:ind w:firstLine="420"/>
        <w:spacing w:line="360" w:lineRule="auto"/>
        <w:rPr>
          <w:rFonts w:hint="eastAsia" w:ascii="宋体" w:hAnsi="宋体" w:cs="宋体"/>
          <w:szCs w:val="21"/>
        </w:rPr>
      </w:pPr>
      <w:r>
        <w:rPr>
          <w:rFonts w:hint="eastAsia" w:ascii="宋体" w:hAnsi="宋体" w:cs="宋体"/>
          <w:szCs w:val="21"/>
        </w:rPr>
        <w:t xml:space="preserve">（二）患者医疗费的赔偿以其因医疗损害的发生而额外支出的医疗费用为准，应当剔除其治疗原发病的费用。由于医疗损害导致原发病加重或发生相关并发症需要合并治疗，无法明确区分的，可以不剔除医疗损害发生后原发病的治疗费用。</w:t>
      </w:r>
      <w:r/>
    </w:p>
    <w:p>
      <w:pPr>
        <w:ind w:firstLine="420"/>
        <w:spacing w:line="360" w:lineRule="auto"/>
        <w:rPr>
          <w:rFonts w:hint="eastAsia" w:ascii="宋体" w:hAnsi="宋体" w:cs="宋体"/>
          <w:szCs w:val="21"/>
        </w:rPr>
      </w:pPr>
      <w:r>
        <w:rPr>
          <w:rFonts w:hint="eastAsia" w:ascii="宋体" w:hAnsi="宋体" w:cs="宋体"/>
          <w:szCs w:val="21"/>
        </w:rPr>
        <w:t xml:space="preserve">（三）根据医疗证明（2-3家不低于当事医疗机构级别的当地医疗机构所出具）或者专业评定、鉴定意见确定后续治疗必然发生的费用，包括因器官功能恢复训练所必要的康复费、适当的整容费以及其他后续治疗费，可以与已经发生的医疗费一并予以赔偿。</w:t>
      </w:r>
      <w:r/>
    </w:p>
    <w:p>
      <w:pPr>
        <w:ind w:firstLine="420"/>
        <w:spacing w:line="360" w:lineRule="auto"/>
        <w:rPr>
          <w:rFonts w:hint="eastAsia" w:ascii="宋体" w:hAnsi="宋体" w:cs="宋体"/>
          <w:szCs w:val="21"/>
        </w:rPr>
      </w:pPr>
      <w:r>
        <w:rPr>
          <w:rFonts w:hint="eastAsia" w:ascii="宋体" w:hAnsi="宋体" w:cs="宋体"/>
          <w:szCs w:val="21"/>
        </w:rPr>
        <w:t xml:space="preserve">（四）患者医疗费已经医保、新农合、补充医疗保险等报销的，以报销后的医疗费为基础计算医疗费赔偿金额。</w:t>
      </w:r>
      <w:r/>
    </w:p>
    <w:p>
      <w:pPr>
        <w:ind w:firstLine="420"/>
        <w:spacing w:line="360" w:lineRule="auto"/>
        <w:rPr>
          <w:rFonts w:hint="eastAsia" w:ascii="宋体" w:hAnsi="宋体" w:cs="宋体"/>
          <w:szCs w:val="21"/>
        </w:rPr>
      </w:pPr>
      <w:r>
        <w:rPr>
          <w:rFonts w:hint="eastAsia" w:ascii="宋体" w:hAnsi="宋体" w:cs="宋体"/>
          <w:szCs w:val="21"/>
        </w:rPr>
        <w:t xml:space="preserve">11、患者被扶养人生活费给付情况的认定，应当注意以下事项。</w:t>
      </w:r>
      <w:r/>
    </w:p>
    <w:p>
      <w:pPr>
        <w:ind w:firstLine="420"/>
        <w:spacing w:line="360" w:lineRule="auto"/>
        <w:rPr>
          <w:rFonts w:hint="eastAsia" w:ascii="宋体" w:hAnsi="宋体" w:cs="宋体"/>
          <w:szCs w:val="21"/>
        </w:rPr>
      </w:pPr>
      <w:r>
        <w:rPr>
          <w:rFonts w:hint="eastAsia" w:ascii="宋体" w:hAnsi="宋体" w:cs="宋体"/>
          <w:szCs w:val="21"/>
        </w:rPr>
        <w:t xml:space="preserve">（一）患者因医疗损害造成死亡或伤残，且伤残等级在1级至6级（含本数）范围内的，给付被扶养人生活费；</w:t>
      </w:r>
      <w:r/>
    </w:p>
    <w:p>
      <w:pPr>
        <w:ind w:firstLine="420"/>
        <w:spacing w:line="360" w:lineRule="auto"/>
        <w:rPr>
          <w:rFonts w:hint="eastAsia" w:ascii="宋体" w:hAnsi="宋体" w:cs="宋体"/>
          <w:szCs w:val="21"/>
        </w:rPr>
      </w:pPr>
      <w:r>
        <w:rPr>
          <w:rFonts w:hint="eastAsia" w:ascii="宋体" w:hAnsi="宋体" w:cs="宋体"/>
          <w:szCs w:val="21"/>
        </w:rPr>
        <w:t xml:space="preserve">（二）患者因医疗损害造成的伤残等级低于6级（不含本数）的，原则上不考虑被扶养人生活费，但伤残后果造成职业妨害、严重影响其劳动就业的，可以给付被扶养人生活费；</w:t>
      </w:r>
      <w:r/>
    </w:p>
    <w:p>
      <w:pPr>
        <w:ind w:firstLine="420"/>
        <w:spacing w:line="360" w:lineRule="auto"/>
        <w:rPr>
          <w:rFonts w:hint="eastAsia" w:ascii="宋体" w:hAnsi="宋体" w:cs="宋体"/>
          <w:szCs w:val="21"/>
        </w:rPr>
      </w:pPr>
      <w:r>
        <w:rPr>
          <w:rFonts w:hint="eastAsia" w:ascii="宋体" w:hAnsi="宋体" w:cs="宋体"/>
          <w:szCs w:val="21"/>
        </w:rPr>
        <w:t xml:space="preserve">（三）被扶养人有多个扶养人的，赔偿义务人只赔偿患者依法应当负担的部分，且患方应当提供被扶养人身份证明及关系证明文件；被抚养人为成年人的，还应当提供其无劳动能力又无其他生活来源的证明。</w:t>
      </w:r>
      <w:r/>
    </w:p>
    <w:p>
      <w:pPr>
        <w:ind w:firstLine="420"/>
        <w:spacing w:line="360" w:lineRule="auto"/>
        <w:rPr>
          <w:rFonts w:hint="eastAsia" w:ascii="宋体" w:hAnsi="宋体" w:cs="宋体"/>
          <w:szCs w:val="21"/>
        </w:rPr>
      </w:pPr>
      <w:r>
        <w:rPr>
          <w:rFonts w:hint="eastAsia" w:ascii="宋体" w:hAnsi="宋体" w:cs="宋体"/>
          <w:szCs w:val="21"/>
        </w:rPr>
        <w:t xml:space="preserve">12、患者被抚养人生活费的计算方式，按照下列标准执行。</w:t>
      </w:r>
      <w:r/>
    </w:p>
    <w:p>
      <w:pPr>
        <w:ind w:firstLine="420"/>
        <w:spacing w:line="360" w:lineRule="auto"/>
        <w:rPr>
          <w:rFonts w:hint="eastAsia" w:ascii="宋体" w:hAnsi="宋体" w:cs="宋体"/>
          <w:szCs w:val="21"/>
        </w:rPr>
      </w:pPr>
      <w:r>
        <w:rPr>
          <w:rFonts w:hint="eastAsia" w:ascii="宋体" w:hAnsi="宋体" w:cs="宋体"/>
          <w:szCs w:val="21"/>
        </w:rPr>
        <w:t xml:space="preserve">（一）不满18周岁的被抚养人生活费＝本省城镇居民人均消费性支出×（18－实际年龄）÷对被抚养人承担抚养义务的人数；</w:t>
      </w:r>
      <w:r/>
    </w:p>
    <w:p>
      <w:pPr>
        <w:ind w:firstLine="420"/>
        <w:spacing w:line="360" w:lineRule="auto"/>
        <w:rPr>
          <w:rFonts w:hint="eastAsia" w:ascii="宋体" w:hAnsi="宋体" w:cs="宋体"/>
          <w:szCs w:val="21"/>
        </w:rPr>
      </w:pPr>
      <w:r>
        <w:rPr>
          <w:rFonts w:hint="eastAsia" w:ascii="宋体" w:hAnsi="宋体" w:cs="宋体"/>
          <w:szCs w:val="21"/>
        </w:rPr>
        <w:t xml:space="preserve">（二）18～60周岁被抚养人无劳动能力又无其他生活来源的生活费＝本省城镇居民人均消费性支出×20年÷对被抚养人承担抚养义务的人数；</w:t>
      </w:r>
      <w:r/>
    </w:p>
    <w:p>
      <w:pPr>
        <w:ind w:firstLine="420"/>
        <w:spacing w:line="360" w:lineRule="auto"/>
        <w:rPr>
          <w:rFonts w:hint="eastAsia" w:ascii="宋体" w:hAnsi="宋体" w:cs="宋体"/>
          <w:szCs w:val="21"/>
        </w:rPr>
      </w:pPr>
      <w:r>
        <w:rPr>
          <w:rFonts w:hint="eastAsia" w:ascii="宋体" w:hAnsi="宋体" w:cs="宋体"/>
          <w:szCs w:val="21"/>
        </w:rPr>
        <w:t xml:space="preserve">（三）60～75周岁被抚养人无劳动能力又无其他生活来源的生活费＝本省城镇居民人均消费性支出×［20－（实际年龄－60）］年÷对被抚养人承担抚养义务的人数；</w:t>
      </w:r>
      <w:r/>
    </w:p>
    <w:p>
      <w:pPr>
        <w:ind w:firstLine="420"/>
        <w:spacing w:line="360" w:lineRule="auto"/>
        <w:rPr>
          <w:rFonts w:hint="eastAsia" w:ascii="宋体" w:hAnsi="宋体" w:cs="宋体"/>
          <w:szCs w:val="21"/>
        </w:rPr>
      </w:pPr>
      <w:r>
        <w:rPr>
          <w:rFonts w:hint="eastAsia" w:ascii="宋体" w:hAnsi="宋体" w:cs="宋体"/>
          <w:szCs w:val="21"/>
        </w:rPr>
        <w:t xml:space="preserve">（四）75周岁以上被抚养人无劳动能力又无其他生活来源的生活费＝本省城镇居民人均消费性支出×5年÷对被抚养人承担抚养义务的人数。</w:t>
      </w:r>
      <w:r/>
    </w:p>
    <w:p>
      <w:pPr>
        <w:ind w:firstLine="420"/>
        <w:spacing w:line="360" w:lineRule="auto"/>
        <w:rPr>
          <w:rFonts w:hint="eastAsia" w:ascii="宋体" w:hAnsi="宋体" w:cs="宋体"/>
          <w:szCs w:val="21"/>
        </w:rPr>
      </w:pPr>
      <w:r>
        <w:rPr>
          <w:rFonts w:hint="eastAsia" w:ascii="宋体" w:hAnsi="宋体" w:cs="宋体"/>
          <w:szCs w:val="21"/>
        </w:rPr>
        <w:t xml:space="preserve">被抚养人有数人时，赔偿义务承担的年赔偿总额≤城镇居民人均消费性支出。</w:t>
      </w:r>
      <w:r/>
    </w:p>
    <w:p>
      <w:pPr>
        <w:ind w:firstLine="420"/>
        <w:spacing w:line="360" w:lineRule="auto"/>
        <w:rPr>
          <w:rFonts w:hint="eastAsia" w:ascii="宋体" w:hAnsi="宋体" w:cs="宋体"/>
          <w:szCs w:val="21"/>
        </w:rPr>
      </w:pPr>
      <w:r>
        <w:rPr>
          <w:rFonts w:hint="eastAsia" w:ascii="宋体" w:hAnsi="宋体" w:cs="宋体"/>
          <w:szCs w:val="21"/>
        </w:rPr>
        <w:t xml:space="preserve">13、死亡赔偿金、残疾赔偿金及被扶养人生活费按照城镇相关标准进行计算。</w:t>
      </w:r>
      <w:r/>
    </w:p>
    <w:p>
      <w:pPr>
        <w:ind w:firstLine="420"/>
        <w:spacing w:line="360" w:lineRule="auto"/>
        <w:rPr>
          <w:rFonts w:hint="eastAsia" w:ascii="宋体" w:hAnsi="宋体" w:cs="宋体"/>
          <w:szCs w:val="21"/>
        </w:rPr>
      </w:pPr>
      <w:r>
        <w:rPr>
          <w:rFonts w:hint="eastAsia" w:ascii="宋体" w:hAnsi="宋体" w:cs="宋体"/>
          <w:szCs w:val="21"/>
        </w:rPr>
        <w:t xml:space="preserve">发生保险责任第三条范围内的保险事故，参保医疗机构在保险事故中承担的责任大小，分为全部责任、主要责任、同等责任、次要责任、轻微责任及无责，赔偿比例对应分别为91%-100%、61%-90%、41%-60%、21%-40%、20%以下以及零责任。</w:t>
      </w:r>
      <w:r/>
    </w:p>
    <w:p>
      <w:pPr>
        <w:pStyle w:val="1096"/>
        <w:numPr>
          <w:ilvl w:val="0"/>
          <w:numId w:val="0"/>
        </w:numPr>
        <w:ind w:left="880"/>
        <w:jc w:val="left"/>
        <w:spacing w:line="360" w:lineRule="auto"/>
        <w:rPr>
          <w:rFonts w:hint="eastAsia" w:ascii="宋体" w:hAnsi="宋体" w:cs="宋体"/>
          <w:b/>
          <w:bCs/>
          <w:szCs w:val="21"/>
        </w:rPr>
      </w:pPr>
      <w:r>
        <w:rPr>
          <w:rFonts w:hint="eastAsia" w:ascii="宋体" w:hAnsi="宋体" w:cs="宋体"/>
          <w:b/>
          <w:bCs/>
          <w:szCs w:val="21"/>
        </w:rPr>
      </w:r>
      <w:r/>
    </w:p>
    <w:p>
      <w:pPr>
        <w:pStyle w:val="1096"/>
        <w:numPr>
          <w:ilvl w:val="0"/>
          <w:numId w:val="46"/>
        </w:numPr>
        <w:ind w:left="0" w:firstLine="420"/>
        <w:jc w:val="left"/>
        <w:spacing w:line="360" w:lineRule="auto"/>
        <w:rPr>
          <w:rFonts w:hint="eastAsia" w:ascii="宋体" w:hAnsi="宋体" w:cs="宋体"/>
          <w:b/>
          <w:bCs/>
          <w:szCs w:val="21"/>
        </w:rPr>
      </w:pPr>
      <w:r>
        <w:rPr>
          <w:rFonts w:hint="eastAsia" w:ascii="宋体" w:hAnsi="宋体" w:cs="宋体"/>
          <w:b/>
          <w:bCs/>
          <w:szCs w:val="21"/>
        </w:rPr>
        <w:t xml:space="preserve">医疗责任保险相关工作流程</w:t>
      </w:r>
      <w:r/>
    </w:p>
    <w:p>
      <w:pPr>
        <w:pStyle w:val="874"/>
        <w:jc w:val="center"/>
        <w:spacing w:line="360" w:lineRule="auto"/>
        <w:rPr>
          <w:rFonts w:hint="eastAsia" w:ascii="宋体" w:hAnsi="宋体" w:cs="宋体"/>
          <w:b/>
          <w:bCs/>
          <w:sz w:val="21"/>
          <w:szCs w:val="21"/>
        </w:rPr>
      </w:pPr>
      <w:r/>
      <w:bookmarkStart w:id="308" w:name="_Toc23884"/>
      <w:r>
        <w:rPr>
          <w:rFonts w:hint="eastAsia" w:ascii="宋体" w:hAnsi="宋体" w:cs="宋体"/>
          <w:b/>
          <w:bCs/>
          <w:sz w:val="21"/>
          <w:szCs w:val="21"/>
        </w:rPr>
        <w:t xml:space="preserve">医疗责任保险相关工作流程</w:t>
      </w:r>
      <w:bookmarkEnd w:id="308"/>
      <w:r/>
      <w:r/>
    </w:p>
    <w:p>
      <w:pPr>
        <w:ind w:firstLine="420"/>
        <w:spacing w:line="360" w:lineRule="auto"/>
        <w:rPr>
          <w:rFonts w:hint="eastAsia" w:ascii="宋体" w:hAnsi="宋体" w:cs="宋体"/>
          <w:szCs w:val="21"/>
        </w:rPr>
      </w:pPr>
      <w:r/>
      <w:bookmarkStart w:id="309" w:name="_Toc2852"/>
      <w:r>
        <w:rPr>
          <w:rFonts w:hint="eastAsia" w:ascii="宋体" w:hAnsi="宋体" w:cs="宋体"/>
          <w:szCs w:val="21"/>
        </w:rPr>
        <w:t xml:space="preserve">1、填写投保信息</w:t>
      </w:r>
      <w:bookmarkEnd w:id="309"/>
      <w:r/>
      <w:r/>
    </w:p>
    <w:p>
      <w:pPr>
        <w:ind w:firstLine="420"/>
        <w:spacing w:line="360" w:lineRule="auto"/>
        <w:rPr>
          <w:rFonts w:hint="eastAsia" w:ascii="宋体" w:hAnsi="宋体" w:cs="宋体"/>
          <w:szCs w:val="21"/>
        </w:rPr>
      </w:pPr>
      <w:r/>
      <w:bookmarkStart w:id="310" w:name="_Toc29674"/>
      <w:r>
        <w:rPr>
          <w:rFonts w:hint="eastAsia" w:ascii="宋体" w:hAnsi="宋体" w:cs="宋体"/>
          <w:szCs w:val="21"/>
        </w:rPr>
        <w:t xml:space="preserve">现场投保</w:t>
      </w:r>
      <w:bookmarkEnd w:id="310"/>
      <w:r>
        <w:rPr>
          <w:rFonts w:hint="eastAsia" w:ascii="宋体" w:hAnsi="宋体" w:cs="宋体"/>
          <w:szCs w:val="21"/>
        </w:rPr>
        <w:t xml:space="preserve">：江泰保险经纪客户经理向医院进行保险产品说明并告知保险合同的基本内容，协助填写投保单信息。医疗机构在投保单、事业单位法人证、执业许可证复印件上加盖公章后提交给江泰公司经纪。经纪人将投保单信息录入卫健网。</w:t>
      </w:r>
      <w:r/>
    </w:p>
    <w:p>
      <w:pPr>
        <w:ind w:firstLine="420"/>
        <w:spacing w:line="360" w:lineRule="auto"/>
        <w:rPr>
          <w:rFonts w:hint="eastAsia" w:ascii="宋体" w:hAnsi="宋体" w:cs="宋体"/>
          <w:szCs w:val="21"/>
        </w:rPr>
      </w:pPr>
      <w:r/>
      <w:bookmarkStart w:id="311" w:name="_Toc6764"/>
      <w:r>
        <w:rPr>
          <w:rFonts w:hint="eastAsia" w:ascii="宋体" w:hAnsi="宋体" w:cs="宋体"/>
          <w:szCs w:val="21"/>
        </w:rPr>
        <w:t xml:space="preserve">2、支付保险费</w:t>
      </w:r>
      <w:bookmarkEnd w:id="311"/>
      <w:r/>
      <w:r/>
    </w:p>
    <w:p>
      <w:pPr>
        <w:ind w:firstLine="420"/>
        <w:spacing w:line="360" w:lineRule="auto"/>
        <w:rPr>
          <w:rFonts w:hint="eastAsia" w:ascii="宋体" w:hAnsi="宋体" w:cs="宋体"/>
          <w:szCs w:val="21"/>
        </w:rPr>
      </w:pPr>
      <w:r>
        <w:rPr>
          <w:rFonts w:hint="eastAsia" w:ascii="宋体" w:hAnsi="宋体" w:cs="宋体"/>
          <w:szCs w:val="21"/>
        </w:rPr>
        <w:t xml:space="preserve">医院将保险费以转账/汇款/支票的方式划付/供应方</w:t>
      </w:r>
      <w:r>
        <w:rPr>
          <w:rFonts w:hint="eastAsia" w:ascii="宋体" w:hAnsi="宋体" w:cs="宋体"/>
          <w:bCs/>
          <w:szCs w:val="21"/>
        </w:rPr>
        <w:t xml:space="preserve">出单公司</w:t>
      </w:r>
      <w:r>
        <w:rPr>
          <w:rFonts w:hint="eastAsia" w:ascii="宋体" w:hAnsi="宋体" w:cs="宋体"/>
          <w:szCs w:val="21"/>
        </w:rPr>
        <w:t xml:space="preserve">指定的统一保险费专收帐户。</w:t>
      </w:r>
      <w:r/>
    </w:p>
    <w:p>
      <w:pPr>
        <w:ind w:firstLine="420"/>
        <w:spacing w:line="360" w:lineRule="auto"/>
        <w:rPr>
          <w:rFonts w:hint="eastAsia" w:ascii="宋体" w:hAnsi="宋体" w:cs="宋体"/>
          <w:szCs w:val="21"/>
        </w:rPr>
      </w:pPr>
      <w:r>
        <w:rPr>
          <w:rFonts w:hint="eastAsia" w:ascii="宋体" w:hAnsi="宋体" w:cs="宋体"/>
          <w:szCs w:val="21"/>
        </w:rPr>
        <w:t xml:space="preserve">账户信息如下：</w:t>
      </w:r>
      <w:r/>
    </w:p>
    <w:p>
      <w:pPr>
        <w:ind w:firstLine="420"/>
        <w:spacing w:line="360" w:lineRule="auto"/>
        <w:rPr>
          <w:rFonts w:hint="eastAsia" w:ascii="宋体" w:hAnsi="宋体" w:cs="宋体"/>
          <w:szCs w:val="21"/>
        </w:rPr>
      </w:pPr>
      <w:r>
        <w:rPr>
          <w:rFonts w:hint="eastAsia" w:ascii="宋体" w:hAnsi="宋体" w:cs="宋体"/>
          <w:szCs w:val="21"/>
        </w:rPr>
        <w:t xml:space="preserve">账户名：</w:t>
      </w:r>
      <w:r/>
    </w:p>
    <w:p>
      <w:pPr>
        <w:ind w:firstLine="420"/>
        <w:spacing w:line="360" w:lineRule="auto"/>
        <w:rPr>
          <w:rFonts w:hint="eastAsia" w:ascii="宋体" w:hAnsi="宋体" w:cs="宋体"/>
          <w:szCs w:val="21"/>
        </w:rPr>
      </w:pPr>
      <w:r>
        <w:rPr>
          <w:rFonts w:hint="eastAsia" w:ascii="宋体" w:hAnsi="宋体" w:cs="宋体"/>
          <w:szCs w:val="21"/>
        </w:rPr>
        <w:t xml:space="preserve">账号： </w:t>
      </w:r>
      <w:r/>
    </w:p>
    <w:p>
      <w:pPr>
        <w:ind w:firstLine="420"/>
        <w:spacing w:line="360" w:lineRule="auto"/>
        <w:rPr>
          <w:rFonts w:hint="eastAsia" w:ascii="宋体" w:hAnsi="宋体" w:cs="宋体"/>
          <w:szCs w:val="21"/>
        </w:rPr>
      </w:pPr>
      <w:r>
        <w:rPr>
          <w:rFonts w:hint="eastAsia" w:ascii="宋体" w:hAnsi="宋体" w:cs="宋体"/>
          <w:szCs w:val="21"/>
        </w:rPr>
        <w:t xml:space="preserve">开户行： </w:t>
      </w:r>
      <w:r/>
    </w:p>
    <w:p>
      <w:pPr>
        <w:ind w:firstLine="420"/>
        <w:spacing w:line="360" w:lineRule="auto"/>
        <w:rPr>
          <w:rFonts w:hint="eastAsia" w:ascii="宋体" w:hAnsi="宋体" w:cs="宋体"/>
          <w:szCs w:val="21"/>
        </w:rPr>
      </w:pPr>
      <w:r/>
      <w:bookmarkStart w:id="312" w:name="_Toc29428"/>
      <w:r>
        <w:rPr>
          <w:rFonts w:hint="eastAsia" w:ascii="宋体" w:hAnsi="宋体" w:cs="宋体"/>
          <w:szCs w:val="21"/>
        </w:rPr>
        <w:t xml:space="preserve">3、出具保险单电子版</w:t>
      </w:r>
      <w:bookmarkEnd w:id="312"/>
      <w:r/>
      <w:r/>
    </w:p>
    <w:p>
      <w:pPr>
        <w:ind w:firstLine="420"/>
        <w:spacing w:line="360" w:lineRule="auto"/>
        <w:rPr>
          <w:rFonts w:hint="eastAsia" w:ascii="宋体" w:hAnsi="宋体" w:cs="宋体"/>
          <w:szCs w:val="21"/>
        </w:rPr>
      </w:pPr>
      <w:r>
        <w:rPr>
          <w:rFonts w:hint="eastAsia" w:ascii="宋体" w:hAnsi="宋体" w:cs="宋体"/>
          <w:szCs w:val="21"/>
        </w:rPr>
        <w:t xml:space="preserve">供应方在收到保费后生成保险单电子版，将保险单电子版以数据报文的形式返回卫健网，卫健网系统自动将保险单电子版发送至江泰公司邮箱或江泰公司登录卫健网下载。</w:t>
      </w:r>
      <w:r/>
    </w:p>
    <w:p>
      <w:pPr>
        <w:ind w:firstLine="420"/>
        <w:spacing w:line="360" w:lineRule="auto"/>
        <w:rPr>
          <w:rFonts w:hint="eastAsia" w:ascii="宋体" w:hAnsi="宋体" w:cs="宋体"/>
          <w:szCs w:val="21"/>
        </w:rPr>
      </w:pPr>
      <w:r>
        <w:rPr>
          <w:rFonts w:hint="eastAsia" w:ascii="宋体" w:hAnsi="宋体" w:cs="宋体"/>
          <w:szCs w:val="21"/>
        </w:rPr>
        <w:t xml:space="preserve">如果存在报文发送不成功时，供应方应及时补发。</w:t>
      </w:r>
      <w:r/>
    </w:p>
    <w:p>
      <w:pPr>
        <w:ind w:firstLine="420"/>
        <w:spacing w:line="360" w:lineRule="auto"/>
        <w:rPr>
          <w:rFonts w:hint="eastAsia" w:ascii="宋体" w:hAnsi="宋体" w:cs="宋体"/>
          <w:szCs w:val="21"/>
        </w:rPr>
      </w:pPr>
      <w:r/>
      <w:bookmarkStart w:id="313" w:name="_Toc6306"/>
      <w:r>
        <w:rPr>
          <w:rFonts w:hint="eastAsia" w:ascii="宋体" w:hAnsi="宋体" w:cs="宋体"/>
          <w:szCs w:val="21"/>
        </w:rPr>
        <w:t xml:space="preserve">4、审核保险单</w:t>
      </w:r>
      <w:bookmarkEnd w:id="313"/>
      <w:r/>
      <w:r/>
    </w:p>
    <w:p>
      <w:pPr>
        <w:ind w:firstLine="420"/>
        <w:spacing w:line="360" w:lineRule="auto"/>
        <w:rPr>
          <w:rFonts w:hint="eastAsia" w:ascii="宋体" w:hAnsi="宋体" w:cs="宋体"/>
          <w:szCs w:val="21"/>
        </w:rPr>
      </w:pPr>
      <w:r>
        <w:rPr>
          <w:rFonts w:hint="eastAsia" w:ascii="宋体" w:hAnsi="宋体" w:cs="宋体"/>
          <w:szCs w:val="21"/>
        </w:rPr>
        <w:t xml:space="preserve">江泰保险经纪审核供应方发送的保险单电子版，审核无误后，向医疗机构注册邮箱发送保险单电子版，同时向医疗机构投保联系人预留手机发送出单成功的信息。</w:t>
      </w:r>
      <w:r/>
    </w:p>
    <w:p>
      <w:pPr>
        <w:ind w:firstLine="420"/>
        <w:spacing w:line="360" w:lineRule="auto"/>
        <w:rPr>
          <w:rFonts w:hint="eastAsia" w:ascii="宋体" w:hAnsi="宋体" w:cs="宋体"/>
          <w:szCs w:val="21"/>
        </w:rPr>
      </w:pPr>
      <w:r>
        <w:rPr>
          <w:rFonts w:hint="eastAsia" w:ascii="宋体" w:hAnsi="宋体" w:cs="宋体"/>
          <w:szCs w:val="21"/>
        </w:rPr>
        <w:t xml:space="preserve">审核保险单发现有错误的立即通知供应方，供应方应在2个工作日内重新出单或出具批单。保单修改期间，发生的保险事故，供应方承担保险责任。</w:t>
      </w:r>
      <w:r/>
    </w:p>
    <w:p>
      <w:pPr>
        <w:ind w:firstLine="420"/>
        <w:spacing w:line="360" w:lineRule="auto"/>
        <w:rPr>
          <w:rFonts w:hint="eastAsia" w:ascii="宋体" w:hAnsi="宋体" w:cs="宋体"/>
          <w:szCs w:val="21"/>
        </w:rPr>
      </w:pPr>
      <w:r/>
      <w:bookmarkStart w:id="314" w:name="_Toc8055"/>
      <w:r>
        <w:rPr>
          <w:rFonts w:hint="eastAsia" w:ascii="宋体" w:hAnsi="宋体" w:cs="宋体"/>
          <w:szCs w:val="21"/>
        </w:rPr>
        <w:t xml:space="preserve">5、递送保险单和保费发票</w:t>
      </w:r>
      <w:bookmarkEnd w:id="314"/>
      <w:r/>
      <w:r/>
    </w:p>
    <w:p>
      <w:pPr>
        <w:ind w:firstLine="420"/>
        <w:spacing w:line="360" w:lineRule="auto"/>
        <w:rPr>
          <w:rFonts w:hint="eastAsia" w:ascii="宋体" w:hAnsi="宋体" w:cs="宋体"/>
          <w:szCs w:val="21"/>
        </w:rPr>
      </w:pPr>
      <w:r>
        <w:rPr>
          <w:rFonts w:hint="eastAsia" w:ascii="宋体" w:hAnsi="宋体" w:cs="宋体"/>
          <w:szCs w:val="21"/>
        </w:rPr>
        <w:t xml:space="preserve">供应方收到出单指示后，应于2个工作日内完成纸质保险单出单，并将保险单、全额保险费发票送达江泰保险经纪。并于两个工作日内将保险单、全额保险费发票递送给医院。</w:t>
      </w:r>
      <w:r/>
    </w:p>
    <w:p>
      <w:pPr>
        <w:ind w:firstLine="420"/>
        <w:spacing w:line="360" w:lineRule="auto"/>
        <w:rPr>
          <w:rFonts w:hint="eastAsia" w:ascii="宋体" w:hAnsi="宋体" w:cs="宋体"/>
          <w:szCs w:val="21"/>
        </w:rPr>
      </w:pPr>
      <w:r>
        <w:rPr>
          <w:rFonts w:hint="eastAsia" w:ascii="宋体" w:hAnsi="宋体" w:cs="宋体"/>
          <w:szCs w:val="21"/>
        </w:rPr>
        <w:t xml:space="preserve">供应方出具的纸质保单与电子保单所载订立保险合同的时间等信息应完全一致。</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End w:id="306"/>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7"/>
        <w:ind w:firstLine="569"/>
        <w:spacing w:line="360" w:lineRule="auto"/>
        <w:rPr>
          <w:rFonts w:hint="eastAsia" w:ascii="宋体" w:hAnsi="宋体" w:cs="宋体"/>
          <w:color w:val="000000" w:themeColor="text1"/>
          <w14:textFill>
            <w14:solidFill>
              <w14:schemeClr w14:val="tx1"/>
            </w14:solidFill>
          </w14:textFill>
        </w:rPr>
      </w:pPr>
      <w:r/>
      <w:bookmarkStart w:id="315" w:name="_Toc107246272"/>
      <w:r>
        <w:rPr>
          <w:rFonts w:hint="eastAsia" w:ascii="宋体" w:hAnsi="宋体" w:cs="宋体"/>
          <w:color w:val="000000" w:themeColor="text1"/>
          <w14:textFill>
            <w14:solidFill>
              <w14:schemeClr w14:val="tx1"/>
            </w14:solidFill>
          </w14:textFill>
        </w:rPr>
        <w:t xml:space="preserve">第五章 评标方法与评标标准</w:t>
      </w:r>
      <w:bookmarkEnd w:id="315"/>
      <w:r/>
      <w:r/>
    </w:p>
    <w:p>
      <w:pPr>
        <w:jc w:val="left"/>
        <w:spacing w:line="360" w:lineRule="auto"/>
        <w:rPr>
          <w:rFonts w:hint="eastAsia" w:ascii="宋体" w:hAnsi="宋体" w:cs="宋体"/>
          <w:bCs/>
          <w:color w:val="000000" w:themeColor="text1"/>
          <w:position w:val="-10"/>
          <w:sz w:val="24"/>
          <w14:textFill>
            <w14:solidFill>
              <w14:schemeClr w14:val="tx1"/>
            </w14:solidFill>
          </w14:textFill>
        </w:rPr>
      </w:pPr>
      <w:r>
        <w:rPr>
          <w:rFonts w:hint="eastAsia" w:ascii="宋体" w:hAnsi="宋体" w:cs="宋体"/>
          <w:bCs/>
          <w:color w:val="000000" w:themeColor="text1"/>
          <w:position w:val="-10"/>
          <w:sz w:val="24"/>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position w:val="-10"/>
          <w:sz w:val="24"/>
          <w14:textFill>
            <w14:solidFill>
              <w14:schemeClr w14:val="tx1"/>
            </w14:solidFill>
          </w14:textFill>
        </w:rPr>
      </w:pPr>
      <w:r>
        <w:rPr>
          <w:rFonts w:hint="eastAsia" w:ascii="宋体" w:hAnsi="宋体" w:cs="宋体"/>
          <w:bCs/>
          <w:color w:val="000000" w:themeColor="text1"/>
          <w:position w:val="-10"/>
          <w:sz w:val="24"/>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hint="eastAsia" w:ascii="宋体" w:hAnsi="宋体" w:cs="宋体"/>
          <w:bCs/>
          <w:color w:val="000000" w:themeColor="text1"/>
          <w:position w:val="-10"/>
          <w:sz w:val="24"/>
          <w14:textFill>
            <w14:solidFill>
              <w14:schemeClr w14:val="tx1"/>
            </w14:solidFill>
          </w14:textFill>
        </w:rPr>
      </w:pPr>
      <w:r>
        <w:rPr>
          <w:rFonts w:hint="eastAsia" w:ascii="宋体" w:hAnsi="宋体" w:cs="宋体"/>
          <w:bCs/>
          <w:color w:val="000000" w:themeColor="text1"/>
          <w:position w:val="-10"/>
          <w:sz w:val="24"/>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 w:val="24"/>
          <w14:textFill>
            <w14:solidFill>
              <w14:schemeClr w14:val="tx1"/>
            </w14:solidFill>
          </w14:textFill>
        </w:rPr>
      </w:pPr>
      <w:r>
        <w:rPr>
          <w:rFonts w:hint="eastAsia" w:ascii="宋体" w:hAnsi="宋体" w:cs="宋体"/>
          <w:bCs/>
          <w:color w:val="000000" w:themeColor="text1"/>
          <w:position w:val="-10"/>
          <w:sz w:val="24"/>
          <w14:textFill>
            <w14:solidFill>
              <w14:schemeClr w14:val="tx1"/>
            </w14:solidFill>
          </w14:textFill>
        </w:rPr>
        <w:t xml:space="preserve">本项目采用综合评分法确定中标候选人。评标委员会将按下列评分办法和标准进行评分，总分值为100分。</w:t>
      </w:r>
      <w:r/>
    </w:p>
    <w:tbl>
      <w:tblPr>
        <w:tblStyle w:val="867"/>
        <w:tblW w:w="50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1397"/>
        <w:gridCol w:w="1124"/>
        <w:gridCol w:w="6006"/>
      </w:tblGrid>
      <w:tr>
        <w:trPr>
          <w:jc w:val="center"/>
          <w:trHeight w:val="484"/>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评分项目</w:t>
            </w:r>
            <w:r/>
          </w:p>
        </w:tc>
        <w:tc>
          <w:tcPr>
            <w:gridSpan w:val="2"/>
            <w:tcBorders>
              <w:top w:val="single" w:color="auto" w:sz="4" w:space="0"/>
              <w:left w:val="single" w:color="auto" w:sz="4" w:space="0"/>
              <w:bottom w:val="single" w:color="auto" w:sz="4" w:space="0"/>
              <w:right w:val="single" w:color="auto" w:sz="4" w:space="0"/>
            </w:tcBorders>
            <w:tcW w:w="3957" w:type="pct"/>
            <w:vAlign w:val="center"/>
            <w:textDirection w:val="lrTb"/>
            <w:noWrap w:val="false"/>
          </w:tcPr>
          <w:p>
            <w:pPr>
              <w:jc w:val="center"/>
              <w:spacing w:line="360" w:lineRule="auto"/>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评分细则</w:t>
            </w:r>
            <w:r/>
          </w:p>
        </w:tc>
      </w:tr>
      <w:tr>
        <w:trPr>
          <w:jc w:val="center"/>
          <w:trHeight w:val="533"/>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投标报价（</w:t>
            </w:r>
            <w:r>
              <w:rPr>
                <w:rFonts w:hint="eastAsia" w:ascii="Times New Roman" w:hAnsi="Times New Roman" w:eastAsia="宋体" w:cs="Times New Roman"/>
                <w:bCs/>
                <w:szCs w:val="21"/>
                <w:highlight w:val="none"/>
                <w:lang w:val="en-US" w:eastAsia="zh-CN"/>
              </w:rPr>
              <w:t xml:space="preserve">30</w:t>
            </w:r>
            <w:r>
              <w:rPr>
                <w:rFonts w:hint="default" w:ascii="Times New Roman" w:hAnsi="Times New Roman" w:cs="Times New Roman"/>
                <w:bCs/>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3957" w:type="pct"/>
            <w:vAlign w:val="center"/>
            <w:textDirection w:val="lrTb"/>
            <w:noWrap w:val="false"/>
          </w:tcPr>
          <w:p>
            <w:pPr>
              <w:jc w:val="left"/>
              <w:spacing w:line="360" w:lineRule="auto"/>
              <w:widowControl/>
              <w:rPr>
                <w:rFonts w:hint="default" w:ascii="Times New Roman" w:hAnsi="Times New Roman" w:eastAsia="宋体" w:cs="Times New Roman"/>
                <w:bCs/>
                <w:szCs w:val="21"/>
                <w:highlight w:val="none"/>
                <w:lang w:eastAsia="zh-CN"/>
              </w:rPr>
            </w:pPr>
            <w:r>
              <w:rPr>
                <w:rFonts w:hint="default" w:ascii="Times New Roman" w:hAnsi="Times New Roman" w:cs="Times New Roman"/>
                <w:bCs/>
                <w:szCs w:val="21"/>
                <w:highlight w:val="none"/>
              </w:rPr>
              <w:t xml:space="preserve">价格分采用低价优先法计算，即满足招标文件要求且投标价格最低的投标报价为评标基准价，其价格分为满分。其他</w:t>
            </w:r>
            <w:r>
              <w:rPr>
                <w:rFonts w:hint="eastAsia" w:ascii="Times New Roman" w:hAnsi="Times New Roman" w:eastAsia="宋体" w:cs="Times New Roman"/>
                <w:bCs/>
                <w:szCs w:val="21"/>
                <w:highlight w:val="none"/>
                <w:lang w:eastAsia="zh-CN"/>
              </w:rPr>
              <w:t xml:space="preserve">供应商</w:t>
            </w:r>
            <w:r>
              <w:rPr>
                <w:rFonts w:hint="default" w:ascii="Times New Roman" w:hAnsi="Times New Roman" w:cs="Times New Roman"/>
                <w:bCs/>
                <w:szCs w:val="21"/>
                <w:highlight w:val="none"/>
              </w:rPr>
              <w:t xml:space="preserve">的价格分统一按照下列公式计算：投标报价得分=(评标基准价／投标报价)×</w:t>
            </w:r>
            <w:r>
              <w:rPr>
                <w:rFonts w:hint="eastAsia" w:ascii="Times New Roman" w:hAnsi="Times New Roman" w:eastAsia="宋体" w:cs="Times New Roman"/>
                <w:bCs/>
                <w:szCs w:val="21"/>
                <w:highlight w:val="none"/>
                <w:lang w:val="en-US" w:eastAsia="zh-CN"/>
              </w:rPr>
              <w:t xml:space="preserve">30</w:t>
            </w:r>
            <w:r>
              <w:rPr>
                <w:rFonts w:hint="default" w:ascii="Times New Roman" w:hAnsi="Times New Roman" w:cs="Times New Roman"/>
                <w:bCs/>
                <w:szCs w:val="21"/>
                <w:highlight w:val="none"/>
              </w:rPr>
              <w:t xml:space="preserve">（小数点保留两位）</w:t>
            </w:r>
            <w:r>
              <w:rPr>
                <w:rFonts w:hint="default" w:ascii="Times New Roman" w:hAnsi="Times New Roman" w:eastAsia="宋体" w:cs="Times New Roman"/>
                <w:bCs/>
                <w:szCs w:val="21"/>
                <w:highlight w:val="none"/>
                <w:lang w:eastAsia="zh-CN"/>
              </w:rPr>
              <w:t xml:space="preserve">。</w:t>
            </w:r>
            <w:r/>
          </w:p>
        </w:tc>
      </w:tr>
      <w:tr>
        <w:trPr>
          <w:jc w:val="center"/>
          <w:trHeight w:val="1163"/>
        </w:trPr>
        <w:tc>
          <w:tcPr>
            <w:tcBorders>
              <w:top w:val="single" w:color="auto" w:sz="4" w:space="0"/>
              <w:left w:val="single" w:color="auto" w:sz="4" w:space="0"/>
              <w:right w:val="single" w:color="auto" w:sz="4" w:space="0"/>
            </w:tcBorders>
            <w:tcW w:w="266" w:type="pct"/>
            <w:vAlign w:val="center"/>
            <w:vMerge w:val="restart"/>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w:t>
            </w:r>
            <w:r/>
          </w:p>
        </w:tc>
        <w:tc>
          <w:tcPr>
            <w:tcBorders>
              <w:top w:val="single" w:color="auto" w:sz="4" w:space="0"/>
              <w:left w:val="single" w:color="auto" w:sz="4" w:space="0"/>
              <w:right w:val="single" w:color="auto" w:sz="4" w:space="0"/>
            </w:tcBorders>
            <w:tcW w:w="775" w:type="pct"/>
            <w:vAlign w:val="center"/>
            <w:vMerge w:val="restart"/>
            <w:textDirection w:val="lrTb"/>
            <w:noWrap w:val="false"/>
          </w:tcPr>
          <w:p>
            <w:pPr>
              <w:jc w:val="center"/>
              <w:spacing w:line="360" w:lineRule="auto"/>
              <w:rPr>
                <w:rFonts w:hint="default" w:ascii="Times New Roman" w:hAnsi="Times New Roman" w:cs="Times New Roman"/>
                <w:bCs/>
                <w:color w:val="auto"/>
                <w:szCs w:val="21"/>
                <w:highlight w:val="none"/>
                <w:lang w:val="zh-CN"/>
              </w:rPr>
            </w:pPr>
            <w:r>
              <w:rPr>
                <w:rFonts w:hint="eastAsia" w:ascii="Times New Roman" w:hAnsi="Times New Roman" w:cs="Times New Roman"/>
                <w:bCs/>
                <w:color w:val="auto"/>
                <w:szCs w:val="21"/>
                <w:highlight w:val="none"/>
                <w:lang w:val="zh-CN"/>
              </w:rPr>
              <w:t xml:space="preserve">供应商</w:t>
            </w:r>
            <w:r/>
          </w:p>
          <w:p>
            <w:pPr>
              <w:jc w:val="center"/>
              <w:spacing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资信</w:t>
            </w:r>
            <w:r/>
          </w:p>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w:t>
            </w:r>
            <w:r>
              <w:rPr>
                <w:rFonts w:hint="eastAsia" w:ascii="Times New Roman" w:hAnsi="Times New Roman" w:eastAsia="宋体" w:cs="Times New Roman"/>
                <w:bCs/>
                <w:color w:val="auto"/>
                <w:szCs w:val="21"/>
                <w:highlight w:val="none"/>
                <w:lang w:val="en-US" w:eastAsia="zh-CN"/>
              </w:rPr>
              <w:t xml:space="preserve">8</w:t>
            </w:r>
            <w:r>
              <w:rPr>
                <w:rFonts w:hint="default" w:ascii="Times New Roman" w:hAnsi="Times New Roman" w:cs="Times New Roman"/>
                <w:bCs/>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风险综合评级</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eastAsia" w:ascii="Times New Roman" w:hAnsi="Times New Roman" w:eastAsia="宋体" w:cs="Times New Roman"/>
                <w:bCs/>
                <w:szCs w:val="21"/>
                <w:highlight w:val="none"/>
                <w:lang w:eastAsia="zh-CN"/>
              </w:rPr>
            </w:pPr>
            <w:r>
              <w:rPr>
                <w:rFonts w:hint="default" w:ascii="Times New Roman" w:hAnsi="Times New Roman" w:cs="Times New Roman"/>
                <w:bCs/>
                <w:color w:val="auto"/>
                <w:szCs w:val="21"/>
                <w:highlight w:val="none"/>
              </w:rPr>
              <w:t xml:space="preserve">风险综合评级为A类的得</w:t>
            </w:r>
            <w:r>
              <w:rPr>
                <w:rFonts w:hint="eastAsia" w:ascii="Times New Roman" w:hAnsi="Times New Roman" w:eastAsia="宋体" w:cs="Times New Roman"/>
                <w:bCs/>
                <w:color w:val="auto"/>
                <w:szCs w:val="21"/>
                <w:highlight w:val="none"/>
                <w:lang w:val="en-US" w:eastAsia="zh-CN"/>
              </w:rPr>
              <w:t xml:space="preserve">4</w:t>
            </w:r>
            <w:r>
              <w:rPr>
                <w:rFonts w:hint="default" w:ascii="Times New Roman" w:hAnsi="Times New Roman" w:cs="Times New Roman"/>
                <w:bCs/>
                <w:color w:val="auto"/>
                <w:szCs w:val="21"/>
                <w:highlight w:val="none"/>
              </w:rPr>
              <w:t xml:space="preserve">分，风险综合评级为B类的得</w:t>
            </w:r>
            <w:r>
              <w:rPr>
                <w:rFonts w:hint="eastAsia" w:ascii="Times New Roman" w:hAnsi="Times New Roman" w:eastAsia="宋体" w:cs="Times New Roman"/>
                <w:bCs/>
                <w:color w:val="auto"/>
                <w:szCs w:val="21"/>
                <w:highlight w:val="none"/>
                <w:lang w:val="en-US" w:eastAsia="zh-CN"/>
              </w:rPr>
              <w:t xml:space="preserve">2</w:t>
            </w:r>
            <w:r>
              <w:rPr>
                <w:rFonts w:hint="default" w:ascii="Times New Roman" w:hAnsi="Times New Roman" w:cs="Times New Roman"/>
                <w:bCs/>
                <w:color w:val="auto"/>
                <w:szCs w:val="21"/>
                <w:highlight w:val="none"/>
              </w:rPr>
              <w:t xml:space="preserve">分，风险综合评级为C/D类的不得分。须提供</w:t>
            </w:r>
            <w:r>
              <w:rPr>
                <w:rFonts w:hint="eastAsia" w:cs="Times New Roman"/>
                <w:bCs/>
                <w:color w:val="auto"/>
                <w:szCs w:val="21"/>
                <w:highlight w:val="none"/>
                <w:lang w:val="en-US" w:eastAsia="zh-CN"/>
              </w:rPr>
              <w:t xml:space="preserve">2024年度</w:t>
            </w:r>
            <w:r>
              <w:rPr>
                <w:rFonts w:hint="default" w:ascii="Times New Roman" w:hAnsi="Times New Roman" w:cs="Times New Roman"/>
                <w:bCs/>
                <w:color w:val="auto"/>
                <w:szCs w:val="21"/>
                <w:highlight w:val="none"/>
              </w:rPr>
              <w:t xml:space="preserve">C-ROSS偿二代监管信息系统截屏复印件或扫描件并加盖</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公章，未提供不得分。</w:t>
            </w:r>
            <w:r/>
          </w:p>
        </w:tc>
      </w:tr>
      <w:tr>
        <w:trPr>
          <w:jc w:val="center"/>
          <w:trHeight w:val="1163"/>
        </w:trPr>
        <w:tc>
          <w:tcPr>
            <w:tcBorders>
              <w:left w:val="single" w:color="auto" w:sz="4" w:space="0"/>
              <w:bottom w:val="single" w:color="auto" w:sz="4" w:space="0"/>
              <w:right w:val="single" w:color="auto" w:sz="4" w:space="0"/>
            </w:tcBorders>
            <w:tcW w:w="266" w:type="pct"/>
            <w:vAlign w:val="center"/>
            <w:vMerge w:val="continue"/>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r>
            <w:r/>
          </w:p>
        </w:tc>
        <w:tc>
          <w:tcPr>
            <w:tcBorders>
              <w:left w:val="single" w:color="auto" w:sz="4" w:space="0"/>
              <w:bottom w:val="single" w:color="auto" w:sz="4" w:space="0"/>
              <w:right w:val="single" w:color="auto" w:sz="4" w:space="0"/>
            </w:tcBorders>
            <w:tcW w:w="775" w:type="pct"/>
            <w:vAlign w:val="center"/>
            <w:vMerge w:val="continue"/>
            <w:textDirection w:val="lrTb"/>
            <w:noWrap w:val="false"/>
          </w:tcPr>
          <w:p>
            <w:pPr>
              <w:jc w:val="center"/>
              <w:spacing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eastAsia" w:ascii="Times New Roman" w:hAnsi="Times New Roman" w:cs="Times New Roman" w:eastAsiaTheme="minorEastAsia"/>
                <w:bCs/>
                <w:color w:val="auto"/>
                <w:szCs w:val="21"/>
                <w:highlight w:val="none"/>
                <w:lang w:val="en-US" w:eastAsia="zh-CN"/>
              </w:rPr>
            </w:pPr>
            <w:r>
              <w:rPr>
                <w:rFonts w:hint="eastAsia" w:ascii="Times New Roman" w:hAnsi="Times New Roman" w:cs="Times New Roman"/>
                <w:bCs/>
                <w:color w:val="auto"/>
                <w:szCs w:val="21"/>
                <w:highlight w:val="none"/>
                <w:lang w:val="en-US" w:eastAsia="zh-CN"/>
              </w:rPr>
              <w:t xml:space="preserve">偿付能力</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default" w:ascii="Times New Roman" w:hAnsi="Times New Roman" w:cs="Times New Roman" w:eastAsiaTheme="minorEastAsia"/>
                <w:bCs/>
                <w:color w:val="auto"/>
                <w:szCs w:val="21"/>
                <w:highlight w:val="none"/>
                <w:lang w:val="en-US" w:eastAsia="zh-CN"/>
              </w:rPr>
            </w:pP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提供</w:t>
            </w:r>
            <w:r>
              <w:rPr>
                <w:rFonts w:hint="eastAsia" w:ascii="Times New Roman" w:hAnsi="Times New Roman" w:cs="Times New Roman"/>
                <w:bCs/>
                <w:color w:val="auto"/>
                <w:szCs w:val="21"/>
                <w:highlight w:val="none"/>
                <w:lang w:val="en-US" w:eastAsia="zh-CN"/>
              </w:rPr>
              <w:t xml:space="preserve">2025年第二季度偿付能力报告，偿付能力充足度排名第一名得4分，第二名得2分，其余得1分。</w:t>
            </w:r>
            <w:r/>
          </w:p>
        </w:tc>
      </w:tr>
      <w:tr>
        <w:trPr>
          <w:jc w:val="center"/>
          <w:trHeight w:val="267"/>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w:t>
            </w:r>
            <w:r/>
          </w:p>
        </w:tc>
        <w:tc>
          <w:tcPr>
            <w:tcBorders>
              <w:top w:val="single" w:color="auto" w:sz="4" w:space="0"/>
              <w:left w:val="single" w:color="auto" w:sz="4" w:space="0"/>
              <w:right w:val="single" w:color="auto" w:sz="4" w:space="0"/>
            </w:tcBorders>
            <w:tcW w:w="775" w:type="pct"/>
            <w:vAlign w:val="center"/>
            <w:textDirection w:val="lrTb"/>
            <w:noWrap w:val="false"/>
          </w:tcPr>
          <w:p>
            <w:pPr>
              <w:jc w:val="center"/>
              <w:spacing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rPr>
              <w:t xml:space="preserve">承保</w:t>
            </w:r>
            <w:r>
              <w:rPr>
                <w:rFonts w:hint="default" w:ascii="Times New Roman" w:hAnsi="Times New Roman" w:cs="Times New Roman"/>
                <w:bCs/>
                <w:color w:val="auto"/>
                <w:szCs w:val="21"/>
                <w:highlight w:val="none"/>
                <w:lang w:val="zh-CN"/>
              </w:rPr>
              <w:t xml:space="preserve">经验</w:t>
            </w:r>
            <w:r/>
          </w:p>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w:t>
            </w:r>
            <w:r>
              <w:rPr>
                <w:rFonts w:hint="eastAsia" w:cs="Times New Roman"/>
                <w:bCs/>
                <w:color w:val="auto"/>
                <w:szCs w:val="21"/>
                <w:highlight w:val="none"/>
                <w:lang w:val="en-US" w:eastAsia="zh-CN"/>
              </w:rPr>
              <w:t xml:space="preserve">9</w:t>
            </w:r>
            <w:r>
              <w:rPr>
                <w:rFonts w:hint="default" w:ascii="Times New Roman" w:hAnsi="Times New Roman" w:cs="Times New Roman"/>
                <w:bCs/>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医责险</w:t>
            </w:r>
            <w:r>
              <w:rPr>
                <w:rFonts w:hint="default" w:ascii="Times New Roman" w:hAnsi="Times New Roman" w:cs="Times New Roman"/>
                <w:bCs/>
                <w:color w:val="auto"/>
                <w:szCs w:val="21"/>
                <w:highlight w:val="none"/>
              </w:rPr>
              <w:t xml:space="preserve">承保</w:t>
            </w:r>
            <w:r>
              <w:rPr>
                <w:rFonts w:hint="default" w:ascii="Times New Roman" w:hAnsi="Times New Roman" w:cs="Times New Roman"/>
                <w:bCs/>
                <w:color w:val="auto"/>
                <w:szCs w:val="21"/>
                <w:highlight w:val="none"/>
                <w:lang w:val="zh-CN"/>
              </w:rPr>
              <w:t xml:space="preserve">经验</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202</w:t>
            </w:r>
            <w:r>
              <w:rPr>
                <w:rFonts w:hint="eastAsia" w:ascii="Times New Roman" w:hAnsi="Times New Roman" w:cs="Times New Roman"/>
                <w:bCs/>
                <w:color w:val="auto"/>
                <w:szCs w:val="21"/>
                <w:highlight w:val="none"/>
                <w:lang w:val="en-US" w:eastAsia="zh-CN"/>
              </w:rPr>
              <w:t xml:space="preserve">2</w:t>
            </w:r>
            <w:r>
              <w:rPr>
                <w:rFonts w:hint="default" w:ascii="Times New Roman" w:hAnsi="Times New Roman" w:cs="Times New Roman"/>
                <w:bCs/>
                <w:color w:val="auto"/>
                <w:szCs w:val="21"/>
                <w:highlight w:val="none"/>
              </w:rPr>
              <w:t xml:space="preserve">年</w:t>
            </w:r>
            <w:r>
              <w:rPr>
                <w:rFonts w:hint="eastAsia" w:cs="Times New Roman"/>
                <w:bCs/>
                <w:color w:val="auto"/>
                <w:szCs w:val="21"/>
                <w:highlight w:val="none"/>
                <w:lang w:val="en-US" w:eastAsia="zh-CN"/>
              </w:rPr>
              <w:t xml:space="preserve">9</w:t>
            </w:r>
            <w:r>
              <w:rPr>
                <w:rFonts w:hint="default" w:ascii="Times New Roman" w:hAnsi="Times New Roman" w:cs="Times New Roman"/>
                <w:bCs/>
                <w:color w:val="auto"/>
                <w:szCs w:val="21"/>
                <w:highlight w:val="none"/>
              </w:rPr>
              <w:t xml:space="preserve">月1日以来，根据</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提供</w:t>
            </w:r>
            <w:r>
              <w:rPr>
                <w:rFonts w:hint="eastAsia" w:ascii="Times New Roman" w:hAnsi="Times New Roman" w:eastAsia="宋体" w:cs="Times New Roman"/>
                <w:bCs/>
                <w:color w:val="auto"/>
                <w:szCs w:val="21"/>
                <w:highlight w:val="none"/>
                <w:lang w:val="en-US" w:eastAsia="zh-CN"/>
              </w:rPr>
              <w:t xml:space="preserve">类似</w:t>
            </w:r>
            <w:r>
              <w:rPr>
                <w:rFonts w:hint="default" w:ascii="Times New Roman" w:hAnsi="Times New Roman" w:cs="Times New Roman"/>
                <w:bCs/>
                <w:color w:val="auto"/>
                <w:szCs w:val="21"/>
                <w:highlight w:val="none"/>
              </w:rPr>
              <w:t xml:space="preserve">承保经验</w:t>
            </w:r>
            <w:r>
              <w:rPr>
                <w:rFonts w:hint="eastAsia" w:ascii="Times New Roman" w:hAnsi="Times New Roman" w:eastAsia="宋体" w:cs="Times New Roman"/>
                <w:bCs/>
                <w:color w:val="auto"/>
                <w:szCs w:val="21"/>
                <w:highlight w:val="none"/>
                <w:lang w:val="en-US" w:eastAsia="zh-CN"/>
              </w:rPr>
              <w:t xml:space="preserve">评分</w:t>
            </w:r>
            <w:r>
              <w:rPr>
                <w:rFonts w:hint="default" w:ascii="Times New Roman" w:hAnsi="Times New Roman" w:cs="Times New Roman"/>
                <w:bCs/>
                <w:color w:val="auto"/>
                <w:szCs w:val="21"/>
                <w:highlight w:val="none"/>
              </w:rPr>
              <w:t xml:space="preserve">，每提供一个医责险保单得</w:t>
            </w:r>
            <w:r>
              <w:rPr>
                <w:rFonts w:hint="eastAsia" w:cs="Times New Roman"/>
                <w:bCs/>
                <w:color w:val="auto"/>
                <w:szCs w:val="21"/>
                <w:highlight w:val="none"/>
                <w:lang w:val="en-US" w:eastAsia="zh-CN"/>
              </w:rPr>
              <w:t xml:space="preserve">3</w:t>
            </w:r>
            <w:r>
              <w:rPr>
                <w:rFonts w:hint="default" w:ascii="Times New Roman" w:hAnsi="Times New Roman" w:cs="Times New Roman"/>
                <w:bCs/>
                <w:color w:val="auto"/>
                <w:szCs w:val="21"/>
                <w:highlight w:val="none"/>
              </w:rPr>
              <w:t xml:space="preserve">分，满分</w:t>
            </w:r>
            <w:r>
              <w:rPr>
                <w:rFonts w:hint="eastAsia" w:cs="Times New Roman"/>
                <w:bCs/>
                <w:color w:val="auto"/>
                <w:szCs w:val="21"/>
                <w:highlight w:val="none"/>
                <w:lang w:val="en-US" w:eastAsia="zh-CN"/>
              </w:rPr>
              <w:t xml:space="preserve">9</w:t>
            </w:r>
            <w:r>
              <w:rPr>
                <w:rFonts w:hint="default" w:ascii="Times New Roman" w:hAnsi="Times New Roman" w:cs="Times New Roman"/>
                <w:bCs/>
                <w:color w:val="auto"/>
                <w:szCs w:val="21"/>
                <w:highlight w:val="none"/>
              </w:rPr>
              <w:t xml:space="preserve">分。</w:t>
            </w:r>
            <w:r/>
          </w:p>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rPr>
              <w:t xml:space="preserve">注：同一医院的承保经验仅可计算一次分数。</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的总公司或其他分支机构承保经验均认可。每一承保经验均需要</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出具的保险单复印件并加盖</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公章，未提供不得分。</w:t>
            </w:r>
            <w:r/>
          </w:p>
        </w:tc>
      </w:tr>
      <w:tr>
        <w:trPr>
          <w:jc w:val="center"/>
          <w:trHeight w:val="518"/>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val="en-US" w:eastAsia="zh-CN"/>
              </w:rPr>
              <w:t xml:space="preserve">4</w:t>
            </w:r>
            <w:r/>
          </w:p>
        </w:tc>
        <w:tc>
          <w:tcPr>
            <w:tcBorders>
              <w:top w:val="single" w:color="auto" w:sz="4" w:space="0"/>
              <w:left w:val="single" w:color="auto" w:sz="4" w:space="0"/>
              <w:right w:val="single" w:color="auto" w:sz="4" w:space="0"/>
            </w:tcBorders>
            <w:tcW w:w="775" w:type="pct"/>
            <w:vAlign w:val="center"/>
            <w:vMerge w:val="restart"/>
            <w:textDirection w:val="lrTb"/>
            <w:noWrap w:val="false"/>
          </w:tcPr>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增值服务（</w:t>
            </w:r>
            <w:r>
              <w:rPr>
                <w:rFonts w:hint="eastAsia" w:ascii="Times New Roman" w:hAnsi="Times New Roman" w:eastAsia="宋体" w:cs="Times New Roman"/>
                <w:bCs/>
                <w:color w:val="auto"/>
                <w:szCs w:val="21"/>
                <w:highlight w:val="none"/>
                <w:lang w:val="en-US" w:eastAsia="zh-CN"/>
              </w:rPr>
              <w:t xml:space="preserve">28</w:t>
            </w:r>
            <w:r>
              <w:rPr>
                <w:rFonts w:hint="default" w:ascii="Times New Roman" w:hAnsi="Times New Roman" w:cs="Times New Roman"/>
                <w:bCs/>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对</w:t>
            </w:r>
            <w:r>
              <w:rPr>
                <w:rFonts w:hint="default" w:ascii="Times New Roman" w:hAnsi="Times New Roman" w:cs="Times New Roman"/>
                <w:bCs/>
                <w:color w:val="auto"/>
                <w:szCs w:val="21"/>
                <w:highlight w:val="none"/>
              </w:rPr>
              <w:t xml:space="preserve">医责险</w:t>
            </w:r>
            <w:r>
              <w:rPr>
                <w:rFonts w:hint="default" w:ascii="Times New Roman" w:hAnsi="Times New Roman" w:cs="Times New Roman"/>
                <w:bCs/>
                <w:color w:val="auto"/>
                <w:szCs w:val="21"/>
                <w:highlight w:val="none"/>
                <w:lang w:val="zh-CN"/>
              </w:rPr>
              <w:t xml:space="preserve">方案的增值服务</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对招标文件中医责险保险</w:t>
            </w:r>
            <w:r>
              <w:rPr>
                <w:rFonts w:hint="default" w:ascii="Times New Roman" w:hAnsi="Times New Roman" w:cs="Times New Roman"/>
                <w:bCs/>
                <w:color w:val="auto"/>
                <w:szCs w:val="21"/>
                <w:highlight w:val="none"/>
                <w:lang w:val="zh-CN"/>
              </w:rPr>
              <w:t xml:space="preserve">方案</w:t>
            </w:r>
            <w:r>
              <w:rPr>
                <w:rFonts w:hint="eastAsia" w:ascii="Times New Roman" w:hAnsi="Times New Roman" w:eastAsia="宋体"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每提供一项重大实质有效增值服务得4分，每提供一项一般实质有效增值服务得2分</w:t>
            </w:r>
            <w:r>
              <w:rPr>
                <w:rFonts w:hint="eastAsia" w:ascii="Times New Roman" w:hAnsi="Times New Roman" w:eastAsia="宋体"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满分</w:t>
            </w:r>
            <w:r>
              <w:rPr>
                <w:rFonts w:hint="eastAsia" w:ascii="Times New Roman" w:hAnsi="Times New Roman" w:eastAsia="宋体" w:cs="Times New Roman"/>
                <w:bCs/>
                <w:color w:val="auto"/>
                <w:szCs w:val="21"/>
                <w:highlight w:val="none"/>
                <w:lang w:val="en-US" w:eastAsia="zh-CN"/>
              </w:rPr>
              <w:t xml:space="preserve">6</w:t>
            </w:r>
            <w:r>
              <w:rPr>
                <w:rFonts w:hint="default" w:ascii="Times New Roman" w:hAnsi="Times New Roman" w:cs="Times New Roman"/>
                <w:bCs/>
                <w:color w:val="auto"/>
                <w:szCs w:val="21"/>
                <w:highlight w:val="none"/>
              </w:rPr>
              <w:t xml:space="preserve">分。</w:t>
            </w:r>
            <w:r/>
          </w:p>
          <w:p>
            <w:pPr>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注：重大实质有效增值服务是指</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对医疗责任保险方案中保险责任、除外责任、责任限额、赔偿处理、追溯期等内容提出实质性增加医疗机构权利的重大优惠条件。</w:t>
            </w:r>
            <w:r/>
          </w:p>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rPr>
              <w:t xml:space="preserve">一般实质有效增值服务是指</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对医疗责任保险方案中基本险、附加险保险责任、除外责任、责任限额、赔偿处理、追溯期等内容提出实质性增加医疗机构权利的一般优惠条件。</w:t>
            </w:r>
            <w:r/>
          </w:p>
        </w:tc>
      </w:tr>
      <w:tr>
        <w:trPr>
          <w:jc w:val="center"/>
          <w:trHeight w:val="923"/>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eastAsia="宋体" w:cs="Times New Roman"/>
                <w:szCs w:val="21"/>
                <w:highlight w:val="none"/>
                <w:lang w:eastAsia="zh-CN"/>
              </w:rPr>
            </w:pPr>
            <w:r>
              <w:rPr>
                <w:rFonts w:hint="eastAsia" w:ascii="Times New Roman" w:hAnsi="Times New Roman" w:eastAsia="宋体" w:cs="Times New Roman"/>
                <w:szCs w:val="21"/>
                <w:highlight w:val="none"/>
                <w:lang w:val="en-US" w:eastAsia="zh-CN"/>
              </w:rPr>
              <w:t xml:space="preserve">5</w:t>
            </w:r>
            <w:r/>
          </w:p>
        </w:tc>
        <w:tc>
          <w:tcPr>
            <w:tcBorders>
              <w:left w:val="single" w:color="auto" w:sz="4" w:space="0"/>
              <w:right w:val="single" w:color="auto" w:sz="4" w:space="0"/>
            </w:tcBorders>
            <w:tcW w:w="775" w:type="pct"/>
            <w:vAlign w:val="center"/>
            <w:vMerge w:val="continue"/>
            <w:textDirection w:val="lrTb"/>
            <w:noWrap w:val="false"/>
          </w:tcPr>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对</w:t>
            </w:r>
            <w:r>
              <w:rPr>
                <w:rFonts w:hint="default" w:ascii="Times New Roman" w:hAnsi="Times New Roman" w:cs="Times New Roman"/>
                <w:bCs/>
                <w:color w:val="auto"/>
                <w:szCs w:val="21"/>
                <w:highlight w:val="none"/>
              </w:rPr>
              <w:t xml:space="preserve">合同条款</w:t>
            </w:r>
            <w:r>
              <w:rPr>
                <w:rFonts w:hint="default" w:ascii="Times New Roman" w:hAnsi="Times New Roman" w:cs="Times New Roman"/>
                <w:bCs/>
                <w:color w:val="auto"/>
                <w:szCs w:val="21"/>
                <w:highlight w:val="none"/>
                <w:lang w:val="zh-CN"/>
              </w:rPr>
              <w:t xml:space="preserve">的增值服务</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对合同条款</w:t>
            </w:r>
            <w:r>
              <w:rPr>
                <w:rFonts w:hint="eastAsia" w:ascii="Times New Roman" w:hAnsi="Times New Roman" w:eastAsia="宋体"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每提供一项重大实质有效增值服务得</w:t>
            </w:r>
            <w:r>
              <w:rPr>
                <w:rFonts w:hint="default" w:ascii="Times New Roman" w:hAnsi="Times New Roman" w:eastAsia="宋体" w:cs="Times New Roman"/>
                <w:bCs/>
                <w:color w:val="auto"/>
                <w:szCs w:val="21"/>
                <w:highlight w:val="none"/>
                <w:lang w:val="en-US" w:eastAsia="zh-CN"/>
              </w:rPr>
              <w:t xml:space="preserve">2</w:t>
            </w:r>
            <w:r>
              <w:rPr>
                <w:rFonts w:hint="default" w:ascii="Times New Roman" w:hAnsi="Times New Roman" w:cs="Times New Roman"/>
                <w:bCs/>
                <w:color w:val="auto"/>
                <w:szCs w:val="21"/>
                <w:highlight w:val="none"/>
              </w:rPr>
              <w:t xml:space="preserve">分，每提供一项一般实质有效增值服务得</w:t>
            </w:r>
            <w:r>
              <w:rPr>
                <w:rFonts w:hint="default" w:ascii="Times New Roman" w:hAnsi="Times New Roman" w:eastAsia="宋体" w:cs="Times New Roman"/>
                <w:bCs/>
                <w:color w:val="auto"/>
                <w:szCs w:val="21"/>
                <w:highlight w:val="none"/>
                <w:lang w:val="en-US" w:eastAsia="zh-CN"/>
              </w:rPr>
              <w:t xml:space="preserve">1</w:t>
            </w:r>
            <w:r>
              <w:rPr>
                <w:rFonts w:hint="default" w:ascii="Times New Roman" w:hAnsi="Times New Roman" w:cs="Times New Roman"/>
                <w:bCs/>
                <w:color w:val="auto"/>
                <w:szCs w:val="21"/>
                <w:highlight w:val="none"/>
              </w:rPr>
              <w:t xml:space="preserve">分</w:t>
            </w:r>
            <w:r>
              <w:rPr>
                <w:rFonts w:hint="eastAsia" w:ascii="Times New Roman" w:hAnsi="Times New Roman" w:eastAsia="宋体"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满分</w:t>
            </w:r>
            <w:r>
              <w:rPr>
                <w:rFonts w:hint="eastAsia" w:ascii="Times New Roman" w:hAnsi="Times New Roman" w:eastAsia="宋体" w:cs="Times New Roman"/>
                <w:bCs/>
                <w:color w:val="auto"/>
                <w:szCs w:val="21"/>
                <w:highlight w:val="none"/>
                <w:lang w:val="en-US" w:eastAsia="zh-CN"/>
              </w:rPr>
              <w:t xml:space="preserve">6</w:t>
            </w:r>
            <w:r>
              <w:rPr>
                <w:rFonts w:hint="default" w:ascii="Times New Roman" w:hAnsi="Times New Roman" w:cs="Times New Roman"/>
                <w:bCs/>
                <w:color w:val="auto"/>
                <w:szCs w:val="21"/>
                <w:highlight w:val="none"/>
              </w:rPr>
              <w:t xml:space="preserve">分。</w:t>
            </w:r>
            <w:r/>
          </w:p>
          <w:p>
            <w:pPr>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注：重大实质有效增值服务是指</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对合同条款中</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义务、理赔服务、保险服务、投保流程、履约保证等内容提出实质性提高采购协议原约定的重大优惠条件。</w:t>
            </w:r>
            <w:r/>
          </w:p>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rPr>
              <w:t xml:space="preserve">一般实质有效增值服务是指</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对合同条款中</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义务、理赔服务、保险服务、投保流程、履约保证等内容提出实质性提高合同条款原约定的一般优惠条件。</w:t>
            </w:r>
            <w:r/>
          </w:p>
        </w:tc>
      </w:tr>
      <w:tr>
        <w:trPr>
          <w:jc w:val="center"/>
          <w:trHeight w:val="90"/>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eastAsia="宋体" w:cs="Times New Roman"/>
                <w:bCs/>
                <w:szCs w:val="21"/>
                <w:highlight w:val="none"/>
                <w:lang w:eastAsia="zh-CN"/>
              </w:rPr>
            </w:pPr>
            <w:r>
              <w:rPr>
                <w:rFonts w:hint="eastAsia" w:ascii="Times New Roman" w:hAnsi="Times New Roman" w:eastAsia="宋体" w:cs="Times New Roman"/>
                <w:bCs/>
                <w:szCs w:val="21"/>
                <w:highlight w:val="none"/>
                <w:lang w:val="en-US" w:eastAsia="zh-CN"/>
              </w:rPr>
              <w:t xml:space="preserve">6</w:t>
            </w:r>
            <w:r/>
          </w:p>
        </w:tc>
        <w:tc>
          <w:tcPr>
            <w:tcBorders>
              <w:left w:val="single" w:color="auto" w:sz="4" w:space="0"/>
              <w:right w:val="single" w:color="auto" w:sz="4" w:space="0"/>
            </w:tcBorders>
            <w:tcW w:w="775" w:type="pct"/>
            <w:vAlign w:val="center"/>
            <w:vMerge w:val="continue"/>
            <w:textDirection w:val="lrTb"/>
            <w:noWrap w:val="false"/>
          </w:tcPr>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对赔偿处理办法的增值服务</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eastAsia" w:ascii="Times New Roman" w:hAnsi="Times New Roman" w:eastAsia="宋体" w:cs="Times New Roman"/>
                <w:bCs/>
                <w:color w:val="auto"/>
                <w:szCs w:val="21"/>
                <w:highlight w:val="none"/>
                <w:lang w:val="en-US" w:eastAsia="zh-CN"/>
              </w:rPr>
            </w:pPr>
            <w:r>
              <w:rPr>
                <w:rFonts w:hint="default" w:ascii="Times New Roman" w:hAnsi="Times New Roman" w:cs="Times New Roman"/>
                <w:bCs/>
                <w:color w:val="auto"/>
                <w:szCs w:val="21"/>
                <w:highlight w:val="none"/>
              </w:rPr>
              <w:t xml:space="preserve">对招标文件中</w:t>
            </w:r>
            <w:r>
              <w:rPr>
                <w:rFonts w:hint="default" w:ascii="Times New Roman" w:hAnsi="Times New Roman" w:cs="Times New Roman"/>
                <w:bCs/>
                <w:color w:val="auto"/>
                <w:szCs w:val="21"/>
                <w:highlight w:val="none"/>
                <w:lang w:val="zh-CN"/>
              </w:rPr>
              <w:t xml:space="preserve">赔偿处理办法</w:t>
            </w:r>
            <w:r>
              <w:rPr>
                <w:rFonts w:hint="eastAsia" w:ascii="Times New Roman" w:hAnsi="Times New Roman" w:eastAsia="宋体" w:cs="Times New Roman"/>
                <w:bCs/>
                <w:color w:val="auto"/>
                <w:szCs w:val="21"/>
                <w:highlight w:val="none"/>
                <w:lang w:eastAsia="zh-CN"/>
              </w:rPr>
              <w:t xml:space="preserve">，</w:t>
            </w:r>
            <w:r>
              <w:rPr>
                <w:rFonts w:hint="default" w:ascii="Times New Roman" w:hAnsi="Times New Roman" w:cs="Times New Roman"/>
                <w:bCs/>
                <w:color w:val="auto"/>
                <w:szCs w:val="21"/>
                <w:highlight w:val="none"/>
              </w:rPr>
              <w:t xml:space="preserve">每提供一项重大实质有效增值服务加</w:t>
            </w:r>
            <w:r>
              <w:rPr>
                <w:rFonts w:hint="default" w:ascii="Times New Roman" w:hAnsi="Times New Roman" w:eastAsia="宋体" w:cs="Times New Roman"/>
                <w:bCs/>
                <w:color w:val="auto"/>
                <w:szCs w:val="21"/>
                <w:highlight w:val="none"/>
                <w:lang w:val="en-US" w:eastAsia="zh-CN"/>
              </w:rPr>
              <w:t xml:space="preserve">4</w:t>
            </w:r>
            <w:r>
              <w:rPr>
                <w:rFonts w:hint="default" w:ascii="Times New Roman" w:hAnsi="Times New Roman" w:cs="Times New Roman"/>
                <w:bCs/>
                <w:color w:val="auto"/>
                <w:szCs w:val="21"/>
                <w:highlight w:val="none"/>
              </w:rPr>
              <w:t xml:space="preserve">分，每提供一项一般实质有效增值服务得</w:t>
            </w:r>
            <w:r>
              <w:rPr>
                <w:rFonts w:hint="default" w:ascii="Times New Roman" w:hAnsi="Times New Roman" w:eastAsia="宋体" w:cs="Times New Roman"/>
                <w:bCs/>
                <w:color w:val="auto"/>
                <w:szCs w:val="21"/>
                <w:highlight w:val="none"/>
                <w:lang w:val="en-US" w:eastAsia="zh-CN"/>
              </w:rPr>
              <w:t xml:space="preserve">2</w:t>
            </w:r>
            <w:r>
              <w:rPr>
                <w:rFonts w:hint="default" w:ascii="Times New Roman" w:hAnsi="Times New Roman" w:cs="Times New Roman"/>
                <w:bCs/>
                <w:color w:val="auto"/>
                <w:szCs w:val="21"/>
                <w:highlight w:val="none"/>
              </w:rPr>
              <w:t xml:space="preserve">分，满分</w:t>
            </w:r>
            <w:r>
              <w:rPr>
                <w:rFonts w:hint="eastAsia" w:ascii="Times New Roman" w:hAnsi="Times New Roman" w:eastAsia="宋体" w:cs="Times New Roman"/>
                <w:bCs/>
                <w:color w:val="auto"/>
                <w:szCs w:val="21"/>
                <w:highlight w:val="none"/>
                <w:lang w:val="en-US" w:eastAsia="zh-CN"/>
              </w:rPr>
              <w:t xml:space="preserve">8</w:t>
            </w:r>
            <w:r>
              <w:rPr>
                <w:rFonts w:hint="default" w:ascii="Times New Roman" w:hAnsi="Times New Roman" w:cs="Times New Roman"/>
                <w:bCs/>
                <w:color w:val="auto"/>
                <w:szCs w:val="21"/>
                <w:highlight w:val="none"/>
              </w:rPr>
              <w:t xml:space="preserve">分</w:t>
            </w:r>
            <w:r>
              <w:rPr>
                <w:rFonts w:hint="eastAsia" w:ascii="Times New Roman" w:hAnsi="Times New Roman" w:eastAsia="宋体" w:cs="Times New Roman"/>
                <w:bCs/>
                <w:color w:val="auto"/>
                <w:szCs w:val="21"/>
                <w:highlight w:val="none"/>
                <w:lang w:val="en-US" w:eastAsia="zh-CN"/>
              </w:rPr>
              <w:t xml:space="preserve">。</w:t>
            </w:r>
            <w:r/>
          </w:p>
          <w:p>
            <w:pPr>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注：重大实质有效增值服务是指</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对赔偿处理办法中案件理赔程序、和解权限、理赔单证、理赔标准等内容提出实质性提高赔偿处理办法原约定的重大优惠条件。</w:t>
            </w:r>
            <w:r/>
          </w:p>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rPr>
              <w:t xml:space="preserve">一般实质有效增值服务是指</w:t>
            </w: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对赔偿处理办法中案件理赔程序、自行和解权限、理赔单证、理赔标准等内容提出实质性提高赔偿处理办法原约定的一般优惠条件。</w:t>
            </w:r>
            <w:r/>
          </w:p>
        </w:tc>
      </w:tr>
      <w:tr>
        <w:trPr>
          <w:jc w:val="center"/>
          <w:trHeight w:val="90"/>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eastAsia" w:ascii="Times New Roman" w:hAnsi="Times New Roman" w:eastAsia="宋体" w:cs="Times New Roman"/>
                <w:bCs/>
                <w:szCs w:val="21"/>
                <w:highlight w:val="none"/>
                <w:lang w:val="en-US" w:eastAsia="zh-CN"/>
              </w:rPr>
            </w:pPr>
            <w:r>
              <w:rPr>
                <w:rFonts w:hint="eastAsia" w:ascii="Times New Roman" w:hAnsi="Times New Roman" w:eastAsia="宋体" w:cs="Times New Roman"/>
                <w:bCs/>
                <w:szCs w:val="21"/>
                <w:highlight w:val="none"/>
                <w:lang w:val="en-US" w:eastAsia="zh-CN"/>
              </w:rPr>
            </w:r>
            <w:r/>
          </w:p>
        </w:tc>
        <w:tc>
          <w:tcPr>
            <w:tcBorders>
              <w:left w:val="single" w:color="auto" w:sz="4" w:space="0"/>
              <w:bottom w:val="single" w:color="auto" w:sz="4" w:space="0"/>
              <w:right w:val="single" w:color="auto" w:sz="4" w:space="0"/>
            </w:tcBorders>
            <w:tcW w:w="775" w:type="pct"/>
            <w:vAlign w:val="center"/>
            <w:vMerge w:val="continue"/>
            <w:textDirection w:val="lrTb"/>
            <w:noWrap w:val="false"/>
          </w:tcPr>
          <w:p>
            <w:pPr>
              <w:jc w:val="left"/>
              <w:spacing w:line="360" w:lineRule="auto"/>
              <w:rPr>
                <w:rFonts w:hint="default" w:ascii="Times New Roman" w:hAnsi="Times New Roman" w:cs="Times New Roman"/>
                <w:bCs/>
                <w:szCs w:val="21"/>
                <w:highlight w:val="none"/>
              </w:rPr>
            </w:pPr>
            <w:r>
              <w:rPr>
                <w:rFonts w:hint="default" w:ascii="Times New Roman" w:hAnsi="Times New Roman" w:cs="Times New Roman"/>
                <w:bCs/>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eastAsia" w:ascii="Times New Roman" w:hAnsi="Times New Roman" w:eastAsia="宋体" w:cs="Times New Roman"/>
                <w:bCs/>
                <w:color w:val="auto"/>
                <w:sz w:val="21"/>
                <w:szCs w:val="21"/>
                <w:highlight w:val="none"/>
                <w:lang w:val="zh-CN" w:eastAsia="zh-CN" w:bidi="ar-SA"/>
              </w:rPr>
            </w:pPr>
            <w:r>
              <w:rPr>
                <w:rFonts w:hint="default" w:ascii="Times New Roman" w:hAnsi="Times New Roman" w:cs="Times New Roman"/>
                <w:color w:val="auto"/>
                <w:sz w:val="21"/>
                <w:szCs w:val="21"/>
                <w:highlight w:val="none"/>
              </w:rPr>
              <w:t xml:space="preserve">赔偿限额</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default" w:ascii="Times New Roman" w:hAnsi="Times New Roman" w:eastAsia="宋体" w:cs="Times New Roman"/>
                <w:bCs/>
                <w:color w:val="auto"/>
                <w:sz w:val="21"/>
                <w:szCs w:val="21"/>
                <w:highlight w:val="none"/>
                <w:lang w:val="en-US" w:eastAsia="zh-CN" w:bidi="ar-SA"/>
              </w:rPr>
            </w:pPr>
            <w:r>
              <w:rPr>
                <w:rFonts w:hint="eastAsia" w:ascii="Times New Roman" w:hAnsi="Times New Roman" w:eastAsia="宋体" w:cs="Times New Roman"/>
                <w:bCs/>
                <w:color w:val="auto"/>
                <w:szCs w:val="21"/>
                <w:highlight w:val="none"/>
                <w:lang w:val="en-US" w:eastAsia="zh-CN"/>
              </w:rPr>
              <w:t xml:space="preserve">在本项目累计赔偿限额的基础上，每增加50万元加2分，该项满分8分。（提供承诺函）</w:t>
            </w:r>
            <w:r/>
          </w:p>
        </w:tc>
      </w:tr>
      <w:tr>
        <w:trPr>
          <w:jc w:val="center"/>
          <w:trHeight w:val="1572"/>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eastAsia="宋体" w:cs="Times New Roman"/>
                <w:bCs/>
                <w:szCs w:val="21"/>
                <w:highlight w:val="none"/>
                <w:lang w:val="en-US" w:eastAsia="zh-CN"/>
              </w:rPr>
            </w:pPr>
            <w:r>
              <w:rPr>
                <w:rFonts w:hint="eastAsia" w:ascii="Times New Roman" w:hAnsi="Times New Roman" w:eastAsia="宋体" w:cs="Times New Roman"/>
                <w:bCs/>
                <w:szCs w:val="21"/>
                <w:highlight w:val="none"/>
                <w:lang w:val="en-US" w:eastAsia="zh-CN"/>
              </w:rPr>
              <w:t xml:space="preserve">7</w:t>
            </w:r>
            <w:r/>
          </w:p>
        </w:tc>
        <w:tc>
          <w:tcPr>
            <w:tcBorders>
              <w:top w:val="single" w:color="auto" w:sz="4" w:space="0"/>
              <w:left w:val="single" w:color="auto" w:sz="4" w:space="0"/>
              <w:right w:val="single" w:color="auto" w:sz="4" w:space="0"/>
            </w:tcBorders>
            <w:tcW w:w="775" w:type="pct"/>
            <w:vAlign w:val="center"/>
            <w:textDirection w:val="lrTb"/>
            <w:noWrap w:val="false"/>
          </w:tcPr>
          <w:p>
            <w:pPr>
              <w:jc w:val="center"/>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服务团队</w:t>
            </w:r>
            <w:r/>
          </w:p>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rPr>
              <w:t xml:space="preserve">（</w:t>
            </w:r>
            <w:r>
              <w:rPr>
                <w:rFonts w:hint="eastAsia" w:ascii="Times New Roman" w:hAnsi="Times New Roman" w:eastAsia="宋体" w:cs="Times New Roman"/>
                <w:bCs/>
                <w:color w:val="auto"/>
                <w:szCs w:val="21"/>
                <w:highlight w:val="none"/>
                <w:lang w:val="en-US" w:eastAsia="zh-CN"/>
              </w:rPr>
              <w:t xml:space="preserve">10</w:t>
            </w:r>
            <w:r>
              <w:rPr>
                <w:rFonts w:hint="default" w:ascii="Times New Roman" w:hAnsi="Times New Roman" w:cs="Times New Roman"/>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rPr>
              <w:t xml:space="preserve">服务团队</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default" w:ascii="Times New Roman" w:hAnsi="Times New Roman" w:cs="Times New Roman"/>
                <w:bCs/>
                <w:color w:val="auto"/>
                <w:szCs w:val="21"/>
                <w:highlight w:val="none"/>
              </w:rPr>
            </w:pP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cs="Times New Roman"/>
                <w:bCs/>
                <w:color w:val="auto"/>
                <w:szCs w:val="21"/>
                <w:highlight w:val="none"/>
              </w:rPr>
              <w:t xml:space="preserve">针对本项目设立不少于</w:t>
            </w:r>
            <w:r>
              <w:rPr>
                <w:rFonts w:hint="default" w:ascii="Times New Roman" w:hAnsi="Times New Roman" w:cs="Times New Roman"/>
                <w:bCs/>
                <w:color w:val="auto"/>
                <w:szCs w:val="21"/>
                <w:highlight w:val="none"/>
                <w:lang w:val="en-US" w:eastAsia="zh-CN"/>
              </w:rPr>
              <w:t xml:space="preserve">4</w:t>
            </w:r>
            <w:r>
              <w:rPr>
                <w:rFonts w:hint="default" w:ascii="Times New Roman" w:hAnsi="Times New Roman" w:cs="Times New Roman"/>
                <w:bCs/>
                <w:color w:val="auto"/>
                <w:szCs w:val="21"/>
                <w:highlight w:val="none"/>
              </w:rPr>
              <w:t xml:space="preserve">人的服务团队，包括团队负责人理赔人员至少各1人，满足上述要求的得5分。</w:t>
            </w:r>
            <w:r/>
          </w:p>
          <w:p>
            <w:pPr>
              <w:jc w:val="left"/>
              <w:spacing w:line="360" w:lineRule="auto"/>
              <w:rPr>
                <w:rFonts w:hint="default" w:ascii="Times New Roman" w:hAnsi="Times New Roman" w:cs="Times New Roman"/>
                <w:bCs/>
                <w:color w:val="auto"/>
                <w:szCs w:val="21"/>
                <w:highlight w:val="none"/>
              </w:rPr>
            </w:pPr>
            <w:r>
              <w:rPr>
                <w:rFonts w:hint="default" w:ascii="Times New Roman" w:hAnsi="Times New Roman" w:cs="Times New Roman"/>
                <w:bCs/>
                <w:color w:val="auto"/>
                <w:szCs w:val="21"/>
                <w:highlight w:val="none"/>
              </w:rPr>
              <w:t xml:space="preserve">理赔人员中具有全日制医学类专科及以上学历的或医学类中级及以上职称的，每有1人得1分，最高得</w:t>
            </w:r>
            <w:r>
              <w:rPr>
                <w:rFonts w:hint="eastAsia" w:ascii="Times New Roman" w:hAnsi="Times New Roman" w:eastAsia="宋体" w:cs="Times New Roman"/>
                <w:bCs/>
                <w:color w:val="auto"/>
                <w:szCs w:val="21"/>
                <w:highlight w:val="none"/>
                <w:lang w:val="en-US" w:eastAsia="zh-CN"/>
              </w:rPr>
              <w:t xml:space="preserve">5</w:t>
            </w:r>
            <w:r>
              <w:rPr>
                <w:rFonts w:hint="default" w:ascii="Times New Roman" w:hAnsi="Times New Roman" w:cs="Times New Roman"/>
                <w:bCs/>
                <w:color w:val="auto"/>
                <w:szCs w:val="21"/>
                <w:highlight w:val="none"/>
              </w:rPr>
              <w:t xml:space="preserve">分。</w:t>
            </w:r>
            <w:r/>
          </w:p>
          <w:p>
            <w:pPr>
              <w:jc w:val="left"/>
              <w:spacing w:line="360" w:lineRule="auto"/>
              <w:widowControl/>
              <w:rPr>
                <w:rFonts w:hint="default" w:ascii="Times New Roman" w:hAnsi="Times New Roman" w:cs="Times New Roman"/>
                <w:bCs/>
                <w:szCs w:val="21"/>
                <w:highlight w:val="none"/>
              </w:rPr>
            </w:pPr>
            <w:r>
              <w:rPr>
                <w:rFonts w:hint="default" w:ascii="Times New Roman" w:hAnsi="Times New Roman" w:cs="Times New Roman"/>
                <w:b/>
                <w:color w:val="auto"/>
                <w:szCs w:val="21"/>
                <w:highlight w:val="none"/>
              </w:rPr>
              <w:t xml:space="preserve">须提供劳动合同、上述人员学历或职称证书和近三个月社保缴纳证明材料复印件并加盖</w:t>
            </w:r>
            <w:r>
              <w:rPr>
                <w:rFonts w:hint="eastAsia" w:ascii="Times New Roman" w:hAnsi="Times New Roman" w:eastAsia="宋体" w:cs="Times New Roman"/>
                <w:b/>
                <w:color w:val="auto"/>
                <w:szCs w:val="21"/>
                <w:highlight w:val="none"/>
                <w:lang w:eastAsia="zh-CN"/>
              </w:rPr>
              <w:t xml:space="preserve">供应商</w:t>
            </w:r>
            <w:r>
              <w:rPr>
                <w:rFonts w:hint="default" w:ascii="Times New Roman" w:hAnsi="Times New Roman" w:cs="Times New Roman"/>
                <w:b/>
                <w:color w:val="auto"/>
                <w:szCs w:val="21"/>
                <w:highlight w:val="none"/>
              </w:rPr>
              <w:t xml:space="preserve">公章。</w:t>
            </w:r>
            <w:r/>
          </w:p>
        </w:tc>
      </w:tr>
      <w:tr>
        <w:trPr>
          <w:jc w:val="center"/>
          <w:trHeight w:val="90"/>
        </w:trPr>
        <w:tc>
          <w:tcPr>
            <w:tcBorders>
              <w:top w:val="single" w:color="auto" w:sz="4" w:space="0"/>
              <w:left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eastAsia="宋体" w:cs="Times New Roman"/>
                <w:bCs/>
                <w:szCs w:val="21"/>
                <w:highlight w:val="none"/>
                <w:lang w:val="en-US" w:eastAsia="zh-CN"/>
              </w:rPr>
            </w:pPr>
            <w:r>
              <w:rPr>
                <w:rFonts w:hint="eastAsia" w:ascii="Times New Roman" w:hAnsi="Times New Roman" w:eastAsia="宋体" w:cs="Times New Roman"/>
                <w:bCs/>
                <w:szCs w:val="21"/>
                <w:highlight w:val="none"/>
                <w:lang w:val="en-US" w:eastAsia="zh-CN"/>
              </w:rPr>
              <w:t xml:space="preserve">8</w:t>
            </w:r>
            <w:r/>
          </w:p>
        </w:tc>
        <w:tc>
          <w:tcPr>
            <w:tcBorders>
              <w:top w:val="single" w:color="auto" w:sz="4" w:space="0"/>
              <w:left w:val="single" w:color="auto" w:sz="4" w:space="0"/>
              <w:right w:val="single" w:color="auto" w:sz="4" w:space="0"/>
            </w:tcBorders>
            <w:tcW w:w="775" w:type="pct"/>
            <w:vAlign w:val="center"/>
            <w:textDirection w:val="lrTb"/>
            <w:noWrap w:val="false"/>
          </w:tcPr>
          <w:p>
            <w:pPr>
              <w:jc w:val="center"/>
              <w:spacing w:line="360" w:lineRule="auto"/>
              <w:rPr>
                <w:rFonts w:hint="default" w:ascii="Times New Roman" w:hAnsi="Times New Roman" w:cs="Times New Roman"/>
                <w:bCs/>
                <w:color w:val="auto"/>
                <w:szCs w:val="21"/>
                <w:highlight w:val="none"/>
                <w:lang w:val="zh-CN"/>
              </w:rPr>
            </w:pPr>
            <w:r>
              <w:rPr>
                <w:rFonts w:hint="default" w:ascii="Times New Roman" w:hAnsi="Times New Roman" w:cs="Times New Roman"/>
                <w:bCs/>
                <w:color w:val="auto"/>
                <w:szCs w:val="21"/>
                <w:highlight w:val="none"/>
                <w:lang w:val="zh-CN"/>
              </w:rPr>
              <w:t xml:space="preserve">售后服务</w:t>
            </w:r>
            <w:r/>
          </w:p>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w:t>
            </w:r>
            <w:r>
              <w:rPr>
                <w:rFonts w:hint="eastAsia" w:ascii="Times New Roman" w:hAnsi="Times New Roman" w:eastAsia="宋体" w:cs="Times New Roman"/>
                <w:bCs/>
                <w:color w:val="auto"/>
                <w:szCs w:val="21"/>
                <w:highlight w:val="none"/>
                <w:lang w:val="en-US" w:eastAsia="zh-CN"/>
              </w:rPr>
              <w:t xml:space="preserve">10</w:t>
            </w:r>
            <w:r>
              <w:rPr>
                <w:rFonts w:hint="default" w:ascii="Times New Roman" w:hAnsi="Times New Roman" w:cs="Times New Roman"/>
                <w:bCs/>
                <w:color w:val="auto"/>
                <w:szCs w:val="21"/>
                <w:highlight w:val="none"/>
                <w:lang w:val="zh-CN"/>
              </w:rPr>
              <w:t xml:space="preserve">分）</w:t>
            </w:r>
            <w:r/>
          </w:p>
        </w:tc>
        <w:tc>
          <w:tcPr>
            <w:tcBorders>
              <w:top w:val="single" w:color="auto" w:sz="4" w:space="0"/>
              <w:left w:val="single" w:color="auto" w:sz="4" w:space="0"/>
              <w:right w:val="single" w:color="auto" w:sz="4" w:space="0"/>
            </w:tcBorders>
            <w:tcW w:w="624" w:type="pct"/>
            <w:vAlign w:val="center"/>
            <w:textDirection w:val="lrTb"/>
            <w:noWrap w:val="false"/>
          </w:tcPr>
          <w:p>
            <w:pPr>
              <w:jc w:val="center"/>
              <w:spacing w:line="360" w:lineRule="auto"/>
              <w:rPr>
                <w:rFonts w:hint="default" w:ascii="Times New Roman" w:hAnsi="Times New Roman" w:cs="Times New Roman"/>
                <w:bCs/>
                <w:szCs w:val="21"/>
                <w:highlight w:val="none"/>
                <w:lang w:val="en-US" w:eastAsia="zh-CN"/>
              </w:rPr>
            </w:pPr>
            <w:r>
              <w:rPr>
                <w:rFonts w:hint="default" w:ascii="Times New Roman" w:hAnsi="Times New Roman" w:cs="Times New Roman"/>
                <w:bCs/>
                <w:szCs w:val="21"/>
                <w:highlight w:val="none"/>
                <w:lang w:val="en-US" w:eastAsia="zh-CN"/>
              </w:rPr>
              <w:t xml:space="preserve">服务管理</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default" w:ascii="Times New Roman" w:hAnsi="Times New Roman" w:eastAsia="宋体" w:cs="Times New Roman"/>
                <w:bCs/>
                <w:szCs w:val="21"/>
                <w:highlight w:val="none"/>
                <w:lang w:eastAsia="zh-CN"/>
              </w:rPr>
            </w:pPr>
            <w:r>
              <w:rPr>
                <w:rFonts w:hint="default" w:ascii="Times New Roman" w:hAnsi="Times New Roman" w:cs="Times New Roman"/>
                <w:bCs/>
                <w:color w:val="auto"/>
                <w:szCs w:val="21"/>
                <w:highlight w:val="none"/>
              </w:rPr>
              <w:t xml:space="preserve">针对本项目提供全面完整的售后服务体系管理（包含但不限于服务响应时间承诺、服务措施、应急预案、事故预防服务方案、售后延续性服务等内容），</w:t>
            </w:r>
            <w:r>
              <w:rPr>
                <w:rFonts w:hint="eastAsia" w:ascii="Times New Roman" w:hAnsi="Times New Roman" w:eastAsia="宋体" w:cs="Times New Roman"/>
                <w:bCs/>
                <w:color w:val="auto"/>
                <w:szCs w:val="21"/>
                <w:highlight w:val="none"/>
                <w:lang w:val="en-US" w:eastAsia="zh-CN"/>
              </w:rPr>
              <w:t xml:space="preserve">完全满足</w:t>
            </w:r>
            <w:r>
              <w:rPr>
                <w:rFonts w:hint="default" w:ascii="Times New Roman" w:hAnsi="Times New Roman" w:cs="Times New Roman"/>
                <w:bCs/>
                <w:color w:val="auto"/>
                <w:szCs w:val="21"/>
                <w:highlight w:val="none"/>
              </w:rPr>
              <w:t xml:space="preserve">得基础分</w:t>
            </w:r>
            <w:r>
              <w:rPr>
                <w:rFonts w:hint="eastAsia" w:ascii="Times New Roman" w:hAnsi="Times New Roman" w:eastAsia="宋体" w:cs="Times New Roman"/>
                <w:bCs/>
                <w:color w:val="auto"/>
                <w:szCs w:val="21"/>
                <w:highlight w:val="none"/>
                <w:lang w:val="en-US" w:eastAsia="zh-CN"/>
              </w:rPr>
              <w:t xml:space="preserve">10</w:t>
            </w:r>
            <w:r>
              <w:rPr>
                <w:rFonts w:hint="default" w:ascii="Times New Roman" w:hAnsi="Times New Roman" w:cs="Times New Roman"/>
                <w:bCs/>
                <w:color w:val="auto"/>
                <w:szCs w:val="21"/>
                <w:highlight w:val="none"/>
              </w:rPr>
              <w:t xml:space="preserve">分，缺一项扣</w:t>
            </w:r>
            <w:r>
              <w:rPr>
                <w:rFonts w:hint="eastAsia" w:ascii="Times New Roman" w:hAnsi="Times New Roman" w:cs="Times New Roman"/>
                <w:bCs/>
                <w:color w:val="auto"/>
                <w:szCs w:val="21"/>
                <w:highlight w:val="none"/>
                <w:lang w:val="en-US" w:eastAsia="zh-CN"/>
              </w:rPr>
              <w:t xml:space="preserve">2</w:t>
            </w:r>
            <w:r>
              <w:rPr>
                <w:rFonts w:hint="default" w:ascii="Times New Roman" w:hAnsi="Times New Roman" w:cs="Times New Roman"/>
                <w:bCs/>
                <w:color w:val="auto"/>
                <w:szCs w:val="21"/>
                <w:highlight w:val="none"/>
              </w:rPr>
              <w:t xml:space="preserve">分，</w:t>
            </w:r>
            <w:r>
              <w:rPr>
                <w:rFonts w:hint="default" w:ascii="Times New Roman" w:hAnsi="Times New Roman" w:cs="Times New Roman"/>
                <w:bCs/>
                <w:color w:val="auto"/>
                <w:szCs w:val="21"/>
                <w:highlight w:val="none"/>
              </w:rPr>
              <w:t xml:space="preserve">扣完为止</w:t>
            </w:r>
            <w:r>
              <w:rPr>
                <w:rFonts w:hint="default" w:ascii="Times New Roman" w:hAnsi="Times New Roman" w:eastAsia="宋体" w:cs="Times New Roman"/>
                <w:bCs/>
                <w:color w:val="auto"/>
                <w:szCs w:val="21"/>
                <w:highlight w:val="none"/>
                <w:lang w:eastAsia="zh-CN"/>
              </w:rPr>
              <w:t xml:space="preserve">。</w:t>
            </w:r>
            <w:r/>
          </w:p>
        </w:tc>
      </w:tr>
      <w:tr>
        <w:trPr>
          <w:jc w:val="center"/>
          <w:trHeight w:val="687"/>
        </w:trPr>
        <w:tc>
          <w:tcPr>
            <w:tcBorders>
              <w:top w:val="single" w:color="auto" w:sz="4" w:space="0"/>
              <w:left w:val="single" w:color="auto" w:sz="4" w:space="0"/>
              <w:bottom w:val="single" w:color="auto" w:sz="4" w:space="0"/>
              <w:right w:val="single" w:color="auto" w:sz="4" w:space="0"/>
            </w:tcBorders>
            <w:tcW w:w="266" w:type="pct"/>
            <w:vAlign w:val="center"/>
            <w:textDirection w:val="lrTb"/>
            <w:noWrap w:val="false"/>
          </w:tcPr>
          <w:p>
            <w:pPr>
              <w:jc w:val="center"/>
              <w:spacing w:line="360" w:lineRule="auto"/>
              <w:rPr>
                <w:rFonts w:hint="default" w:ascii="Times New Roman" w:hAnsi="Times New Roman" w:eastAsia="宋体" w:cs="Times New Roman"/>
                <w:bCs/>
                <w:szCs w:val="21"/>
                <w:highlight w:val="none"/>
                <w:lang w:val="en-US" w:eastAsia="zh-CN"/>
              </w:rPr>
            </w:pPr>
            <w:r>
              <w:rPr>
                <w:rFonts w:hint="eastAsia" w:ascii="Times New Roman" w:hAnsi="Times New Roman" w:eastAsia="宋体" w:cs="Times New Roman"/>
                <w:bCs/>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center"/>
              <w:spacing w:line="360" w:lineRule="auto"/>
              <w:rPr>
                <w:rFonts w:hint="default" w:ascii="Times New Roman" w:hAnsi="Times New Roman" w:cs="Times New Roman"/>
                <w:bCs/>
                <w:szCs w:val="21"/>
                <w:highlight w:val="none"/>
              </w:rPr>
            </w:pPr>
            <w:r>
              <w:rPr>
                <w:rFonts w:hint="default" w:ascii="Times New Roman" w:hAnsi="Times New Roman" w:cs="Times New Roman"/>
                <w:bCs/>
                <w:color w:val="auto"/>
                <w:szCs w:val="21"/>
                <w:highlight w:val="none"/>
                <w:lang w:val="zh-CN"/>
              </w:rPr>
              <w:t xml:space="preserve">项目经理答辩（</w:t>
            </w:r>
            <w:r>
              <w:rPr>
                <w:rFonts w:hint="eastAsia" w:cs="Times New Roman"/>
                <w:bCs/>
                <w:color w:val="auto"/>
                <w:szCs w:val="21"/>
                <w:highlight w:val="none"/>
                <w:lang w:val="en-US" w:eastAsia="zh-CN"/>
              </w:rPr>
              <w:t xml:space="preserve">5</w:t>
            </w:r>
            <w:r>
              <w:rPr>
                <w:rFonts w:hint="default" w:ascii="Times New Roman" w:hAnsi="Times New Roman" w:cs="Times New Roman"/>
                <w:bCs/>
                <w:color w:val="auto"/>
                <w:szCs w:val="21"/>
                <w:highlight w:val="none"/>
              </w:rPr>
              <w:t xml:space="preserve">分</w:t>
            </w:r>
            <w:r>
              <w:rPr>
                <w:rFonts w:hint="default" w:ascii="Times New Roman" w:hAnsi="Times New Roman" w:cs="Times New Roman"/>
                <w:bCs/>
                <w:color w:val="auto"/>
                <w:szCs w:val="21"/>
                <w:highlight w:val="none"/>
                <w:lang w:val="zh-CN"/>
              </w:rPr>
              <w:t xml:space="preserve">）</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60" w:lineRule="auto"/>
              <w:rPr>
                <w:rFonts w:hint="default" w:ascii="Times New Roman" w:hAnsi="Times New Roman" w:cs="Times New Roman"/>
                <w:bCs/>
                <w:szCs w:val="21"/>
                <w:highlight w:val="none"/>
                <w:lang w:eastAsia="zh-CN"/>
              </w:rPr>
            </w:pPr>
            <w:r>
              <w:rPr>
                <w:rFonts w:hint="default" w:ascii="Times New Roman" w:hAnsi="Times New Roman" w:cs="Times New Roman"/>
                <w:bCs/>
                <w:color w:val="auto"/>
                <w:szCs w:val="21"/>
                <w:highlight w:val="none"/>
              </w:rPr>
              <w:t xml:space="preserve">项目经理答辩</w:t>
            </w:r>
            <w:r/>
          </w:p>
        </w:tc>
        <w:tc>
          <w:tcPr>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jc w:val="left"/>
              <w:spacing w:line="360" w:lineRule="auto"/>
              <w:rPr>
                <w:rFonts w:hint="default" w:ascii="Times New Roman" w:hAnsi="Times New Roman" w:eastAsia="宋体" w:cs="Times New Roman"/>
                <w:bCs/>
                <w:szCs w:val="21"/>
                <w:highlight w:val="none"/>
                <w:lang w:val="en-US" w:eastAsia="zh-CN"/>
              </w:rPr>
            </w:pPr>
            <w:r>
              <w:rPr>
                <w:rFonts w:hint="eastAsia" w:ascii="Times New Roman" w:hAnsi="Times New Roman" w:eastAsia="宋体" w:cs="Times New Roman"/>
                <w:bCs/>
                <w:color w:val="auto"/>
                <w:szCs w:val="21"/>
                <w:highlight w:val="none"/>
                <w:lang w:eastAsia="zh-CN"/>
              </w:rPr>
              <w:t xml:space="preserve">供应商</w:t>
            </w:r>
            <w:r>
              <w:rPr>
                <w:rFonts w:hint="default" w:ascii="Times New Roman" w:hAnsi="Times New Roman" w:eastAsia="宋体" w:cs="Times New Roman"/>
                <w:bCs/>
                <w:color w:val="auto"/>
                <w:szCs w:val="21"/>
                <w:highlight w:val="none"/>
              </w:rPr>
              <w:t xml:space="preserve">拟派驻本项目的项目经理（项目负责人）针对增值服务进行阐述，阐述思路清晰、语言简练、表达流畅得</w:t>
            </w:r>
            <w:r>
              <w:rPr>
                <w:rFonts w:hint="eastAsia" w:ascii="Times New Roman" w:hAnsi="Times New Roman" w:eastAsia="宋体" w:cs="Times New Roman"/>
                <w:bCs/>
                <w:color w:val="auto"/>
                <w:szCs w:val="21"/>
                <w:highlight w:val="none"/>
                <w:lang w:val="en-US" w:eastAsia="zh-CN"/>
              </w:rPr>
              <w:t xml:space="preserve">5</w:t>
            </w:r>
            <w:r>
              <w:rPr>
                <w:rFonts w:hint="default" w:ascii="Times New Roman" w:hAnsi="Times New Roman" w:eastAsia="宋体" w:cs="Times New Roman"/>
                <w:bCs/>
                <w:color w:val="auto"/>
                <w:szCs w:val="21"/>
                <w:highlight w:val="none"/>
              </w:rPr>
              <w:t xml:space="preserve">分；阐述基本思路清晰、语言基本简练、表达基本流畅得</w:t>
            </w:r>
            <w:r>
              <w:rPr>
                <w:rFonts w:hint="eastAsia" w:ascii="Times New Roman" w:hAnsi="Times New Roman" w:eastAsia="宋体" w:cs="Times New Roman"/>
                <w:bCs/>
                <w:color w:val="auto"/>
                <w:szCs w:val="21"/>
                <w:highlight w:val="none"/>
                <w:lang w:val="en-US" w:eastAsia="zh-CN"/>
              </w:rPr>
              <w:t xml:space="preserve">3</w:t>
            </w:r>
            <w:r>
              <w:rPr>
                <w:rFonts w:hint="default" w:ascii="Times New Roman" w:hAnsi="Times New Roman" w:eastAsia="宋体" w:cs="Times New Roman"/>
                <w:bCs/>
                <w:color w:val="auto"/>
                <w:szCs w:val="21"/>
                <w:highlight w:val="none"/>
              </w:rPr>
              <w:t xml:space="preserve">分；阐述思路模糊、语言繁琐、表达不清得1分；没有阐述不得分。时长不超过5分钟，不包含评委提问时间。答辩</w:t>
            </w:r>
            <w:r>
              <w:rPr>
                <w:rFonts w:hint="eastAsia" w:ascii="Times New Roman" w:hAnsi="Times New Roman" w:eastAsia="宋体" w:cs="Times New Roman"/>
                <w:bCs/>
                <w:color w:val="auto"/>
                <w:szCs w:val="21"/>
                <w:highlight w:val="none"/>
                <w:lang w:val="en-US" w:eastAsia="zh-CN"/>
              </w:rPr>
              <w:t xml:space="preserve">顺序：供应商递交投标文件的先后顺序。</w:t>
            </w:r>
            <w:r/>
          </w:p>
        </w:tc>
      </w:tr>
    </w:tbl>
    <w:p>
      <w:pPr>
        <w:spacing w:line="360" w:lineRule="auto"/>
        <w:shd w:val="clear" w:color="auto"/>
        <w:rPr>
          <w:rStyle w:val="1125"/>
          <w:rFonts w:hint="eastAsia" w:ascii="宋体" w:hAnsi="宋体" w:cs="宋体"/>
          <w:color w:val="000000" w:themeColor="text1"/>
          <w:sz w:val="24"/>
          <w:highlight w:val="none"/>
          <w14:textFill>
            <w14:solidFill>
              <w14:schemeClr w14:val="tx1"/>
            </w14:solidFill>
          </w14:textFill>
        </w:rPr>
      </w:pPr>
      <w:r>
        <w:rPr>
          <w:rFonts w:hint="eastAsia" w:ascii="Times New Roman" w:hAnsi="Times New Roman" w:cs="Times New Roman"/>
          <w:bCs/>
          <w:color w:val="auto"/>
          <w:szCs w:val="21"/>
          <w:highlight w:val="none"/>
          <w:lang w:eastAsia="zh-CN"/>
        </w:rPr>
        <w:t xml:space="preserve">（</w:t>
      </w:r>
      <w:r>
        <w:rPr>
          <w:rFonts w:hint="eastAsia" w:ascii="Times New Roman" w:hAnsi="Times New Roman" w:cs="Times New Roman"/>
          <w:bCs/>
          <w:color w:val="auto"/>
          <w:szCs w:val="21"/>
          <w:highlight w:val="none"/>
          <w:lang w:val="en-US" w:eastAsia="zh-CN"/>
        </w:rPr>
        <w:t xml:space="preserve">若为联合体投保，以牵头单位的为评分主体</w:t>
      </w:r>
      <w:r>
        <w:rPr>
          <w:rFonts w:hint="eastAsia" w:ascii="Times New Roman" w:hAnsi="Times New Roman" w:cs="Times New Roman"/>
          <w:bCs/>
          <w:color w:val="auto"/>
          <w:szCs w:val="21"/>
          <w:highlight w:val="none"/>
          <w:lang w:eastAsia="zh-CN"/>
        </w:rPr>
        <w:t xml:space="preserve">）</w:t>
      </w:r>
      <w:r/>
    </w:p>
    <w:p>
      <w:pPr>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bookmarkStart w:id="316" w:name="_Toc91836565"/>
      <w:r>
        <w:rPr>
          <w:rFonts w:hint="eastAsia" w:ascii="宋体" w:hAnsi="宋体" w:cs="宋体"/>
          <w:color w:val="000000" w:themeColor="text1"/>
          <w:szCs w:val="21"/>
          <w14:textFill>
            <w14:solidFill>
              <w14:schemeClr w14:val="tx1"/>
            </w14:solidFill>
          </w14:textFill>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1、对于未预留份额专门面向中小企业采购的采购项目，以及预留份额项目中的非预留部分采购包，对小微企业报价给予</w:t>
      </w:r>
      <w:r>
        <w:rPr>
          <w:rFonts w:hint="eastAsia" w:ascii="宋体" w:hAnsi="宋体" w:cs="宋体"/>
          <w:color w:val="000000" w:themeColor="text1"/>
          <w:szCs w:val="21"/>
          <w:u w:val="single"/>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10、关于无线局域网认证产品政府采购清单中的产品，优先采购的具体规定（如涉及）___/__。</w:t>
      </w:r>
      <w:r/>
    </w:p>
    <w:p>
      <w:pPr>
        <w:jc w:val="left"/>
        <w:spacing w:line="360" w:lineRule="auto"/>
        <w:widowControl/>
        <w:rPr>
          <w:rFonts w:hint="eastAsia" w:ascii="宋体" w:hAnsi="宋体" w:cs="宋体"/>
          <w:b/>
          <w:bCs/>
          <w:color w:val="000000" w:themeColor="text1"/>
          <w:sz w:val="32"/>
          <w:szCs w:val="32"/>
          <w14:textFill>
            <w14:solidFill>
              <w14:schemeClr w14:val="tx1"/>
            </w14:solidFill>
          </w14:textFill>
        </w:rPr>
      </w:pPr>
      <w:r/>
      <w:bookmarkStart w:id="317" w:name="_Toc107246273"/>
      <w:r>
        <w:rPr>
          <w:rFonts w:ascii="宋体" w:hAnsi="宋体" w:cs="宋体"/>
          <w:color w:val="000000" w:themeColor="text1"/>
          <w14:textFill>
            <w14:solidFill>
              <w14:schemeClr w14:val="tx1"/>
            </w14:solidFill>
          </w14:textFill>
        </w:rPr>
        <w:br w:type="page" w:clear="all"/>
      </w:r>
      <w:r/>
    </w:p>
    <w:p>
      <w:pPr>
        <w:pStyle w:val="897"/>
        <w:ind w:firstLine="569"/>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第六章 </w:t>
      </w:r>
      <w:bookmarkEnd w:id="316"/>
      <w:r>
        <w:rPr>
          <w:rFonts w:hint="eastAsia" w:ascii="宋体" w:hAnsi="宋体" w:cs="宋体"/>
          <w:color w:val="000000" w:themeColor="text1"/>
          <w14:textFill>
            <w14:solidFill>
              <w14:schemeClr w14:val="tx1"/>
            </w14:solidFill>
          </w14:textFill>
        </w:rPr>
        <w:t xml:space="preserve">投标文件格式</w:t>
      </w:r>
      <w:bookmarkEnd w:id="317"/>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102"/>
        <w:ind w:firstLine="0"/>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left"/>
        <w:spacing w:before="100" w:after="100" w:line="360" w:lineRule="auto"/>
        <w:rPr>
          <w:rFonts w:hint="eastAsia" w:ascii="宋体" w:hAnsi="宋体" w:cs="宋体"/>
          <w:color w:val="000000" w:themeColor="text1"/>
          <w:sz w:val="24"/>
          <w14:textFill>
            <w14:solidFill>
              <w14:schemeClr w14:val="tx1"/>
            </w14:solidFill>
          </w14:textFill>
        </w:rPr>
      </w:pPr>
      <w:r/>
      <w:bookmarkStart w:id="318" w:name="_Toc96347900"/>
      <w:r>
        <w:rPr>
          <w:rFonts w:hint="eastAsia" w:ascii="宋体" w:hAnsi="宋体" w:cs="宋体"/>
          <w:color w:val="000000" w:themeColor="text1"/>
          <w:sz w:val="24"/>
          <w14:textFill>
            <w14:solidFill>
              <w14:schemeClr w14:val="tx1"/>
            </w14:solidFill>
          </w14:textFill>
        </w:rPr>
        <w:br w:type="page" w:clear="all"/>
      </w:r>
      <w:r>
        <w:rPr>
          <w:rFonts w:hint="eastAsia" w:ascii="宋体" w:hAnsi="宋体" w:cs="宋体"/>
          <w:b/>
          <w:color w:val="000000" w:themeColor="text1"/>
          <w:sz w:val="40"/>
          <w:szCs w:val="60"/>
          <w14:textFill>
            <w14:solidFill>
              <w14:schemeClr w14:val="tx1"/>
            </w14:solidFill>
          </w14:textFill>
        </w:rPr>
        <w:t xml:space="preserve">附件</w:t>
      </w:r>
      <w:r/>
    </w:p>
    <w:p>
      <w:pPr>
        <w:pStyle w:val="880"/>
        <w:jc w:val="center"/>
        <w:spacing w:line="360" w:lineRule="auto"/>
        <w:rPr>
          <w:rFonts w:hint="eastAsia" w:hAnsi="宋体" w:cs="宋体"/>
          <w:b/>
          <w:color w:val="000000" w:themeColor="text1"/>
          <w:sz w:val="56"/>
          <w:szCs w:val="56"/>
          <w14:textFill>
            <w14:solidFill>
              <w14:schemeClr w14:val="tx1"/>
            </w14:solidFill>
          </w14:textFill>
        </w:rPr>
      </w:pPr>
      <w:r>
        <w:rPr>
          <w:rFonts w:hint="eastAsia" w:hAnsi="宋体" w:cs="宋体"/>
          <w:b/>
          <w:color w:val="000000" w:themeColor="text1"/>
          <w:sz w:val="56"/>
          <w:szCs w:val="56"/>
          <w14:textFill>
            <w14:solidFill>
              <w14:schemeClr w14:val="tx1"/>
            </w14:solidFill>
          </w14:textFill>
        </w:rPr>
      </w:r>
      <w:r/>
    </w:p>
    <w:p>
      <w:pPr>
        <w:pStyle w:val="880"/>
        <w:jc w:val="center"/>
        <w:spacing w:line="360" w:lineRule="auto"/>
        <w:rPr>
          <w:rFonts w:hint="eastAsia" w:hAnsi="宋体" w:cs="宋体"/>
          <w:b/>
          <w:color w:val="000000" w:themeColor="text1"/>
          <w:sz w:val="56"/>
          <w:szCs w:val="56"/>
          <w14:textFill>
            <w14:solidFill>
              <w14:schemeClr w14:val="tx1"/>
            </w14:solidFill>
          </w14:textFill>
        </w:rPr>
      </w:pPr>
      <w:r>
        <w:rPr>
          <w:rFonts w:hint="eastAsia" w:hAnsi="宋体" w:cs="宋体"/>
          <w:b/>
          <w:color w:val="000000" w:themeColor="text1"/>
          <w:sz w:val="56"/>
          <w:szCs w:val="56"/>
          <w14:textFill>
            <w14:solidFill>
              <w14:schemeClr w14:val="tx1"/>
            </w14:solidFill>
          </w14:textFill>
        </w:rPr>
        <w:t xml:space="preserve">南京鼓楼医院</w:t>
      </w:r>
      <w:r/>
    </w:p>
    <w:p>
      <w:pPr>
        <w:pStyle w:val="880"/>
        <w:jc w:val="center"/>
        <w:spacing w:line="360" w:lineRule="auto"/>
        <w:rPr>
          <w:rFonts w:hint="eastAsia" w:hAnsi="宋体" w:eastAsia="宋体" w:cs="宋体"/>
          <w:b/>
          <w:bCs/>
          <w:color w:val="000000" w:themeColor="text1"/>
          <w:sz w:val="56"/>
          <w:szCs w:val="56"/>
          <w:lang w:eastAsia="zh-CN"/>
          <w14:textFill>
            <w14:solidFill>
              <w14:schemeClr w14:val="tx1"/>
            </w14:solidFill>
          </w14:textFill>
        </w:rPr>
      </w:pPr>
      <w:r>
        <w:rPr>
          <w:rFonts w:hint="eastAsia" w:hAnsi="宋体" w:cs="宋体"/>
          <w:b/>
          <w:color w:val="000000" w:themeColor="text1"/>
          <w:sz w:val="56"/>
          <w:szCs w:val="56"/>
          <w:lang w:eastAsia="zh-CN"/>
          <w14:textFill>
            <w14:solidFill>
              <w14:schemeClr w14:val="tx1"/>
            </w14:solidFill>
          </w14:textFill>
        </w:rPr>
        <w:t xml:space="preserve">医疗责任保险服务项目</w:t>
      </w:r>
      <w:r/>
    </w:p>
    <w:p>
      <w:pPr>
        <w:pStyle w:val="880"/>
        <w:jc w:val="center"/>
        <w:spacing w:line="360" w:lineRule="auto"/>
        <w:rPr>
          <w:rFonts w:hint="eastAsia" w:hAnsi="宋体" w:cs="宋体"/>
          <w:b/>
          <w:color w:val="000000" w:themeColor="text1"/>
          <w:sz w:val="56"/>
          <w:szCs w:val="56"/>
          <w14:textFill>
            <w14:solidFill>
              <w14:schemeClr w14:val="tx1"/>
            </w14:solidFill>
          </w14:textFill>
        </w:rPr>
      </w:pPr>
      <w:r>
        <w:rPr>
          <w:rFonts w:hint="eastAsia" w:hAnsi="宋体" w:cs="宋体"/>
          <w:b/>
          <w:color w:val="000000" w:themeColor="text1"/>
          <w:sz w:val="56"/>
          <w:szCs w:val="56"/>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80"/>
        <w:ind w:firstLine="220"/>
        <w:jc w:val="center"/>
        <w:spacing w:line="360" w:lineRule="auto"/>
        <w:rPr>
          <w:rFonts w:hint="eastAsia" w:hAnsi="宋体" w:cs="宋体"/>
          <w:b/>
          <w:color w:val="000000" w:themeColor="text1"/>
          <w:sz w:val="84"/>
          <w:szCs w:val="84"/>
          <w14:textFill>
            <w14:solidFill>
              <w14:schemeClr w14:val="tx1"/>
            </w14:solidFill>
          </w14:textFill>
        </w:rPr>
      </w:pPr>
      <w:r/>
      <w:bookmarkStart w:id="319" w:name="_Toc100905255"/>
      <w:r>
        <w:rPr>
          <w:rFonts w:hint="eastAsia" w:hAnsi="宋体" w:cs="宋体"/>
          <w:b/>
          <w:color w:val="000000" w:themeColor="text1"/>
          <w:sz w:val="84"/>
          <w:szCs w:val="84"/>
          <w14:textFill>
            <w14:solidFill>
              <w14:schemeClr w14:val="tx1"/>
            </w14:solidFill>
          </w14:textFill>
        </w:rPr>
        <w:t xml:space="preserve">投 标 文 件</w:t>
      </w:r>
      <w:bookmarkEnd w:id="319"/>
      <w:r/>
      <w:r/>
    </w:p>
    <w:p>
      <w:pPr>
        <w:ind w:right="640" w:firstLine="0"/>
        <w:jc w:val="both"/>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right="-200" w:firstLine="711"/>
        <w:spacing w:line="360" w:lineRule="auto"/>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 xml:space="preserve">项目编号：</w:t>
      </w:r>
      <w:r>
        <w:rPr>
          <w:rFonts w:hint="eastAsia" w:ascii="宋体" w:hAnsi="宋体" w:cs="宋体"/>
          <w:b/>
          <w:color w:val="000000" w:themeColor="text1"/>
          <w:sz w:val="40"/>
          <w:szCs w:val="40"/>
          <w:lang w:eastAsia="zh-CN"/>
          <w14:textFill>
            <w14:solidFill>
              <w14:schemeClr w14:val="tx1"/>
            </w14:solidFill>
          </w14:textFill>
        </w:rPr>
        <w:t xml:space="preserve">JSZC-320100-JITC-G2025-0308</w:t>
      </w:r>
      <w:r/>
    </w:p>
    <w:p>
      <w:pPr>
        <w:pStyle w:val="880"/>
        <w:ind w:firstLine="496"/>
        <w:spacing w:line="360" w:lineRule="auto"/>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r>
      <w:r/>
    </w:p>
    <w:p>
      <w:pPr>
        <w:pStyle w:val="880"/>
        <w:ind w:firstLine="496"/>
        <w:spacing w:line="360" w:lineRule="auto"/>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r>
      <w:r/>
    </w:p>
    <w:p>
      <w:pPr>
        <w:pStyle w:val="880"/>
        <w:ind w:firstLine="496"/>
        <w:spacing w:line="360" w:lineRule="auto"/>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r>
      <w:r/>
    </w:p>
    <w:p>
      <w:pPr>
        <w:pStyle w:val="880"/>
        <w:ind w:firstLine="496"/>
        <w:spacing w:line="360" w:lineRule="auto"/>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sz w:val="28"/>
          <w:szCs w:val="28"/>
          <w14:textFill>
            <w14:solidFill>
              <w14:schemeClr w14:val="tx1"/>
            </w14:solidFill>
          </w14:textFill>
        </w:rPr>
      </w:r>
      <w:r/>
    </w:p>
    <w:p>
      <w:pPr>
        <w:pStyle w:val="880"/>
        <w:ind w:firstLine="569"/>
        <w:jc w:val="center"/>
        <w:spacing w:line="360" w:lineRule="auto"/>
        <w:rPr>
          <w:rFonts w:hint="eastAsia" w:hAnsi="宋体" w:cs="宋体"/>
          <w:b/>
          <w:color w:val="000000" w:themeColor="text1"/>
          <w:sz w:val="32"/>
          <w:szCs w:val="32"/>
          <w14:textFill>
            <w14:solidFill>
              <w14:schemeClr w14:val="tx1"/>
            </w14:solidFill>
          </w14:textFill>
        </w:rPr>
      </w:pPr>
      <w:r>
        <w:rPr>
          <w:rFonts w:hint="eastAsia" w:hAnsi="宋体" w:cs="宋体"/>
          <w:b/>
          <w:color w:val="000000" w:themeColor="text1"/>
          <w:sz w:val="32"/>
          <w:szCs w:val="24"/>
          <w14:textFill>
            <w14:solidFill>
              <w14:schemeClr w14:val="tx1"/>
            </w14:solidFill>
          </w14:textFill>
        </w:rPr>
        <w:t xml:space="preserve">供应商名称：</w:t>
      </w:r>
      <w:r>
        <w:rPr>
          <w:rFonts w:hint="eastAsia" w:hAnsi="宋体" w:cs="宋体"/>
          <w:b/>
          <w:color w:val="000000" w:themeColor="text1"/>
          <w:sz w:val="32"/>
          <w:szCs w:val="32"/>
          <w14:textFill>
            <w14:solidFill>
              <w14:schemeClr w14:val="tx1"/>
            </w14:solidFill>
          </w14:textFill>
        </w:rPr>
        <w:t xml:space="preserve">_____________________</w:t>
      </w:r>
      <w:r/>
    </w:p>
    <w:p>
      <w:pPr>
        <w:pStyle w:val="880"/>
        <w:ind w:firstLine="569"/>
        <w:jc w:val="center"/>
        <w:spacing w:line="360" w:lineRule="auto"/>
        <w:rPr>
          <w:rFonts w:hint="eastAsia" w:hAnsi="宋体" w:cs="宋体"/>
          <w:b/>
          <w:color w:val="000000" w:themeColor="text1"/>
          <w:sz w:val="32"/>
          <w:szCs w:val="32"/>
          <w:u w:val="single"/>
          <w14:textFill>
            <w14:solidFill>
              <w14:schemeClr w14:val="tx1"/>
            </w14:solidFill>
          </w14:textFill>
        </w:rPr>
      </w:pPr>
      <w:r>
        <w:rPr>
          <w:rFonts w:hint="eastAsia" w:hAnsi="宋体" w:cs="宋体"/>
          <w:b/>
          <w:color w:val="000000" w:themeColor="text1"/>
          <w:sz w:val="32"/>
          <w:szCs w:val="32"/>
          <w14:textFill>
            <w14:solidFill>
              <w14:schemeClr w14:val="tx1"/>
            </w14:solidFill>
          </w14:textFill>
        </w:rPr>
        <w:t xml:space="preserve">地址：_____________________</w:t>
      </w:r>
      <w:r/>
    </w:p>
    <w:p>
      <w:pPr>
        <w:pStyle w:val="880"/>
        <w:ind w:firstLine="569"/>
        <w:jc w:val="center"/>
        <w:spacing w:line="360" w:lineRule="auto"/>
        <w:rPr>
          <w:rFonts w:hint="eastAsia" w:hAnsi="宋体" w:cs="宋体"/>
          <w:b/>
          <w:color w:val="000000" w:themeColor="text1"/>
          <w:sz w:val="32"/>
          <w:szCs w:val="32"/>
          <w14:textFill>
            <w14:solidFill>
              <w14:schemeClr w14:val="tx1"/>
            </w14:solidFill>
          </w14:textFill>
        </w:rPr>
      </w:pPr>
      <w:r>
        <w:rPr>
          <w:rFonts w:hint="eastAsia" w:hAnsi="宋体" w:cs="宋体"/>
          <w:b/>
          <w:color w:val="000000" w:themeColor="text1"/>
          <w:sz w:val="32"/>
          <w:szCs w:val="32"/>
          <w14:textFill>
            <w14:solidFill>
              <w14:schemeClr w14:val="tx1"/>
            </w14:solidFill>
          </w14:textFill>
        </w:rPr>
        <w:t xml:space="preserve">联系人及联系方式：_____________________</w:t>
      </w:r>
      <w:r/>
    </w:p>
    <w:p>
      <w:pPr>
        <w:pStyle w:val="880"/>
        <w:ind w:firstLine="496"/>
        <w:jc w:val="center"/>
        <w:spacing w:line="360" w:lineRule="auto"/>
        <w:rPr>
          <w:rFonts w:hint="eastAsia" w:hAnsi="宋体" w:cs="宋体"/>
          <w:color w:val="000000" w:themeColor="text1"/>
          <w:sz w:val="28"/>
          <w:szCs w:val="28"/>
          <w14:textFill>
            <w14:solidFill>
              <w14:schemeClr w14:val="tx1"/>
            </w14:solidFill>
          </w14:textFill>
        </w:rPr>
      </w:pPr>
      <w:r>
        <w:rPr>
          <w:rFonts w:hint="eastAsia" w:hAnsi="宋体" w:cs="宋体"/>
          <w:b/>
          <w:color w:val="000000" w:themeColor="text1"/>
          <w:sz w:val="32"/>
          <w14:textFill>
            <w14:solidFill>
              <w14:schemeClr w14:val="tx1"/>
            </w14:solidFill>
          </w14:textFill>
        </w:rPr>
        <w:t xml:space="preserve">二O   年  月  日</w:t>
      </w:r>
      <w:r/>
    </w:p>
    <w:p>
      <w:pPr>
        <w:ind w:firstLine="569"/>
        <w:jc w:val="center"/>
        <w:spacing w:line="360" w:lineRule="auto"/>
        <w:rPr>
          <w:rFonts w:hint="eastAsia" w:ascii="宋体" w:hAnsi="宋体" w:cs="宋体"/>
          <w:b/>
          <w:color w:val="000000" w:themeColor="text1"/>
          <w:sz w:val="28"/>
          <w14:textFill>
            <w14:solidFill>
              <w14:schemeClr w14:val="tx1"/>
            </w14:solidFill>
          </w14:textFill>
        </w:rPr>
      </w:pPr>
      <w:r>
        <w:rPr>
          <w:rFonts w:hint="eastAsia" w:ascii="宋体" w:hAnsi="宋体" w:cs="宋体"/>
          <w:b/>
          <w:color w:val="000000" w:themeColor="text1"/>
          <w14:textFill>
            <w14:solidFill>
              <w14:schemeClr w14:val="tx1"/>
            </w14:solidFill>
          </w14:textFill>
        </w:rPr>
        <w:br w:type="page" w:clear="all"/>
      </w:r>
      <w:r>
        <w:rPr>
          <w:rFonts w:hint="eastAsia" w:ascii="宋体" w:hAnsi="宋体" w:cs="宋体"/>
          <w:b/>
          <w:color w:val="000000" w:themeColor="text1"/>
          <w:sz w:val="32"/>
          <w14:textFill>
            <w14:solidFill>
              <w14:schemeClr w14:val="tx1"/>
            </w14:solidFill>
          </w14:textFill>
        </w:rPr>
        <w:t xml:space="preserve">目录</w:t>
      </w:r>
      <w:r/>
    </w:p>
    <w:p>
      <w:pPr>
        <w:pStyle w:val="880"/>
        <w:ind w:firstLine="373"/>
        <w:spacing w:line="360" w:lineRule="auto"/>
        <w:rPr>
          <w:rFonts w:hint="eastAsia"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一、价格及商务部分</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（1）投标函，格式见附件。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（2）法定代表人（非法人单位负责人）身份证明，格式见附件。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（3）法定代表人授权委托书（适用于法人/非法人），格式见附件。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（4）开标一览表，格式见附件。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（5）商务条款偏离表，格式见附件。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（6）投标人具备投标资格的证明文件（如为南京市政府采购项目，按照公告要求提供）：</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（6-1-1）营业执照复印件或自然人的身份证明复印件（或具有同等法律效力的证照），格式见附件。</w:t>
      </w:r>
      <w:r/>
    </w:p>
    <w:p>
      <w:pPr>
        <w:ind w:firstLine="21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（a）投标人为企业（包括合伙企业）的，应提供有效的“营业执照”。</w:t>
      </w:r>
      <w:r/>
    </w:p>
    <w:p>
      <w:pPr>
        <w:ind w:firstLine="21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（b）投标人为事业单位的，应提供有效的“事业单位法人证书”。</w:t>
      </w:r>
      <w:r/>
    </w:p>
    <w:p>
      <w:pPr>
        <w:ind w:firstLine="21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（c）投标人是非企业机构的，应提供有效的“执业许可证”、“登记证书”等证明文件。</w:t>
      </w:r>
      <w:r/>
    </w:p>
    <w:p>
      <w:pPr>
        <w:ind w:firstLine="21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（d）投标人是个体工商户的，应提供有效的“个体工商户营业执照”。</w:t>
      </w:r>
      <w:r/>
    </w:p>
    <w:p>
      <w:pPr>
        <w:ind w:firstLine="21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（e）投标人是自然人的，应提供有效的自然人身份证明。</w:t>
      </w:r>
      <w:r/>
    </w:p>
    <w:p>
      <w:pPr>
        <w:ind w:firstLine="21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（6-1-2）工商变更登记文件（如需），如发生了单位名称等变更的，需提供工商变更登记文件。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（6-2）财务报表等证明文件。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（6-3）具有履行合同所必需的设备和专业技术能力的相关证明材料或承诺函，格式见附件。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（6-4）依法缴纳税收的相关材料，格式见附件。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（6-5）依法缴纳社会保障资金的相关材料，格式见附件。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（6-6）参加政府采购活动前三年内，在经营活动中没有重大违法记录，格式见附件。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（6-7）无不良信用记录承诺函（投标人自行查询适用），格式见附件。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（6-8）招标文件要求的其它实质性资格资信证明文件。</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7</w:t>
      </w:r>
      <w:r>
        <w:rPr>
          <w:rFonts w:hint="eastAsia" w:ascii="宋体" w:hAnsi="宋体" w:cs="宋体"/>
          <w:color w:val="000000" w:themeColor="text1"/>
          <w:szCs w:val="21"/>
          <w14:textFill>
            <w14:solidFill>
              <w14:schemeClr w14:val="tx1"/>
            </w14:solidFill>
          </w14:textFill>
        </w:rPr>
        <w:t xml:space="preserve">）《南京市政府采购供应商信用记录表暨信用承诺书》</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）公章授权书（如需），格式见附件。</w:t>
      </w:r>
      <w:r/>
    </w:p>
    <w:p>
      <w:pPr>
        <w:pStyle w:val="880"/>
        <w:ind w:firstLine="373"/>
        <w:spacing w:line="360" w:lineRule="auto"/>
        <w:rPr>
          <w:rFonts w:hint="eastAsia"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二、技术部分</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（1）技术条款偏离表</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（2）需求响应方案</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（3）投标人售后服务承诺（如需）</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（4）用于本项目人员简历表（如需）</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（5）用于本项目人员表</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（6）用于本项目设备</w:t>
      </w:r>
      <w:r/>
    </w:p>
    <w:p>
      <w:pPr>
        <w:pStyle w:val="880"/>
        <w:ind w:firstLine="373"/>
        <w:spacing w:line="360" w:lineRule="auto"/>
        <w:rPr>
          <w:rFonts w:hint="eastAsia"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t xml:space="preserve">三、其他部分</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（1）要求投标人提交的其他文件材料或证明材料</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（2）投标人认为需提供的其他文件或证明材料</w:t>
      </w:r>
      <w:r/>
    </w:p>
    <w:p>
      <w:pPr>
        <w:ind w:firstLine="372"/>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（3）提供符合政府采购政策的证明材料</w:t>
      </w:r>
      <w:r/>
    </w:p>
    <w:p>
      <w:pPr>
        <w:pStyle w:val="880"/>
        <w:ind w:firstLine="372"/>
        <w:jc w:val="center"/>
        <w:spacing w:line="360" w:lineRule="auto"/>
        <w:rPr>
          <w:rFonts w:hint="eastAsia" w:hAnsi="宋体" w:cs="宋体"/>
          <w:color w:val="000000" w:themeColor="text1"/>
          <w:sz w:val="28"/>
          <w:szCs w:val="28"/>
          <w14:textFill>
            <w14:solidFill>
              <w14:schemeClr w14:val="tx1"/>
            </w14:solidFill>
          </w14:textFill>
        </w:rPr>
      </w:pPr>
      <w:r>
        <w:rPr>
          <w:rFonts w:hint="eastAsia" w:hAnsi="宋体" w:cs="宋体"/>
          <w:color w:val="000000" w:themeColor="text1"/>
          <w14:textFill>
            <w14:solidFill>
              <w14:schemeClr w14:val="tx1"/>
            </w14:solidFill>
          </w14:textFill>
        </w:rPr>
        <w:br w:type="page" w:clear="all"/>
      </w:r>
      <w:r>
        <w:rPr>
          <w:rFonts w:hint="eastAsia" w:hAnsi="宋体" w:cs="宋体"/>
          <w:b/>
          <w:bCs/>
          <w:color w:val="000000" w:themeColor="text1"/>
          <w:sz w:val="28"/>
          <w:szCs w:val="28"/>
          <w14:textFill>
            <w14:solidFill>
              <w14:schemeClr w14:val="tx1"/>
            </w14:solidFill>
          </w14:textFill>
        </w:rPr>
        <w:t xml:space="preserve">评标索引</w:t>
      </w:r>
      <w:r/>
    </w:p>
    <w:p>
      <w:pPr>
        <w:ind w:firstLine="426"/>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（注：此表按照招标文件中评分办法逐项填写）</w:t>
      </w:r>
      <w:r/>
    </w:p>
    <w:p>
      <w:pPr>
        <w:pStyle w:val="877"/>
        <w:ind w:left="1260" w:firstLine="426"/>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tbl>
      <w:tblPr>
        <w:tblStyle w:val="867"/>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0"/>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firstLine="0"/>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firstLine="0"/>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bookmarkEnd w:id="318"/>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02"/>
              <w:ind w:left="420" w:firstLine="482"/>
              <w:jc w:val="center"/>
              <w:spacing w:line="360" w:lineRule="auto"/>
              <w:shd w:val="clear" w:color="auto" w:fill="ffff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tc>
      </w:tr>
    </w:tbl>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br w:type="page" w:clear="all"/>
      </w:r>
      <w:r/>
    </w:p>
    <w:p>
      <w:pPr>
        <w:pStyle w:val="897"/>
        <w:ind w:left="601" w:firstLine="425"/>
        <w:spacing w:before="0" w:line="360" w:lineRule="auto"/>
        <w:rPr>
          <w:rFonts w:hint="eastAsia" w:ascii="宋体" w:hAnsi="宋体" w:cs="宋体"/>
          <w:color w:val="000000" w:themeColor="text1"/>
          <w:sz w:val="28"/>
          <w:szCs w:val="24"/>
          <w14:textFill>
            <w14:solidFill>
              <w14:schemeClr w14:val="tx1"/>
            </w14:solidFill>
          </w14:textFill>
        </w:rPr>
      </w:pPr>
      <w:r>
        <w:rPr>
          <w:rFonts w:ascii="宋体" w:hAnsi="宋体" w:cs="宋体"/>
          <w:color w:val="000000" w:themeColor="text1"/>
          <w:sz w:val="28"/>
          <w:szCs w:val="24"/>
          <w14:textFill>
            <w14:solidFill>
              <w14:schemeClr w14:val="tx1"/>
            </w14:solidFill>
          </w14:textFill>
        </w:rPr>
        <w:t xml:space="preserve">一、</w:t>
      </w:r>
      <w:bookmarkStart w:id="320" w:name="_Toc103848582"/>
      <w:r/>
      <w:bookmarkStart w:id="321" w:name="_Toc104560897"/>
      <w:r/>
      <w:bookmarkStart w:id="322" w:name="_Toc107246274"/>
      <w:r/>
      <w:bookmarkStart w:id="323" w:name="_Toc104560893"/>
      <w:r>
        <w:rPr>
          <w:rFonts w:hint="eastAsia" w:ascii="宋体" w:hAnsi="宋体" w:cs="宋体"/>
          <w:color w:val="000000" w:themeColor="text1"/>
          <w:sz w:val="28"/>
          <w:szCs w:val="24"/>
          <w14:textFill>
            <w14:solidFill>
              <w14:schemeClr w14:val="tx1"/>
            </w14:solidFill>
          </w14:textFill>
        </w:rPr>
        <w:t xml:space="preserve">价格及商务部分</w:t>
      </w:r>
      <w:bookmarkEnd w:id="320"/>
      <w:r/>
      <w:bookmarkEnd w:id="321"/>
      <w:r/>
      <w:bookmarkEnd w:id="322"/>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97"/>
        <w:spacing w:before="0" w:line="360" w:lineRule="auto"/>
        <w:rPr>
          <w:rFonts w:hint="eastAsia" w:ascii="宋体" w:hAnsi="宋体" w:cs="宋体"/>
          <w:color w:val="000000" w:themeColor="text1"/>
          <w:sz w:val="28"/>
          <w:szCs w:val="24"/>
          <w14:textFill>
            <w14:solidFill>
              <w14:schemeClr w14:val="tx1"/>
            </w14:solidFill>
          </w14:textFill>
        </w:rPr>
      </w:pPr>
      <w:r/>
      <w:bookmarkStart w:id="324" w:name="_Toc107246275"/>
      <w:r>
        <w:rPr>
          <w:rFonts w:hint="eastAsia" w:ascii="宋体" w:hAnsi="宋体" w:cs="宋体"/>
          <w:b w:val="0"/>
          <w:color w:val="000000" w:themeColor="text1"/>
          <w:sz w:val="24"/>
          <w14:textFill>
            <w14:solidFill>
              <w14:schemeClr w14:val="tx1"/>
            </w14:solidFill>
          </w14:textFill>
        </w:rPr>
        <w:t xml:space="preserve">（1）</w:t>
      </w:r>
      <w:r>
        <w:rPr>
          <w:rFonts w:hint="eastAsia" w:ascii="宋体" w:hAnsi="宋体" w:cs="宋体"/>
          <w:color w:val="000000" w:themeColor="text1"/>
          <w:sz w:val="28"/>
          <w:szCs w:val="24"/>
          <w14:textFill>
            <w14:solidFill>
              <w14:schemeClr w14:val="tx1"/>
            </w14:solidFill>
          </w14:textFill>
        </w:rPr>
        <w:t xml:space="preserve">投标函</w:t>
      </w:r>
      <w:bookmarkEnd w:id="323"/>
      <w:r/>
      <w:bookmarkEnd w:id="324"/>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325" w:name="_Toc103848580"/>
      <w:r/>
      <w:bookmarkStart w:id="326" w:name="_Toc96347902"/>
      <w:r>
        <w:rPr>
          <w:rFonts w:hint="eastAsia" w:ascii="宋体" w:hAnsi="宋体" w:cs="宋体"/>
          <w:color w:val="000000" w:themeColor="text1"/>
          <w:szCs w:val="21"/>
          <w:u w:val="single"/>
          <w14:textFill>
            <w14:solidFill>
              <w14:schemeClr w14:val="tx1"/>
            </w14:solidFill>
          </w14:textFill>
        </w:rPr>
        <w:t xml:space="preserve">南京鼓楼医院</w:t>
      </w:r>
      <w:r>
        <w:rPr>
          <w:rFonts w:hint="eastAsia" w:ascii="宋体" w:hAnsi="宋体" w:cs="宋体"/>
          <w:color w:val="000000" w:themeColor="text1"/>
          <w:szCs w:val="21"/>
          <w14:textFill>
            <w14:solidFill>
              <w14:schemeClr w14:val="tx1"/>
            </w14:solidFill>
          </w14:textFill>
        </w:rPr>
        <w:t xml:space="preserve">（采购人）：</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       (投标人</w:t>
      </w:r>
      <w:r>
        <w:rPr>
          <w:rFonts w:hint="eastAsia" w:ascii="宋体" w:hAnsi="宋体" w:cs="宋体"/>
          <w:color w:val="000000" w:themeColor="text1"/>
          <w:szCs w:val="21"/>
          <w:u w:val="single"/>
          <w:lang w:val="en-US" w:eastAsia="zh-CN"/>
          <w14:textFill>
            <w14:solidFill>
              <w14:schemeClr w14:val="tx1"/>
            </w14:solidFill>
          </w14:textFill>
        </w:rPr>
        <w:t xml:space="preserve">/联合体牵头人</w:t>
      </w:r>
      <w:r>
        <w:rPr>
          <w:rFonts w:hint="eastAsia" w:ascii="宋体" w:hAnsi="宋体" w:cs="宋体"/>
          <w:color w:val="000000" w:themeColor="text1"/>
          <w:szCs w:val="21"/>
          <w:u w:val="single"/>
          <w14:textFill>
            <w14:solidFill>
              <w14:schemeClr w14:val="tx1"/>
            </w14:solidFill>
          </w14:textFill>
        </w:rPr>
        <w:t xml:space="preserve">全称)   </w:t>
      </w:r>
      <w:r>
        <w:rPr>
          <w:rFonts w:hint="eastAsia" w:ascii="宋体" w:hAnsi="宋体" w:cs="宋体"/>
          <w:color w:val="000000" w:themeColor="text1"/>
          <w:szCs w:val="21"/>
          <w14:textFill>
            <w14:solidFill>
              <w14:schemeClr w14:val="tx1"/>
            </w14:solidFill>
          </w14:textFill>
        </w:rPr>
        <w:t xml:space="preserve">授权</w:t>
      </w:r>
      <w:r>
        <w:rPr>
          <w:rFonts w:hint="eastAsia" w:ascii="宋体" w:hAnsi="宋体" w:cs="宋体"/>
          <w:color w:val="000000" w:themeColor="text1"/>
          <w:szCs w:val="21"/>
          <w:u w:val="single"/>
          <w14:textFill>
            <w14:solidFill>
              <w14:schemeClr w14:val="tx1"/>
            </w14:solidFill>
          </w14:textFill>
        </w:rPr>
        <w:t xml:space="preserve">    （授权代表姓名）   （职位） </w:t>
      </w:r>
      <w:r>
        <w:rPr>
          <w:rFonts w:hint="eastAsia" w:ascii="宋体" w:hAnsi="宋体" w:cs="宋体"/>
          <w:color w:val="000000" w:themeColor="text1"/>
          <w:szCs w:val="21"/>
          <w14:textFill>
            <w14:solidFill>
              <w14:schemeClr w14:val="tx1"/>
            </w14:solidFill>
          </w14:textFill>
        </w:rPr>
        <w:t xml:space="preserve">为全权代表，参加贵方组织的</w:t>
      </w:r>
      <w:r>
        <w:rPr>
          <w:rFonts w:hint="eastAsia" w:ascii="宋体" w:hAnsi="宋体" w:cs="宋体"/>
          <w:color w:val="000000" w:themeColor="text1"/>
          <w:szCs w:val="21"/>
          <w:u w:val="single"/>
          <w14:textFill>
            <w14:solidFill>
              <w14:schemeClr w14:val="tx1"/>
            </w14:solidFill>
          </w14:textFill>
        </w:rPr>
        <w:t xml:space="preserve">南京鼓楼医院</w:t>
      </w:r>
      <w:r>
        <w:rPr>
          <w:rFonts w:hint="eastAsia" w:ascii="宋体" w:hAnsi="宋体" w:cs="宋体"/>
          <w:color w:val="000000" w:themeColor="text1"/>
          <w:szCs w:val="21"/>
          <w:u w:val="single"/>
          <w:lang w:eastAsia="zh-CN"/>
          <w14:textFill>
            <w14:solidFill>
              <w14:schemeClr w14:val="tx1"/>
            </w14:solidFill>
          </w14:textFill>
        </w:rPr>
        <w:t xml:space="preserve">医疗责任保险服务项目</w:t>
      </w:r>
      <w:r>
        <w:rPr>
          <w:rFonts w:hint="eastAsia" w:ascii="宋体" w:hAnsi="宋体" w:cs="宋体"/>
          <w:color w:val="000000" w:themeColor="text1"/>
          <w:szCs w:val="21"/>
          <w:u w:val="single"/>
          <w14:textFill>
            <w14:solidFill>
              <w14:schemeClr w14:val="tx1"/>
            </w14:solidFill>
          </w14:textFill>
        </w:rPr>
        <w:t xml:space="preserve">（项目名称）（项目编号：</w:t>
      </w:r>
      <w:r>
        <w:rPr>
          <w:rFonts w:hint="eastAsia" w:ascii="宋体" w:hAnsi="宋体" w:cs="宋体"/>
          <w:color w:val="000000" w:themeColor="text1"/>
          <w:szCs w:val="21"/>
          <w:u w:val="single"/>
          <w:lang w:eastAsia="zh-CN"/>
          <w14:textFill>
            <w14:solidFill>
              <w14:schemeClr w14:val="tx1"/>
            </w14:solidFill>
          </w14:textFill>
        </w:rPr>
        <w:t xml:space="preserve">JSZC-320100-JITC-G2025-0308</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投标的有关活动，并对此项目进行投标。</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为此：</w:t>
      </w:r>
      <w:r/>
    </w:p>
    <w:p>
      <w:pPr>
        <w:pStyle w:val="895"/>
        <w:ind w:firstLine="420"/>
        <w:jc w:val="left"/>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1、我方将按采购文件的规定履行全部责任和义务。</w:t>
      </w:r>
      <w:r/>
    </w:p>
    <w:p>
      <w:pPr>
        <w:pStyle w:val="895"/>
        <w:ind w:firstLine="420"/>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14:textFill>
            <w14:solidFill>
              <w14:schemeClr w14:val="tx1"/>
            </w14:solidFill>
          </w14:textFill>
        </w:rPr>
        <w:t xml:space="preserve">放弃对采购文件提出质疑或争议的权利。</w:t>
      </w:r>
      <w:r/>
    </w:p>
    <w:p>
      <w:pPr>
        <w:pStyle w:val="895"/>
        <w:ind w:firstLine="420"/>
        <w:jc w:val="left"/>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3、本投标有效期为自投标日起</w:t>
      </w:r>
      <w:r>
        <w:rPr>
          <w:rFonts w:hint="eastAsia" w:ascii="宋体" w:hAnsi="宋体" w:cs="宋体"/>
          <w:color w:val="000000" w:themeColor="text1"/>
          <w:szCs w:val="21"/>
          <w:u w:val="single"/>
          <w14:textFill>
            <w14:solidFill>
              <w14:schemeClr w14:val="tx1"/>
            </w14:solidFill>
          </w14:textFill>
        </w:rPr>
        <w:t xml:space="preserve">90日历天</w:t>
      </w:r>
      <w:r>
        <w:rPr>
          <w:rFonts w:hint="eastAsia" w:ascii="宋体" w:hAnsi="宋体" w:cs="宋体"/>
          <w:color w:val="000000" w:themeColor="text1"/>
          <w:szCs w:val="21"/>
          <w14:textFill>
            <w14:solidFill>
              <w14:schemeClr w14:val="tx1"/>
            </w14:solidFill>
          </w14:textFill>
        </w:rPr>
        <w:t xml:space="preserve">。</w:t>
      </w:r>
      <w:r/>
    </w:p>
    <w:p>
      <w:pPr>
        <w:pStyle w:val="895"/>
        <w:ind w:firstLine="420"/>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4、如果在规定的递交投标文件截止时间后，我方在投标有效期内撤销投标文件，投标保证金将不予退还。</w:t>
      </w:r>
      <w:r/>
    </w:p>
    <w:p>
      <w:pPr>
        <w:pStyle w:val="895"/>
        <w:ind w:firstLine="420"/>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95"/>
        <w:ind w:firstLine="420"/>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95"/>
        <w:ind w:firstLine="420"/>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95"/>
        <w:ind w:firstLine="420"/>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95"/>
        <w:ind w:firstLine="420"/>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w:t>
      </w:r>
      <w:r>
        <w:rPr>
          <w:rFonts w:hint="eastAsia" w:ascii="宋体" w:hAnsi="宋体" w:cs="宋体"/>
          <w:color w:val="000000" w:themeColor="text1"/>
          <w:szCs w:val="21"/>
          <w14:textFill>
            <w14:solidFill>
              <w14:schemeClr w14:val="tx1"/>
            </w14:solidFill>
          </w14:textFill>
        </w:rPr>
        <w:t xml:space="preserve">与本投标有关的一切往来通讯请寄：</w:t>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邮编：</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手机：</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固定电话：</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邮箱：</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w:t>
      </w:r>
      <w:r>
        <w:rPr>
          <w:rFonts w:hint="eastAsia" w:ascii="宋体" w:hAnsi="宋体" w:cs="宋体"/>
          <w:color w:val="000000" w:themeColor="text1"/>
          <w:szCs w:val="21"/>
          <w:lang w:val="en-US" w:eastAsia="zh-CN"/>
          <w14:textFill>
            <w14:solidFill>
              <w14:schemeClr w14:val="tx1"/>
            </w14:solidFill>
          </w14:textFill>
        </w:rPr>
        <w:t xml:space="preserve">/联合体牵头人</w:t>
      </w:r>
      <w:r>
        <w:rPr>
          <w:rFonts w:hint="eastAsia" w:ascii="宋体" w:hAnsi="宋体" w:cs="宋体"/>
          <w:color w:val="000000" w:themeColor="text1"/>
          <w:szCs w:val="21"/>
          <w14:textFill>
            <w14:solidFill>
              <w14:schemeClr w14:val="tx1"/>
            </w14:solidFill>
          </w14:textFill>
        </w:rPr>
        <w:t xml:space="preserve">名称（公章）：</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或单位负责人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或其授权代表（签字或盖章）：</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p>
    <w:p>
      <w:pPr>
        <w:pStyle w:val="895"/>
        <w:ind w:firstLine="372"/>
        <w:jc w:val="lef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日期：______年</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日</w:t>
      </w:r>
      <w:r/>
    </w:p>
    <w:p>
      <w:pPr>
        <w:pStyle w:val="874"/>
        <w:spacing w:before="1"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97"/>
        <w:ind w:firstLine="569"/>
        <w:spacing w:before="0" w:line="360" w:lineRule="auto"/>
        <w:rPr>
          <w:rFonts w:hint="eastAsia" w:ascii="宋体" w:hAnsi="宋体" w:cs="宋体"/>
          <w:bCs w:val="0"/>
          <w:color w:val="000000" w:themeColor="text1"/>
          <w:sz w:val="24"/>
          <w:szCs w:val="24"/>
          <w14:textFill>
            <w14:solidFill>
              <w14:schemeClr w14:val="tx1"/>
            </w14:solidFill>
          </w14:textFill>
        </w:rPr>
      </w:pPr>
      <w:r/>
      <w:bookmarkStart w:id="327" w:name="_Toc104560898"/>
      <w:r/>
      <w:bookmarkStart w:id="328" w:name="_Toc103848583"/>
      <w:r/>
      <w:bookmarkStart w:id="329" w:name="_Toc107246276"/>
      <w:r>
        <w:rPr>
          <w:rFonts w:hint="eastAsia" w:ascii="宋体" w:hAnsi="宋体" w:cs="宋体"/>
          <w:bCs w:val="0"/>
          <w:color w:val="000000" w:themeColor="text1"/>
          <w:sz w:val="24"/>
          <w:szCs w:val="24"/>
          <w14:textFill>
            <w14:solidFill>
              <w14:schemeClr w14:val="tx1"/>
            </w14:solidFill>
          </w14:textFill>
        </w:rPr>
        <w:t xml:space="preserve">（2）</w:t>
      </w:r>
      <w:bookmarkEnd w:id="327"/>
      <w:r/>
      <w:bookmarkEnd w:id="328"/>
      <w:r>
        <w:rPr>
          <w:rFonts w:hint="eastAsia" w:ascii="宋体" w:hAnsi="宋体" w:cs="宋体"/>
          <w:bCs w:val="0"/>
          <w:color w:val="000000" w:themeColor="text1"/>
          <w:sz w:val="24"/>
          <w:szCs w:val="24"/>
          <w14:textFill>
            <w14:solidFill>
              <w14:schemeClr w14:val="tx1"/>
            </w14:solidFill>
          </w14:textFill>
        </w:rPr>
        <w:t xml:space="preserve">法定代表人（非法人单位负责人）身份证明</w:t>
      </w:r>
      <w:bookmarkEnd w:id="329"/>
      <w:r/>
      <w:r/>
    </w:p>
    <w:p>
      <w:pPr>
        <w:pStyle w:val="874"/>
        <w:ind w:left="1236" w:firstLine="368"/>
        <w:spacing w:line="360" w:lineRule="auto"/>
        <w:tabs>
          <w:tab w:val="left" w:pos="4228" w:leader="none"/>
        </w:tabs>
        <w:rPr>
          <w:rFonts w:hint="eastAsia"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r>
      <w:r/>
    </w:p>
    <w:p>
      <w:pPr>
        <w:pStyle w:val="874"/>
        <w:ind w:left="1236" w:firstLine="368"/>
        <w:spacing w:line="360" w:lineRule="auto"/>
        <w:tabs>
          <w:tab w:val="left" w:pos="4228" w:leader="none"/>
        </w:tabs>
        <w:rPr>
          <w:rFonts w:hint="eastAsia"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r>
      <w:r/>
    </w:p>
    <w:p>
      <w:pPr>
        <w:pStyle w:val="874"/>
        <w:ind w:firstLine="420"/>
        <w:spacing w:line="360" w:lineRule="auto"/>
        <w:tabs>
          <w:tab w:val="left" w:pos="4228"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投标人名</w:t>
      </w:r>
      <w:r>
        <w:rPr>
          <w:rFonts w:hint="eastAsia" w:ascii="宋体" w:hAnsi="宋体" w:cs="宋体"/>
          <w:color w:val="000000" w:themeColor="text1"/>
          <w:spacing w:val="-3"/>
          <w14:textFill>
            <w14:solidFill>
              <w14:schemeClr w14:val="tx1"/>
            </w14:solidFill>
          </w14:textFill>
        </w:rPr>
        <w:t xml:space="preserve">称</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874"/>
        <w:ind w:firstLine="420"/>
        <w:spacing w:before="170" w:line="360" w:lineRule="auto"/>
        <w:tabs>
          <w:tab w:val="left" w:pos="2712" w:leader="none"/>
          <w:tab w:val="left" w:pos="4183" w:leader="none"/>
          <w:tab w:val="left" w:pos="5652" w:leader="none"/>
          <w:tab w:val="left" w:pos="7169"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姓名</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spacing w:val="-3"/>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性别</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spacing w:val="-3"/>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spacing w:val="-3"/>
          <w14:textFill>
            <w14:solidFill>
              <w14:schemeClr w14:val="tx1"/>
            </w14:solidFill>
          </w14:textFill>
        </w:rPr>
        <w:t xml:space="preserve">龄</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spacing w:val="-1"/>
          <w14:textFill>
            <w14:solidFill>
              <w14:schemeClr w14:val="tx1"/>
            </w14:solidFill>
          </w14:textFill>
        </w:rPr>
        <w:t xml:space="preserve">职</w:t>
      </w:r>
      <w:r>
        <w:rPr>
          <w:rFonts w:hint="eastAsia" w:ascii="宋体" w:hAnsi="宋体" w:cs="宋体"/>
          <w:color w:val="000000" w:themeColor="text1"/>
          <w:spacing w:val="-3"/>
          <w14:textFill>
            <w14:solidFill>
              <w14:schemeClr w14:val="tx1"/>
            </w14:solidFill>
          </w14:textFill>
        </w:rPr>
        <w:t xml:space="preserve">务</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874"/>
        <w:ind w:firstLine="420"/>
        <w:spacing w:before="173" w:line="360" w:lineRule="auto"/>
        <w:tabs>
          <w:tab w:val="left" w:pos="3132"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系</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投标人</w:t>
      </w:r>
      <w:r>
        <w:rPr>
          <w:rFonts w:hint="eastAsia" w:ascii="宋体" w:hAnsi="宋体" w:cs="宋体"/>
          <w:color w:val="000000" w:themeColor="text1"/>
          <w:spacing w:val="-3"/>
          <w14:textFill>
            <w14:solidFill>
              <w14:schemeClr w14:val="tx1"/>
            </w14:solidFill>
          </w14:textFill>
        </w:rPr>
        <w:t xml:space="preserve">名</w:t>
      </w:r>
      <w:r>
        <w:rPr>
          <w:rFonts w:hint="eastAsia" w:ascii="宋体" w:hAnsi="宋体" w:cs="宋体"/>
          <w:color w:val="000000" w:themeColor="text1"/>
          <w14:textFill>
            <w14:solidFill>
              <w14:schemeClr w14:val="tx1"/>
            </w14:solidFill>
          </w14:textFill>
        </w:rPr>
        <w:t xml:space="preserve">称</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spacing w:val="-3"/>
          <w14:textFill>
            <w14:solidFill>
              <w14:schemeClr w14:val="tx1"/>
            </w14:solidFill>
          </w14:textFill>
        </w:rPr>
        <w:t xml:space="preserve">法定</w:t>
      </w:r>
      <w:r>
        <w:rPr>
          <w:rFonts w:hint="eastAsia" w:ascii="宋体" w:hAnsi="宋体" w:cs="宋体"/>
          <w:color w:val="000000" w:themeColor="text1"/>
          <w14:textFill>
            <w14:solidFill>
              <w14:schemeClr w14:val="tx1"/>
            </w14:solidFill>
          </w14:textFill>
        </w:rPr>
        <w:t xml:space="preserve">代表</w:t>
      </w:r>
      <w:r>
        <w:rPr>
          <w:rFonts w:hint="eastAsia" w:ascii="宋体" w:hAnsi="宋体" w:cs="宋体"/>
          <w:color w:val="000000" w:themeColor="text1"/>
          <w:spacing w:val="-3"/>
          <w14:textFill>
            <w14:solidFill>
              <w14:schemeClr w14:val="tx1"/>
            </w14:solidFill>
          </w14:textFill>
        </w:rPr>
        <w:t xml:space="preserve">人/非法人单位负责人。</w:t>
      </w:r>
      <w:r/>
    </w:p>
    <w:p>
      <w:pPr>
        <w:pStyle w:val="874"/>
        <w:ind w:firstLine="420"/>
        <w:spacing w:before="17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特此证明。</w:t>
      </w:r>
      <w:r/>
    </w:p>
    <w:p>
      <w:pPr>
        <w:pStyle w:val="874"/>
        <w:ind w:left="1260" w:firstLine="354"/>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74"/>
        <w:ind w:left="1260" w:firstLine="478"/>
        <w:spacing w:before="10" w:line="360" w:lineRule="auto"/>
        <w:rPr>
          <w:rFonts w:hint="eastAsia" w:ascii="宋体" w:hAnsi="宋体" w:cs="宋体"/>
          <w:color w:val="000000" w:themeColor="text1"/>
          <w:sz w:val="27"/>
          <w14:textFill>
            <w14:solidFill>
              <w14:schemeClr w14:val="tx1"/>
            </w14:solidFill>
          </w14:textFill>
        </w:rPr>
      </w:pPr>
      <w:r>
        <w:rPr>
          <w:rFonts w:hint="eastAsia" w:ascii="宋体" w:hAnsi="宋体" w:cs="宋体"/>
          <w:color w:val="000000" w:themeColor="text1"/>
          <w:sz w:val="27"/>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附：法定代表人（非法人单位负责人）有效期内的身份证复印件（正反面）</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bl>
      <w:tblPr>
        <w:tblStyle w:val="86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4"/>
              <w:jc w:val="center"/>
              <w:spacing w:line="360" w:lineRule="auto"/>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77" w:type="dxa"/>
            <w:vAlign w:val="center"/>
            <w:textDirection w:val="lrTb"/>
            <w:noWrap w:val="false"/>
          </w:tcPr>
          <w:p>
            <w:pPr>
              <w:jc w:val="center"/>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874"/>
        <w:ind w:firstLine="354"/>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74"/>
        <w:ind w:firstLine="354"/>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74"/>
        <w:ind w:left="1260" w:firstLine="354"/>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74"/>
        <w:ind w:left="1260" w:firstLine="389"/>
        <w:spacing w:before="1"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pStyle w:val="874"/>
        <w:ind w:left="1260" w:firstLine="3060"/>
        <w:spacing w:line="360" w:lineRule="auto"/>
        <w:tabs>
          <w:tab w:val="left" w:pos="7977"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pacing w:val="-3"/>
          <w14:textFill>
            <w14:solidFill>
              <w14:schemeClr w14:val="tx1"/>
            </w14:solidFill>
          </w14:textFill>
        </w:rPr>
        <w:t xml:space="preserve">投标人</w:t>
      </w:r>
      <w:r>
        <w:rPr>
          <w:rFonts w:hint="eastAsia" w:ascii="宋体" w:hAnsi="宋体" w:cs="宋体"/>
          <w:color w:val="000000" w:themeColor="text1"/>
          <w:spacing w:val="-3"/>
          <w:lang w:eastAsia="zh-CN"/>
          <w14:textFill>
            <w14:solidFill>
              <w14:schemeClr w14:val="tx1"/>
            </w14:solidFill>
          </w14:textFill>
        </w:rPr>
        <w:t xml:space="preserve">（</w:t>
      </w:r>
      <w:r>
        <w:rPr>
          <w:rFonts w:hint="eastAsia" w:ascii="宋体" w:hAnsi="宋体" w:cs="宋体"/>
          <w:color w:val="000000" w:themeColor="text1"/>
          <w:spacing w:val="-3"/>
          <w:lang w:val="en-US" w:eastAsia="zh-CN"/>
          <w14:textFill>
            <w14:solidFill>
              <w14:schemeClr w14:val="tx1"/>
            </w14:solidFill>
          </w14:textFill>
        </w:rPr>
        <w:t xml:space="preserve">联合体牵头人</w:t>
      </w:r>
      <w:r>
        <w:rPr>
          <w:rFonts w:hint="eastAsia" w:ascii="宋体" w:hAnsi="宋体" w:cs="宋体"/>
          <w:color w:val="000000" w:themeColor="text1"/>
          <w:spacing w:val="-3"/>
          <w:lang w:eastAsia="zh-CN"/>
          <w14:textFill>
            <w14:solidFill>
              <w14:schemeClr w14:val="tx1"/>
            </w14:solidFill>
          </w14:textFill>
        </w:rPr>
        <w:t xml:space="preserve">）</w:t>
      </w:r>
      <w:r>
        <w:rPr>
          <w:rFonts w:hint="eastAsia" w:ascii="宋体" w:hAnsi="宋体" w:cs="宋体"/>
          <w:color w:val="000000" w:themeColor="text1"/>
          <w:spacing w:val="-3"/>
          <w14:textFill>
            <w14:solidFill>
              <w14:schemeClr w14:val="tx1"/>
            </w14:solidFill>
          </w14:textFill>
        </w:rPr>
        <w:t xml:space="preserve">名称（公章）</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895"/>
        <w:ind w:firstLine="372"/>
        <w:jc w:val="righ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日期：______年</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bookmarkStart w:id="330" w:name="_Toc103848584"/>
      <w:r/>
      <w:bookmarkStart w:id="331" w:name="_Toc104560899"/>
      <w:r/>
      <w:bookmarkStart w:id="332" w:name="_Toc107246277"/>
      <w:r>
        <w:rPr>
          <w:rFonts w:hint="eastAsia" w:ascii="宋体" w:hAnsi="宋体" w:cs="宋体"/>
          <w:bCs w:val="0"/>
          <w:color w:val="000000" w:themeColor="text1"/>
          <w:sz w:val="24"/>
          <w:szCs w:val="24"/>
          <w14:textFill>
            <w14:solidFill>
              <w14:schemeClr w14:val="tx1"/>
            </w14:solidFill>
          </w14:textFill>
        </w:rPr>
        <w:t xml:space="preserve">（3）法定代表人授权委托书</w:t>
      </w:r>
      <w:bookmarkEnd w:id="330"/>
      <w:r/>
      <w:bookmarkEnd w:id="331"/>
      <w:r/>
      <w:bookmarkEnd w:id="332"/>
      <w:r>
        <w:rPr>
          <w:rFonts w:hint="eastAsia" w:ascii="宋体" w:hAnsi="宋体" w:cs="宋体"/>
          <w:bCs w:val="0"/>
          <w:color w:val="000000" w:themeColor="text1"/>
          <w:sz w:val="24"/>
          <w:szCs w:val="24"/>
          <w14:textFill>
            <w14:solidFill>
              <w14:schemeClr w14:val="tx1"/>
            </w14:solidFill>
          </w14:textFill>
        </w:rPr>
        <w:t xml:space="preserve">（适用于法人/非法人）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本授权书声明：注册于</w:t>
      </w:r>
      <w:r>
        <w:rPr>
          <w:rFonts w:hint="eastAsia" w:ascii="宋体" w:hAnsi="宋体" w:cs="宋体"/>
          <w:color w:val="000000" w:themeColor="text1"/>
          <w:szCs w:val="21"/>
          <w:u w:val="single"/>
          <w14:textFill>
            <w14:solidFill>
              <w14:schemeClr w14:val="tx1"/>
            </w14:solidFill>
          </w14:textFill>
        </w:rPr>
        <w:t xml:space="preserve">（国家或地区的名称）</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u w:val="single"/>
          <w14:textFill>
            <w14:solidFill>
              <w14:schemeClr w14:val="tx1"/>
            </w14:solidFill>
          </w14:textFill>
        </w:rPr>
        <w:t xml:space="preserve">         （单位名称）      </w:t>
      </w:r>
      <w:r>
        <w:rPr>
          <w:rFonts w:hint="eastAsia" w:ascii="宋体" w:hAnsi="宋体" w:cs="宋体"/>
          <w:color w:val="000000" w:themeColor="text1"/>
          <w:szCs w:val="21"/>
          <w14:textFill>
            <w14:solidFill>
              <w14:schemeClr w14:val="tx1"/>
            </w14:solidFill>
          </w14:textFill>
        </w:rPr>
        <w:t xml:space="preserve">的在法定代表人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或单位负责人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（签字或盖章）处签字的</w:t>
      </w:r>
      <w:r>
        <w:rPr>
          <w:rFonts w:hint="eastAsia" w:ascii="宋体" w:hAnsi="宋体" w:cs="宋体"/>
          <w:color w:val="000000" w:themeColor="text1"/>
          <w:szCs w:val="21"/>
          <w:u w:val="single"/>
          <w14:textFill>
            <w14:solidFill>
              <w14:schemeClr w14:val="tx1"/>
            </w14:solidFill>
          </w14:textFill>
        </w:rPr>
        <w:t xml:space="preserve">   （法定代表人</w:t>
      </w:r>
      <w:r>
        <w:rPr>
          <w:rFonts w:hint="eastAsia" w:ascii="宋体" w:hAnsi="宋体" w:cs="宋体"/>
          <w:color w:val="000000" w:themeColor="text1"/>
          <w:szCs w:val="21"/>
          <w:u w:val="single"/>
          <w:lang w:val="en-US" w:eastAsia="zh-CN"/>
          <w14:textFill>
            <w14:solidFill>
              <w14:schemeClr w14:val="tx1"/>
            </w14:solidFill>
          </w14:textFill>
        </w:rPr>
        <w:t xml:space="preserve">/单位负责人</w:t>
      </w:r>
      <w:r>
        <w:rPr>
          <w:rFonts w:hint="eastAsia" w:ascii="宋体" w:hAnsi="宋体" w:cs="宋体"/>
          <w:color w:val="000000" w:themeColor="text1"/>
          <w:szCs w:val="21"/>
          <w:u w:val="single"/>
          <w14:textFill>
            <w14:solidFill>
              <w14:schemeClr w14:val="tx1"/>
            </w14:solidFill>
          </w14:textFill>
        </w:rPr>
        <w:t xml:space="preserve">姓名、职务）   </w:t>
      </w:r>
      <w:r>
        <w:rPr>
          <w:rFonts w:hint="eastAsia" w:ascii="宋体" w:hAnsi="宋体" w:cs="宋体"/>
          <w:color w:val="000000" w:themeColor="text1"/>
          <w:szCs w:val="21"/>
          <w14:textFill>
            <w14:solidFill>
              <w14:schemeClr w14:val="tx1"/>
            </w14:solidFill>
          </w14:textFill>
        </w:rPr>
        <w:t xml:space="preserve">代表本单位授权 </w:t>
      </w:r>
      <w:r>
        <w:rPr>
          <w:rFonts w:hint="eastAsia" w:ascii="宋体" w:hAnsi="宋体" w:cs="宋体"/>
          <w:color w:val="000000" w:themeColor="text1"/>
          <w:szCs w:val="21"/>
          <w:u w:val="single"/>
          <w14:textFill>
            <w14:solidFill>
              <w14:schemeClr w14:val="tx1"/>
            </w14:solidFill>
          </w14:textFill>
        </w:rPr>
        <w:t xml:space="preserve">        （单位名称）      </w:t>
      </w:r>
      <w:r>
        <w:rPr>
          <w:rFonts w:hint="eastAsia" w:ascii="宋体" w:hAnsi="宋体" w:cs="宋体"/>
          <w:color w:val="000000" w:themeColor="text1"/>
          <w:szCs w:val="21"/>
          <w14:textFill>
            <w14:solidFill>
              <w14:schemeClr w14:val="tx1"/>
            </w14:solidFill>
          </w14:textFill>
        </w:rPr>
        <w:t xml:space="preserve">的在授权代表（签字）处签字的</w:t>
      </w:r>
      <w:r>
        <w:rPr>
          <w:rFonts w:hint="eastAsia" w:ascii="宋体" w:hAnsi="宋体" w:cs="宋体"/>
          <w:color w:val="000000" w:themeColor="text1"/>
          <w:szCs w:val="21"/>
          <w:u w:val="single"/>
          <w14:textFill>
            <w14:solidFill>
              <w14:schemeClr w14:val="tx1"/>
            </w14:solidFill>
          </w14:textFill>
        </w:rPr>
        <w:t xml:space="preserve">（授权代表的姓名、职务）（身份证号码：             ）</w:t>
      </w:r>
      <w:r>
        <w:rPr>
          <w:rFonts w:hint="eastAsia" w:ascii="宋体" w:hAnsi="宋体" w:cs="宋体"/>
          <w:color w:val="000000" w:themeColor="text1"/>
          <w:szCs w:val="21"/>
          <w14:textFill>
            <w14:solidFill>
              <w14:schemeClr w14:val="tx1"/>
            </w14:solidFill>
          </w14:textFill>
        </w:rPr>
        <w:t xml:space="preserve">为本单位的合法代理人，就</w:t>
      </w:r>
      <w:r>
        <w:rPr>
          <w:rFonts w:hint="eastAsia" w:ascii="宋体" w:hAnsi="宋体" w:cs="宋体"/>
          <w:color w:val="000000" w:themeColor="text1"/>
          <w:szCs w:val="21"/>
          <w:u w:val="single"/>
          <w14:textFill>
            <w14:solidFill>
              <w14:schemeClr w14:val="tx1"/>
            </w14:solidFill>
          </w14:textFill>
        </w:rPr>
        <w:t xml:space="preserve">南京鼓楼医院</w:t>
      </w:r>
      <w:r>
        <w:rPr>
          <w:rFonts w:hint="eastAsia" w:ascii="宋体" w:hAnsi="宋体" w:cs="宋体"/>
          <w:color w:val="000000" w:themeColor="text1"/>
          <w:szCs w:val="21"/>
          <w:u w:val="single"/>
          <w:lang w:eastAsia="zh-CN"/>
          <w14:textFill>
            <w14:solidFill>
              <w14:schemeClr w14:val="tx1"/>
            </w14:solidFill>
          </w14:textFill>
        </w:rPr>
        <w:t xml:space="preserve">医疗责任保险服务项目</w:t>
      </w:r>
      <w:r>
        <w:rPr>
          <w:rFonts w:hint="eastAsia" w:ascii="宋体" w:hAnsi="宋体" w:cs="宋体"/>
          <w:color w:val="000000" w:themeColor="text1"/>
          <w:szCs w:val="21"/>
          <w:u w:val="single"/>
          <w14:textFill>
            <w14:solidFill>
              <w14:schemeClr w14:val="tx1"/>
            </w14:solidFill>
          </w14:textFill>
        </w:rPr>
        <w:t xml:space="preserve">（项目名称）（项目编号：</w:t>
      </w:r>
      <w:r>
        <w:rPr>
          <w:rFonts w:hint="eastAsia" w:ascii="宋体" w:hAnsi="宋体" w:cs="宋体"/>
          <w:color w:val="000000" w:themeColor="text1"/>
          <w:szCs w:val="21"/>
          <w:u w:val="single"/>
          <w:lang w:eastAsia="zh-CN"/>
          <w14:textFill>
            <w14:solidFill>
              <w14:schemeClr w14:val="tx1"/>
            </w14:solidFill>
          </w14:textFill>
        </w:rPr>
        <w:t xml:space="preserve">JSZC-320100-JITC-G2025-0308</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以本单位名义处理一切与之相关的事务，其后果由我单位承担。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代理人无转委托权，特此委托。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委托期限：自本授权委托书签署之日起至投标有效期届满之日止。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或联合体牵头人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名称（公章）：  </w:t>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或单位负责人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（签字或盖章）： </w:t>
      </w:r>
      <w:r/>
    </w:p>
    <w:p>
      <w:pPr>
        <w:pStyle w:val="895"/>
        <w:ind w:firstLine="42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  </w:t>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pStyle w:val="895"/>
        <w:ind w:firstLine="42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附：法定代表人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或单位负责人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有效期内的</w:t>
      </w:r>
      <w:r>
        <w:rPr>
          <w:rFonts w:hint="eastAsia" w:ascii="宋体" w:hAnsi="宋体" w:cs="宋体"/>
          <w:color w:val="000000" w:themeColor="text1"/>
          <w14:textFill>
            <w14:solidFill>
              <w14:schemeClr w14:val="tx1"/>
            </w14:solidFill>
          </w14:textFill>
        </w:rPr>
        <w:t xml:space="preserve">身份证复印件（正反面）</w:t>
      </w:r>
      <w:r/>
    </w:p>
    <w:tbl>
      <w:tblPr>
        <w:tblStyle w:val="86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535"/>
        </w:trPr>
        <w:tc>
          <w:tcPr>
            <w:tcW w:w="4678" w:type="dxa"/>
            <w:vAlign w:val="center"/>
            <w:textDirection w:val="lrTb"/>
            <w:noWrap w:val="false"/>
          </w:tcPr>
          <w:p>
            <w:pPr>
              <w:pStyle w:val="874"/>
              <w:jc w:val="center"/>
              <w:spacing w:line="360" w:lineRule="auto"/>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77" w:type="dxa"/>
            <w:vAlign w:val="center"/>
            <w:textDirection w:val="lrTb"/>
            <w:noWrap w:val="false"/>
          </w:tcPr>
          <w:p>
            <w:pPr>
              <w:jc w:val="center"/>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授权代表有效期内的身份证复印件</w:t>
      </w:r>
      <w:r>
        <w:rPr>
          <w:rFonts w:hint="eastAsia" w:ascii="宋体" w:hAnsi="宋体" w:cs="宋体"/>
          <w:color w:val="000000" w:themeColor="text1"/>
          <w14:textFill>
            <w14:solidFill>
              <w14:schemeClr w14:val="tx1"/>
            </w14:solidFill>
          </w14:textFill>
        </w:rPr>
        <w:t xml:space="preserve">（正反面）</w:t>
      </w:r>
      <w:r/>
    </w:p>
    <w:tbl>
      <w:tblPr>
        <w:tblStyle w:val="86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156"/>
        </w:trPr>
        <w:tc>
          <w:tcPr>
            <w:tcW w:w="4678" w:type="dxa"/>
            <w:vAlign w:val="center"/>
            <w:textDirection w:val="lrTb"/>
            <w:noWrap w:val="false"/>
          </w:tcPr>
          <w:p>
            <w:pPr>
              <w:pStyle w:val="874"/>
              <w:jc w:val="center"/>
              <w:spacing w:line="360" w:lineRule="auto"/>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95" w:type="dxa"/>
            <w:vAlign w:val="center"/>
            <w:textDirection w:val="lrTb"/>
            <w:noWrap w:val="false"/>
          </w:tcPr>
          <w:p>
            <w:pPr>
              <w:jc w:val="center"/>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895"/>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 </w:t>
      </w:r>
      <w:r/>
    </w:p>
    <w:p>
      <w:pPr>
        <w:pStyle w:val="895"/>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895"/>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333" w:name="_Toc107246279"/>
      <w:r/>
      <w:bookmarkStart w:id="334" w:name="_Toc104560895"/>
      <w:r/>
      <w:r/>
    </w:p>
    <w:p>
      <w:pPr>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pStyle w:val="897"/>
        <w:ind w:firstLine="426"/>
        <w:spacing w:before="0" w:line="360" w:lineRule="auto"/>
        <w:rPr>
          <w:rFonts w:hint="eastAsia" w:ascii="宋体" w:hAnsi="宋体" w:cs="宋体"/>
          <w:bCs w:val="0"/>
          <w:color w:val="000000" w:themeColor="text1"/>
          <w:sz w:val="21"/>
          <w:szCs w:val="24"/>
          <w14:textFill>
            <w14:solidFill>
              <w14:schemeClr w14:val="tx1"/>
            </w14:solidFill>
          </w14:textFill>
        </w:rPr>
      </w:pPr>
      <w:r/>
      <w:bookmarkStart w:id="335" w:name="_Toc104560900"/>
      <w:r/>
      <w:bookmarkStart w:id="336" w:name="_Toc107246278"/>
      <w:r/>
      <w:bookmarkStart w:id="337" w:name="_Toc103848585"/>
      <w:r>
        <w:rPr>
          <w:rFonts w:hint="eastAsia" w:ascii="宋体" w:hAnsi="宋体" w:cs="宋体"/>
          <w:bCs w:val="0"/>
          <w:color w:val="000000" w:themeColor="text1"/>
          <w:sz w:val="24"/>
          <w:szCs w:val="24"/>
          <w14:textFill>
            <w14:solidFill>
              <w14:schemeClr w14:val="tx1"/>
            </w14:solidFill>
          </w14:textFill>
        </w:rPr>
        <w:t xml:space="preserve">（3-2）授权委托书（适用于自然人投标）</w:t>
      </w:r>
      <w:bookmarkEnd w:id="335"/>
      <w:r/>
      <w:bookmarkEnd w:id="336"/>
      <w:r/>
      <w:bookmarkEnd w:id="337"/>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本授权书声明：我</w:t>
      </w:r>
      <w:r>
        <w:rPr>
          <w:rFonts w:hint="eastAsia" w:ascii="宋体" w:hAnsi="宋体" w:cs="宋体"/>
          <w:color w:val="000000" w:themeColor="text1"/>
          <w:szCs w:val="21"/>
          <w:u w:val="single"/>
          <w14:textFill>
            <w14:solidFill>
              <w14:schemeClr w14:val="tx1"/>
            </w14:solidFill>
          </w14:textFill>
        </w:rPr>
        <w:t xml:space="preserve">    （姓名）    </w:t>
      </w:r>
      <w:r>
        <w:rPr>
          <w:rFonts w:hint="eastAsia" w:ascii="宋体" w:hAnsi="宋体" w:cs="宋体"/>
          <w:color w:val="000000" w:themeColor="text1"/>
          <w:szCs w:val="21"/>
          <w14:textFill>
            <w14:solidFill>
              <w14:schemeClr w14:val="tx1"/>
            </w14:solidFill>
          </w14:textFill>
        </w:rPr>
        <w:t xml:space="preserve">系自然人，现授权在授权代表（签字）处签字的</w:t>
      </w:r>
      <w:r>
        <w:rPr>
          <w:rFonts w:hint="eastAsia" w:ascii="宋体" w:hAnsi="宋体" w:cs="宋体"/>
          <w:color w:val="000000" w:themeColor="text1"/>
          <w:szCs w:val="21"/>
          <w:u w:val="single"/>
          <w14:textFill>
            <w14:solidFill>
              <w14:schemeClr w14:val="tx1"/>
            </w14:solidFill>
          </w14:textFill>
        </w:rPr>
        <w:t xml:space="preserve">（授权代表的姓名）（身份证号码：             ）</w:t>
      </w:r>
      <w:r>
        <w:rPr>
          <w:rFonts w:hint="eastAsia" w:ascii="宋体" w:hAnsi="宋体" w:cs="宋体"/>
          <w:color w:val="000000" w:themeColor="text1"/>
          <w:szCs w:val="21"/>
          <w14:textFill>
            <w14:solidFill>
              <w14:schemeClr w14:val="tx1"/>
            </w14:solidFill>
          </w14:textFill>
        </w:rPr>
        <w:t xml:space="preserve">为本人的合法代理人，就</w:t>
      </w:r>
      <w:r>
        <w:rPr>
          <w:rFonts w:hint="eastAsia" w:ascii="宋体" w:hAnsi="宋体" w:cs="宋体"/>
          <w:color w:val="000000" w:themeColor="text1"/>
          <w:szCs w:val="21"/>
          <w:u w:val="single"/>
          <w14:textFill>
            <w14:solidFill>
              <w14:schemeClr w14:val="tx1"/>
            </w14:solidFill>
          </w14:textFill>
        </w:rPr>
        <w:t xml:space="preserve">南京鼓楼医院</w:t>
      </w:r>
      <w:r>
        <w:rPr>
          <w:rFonts w:hint="eastAsia" w:ascii="宋体" w:hAnsi="宋体" w:cs="宋体"/>
          <w:color w:val="000000" w:themeColor="text1"/>
          <w:szCs w:val="21"/>
          <w:u w:val="single"/>
          <w:lang w:eastAsia="zh-CN"/>
          <w14:textFill>
            <w14:solidFill>
              <w14:schemeClr w14:val="tx1"/>
            </w14:solidFill>
          </w14:textFill>
        </w:rPr>
        <w:t xml:space="preserve">医疗责任保险服务项目</w:t>
      </w:r>
      <w:r>
        <w:rPr>
          <w:rFonts w:hint="eastAsia" w:ascii="宋体" w:hAnsi="宋体" w:cs="宋体"/>
          <w:color w:val="000000" w:themeColor="text1"/>
          <w:szCs w:val="21"/>
          <w:u w:val="single"/>
          <w14:textFill>
            <w14:solidFill>
              <w14:schemeClr w14:val="tx1"/>
            </w14:solidFill>
          </w14:textFill>
        </w:rPr>
        <w:t xml:space="preserve">（项目名称）（项目编号：</w:t>
      </w:r>
      <w:r>
        <w:rPr>
          <w:rFonts w:hint="eastAsia" w:ascii="宋体" w:hAnsi="宋体" w:cs="宋体"/>
          <w:color w:val="000000" w:themeColor="text1"/>
          <w:szCs w:val="21"/>
          <w:u w:val="single"/>
          <w:lang w:eastAsia="zh-CN"/>
          <w14:textFill>
            <w14:solidFill>
              <w14:schemeClr w14:val="tx1"/>
            </w14:solidFill>
          </w14:textFill>
        </w:rPr>
        <w:t xml:space="preserve">JSZC-320100-JITC-G2025-0308</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，以本人名义处理一切与之相关的事务，其后果由我本人承担。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代理人无转委托权，特此委托。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委托期限：自本授权委托书签署之日起至投标有效期届满之日止。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自然人姓名（签字）：  </w:t>
      </w:r>
      <w:r/>
    </w:p>
    <w:p>
      <w:pPr>
        <w:pStyle w:val="895"/>
        <w:ind w:firstLine="42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  </w:t>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pStyle w:val="895"/>
        <w:ind w:firstLine="42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附：</w:t>
      </w:r>
      <w:r>
        <w:rPr>
          <w:rFonts w:hint="eastAsia" w:ascii="宋体" w:hAnsi="宋体" w:cs="宋体"/>
          <w:color w:val="000000" w:themeColor="text1"/>
          <w14:textFill>
            <w14:solidFill>
              <w14:schemeClr w14:val="tx1"/>
            </w14:solidFill>
          </w14:textFill>
        </w:rPr>
        <w:t xml:space="preserve">自然人</w:t>
      </w:r>
      <w:r>
        <w:rPr>
          <w:rFonts w:hint="eastAsia" w:ascii="宋体" w:hAnsi="宋体" w:cs="宋体"/>
          <w:color w:val="000000" w:themeColor="text1"/>
          <w:szCs w:val="21"/>
          <w14:textFill>
            <w14:solidFill>
              <w14:schemeClr w14:val="tx1"/>
            </w14:solidFill>
          </w14:textFill>
        </w:rPr>
        <w:t xml:space="preserve">有效期内的</w:t>
      </w:r>
      <w:r>
        <w:rPr>
          <w:rFonts w:hint="eastAsia" w:ascii="宋体" w:hAnsi="宋体" w:cs="宋体"/>
          <w:color w:val="000000" w:themeColor="text1"/>
          <w14:textFill>
            <w14:solidFill>
              <w14:schemeClr w14:val="tx1"/>
            </w14:solidFill>
          </w14:textFill>
        </w:rPr>
        <w:t xml:space="preserve">身份证复印件（正反面）</w:t>
      </w:r>
      <w:r/>
    </w:p>
    <w:tbl>
      <w:tblPr>
        <w:tblStyle w:val="86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4"/>
              <w:jc w:val="center"/>
              <w:spacing w:line="360" w:lineRule="auto"/>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77" w:type="dxa"/>
            <w:vAlign w:val="center"/>
            <w:textDirection w:val="lrTb"/>
            <w:noWrap w:val="false"/>
          </w:tcPr>
          <w:p>
            <w:pPr>
              <w:jc w:val="center"/>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895"/>
        <w:ind w:firstLine="372"/>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授权代表有效期内的身份证复印件（正反面）</w:t>
      </w:r>
      <w:r/>
    </w:p>
    <w:tbl>
      <w:tblPr>
        <w:tblStyle w:val="86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4"/>
              <w:jc w:val="center"/>
              <w:spacing w:line="360" w:lineRule="auto"/>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95" w:type="dxa"/>
            <w:vAlign w:val="center"/>
            <w:textDirection w:val="lrTb"/>
            <w:noWrap w:val="false"/>
          </w:tcPr>
          <w:p>
            <w:pPr>
              <w:jc w:val="center"/>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895"/>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注：若投标文件中签字之处均为投标自然人本人签署，则可不提供本《授权委托书》，但须提供自然人身份证复印件。</w:t>
      </w:r>
      <w:r/>
    </w:p>
    <w:p>
      <w:pPr>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br w:type="page" w:clear="all"/>
      </w:r>
      <w:r/>
    </w:p>
    <w:p>
      <w:pPr>
        <w:pStyle w:val="897"/>
        <w:numPr>
          <w:ilvl w:val="0"/>
          <w:numId w:val="47"/>
        </w:numPr>
        <w:ind w:firstLine="426"/>
        <w:spacing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开标一览表</w:t>
      </w:r>
      <w:bookmarkEnd w:id="325"/>
      <w:r/>
      <w:bookmarkEnd w:id="333"/>
      <w:r/>
      <w:bookmarkEnd w:id="334"/>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left="-120" w:firstLine="210"/>
        <w:spacing w:line="360"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rPr>
          <w:rFonts w:hint="eastAsia" w:ascii="宋体" w:hAnsi="宋体" w:cs="宋体"/>
          <w:color w:val="000000" w:themeColor="text1"/>
          <w:szCs w:val="21"/>
          <w:u w:val="single"/>
          <w14:textFill>
            <w14:solidFill>
              <w14:schemeClr w14:val="tx1"/>
            </w14:solidFill>
          </w14:textFill>
        </w:rPr>
        <w:t xml:space="preserve">南京鼓楼医院</w:t>
      </w:r>
      <w:r>
        <w:rPr>
          <w:rFonts w:hint="eastAsia" w:ascii="宋体" w:hAnsi="宋体" w:cs="宋体"/>
          <w:color w:val="000000" w:themeColor="text1"/>
          <w:szCs w:val="21"/>
          <w:u w:val="single"/>
          <w:lang w:eastAsia="zh-CN"/>
          <w14:textFill>
            <w14:solidFill>
              <w14:schemeClr w14:val="tx1"/>
            </w14:solidFill>
          </w14:textFill>
        </w:rPr>
        <w:t xml:space="preserve">医疗责任保险服务项目</w:t>
      </w:r>
      <w:r/>
    </w:p>
    <w:p>
      <w:pPr>
        <w:ind w:left="-120" w:firstLine="210"/>
        <w:spacing w:line="360" w:lineRule="auto"/>
        <w:rPr>
          <w:rFonts w:hint="eastAsia" w:ascii="宋体" w:hAnsi="宋体" w:eastAsia="宋体" w:cs="宋体"/>
          <w:color w:val="000000" w:themeColor="text1"/>
          <w:szCs w:val="21"/>
          <w:u w:val="single"/>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bookmarkStart w:id="338" w:name="_Toc103848581"/>
      <w:r>
        <w:rPr>
          <w:rFonts w:hint="eastAsia" w:ascii="宋体" w:hAnsi="宋体" w:cs="宋体"/>
          <w:color w:val="000000" w:themeColor="text1"/>
          <w:szCs w:val="21"/>
          <w:u w:val="single"/>
          <w:lang w:eastAsia="zh-CN"/>
          <w14:textFill>
            <w14:solidFill>
              <w14:schemeClr w14:val="tx1"/>
            </w14:solidFill>
          </w14:textFill>
        </w:rPr>
        <w:t xml:space="preserve">JSZC-320100-JITC-G2025-0308</w:t>
      </w:r>
      <w:r/>
    </w:p>
    <w:p>
      <w:pPr>
        <w:ind w:left="-120" w:firstLine="21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供应商名称：</w:t>
      </w:r>
      <w:r/>
    </w:p>
    <w:tbl>
      <w:tblPr>
        <w:tblStyle w:val="86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305"/>
        </w:trPr>
        <w:tc>
          <w:tcPr>
            <w:shd w:val="clear" w:color="auto" w:fill="auto"/>
            <w:tcW w:w="1406"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投标报价</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lang w:val="en-US" w:eastAsia="zh-CN"/>
                <w14:textFill>
                  <w14:solidFill>
                    <w14:schemeClr w14:val="tx1"/>
                  </w14:solidFill>
                </w14:textFill>
              </w:rPr>
              <w:t xml:space="preserve">一年</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w:t>
            </w:r>
            <w:r/>
          </w:p>
        </w:tc>
        <w:tc>
          <w:tcPr>
            <w:shd w:val="clear" w:color="auto" w:fill="auto"/>
            <w:tcW w:w="3593" w:type="pct"/>
            <w:vAlign w:val="center"/>
            <w:textDirection w:val="lrTb"/>
            <w:noWrap w:val="false"/>
          </w:tcPr>
          <w:p>
            <w:pPr>
              <w:jc w:val="center"/>
              <w:spacing w:line="360" w:lineRule="auto"/>
              <w:widowControl/>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小写：     </w:t>
            </w:r>
            <w:r>
              <w:rPr>
                <w:rFonts w:hint="eastAsia" w:ascii="宋体" w:hAnsi="宋体" w:cs="宋体"/>
                <w:color w:val="000000" w:themeColor="text1"/>
                <w:sz w:val="24"/>
                <w14:textFill>
                  <w14:solidFill>
                    <w14:schemeClr w14:val="tx1"/>
                  </w14:solidFill>
                </w14:textFill>
              </w:rPr>
              <w:t xml:space="preserve">（元/年）</w:t>
            </w:r>
            <w:r/>
          </w:p>
          <w:p>
            <w:pPr>
              <w:jc w:val="center"/>
              <w:spacing w:line="360" w:lineRule="auto"/>
              <w:widowControl/>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 xml:space="preserve">大写：     </w:t>
            </w:r>
            <w:r>
              <w:rPr>
                <w:rFonts w:hint="eastAsia" w:ascii="宋体" w:hAnsi="宋体" w:cs="宋体"/>
                <w:color w:val="000000" w:themeColor="text1"/>
                <w:sz w:val="24"/>
                <w14:textFill>
                  <w14:solidFill>
                    <w14:schemeClr w14:val="tx1"/>
                  </w14:solidFill>
                </w14:textFill>
              </w:rPr>
              <w:t xml:space="preserve">（元/年）</w:t>
            </w:r>
            <w:r/>
          </w:p>
        </w:tc>
      </w:tr>
      <w:tr>
        <w:trPr>
          <w:jc w:val="center"/>
          <w:trHeight w:val="964"/>
        </w:trPr>
        <w:tc>
          <w:tcPr>
            <w:shd w:val="clear" w:color="auto" w:fill="auto"/>
            <w:tcW w:w="1406"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付款方</w:t>
            </w:r>
            <w:bookmarkStart w:id="400" w:name="_GoBack"/>
            <w:r/>
            <w:bookmarkEnd w:id="400"/>
            <w:r>
              <w:rPr>
                <w:rFonts w:hint="eastAsia" w:ascii="宋体" w:hAnsi="宋体" w:cs="宋体"/>
                <w:color w:val="000000" w:themeColor="text1"/>
                <w:sz w:val="24"/>
                <w14:textFill>
                  <w14:solidFill>
                    <w14:schemeClr w14:val="tx1"/>
                  </w14:solidFill>
                </w14:textFill>
              </w:rPr>
              <w:t xml:space="preserve">式：</w:t>
            </w:r>
            <w:r/>
          </w:p>
        </w:tc>
        <w:tc>
          <w:tcPr>
            <w:shd w:val="clear" w:color="auto" w:fill="auto"/>
            <w:tcW w:w="3593"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响应招标文件</w:t>
            </w:r>
            <w:r/>
          </w:p>
        </w:tc>
      </w:tr>
      <w:tr>
        <w:trPr>
          <w:jc w:val="center"/>
          <w:trHeight w:val="964"/>
        </w:trPr>
        <w:tc>
          <w:tcPr>
            <w:shd w:val="clear" w:color="auto" w:fill="auto"/>
            <w:tcW w:w="1406"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服务地点：</w:t>
            </w:r>
            <w:r/>
          </w:p>
        </w:tc>
        <w:tc>
          <w:tcPr>
            <w:shd w:val="clear" w:color="auto" w:fill="auto"/>
            <w:tcW w:w="3593"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响应招标文件</w:t>
            </w:r>
            <w:r/>
          </w:p>
        </w:tc>
      </w:tr>
      <w:tr>
        <w:trPr>
          <w:jc w:val="center"/>
          <w:trHeight w:val="964"/>
        </w:trPr>
        <w:tc>
          <w:tcPr>
            <w:shd w:val="clear" w:color="auto" w:fill="auto"/>
            <w:tcW w:w="1406"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服务期：</w:t>
            </w:r>
            <w:r/>
          </w:p>
        </w:tc>
        <w:tc>
          <w:tcPr>
            <w:shd w:val="clear" w:color="auto" w:fill="auto"/>
            <w:tcW w:w="3593"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响应招标文件</w:t>
            </w:r>
            <w:r/>
          </w:p>
        </w:tc>
      </w:tr>
    </w:tbl>
    <w:p>
      <w:pPr>
        <w:ind w:firstLine="422"/>
        <w:spacing w:line="360" w:lineRule="auto"/>
        <w:tabs>
          <w:tab w:val="left" w:pos="6045" w:leader="none"/>
        </w:tabs>
        <w:rPr>
          <w:rFonts w:hint="eastAsia" w:hAnsi="宋体" w:cs="宋体"/>
          <w:b/>
          <w:color w:val="000000" w:themeColor="text1"/>
          <w14:textFill>
            <w14:solidFill>
              <w14:schemeClr w14:val="tx1"/>
            </w14:solidFill>
          </w14:textFill>
        </w:rPr>
      </w:pPr>
      <w:r>
        <w:rPr>
          <w:rFonts w:hint="eastAsia" w:hAnsi="宋体" w:cs="宋体"/>
          <w:b/>
          <w:color w:val="000000" w:themeColor="text1"/>
          <w14:textFill>
            <w14:solidFill>
              <w14:schemeClr w14:val="tx1"/>
            </w14:solidFill>
          </w14:textFill>
        </w:rPr>
      </w:r>
      <w:r/>
    </w:p>
    <w:p>
      <w:pPr>
        <w:ind w:firstLine="422"/>
        <w:spacing w:line="360" w:lineRule="auto"/>
        <w:tabs>
          <w:tab w:val="left" w:pos="6045" w:leader="none"/>
        </w:tabs>
        <w:rPr>
          <w:rFonts w:hint="eastAsia" w:ascii="宋体" w:hAnsi="宋体" w:cs="宋体"/>
          <w:b/>
          <w:color w:val="000000" w:themeColor="text1"/>
          <w14:textFill>
            <w14:solidFill>
              <w14:schemeClr w14:val="tx1"/>
            </w14:solidFill>
          </w14:textFill>
        </w:rPr>
      </w:pPr>
      <w:r/>
      <w:bookmarkStart w:id="339" w:name="_Toc104560896"/>
      <w:r/>
      <w:r/>
    </w:p>
    <w:p>
      <w:pPr>
        <w:ind w:firstLine="372"/>
        <w:jc w:val="center"/>
        <w:spacing w:line="360" w:lineRule="auto"/>
        <w:tabs>
          <w:tab w:val="left" w:pos="6045" w:leader="none"/>
        </w:tabs>
        <w:rPr>
          <w:rFonts w:hint="eastAsia"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投标人</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lang w:val="en-US" w:eastAsia="zh-CN"/>
          <w14:textFill>
            <w14:solidFill>
              <w14:schemeClr w14:val="tx1"/>
            </w14:solidFill>
          </w14:textFill>
        </w:rPr>
        <w:t xml:space="preserve">或联合体牵头人</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名称（公章）：</w:t>
      </w:r>
      <w:r/>
    </w:p>
    <w:p>
      <w:pPr>
        <w:ind w:right="420" w:firstLine="372"/>
        <w:jc w:val="cente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或单位负责人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或其授权代表（签字或盖章）：</w:t>
      </w:r>
      <w:r/>
    </w:p>
    <w:p>
      <w:pPr>
        <w:ind w:right="420" w:firstLine="372"/>
        <w:jc w:val="center"/>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日期：______年______月______日</w:t>
      </w:r>
      <w:r/>
    </w:p>
    <w:p>
      <w:pPr>
        <w:spacing w:line="360" w:lineRule="auto"/>
        <w:rPr>
          <w:rStyle w:val="1114"/>
          <w:rFonts w:hint="eastAsia" w:hAnsi="宋体"/>
          <w:color w:val="000000" w:themeColor="text1"/>
          <w14:textFill>
            <w14:solidFill>
              <w14:schemeClr w14:val="tx1"/>
            </w14:solidFill>
          </w14:textFill>
        </w:rPr>
      </w:pPr>
      <w:r>
        <w:rPr>
          <w:rStyle w:val="1114"/>
          <w:rFonts w:hAnsi="宋体"/>
          <w:color w:val="000000" w:themeColor="text1"/>
          <w14:textFill>
            <w14:solidFill>
              <w14:schemeClr w14:val="tx1"/>
            </w14:solidFill>
          </w14:textFill>
        </w:rPr>
        <w:br w:type="page" w:clear="all"/>
      </w:r>
      <w:bookmarkEnd w:id="338"/>
      <w:r/>
      <w:bookmarkEnd w:id="339"/>
      <w:r/>
      <w:r/>
    </w:p>
    <w:p>
      <w:pPr>
        <w:pStyle w:val="874"/>
        <w:spacing w:line="360" w:lineRule="auto"/>
      </w:pPr>
      <w:r/>
      <w:bookmarkStart w:id="340" w:name="_Toc107246281"/>
      <w:r/>
      <w:bookmarkStart w:id="341" w:name="_Toc103848586"/>
      <w:r/>
      <w:bookmarkStart w:id="342" w:name="_Toc104560901"/>
      <w:r/>
      <w:bookmarkStart w:id="343" w:name="_Toc102117319"/>
      <w:r/>
      <w:r/>
    </w:p>
    <w:p>
      <w:pPr>
        <w:pStyle w:val="897"/>
        <w:ind w:firstLine="426"/>
        <w:spacing w:before="0"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5</w:t>
      </w:r>
      <w:r>
        <w:rPr>
          <w:rFonts w:hint="eastAsia" w:ascii="宋体" w:hAnsi="宋体" w:cs="宋体"/>
          <w:bCs w:val="0"/>
          <w:color w:val="000000" w:themeColor="text1"/>
          <w:sz w:val="24"/>
          <w:szCs w:val="24"/>
          <w14:textFill>
            <w14:solidFill>
              <w14:schemeClr w14:val="tx1"/>
            </w14:solidFill>
          </w14:textFill>
        </w:rPr>
        <w:t xml:space="preserve">）商务条款偏离表</w:t>
      </w:r>
      <w:bookmarkEnd w:id="340"/>
      <w:r/>
      <w:bookmarkEnd w:id="341"/>
      <w:r/>
      <w:bookmarkEnd w:id="342"/>
      <w:r/>
      <w:r/>
    </w:p>
    <w:p>
      <w:pPr>
        <w:pStyle w:val="1104"/>
        <w:ind w:firstLine="420"/>
        <w:spacing w:line="360" w:lineRule="auto"/>
        <w:rPr>
          <w:rFonts w:hint="eastAsia" w:hAnsi="宋体" w:eastAsia="宋体" w:cs="宋体"/>
          <w:color w:val="000000" w:themeColor="text1"/>
          <w:sz w:val="21"/>
          <w:szCs w:val="21"/>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项目名称：南京鼓楼医院</w:t>
      </w:r>
      <w:r>
        <w:rPr>
          <w:rFonts w:hint="eastAsia" w:hAnsi="宋体" w:cs="宋体"/>
          <w:color w:val="000000" w:themeColor="text1"/>
          <w:sz w:val="21"/>
          <w:szCs w:val="21"/>
          <w:lang w:eastAsia="zh-CN"/>
          <w14:textFill>
            <w14:solidFill>
              <w14:schemeClr w14:val="tx1"/>
            </w14:solidFill>
          </w14:textFill>
        </w:rPr>
        <w:t xml:space="preserve">医疗责任保险服务项目</w:t>
      </w:r>
      <w:r/>
    </w:p>
    <w:p>
      <w:pPr>
        <w:pStyle w:val="1104"/>
        <w:ind w:firstLine="420"/>
        <w:spacing w:line="360" w:lineRule="auto"/>
        <w:rPr>
          <w:rFonts w:hint="eastAsia" w:hAnsi="宋体" w:eastAsia="宋体" w:cs="宋体"/>
          <w:color w:val="000000" w:themeColor="text1"/>
          <w:sz w:val="21"/>
          <w:szCs w:val="21"/>
          <w:u w:val="single"/>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项目编号：</w:t>
      </w:r>
      <w:r>
        <w:rPr>
          <w:rFonts w:hint="eastAsia" w:hAnsi="宋体" w:cs="宋体"/>
          <w:color w:val="000000" w:themeColor="text1"/>
          <w:sz w:val="21"/>
          <w:szCs w:val="21"/>
          <w:lang w:eastAsia="zh-CN"/>
          <w14:textFill>
            <w14:solidFill>
              <w14:schemeClr w14:val="tx1"/>
            </w14:solidFill>
          </w14:textFill>
        </w:rPr>
        <w:t xml:space="preserve">JSZC-320100-JITC-G2025-0308</w:t>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序号</w:t>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招标文件的商务条款</w:t>
            </w:r>
            <w:r/>
          </w:p>
        </w:tc>
        <w:tc>
          <w:tcPr>
            <w:tcW w:w="854"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是否偏离</w:t>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投标文件响应页码</w:t>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备注</w:t>
            </w:r>
            <w:r/>
          </w:p>
        </w:tc>
      </w:tr>
      <w:tr>
        <w:trPr>
          <w:jc w:val="center"/>
          <w:trHeight w:val="570"/>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81"/>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90"/>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714"/>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82"/>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707"/>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bl>
    <w:p>
      <w:pPr>
        <w:pStyle w:val="895"/>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w:t>
      </w:r>
      <w:r/>
    </w:p>
    <w:p>
      <w:pPr>
        <w:pStyle w:val="895"/>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 投标人须根据招标文件商务条款要求填写此表，作为投标文件的组成部分。</w:t>
      </w:r>
      <w:r/>
    </w:p>
    <w:p>
      <w:pPr>
        <w:pStyle w:val="895"/>
        <w:ind w:firstLine="373"/>
        <w:spacing w:line="360" w:lineRule="auto"/>
        <w:rPr>
          <w:rFonts w:hint="eastAsia" w:ascii="宋体" w:hAnsi="宋体" w:eastAsia="宋体" w:cs="宋体"/>
          <w:b/>
          <w:bCs/>
          <w:color w:val="000000" w:themeColor="text1"/>
          <w:lang w:eastAsia="zh-CN"/>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 所有偏离必须在本表中列出，未在本偏离表中列出偏离，将视为投标人已完全接受招标文件要求。</w:t>
      </w:r>
      <w:r/>
    </w:p>
    <w:p>
      <w:pPr>
        <w:pStyle w:val="895"/>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000000" w:themeColor="text1"/>
          <w:sz w:val="22"/>
          <w:szCs w:val="22"/>
          <w14:textFill>
            <w14:solidFill>
              <w14:schemeClr w14:val="tx1"/>
            </w14:solidFill>
          </w14:textFill>
        </w:rPr>
      </w:pPr>
      <w:r/>
      <w:bookmarkStart w:id="344" w:name="_Toc104560902"/>
      <w:r/>
      <w:bookmarkStart w:id="345" w:name="_Toc103848587"/>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97"/>
        <w:spacing w:line="360" w:lineRule="auto"/>
        <w:rPr>
          <w:rFonts w:hint="eastAsia" w:ascii="宋体" w:hAnsi="宋体" w:cs="宋体"/>
          <w:bCs w:val="0"/>
          <w:color w:val="000000" w:themeColor="text1"/>
          <w:sz w:val="24"/>
          <w:szCs w:val="24"/>
          <w14:textFill>
            <w14:solidFill>
              <w14:schemeClr w14:val="tx1"/>
            </w14:solidFill>
          </w14:textFill>
        </w:rPr>
      </w:pPr>
      <w:r/>
      <w:bookmarkStart w:id="346" w:name="_Toc107246282"/>
      <w:r>
        <w:rPr>
          <w:rFonts w:hint="eastAsia" w:ascii="宋体" w:hAnsi="宋体" w:cs="宋体"/>
          <w:bCs w:val="0"/>
          <w:color w:val="000000" w:themeColor="text1"/>
          <w:sz w:val="24"/>
          <w:szCs w:val="24"/>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6</w:t>
      </w:r>
      <w:r>
        <w:rPr>
          <w:rFonts w:hint="eastAsia" w:ascii="宋体" w:hAnsi="宋体" w:cs="宋体"/>
          <w:bCs w:val="0"/>
          <w:color w:val="000000" w:themeColor="text1"/>
          <w:sz w:val="24"/>
          <w:szCs w:val="24"/>
          <w14:textFill>
            <w14:solidFill>
              <w14:schemeClr w14:val="tx1"/>
            </w14:solidFill>
          </w14:textFill>
        </w:rPr>
        <w:t xml:space="preserve">）投标人具备投标资格的证明文件</w:t>
      </w:r>
      <w:bookmarkEnd w:id="344"/>
      <w:r/>
      <w:bookmarkEnd w:id="345"/>
      <w:r/>
      <w:bookmarkEnd w:id="346"/>
      <w:r/>
      <w:r/>
    </w:p>
    <w:p>
      <w:pPr>
        <w:pStyle w:val="897"/>
        <w:ind w:firstLine="426"/>
        <w:spacing w:line="360" w:lineRule="auto"/>
        <w:rPr>
          <w:rFonts w:hint="eastAsia" w:ascii="宋体" w:hAnsi="宋体" w:cs="宋体"/>
          <w:bCs w:val="0"/>
          <w:color w:val="000000" w:themeColor="text1"/>
          <w:sz w:val="24"/>
          <w:szCs w:val="24"/>
          <w14:textFill>
            <w14:solidFill>
              <w14:schemeClr w14:val="tx1"/>
            </w14:solidFill>
          </w14:textFill>
        </w:rPr>
      </w:pPr>
      <w:r/>
      <w:bookmarkStart w:id="347" w:name="_Toc107246283"/>
      <w:r/>
      <w:bookmarkStart w:id="348" w:name="_Toc104560903"/>
      <w:r/>
      <w:bookmarkStart w:id="349" w:name="_Toc103848588"/>
      <w:r>
        <w:rPr>
          <w:rFonts w:hint="eastAsia" w:ascii="宋体" w:hAnsi="宋体" w:cs="宋体"/>
          <w:bCs w:val="0"/>
          <w:color w:val="000000" w:themeColor="text1"/>
          <w:sz w:val="24"/>
          <w:szCs w:val="24"/>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6</w:t>
      </w:r>
      <w:r>
        <w:rPr>
          <w:rFonts w:hint="eastAsia" w:ascii="宋体" w:hAnsi="宋体" w:cs="宋体"/>
          <w:bCs w:val="0"/>
          <w:color w:val="000000" w:themeColor="text1"/>
          <w:sz w:val="24"/>
          <w:szCs w:val="24"/>
          <w14:textFill>
            <w14:solidFill>
              <w14:schemeClr w14:val="tx1"/>
            </w14:solidFill>
          </w14:textFill>
        </w:rPr>
        <w:t xml:space="preserve">-1-1）营业执照复印件</w:t>
      </w:r>
      <w:bookmarkEnd w:id="343"/>
      <w:r>
        <w:rPr>
          <w:rFonts w:hint="eastAsia" w:ascii="宋体" w:hAnsi="宋体" w:cs="宋体"/>
          <w:bCs w:val="0"/>
          <w:color w:val="000000" w:themeColor="text1"/>
          <w:sz w:val="24"/>
          <w:szCs w:val="24"/>
          <w14:textFill>
            <w14:solidFill>
              <w14:schemeClr w14:val="tx1"/>
            </w14:solidFill>
          </w14:textFill>
        </w:rPr>
        <w:t xml:space="preserve">或自然人的身份证明复印件</w:t>
      </w:r>
      <w:bookmarkEnd w:id="347"/>
      <w:r/>
      <w:bookmarkEnd w:id="348"/>
      <w:r/>
      <w:bookmarkEnd w:id="349"/>
      <w:r/>
      <w:r/>
    </w:p>
    <w:p>
      <w:pPr>
        <w:ind w:firstLine="372"/>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具有独立承担民事责任的能力，投标人提供在有效经营期内的营业执照、法人授权书（法人直接参与投标的可不提供）、法人身份证复印件、投标人代表身份证复印件（本项目为保险服务采购，允许保险公司分支机构（分公司或支公司）参与投标）；</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ff0000"/>
          <w:lang w:val="en-US" w:eastAsia="zh-CN"/>
        </w:rPr>
        <w:t xml:space="preserve">注意：联合体投标的，本项证明材料联合体各方均须提供，否则将作为无效投标！</w:t>
      </w:r>
      <w:r/>
    </w:p>
    <w:p>
      <w:pPr>
        <w:ind w:firstLine="372"/>
        <w:spacing w:line="360" w:lineRule="auto"/>
        <w:rPr>
          <w:rFonts w:hint="eastAsia" w:ascii="宋体" w:hAnsi="宋体" w:cs="宋体"/>
          <w:color w:val="000000" w:themeColor="text1"/>
          <w14:textFill>
            <w14:solidFill>
              <w14:schemeClr w14:val="tx1"/>
            </w14:solidFill>
          </w14:textFill>
        </w:rPr>
      </w:pPr>
      <w:r/>
      <w:bookmarkStart w:id="350" w:name="_Toc102117320"/>
      <w:r/>
      <w:bookmarkStart w:id="351" w:name="_Toc103848589"/>
      <w:r>
        <w:rPr>
          <w:rFonts w:hint="eastAsia" w:ascii="宋体" w:hAnsi="宋体" w:cs="宋体"/>
          <w:color w:val="000000" w:themeColor="text1"/>
          <w14:textFill>
            <w14:solidFill>
              <w14:schemeClr w14:val="tx1"/>
            </w14:solidFill>
          </w14:textFill>
        </w:rPr>
        <w:br w:type="page" w:clear="all"/>
      </w:r>
      <w:bookmarkStart w:id="352" w:name="_Toc104560904"/>
      <w:r/>
      <w:bookmarkStart w:id="353" w:name="_Toc107246284"/>
      <w:r/>
      <w:r/>
    </w:p>
    <w:p>
      <w:pPr>
        <w:pStyle w:val="897"/>
        <w:ind w:firstLine="426"/>
        <w:spacing w:line="360" w:lineRule="auto"/>
        <w:rPr>
          <w:rFonts w:hint="eastAsia" w:ascii="宋体" w:hAnsi="宋体" w:cs="宋体"/>
          <w:b w:val="0"/>
          <w:color w:val="000000" w:themeColor="text1"/>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6</w:t>
      </w:r>
      <w:r>
        <w:rPr>
          <w:rFonts w:hint="eastAsia" w:ascii="宋体" w:hAnsi="宋体" w:cs="宋体"/>
          <w:bCs w:val="0"/>
          <w:color w:val="000000" w:themeColor="text1"/>
          <w:sz w:val="24"/>
          <w:szCs w:val="24"/>
          <w14:textFill>
            <w14:solidFill>
              <w14:schemeClr w14:val="tx1"/>
            </w14:solidFill>
          </w14:textFill>
        </w:rPr>
        <w:t xml:space="preserve">-1-2）工商变更登记文件（如需）</w:t>
      </w:r>
      <w:bookmarkEnd w:id="350"/>
      <w:r/>
      <w:bookmarkEnd w:id="351"/>
      <w:r/>
      <w:bookmarkEnd w:id="352"/>
      <w:r/>
      <w:bookmarkEnd w:id="353"/>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注：如</w:t>
      </w:r>
      <w:r>
        <w:rPr>
          <w:rFonts w:hint="eastAsia" w:ascii="宋体" w:hAnsi="宋体" w:cs="宋体"/>
          <w:b/>
          <w:bCs/>
          <w:color w:val="000000" w:themeColor="text1"/>
          <w:sz w:val="22"/>
          <w:szCs w:val="22"/>
          <w14:textFill>
            <w14:solidFill>
              <w14:schemeClr w14:val="tx1"/>
            </w14:solidFill>
          </w14:textFill>
        </w:rPr>
        <w:t xml:space="preserve">投标人</w:t>
      </w:r>
      <w:r>
        <w:rPr>
          <w:rFonts w:hint="eastAsia" w:ascii="宋体" w:hAnsi="宋体" w:cs="宋体"/>
          <w:b/>
          <w:bCs/>
          <w:color w:val="000000" w:themeColor="text1"/>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rPr>
      </w:pPr>
      <w:r>
        <w:rPr>
          <w:rFonts w:hint="eastAsia" w:ascii="宋体" w:hAnsi="宋体" w:cs="宋体"/>
          <w:color w:val="000000" w:themeColor="text1"/>
          <w14:textFill>
            <w14:solidFill>
              <w14:schemeClr w14:val="tx1"/>
            </w14:solidFill>
          </w14:textFill>
        </w:rPr>
        <w:br w:type="page" w:clear="all"/>
      </w:r>
      <w:bookmarkStart w:id="354" w:name="_Toc104560908"/>
      <w:r/>
      <w:bookmarkStart w:id="355" w:name="_Toc103848593"/>
      <w:r/>
      <w:bookmarkStart w:id="356" w:name="_Toc102117322"/>
      <w:r/>
      <w:r/>
    </w:p>
    <w:p>
      <w:pPr>
        <w:pStyle w:val="897"/>
        <w:ind w:firstLine="426"/>
        <w:jc w:val="left"/>
        <w:spacing w:line="360" w:lineRule="auto"/>
        <w:rPr>
          <w:rFonts w:hint="eastAsia" w:ascii="宋体" w:hAnsi="宋体" w:cs="宋体"/>
          <w:bCs w:val="0"/>
          <w:sz w:val="21"/>
          <w:szCs w:val="21"/>
        </w:rPr>
      </w:pPr>
      <w:r>
        <w:rPr>
          <w:rFonts w:hint="eastAsia" w:ascii="宋体" w:hAnsi="宋体" w:cs="宋体"/>
          <w:bCs w:val="0"/>
          <w:sz w:val="21"/>
          <w:szCs w:val="21"/>
        </w:rPr>
        <w:t xml:space="preserve">说明：根据《关于在政府采购活动中推行信用承诺制的通知》（宁财购通〔2021〕5 号）的规定，适用信用承诺的供应商，对于下列</w:t>
      </w:r>
      <w:r>
        <w:rPr>
          <w:rFonts w:hint="eastAsia" w:ascii="宋体" w:hAnsi="宋体" w:cs="宋体"/>
          <w:bCs w:val="0"/>
          <w:sz w:val="21"/>
          <w:szCs w:val="21"/>
          <w:lang w:val="en-US" w:eastAsia="zh-CN"/>
        </w:rPr>
        <w:t xml:space="preserve">6</w:t>
      </w:r>
      <w:r>
        <w:rPr>
          <w:rFonts w:hint="eastAsia" w:ascii="宋体" w:hAnsi="宋体" w:cs="宋体"/>
          <w:bCs w:val="0"/>
          <w:sz w:val="21"/>
          <w:szCs w:val="21"/>
        </w:rPr>
        <w:t xml:space="preserve">-2至</w:t>
      </w:r>
      <w:r>
        <w:rPr>
          <w:rFonts w:hint="eastAsia" w:ascii="宋体" w:hAnsi="宋体" w:cs="宋体"/>
          <w:bCs w:val="0"/>
          <w:sz w:val="21"/>
          <w:szCs w:val="21"/>
          <w:lang w:val="en-US" w:eastAsia="zh-CN"/>
        </w:rPr>
        <w:t xml:space="preserve">6</w:t>
      </w:r>
      <w:r>
        <w:rPr>
          <w:rFonts w:hint="eastAsia" w:ascii="宋体" w:hAnsi="宋体" w:cs="宋体"/>
          <w:bCs w:val="0"/>
          <w:sz w:val="21"/>
          <w:szCs w:val="21"/>
        </w:rPr>
        <w:t xml:space="preserve">-6款证明材料可使用《南京市政府采购供应商信用记录表暨信用承诺书》替代。</w:t>
      </w:r>
      <w:r/>
    </w:p>
    <w:p>
      <w:pPr>
        <w:pStyle w:val="897"/>
        <w:ind w:firstLine="426"/>
        <w:spacing w:line="360" w:lineRule="auto"/>
        <w:rPr>
          <w:rFonts w:hint="eastAsia" w:ascii="宋体" w:hAnsi="宋体" w:cs="宋体"/>
          <w:bCs w:val="0"/>
          <w:sz w:val="24"/>
          <w:szCs w:val="24"/>
        </w:rPr>
      </w:pP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-2）南京市政府采购供应商信用记录表暨信用承诺书</w:t>
      </w:r>
      <w:r/>
    </w:p>
    <w:p>
      <w:pPr>
        <w:spacing w:line="360" w:lineRule="auto"/>
      </w:pPr>
      <w:r/>
      <w:r/>
    </w:p>
    <w:p>
      <w:pPr>
        <w:ind w:firstLine="372"/>
        <w:spacing w:line="360" w:lineRule="auto"/>
        <w:rPr>
          <w:rFonts w:hint="eastAsia" w:ascii="宋体" w:hAnsi="宋体" w:cs="宋体"/>
          <w:b/>
        </w:rPr>
      </w:pPr>
      <w:r>
        <w:rPr>
          <w:rFonts w:hint="eastAsia" w:ascii="宋体" w:hAnsi="宋体" w:cs="宋体"/>
          <w:b/>
        </w:rPr>
        <w:t xml:space="preserve">具有良好的商业信誉和健全的财务会计制度，投标人提供《南京市政府采购供应商信用记录表暨信用承诺书》；</w:t>
      </w:r>
      <w:r/>
    </w:p>
    <w:p>
      <w:pPr>
        <w:ind w:firstLine="372"/>
        <w:spacing w:line="360" w:lineRule="auto"/>
        <w:rPr>
          <w:rFonts w:hint="eastAsia" w:ascii="宋体" w:hAnsi="宋体" w:cs="宋体"/>
          <w:b/>
        </w:rPr>
      </w:pPr>
      <w:r>
        <w:rPr>
          <w:rFonts w:hint="eastAsia" w:ascii="宋体" w:hAnsi="宋体" w:cs="宋体"/>
          <w:b/>
        </w:rPr>
        <w:t xml:space="preserve">其中不适用信用承诺的情形:</w:t>
      </w:r>
      <w:r/>
    </w:p>
    <w:p>
      <w:pPr>
        <w:ind w:firstLine="372"/>
        <w:spacing w:line="360" w:lineRule="auto"/>
        <w:rPr>
          <w:rFonts w:hint="eastAsia" w:ascii="宋体" w:hAnsi="宋体" w:cs="宋体"/>
          <w:b/>
        </w:rPr>
      </w:pPr>
      <w:r>
        <w:rPr>
          <w:rFonts w:hint="eastAsia" w:ascii="宋体" w:hAnsi="宋体" w:cs="宋体"/>
          <w:b/>
        </w:rPr>
        <w:t xml:space="preserve">1）供应商被列入严重失信主体名单；</w:t>
      </w:r>
      <w:r/>
    </w:p>
    <w:p>
      <w:pPr>
        <w:ind w:firstLine="372"/>
        <w:spacing w:line="360" w:lineRule="auto"/>
        <w:rPr>
          <w:rFonts w:hint="eastAsia" w:ascii="宋体" w:hAnsi="宋体" w:cs="宋体"/>
          <w:b/>
        </w:rPr>
      </w:pPr>
      <w:r>
        <w:rPr>
          <w:rFonts w:hint="eastAsia" w:ascii="宋体" w:hAnsi="宋体" w:cs="宋体"/>
          <w:b/>
        </w:rPr>
        <w:t xml:space="preserve">2）被相关监督部门作出行政处罚且尚处在处罚有效期内；</w:t>
      </w:r>
      <w:r/>
    </w:p>
    <w:p>
      <w:pPr>
        <w:ind w:firstLine="372"/>
        <w:spacing w:line="360" w:lineRule="auto"/>
        <w:rPr>
          <w:rFonts w:hint="eastAsia" w:ascii="宋体" w:hAnsi="宋体" w:cs="宋体"/>
          <w:b/>
        </w:rPr>
      </w:pPr>
      <w:r>
        <w:rPr>
          <w:rFonts w:hint="eastAsia" w:ascii="宋体" w:hAnsi="宋体" w:cs="宋体"/>
          <w:b/>
        </w:rPr>
        <w:t xml:space="preserve">3）其他法律、行政法规规定的不适用信用承诺的情形。</w:t>
      </w:r>
      <w:r/>
    </w:p>
    <w:p>
      <w:pPr>
        <w:pStyle w:val="897"/>
        <w:ind w:firstLine="426"/>
        <w:jc w:val="left"/>
        <w:spacing w:line="360" w:lineRule="auto"/>
        <w:rPr>
          <w:rFonts w:hint="eastAsia" w:ascii="宋体" w:hAnsi="宋体" w:cs="宋体"/>
          <w:bCs w:val="0"/>
          <w:sz w:val="24"/>
          <w:szCs w:val="24"/>
        </w:rPr>
      </w:pPr>
      <w:r>
        <w:rPr>
          <w:rFonts w:hint="eastAsia" w:ascii="宋体" w:hAnsi="宋体" w:cs="宋体"/>
          <w:bCs w:val="0"/>
          <w:sz w:val="21"/>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宋体" w:hAnsi="宋体" w:cs="宋体"/>
          <w:color w:val="000000" w:themeColor="text1"/>
          <w:sz w:val="24"/>
          <w:szCs w:val="24"/>
          <w14:textFill>
            <w14:solidFill>
              <w14:schemeClr w14:val="tx1"/>
            </w14:solidFill>
          </w14:textFill>
        </w:rPr>
        <w:br w:type="page" w:clear="all"/>
      </w:r>
      <w:bookmarkEnd w:id="354"/>
      <w:r/>
      <w:bookmarkEnd w:id="355"/>
      <w:r/>
      <w:bookmarkEnd w:id="356"/>
      <w:r>
        <w:rPr>
          <w:rFonts w:hint="eastAsia" w:ascii="宋体" w:hAnsi="宋体" w:cs="宋体"/>
          <w:color w:val="000000" w:themeColor="text1"/>
          <w:sz w:val="24"/>
          <w:szCs w:val="24"/>
          <w14:textFill>
            <w14:solidFill>
              <w14:schemeClr w14:val="tx1"/>
            </w14:solidFill>
          </w14:textFill>
        </w:rPr>
        <w:tab/>
      </w: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-3)具有良好的商业信誉和健全的财务会计制度，提供上年度财务报表复印件（即2024年度财务报表，如为新成立的公司，应提供公司成立之后的财务报表）或投标截止时间前3个月内，由其基本开户银行出具的资信证明；</w:t>
      </w:r>
      <w:r/>
    </w:p>
    <w:p>
      <w:pPr>
        <w:pStyle w:val="897"/>
        <w:ind w:firstLine="426"/>
        <w:jc w:val="left"/>
        <w:spacing w:line="360" w:lineRule="auto"/>
        <w:rPr>
          <w:rFonts w:hint="eastAsia" w:ascii="宋体" w:hAnsi="宋体" w:cs="宋体"/>
          <w:bCs w:val="0"/>
          <w:sz w:val="24"/>
          <w:szCs w:val="24"/>
        </w:rPr>
      </w:pPr>
      <w:r>
        <w:rPr>
          <w:rFonts w:hint="eastAsia" w:ascii="宋体" w:hAnsi="宋体" w:cs="宋体"/>
          <w:bCs w:val="0"/>
          <w:sz w:val="24"/>
          <w:szCs w:val="24"/>
        </w:rPr>
      </w:r>
      <w:r/>
    </w:p>
    <w:p>
      <w:pPr>
        <w:spacing w:line="360" w:lineRule="auto"/>
        <w:rPr>
          <w:rFonts w:hint="eastAsia" w:ascii="宋体" w:hAnsi="宋体" w:cs="宋体"/>
          <w:sz w:val="24"/>
        </w:rPr>
      </w:pPr>
      <w:r>
        <w:rPr>
          <w:rFonts w:hint="eastAsia" w:ascii="宋体" w:hAnsi="宋体" w:cs="宋体"/>
          <w:sz w:val="24"/>
        </w:rPr>
        <w:br w:type="page" w:clear="all"/>
      </w:r>
      <w:r/>
    </w:p>
    <w:p>
      <w:pPr>
        <w:pStyle w:val="897"/>
        <w:ind w:firstLine="374"/>
        <w:jc w:val="left"/>
        <w:spacing w:before="0" w:after="0" w:line="360" w:lineRule="auto"/>
        <w:rPr>
          <w:rFonts w:hint="eastAsia" w:ascii="宋体" w:hAnsi="宋体" w:cs="宋体"/>
          <w:bCs w:val="0"/>
          <w:sz w:val="24"/>
          <w:szCs w:val="24"/>
        </w:rPr>
      </w:pP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-4）具有履行合同所必需的设备和专业技术能力，提供具备履行合同所必需的设备和专业技术能力的证明材料或承诺函（由供应商根据项目需求提供说明材料）；</w:t>
      </w:r>
      <w:r/>
    </w:p>
    <w:p>
      <w:pPr>
        <w:pStyle w:val="897"/>
        <w:ind w:firstLine="374"/>
        <w:jc w:val="left"/>
        <w:spacing w:before="0" w:after="0" w:line="360" w:lineRule="auto"/>
        <w:rPr>
          <w:rFonts w:hint="eastAsia" w:ascii="宋体" w:hAnsi="宋体" w:cs="宋体"/>
          <w:bCs w:val="0"/>
          <w:sz w:val="24"/>
          <w:szCs w:val="24"/>
        </w:rPr>
      </w:pPr>
      <w:r>
        <w:rPr>
          <w:rFonts w:hint="eastAsia" w:ascii="宋体" w:hAnsi="宋体" w:cs="宋体"/>
          <w:bCs w:val="0"/>
          <w:sz w:val="24"/>
          <w:szCs w:val="24"/>
        </w:rPr>
      </w:r>
      <w:r/>
    </w:p>
    <w:p>
      <w:pPr>
        <w:spacing w:line="360" w:lineRule="auto"/>
      </w:pPr>
      <w:r/>
      <w:r/>
    </w:p>
    <w:p>
      <w:pPr>
        <w:spacing w:line="360" w:lineRule="auto"/>
        <w:rPr>
          <w:rFonts w:hint="eastAsia"/>
        </w:rPr>
      </w:pPr>
      <w:r>
        <w:rPr>
          <w:rFonts w:hint="eastAsia"/>
        </w:rPr>
      </w:r>
      <w:r/>
    </w:p>
    <w:p>
      <w:pPr>
        <w:spacing w:line="360" w:lineRule="auto"/>
        <w:rPr>
          <w:rFonts w:hint="eastAsia"/>
        </w:rPr>
      </w:pPr>
      <w:r>
        <w:rPr>
          <w:rFonts w:hint="eastAsia"/>
        </w:rPr>
      </w:r>
      <w:r/>
    </w:p>
    <w:p>
      <w:pPr>
        <w:spacing w:line="360" w:lineRule="auto"/>
        <w:rPr>
          <w:rFonts w:hint="eastAsia"/>
        </w:rPr>
      </w:pPr>
      <w:r>
        <w:rPr>
          <w:rFonts w:hint="eastAsia"/>
        </w:rPr>
      </w:r>
      <w:r/>
    </w:p>
    <w:p>
      <w:pPr>
        <w:ind w:firstLine="782"/>
        <w:jc w:val="center"/>
        <w:spacing w:before="120" w:after="120"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t xml:space="preserve">我单位郑重承诺：我单位</w:t>
      </w:r>
      <w:r>
        <w:rPr>
          <w:rFonts w:hint="eastAsia" w:ascii="宋体" w:hAnsi="宋体" w:cs="宋体"/>
          <w:color w:val="000000" w:themeColor="text1"/>
          <w:sz w:val="22"/>
          <w:lang w:eastAsia="zh-CN"/>
          <w14:textFill>
            <w14:solidFill>
              <w14:schemeClr w14:val="tx1"/>
            </w14:solidFill>
          </w14:textFill>
        </w:rPr>
        <w:t xml:space="preserve">（</w:t>
      </w:r>
      <w:r>
        <w:rPr>
          <w:rFonts w:hint="eastAsia" w:ascii="宋体" w:hAnsi="宋体" w:cs="宋体"/>
          <w:color w:val="000000" w:themeColor="text1"/>
          <w:sz w:val="22"/>
          <w:lang w:val="en-US" w:eastAsia="zh-CN"/>
          <w14:textFill>
            <w14:solidFill>
              <w14:schemeClr w14:val="tx1"/>
            </w14:solidFill>
          </w14:textFill>
        </w:rPr>
        <w:t xml:space="preserve">或联合体各方</w:t>
      </w:r>
      <w:r>
        <w:rPr>
          <w:rFonts w:hint="eastAsia" w:ascii="宋体" w:hAnsi="宋体" w:cs="宋体"/>
          <w:color w:val="000000" w:themeColor="text1"/>
          <w:sz w:val="22"/>
          <w:lang w:eastAsia="zh-CN"/>
          <w14:textFill>
            <w14:solidFill>
              <w14:schemeClr w14:val="tx1"/>
            </w14:solidFill>
          </w14:textFill>
        </w:rPr>
        <w:t xml:space="preserve">）</w:t>
      </w:r>
      <w:r>
        <w:rPr>
          <w:rFonts w:hint="eastAsia" w:ascii="宋体" w:hAnsi="宋体" w:cs="宋体"/>
          <w:color w:val="000000" w:themeColor="text1"/>
          <w:sz w:val="22"/>
          <w14:textFill>
            <w14:solidFill>
              <w14:schemeClr w14:val="tx1"/>
            </w14:solidFill>
          </w14:textFill>
        </w:rPr>
        <w:t xml:space="preserve">具备履行本项采购合同所必需的设备和专业技术能力。</w:t>
      </w:r>
      <w:r/>
    </w:p>
    <w:p>
      <w:pPr>
        <w:ind w:firstLine="372"/>
        <w:jc w:val="left"/>
        <w:spacing w:before="120" w:after="12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77"/>
        <w:ind w:left="1260" w:firstLine="426"/>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877"/>
        <w:ind w:left="1260" w:firstLine="426"/>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投标人</w:t>
      </w:r>
      <w:r>
        <w:rPr>
          <w:rFonts w:hint="eastAsia" w:ascii="宋体" w:hAnsi="宋体" w:cs="宋体"/>
          <w:bCs/>
          <w:color w:val="000000" w:themeColor="text1"/>
          <w:lang w:eastAsia="zh-CN"/>
          <w14:textFill>
            <w14:solidFill>
              <w14:schemeClr w14:val="tx1"/>
            </w14:solidFill>
          </w14:textFill>
        </w:rPr>
        <w:t xml:space="preserve">（</w:t>
      </w:r>
      <w:r>
        <w:rPr>
          <w:rFonts w:hint="eastAsia" w:ascii="宋体" w:hAnsi="宋体" w:cs="宋体"/>
          <w:bCs/>
          <w:color w:val="000000" w:themeColor="text1"/>
          <w:lang w:val="en-US" w:eastAsia="zh-CN"/>
          <w14:textFill>
            <w14:solidFill>
              <w14:schemeClr w14:val="tx1"/>
            </w14:solidFill>
          </w14:textFill>
        </w:rPr>
        <w:t xml:space="preserve">或联合体牵头人</w:t>
      </w:r>
      <w:r>
        <w:rPr>
          <w:rFonts w:hint="eastAsia" w:ascii="宋体" w:hAnsi="宋体" w:cs="宋体"/>
          <w:bCs/>
          <w:color w:val="000000" w:themeColor="text1"/>
          <w:lang w:eastAsia="zh-CN"/>
          <w14:textFill>
            <w14:solidFill>
              <w14:schemeClr w14:val="tx1"/>
            </w14:solidFill>
          </w14:textFill>
        </w:rPr>
        <w:t xml:space="preserve">）</w:t>
      </w:r>
      <w:r>
        <w:rPr>
          <w:rFonts w:hint="eastAsia" w:ascii="宋体" w:hAnsi="宋体" w:cs="宋体"/>
          <w:bCs/>
          <w:color w:val="000000" w:themeColor="text1"/>
          <w14:textFill>
            <w14:solidFill>
              <w14:schemeClr w14:val="tx1"/>
            </w14:solidFill>
          </w14:textFill>
        </w:rPr>
        <w:t xml:space="preserve">名称（公章）：______________________</w:t>
      </w:r>
      <w:r/>
    </w:p>
    <w:p>
      <w:pPr>
        <w:ind w:firstLine="372"/>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日期：______年</w:t>
      </w:r>
      <w:r>
        <w:rPr>
          <w:rFonts w:hint="eastAsia" w:ascii="宋体" w:hAnsi="宋体" w:cs="宋体"/>
          <w:bCs/>
          <w:color w:val="000000" w:themeColor="text1"/>
          <w:u w:val="single"/>
          <w14:textFill>
            <w14:solidFill>
              <w14:schemeClr w14:val="tx1"/>
            </w14:solidFill>
          </w14:textFill>
        </w:rPr>
        <w:tab/>
      </w:r>
      <w:r>
        <w:rPr>
          <w:rFonts w:hint="eastAsia" w:ascii="宋体" w:hAnsi="宋体" w:cs="宋体"/>
          <w:bCs/>
          <w:color w:val="000000" w:themeColor="text1"/>
          <w:u w:val="single"/>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月</w:t>
      </w:r>
      <w:r>
        <w:rPr>
          <w:rFonts w:hint="eastAsia" w:ascii="宋体" w:hAnsi="宋体" w:cs="宋体"/>
          <w:bCs/>
          <w:color w:val="000000" w:themeColor="text1"/>
          <w:u w:val="single"/>
          <w14:textFill>
            <w14:solidFill>
              <w14:schemeClr w14:val="tx1"/>
            </w14:solidFill>
          </w14:textFill>
        </w:rPr>
        <w:tab/>
      </w:r>
      <w:r>
        <w:rPr>
          <w:rFonts w:hint="eastAsia" w:ascii="宋体" w:hAnsi="宋体" w:cs="宋体"/>
          <w:bCs/>
          <w:color w:val="000000" w:themeColor="text1"/>
          <w:u w:val="single"/>
          <w14:textFill>
            <w14:solidFill>
              <w14:schemeClr w14:val="tx1"/>
            </w14:solidFill>
          </w14:textFill>
        </w:rPr>
        <w:tab/>
      </w:r>
      <w:r>
        <w:rPr>
          <w:rFonts w:hint="eastAsia" w:ascii="宋体" w:hAnsi="宋体" w:cs="宋体"/>
          <w:bCs/>
          <w:color w:val="000000" w:themeColor="text1"/>
          <w14:textFill>
            <w14:solidFill>
              <w14:schemeClr w14:val="tx1"/>
            </w14:solidFill>
          </w14:textFill>
        </w:rPr>
        <w:t xml:space="preserve">日</w:t>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7"/>
        <w:ind w:firstLine="426"/>
        <w:spacing w:line="360" w:lineRule="auto"/>
        <w:rPr>
          <w:rFonts w:hint="eastAsia" w:ascii="宋体" w:hAnsi="宋体" w:cs="宋体"/>
          <w:b w:val="0"/>
        </w:rPr>
      </w:pPr>
      <w:r/>
      <w:bookmarkStart w:id="357" w:name="_Toc102117323"/>
      <w:r/>
      <w:bookmarkStart w:id="358" w:name="_Toc103848591"/>
      <w:r>
        <w:rPr>
          <w:rFonts w:hint="eastAsia" w:ascii="宋体" w:hAnsi="宋体" w:cs="宋体"/>
          <w:bCs w:val="0"/>
          <w:color w:val="000000" w:themeColor="text1"/>
          <w:sz w:val="24"/>
          <w:szCs w:val="24"/>
          <w14:textFill>
            <w14:solidFill>
              <w14:schemeClr w14:val="tx1"/>
            </w14:solidFill>
          </w14:textFill>
        </w:rPr>
        <w:br w:type="page" w:clear="all"/>
      </w:r>
      <w:bookmarkEnd w:id="357"/>
      <w:r/>
      <w:bookmarkEnd w:id="358"/>
      <w:r/>
      <w:bookmarkStart w:id="359" w:name="_Toc107246287"/>
      <w:r/>
      <w:bookmarkStart w:id="360" w:name="_Toc104560906"/>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-5）有依法缴纳税收和社会保障资金的良好记录的相关材料</w:t>
      </w:r>
      <w:bookmarkEnd w:id="359"/>
      <w:r/>
      <w:bookmarkEnd w:id="360"/>
      <w:r/>
      <w:r/>
    </w:p>
    <w:p>
      <w:pPr>
        <w:ind w:firstLine="373"/>
        <w:jc w:val="left"/>
        <w:spacing w:line="360" w:lineRule="auto"/>
        <w:rPr>
          <w:rFonts w:hint="eastAsia" w:ascii="宋体" w:hAnsi="宋体" w:cs="宋体"/>
          <w:b/>
          <w:bCs/>
        </w:rPr>
      </w:pPr>
      <w:r>
        <w:rPr>
          <w:rFonts w:hint="eastAsia" w:ascii="宋体" w:hAnsi="宋体" w:cs="宋体"/>
          <w:b/>
          <w:bCs/>
        </w:rPr>
      </w:r>
      <w:r/>
    </w:p>
    <w:p>
      <w:pPr>
        <w:ind w:firstLine="420"/>
        <w:jc w:val="left"/>
        <w:spacing w:line="360" w:lineRule="auto"/>
        <w:rPr>
          <w:rFonts w:hint="eastAsia" w:ascii="宋体" w:hAnsi="宋体" w:cs="宋体"/>
          <w:b/>
          <w:bCs/>
          <w:color w:val="auto"/>
          <w:lang w:val="en-US" w:eastAsia="zh-CN"/>
        </w:rPr>
      </w:pPr>
      <w:r>
        <w:rPr>
          <w:rFonts w:hint="eastAsia" w:ascii="宋体" w:hAnsi="宋体" w:cs="宋体"/>
          <w:b/>
          <w:bCs/>
          <w:color w:val="auto"/>
          <w:lang w:val="en-US" w:eastAsia="zh-CN"/>
        </w:rPr>
        <w:t xml:space="preserve">有依法缴纳税收和社会保障资金的良好记录，提供本次采购活动前6个月内（即2025年3月（含）以来），至少1个月缴纳税收和社会保险的凭证复印件，依法享受免缴、缓缴的，提供证明材料复印件；</w:t>
      </w:r>
      <w:r/>
    </w:p>
    <w:p>
      <w:pPr>
        <w:jc w:val="left"/>
        <w:spacing w:line="360" w:lineRule="auto"/>
        <w:rPr>
          <w:rFonts w:hint="eastAsia" w:ascii="宋体" w:hAnsi="宋体" w:cs="宋体"/>
          <w:b/>
          <w:bCs/>
          <w:color w:val="auto"/>
          <w:lang w:val="en-US" w:eastAsia="zh-CN"/>
        </w:rPr>
      </w:pPr>
      <w:r>
        <w:rPr>
          <w:rFonts w:hint="eastAsia" w:ascii="宋体" w:hAnsi="宋体" w:cs="宋体"/>
          <w:b/>
          <w:bCs/>
          <w:color w:val="auto"/>
          <w:lang w:val="en-US" w:eastAsia="zh-CN"/>
        </w:rPr>
      </w:r>
      <w:r/>
    </w:p>
    <w:p>
      <w:pPr>
        <w:jc w:val="left"/>
        <w:spacing w:line="360" w:lineRule="auto"/>
        <w:rPr>
          <w:rFonts w:hint="default" w:ascii="宋体" w:hAnsi="宋体" w:cs="宋体"/>
          <w:b/>
          <w:bCs/>
          <w:color w:val="auto"/>
          <w:lang w:val="en-US" w:eastAsia="zh-CN"/>
        </w:rPr>
      </w:pPr>
      <w:r>
        <w:rPr>
          <w:rFonts w:hint="eastAsia" w:ascii="宋体" w:hAnsi="宋体" w:cs="宋体"/>
          <w:b/>
          <w:bCs/>
          <w:color w:val="auto"/>
          <w:lang w:val="en-US" w:eastAsia="zh-CN"/>
        </w:rPr>
        <w:t xml:space="preserve">1、</w:t>
      </w:r>
      <w:r>
        <w:rPr>
          <w:rFonts w:hint="eastAsia" w:ascii="宋体" w:hAnsi="宋体" w:cs="宋体"/>
          <w:b/>
          <w:bCs/>
          <w:color w:val="auto"/>
        </w:rPr>
        <w:t xml:space="preserve">交投标文件截止时间前六个月内至少一个月依法缴纳税收的证明材料</w:t>
      </w:r>
      <w:r/>
    </w:p>
    <w:p>
      <w:pPr>
        <w:ind w:firstLine="373"/>
        <w:jc w:val="center"/>
        <w:spacing w:line="360" w:lineRule="auto"/>
        <w:rPr>
          <w:rFonts w:hint="default" w:ascii="宋体" w:hAnsi="宋体" w:eastAsia="宋体" w:cs="宋体"/>
          <w:b/>
          <w:bCs/>
          <w:color w:val="ff0000"/>
          <w:lang w:val="en-US" w:eastAsia="zh-CN"/>
        </w:rPr>
      </w:pPr>
      <w:r>
        <w:rPr>
          <w:rFonts w:hint="eastAsia" w:ascii="宋体" w:hAnsi="宋体" w:cs="宋体"/>
          <w:b/>
          <w:bCs/>
          <w:color w:val="ff0000"/>
          <w:lang w:val="en-US" w:eastAsia="zh-CN"/>
        </w:rPr>
        <w:t xml:space="preserve">注意：联合体投标的，本项证明材料联合体各方均须提供，否则将作为无效投标！</w:t>
      </w:r>
      <w:r/>
    </w:p>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7"/>
        <w:ind w:firstLine="566"/>
        <w:spacing w:line="360" w:lineRule="auto"/>
        <w:rPr>
          <w:rFonts w:hint="eastAsia" w:ascii="宋体" w:hAnsi="宋体" w:cs="宋体"/>
          <w:b w:val="0"/>
          <w:color w:val="000000" w:themeColor="text1"/>
          <w:sz w:val="24"/>
          <w14:textFill>
            <w14:solidFill>
              <w14:schemeClr w14:val="tx1"/>
            </w14:solidFill>
          </w14:textFill>
        </w:rPr>
      </w:pPr>
      <w:r>
        <w:rPr>
          <w:rFonts w:hint="eastAsia" w:ascii="宋体" w:hAnsi="宋体" w:cs="宋体"/>
          <w:b w:val="0"/>
          <w:color w:val="000000" w:themeColor="text1"/>
          <w:sz w:val="24"/>
          <w14:textFill>
            <w14:solidFill>
              <w14:schemeClr w14:val="tx1"/>
            </w14:solidFill>
          </w14:textFill>
        </w:rPr>
      </w:r>
      <w:r/>
    </w:p>
    <w:p>
      <w:pPr>
        <w:jc w:val="left"/>
        <w:spacing w:line="360" w:lineRule="auto"/>
        <w:rPr>
          <w:rFonts w:hint="eastAsia" w:ascii="宋体" w:hAnsi="宋体" w:cs="宋体"/>
          <w:b/>
          <w:bCs/>
          <w:color w:val="auto"/>
          <w:lang w:val="en-US" w:eastAsia="zh-CN"/>
        </w:rPr>
      </w:pPr>
      <w:r>
        <w:rPr>
          <w:rFonts w:hint="eastAsia" w:ascii="宋体" w:hAnsi="宋体" w:cs="宋体"/>
          <w:b/>
          <w:bCs/>
          <w:color w:val="auto"/>
          <w:lang w:val="en-US" w:eastAsia="zh-CN"/>
        </w:rPr>
      </w:r>
      <w:r/>
    </w:p>
    <w:p>
      <w:pPr>
        <w:jc w:val="left"/>
        <w:spacing w:line="360" w:lineRule="auto"/>
        <w:rPr>
          <w:rFonts w:hint="eastAsia" w:ascii="宋体" w:hAnsi="宋体" w:cs="宋体"/>
          <w:b/>
          <w:bCs/>
          <w:color w:val="auto"/>
          <w:lang w:val="en-US" w:eastAsia="zh-CN"/>
        </w:rPr>
      </w:pPr>
      <w:r>
        <w:rPr>
          <w:rFonts w:hint="eastAsia" w:ascii="宋体" w:hAnsi="宋体" w:cs="宋体"/>
          <w:b/>
          <w:bCs/>
          <w:color w:val="auto"/>
          <w:lang w:val="en-US" w:eastAsia="zh-CN"/>
        </w:rPr>
      </w:r>
      <w:r/>
    </w:p>
    <w:p>
      <w:pPr>
        <w:jc w:val="left"/>
        <w:spacing w:line="360" w:lineRule="auto"/>
        <w:rPr>
          <w:rFonts w:hint="default" w:ascii="宋体" w:hAnsi="宋体" w:cs="宋体"/>
          <w:b/>
          <w:bCs/>
          <w:color w:val="auto"/>
          <w:lang w:val="en-US" w:eastAsia="zh-CN"/>
        </w:rPr>
      </w:pPr>
      <w:r>
        <w:rPr>
          <w:rFonts w:hint="eastAsia" w:ascii="宋体" w:hAnsi="宋体" w:cs="宋体"/>
          <w:b/>
          <w:bCs/>
          <w:color w:val="auto"/>
          <w:lang w:val="en-US" w:eastAsia="zh-CN"/>
        </w:rPr>
        <w:t xml:space="preserve">2、</w:t>
      </w:r>
      <w:r>
        <w:rPr>
          <w:rFonts w:hint="eastAsia" w:ascii="宋体" w:hAnsi="宋体" w:cs="宋体"/>
          <w:b/>
          <w:bCs/>
          <w:color w:val="auto"/>
        </w:rPr>
        <w:t xml:space="preserve">交投标文件截止时间前六个月内至少一个月依法缴纳税收的证明材料</w:t>
      </w:r>
      <w:r/>
    </w:p>
    <w:p>
      <w:pPr>
        <w:ind w:firstLine="373"/>
        <w:jc w:val="center"/>
        <w:spacing w:line="360" w:lineRule="auto"/>
        <w:rPr>
          <w:rFonts w:hint="default" w:ascii="宋体" w:hAnsi="宋体" w:eastAsia="宋体" w:cs="宋体"/>
          <w:b/>
          <w:bCs/>
          <w:color w:val="ff0000"/>
          <w:lang w:val="en-US" w:eastAsia="zh-CN"/>
        </w:rPr>
      </w:pPr>
      <w:r>
        <w:rPr>
          <w:rFonts w:hint="eastAsia" w:ascii="宋体" w:hAnsi="宋体" w:cs="宋体"/>
          <w:b/>
          <w:bCs/>
          <w:color w:val="ff0000"/>
          <w:lang w:val="en-US" w:eastAsia="zh-CN"/>
        </w:rPr>
        <w:t xml:space="preserve">注意：联合体投标的，本项证明材料联合体各方均须提供，否则将作为无效投标！</w:t>
      </w:r>
      <w:r/>
    </w:p>
    <w:p>
      <w:pPr>
        <w:pStyle w:val="897"/>
        <w:jc w:val="both"/>
        <w:spacing w:line="360" w:lineRule="auto"/>
        <w:rPr>
          <w:rFonts w:hint="eastAsia" w:ascii="宋体" w:hAnsi="宋体" w:cs="宋体"/>
          <w:b w:val="0"/>
          <w:color w:val="000000" w:themeColor="text1"/>
          <w:sz w:val="24"/>
          <w14:textFill>
            <w14:solidFill>
              <w14:schemeClr w14:val="tx1"/>
            </w14:solidFill>
          </w14:textFill>
        </w:rPr>
      </w:pPr>
      <w:r>
        <w:rPr>
          <w:rFonts w:hint="eastAsia" w:ascii="宋体" w:hAnsi="宋体" w:cs="宋体"/>
          <w:b w:val="0"/>
          <w:color w:val="000000" w:themeColor="text1"/>
          <w:sz w:val="24"/>
          <w14:textFill>
            <w14:solidFill>
              <w14:schemeClr w14:val="tx1"/>
            </w14:solidFill>
          </w14:textFill>
        </w:rPr>
      </w:r>
      <w:r/>
    </w:p>
    <w:p>
      <w:pPr>
        <w:pStyle w:val="897"/>
        <w:jc w:val="both"/>
        <w:spacing w:line="360" w:lineRule="auto"/>
        <w:rPr>
          <w:rFonts w:hint="eastAsia" w:ascii="宋体" w:hAnsi="宋体" w:cs="宋体"/>
          <w:bCs w:val="0"/>
          <w:sz w:val="24"/>
          <w:szCs w:val="24"/>
        </w:rPr>
      </w:pPr>
      <w:r>
        <w:rPr>
          <w:rFonts w:hint="eastAsia" w:ascii="宋体" w:hAnsi="宋体" w:cs="宋体"/>
          <w:b w:val="0"/>
          <w:color w:val="000000" w:themeColor="text1"/>
          <w:sz w:val="24"/>
          <w14:textFill>
            <w14:solidFill>
              <w14:schemeClr w14:val="tx1"/>
            </w14:solidFill>
          </w14:textFill>
        </w:rPr>
        <w:br w:type="page" w:clear="all"/>
      </w:r>
      <w:bookmarkStart w:id="361" w:name="_Toc104560909"/>
      <w:r/>
      <w:bookmarkStart w:id="362" w:name="_Toc103848594"/>
      <w:r/>
      <w:bookmarkStart w:id="363" w:name="_Toc107246289"/>
      <w:r/>
      <w:bookmarkStart w:id="364" w:name="_Toc102117325"/>
      <w:r/>
      <w:bookmarkStart w:id="365" w:name="_Toc104560910"/>
      <w:r/>
      <w:bookmarkStart w:id="366" w:name="_Toc107246290"/>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-6）</w:t>
      </w:r>
      <w:bookmarkEnd w:id="361"/>
      <w:r/>
      <w:bookmarkEnd w:id="362"/>
      <w:r/>
      <w:bookmarkEnd w:id="363"/>
      <w:r/>
      <w:bookmarkEnd w:id="364"/>
      <w:r>
        <w:rPr>
          <w:rFonts w:hint="eastAsia" w:ascii="宋体" w:hAnsi="宋体" w:cs="宋体"/>
          <w:bCs w:val="0"/>
          <w:sz w:val="24"/>
          <w:szCs w:val="24"/>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897"/>
        <w:jc w:val="both"/>
        <w:spacing w:line="360" w:lineRule="auto"/>
        <w:rPr>
          <w:rFonts w:hint="eastAsia" w:ascii="宋体" w:hAnsi="宋体" w:cs="宋体"/>
          <w:b w:val="0"/>
          <w:bCs w:val="0"/>
          <w:sz w:val="24"/>
          <w:szCs w:val="24"/>
        </w:rPr>
      </w:pPr>
      <w:r>
        <w:rPr>
          <w:rFonts w:hint="eastAsia" w:ascii="宋体" w:hAnsi="宋体" w:cs="宋体"/>
          <w:b w:val="0"/>
          <w:bCs w:val="0"/>
          <w:sz w:val="24"/>
          <w:szCs w:val="24"/>
        </w:rPr>
      </w:r>
      <w:r/>
    </w:p>
    <w:p>
      <w:pPr>
        <w:ind w:firstLine="373"/>
        <w:spacing w:line="360" w:lineRule="auto"/>
        <w:rPr>
          <w:rFonts w:hint="eastAsia" w:ascii="宋体" w:hAnsi="宋体" w:cs="宋体"/>
          <w:b/>
          <w:bCs/>
        </w:rPr>
      </w:pPr>
      <w:r>
        <w:rPr>
          <w:rFonts w:hint="eastAsia" w:ascii="宋体" w:hAnsi="宋体" w:cs="宋体"/>
          <w:b/>
          <w:bCs/>
        </w:rPr>
      </w:r>
      <w:r/>
    </w:p>
    <w:p>
      <w:pPr>
        <w:ind w:firstLine="373"/>
        <w:spacing w:line="360" w:lineRule="auto"/>
        <w:rPr>
          <w:rFonts w:hint="eastAsia" w:ascii="宋体" w:hAnsi="宋体" w:cs="宋体"/>
          <w:b/>
          <w:bCs/>
        </w:rPr>
      </w:pPr>
      <w:r>
        <w:rPr>
          <w:rFonts w:hint="eastAsia" w:ascii="宋体" w:hAnsi="宋体" w:cs="宋体"/>
          <w:b/>
          <w:bCs/>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sz w:val="32"/>
          <w:szCs w:val="32"/>
        </w:rPr>
      </w:pPr>
      <w:r>
        <w:rPr>
          <w:rFonts w:hint="eastAsia" w:ascii="宋体" w:hAnsi="宋体" w:cs="宋体"/>
          <w:b/>
          <w:sz w:val="32"/>
          <w:szCs w:val="32"/>
        </w:rPr>
      </w:r>
      <w:r/>
    </w:p>
    <w:p>
      <w:pPr>
        <w:ind w:firstLine="569"/>
        <w:jc w:val="center"/>
        <w:spacing w:line="360" w:lineRule="auto"/>
        <w:rPr>
          <w:rFonts w:hint="eastAsia" w:ascii="宋体" w:hAnsi="宋体" w:cs="宋体"/>
          <w:b/>
          <w:sz w:val="32"/>
          <w:szCs w:val="32"/>
        </w:rPr>
      </w:pPr>
      <w:r>
        <w:rPr>
          <w:rFonts w:hint="eastAsia" w:ascii="宋体" w:hAnsi="宋体" w:cs="宋体"/>
          <w:b/>
          <w:sz w:val="32"/>
          <w:szCs w:val="32"/>
        </w:rPr>
      </w:r>
      <w:r/>
    </w:p>
    <w:p>
      <w:pPr>
        <w:ind w:firstLine="779"/>
        <w:jc w:val="center"/>
        <w:spacing w:line="360" w:lineRule="auto"/>
        <w:rPr>
          <w:rFonts w:hint="eastAsia" w:ascii="宋体" w:hAnsi="宋体" w:cs="宋体"/>
          <w:bCs/>
          <w:sz w:val="44"/>
          <w:szCs w:val="44"/>
        </w:rPr>
      </w:pPr>
      <w:r>
        <w:rPr>
          <w:rFonts w:hint="eastAsia" w:ascii="宋体" w:hAnsi="宋体" w:cs="宋体"/>
          <w:bCs/>
          <w:sz w:val="44"/>
          <w:szCs w:val="44"/>
        </w:rPr>
        <w:t xml:space="preserve">声  明</w:t>
      </w:r>
      <w:r/>
    </w:p>
    <w:p>
      <w:pPr>
        <w:ind w:firstLine="496"/>
        <w:spacing w:line="360" w:lineRule="auto"/>
        <w:rPr>
          <w:rFonts w:hint="eastAsia" w:ascii="宋体" w:hAnsi="宋体" w:cs="宋体"/>
          <w:sz w:val="28"/>
          <w:szCs w:val="28"/>
        </w:rPr>
      </w:pPr>
      <w:r>
        <w:rPr>
          <w:rFonts w:hint="eastAsia" w:ascii="宋体" w:hAnsi="宋体" w:cs="宋体"/>
          <w:sz w:val="28"/>
          <w:szCs w:val="28"/>
        </w:rPr>
      </w:r>
      <w:r/>
    </w:p>
    <w:p>
      <w:pPr>
        <w:ind w:firstLine="372"/>
        <w:spacing w:line="360" w:lineRule="auto"/>
        <w:rPr>
          <w:rFonts w:hint="eastAsia" w:ascii="宋体" w:hAnsi="宋体" w:cs="宋体"/>
          <w:bCs/>
        </w:rPr>
      </w:pPr>
      <w:r>
        <w:rPr>
          <w:rFonts w:hint="eastAsia" w:ascii="宋体" w:hAnsi="宋体" w:cs="宋体"/>
          <w:bCs/>
        </w:rPr>
        <w:tab/>
      </w:r>
      <w:r>
        <w:rPr>
          <w:rFonts w:hint="eastAsia" w:ascii="宋体" w:hAnsi="宋体" w:cs="宋体"/>
          <w:bCs/>
        </w:rPr>
        <w:t xml:space="preserve">我单位郑重声明：参加本次政府采购活动前 3 年内，我单位</w:t>
      </w:r>
      <w:r>
        <w:rPr>
          <w:rFonts w:hint="eastAsia" w:ascii="宋体" w:hAnsi="宋体" w:cs="宋体"/>
          <w:bCs/>
          <w:lang w:eastAsia="zh-CN"/>
        </w:rPr>
        <w:t xml:space="preserve">（</w:t>
      </w:r>
      <w:r>
        <w:rPr>
          <w:rFonts w:hint="eastAsia" w:ascii="宋体" w:hAnsi="宋体" w:cs="宋体"/>
          <w:bCs/>
          <w:lang w:val="en-US" w:eastAsia="zh-CN"/>
        </w:rPr>
        <w:t xml:space="preserve">或联合体各方</w:t>
      </w:r>
      <w:r>
        <w:rPr>
          <w:rFonts w:hint="eastAsia" w:ascii="宋体" w:hAnsi="宋体" w:cs="宋体"/>
          <w:bCs/>
          <w:lang w:eastAsia="zh-CN"/>
        </w:rPr>
        <w:t xml:space="preserve">）</w:t>
      </w:r>
      <w:r>
        <w:rPr>
          <w:rFonts w:hint="eastAsia" w:ascii="宋体" w:hAnsi="宋体" w:cs="宋体"/>
          <w:bCs/>
        </w:rPr>
        <w:t xml:space="preserve">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r>
      <w:r/>
    </w:p>
    <w:p>
      <w:pPr>
        <w:ind w:left="2940" w:firstLine="420"/>
        <w:spacing w:line="360" w:lineRule="auto"/>
        <w:rPr>
          <w:rFonts w:hint="eastAsia" w:ascii="宋体" w:hAnsi="宋体" w:cs="宋体"/>
          <w:szCs w:val="21"/>
          <w:u w:val="single"/>
        </w:rPr>
      </w:pPr>
      <w:r>
        <w:rPr>
          <w:rFonts w:hint="eastAsia" w:ascii="宋体" w:hAnsi="宋体" w:cs="宋体"/>
          <w:bCs/>
        </w:rPr>
        <w:t xml:space="preserve">投标人</w:t>
      </w:r>
      <w:r>
        <w:rPr>
          <w:rFonts w:hint="eastAsia" w:ascii="宋体" w:hAnsi="宋体" w:cs="宋体"/>
          <w:bCs/>
          <w:lang w:eastAsia="zh-CN"/>
        </w:rPr>
        <w:t xml:space="preserve">（</w:t>
      </w:r>
      <w:r>
        <w:rPr>
          <w:rFonts w:hint="eastAsia" w:ascii="宋体" w:hAnsi="宋体" w:cs="宋体"/>
          <w:bCs/>
          <w:lang w:val="en-US" w:eastAsia="zh-CN"/>
        </w:rPr>
        <w:t xml:space="preserve">或联合体牵头人</w:t>
      </w:r>
      <w:r>
        <w:rPr>
          <w:rFonts w:hint="eastAsia" w:ascii="宋体" w:hAnsi="宋体" w:cs="宋体"/>
          <w:bCs/>
          <w:lang w:eastAsia="zh-CN"/>
        </w:rPr>
        <w:t xml:space="preserve">）</w:t>
      </w:r>
      <w:r>
        <w:rPr>
          <w:rFonts w:hint="eastAsia" w:ascii="宋体" w:hAnsi="宋体" w:cs="宋体"/>
          <w:bCs/>
        </w:rPr>
        <w:t xml:space="preserve">名称（公章）：</w:t>
      </w:r>
      <w:r>
        <w:rPr>
          <w:rFonts w:hint="eastAsia" w:ascii="宋体" w:hAnsi="宋体" w:cs="宋体"/>
          <w:szCs w:val="21"/>
          <w:u w:val="single"/>
        </w:rPr>
        <w:tab/>
      </w:r>
      <w:r>
        <w:rPr>
          <w:rFonts w:hint="eastAsia" w:ascii="宋体" w:hAnsi="宋体" w:cs="宋体"/>
          <w:szCs w:val="21"/>
          <w:u w:val="single"/>
        </w:rPr>
        <w:tab/>
      </w:r>
      <w:r/>
    </w:p>
    <w:p>
      <w:pPr>
        <w:ind w:firstLine="3990"/>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t xml:space="preserve">                                      日期：______年______月______日</w:t>
      </w:r>
      <w:r/>
    </w:p>
    <w:p>
      <w:pPr>
        <w:ind w:firstLine="372"/>
        <w:spacing w:line="360" w:lineRule="auto"/>
        <w:rPr>
          <w:rFonts w:hint="eastAsia" w:ascii="宋体" w:hAnsi="宋体" w:cs="宋体"/>
          <w:b/>
          <w:bCs/>
        </w:rPr>
      </w:pPr>
      <w:r>
        <w:rPr>
          <w:rFonts w:hint="eastAsia" w:ascii="宋体" w:hAnsi="宋体" w:cs="宋体"/>
          <w:bCs/>
        </w:rPr>
        <w:t xml:space="preserve">备注：</w:t>
      </w:r>
      <w:r/>
    </w:p>
    <w:p>
      <w:pPr>
        <w:ind w:firstLine="372"/>
        <w:spacing w:line="360" w:lineRule="auto"/>
        <w:rPr>
          <w:rFonts w:hint="eastAsia" w:ascii="宋体" w:hAnsi="宋体" w:cs="宋体"/>
          <w:b/>
          <w:bCs/>
        </w:rPr>
      </w:pPr>
      <w:r>
        <w:rPr>
          <w:rFonts w:hint="eastAsia" w:ascii="宋体" w:hAnsi="宋体" w:cs="宋体"/>
          <w:bCs/>
        </w:rPr>
        <w:t xml:space="preserve">较大数额罚款金额规定如下：</w:t>
      </w:r>
      <w:r/>
    </w:p>
    <w:p>
      <w:pPr>
        <w:ind w:firstLine="372"/>
        <w:spacing w:line="360" w:lineRule="auto"/>
        <w:rPr>
          <w:rFonts w:hint="eastAsia" w:ascii="宋体" w:hAnsi="宋体" w:cs="宋体"/>
          <w:b/>
          <w:sz w:val="32"/>
          <w:szCs w:val="32"/>
        </w:rPr>
      </w:pPr>
      <w:r>
        <w:rPr>
          <w:rFonts w:hint="eastAsia" w:ascii="宋体" w:hAnsi="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97"/>
        <w:ind w:firstLine="566"/>
        <w:spacing w:line="360" w:lineRule="auto"/>
        <w:rPr>
          <w:rFonts w:hint="eastAsia" w:ascii="宋体" w:hAnsi="宋体" w:cs="宋体"/>
          <w:b w:val="0"/>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rPr>
        <w:br w:type="page" w:clear="all"/>
      </w:r>
      <w:r/>
    </w:p>
    <w:p>
      <w:pPr>
        <w:pStyle w:val="897"/>
        <w:ind w:firstLine="426"/>
        <w:spacing w:line="360" w:lineRule="auto"/>
        <w:rPr>
          <w:rFonts w:hint="eastAsia" w:ascii="宋体" w:hAnsi="宋体" w:cs="宋体"/>
          <w:bCs w:val="0"/>
          <w:sz w:val="24"/>
          <w:szCs w:val="24"/>
        </w:rPr>
      </w:pP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-7） 法律、行政法规规定的其他条件</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rPr>
      </w:r>
      <w:bookmarkEnd w:id="365"/>
      <w:r/>
      <w:bookmarkEnd w:id="366"/>
      <w:r/>
      <w:r/>
    </w:p>
    <w:p>
      <w:pPr>
        <w:pStyle w:val="897"/>
        <w:ind w:firstLine="426"/>
        <w:spacing w:line="360" w:lineRule="auto"/>
        <w:rPr>
          <w:rFonts w:hint="eastAsia" w:ascii="宋体" w:hAnsi="宋体" w:cs="宋体"/>
          <w:b w:val="0"/>
          <w:sz w:val="24"/>
          <w:szCs w:val="24"/>
        </w:rPr>
      </w:pPr>
      <w:r/>
      <w:bookmarkStart w:id="367" w:name="_Toc102117326"/>
      <w:r/>
      <w:bookmarkStart w:id="368" w:name="_Toc103848596"/>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-8）承诺函</w:t>
      </w:r>
      <w:r/>
    </w:p>
    <w:p>
      <w:pPr>
        <w:pStyle w:val="1104"/>
        <w:ind w:firstLine="420"/>
        <w:spacing w:line="360" w:lineRule="auto"/>
        <w:rPr>
          <w:rFonts w:hint="eastAsia" w:hAnsi="宋体" w:cs="宋体"/>
          <w:sz w:val="21"/>
          <w:szCs w:val="21"/>
        </w:rPr>
      </w:pPr>
      <w:r>
        <w:rPr>
          <w:rFonts w:hint="eastAsia" w:hAnsi="宋体" w:cs="宋体"/>
          <w:sz w:val="21"/>
          <w:szCs w:val="21"/>
        </w:rPr>
        <w:t xml:space="preserve">（一）本单位</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郑重承诺</w:t>
      </w:r>
      <w:r>
        <w:rPr>
          <w:rFonts w:hint="eastAsia" w:hAnsi="宋体" w:cs="宋体"/>
          <w:sz w:val="21"/>
          <w:szCs w:val="21"/>
        </w:rPr>
        <w:t xml:space="preserve">满足以下要求：</w:t>
      </w:r>
      <w:r/>
    </w:p>
    <w:p>
      <w:pPr>
        <w:pStyle w:val="1104"/>
        <w:ind w:firstLine="420"/>
        <w:spacing w:line="360" w:lineRule="auto"/>
        <w:rPr>
          <w:rFonts w:hint="eastAsia" w:hAnsi="宋体" w:cs="宋体"/>
          <w:sz w:val="21"/>
          <w:szCs w:val="21"/>
        </w:rPr>
      </w:pPr>
      <w:r>
        <w:rPr>
          <w:rFonts w:hint="eastAsia" w:hAnsi="宋体" w:cs="宋体"/>
          <w:sz w:val="21"/>
          <w:szCs w:val="21"/>
        </w:rPr>
        <w:t xml:space="preserve">1.投标人单位负责人为同一人或者存在直接控股、管理关系的不同投标人，不得同时参加本项目的采购活动。</w:t>
      </w:r>
      <w:r/>
    </w:p>
    <w:p>
      <w:pPr>
        <w:pStyle w:val="1104"/>
        <w:ind w:firstLine="420"/>
        <w:spacing w:line="360" w:lineRule="auto"/>
        <w:rPr>
          <w:rFonts w:hint="eastAsia" w:hAnsi="宋体" w:cs="宋体"/>
          <w:sz w:val="21"/>
          <w:szCs w:val="21"/>
        </w:rPr>
      </w:pPr>
      <w:r>
        <w:rPr>
          <w:rFonts w:hint="eastAsia" w:hAnsi="宋体" w:cs="宋体"/>
          <w:sz w:val="21"/>
          <w:szCs w:val="21"/>
        </w:rPr>
        <w:t xml:space="preserve">2.凡为采购项目提供整体设计、规范编制或者项目管理、监理、检测等服务的投标人，不得再参加本项目的采购活动。</w:t>
      </w:r>
      <w:r/>
    </w:p>
    <w:p>
      <w:pPr>
        <w:pStyle w:val="1104"/>
        <w:ind w:firstLine="420"/>
        <w:spacing w:line="360" w:lineRule="auto"/>
        <w:rPr>
          <w:rFonts w:hint="eastAsia" w:hAnsi="宋体" w:cs="宋体"/>
          <w:sz w:val="21"/>
          <w:szCs w:val="21"/>
        </w:rPr>
      </w:pPr>
      <w:r>
        <w:rPr>
          <w:rFonts w:hint="eastAsia" w:hAnsi="宋体" w:cs="宋体"/>
          <w:sz w:val="21"/>
          <w:szCs w:val="21"/>
        </w:rPr>
        <w:t xml:space="preserve">（二）本单位郑重承诺，我单位无以下不良信用记录情形：</w:t>
      </w:r>
      <w:r/>
    </w:p>
    <w:p>
      <w:pPr>
        <w:pStyle w:val="1104"/>
        <w:ind w:firstLine="420"/>
        <w:spacing w:line="360" w:lineRule="auto"/>
        <w:rPr>
          <w:rFonts w:hint="eastAsia" w:hAnsi="宋体" w:cs="宋体"/>
          <w:sz w:val="21"/>
          <w:szCs w:val="21"/>
        </w:rPr>
      </w:pPr>
      <w:r>
        <w:rPr>
          <w:rFonts w:hint="eastAsia" w:hAnsi="宋体" w:cs="宋体"/>
          <w:sz w:val="21"/>
          <w:szCs w:val="21"/>
        </w:rPr>
        <w:t xml:space="preserve">1.被人民法院列入失信被执行人；</w:t>
      </w:r>
      <w:r/>
    </w:p>
    <w:p>
      <w:pPr>
        <w:pStyle w:val="1104"/>
        <w:ind w:firstLine="420"/>
        <w:spacing w:line="360" w:lineRule="auto"/>
        <w:rPr>
          <w:rFonts w:hint="eastAsia" w:hAnsi="宋体" w:cs="宋体"/>
          <w:sz w:val="21"/>
          <w:szCs w:val="21"/>
        </w:rPr>
      </w:pPr>
      <w:r>
        <w:rPr>
          <w:rFonts w:hint="eastAsia" w:hAnsi="宋体" w:cs="宋体"/>
          <w:sz w:val="21"/>
          <w:szCs w:val="21"/>
        </w:rPr>
        <w:t xml:space="preserve">2.被税务部门列入重大税收违法失信主体；</w:t>
      </w:r>
      <w:r/>
    </w:p>
    <w:p>
      <w:pPr>
        <w:pStyle w:val="1104"/>
        <w:ind w:firstLine="420"/>
        <w:spacing w:line="360" w:lineRule="auto"/>
        <w:rPr>
          <w:rFonts w:hint="eastAsia" w:hAnsi="宋体" w:cs="宋体"/>
          <w:sz w:val="21"/>
          <w:szCs w:val="21"/>
        </w:rPr>
      </w:pPr>
      <w:r>
        <w:rPr>
          <w:rFonts w:hint="eastAsia" w:hAnsi="宋体" w:cs="宋体"/>
          <w:sz w:val="21"/>
          <w:szCs w:val="21"/>
        </w:rPr>
        <w:t xml:space="preserve">3.被政府采购监管部门列入政府采购严重违法失信行为记录名单；</w:t>
      </w:r>
      <w:r/>
    </w:p>
    <w:p>
      <w:pPr>
        <w:pStyle w:val="1104"/>
        <w:ind w:firstLine="420"/>
        <w:spacing w:line="360" w:lineRule="auto"/>
        <w:rPr>
          <w:rFonts w:hint="eastAsia" w:hAnsi="宋体" w:cs="宋体"/>
          <w:sz w:val="21"/>
          <w:szCs w:val="21"/>
        </w:rPr>
      </w:pPr>
      <w:r>
        <w:rPr>
          <w:rFonts w:hint="eastAsia" w:hAnsi="宋体" w:cs="宋体"/>
          <w:sz w:val="21"/>
          <w:szCs w:val="21"/>
        </w:rPr>
        <w:t xml:space="preserve">4.不符合《政府采购法》第二十二条规定的条件。</w:t>
      </w:r>
      <w:r/>
    </w:p>
    <w:p>
      <w:pPr>
        <w:pStyle w:val="1104"/>
        <w:ind w:firstLine="420"/>
        <w:spacing w:line="360" w:lineRule="auto"/>
        <w:rPr>
          <w:rFonts w:hint="eastAsia" w:hAnsi="宋体" w:cs="宋体"/>
          <w:sz w:val="21"/>
          <w:szCs w:val="21"/>
        </w:rPr>
      </w:pPr>
      <w:r>
        <w:rPr>
          <w:rFonts w:hint="eastAsia" w:hAnsi="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04"/>
        <w:ind w:firstLine="400"/>
        <w:spacing w:line="360" w:lineRule="auto"/>
        <w:rPr>
          <w:rFonts w:hint="eastAsia" w:hAnsi="宋体" w:cs="宋体"/>
        </w:rPr>
      </w:pPr>
      <w:r>
        <w:rPr>
          <w:rFonts w:hint="eastAsia" w:hAnsi="宋体" w:cs="宋体"/>
        </w:rPr>
      </w:r>
      <w:r/>
    </w:p>
    <w:p>
      <w:pPr>
        <w:pStyle w:val="1104"/>
        <w:ind w:firstLine="400"/>
        <w:spacing w:line="360" w:lineRule="auto"/>
        <w:rPr>
          <w:rFonts w:hint="eastAsia" w:hAnsi="宋体" w:cs="宋体"/>
        </w:rPr>
      </w:pPr>
      <w:r>
        <w:rPr>
          <w:rFonts w:hint="eastAsia" w:hAnsi="宋体" w:cs="宋体"/>
        </w:rPr>
      </w:r>
      <w:r/>
    </w:p>
    <w:p>
      <w:pPr>
        <w:ind w:firstLine="3990"/>
        <w:spacing w:line="360" w:lineRule="auto"/>
        <w:rPr>
          <w:rFonts w:hint="eastAsia" w:ascii="宋体" w:hAnsi="宋体" w:cs="宋体"/>
          <w:szCs w:val="21"/>
          <w:u w:val="single"/>
        </w:rPr>
      </w:pPr>
      <w:r>
        <w:rPr>
          <w:rFonts w:hint="eastAsia" w:ascii="宋体" w:hAnsi="宋体" w:cs="宋体"/>
          <w:bCs/>
        </w:rPr>
        <w:t xml:space="preserve">投标人名称（公章）：</w:t>
      </w:r>
      <w:r>
        <w:rPr>
          <w:rFonts w:hint="eastAsia" w:ascii="宋体" w:hAnsi="宋体" w:cs="宋体"/>
          <w:szCs w:val="21"/>
          <w:u w:val="single"/>
        </w:rPr>
        <w:tab/>
      </w:r>
      <w:r>
        <w:rPr>
          <w:rFonts w:hint="eastAsia" w:ascii="宋体" w:hAnsi="宋体" w:cs="宋体"/>
          <w:szCs w:val="21"/>
          <w:u w:val="single"/>
        </w:rPr>
        <w:tab/>
      </w:r>
      <w:r/>
    </w:p>
    <w:p>
      <w:pPr>
        <w:ind w:firstLine="3990"/>
        <w:spacing w:line="360" w:lineRule="auto"/>
        <w:rPr>
          <w:rFonts w:hint="eastAsia" w:ascii="宋体" w:hAnsi="宋体" w:cs="宋体"/>
          <w:bCs/>
        </w:rPr>
      </w:pPr>
      <w:r>
        <w:rPr>
          <w:rFonts w:hint="eastAsia" w:ascii="宋体" w:hAnsi="宋体" w:cs="宋体"/>
          <w:bCs/>
        </w:rPr>
      </w:r>
      <w:r/>
    </w:p>
    <w:p>
      <w:pPr>
        <w:ind w:firstLine="372"/>
        <w:spacing w:line="360" w:lineRule="auto"/>
        <w:rPr>
          <w:rFonts w:hint="eastAsia" w:ascii="宋体" w:hAnsi="宋体" w:cs="宋体"/>
          <w:bCs/>
        </w:rPr>
      </w:pPr>
      <w:r>
        <w:rPr>
          <w:rFonts w:hint="eastAsia" w:ascii="宋体" w:hAnsi="宋体" w:cs="宋体"/>
          <w:bCs/>
        </w:rPr>
        <w:t xml:space="preserve">                                      日期：______年</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bCs/>
        </w:rPr>
        <w:t xml:space="preserve">月</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bCs/>
        </w:rPr>
        <w:t xml:space="preserve">日</w:t>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br w:type="page" w:clear="all"/>
      </w:r>
      <w:bookmarkStart w:id="369" w:name="_Toc107246291"/>
      <w:r/>
      <w:bookmarkStart w:id="370" w:name="_Toc104560911"/>
      <w:r>
        <w:rPr>
          <w:rFonts w:hint="eastAsia" w:ascii="宋体" w:hAnsi="宋体" w:cs="宋体"/>
          <w:bCs w:val="0"/>
          <w:color w:val="000000" w:themeColor="text1"/>
          <w:sz w:val="24"/>
          <w:szCs w:val="24"/>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6</w:t>
      </w:r>
      <w:r>
        <w:rPr>
          <w:rFonts w:hint="eastAsia" w:ascii="宋体" w:hAnsi="宋体" w:cs="宋体"/>
          <w:bCs w:val="0"/>
          <w:color w:val="000000" w:themeColor="text1"/>
          <w:sz w:val="24"/>
          <w:szCs w:val="24"/>
          <w14:textFill>
            <w14:solidFill>
              <w14:schemeClr w14:val="tx1"/>
            </w14:solidFill>
          </w14:textFill>
        </w:rPr>
        <w:t xml:space="preserve">-9）</w:t>
      </w:r>
      <w:bookmarkEnd w:id="367"/>
      <w:r>
        <w:rPr>
          <w:rFonts w:hint="eastAsia" w:ascii="宋体" w:hAnsi="宋体" w:cs="宋体"/>
          <w:bCs w:val="0"/>
          <w:color w:val="000000" w:themeColor="text1"/>
          <w:sz w:val="24"/>
          <w:szCs w:val="24"/>
          <w14:textFill>
            <w14:solidFill>
              <w14:schemeClr w14:val="tx1"/>
            </w14:solidFill>
          </w14:textFill>
        </w:rPr>
        <w:t xml:space="preserve">招标文件要求的其它实质性资格资信证明文件</w:t>
      </w:r>
      <w:bookmarkEnd w:id="369"/>
      <w:r/>
      <w:bookmarkEnd w:id="370"/>
      <w:r/>
      <w:r/>
    </w:p>
    <w:p>
      <w:pPr>
        <w:pStyle w:val="897"/>
        <w:jc w:val="both"/>
        <w:spacing w:before="0" w:line="360" w:lineRule="auto"/>
        <w:rPr>
          <w:rFonts w:hint="eastAsia" w:ascii="宋体" w:hAnsi="宋体" w:cs="宋体"/>
          <w:bCs w:val="0"/>
          <w:color w:val="000000" w:themeColor="text1"/>
          <w:sz w:val="24"/>
          <w:szCs w:val="24"/>
          <w:lang w:val="en-US" w:eastAsia="zh-CN"/>
          <w14:textFill>
            <w14:solidFill>
              <w14:schemeClr w14:val="tx1"/>
            </w14:solidFill>
          </w14:textFill>
        </w:rPr>
      </w:pPr>
      <w:r/>
      <w:bookmarkStart w:id="371" w:name="_Toc107246292"/>
      <w:r>
        <w:rPr>
          <w:rFonts w:hint="eastAsia" w:ascii="宋体" w:hAnsi="宋体" w:cs="宋体"/>
          <w:bCs w:val="0"/>
          <w:color w:val="000000" w:themeColor="text1"/>
          <w:sz w:val="24"/>
          <w:szCs w:val="24"/>
          <w:lang w:val="en-US" w:eastAsia="zh-CN"/>
          <w14:textFill>
            <w14:solidFill>
              <w14:schemeClr w14:val="tx1"/>
            </w14:solidFill>
          </w14:textFill>
        </w:rPr>
        <w:t xml:space="preserve">1、联合体协议</w:t>
      </w:r>
      <w:r/>
    </w:p>
    <w:p>
      <w:pPr>
        <w:ind w:left="0" w:firstLine="0"/>
        <w:jc w:val="cente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联合体协议书（如采用联合体投标）</w:t>
      </w:r>
      <w:r/>
    </w:p>
    <w:p>
      <w:pPr>
        <w:ind w:firstLine="372"/>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sz w:val="22"/>
          <w:szCs w:val="22"/>
        </w:rPr>
        <w:t xml:space="preserve">南京鼓楼医院</w:t>
      </w:r>
      <w:r>
        <w:rPr>
          <w:rFonts w:hint="eastAsia" w:ascii="宋体" w:hAnsi="宋体" w:cs="宋体"/>
          <w:color w:val="000000" w:themeColor="text1"/>
          <w:highlight w:val="none"/>
          <w:lang w:val="en-US" w:eastAsia="zh-CN"/>
          <w14:textFill>
            <w14:solidFill>
              <w14:schemeClr w14:val="tx1"/>
            </w14:solidFill>
          </w14:textFill>
        </w:rPr>
        <w:t xml:space="preserve">：</w:t>
      </w:r>
      <w:r/>
    </w:p>
    <w:p>
      <w:pPr>
        <w:ind w:firstLine="372"/>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（所有成员单位名称）自愿组成联合体，共同参加</w:t>
      </w:r>
      <w:r>
        <w:rPr>
          <w:rFonts w:hint="eastAsia" w:ascii="宋体" w:hAnsi="宋体" w:cs="宋体"/>
          <w:color w:val="000000" w:themeColor="text1"/>
          <w:highlight w:val="none"/>
          <w:u w:val="single"/>
          <w:lang w:val="en-US" w:eastAsia="zh-CN"/>
          <w14:textFill>
            <w14:solidFill>
              <w14:schemeClr w14:val="tx1"/>
            </w14:solidFill>
          </w14:textFill>
        </w:rPr>
        <w:t xml:space="preserve">医疗责任保险服务项目</w:t>
      </w:r>
      <w:r>
        <w:rPr>
          <w:rFonts w:hint="eastAsia" w:ascii="宋体" w:hAnsi="宋体" w:cs="宋体"/>
          <w:color w:val="000000" w:themeColor="text1"/>
          <w:highlight w:val="none"/>
          <w:lang w:val="en-US" w:eastAsia="zh-CN"/>
          <w14:textFill>
            <w14:solidFill>
              <w14:schemeClr w14:val="tx1"/>
            </w14:solidFill>
          </w14:textFill>
        </w:rPr>
        <w:t xml:space="preserve">（项目名称）招标项目投标。现就联合体投标事宜订立如下协议。</w:t>
      </w:r>
      <w:r/>
    </w:p>
    <w:p>
      <w:pPr>
        <w:numPr>
          <w:ilvl w:val="0"/>
          <w:numId w:val="48"/>
        </w:numPr>
        <w:ind w:firstLine="372"/>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（某成员单位名称）为联合体牵头人。</w:t>
      </w:r>
      <w:r/>
    </w:p>
    <w:p>
      <w:pPr>
        <w:numPr>
          <w:ilvl w:val="0"/>
          <w:numId w:val="0"/>
        </w:numPr>
        <w:ind w:firstLine="42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联合体其余各成员单位授权牵头人代表联合体参加投标活动，签署文件，提交和接收相关的资料、信息及指示，进行合同谈判活动，负责合同实施阶段的组织和协调工作，以及处理与本招标项目有关的一切事宜。 </w:t>
      </w:r>
      <w:r/>
    </w:p>
    <w:p>
      <w:pPr>
        <w:numPr>
          <w:ilvl w:val="0"/>
          <w:numId w:val="0"/>
        </w:numPr>
        <w:ind w:firstLine="42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3.联合体牵头人在本项目中签署的一切文件和处理的一切事宜，联合体各成员均予以承认。联合体各成员将严格按照招标文件、投标文件和合同的要求全面履行义务，并向招标人承担连带责任。 </w:t>
      </w:r>
      <w:r/>
    </w:p>
    <w:p>
      <w:pPr>
        <w:numPr>
          <w:ilvl w:val="0"/>
          <w:numId w:val="0"/>
        </w:numPr>
        <w:ind w:firstLine="42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4.联合体各成员单位内部的职责分工如下：</w:t>
      </w:r>
      <w:r>
        <w:rPr>
          <w:rFonts w:hint="eastAsia" w:ascii="宋体" w:hAnsi="宋体" w:cs="宋体"/>
          <w:color w:val="000000" w:themeColor="text1"/>
          <w:highlight w:val="none"/>
          <w:u w:val="single"/>
          <w:lang w:val="en-US" w:eastAsia="zh-CN"/>
          <w14:textFill>
            <w14:solidFill>
              <w14:schemeClr w14:val="tx1"/>
            </w14:solidFill>
          </w14:textFill>
        </w:rPr>
        <w:t xml:space="preserve">          </w:t>
      </w:r>
      <w:r>
        <w:rPr>
          <w:rFonts w:hint="eastAsia" w:ascii="宋体" w:hAnsi="宋体" w:cs="宋体"/>
          <w:color w:val="000000" w:themeColor="text1"/>
          <w:highlight w:val="none"/>
          <w:lang w:val="en-US" w:eastAsia="zh-CN"/>
          <w14:textFill>
            <w14:solidFill>
              <w14:schemeClr w14:val="tx1"/>
            </w14:solidFill>
          </w14:textFill>
        </w:rPr>
        <w:t xml:space="preserve">。</w:t>
      </w:r>
      <w:r/>
    </w:p>
    <w:p>
      <w:pPr>
        <w:numPr>
          <w:ilvl w:val="0"/>
          <w:numId w:val="0"/>
        </w:numPr>
        <w:ind w:firstLine="42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5.本协议书自联合体所有成员单位法定代表人（或单位负责人）或其授权代表签字或盖单位章之日起生效，合同履行完毕后自动失效。</w:t>
      </w:r>
      <w:r/>
    </w:p>
    <w:p>
      <w:pPr>
        <w:numPr>
          <w:ilvl w:val="0"/>
          <w:numId w:val="0"/>
        </w:numPr>
        <w:ind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6.协议书由法定代表人签字的，应附法定代表人（或单位负责人）身份证明；由授权代表签字的，应附授权委托书。</w:t>
      </w:r>
      <w:r/>
    </w:p>
    <w:p>
      <w:pPr>
        <w:numPr>
          <w:ilvl w:val="0"/>
          <w:numId w:val="0"/>
        </w:numPr>
        <w:ind w:firstLine="420"/>
        <w:spacing w:line="360" w:lineRule="auto"/>
        <w:rPr>
          <w:rFonts w:hint="eastAsia"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 xml:space="preserve">7.</w:t>
      </w:r>
      <w:r>
        <w:rPr>
          <w:rFonts w:hint="eastAsia" w:ascii="宋体" w:hAnsi="宋体" w:cs="宋体"/>
          <w:b w:val="0"/>
          <w:bCs w:val="0"/>
          <w:color w:val="000000" w:themeColor="text1"/>
          <w:szCs w:val="21"/>
          <w14:textFill>
            <w14:solidFill>
              <w14:schemeClr w14:val="tx1"/>
            </w14:solidFill>
          </w14:textFill>
        </w:rPr>
        <w:t xml:space="preserve">若</w:t>
      </w:r>
      <w:r>
        <w:rPr>
          <w:rFonts w:hint="eastAsia" w:ascii="宋体" w:hAnsi="宋体" w:cs="宋体"/>
          <w:color w:val="000000" w:themeColor="text1"/>
          <w:highlight w:val="none"/>
          <w:lang w:val="en-US" w:eastAsia="zh-CN"/>
          <w14:textFill>
            <w14:solidFill>
              <w14:schemeClr w14:val="tx1"/>
            </w14:solidFill>
          </w14:textFill>
        </w:rPr>
        <w:t xml:space="preserve">联合体各成员单位</w:t>
      </w:r>
      <w:r>
        <w:rPr>
          <w:rFonts w:hint="eastAsia" w:ascii="宋体" w:hAnsi="宋体" w:cs="宋体"/>
          <w:b w:val="0"/>
          <w:bCs w:val="0"/>
          <w:color w:val="000000" w:themeColor="text1"/>
          <w:szCs w:val="21"/>
          <w14:textFill>
            <w14:solidFill>
              <w14:schemeClr w14:val="tx1"/>
            </w14:solidFill>
          </w14:textFill>
        </w:rPr>
        <w:t xml:space="preserve">为分公司或分支机构等无法定代表人的机构（仅当招标文件注明允许分公司或分支机构等投标时），则本</w:t>
      </w:r>
      <w:r>
        <w:rPr>
          <w:rFonts w:hint="eastAsia" w:ascii="宋体" w:hAnsi="宋体" w:cs="宋体"/>
          <w:b w:val="0"/>
          <w:bCs w:val="0"/>
          <w:color w:val="000000" w:themeColor="text1"/>
          <w:szCs w:val="21"/>
          <w:lang w:val="en-US" w:eastAsia="zh-CN"/>
          <w14:textFill>
            <w14:solidFill>
              <w14:schemeClr w14:val="tx1"/>
            </w14:solidFill>
          </w14:textFill>
        </w:rPr>
        <w:t xml:space="preserve">协议书</w:t>
      </w:r>
      <w:r>
        <w:rPr>
          <w:rFonts w:hint="eastAsia" w:ascii="宋体" w:hAnsi="宋体" w:cs="宋体"/>
          <w:b w:val="0"/>
          <w:bCs w:val="0"/>
          <w:color w:val="000000" w:themeColor="text1"/>
          <w:szCs w:val="21"/>
          <w14:textFill>
            <w14:solidFill>
              <w14:schemeClr w14:val="tx1"/>
            </w14:solidFill>
          </w14:textFill>
        </w:rPr>
        <w:t xml:space="preserve">签署人可为单位负责人</w:t>
      </w:r>
      <w:r>
        <w:rPr>
          <w:rFonts w:hint="eastAsia" w:ascii="宋体" w:hAnsi="宋体" w:cs="宋体"/>
          <w:b w:val="0"/>
          <w:bCs w:val="0"/>
          <w:color w:val="000000" w:themeColor="text1"/>
          <w:highlight w:val="none"/>
          <w:lang w:val="en-US" w:eastAsia="zh-CN"/>
          <w14:textFill>
            <w14:solidFill>
              <w14:schemeClr w14:val="tx1"/>
            </w14:solidFill>
          </w14:textFill>
        </w:rPr>
        <w:t xml:space="preserve">。</w:t>
      </w:r>
      <w:r/>
    </w:p>
    <w:p>
      <w:pPr>
        <w:numPr>
          <w:ilvl w:val="0"/>
          <w:numId w:val="0"/>
        </w:numPr>
        <w:ind w:firstLine="420"/>
        <w:spacing w:line="360" w:lineRule="auto"/>
        <w:rPr>
          <w:rFonts w:hint="eastAsia" w:ascii="宋体" w:hAnsi="宋体" w:cs="宋体"/>
          <w:b w:val="0"/>
          <w:bCs w:val="0"/>
          <w:color w:val="000000" w:themeColor="text1"/>
          <w:highlight w:val="none"/>
          <w:lang w:val="en-US" w:eastAsia="zh-CN"/>
          <w14:textFill>
            <w14:solidFill>
              <w14:schemeClr w14:val="tx1"/>
            </w14:solidFill>
          </w14:textFill>
        </w:rPr>
      </w:pPr>
      <w:r>
        <w:rPr>
          <w:rFonts w:hint="eastAsia" w:ascii="宋体" w:hAnsi="宋体" w:cs="宋体"/>
          <w:b w:val="0"/>
          <w:bCs w:val="0"/>
          <w:color w:val="000000" w:themeColor="text1"/>
          <w:highlight w:val="none"/>
          <w:lang w:val="en-US" w:eastAsia="zh-CN"/>
          <w14:textFill>
            <w14:solidFill>
              <w14:schemeClr w14:val="tx1"/>
            </w14:solidFill>
          </w14:textFill>
        </w:rPr>
        <w:t xml:space="preserve">8.联合体各方约定的身份及承包比例如下：</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3"/>
        <w:gridCol w:w="1707"/>
        <w:gridCol w:w="4276"/>
      </w:tblGrid>
      <w:tr>
        <w:trPr/>
        <w:tc>
          <w:tcPr>
            <w:tcW w:w="2613"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联合体身份</w:t>
            </w:r>
            <w:r/>
          </w:p>
        </w:tc>
        <w:tc>
          <w:tcPr>
            <w:tcW w:w="1707"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承保身份</w:t>
            </w:r>
            <w:r/>
          </w:p>
        </w:tc>
        <w:tc>
          <w:tcPr>
            <w:tcW w:w="4276"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承保比例</w:t>
            </w:r>
            <w:r/>
          </w:p>
        </w:tc>
      </w:tr>
      <w:tr>
        <w:trPr/>
        <w:tc>
          <w:tcPr>
            <w:tcW w:w="2613"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联合体牵头单位</w:t>
            </w:r>
            <w:r/>
          </w:p>
        </w:tc>
        <w:tc>
          <w:tcPr>
            <w:tcW w:w="1707"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首席承保人</w:t>
            </w:r>
            <w:r/>
          </w:p>
        </w:tc>
        <w:tc>
          <w:tcPr>
            <w:tcW w:w="4276" w:type="dxa"/>
            <w:textDirection w:val="lrTb"/>
            <w:noWrap w:val="false"/>
          </w:tcPr>
          <w:p>
            <w:pPr>
              <w:numPr>
                <w:ilvl w:val="0"/>
                <w:numId w:val="0"/>
              </w:numPr>
              <w:ind w:firstLine="630"/>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%（承保比例不低于50%）</w:t>
            </w:r>
            <w:r/>
          </w:p>
        </w:tc>
      </w:tr>
      <w:tr>
        <w:trPr/>
        <w:tc>
          <w:tcPr>
            <w:tcW w:w="2613"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联合体成员1</w:t>
            </w:r>
            <w:r/>
          </w:p>
        </w:tc>
        <w:tc>
          <w:tcPr>
            <w:tcW w:w="1707"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共保人</w:t>
            </w:r>
            <w:r/>
          </w:p>
        </w:tc>
        <w:tc>
          <w:tcPr>
            <w:tcW w:w="4276" w:type="dxa"/>
            <w:textDirection w:val="lrTb"/>
            <w:noWrap w:val="false"/>
          </w:tcPr>
          <w:p>
            <w:pPr>
              <w:numPr>
                <w:ilvl w:val="0"/>
                <w:numId w:val="0"/>
              </w:numPr>
              <w:ind w:firstLine="630"/>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w:t>
            </w:r>
            <w:r/>
          </w:p>
        </w:tc>
      </w:tr>
      <w:tr>
        <w:trPr/>
        <w:tc>
          <w:tcPr>
            <w:tcW w:w="2613"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联合体成员2（如有）</w:t>
            </w:r>
            <w:r/>
          </w:p>
        </w:tc>
        <w:tc>
          <w:tcPr>
            <w:tcW w:w="1707"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共保人</w:t>
            </w:r>
            <w:r/>
          </w:p>
        </w:tc>
        <w:tc>
          <w:tcPr>
            <w:tcW w:w="4276" w:type="dxa"/>
            <w:textDirection w:val="lrTb"/>
            <w:noWrap w:val="false"/>
          </w:tcPr>
          <w:p>
            <w:pPr>
              <w:numPr>
                <w:ilvl w:val="0"/>
                <w:numId w:val="0"/>
              </w:numPr>
              <w:ind w:firstLine="630"/>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w:t>
            </w:r>
            <w:r/>
          </w:p>
        </w:tc>
      </w:tr>
      <w:tr>
        <w:trPr/>
        <w:tc>
          <w:tcPr>
            <w:tcW w:w="2613" w:type="dxa"/>
            <w:textDirection w:val="lrTb"/>
            <w:noWrap w:val="false"/>
          </w:tcPr>
          <w:p>
            <w:pPr>
              <w:numPr>
                <w:ilvl w:val="0"/>
                <w:numId w:val="0"/>
              </w:numPr>
              <w:jc w:val="center"/>
              <w:spacing w:line="360" w:lineRule="auto"/>
              <w:rPr>
                <w:rFonts w:hint="eastAsia"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联合体成员3（如有）</w:t>
            </w:r>
            <w:r/>
          </w:p>
        </w:tc>
        <w:tc>
          <w:tcPr>
            <w:tcW w:w="1707"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共保人</w:t>
            </w:r>
            <w:r/>
          </w:p>
        </w:tc>
        <w:tc>
          <w:tcPr>
            <w:tcW w:w="4276" w:type="dxa"/>
            <w:textDirection w:val="lrTb"/>
            <w:noWrap w:val="false"/>
          </w:tcPr>
          <w:p>
            <w:pPr>
              <w:numPr>
                <w:ilvl w:val="0"/>
                <w:numId w:val="0"/>
              </w:numPr>
              <w:ind w:firstLine="630"/>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w:t>
            </w:r>
            <w:r/>
          </w:p>
        </w:tc>
      </w:tr>
      <w:tr>
        <w:trPr/>
        <w:tc>
          <w:tcPr>
            <w:gridSpan w:val="2"/>
            <w:tcW w:w="4320"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合计承保比例</w:t>
            </w:r>
            <w:r/>
          </w:p>
        </w:tc>
        <w:tc>
          <w:tcPr>
            <w:tcW w:w="4276" w:type="dxa"/>
            <w:textDirection w:val="lrTb"/>
            <w:noWrap w:val="false"/>
          </w:tcPr>
          <w:p>
            <w:pPr>
              <w:numPr>
                <w:ilvl w:val="0"/>
                <w:numId w:val="0"/>
              </w:numPr>
              <w:jc w:val="center"/>
              <w:spacing w:line="360" w:lineRule="auto"/>
              <w:rPr>
                <w:rFonts w:hint="default" w:ascii="宋体" w:hAnsi="宋体" w:cs="宋体"/>
                <w:b w:val="0"/>
                <w:bCs w:val="0"/>
                <w:color w:val="000000" w:themeColor="text1"/>
                <w:highlight w:val="none"/>
                <w:vertAlign w:val="baseline"/>
                <w:lang w:val="en-US" w:eastAsia="zh-CN"/>
                <w14:textFill>
                  <w14:solidFill>
                    <w14:schemeClr w14:val="tx1"/>
                  </w14:solidFill>
                </w14:textFill>
              </w:rPr>
            </w:pPr>
            <w:r>
              <w:rPr>
                <w:rFonts w:hint="eastAsia" w:ascii="宋体" w:hAnsi="宋体" w:cs="宋体"/>
                <w:b w:val="0"/>
                <w:bCs w:val="0"/>
                <w:color w:val="000000" w:themeColor="text1"/>
                <w:highlight w:val="none"/>
                <w:vertAlign w:val="baseline"/>
                <w:lang w:val="en-US" w:eastAsia="zh-CN"/>
                <w14:textFill>
                  <w14:solidFill>
                    <w14:schemeClr w14:val="tx1"/>
                  </w14:solidFill>
                </w14:textFill>
              </w:rPr>
              <w:t xml:space="preserve">100%</w:t>
            </w:r>
            <w:r/>
          </w:p>
        </w:tc>
      </w:tr>
    </w:tbl>
    <w:p>
      <w:pPr>
        <w:numPr>
          <w:ilvl w:val="0"/>
          <w:numId w:val="0"/>
        </w:numPr>
        <w:ind w:firstLine="420"/>
        <w:spacing w:line="360" w:lineRule="auto"/>
        <w:rPr>
          <w:rFonts w:hint="default" w:ascii="宋体" w:hAnsi="宋体" w:cs="宋体"/>
          <w:b w:val="0"/>
          <w:bCs w:val="0"/>
          <w:color w:val="000000" w:themeColor="text1"/>
          <w:highlight w:val="none"/>
          <w:lang w:val="en-US" w:eastAsia="zh-CN"/>
          <w14:textFill>
            <w14:solidFill>
              <w14:schemeClr w14:val="tx1"/>
            </w14:solidFill>
          </w14:textFill>
        </w:rPr>
      </w:pPr>
      <w:r>
        <w:rPr>
          <w:rFonts w:hint="default" w:ascii="宋体" w:hAnsi="宋体" w:cs="宋体"/>
          <w:b w:val="0"/>
          <w:bCs w:val="0"/>
          <w:color w:val="000000" w:themeColor="text1"/>
          <w:highlight w:val="none"/>
          <w:lang w:val="en-US" w:eastAsia="zh-CN"/>
          <w14:textFill>
            <w14:solidFill>
              <w14:schemeClr w14:val="tx1"/>
            </w14:solidFill>
          </w14:textFill>
        </w:rPr>
      </w:r>
      <w:r/>
    </w:p>
    <w:p>
      <w:pPr>
        <w:numPr>
          <w:ilvl w:val="0"/>
          <w:numId w:val="0"/>
        </w:numPr>
        <w:ind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联合体牵头人名称：       （加盖公章）</w:t>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法定代表人（或单位负责人）或其授权代表：    （签字或盖章） </w:t>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联合体成员1名称： （加盖公章）</w:t>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法定代表人（或单位负责人）或其授权代表 （签字或盖章）</w:t>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联合体成员2名称： （加盖公章）</w:t>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法定代表人（或单位负责人）或其授权代表 （签字或盖章）</w:t>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联合体成员3名称： （加盖公章）</w:t>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法定代表人（或单位负责人）或其授权代表 （签字或盖章）</w:t>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numPr>
          <w:ilvl w:val="0"/>
          <w:numId w:val="0"/>
        </w:numPr>
        <w:ind w:left="2100"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numPr>
          <w:ilvl w:val="0"/>
          <w:numId w:val="0"/>
        </w:numPr>
        <w:ind w:left="4620" w:firstLine="420"/>
        <w:spacing w:line="360" w:lineRule="auto"/>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年 月 日</w:t>
      </w:r>
      <w:r/>
    </w:p>
    <w:p>
      <w:pPr>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br w:type="page" w:clear="all"/>
      </w:r>
      <w:r/>
    </w:p>
    <w:p>
      <w:pPr>
        <w:pStyle w:val="897"/>
        <w:jc w:val="both"/>
        <w:spacing w:before="0" w:line="360" w:lineRule="auto"/>
        <w:rPr>
          <w:rFonts w:hint="eastAsia" w:ascii="宋体" w:hAnsi="宋体" w:cs="宋体"/>
          <w:bCs w:val="0"/>
          <w:color w:val="000000" w:themeColor="text1"/>
          <w:sz w:val="24"/>
          <w:szCs w:val="24"/>
          <w:lang w:val="en-US" w:eastAsia="zh-CN"/>
          <w14:textFill>
            <w14:solidFill>
              <w14:schemeClr w14:val="tx1"/>
            </w14:solidFill>
          </w14:textFill>
        </w:rPr>
      </w:pPr>
      <w:r>
        <w:rPr>
          <w:rFonts w:hint="eastAsia" w:ascii="宋体" w:hAnsi="宋体" w:cs="宋体"/>
          <w:bCs w:val="0"/>
          <w:color w:val="000000" w:themeColor="text1"/>
          <w:sz w:val="24"/>
          <w:szCs w:val="24"/>
          <w:lang w:val="en-US" w:eastAsia="zh-CN"/>
          <w14:textFill>
            <w14:solidFill>
              <w14:schemeClr w14:val="tx1"/>
            </w14:solidFill>
          </w14:textFill>
        </w:rPr>
        <w:t xml:space="preserve">联合体协议书附件：</w:t>
      </w:r>
      <w:r/>
    </w:p>
    <w:p>
      <w:pPr>
        <w:pStyle w:val="897"/>
        <w:jc w:val="center"/>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法定代表人（非法人单位负责人）身份证明</w:t>
      </w:r>
      <w:r/>
    </w:p>
    <w:p>
      <w:pPr>
        <w:pStyle w:val="874"/>
        <w:ind w:left="1236" w:firstLine="368"/>
        <w:spacing w:line="360" w:lineRule="auto"/>
        <w:tabs>
          <w:tab w:val="left" w:pos="4228" w:leader="none"/>
        </w:tabs>
        <w:rPr>
          <w:rFonts w:hint="eastAsia"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r>
      <w:r/>
    </w:p>
    <w:p>
      <w:pPr>
        <w:pStyle w:val="874"/>
        <w:ind w:firstLine="420"/>
        <w:spacing w:line="360" w:lineRule="auto"/>
        <w:tabs>
          <w:tab w:val="left" w:pos="4228"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联合体单位</w:t>
      </w:r>
      <w:r>
        <w:rPr>
          <w:rFonts w:hint="eastAsia" w:ascii="宋体" w:hAnsi="宋体" w:cs="宋体"/>
          <w:color w:val="000000" w:themeColor="text1"/>
          <w14:textFill>
            <w14:solidFill>
              <w14:schemeClr w14:val="tx1"/>
            </w14:solidFill>
          </w14:textFill>
        </w:rPr>
        <w:t xml:space="preserve">名</w:t>
      </w:r>
      <w:r>
        <w:rPr>
          <w:rFonts w:hint="eastAsia" w:ascii="宋体" w:hAnsi="宋体" w:cs="宋体"/>
          <w:color w:val="000000" w:themeColor="text1"/>
          <w:spacing w:val="-3"/>
          <w14:textFill>
            <w14:solidFill>
              <w14:schemeClr w14:val="tx1"/>
            </w14:solidFill>
          </w14:textFill>
        </w:rPr>
        <w:t xml:space="preserve">称</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874"/>
        <w:ind w:firstLine="420"/>
        <w:spacing w:before="170" w:line="360" w:lineRule="auto"/>
        <w:tabs>
          <w:tab w:val="left" w:pos="2712" w:leader="none"/>
          <w:tab w:val="left" w:pos="4183" w:leader="none"/>
          <w:tab w:val="left" w:pos="5652" w:leader="none"/>
          <w:tab w:val="left" w:pos="7169"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姓名</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spacing w:val="-3"/>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性别</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spacing w:val="-3"/>
          <w:u w:val="single"/>
          <w14:textFill>
            <w14:solidFill>
              <w14:schemeClr w14:val="tx1"/>
            </w14:solidFill>
          </w14:textFill>
        </w:rPr>
        <w:tab/>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spacing w:val="-3"/>
          <w14:textFill>
            <w14:solidFill>
              <w14:schemeClr w14:val="tx1"/>
            </w14:solidFill>
          </w14:textFill>
        </w:rPr>
        <w:t xml:space="preserve">龄</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spacing w:val="-1"/>
          <w14:textFill>
            <w14:solidFill>
              <w14:schemeClr w14:val="tx1"/>
            </w14:solidFill>
          </w14:textFill>
        </w:rPr>
        <w:t xml:space="preserve">职</w:t>
      </w:r>
      <w:r>
        <w:rPr>
          <w:rFonts w:hint="eastAsia" w:ascii="宋体" w:hAnsi="宋体" w:cs="宋体"/>
          <w:color w:val="000000" w:themeColor="text1"/>
          <w:spacing w:val="-3"/>
          <w14:textFill>
            <w14:solidFill>
              <w14:schemeClr w14:val="tx1"/>
            </w14:solidFill>
          </w14:textFill>
        </w:rPr>
        <w:t xml:space="preserve">务</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874"/>
        <w:ind w:firstLine="420"/>
        <w:spacing w:before="173" w:line="360" w:lineRule="auto"/>
        <w:tabs>
          <w:tab w:val="left" w:pos="3132"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系</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联合体单位</w:t>
      </w:r>
      <w:r>
        <w:rPr>
          <w:rFonts w:hint="eastAsia" w:ascii="宋体" w:hAnsi="宋体" w:cs="宋体"/>
          <w:color w:val="000000" w:themeColor="text1"/>
          <w:spacing w:val="-3"/>
          <w14:textFill>
            <w14:solidFill>
              <w14:schemeClr w14:val="tx1"/>
            </w14:solidFill>
          </w14:textFill>
        </w:rPr>
        <w:t xml:space="preserve">名</w:t>
      </w:r>
      <w:r>
        <w:rPr>
          <w:rFonts w:hint="eastAsia" w:ascii="宋体" w:hAnsi="宋体" w:cs="宋体"/>
          <w:color w:val="000000" w:themeColor="text1"/>
          <w14:textFill>
            <w14:solidFill>
              <w14:schemeClr w14:val="tx1"/>
            </w14:solidFill>
          </w14:textFill>
        </w:rPr>
        <w:t xml:space="preserve">称</w:t>
      </w:r>
      <w:r>
        <w:rPr>
          <w:rFonts w:hint="eastAsia" w:ascii="宋体" w:hAnsi="宋体" w:cs="宋体"/>
          <w:color w:val="000000" w:themeColor="text1"/>
          <w:spacing w:val="-3"/>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spacing w:val="-3"/>
          <w14:textFill>
            <w14:solidFill>
              <w14:schemeClr w14:val="tx1"/>
            </w14:solidFill>
          </w14:textFill>
        </w:rPr>
        <w:t xml:space="preserve">法定</w:t>
      </w:r>
      <w:r>
        <w:rPr>
          <w:rFonts w:hint="eastAsia" w:ascii="宋体" w:hAnsi="宋体" w:cs="宋体"/>
          <w:color w:val="000000" w:themeColor="text1"/>
          <w14:textFill>
            <w14:solidFill>
              <w14:schemeClr w14:val="tx1"/>
            </w14:solidFill>
          </w14:textFill>
        </w:rPr>
        <w:t xml:space="preserve">代表</w:t>
      </w:r>
      <w:r>
        <w:rPr>
          <w:rFonts w:hint="eastAsia" w:ascii="宋体" w:hAnsi="宋体" w:cs="宋体"/>
          <w:color w:val="000000" w:themeColor="text1"/>
          <w:spacing w:val="-3"/>
          <w14:textFill>
            <w14:solidFill>
              <w14:schemeClr w14:val="tx1"/>
            </w14:solidFill>
          </w14:textFill>
        </w:rPr>
        <w:t xml:space="preserve">人/非法人单位负责人。</w:t>
      </w:r>
      <w:r/>
    </w:p>
    <w:p>
      <w:pPr>
        <w:pStyle w:val="874"/>
        <w:ind w:firstLine="420"/>
        <w:spacing w:before="17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特此证明。</w:t>
      </w:r>
      <w:r/>
    </w:p>
    <w:p>
      <w:pPr>
        <w:pStyle w:val="874"/>
        <w:ind w:left="1260" w:firstLine="354"/>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附：法定代表人（非法人单位负责人）有效期内的身份证复印件（正反面）</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bl>
      <w:tblPr>
        <w:tblStyle w:val="86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4"/>
              <w:jc w:val="center"/>
              <w:spacing w:line="360" w:lineRule="auto"/>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77" w:type="dxa"/>
            <w:vAlign w:val="center"/>
            <w:textDirection w:val="lrTb"/>
            <w:noWrap w:val="false"/>
          </w:tcPr>
          <w:p>
            <w:pPr>
              <w:jc w:val="center"/>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874"/>
        <w:ind w:firstLine="354"/>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74"/>
        <w:ind w:firstLine="354"/>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74"/>
        <w:ind w:left="1260" w:firstLine="354"/>
        <w:spacing w:line="360" w:lineRule="auto"/>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p>
      <w:pPr>
        <w:pStyle w:val="874"/>
        <w:ind w:left="1260" w:firstLine="389"/>
        <w:spacing w:before="1" w:line="360" w:lineRule="auto"/>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14:textFill>
            <w14:solidFill>
              <w14:schemeClr w14:val="tx1"/>
            </w14:solidFill>
          </w14:textFill>
        </w:rPr>
      </w:r>
      <w:r/>
    </w:p>
    <w:p>
      <w:pPr>
        <w:pStyle w:val="874"/>
        <w:ind w:left="1260" w:firstLine="3060"/>
        <w:spacing w:line="360" w:lineRule="auto"/>
        <w:tabs>
          <w:tab w:val="left" w:pos="7977" w:leader="none"/>
        </w:tabs>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pacing w:val="-3"/>
          <w:lang w:val="en-US" w:eastAsia="zh-CN"/>
          <w14:textFill>
            <w14:solidFill>
              <w14:schemeClr w14:val="tx1"/>
            </w14:solidFill>
          </w14:textFill>
        </w:rPr>
        <w:t xml:space="preserve">联合体单位</w:t>
      </w:r>
      <w:r>
        <w:rPr>
          <w:rFonts w:hint="eastAsia" w:ascii="宋体" w:hAnsi="宋体" w:cs="宋体"/>
          <w:color w:val="000000" w:themeColor="text1"/>
          <w:spacing w:val="-3"/>
          <w14:textFill>
            <w14:solidFill>
              <w14:schemeClr w14:val="tx1"/>
            </w14:solidFill>
          </w14:textFill>
        </w:rPr>
        <w:t xml:space="preserve">名称（公章）</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ab/>
      </w:r>
      <w:r/>
    </w:p>
    <w:p>
      <w:pPr>
        <w:pStyle w:val="895"/>
        <w:ind w:firstLine="372"/>
        <w:jc w:val="right"/>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日期：______年</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u w:val="single"/>
          <w14:textFill>
            <w14:solidFill>
              <w14:schemeClr w14:val="tx1"/>
            </w14:solidFill>
          </w14:textFill>
        </w:rPr>
        <w:tab/>
      </w:r>
      <w:r>
        <w:rPr>
          <w:rFonts w:hint="eastAsia" w:ascii="宋体" w:hAnsi="宋体" w:cs="宋体"/>
          <w:color w:val="000000" w:themeColor="text1"/>
          <w:szCs w:val="21"/>
          <w14:textFill>
            <w14:solidFill>
              <w14:schemeClr w14:val="tx1"/>
            </w14:solidFill>
          </w14:textFill>
        </w:rPr>
        <w:t xml:space="preserve">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bCs w:val="0"/>
          <w:color w:val="000000" w:themeColor="text1"/>
          <w:sz w:val="24"/>
          <w:szCs w:val="24"/>
          <w14:textFill>
            <w14:solidFill>
              <w14:schemeClr w14:val="tx1"/>
            </w14:solidFill>
          </w14:textFill>
        </w:rPr>
        <w:t xml:space="preserve">法定代表人</w:t>
      </w:r>
      <w:r>
        <w:rPr>
          <w:rFonts w:hint="eastAsia" w:ascii="宋体" w:hAnsi="宋体" w:cs="宋体"/>
          <w:bCs w:val="0"/>
          <w:color w:val="000000" w:themeColor="text1"/>
          <w:sz w:val="24"/>
          <w:szCs w:val="24"/>
          <w:lang w:eastAsia="zh-CN"/>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单位负责人</w:t>
      </w:r>
      <w:r>
        <w:rPr>
          <w:rFonts w:hint="eastAsia" w:ascii="宋体" w:hAnsi="宋体" w:cs="宋体"/>
          <w:bCs w:val="0"/>
          <w:color w:val="000000" w:themeColor="text1"/>
          <w:sz w:val="24"/>
          <w:szCs w:val="24"/>
          <w:lang w:eastAsia="zh-CN"/>
          <w14:textFill>
            <w14:solidFill>
              <w14:schemeClr w14:val="tx1"/>
            </w14:solidFill>
          </w14:textFill>
        </w:rPr>
        <w:t xml:space="preserve">）</w:t>
      </w:r>
      <w:r>
        <w:rPr>
          <w:rFonts w:hint="eastAsia" w:ascii="宋体" w:hAnsi="宋体" w:cs="宋体"/>
          <w:bCs w:val="0"/>
          <w:color w:val="000000" w:themeColor="text1"/>
          <w:sz w:val="24"/>
          <w:szCs w:val="24"/>
          <w14:textFill>
            <w14:solidFill>
              <w14:schemeClr w14:val="tx1"/>
            </w14:solidFill>
          </w14:textFill>
        </w:rPr>
        <w:t xml:space="preserve">授权委托书（适用于法人/非法人）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本授权书声明：注册于</w:t>
      </w:r>
      <w:r>
        <w:rPr>
          <w:rFonts w:hint="eastAsia" w:ascii="宋体" w:hAnsi="宋体" w:cs="宋体"/>
          <w:color w:val="000000" w:themeColor="text1"/>
          <w:szCs w:val="21"/>
          <w:u w:val="single"/>
          <w14:textFill>
            <w14:solidFill>
              <w14:schemeClr w14:val="tx1"/>
            </w14:solidFill>
          </w14:textFill>
        </w:rPr>
        <w:t xml:space="preserve">（国家或地区的名称）</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u w:val="single"/>
          <w14:textFill>
            <w14:solidFill>
              <w14:schemeClr w14:val="tx1"/>
            </w14:solidFill>
          </w14:textFill>
        </w:rPr>
        <w:t xml:space="preserve">         （单位名称）      </w:t>
      </w:r>
      <w:r>
        <w:rPr>
          <w:rFonts w:hint="eastAsia" w:ascii="宋体" w:hAnsi="宋体" w:cs="宋体"/>
          <w:color w:val="000000" w:themeColor="text1"/>
          <w:szCs w:val="21"/>
          <w14:textFill>
            <w14:solidFill>
              <w14:schemeClr w14:val="tx1"/>
            </w14:solidFill>
          </w14:textFill>
        </w:rPr>
        <w:t xml:space="preserve">的在法定代表人</w:t>
      </w:r>
      <w:r>
        <w:rPr>
          <w:rFonts w:hint="eastAsia" w:ascii="宋体" w:hAnsi="宋体" w:cs="宋体"/>
          <w:color w:val="000000" w:themeColor="text1"/>
          <w:szCs w:val="21"/>
          <w:lang w:val="en-US" w:eastAsia="zh-CN"/>
          <w14:textFill>
            <w14:solidFill>
              <w14:schemeClr w14:val="tx1"/>
            </w14:solidFill>
          </w14:textFill>
        </w:rPr>
        <w:t xml:space="preserve">/单位负责人</w:t>
      </w:r>
      <w:r>
        <w:rPr>
          <w:rFonts w:hint="eastAsia" w:ascii="宋体" w:hAnsi="宋体" w:cs="宋体"/>
          <w:color w:val="000000" w:themeColor="text1"/>
          <w:szCs w:val="21"/>
          <w14:textFill>
            <w14:solidFill>
              <w14:schemeClr w14:val="tx1"/>
            </w14:solidFill>
          </w14:textFill>
        </w:rPr>
        <w:t xml:space="preserve">（签字或盖章）处签字的</w:t>
      </w:r>
      <w:r>
        <w:rPr>
          <w:rFonts w:hint="eastAsia" w:ascii="宋体" w:hAnsi="宋体" w:cs="宋体"/>
          <w:color w:val="000000" w:themeColor="text1"/>
          <w:szCs w:val="21"/>
          <w:u w:val="single"/>
          <w14:textFill>
            <w14:solidFill>
              <w14:schemeClr w14:val="tx1"/>
            </w14:solidFill>
          </w14:textFill>
        </w:rPr>
        <w:t xml:space="preserve">   （法定代表人</w:t>
      </w:r>
      <w:r>
        <w:rPr>
          <w:rFonts w:hint="eastAsia" w:ascii="宋体" w:hAnsi="宋体" w:cs="宋体"/>
          <w:color w:val="000000" w:themeColor="text1"/>
          <w:szCs w:val="21"/>
          <w:u w:val="single"/>
          <w:lang w:val="en-US" w:eastAsia="zh-CN"/>
          <w14:textFill>
            <w14:solidFill>
              <w14:schemeClr w14:val="tx1"/>
            </w14:solidFill>
          </w14:textFill>
        </w:rPr>
        <w:t xml:space="preserve">/单位负责人</w:t>
      </w:r>
      <w:r>
        <w:rPr>
          <w:rFonts w:hint="eastAsia" w:ascii="宋体" w:hAnsi="宋体" w:cs="宋体"/>
          <w:color w:val="000000" w:themeColor="text1"/>
          <w:szCs w:val="21"/>
          <w:u w:val="single"/>
          <w14:textFill>
            <w14:solidFill>
              <w14:schemeClr w14:val="tx1"/>
            </w14:solidFill>
          </w14:textFill>
        </w:rPr>
        <w:t xml:space="preserve">姓名、职务）   </w:t>
      </w:r>
      <w:r>
        <w:rPr>
          <w:rFonts w:hint="eastAsia" w:ascii="宋体" w:hAnsi="宋体" w:cs="宋体"/>
          <w:color w:val="000000" w:themeColor="text1"/>
          <w:szCs w:val="21"/>
          <w14:textFill>
            <w14:solidFill>
              <w14:schemeClr w14:val="tx1"/>
            </w14:solidFill>
          </w14:textFill>
        </w:rPr>
        <w:t xml:space="preserve">代表本单位授权 </w:t>
      </w:r>
      <w:r>
        <w:rPr>
          <w:rFonts w:hint="eastAsia" w:ascii="宋体" w:hAnsi="宋体" w:cs="宋体"/>
          <w:color w:val="000000" w:themeColor="text1"/>
          <w:szCs w:val="21"/>
          <w:u w:val="single"/>
          <w14:textFill>
            <w14:solidFill>
              <w14:schemeClr w14:val="tx1"/>
            </w14:solidFill>
          </w14:textFill>
        </w:rPr>
        <w:t xml:space="preserve">        （单位名称）      </w:t>
      </w:r>
      <w:r>
        <w:rPr>
          <w:rFonts w:hint="eastAsia" w:ascii="宋体" w:hAnsi="宋体" w:cs="宋体"/>
          <w:color w:val="000000" w:themeColor="text1"/>
          <w:szCs w:val="21"/>
          <w14:textFill>
            <w14:solidFill>
              <w14:schemeClr w14:val="tx1"/>
            </w14:solidFill>
          </w14:textFill>
        </w:rPr>
        <w:t xml:space="preserve">的在授权代表（签字）处签字的</w:t>
      </w:r>
      <w:r>
        <w:rPr>
          <w:rFonts w:hint="eastAsia" w:ascii="宋体" w:hAnsi="宋体" w:cs="宋体"/>
          <w:color w:val="000000" w:themeColor="text1"/>
          <w:szCs w:val="21"/>
          <w:u w:val="single"/>
          <w14:textFill>
            <w14:solidFill>
              <w14:schemeClr w14:val="tx1"/>
            </w14:solidFill>
          </w14:textFill>
        </w:rPr>
        <w:t xml:space="preserve">（授权代表的姓名、职务）（身份证号码：             ）</w:t>
      </w:r>
      <w:r>
        <w:rPr>
          <w:rFonts w:hint="eastAsia" w:ascii="宋体" w:hAnsi="宋体" w:cs="宋体"/>
          <w:color w:val="000000" w:themeColor="text1"/>
          <w:szCs w:val="21"/>
          <w14:textFill>
            <w14:solidFill>
              <w14:schemeClr w14:val="tx1"/>
            </w14:solidFill>
          </w14:textFill>
        </w:rPr>
        <w:t xml:space="preserve">为本单位的合法代理人，</w:t>
      </w:r>
      <w:r>
        <w:rPr>
          <w:rFonts w:hint="eastAsia" w:ascii="宋体" w:hAnsi="宋体" w:cs="宋体"/>
          <w:color w:val="000000" w:themeColor="text1"/>
          <w:szCs w:val="21"/>
          <w:lang w:val="en-US" w:eastAsia="zh-CN"/>
          <w14:textFill>
            <w14:solidFill>
              <w14:schemeClr w14:val="tx1"/>
            </w14:solidFill>
          </w14:textFill>
        </w:rPr>
        <w:t xml:space="preserve">签署</w:t>
      </w:r>
      <w:r>
        <w:rPr>
          <w:rFonts w:hint="eastAsia" w:ascii="宋体" w:hAnsi="宋体" w:cs="宋体"/>
          <w:color w:val="000000" w:themeColor="text1"/>
          <w:szCs w:val="21"/>
          <w:u w:val="single"/>
          <w14:textFill>
            <w14:solidFill>
              <w14:schemeClr w14:val="tx1"/>
            </w14:solidFill>
          </w14:textFill>
        </w:rPr>
        <w:t xml:space="preserve">南京鼓楼医院</w:t>
      </w:r>
      <w:r>
        <w:rPr>
          <w:rFonts w:hint="eastAsia" w:ascii="宋体" w:hAnsi="宋体" w:cs="宋体"/>
          <w:color w:val="000000" w:themeColor="text1"/>
          <w:szCs w:val="21"/>
          <w:u w:val="single"/>
          <w:lang w:eastAsia="zh-CN"/>
          <w14:textFill>
            <w14:solidFill>
              <w14:schemeClr w14:val="tx1"/>
            </w14:solidFill>
          </w14:textFill>
        </w:rPr>
        <w:t xml:space="preserve">医疗责任保险服务项目</w:t>
      </w:r>
      <w:r>
        <w:rPr>
          <w:rFonts w:hint="eastAsia" w:ascii="宋体" w:hAnsi="宋体" w:cs="宋体"/>
          <w:color w:val="000000" w:themeColor="text1"/>
          <w:szCs w:val="21"/>
          <w:u w:val="single"/>
          <w14:textFill>
            <w14:solidFill>
              <w14:schemeClr w14:val="tx1"/>
            </w14:solidFill>
          </w14:textFill>
        </w:rPr>
        <w:t xml:space="preserve">（项目名称）（项目编号：</w:t>
      </w:r>
      <w:r>
        <w:rPr>
          <w:rFonts w:hint="eastAsia" w:ascii="宋体" w:hAnsi="宋体" w:cs="宋体"/>
          <w:color w:val="000000" w:themeColor="text1"/>
          <w:szCs w:val="21"/>
          <w:u w:val="single"/>
          <w:lang w:eastAsia="zh-CN"/>
          <w14:textFill>
            <w14:solidFill>
              <w14:schemeClr w14:val="tx1"/>
            </w14:solidFill>
          </w14:textFill>
        </w:rPr>
        <w:t xml:space="preserve">JSZC-320100-JITC-G2025-0308</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联合体协议书</w:t>
      </w:r>
      <w:r>
        <w:rPr>
          <w:rFonts w:hint="eastAsia" w:ascii="宋体" w:hAnsi="宋体" w:cs="宋体"/>
          <w:color w:val="000000" w:themeColor="text1"/>
          <w:szCs w:val="21"/>
          <w14:textFill>
            <w14:solidFill>
              <w14:schemeClr w14:val="tx1"/>
            </w14:solidFill>
          </w14:textFill>
        </w:rPr>
        <w:t xml:space="preserve">，其后果由我单位承担。</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代理人无转委托权，特此委托。</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委托期限：自本授权委托书签署之日起至投标有效期届满之日止。</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联合体单位</w:t>
      </w:r>
      <w:r>
        <w:rPr>
          <w:rFonts w:hint="eastAsia" w:ascii="宋体" w:hAnsi="宋体" w:cs="宋体"/>
          <w:color w:val="000000" w:themeColor="text1"/>
          <w:szCs w:val="21"/>
          <w14:textFill>
            <w14:solidFill>
              <w14:schemeClr w14:val="tx1"/>
            </w14:solidFill>
          </w14:textFill>
        </w:rPr>
        <w:t xml:space="preserve">名称（公章）：  </w:t>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w:t>
      </w:r>
      <w:r>
        <w:rPr>
          <w:rFonts w:hint="eastAsia" w:ascii="宋体" w:hAnsi="宋体" w:cs="宋体"/>
          <w:color w:val="000000" w:themeColor="text1"/>
          <w:szCs w:val="21"/>
          <w:lang w:val="en-US" w:eastAsia="zh-CN"/>
          <w14:textFill>
            <w14:solidFill>
              <w14:schemeClr w14:val="tx1"/>
            </w14:solidFill>
          </w14:textFill>
        </w:rPr>
        <w:t xml:space="preserve">/单位负责人</w:t>
      </w:r>
      <w:r>
        <w:rPr>
          <w:rFonts w:hint="eastAsia" w:ascii="宋体" w:hAnsi="宋体" w:cs="宋体"/>
          <w:color w:val="000000" w:themeColor="text1"/>
          <w:szCs w:val="21"/>
          <w14:textFill>
            <w14:solidFill>
              <w14:schemeClr w14:val="tx1"/>
            </w14:solidFill>
          </w14:textFill>
        </w:rPr>
        <w:t xml:space="preserve">（签字或盖章）： </w:t>
      </w:r>
      <w:r/>
    </w:p>
    <w:p>
      <w:pPr>
        <w:pStyle w:val="895"/>
        <w:ind w:firstLine="42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  </w:t>
      </w:r>
      <w:r/>
    </w:p>
    <w:p>
      <w:pPr>
        <w:ind w:firstLine="42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授权代表（签字）：</w:t>
      </w:r>
      <w:r/>
    </w:p>
    <w:p>
      <w:pPr>
        <w:pStyle w:val="895"/>
        <w:ind w:firstLine="420"/>
        <w:spacing w:after="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身份证号码：</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附：法定代表人</w:t>
      </w:r>
      <w:r>
        <w:rPr>
          <w:rFonts w:hint="eastAsia" w:ascii="宋体" w:hAnsi="宋体" w:cs="宋体"/>
          <w:color w:val="000000" w:themeColor="text1"/>
          <w:szCs w:val="21"/>
          <w:lang w:val="en-US" w:eastAsia="zh-CN"/>
          <w14:textFill>
            <w14:solidFill>
              <w14:schemeClr w14:val="tx1"/>
            </w14:solidFill>
          </w14:textFill>
        </w:rPr>
        <w:t xml:space="preserve">/单位负责人</w:t>
      </w:r>
      <w:r>
        <w:rPr>
          <w:rFonts w:hint="eastAsia" w:ascii="宋体" w:hAnsi="宋体" w:cs="宋体"/>
          <w:color w:val="000000" w:themeColor="text1"/>
          <w:szCs w:val="21"/>
          <w14:textFill>
            <w14:solidFill>
              <w14:schemeClr w14:val="tx1"/>
            </w14:solidFill>
          </w14:textFill>
        </w:rPr>
        <w:t xml:space="preserve">有效期内的</w:t>
      </w:r>
      <w:r>
        <w:rPr>
          <w:rFonts w:hint="eastAsia" w:ascii="宋体" w:hAnsi="宋体" w:cs="宋体"/>
          <w:color w:val="000000" w:themeColor="text1"/>
          <w14:textFill>
            <w14:solidFill>
              <w14:schemeClr w14:val="tx1"/>
            </w14:solidFill>
          </w14:textFill>
        </w:rPr>
        <w:t xml:space="preserve">身份证复印件（正反面）</w:t>
      </w:r>
      <w:r/>
    </w:p>
    <w:tbl>
      <w:tblPr>
        <w:tblStyle w:val="86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74"/>
              <w:jc w:val="center"/>
              <w:spacing w:line="360" w:lineRule="auto"/>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val="false"/>
          </w:tcPr>
          <w:p>
            <w:pPr>
              <w:ind w:firstLine="354"/>
              <w:jc w:val="left"/>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77" w:type="dxa"/>
            <w:vAlign w:val="center"/>
            <w:textDirection w:val="lrTb"/>
            <w:noWrap w:val="false"/>
          </w:tcPr>
          <w:p>
            <w:pPr>
              <w:jc w:val="center"/>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授权代表有效期内的身份证复印件</w:t>
      </w:r>
      <w:r>
        <w:rPr>
          <w:rFonts w:hint="eastAsia" w:ascii="宋体" w:hAnsi="宋体" w:cs="宋体"/>
          <w:color w:val="000000" w:themeColor="text1"/>
          <w14:textFill>
            <w14:solidFill>
              <w14:schemeClr w14:val="tx1"/>
            </w14:solidFill>
          </w14:textFill>
        </w:rPr>
        <w:t xml:space="preserve">（正反面）</w:t>
      </w:r>
      <w:r/>
    </w:p>
    <w:tbl>
      <w:tblPr>
        <w:tblStyle w:val="86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74"/>
              <w:jc w:val="center"/>
              <w:spacing w:line="360" w:lineRule="auto"/>
              <w:rPr>
                <w:rFonts w:hint="eastAsia" w:ascii="宋体" w:hAnsi="宋体" w:cs="宋体"/>
                <w:i/>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val="false"/>
          </w:tcPr>
          <w:p>
            <w:pPr>
              <w:ind w:firstLine="354"/>
              <w:jc w:val="left"/>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color w:val="000000" w:themeColor="text1"/>
                <w:sz w:val="20"/>
                <w14:textFill>
                  <w14:solidFill>
                    <w14:schemeClr w14:val="tx1"/>
                  </w14:solidFill>
                </w14:textFill>
              </w:rPr>
            </w:r>
            <w:r/>
          </w:p>
        </w:tc>
        <w:tc>
          <w:tcPr>
            <w:tcW w:w="4695" w:type="dxa"/>
            <w:vAlign w:val="center"/>
            <w:textDirection w:val="lrTb"/>
            <w:noWrap w:val="false"/>
          </w:tcPr>
          <w:p>
            <w:pPr>
              <w:jc w:val="center"/>
              <w:spacing w:line="360" w:lineRule="auto"/>
              <w:widowControl/>
              <w:rPr>
                <w:rFonts w:hint="eastAsia" w:ascii="宋体" w:hAnsi="宋体" w:cs="宋体"/>
                <w:color w:val="000000" w:themeColor="text1"/>
                <w:sz w:val="20"/>
                <w14:textFill>
                  <w14:solidFill>
                    <w14:schemeClr w14:val="tx1"/>
                  </w14:solidFill>
                </w14:textFill>
              </w:rPr>
            </w:pPr>
            <w:r>
              <w:rPr>
                <w:rFonts w:hint="eastAsia" w:ascii="宋体" w:hAnsi="宋体" w:cs="宋体"/>
                <w:i/>
                <w:color w:val="000000" w:themeColor="text1"/>
                <w:sz w:val="24"/>
                <w14:textFill>
                  <w14:solidFill>
                    <w14:schemeClr w14:val="tx1"/>
                  </w14:solidFill>
                </w14:textFill>
              </w:rPr>
              <w:t xml:space="preserve">身份证反面</w:t>
            </w:r>
            <w:r/>
          </w:p>
        </w:tc>
      </w:tr>
    </w:tbl>
    <w:p>
      <w:pPr>
        <w:pStyle w:val="895"/>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 若供应商为分公司或分支机构等无法定代表人的机构（仅当招标文件注明允许分公司或分支机构等投标时），则本</w:t>
      </w:r>
      <w:r>
        <w:rPr>
          <w:rFonts w:hint="eastAsia" w:ascii="宋体" w:hAnsi="宋体" w:cs="宋体"/>
          <w:b/>
          <w:bCs/>
          <w:color w:val="000000" w:themeColor="text1"/>
          <w:szCs w:val="21"/>
          <w:lang w:val="en-US" w:eastAsia="zh-CN"/>
          <w14:textFill>
            <w14:solidFill>
              <w14:schemeClr w14:val="tx1"/>
            </w14:solidFill>
          </w14:textFill>
        </w:rPr>
        <w:t xml:space="preserve">项</w:t>
      </w:r>
      <w:r>
        <w:rPr>
          <w:rFonts w:hint="eastAsia" w:ascii="宋体" w:hAnsi="宋体" w:cs="宋体"/>
          <w:b/>
          <w:bCs/>
          <w:color w:val="000000" w:themeColor="text1"/>
          <w:szCs w:val="21"/>
          <w14:textFill>
            <w14:solidFill>
              <w14:schemeClr w14:val="tx1"/>
            </w14:solidFill>
          </w14:textFill>
        </w:rPr>
        <w:t xml:space="preserve">签署人可为单位负责人。</w:t>
      </w:r>
      <w:r/>
    </w:p>
    <w:p>
      <w:pPr>
        <w:pStyle w:val="895"/>
        <w:ind w:firstLine="373"/>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r>
      <w:r/>
    </w:p>
    <w:p>
      <w:pP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br w:type="page" w:clear="all"/>
      </w:r>
      <w:bookmarkEnd w:id="371"/>
      <w:r/>
      <w:bookmarkStart w:id="372" w:name="_Toc107246293"/>
      <w:r/>
      <w:bookmarkStart w:id="373" w:name="_Toc104560912"/>
      <w:r/>
      <w:r/>
    </w:p>
    <w:p>
      <w:pPr>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pStyle w:val="897"/>
        <w:ind w:firstLine="426"/>
        <w:spacing w:line="360" w:lineRule="auto"/>
        <w:rPr>
          <w:rFonts w:hint="eastAsia" w:ascii="宋体" w:hAnsi="宋体" w:cs="宋体"/>
          <w:bCs w:val="0"/>
          <w:sz w:val="24"/>
          <w:szCs w:val="24"/>
        </w:rPr>
      </w:pP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10</w:t>
      </w:r>
      <w:r>
        <w:rPr>
          <w:rFonts w:hint="eastAsia" w:ascii="宋体" w:hAnsi="宋体" w:cs="宋体"/>
          <w:bCs w:val="0"/>
          <w:sz w:val="24"/>
          <w:szCs w:val="24"/>
        </w:rPr>
        <w:t xml:space="preserve">） 其他资格要求</w:t>
      </w:r>
      <w:r/>
    </w:p>
    <w:p>
      <w:pPr>
        <w:ind w:firstLine="420"/>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供应商（或联合体各方）应为在中华人民共和国境内注册、经国家保险监督管理机构批准设立且持有《中华人民共和国经营保险业务许可证》的保险公司或其分支机构（提供证书复印件，联合体投标的，联合体各方均应提供上述证书复印件）。</w:t>
      </w:r>
      <w:r>
        <w:rPr>
          <w:rFonts w:hint="eastAsia" w:ascii="宋体" w:hAnsi="宋体" w:cs="宋体"/>
          <w:color w:val="000000" w:themeColor="text1"/>
          <w:highlight w:val="none"/>
          <w:lang w:val="en-US" w:eastAsia="zh-CN"/>
          <w14:textFill>
            <w14:solidFill>
              <w14:schemeClr w14:val="tx1"/>
            </w14:solidFill>
          </w14:textFill>
        </w:rPr>
        <w:br w:type="page" w:clear="all"/>
      </w:r>
      <w:r/>
    </w:p>
    <w:p>
      <w:pPr>
        <w:ind w:firstLine="372"/>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r>
      <w:r/>
    </w:p>
    <w:p>
      <w:pPr>
        <w:pStyle w:val="897"/>
        <w:ind w:firstLine="426"/>
        <w:jc w:val="left"/>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7</w:t>
      </w:r>
      <w:r>
        <w:rPr>
          <w:rFonts w:hint="eastAsia" w:ascii="宋体" w:hAnsi="宋体" w:cs="宋体"/>
          <w:bCs w:val="0"/>
          <w:color w:val="000000" w:themeColor="text1"/>
          <w:sz w:val="24"/>
          <w:szCs w:val="24"/>
          <w14:textFill>
            <w14:solidFill>
              <w14:schemeClr w14:val="tx1"/>
            </w14:solidFill>
          </w14:textFill>
        </w:rPr>
        <w:t xml:space="preserve">）《南京市政府采购供应商信用记录表暨信用承诺书》</w:t>
      </w:r>
      <w:r/>
    </w:p>
    <w:p>
      <w:pPr>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70"/>
        <w:ind w:left="1240"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南京市政府采购供应商信用记录表</w:t>
      </w:r>
      <w:r/>
    </w:p>
    <w:p>
      <w:pPr>
        <w:ind w:firstLine="779"/>
        <w:jc w:val="center"/>
        <w:spacing w:line="360" w:lineRule="auto"/>
        <w:rPr>
          <w:rFonts w:hint="eastAsia" w:ascii="宋体" w:hAnsi="宋体" w:cs="宋体"/>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暨信用承诺书（格式）</w:t>
      </w:r>
      <w:r/>
    </w:p>
    <w:p>
      <w:pPr>
        <w:ind w:firstLine="372"/>
        <w:jc w:val="righ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年  月   日</w:t>
      </w:r>
      <w:r/>
    </w:p>
    <w:tbl>
      <w:tblPr>
        <w:tblStyle w:val="867"/>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单位名称</w:t>
            </w:r>
            <w:r/>
          </w:p>
        </w:tc>
        <w:tc>
          <w:tcPr>
            <w:tcW w:w="3402"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统一社会信用代码</w:t>
            </w:r>
            <w:r/>
          </w:p>
        </w:tc>
        <w:tc>
          <w:tcPr>
            <w:tcW w:w="1937"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w:t>
            </w:r>
            <w:r/>
          </w:p>
        </w:tc>
        <w:tc>
          <w:tcPr>
            <w:tcW w:w="3402"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联系人</w:t>
            </w:r>
            <w:r/>
          </w:p>
        </w:tc>
        <w:tc>
          <w:tcPr>
            <w:tcW w:w="1937"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联系地址 </w:t>
            </w:r>
            <w:r/>
          </w:p>
        </w:tc>
        <w:tc>
          <w:tcPr>
            <w:tcW w:w="3402"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联系电话</w:t>
            </w:r>
            <w:r/>
          </w:p>
        </w:tc>
        <w:tc>
          <w:tcPr>
            <w:tcW w:w="1937"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r>
      <w:tr>
        <w:trPr>
          <w:trHeight w:val="20"/>
        </w:trPr>
        <w:tc>
          <w:tcPr>
            <w:tcW w:w="1668"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信用得分</w:t>
            </w:r>
            <w:r/>
          </w:p>
        </w:tc>
        <w:tc>
          <w:tcPr>
            <w:tcW w:w="3402"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星级</w:t>
            </w:r>
            <w:r/>
          </w:p>
        </w:tc>
        <w:tc>
          <w:tcPr>
            <w:tcW w:w="1937"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r>
      <w:tr>
        <w:trPr>
          <w:trHeight w:val="1024"/>
        </w:trPr>
        <w:tc>
          <w:tcPr>
            <w:tcW w:w="1668"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诚信档案记录情况</w:t>
            </w:r>
            <w:r/>
          </w:p>
        </w:tc>
        <w:tc>
          <w:tcPr>
            <w:gridSpan w:val="3"/>
            <w:tcW w:w="7323" w:type="dxa"/>
            <w:textDirection w:val="lrTb"/>
            <w:noWrap w:val="false"/>
          </w:tcPr>
          <w:p>
            <w:pPr>
              <w:ind w:firstLine="373"/>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tc>
      </w:tr>
      <w:tr>
        <w:trPr>
          <w:trHeight w:val="5318"/>
        </w:trPr>
        <w:tc>
          <w:tcPr>
            <w:tcW w:w="1668" w:type="dxa"/>
            <w:textDirection w:val="lrTb"/>
            <w:noWrap w:val="false"/>
          </w:tcPr>
          <w:p>
            <w:pPr>
              <w:ind w:firstLine="372"/>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信用承诺</w:t>
            </w:r>
            <w:r/>
          </w:p>
        </w:tc>
        <w:tc>
          <w:tcPr>
            <w:gridSpan w:val="3"/>
            <w:tcW w:w="7323" w:type="dxa"/>
            <w:textDirection w:val="lrTb"/>
            <w:noWrap w:val="false"/>
          </w:tcPr>
          <w:p>
            <w:pPr>
              <w:ind w:firstLine="420"/>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14:textFill>
                  <w14:solidFill>
                    <w14:schemeClr w14:val="tx1"/>
                  </w14:solidFill>
                </w14:textFill>
              </w:rPr>
              <w:t xml:space="preserve">政府采购法</w:t>
            </w:r>
            <w:r>
              <w:rPr>
                <w:rFonts w:hint="eastAsia" w:ascii="宋体" w:hAnsi="宋体" w:cs="宋体"/>
                <w:bCs/>
                <w:color w:val="000000" w:themeColor="text1"/>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供应商名称（盖章）：</w:t>
            </w:r>
            <w:r/>
          </w:p>
          <w:p>
            <w:pPr>
              <w:ind w:firstLine="372"/>
              <w:jc w:val="righ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法定代表人（签字）：</w:t>
            </w:r>
            <w:r/>
          </w:p>
          <w:p>
            <w:pPr>
              <w:ind w:firstLine="372"/>
              <w:jc w:val="righ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70"/>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End w:id="368"/>
      <w:r/>
      <w:bookmarkEnd w:id="372"/>
      <w:r/>
      <w:bookmarkEnd w:id="373"/>
      <w:r/>
      <w:r/>
    </w:p>
    <w:p>
      <w:pPr>
        <w:pStyle w:val="897"/>
        <w:ind w:firstLine="426"/>
        <w:spacing w:line="360" w:lineRule="auto"/>
        <w:rPr>
          <w:rFonts w:hint="eastAsia" w:ascii="宋体" w:hAnsi="宋体" w:cs="宋体"/>
          <w:b w:val="0"/>
          <w:color w:val="000000" w:themeColor="text1"/>
          <w:sz w:val="24"/>
          <w:szCs w:val="24"/>
          <w14:textFill>
            <w14:solidFill>
              <w14:schemeClr w14:val="tx1"/>
            </w14:solidFill>
          </w14:textFill>
        </w:rPr>
      </w:pPr>
      <w:r/>
      <w:bookmarkStart w:id="374" w:name="_Toc104560915"/>
      <w:r/>
      <w:bookmarkStart w:id="375" w:name="_Toc107246296"/>
      <w:r/>
      <w:bookmarkStart w:id="376" w:name="_Toc103848598"/>
      <w:r/>
      <w:bookmarkStart w:id="377" w:name="_Toc102117330"/>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）公章授权书（如需）</w:t>
      </w:r>
      <w:bookmarkEnd w:id="374"/>
      <w:r/>
      <w:bookmarkEnd w:id="375"/>
      <w:r/>
      <w:bookmarkEnd w:id="376"/>
      <w:r/>
      <w:bookmarkEnd w:id="377"/>
      <w:r/>
      <w:r/>
    </w:p>
    <w:p>
      <w:pPr>
        <w:pStyle w:val="1104"/>
        <w:ind w:firstLine="0"/>
        <w:spacing w:line="360" w:lineRule="auto"/>
        <w:rPr>
          <w:rFonts w:hint="eastAsia" w:hAnsi="宋体" w:cs="宋体"/>
          <w:b/>
          <w:color w:val="000000" w:themeColor="text1"/>
          <w:sz w:val="21"/>
          <w:szCs w:val="21"/>
          <w14:textFill>
            <w14:solidFill>
              <w14:schemeClr w14:val="tx1"/>
            </w14:solidFill>
          </w14:textFill>
        </w:rPr>
      </w:pPr>
      <w:r>
        <w:rPr>
          <w:rFonts w:hint="eastAsia" w:hAnsi="宋体" w:cs="宋体"/>
          <w:b/>
          <w:color w:val="000000" w:themeColor="text1"/>
          <w:sz w:val="21"/>
          <w:szCs w:val="21"/>
          <w14:textFill>
            <w14:solidFill>
              <w14:schemeClr w14:val="tx1"/>
            </w14:solidFill>
          </w14:textFill>
        </w:rPr>
      </w:r>
      <w:r/>
    </w:p>
    <w:p>
      <w:pPr>
        <w:pStyle w:val="1104"/>
        <w:ind w:firstLine="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______________________（采购人）</w:t>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______</w:t>
      </w:r>
      <w:r>
        <w:rPr>
          <w:rFonts w:hint="eastAsia" w:hAnsi="宋体" w:cs="宋体"/>
          <w:color w:val="000000" w:themeColor="text1"/>
          <w:sz w:val="21"/>
          <w:szCs w:val="21"/>
          <w:u w:val="single"/>
          <w14:textFill>
            <w14:solidFill>
              <w14:schemeClr w14:val="tx1"/>
            </w14:solidFill>
          </w14:textFill>
        </w:rPr>
        <w:t xml:space="preserve">(投标人名称)</w:t>
      </w:r>
      <w:r>
        <w:rPr>
          <w:rFonts w:hint="eastAsia" w:hAnsi="宋体" w:cs="宋体"/>
          <w:color w:val="000000" w:themeColor="text1"/>
          <w:sz w:val="21"/>
          <w:szCs w:val="21"/>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u w:val="single"/>
          <w14:textFill>
            <w14:solidFill>
              <w14:schemeClr w14:val="tx1"/>
            </w14:solidFill>
          </w14:textFill>
        </w:rPr>
        <w:t xml:space="preserve">南京鼓楼医院</w:t>
      </w:r>
      <w:r>
        <w:rPr>
          <w:rFonts w:hint="eastAsia" w:hAnsi="宋体" w:cs="宋体"/>
          <w:color w:val="000000" w:themeColor="text1"/>
          <w:sz w:val="21"/>
          <w:szCs w:val="21"/>
          <w:u w:val="single"/>
          <w:lang w:eastAsia="zh-CN"/>
          <w14:textFill>
            <w14:solidFill>
              <w14:schemeClr w14:val="tx1"/>
            </w14:solidFill>
          </w14:textFill>
        </w:rPr>
        <w:t xml:space="preserve">医疗责任保险服务项目</w:t>
      </w:r>
      <w:r>
        <w:rPr>
          <w:rFonts w:hint="eastAsia" w:hAnsi="宋体" w:cs="宋体"/>
          <w:color w:val="000000" w:themeColor="text1"/>
          <w:sz w:val="21"/>
          <w:szCs w:val="21"/>
          <w:u w:val="single"/>
          <w14:textFill>
            <w14:solidFill>
              <w14:schemeClr w14:val="tx1"/>
            </w14:solidFill>
          </w14:textFill>
        </w:rPr>
        <w:t xml:space="preserve">（项目名称）（项目编号：</w:t>
      </w:r>
      <w:r>
        <w:rPr>
          <w:rFonts w:hint="eastAsia" w:hAnsi="宋体" w:cs="宋体"/>
          <w:color w:val="000000" w:themeColor="text1"/>
          <w:sz w:val="21"/>
          <w:szCs w:val="21"/>
          <w:u w:val="single"/>
          <w:lang w:eastAsia="zh-CN"/>
          <w14:textFill>
            <w14:solidFill>
              <w14:schemeClr w14:val="tx1"/>
            </w14:solidFill>
          </w14:textFill>
        </w:rPr>
        <w:t xml:space="preserve">JSZC-320100-JITC-G2025-0308</w:t>
      </w:r>
      <w:r>
        <w:rPr>
          <w:rFonts w:hint="eastAsia" w:hAnsi="宋体" w:cs="宋体"/>
          <w:color w:val="000000" w:themeColor="text1"/>
          <w:sz w:val="21"/>
          <w:szCs w:val="21"/>
          <w:u w:val="single"/>
          <w14:textFill>
            <w14:solidFill>
              <w14:schemeClr w14:val="tx1"/>
            </w14:solidFill>
          </w14:textFill>
        </w:rPr>
        <w:t xml:space="preserve">）</w:t>
      </w:r>
      <w:r>
        <w:rPr>
          <w:rFonts w:hint="eastAsia" w:hAnsi="宋体" w:cs="宋体"/>
          <w:color w:val="000000" w:themeColor="text1"/>
          <w:sz w:val="21"/>
          <w:szCs w:val="21"/>
          <w14:textFill>
            <w14:solidFill>
              <w14:schemeClr w14:val="tx1"/>
            </w14:solidFill>
          </w14:textFill>
        </w:rPr>
        <w:t xml:space="preserve">协商活动中，我单位授权</w:t>
      </w:r>
      <w:r>
        <w:rPr>
          <w:rFonts w:hint="eastAsia" w:hAnsi="宋体" w:cs="宋体"/>
          <w:color w:val="000000" w:themeColor="text1"/>
          <w:sz w:val="21"/>
          <w:szCs w:val="21"/>
          <w:u w:val="single"/>
          <w14:textFill>
            <w14:solidFill>
              <w14:schemeClr w14:val="tx1"/>
            </w14:solidFill>
          </w14:textFill>
        </w:rPr>
        <w:t xml:space="preserve">（其他形式的印章名称）     </w:t>
      </w:r>
      <w:r>
        <w:rPr>
          <w:rFonts w:hint="eastAsia" w:hAnsi="宋体" w:cs="宋体"/>
          <w:color w:val="000000" w:themeColor="text1"/>
          <w:sz w:val="21"/>
          <w:szCs w:val="21"/>
          <w14:textFill>
            <w14:solidFill>
              <w14:schemeClr w14:val="tx1"/>
            </w14:solidFill>
          </w14:textFill>
        </w:rPr>
        <w:t xml:space="preserve">（样式附后）在此次活动中代为公章使用。</w:t>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u w:val="single"/>
          <w14:textFill>
            <w14:solidFill>
              <w14:schemeClr w14:val="tx1"/>
            </w14:solidFill>
          </w14:textFill>
        </w:rPr>
        <w:t xml:space="preserve">（其他形式的印章名称）   </w:t>
      </w:r>
      <w:r>
        <w:rPr>
          <w:rFonts w:hint="eastAsia" w:hAnsi="宋体" w:cs="宋体"/>
          <w:color w:val="000000" w:themeColor="text1"/>
          <w:sz w:val="21"/>
          <w:szCs w:val="21"/>
          <w14:textFill>
            <w14:solidFill>
              <w14:schemeClr w14:val="tx1"/>
            </w14:solidFill>
          </w14:textFill>
        </w:rPr>
        <w:t xml:space="preserve">所签署的投标文件、澄清等，我单位承认并同意具备与我单位公章签署等同的法律效力。</w:t>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u w:val="single"/>
          <w14:textFill>
            <w14:solidFill>
              <w14:schemeClr w14:val="tx1"/>
            </w14:solidFill>
          </w14:textFill>
        </w:rPr>
        <w:t xml:space="preserve">（其他形式的印章名称）     </w:t>
      </w:r>
      <w:r>
        <w:rPr>
          <w:rFonts w:hint="eastAsia" w:hAnsi="宋体" w:cs="宋体"/>
          <w:color w:val="000000" w:themeColor="text1"/>
          <w:sz w:val="21"/>
          <w:szCs w:val="21"/>
          <w14:textFill>
            <w14:solidFill>
              <w14:schemeClr w14:val="tx1"/>
            </w14:solidFill>
          </w14:textFill>
        </w:rPr>
        <w:t xml:space="preserve">签署的所有文件、协议不因授权的撤销而失效。</w:t>
      </w:r>
      <w:r/>
    </w:p>
    <w:p>
      <w:pPr>
        <w:pStyle w:val="1104"/>
        <w:ind w:right="840" w:firstLine="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04"/>
        <w:ind w:right="840" w:firstLine="199"/>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其他形式的印章名称：______________</w:t>
      </w:r>
      <w:r/>
    </w:p>
    <w:p>
      <w:pPr>
        <w:pStyle w:val="1104"/>
        <w:ind w:right="420" w:firstLine="190"/>
        <w:spacing w:line="360" w:lineRule="auto"/>
        <w:rPr>
          <w:rFonts w:hint="eastAsia" w:hAnsi="宋体" w:cs="宋体"/>
          <w:color w:val="000000" w:themeColor="text1"/>
          <w:sz w:val="21"/>
          <w:szCs w:val="21"/>
          <w14:textFill>
            <w14:solidFill>
              <w14:schemeClr w14:val="tx1"/>
            </w14:solidFill>
          </w14:textFill>
        </w:rPr>
      </w:pPr>
      <w:r>
        <w:rPr>
          <w:rFonts w:hAnsi="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txbxContent>
                </v:textbox>
              </v:shape>
            </w:pict>
          </mc:Fallback>
        </mc:AlternateContent>
      </w:r>
      <w:r>
        <w:rPr>
          <w:rFonts w:hint="eastAsia" w:hAnsi="宋体" w:cs="宋体"/>
          <w:color w:val="000000" w:themeColor="text1"/>
          <w:sz w:val="21"/>
          <w:szCs w:val="21"/>
          <w14:textFill>
            <w14:solidFill>
              <w14:schemeClr w14:val="tx1"/>
            </w14:solidFill>
          </w14:textFill>
        </w:rPr>
        <w:t xml:space="preserve">印章样式：</w:t>
      </w:r>
      <w:r/>
    </w:p>
    <w:p>
      <w:pPr>
        <w:pStyle w:val="1104"/>
        <w:ind w:right="420" w:firstLine="4819"/>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04"/>
        <w:ind w:right="420" w:firstLine="3150"/>
        <w:jc w:val="left"/>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04"/>
        <w:ind w:right="420" w:firstLine="0"/>
        <w:jc w:val="left"/>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04"/>
        <w:ind w:right="420" w:firstLine="0"/>
        <w:jc w:val="left"/>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04"/>
        <w:ind w:right="420" w:firstLine="3150"/>
        <w:jc w:val="left"/>
        <w:spacing w:line="360" w:lineRule="auto"/>
        <w:rPr>
          <w:rFonts w:hint="eastAsia" w:hAnsi="宋体" w:cs="宋体"/>
          <w:color w:val="000000" w:themeColor="text1"/>
          <w:sz w:val="21"/>
          <w:szCs w:val="21"/>
          <w:u w:val="single"/>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投标人名称（公章）：</w:t>
      </w:r>
      <w:r/>
    </w:p>
    <w:p>
      <w:pPr>
        <w:pStyle w:val="1104"/>
        <w:ind w:right="420" w:firstLine="3150"/>
        <w:jc w:val="left"/>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ind w:firstLine="3158"/>
        <w:jc w:val="left"/>
        <w:spacing w:line="360" w:lineRule="auto"/>
        <w:rPr>
          <w:rFonts w:hint="eastAsia" w:ascii="宋体" w:hAnsi="宋体" w:cs="宋体"/>
          <w:bCs/>
          <w:color w:val="000000" w:themeColor="text1"/>
          <w14:textFill>
            <w14:solidFill>
              <w14:schemeClr w14:val="tx1"/>
            </w14:solidFill>
          </w14:textFill>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14:textFill>
            <w14:solidFill>
              <w14:schemeClr w14:val="tx1"/>
            </w14:solidFill>
          </w14:textFill>
        </w:rPr>
        <w:t xml:space="preserve">日期：______年______月______日</w:t>
      </w:r>
      <w:r/>
    </w:p>
    <w:p>
      <w:pPr>
        <w:pStyle w:val="897"/>
        <w:ind w:left="601" w:firstLine="498"/>
        <w:spacing w:before="0" w:line="360" w:lineRule="auto"/>
        <w:rPr>
          <w:rFonts w:hint="eastAsia" w:ascii="宋体" w:hAnsi="宋体" w:cs="宋体"/>
          <w:color w:val="000000" w:themeColor="text1"/>
          <w:sz w:val="28"/>
          <w:szCs w:val="24"/>
          <w14:textFill>
            <w14:solidFill>
              <w14:schemeClr w14:val="tx1"/>
            </w14:solidFill>
          </w14:textFill>
        </w:rPr>
      </w:pPr>
      <w:r/>
      <w:bookmarkStart w:id="378" w:name="_Toc104560916"/>
      <w:r/>
      <w:bookmarkStart w:id="379" w:name="_Toc103848599"/>
      <w:r/>
      <w:bookmarkStart w:id="380" w:name="_Toc107246299"/>
      <w:r>
        <w:rPr>
          <w:rFonts w:ascii="宋体" w:hAnsi="宋体" w:cs="宋体"/>
          <w:color w:val="000000" w:themeColor="text1"/>
          <w:sz w:val="28"/>
          <w:szCs w:val="24"/>
          <w14:textFill>
            <w14:solidFill>
              <w14:schemeClr w14:val="tx1"/>
            </w14:solidFill>
          </w14:textFill>
        </w:rPr>
        <w:t xml:space="preserve">二、</w:t>
      </w:r>
      <w:r>
        <w:rPr>
          <w:rFonts w:hint="eastAsia" w:ascii="宋体" w:hAnsi="宋体" w:cs="宋体"/>
          <w:color w:val="000000" w:themeColor="text1"/>
          <w:sz w:val="28"/>
          <w:szCs w:val="24"/>
          <w14:textFill>
            <w14:solidFill>
              <w14:schemeClr w14:val="tx1"/>
            </w14:solidFill>
          </w14:textFill>
        </w:rPr>
        <w:t xml:space="preserve">技术部分</w:t>
      </w:r>
      <w:bookmarkEnd w:id="378"/>
      <w:r/>
      <w:bookmarkEnd w:id="379"/>
      <w:r/>
      <w:bookmarkEnd w:id="380"/>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bookmarkStart w:id="381" w:name="_Toc107246301"/>
      <w:r/>
      <w:bookmarkStart w:id="382" w:name="_Toc104560918"/>
      <w:r/>
      <w:bookmarkStart w:id="383" w:name="_Toc103848601"/>
      <w:r>
        <w:rPr>
          <w:rFonts w:hint="eastAsia" w:ascii="宋体" w:hAnsi="宋体" w:cs="宋体"/>
          <w:bCs w:val="0"/>
          <w:color w:val="000000" w:themeColor="text1"/>
          <w:sz w:val="24"/>
          <w:szCs w:val="24"/>
          <w14:textFill>
            <w14:solidFill>
              <w14:schemeClr w14:val="tx1"/>
            </w14:solidFill>
          </w14:textFill>
        </w:rPr>
        <w:t xml:space="preserve">（1）技术条款偏离表</w:t>
      </w:r>
      <w:bookmarkEnd w:id="381"/>
      <w:r/>
      <w:bookmarkEnd w:id="382"/>
      <w:r/>
      <w:bookmarkEnd w:id="383"/>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项目名称：南京鼓楼医院</w:t>
      </w:r>
      <w:r>
        <w:rPr>
          <w:rFonts w:hint="eastAsia" w:hAnsi="宋体" w:cs="宋体"/>
          <w:color w:val="000000" w:themeColor="text1"/>
          <w:sz w:val="21"/>
          <w:szCs w:val="21"/>
          <w:lang w:eastAsia="zh-CN"/>
          <w14:textFill>
            <w14:solidFill>
              <w14:schemeClr w14:val="tx1"/>
            </w14:solidFill>
          </w14:textFill>
        </w:rPr>
        <w:t xml:space="preserve">医疗责任保险服务项目</w:t>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p>
    <w:p>
      <w:pPr>
        <w:pStyle w:val="1104"/>
        <w:ind w:firstLine="420"/>
        <w:spacing w:line="360" w:lineRule="auto"/>
        <w:rPr>
          <w:rFonts w:hint="eastAsia" w:hAnsi="宋体" w:eastAsia="宋体" w:cs="宋体"/>
          <w:color w:val="000000" w:themeColor="text1"/>
          <w:sz w:val="21"/>
          <w:szCs w:val="21"/>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项目编号：</w:t>
      </w:r>
      <w:r>
        <w:rPr>
          <w:rFonts w:hint="eastAsia" w:hAnsi="宋体" w:cs="宋体"/>
          <w:color w:val="000000" w:themeColor="text1"/>
          <w:sz w:val="21"/>
          <w:szCs w:val="21"/>
          <w:lang w:eastAsia="zh-CN"/>
          <w14:textFill>
            <w14:solidFill>
              <w14:schemeClr w14:val="tx1"/>
            </w14:solidFill>
          </w14:textFill>
        </w:rPr>
        <w:t xml:space="preserve">JSZC-320100-JITC-G2025-0308</w:t>
      </w:r>
      <w:r/>
    </w:p>
    <w:tbl>
      <w:tblPr>
        <w:tblStyle w:val="8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序号</w:t>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招标文件的商务条款</w:t>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是否偏离</w:t>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投标文件响应页码</w:t>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备注</w:t>
            </w:r>
            <w:r/>
          </w:p>
        </w:tc>
      </w:tr>
      <w:tr>
        <w:trPr>
          <w:jc w:val="center"/>
          <w:trHeight w:val="570"/>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81"/>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90"/>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714"/>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682"/>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Height w:val="707"/>
        </w:trPr>
        <w:tc>
          <w:tcPr>
            <w:tcW w:w="491"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71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854" w:type="pct"/>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342"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600" w:type="pct"/>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bl>
    <w:p>
      <w:pPr>
        <w:pStyle w:val="895"/>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895"/>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注：</w:t>
      </w:r>
      <w:r/>
    </w:p>
    <w:p>
      <w:pPr>
        <w:pStyle w:val="895"/>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 投标人须根据招标文件商务条款要求填写此表，作为投标文件的组成部分。</w:t>
      </w:r>
      <w:r/>
    </w:p>
    <w:p>
      <w:pPr>
        <w:pStyle w:val="895"/>
        <w:ind w:firstLine="373"/>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 所有偏离必须在本表中</w:t>
      </w:r>
      <w:r>
        <w:rPr>
          <w:rFonts w:hint="eastAsia" w:ascii="宋体" w:hAnsi="宋体" w:cs="宋体"/>
          <w:b/>
          <w:bCs/>
          <w:color w:val="000000" w:themeColor="text1"/>
          <w:lang w:val="en-US" w:eastAsia="zh-CN"/>
          <w14:textFill>
            <w14:solidFill>
              <w14:schemeClr w14:val="tx1"/>
            </w14:solidFill>
          </w14:textFill>
        </w:rPr>
        <w:t xml:space="preserve">逐条</w:t>
      </w:r>
      <w:r>
        <w:rPr>
          <w:rFonts w:hint="eastAsia" w:ascii="宋体" w:hAnsi="宋体" w:cs="宋体"/>
          <w:b/>
          <w:bCs/>
          <w:color w:val="000000" w:themeColor="text1"/>
          <w14:textFill>
            <w14:solidFill>
              <w14:schemeClr w14:val="tx1"/>
            </w14:solidFill>
          </w14:textFill>
        </w:rPr>
        <w:t xml:space="preserve">列出，未在本偏离表中列出偏离，将视为投标人已完全接受招标文件要求。</w:t>
      </w:r>
      <w:r/>
    </w:p>
    <w:p>
      <w:pPr>
        <w:pStyle w:val="895"/>
        <w:ind w:firstLine="373"/>
        <w:spacing w:line="360" w:lineRule="auto"/>
        <w:rPr>
          <w:rFonts w:hint="eastAsia" w:hAnsi="宋体" w:cs="宋体"/>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 偏离包括正、负偏离，正偏离指投标人的响应优于招标文件要求，负偏离指投标人的响应低于招标文件要求。</w:t>
      </w:r>
      <w:r/>
    </w:p>
    <w:p>
      <w:pPr>
        <w:pStyle w:val="874"/>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br w:type="page" w:clear="all"/>
      </w:r>
      <w:r/>
    </w:p>
    <w:p>
      <w:pPr>
        <w:pStyle w:val="897"/>
        <w:ind w:left="1146"/>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2</w:t>
      </w:r>
      <w:r>
        <w:rPr>
          <w:rFonts w:hint="eastAsia" w:ascii="宋体" w:hAnsi="宋体" w:cs="宋体"/>
          <w:bCs w:val="0"/>
          <w:color w:val="000000" w:themeColor="text1"/>
          <w:sz w:val="24"/>
          <w:szCs w:val="24"/>
          <w14:textFill>
            <w14:solidFill>
              <w14:schemeClr w14:val="tx1"/>
            </w14:solidFill>
          </w14:textFill>
        </w:rPr>
        <w:t xml:space="preserve">）需求响应方案</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格式自拟。</w:t>
      </w:r>
      <w:r/>
    </w:p>
    <w:p>
      <w:pPr>
        <w:pStyle w:val="1104"/>
        <w:ind w:firstLine="400"/>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1104"/>
        <w:ind w:firstLine="400"/>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897"/>
        <w:ind w:firstLine="569"/>
        <w:spacing w:before="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Start w:id="384" w:name="_Toc104560919"/>
      <w:r/>
      <w:bookmarkStart w:id="385" w:name="_Toc103848602"/>
      <w:r/>
      <w:bookmarkStart w:id="386" w:name="_Toc107246302"/>
      <w:r>
        <w:rPr>
          <w:rFonts w:hint="eastAsia" w:ascii="宋体" w:hAnsi="宋体" w:cs="宋体"/>
          <w:bCs w:val="0"/>
          <w:color w:val="000000" w:themeColor="text1"/>
          <w:sz w:val="24"/>
          <w:szCs w:val="24"/>
          <w14:textFill>
            <w14:solidFill>
              <w14:schemeClr w14:val="tx1"/>
            </w14:solidFill>
          </w14:textFill>
        </w:rPr>
        <w:t xml:space="preserve">（</w:t>
      </w:r>
      <w:r>
        <w:rPr>
          <w:rFonts w:hint="eastAsia" w:ascii="宋体" w:hAnsi="宋体" w:cs="宋体"/>
          <w:bCs w:val="0"/>
          <w:color w:val="000000" w:themeColor="text1"/>
          <w:sz w:val="24"/>
          <w:szCs w:val="24"/>
          <w:lang w:val="en-US" w:eastAsia="zh-CN"/>
          <w14:textFill>
            <w14:solidFill>
              <w14:schemeClr w14:val="tx1"/>
            </w14:solidFill>
          </w14:textFill>
        </w:rPr>
        <w:t xml:space="preserve">3</w:t>
      </w:r>
      <w:r>
        <w:rPr>
          <w:rFonts w:hint="eastAsia" w:ascii="宋体" w:hAnsi="宋体" w:cs="宋体"/>
          <w:bCs w:val="0"/>
          <w:color w:val="000000" w:themeColor="text1"/>
          <w:sz w:val="24"/>
          <w:szCs w:val="24"/>
          <w14:textFill>
            <w14:solidFill>
              <w14:schemeClr w14:val="tx1"/>
            </w14:solidFill>
          </w14:textFill>
        </w:rPr>
        <w:t xml:space="preserve">）投标人服务承诺</w:t>
      </w:r>
      <w:bookmarkEnd w:id="384"/>
      <w:r/>
      <w:bookmarkEnd w:id="385"/>
      <w:r/>
      <w:bookmarkEnd w:id="386"/>
      <w:r/>
      <w:r/>
    </w:p>
    <w:p>
      <w:pPr>
        <w:pStyle w:val="874"/>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br w:type="page" w:clear="all"/>
      </w:r>
      <w:bookmarkStart w:id="387" w:name="_Toc103848603"/>
      <w:r/>
      <w:bookmarkStart w:id="388" w:name="_Toc104560920"/>
      <w:r/>
      <w:bookmarkStart w:id="389" w:name="_Toc107246303"/>
      <w:r>
        <w:rPr>
          <w:rFonts w:hint="eastAsia" w:ascii="宋体" w:hAnsi="宋体" w:cs="宋体"/>
          <w:bCs w:val="0"/>
          <w:color w:val="000000" w:themeColor="text1"/>
          <w:sz w:val="24"/>
          <w:szCs w:val="24"/>
          <w14:textFill>
            <w14:solidFill>
              <w14:schemeClr w14:val="tx1"/>
            </w14:solidFill>
          </w14:textFill>
        </w:rPr>
        <w:t xml:space="preserve">（5）用于本项目人员简历表</w:t>
      </w:r>
      <w:bookmarkEnd w:id="387"/>
      <w:r/>
      <w:bookmarkEnd w:id="388"/>
      <w:r/>
      <w:bookmarkEnd w:id="389"/>
      <w:r/>
      <w:r/>
    </w:p>
    <w:p>
      <w:pPr>
        <w:pStyle w:val="1104"/>
        <w:ind w:firstLine="400"/>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tbl>
      <w:tblPr>
        <w:tblStyle w:val="867"/>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姓名</w:t>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性别</w:t>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职务</w:t>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职称</w:t>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毕业学校、专业</w:t>
            </w:r>
            <w:r/>
          </w:p>
        </w:tc>
        <w:tc>
          <w:tcPr>
            <w:gridSpan w:val="3"/>
            <w:tcW w:w="5808"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身份证号</w:t>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拟在本项目任职</w:t>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执业资格证</w:t>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执业资格证书号</w:t>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gridSpan w:val="4"/>
            <w:tcW w:w="8304"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时间</w:t>
            </w:r>
            <w:r/>
          </w:p>
        </w:tc>
        <w:tc>
          <w:tcPr>
            <w:tcW w:w="165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类似项目名称</w:t>
            </w:r>
            <w:r/>
          </w:p>
        </w:tc>
        <w:tc>
          <w:tcPr>
            <w:tcW w:w="186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担任职务</w:t>
            </w:r>
            <w:r/>
          </w:p>
        </w:tc>
        <w:tc>
          <w:tcPr>
            <w:tcW w:w="2286" w:type="dxa"/>
            <w:vAlign w:val="center"/>
            <w:textDirection w:val="lrTb"/>
            <w:noWrap w:val="false"/>
          </w:tcPr>
          <w:p>
            <w:pPr>
              <w:pStyle w:val="1104"/>
              <w:ind w:firstLine="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r>
        <w:trPr>
          <w:jc w:val="center"/>
        </w:trPr>
        <w:tc>
          <w:tcPr>
            <w:tcW w:w="249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65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186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c>
          <w:tcPr>
            <w:tcW w:w="2286" w:type="dxa"/>
            <w:vAlign w:val="center"/>
            <w:textDirection w:val="lrTb"/>
            <w:noWrap w:val="false"/>
          </w:tcPr>
          <w:p>
            <w:pPr>
              <w:pStyle w:val="1104"/>
              <w:ind w:firstLine="420"/>
              <w:jc w:val="center"/>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tc>
      </w:tr>
    </w:tbl>
    <w:p>
      <w:pPr>
        <w:pStyle w:val="1104"/>
        <w:ind w:firstLine="400"/>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1104"/>
        <w:ind w:firstLine="400"/>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（6）拟投入本项目人员情况表</w:t>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项目名称：南京鼓楼医院</w:t>
      </w:r>
      <w:r>
        <w:rPr>
          <w:rFonts w:hint="eastAsia" w:hAnsi="宋体" w:cs="宋体"/>
          <w:color w:val="000000" w:themeColor="text1"/>
          <w:sz w:val="21"/>
          <w:szCs w:val="21"/>
          <w:lang w:eastAsia="zh-CN"/>
          <w14:textFill>
            <w14:solidFill>
              <w14:schemeClr w14:val="tx1"/>
            </w14:solidFill>
          </w14:textFill>
        </w:rPr>
        <w:t xml:space="preserve">医疗责任保险服务项目</w:t>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rPr>
          <w:rFonts w:hint="eastAsia" w:hAnsi="宋体" w:cs="宋体"/>
          <w:color w:val="000000" w:themeColor="text1"/>
          <w:sz w:val="21"/>
          <w:szCs w:val="21"/>
          <w14:textFill>
            <w14:solidFill>
              <w14:schemeClr w14:val="tx1"/>
            </w14:solidFill>
          </w14:textFill>
        </w:rPr>
        <w:tab/>
      </w:r>
      <w:r/>
    </w:p>
    <w:p>
      <w:pPr>
        <w:pStyle w:val="1104"/>
        <w:ind w:firstLine="420"/>
        <w:spacing w:line="360" w:lineRule="auto"/>
        <w:rPr>
          <w:rFonts w:hint="eastAsia" w:hAnsi="宋体" w:eastAsia="宋体" w:cs="宋体"/>
          <w:color w:val="000000" w:themeColor="text1"/>
          <w:sz w:val="21"/>
          <w:szCs w:val="21"/>
          <w:lang w:eastAsia="zh-CN"/>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项目编号：</w:t>
      </w:r>
      <w:r>
        <w:rPr>
          <w:rFonts w:hint="eastAsia" w:hAnsi="宋体" w:cs="宋体"/>
          <w:color w:val="000000" w:themeColor="text1"/>
          <w:sz w:val="21"/>
          <w:szCs w:val="21"/>
          <w:lang w:eastAsia="zh-CN"/>
          <w14:textFill>
            <w14:solidFill>
              <w14:schemeClr w14:val="tx1"/>
            </w14:solidFill>
          </w14:textFill>
        </w:rPr>
        <w:t xml:space="preserve">JSZC-320100-JITC-G2025-0308</w:t>
      </w:r>
      <w:r/>
    </w:p>
    <w:tbl>
      <w:tblPr>
        <w:tblStyle w:val="867"/>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End w:id="326"/>
      <w:r/>
      <w:r/>
    </w:p>
    <w:p>
      <w:pPr>
        <w:ind w:firstLine="372"/>
        <w:jc w:val="center"/>
        <w:spacing w:line="360" w:lineRule="auto"/>
        <w:rPr>
          <w:b/>
          <w:bCs/>
          <w:color w:val="000000" w:themeColor="text1"/>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t xml:space="preserve">三、其他部分</w:t>
      </w:r>
      <w:r/>
    </w:p>
    <w:p>
      <w:pPr>
        <w:ind w:firstLine="372"/>
        <w:spacing w:line="360" w:lineRule="auto"/>
        <w:rPr>
          <w:rFonts w:hint="eastAsia" w:ascii="宋体" w:hAnsi="宋体" w:cs="宋体"/>
          <w:color w:val="000000" w:themeColor="text1"/>
          <w14:textFill>
            <w14:solidFill>
              <w14:schemeClr w14:val="tx1"/>
            </w14:solidFill>
          </w14:textFill>
        </w:rPr>
      </w:pPr>
      <w:r/>
      <w:bookmarkStart w:id="390" w:name="_Toc104560923"/>
      <w:r/>
      <w:bookmarkStart w:id="391" w:name="_Toc107246306"/>
      <w:r/>
      <w:bookmarkStart w:id="392" w:name="_Toc103848606"/>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bookmarkStart w:id="393" w:name="_Toc104560925"/>
      <w:r/>
      <w:bookmarkStart w:id="394" w:name="_Toc103848608"/>
      <w:r/>
      <w:bookmarkStart w:id="395" w:name="_Toc107246308"/>
      <w:r/>
      <w:bookmarkStart w:id="396" w:name="_Toc107246307"/>
      <w:r/>
      <w:bookmarkStart w:id="397" w:name="_Toc104560924"/>
      <w:r/>
      <w:bookmarkStart w:id="398" w:name="_Toc103848607"/>
      <w:r/>
      <w:bookmarkStart w:id="399" w:name="_Toc100905295"/>
      <w:r>
        <w:rPr>
          <w:rFonts w:hint="eastAsia" w:ascii="宋体" w:hAnsi="宋体" w:cs="宋体"/>
          <w:bCs w:val="0"/>
          <w:color w:val="000000" w:themeColor="text1"/>
          <w:sz w:val="24"/>
          <w:szCs w:val="24"/>
          <w14:textFill>
            <w14:solidFill>
              <w14:schemeClr w14:val="tx1"/>
            </w14:solidFill>
          </w14:textFill>
        </w:rPr>
        <w:t xml:space="preserve">（1）要求投标人提交的其他文件材料或证明材料</w:t>
      </w:r>
      <w:bookmarkEnd w:id="393"/>
      <w:r/>
      <w:bookmarkEnd w:id="394"/>
      <w:r/>
      <w:bookmarkEnd w:id="395"/>
      <w:r/>
      <w:r/>
    </w:p>
    <w:p>
      <w:pPr>
        <w:pStyle w:val="877"/>
        <w:ind w:left="1260" w:firstLine="426"/>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pStyle w:val="877"/>
        <w:ind w:left="1260" w:firstLine="426"/>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br w:type="page" w:clear="all"/>
      </w:r>
      <w:bookmarkEnd w:id="396"/>
      <w:r/>
      <w:bookmarkEnd w:id="397"/>
      <w:r/>
      <w:bookmarkEnd w:id="398"/>
      <w:r/>
      <w:bookmarkEnd w:id="399"/>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（2）投标人认为需提供的其他文件或证明材料</w:t>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897"/>
        <w:ind w:firstLine="426"/>
        <w:spacing w:before="0" w:line="360" w:lineRule="auto"/>
        <w:rPr>
          <w:rFonts w:hint="eastAsia"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（3）提供符合政府采购政策的证明材料</w:t>
      </w:r>
      <w:bookmarkEnd w:id="390"/>
      <w:r/>
      <w:bookmarkEnd w:id="391"/>
      <w:r/>
      <w:bookmarkEnd w:id="392"/>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（请根据本项目</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采购项目类型</w:t>
      </w:r>
      <w:r>
        <w:rPr>
          <w:rFonts w:hint="eastAsia" w:ascii="宋体" w:hAnsi="宋体" w:cs="宋体"/>
          <w:bCs/>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选择合适的中小企业声明函，不适用的可以不提交）</w:t>
      </w:r>
      <w:r/>
    </w:p>
    <w:p>
      <w:pPr>
        <w:ind w:right="-23" w:firstLine="379"/>
        <w:jc w:val="center"/>
        <w:spacing w:line="360" w:lineRule="auto"/>
        <w:rPr>
          <w:rFonts w:hint="eastAsia" w:ascii="宋体" w:hAnsi="宋体" w:cs="宋体"/>
          <w:color w:val="000000" w:themeColor="text1"/>
          <w:spacing w:val="2"/>
          <w:position w:val="-3"/>
          <w:szCs w:val="21"/>
          <w14:textFill>
            <w14:solidFill>
              <w14:schemeClr w14:val="tx1"/>
            </w14:solidFill>
          </w14:textFill>
        </w:rPr>
      </w:pPr>
      <w:r>
        <w:rPr>
          <w:rFonts w:hint="eastAsia" w:ascii="宋体" w:hAnsi="宋体" w:cs="宋体"/>
          <w:color w:val="000000" w:themeColor="text1"/>
          <w:spacing w:val="2"/>
          <w:position w:val="-3"/>
          <w:szCs w:val="21"/>
          <w14:textFill>
            <w14:solidFill>
              <w14:schemeClr w14:val="tx1"/>
            </w14:solidFill>
          </w14:textFill>
        </w:rPr>
      </w:r>
      <w:r/>
    </w:p>
    <w:p>
      <w:pPr>
        <w:pStyle w:val="1104"/>
        <w:ind w:firstLine="482"/>
        <w:jc w:val="center"/>
        <w:spacing w:line="360" w:lineRule="auto"/>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中小企业声明函（服务）</w:t>
      </w:r>
      <w:r/>
    </w:p>
    <w:p>
      <w:pPr>
        <w:ind w:right="-20" w:firstLine="420"/>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u w:val="single"/>
          <w14:textFill>
            <w14:solidFill>
              <w14:schemeClr w14:val="tx1"/>
            </w14:solidFill>
          </w14:textFill>
        </w:rPr>
        <w:t xml:space="preserve">南京鼓楼医院</w:t>
      </w:r>
      <w:r>
        <w:rPr>
          <w:rFonts w:hint="eastAsia" w:ascii="宋体" w:hAnsi="宋体" w:cs="宋体"/>
          <w:color w:val="000000" w:themeColor="text1"/>
          <w:position w:val="-2"/>
          <w:szCs w:val="21"/>
          <w14:textFill>
            <w14:solidFill>
              <w14:schemeClr w14:val="tx1"/>
            </w14:solidFill>
          </w14:textFill>
        </w:rPr>
        <w:t xml:space="preserve">的</w:t>
      </w:r>
      <w:r>
        <w:rPr>
          <w:rFonts w:hint="eastAsia" w:ascii="宋体" w:hAnsi="宋体" w:cs="宋体"/>
          <w:iCs/>
          <w:color w:val="000000" w:themeColor="text1"/>
          <w:position w:val="-2"/>
          <w:szCs w:val="21"/>
          <w:u w:val="single"/>
          <w14:textFill>
            <w14:solidFill>
              <w14:schemeClr w14:val="tx1"/>
            </w14:solidFill>
          </w14:textFill>
        </w:rPr>
        <w:t xml:space="preserve">南京鼓楼医院</w:t>
      </w:r>
      <w:r>
        <w:rPr>
          <w:rFonts w:hint="eastAsia" w:ascii="宋体" w:hAnsi="宋体" w:cs="宋体"/>
          <w:iCs/>
          <w:color w:val="000000" w:themeColor="text1"/>
          <w:position w:val="-2"/>
          <w:szCs w:val="21"/>
          <w:u w:val="single"/>
          <w:lang w:eastAsia="zh-CN"/>
          <w14:textFill>
            <w14:solidFill>
              <w14:schemeClr w14:val="tx1"/>
            </w14:solidFill>
          </w14:textFill>
        </w:rPr>
        <w:t xml:space="preserve">医疗责任保险服务项目</w:t>
      </w:r>
      <w:r>
        <w:rPr>
          <w:rFonts w:hint="eastAsia" w:ascii="宋体" w:hAnsi="宋体" w:cs="宋体"/>
          <w:color w:val="000000" w:themeColor="text1"/>
          <w:position w:val="-2"/>
          <w:szCs w:val="21"/>
          <w14:textFill>
            <w14:solidFill>
              <w14:schemeClr w14:val="tx1"/>
            </w14:solidFill>
          </w14:textFill>
        </w:rPr>
        <w:t xml:space="preserve">采购活动，提供的服务全部由符合政策要求的中小企业</w:t>
      </w:r>
      <w:r>
        <w:rPr>
          <w:rFonts w:hint="eastAsia" w:ascii="宋体" w:hAnsi="宋体" w:cs="宋体"/>
          <w:color w:val="000000" w:themeColor="text1"/>
          <w:position w:val="-2"/>
          <w:szCs w:val="21"/>
          <w:lang w:val="en-US" w:eastAsia="zh-CN"/>
          <w14:textFill>
            <w14:solidFill>
              <w14:schemeClr w14:val="tx1"/>
            </w14:solidFill>
          </w14:textFill>
        </w:rPr>
        <w:t xml:space="preserve">承接</w:t>
      </w:r>
      <w:r>
        <w:rPr>
          <w:rFonts w:hint="eastAsia" w:ascii="宋体" w:hAnsi="宋体" w:cs="宋体"/>
          <w:color w:val="000000" w:themeColor="text1"/>
          <w:position w:val="-2"/>
          <w:szCs w:val="21"/>
          <w14:textFill>
            <w14:solidFill>
              <w14:schemeClr w14:val="tx1"/>
            </w14:solidFill>
          </w14:textFill>
        </w:rPr>
        <w:t xml:space="preserve">。相关企业（含联合体中的中小企业、签订分包意向协议的中小企业）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1. </w:t>
      </w:r>
      <w:r>
        <w:rPr>
          <w:rFonts w:hint="eastAsia" w:ascii="宋体" w:hAnsi="宋体" w:cs="宋体"/>
          <w:i/>
          <w:color w:val="000000" w:themeColor="text1"/>
          <w:position w:val="-2"/>
          <w:szCs w:val="21"/>
          <w:u w:val="single"/>
          <w14:textFill>
            <w14:solidFill>
              <w14:schemeClr w14:val="tx1"/>
            </w14:solidFill>
          </w14:textFill>
        </w:rPr>
        <w:t xml:space="preserve">（标的名称）</w:t>
      </w:r>
      <w:r>
        <w:rPr>
          <w:rFonts w:hint="eastAsia" w:ascii="宋体" w:hAnsi="宋体" w:cs="宋体"/>
          <w:color w:val="000000" w:themeColor="text1"/>
          <w:position w:val="-2"/>
          <w:szCs w:val="21"/>
          <w14:textFill>
            <w14:solidFill>
              <w14:schemeClr w14:val="tx1"/>
            </w14:solidFill>
          </w14:textFill>
        </w:rPr>
        <w:t xml:space="preserve">，属于</w:t>
      </w:r>
      <w:r>
        <w:rPr>
          <w:rFonts w:hint="eastAsia" w:ascii="宋体" w:hAnsi="宋体" w:cs="宋体"/>
          <w:color w:val="000000" w:themeColor="text1"/>
          <w:position w:val="-2"/>
          <w:szCs w:val="21"/>
          <w:u w:val="single"/>
          <w14:textFill>
            <w14:solidFill>
              <w14:schemeClr w14:val="tx1"/>
            </w14:solidFill>
          </w14:textFill>
        </w:rPr>
        <w:t xml:space="preserve">其他未列明行业</w:t>
      </w:r>
      <w:r>
        <w:rPr>
          <w:rFonts w:hint="eastAsia" w:ascii="宋体" w:hAnsi="宋体" w:cs="宋体"/>
          <w:color w:val="000000" w:themeColor="text1"/>
          <w:position w:val="-2"/>
          <w:szCs w:val="21"/>
          <w14:textFill>
            <w14:solidFill>
              <w14:schemeClr w14:val="tx1"/>
            </w14:solidFill>
          </w14:textFill>
        </w:rPr>
        <w:t xml:space="preserve">行业；制造商（或工程</w:t>
      </w:r>
      <w:r>
        <w:rPr>
          <w:rFonts w:hint="eastAsia" w:ascii="宋体" w:hAnsi="宋体" w:cs="宋体"/>
          <w:color w:val="000000" w:themeColor="text1"/>
          <w:spacing w:val="3"/>
          <w:szCs w:val="21"/>
          <w14:textFill>
            <w14:solidFill>
              <w14:schemeClr w14:val="tx1"/>
            </w14:solidFill>
          </w14:textFill>
        </w:rPr>
        <w:t xml:space="preserve">承建/</w:t>
      </w:r>
      <w:r>
        <w:rPr>
          <w:rFonts w:hint="eastAsia" w:ascii="宋体" w:hAnsi="宋体" w:cs="宋体"/>
          <w:color w:val="000000" w:themeColor="text1"/>
          <w:position w:val="-2"/>
          <w:szCs w:val="21"/>
          <w14:textFill>
            <w14:solidFill>
              <w14:schemeClr w14:val="tx1"/>
            </w14:solidFill>
          </w14:textFill>
        </w:rPr>
        <w:t xml:space="preserve">服务</w:t>
      </w:r>
      <w:r>
        <w:rPr>
          <w:rFonts w:hint="eastAsia" w:ascii="宋体" w:hAnsi="宋体" w:cs="宋体"/>
          <w:color w:val="000000" w:themeColor="text1"/>
          <w:spacing w:val="3"/>
          <w:szCs w:val="21"/>
          <w14:textFill>
            <w14:solidFill>
              <w14:schemeClr w14:val="tx1"/>
            </w14:solidFill>
          </w14:textFill>
        </w:rPr>
        <w:t xml:space="preserve">承接企业</w:t>
      </w:r>
      <w:r>
        <w:rPr>
          <w:rFonts w:hint="eastAsia" w:ascii="宋体" w:hAnsi="宋体" w:cs="宋体"/>
          <w:color w:val="000000" w:themeColor="text1"/>
          <w:position w:val="-2"/>
          <w:szCs w:val="21"/>
          <w14:textFill>
            <w14:solidFill>
              <w14:schemeClr w14:val="tx1"/>
            </w14:solidFill>
          </w14:textFill>
        </w:rPr>
        <w:t xml:space="preserve">）为</w:t>
      </w:r>
      <w:r>
        <w:rPr>
          <w:rFonts w:hint="eastAsia" w:ascii="宋体" w:hAnsi="宋体" w:cs="宋体"/>
          <w:i/>
          <w:color w:val="000000" w:themeColor="text1"/>
          <w:position w:val="-2"/>
          <w:szCs w:val="21"/>
          <w:u w:val="single"/>
          <w14:textFill>
            <w14:solidFill>
              <w14:schemeClr w14:val="tx1"/>
            </w14:solidFill>
          </w14:textFill>
        </w:rPr>
        <w:t xml:space="preserve">（企业名称）</w:t>
      </w:r>
      <w:r>
        <w:rPr>
          <w:rFonts w:hint="eastAsia" w:ascii="宋体" w:hAnsi="宋体" w:cs="宋体"/>
          <w:color w:val="000000" w:themeColor="text1"/>
          <w:position w:val="-2"/>
          <w:szCs w:val="21"/>
          <w14:textFill>
            <w14:solidFill>
              <w14:schemeClr w14:val="tx1"/>
            </w14:solidFill>
          </w14:textFill>
        </w:rPr>
        <w:t xml:space="preserve">，从业人员</w:t>
      </w:r>
      <w:r>
        <w:rPr>
          <w:rFonts w:hint="eastAsia" w:ascii="宋体" w:hAnsi="宋体" w:cs="宋体"/>
          <w:color w:val="000000" w:themeColor="text1"/>
          <w:position w:val="-2"/>
          <w:szCs w:val="21"/>
          <w:u w:val="single"/>
          <w14:textFill>
            <w14:solidFill>
              <w14:schemeClr w14:val="tx1"/>
            </w14:solidFill>
          </w14:textFill>
        </w:rPr>
        <w:tab/>
      </w:r>
      <w:r>
        <w:rPr>
          <w:rFonts w:hint="eastAsia" w:ascii="宋体" w:hAnsi="宋体" w:cs="宋体"/>
          <w:color w:val="000000" w:themeColor="text1"/>
          <w:position w:val="-2"/>
          <w:szCs w:val="21"/>
          <w14:textFill>
            <w14:solidFill>
              <w14:schemeClr w14:val="tx1"/>
            </w14:solidFill>
          </w14:textFill>
        </w:rPr>
        <w:t xml:space="preserve">人，营业收 入为万元，资产总额为</w:t>
      </w:r>
      <w:r>
        <w:rPr>
          <w:rFonts w:hint="eastAsia" w:ascii="宋体" w:hAnsi="宋体" w:cs="宋体"/>
          <w:color w:val="000000" w:themeColor="text1"/>
          <w:position w:val="-2"/>
          <w:szCs w:val="21"/>
          <w:u w:val="single"/>
          <w14:textFill>
            <w14:solidFill>
              <w14:schemeClr w14:val="tx1"/>
            </w14:solidFill>
          </w14:textFill>
        </w:rPr>
        <w:tab/>
      </w:r>
      <w:r>
        <w:rPr>
          <w:rFonts w:hint="eastAsia" w:ascii="宋体" w:hAnsi="宋体" w:cs="宋体"/>
          <w:color w:val="000000" w:themeColor="text1"/>
          <w:position w:val="-2"/>
          <w:szCs w:val="21"/>
          <w14:textFill>
            <w14:solidFill>
              <w14:schemeClr w14:val="tx1"/>
            </w14:solidFill>
          </w14:textFill>
        </w:rPr>
        <w:t xml:space="preserve">万元</w:t>
      </w:r>
      <w:r>
        <w:rPr>
          <w:rFonts w:hint="eastAsia" w:ascii="宋体" w:hAnsi="宋体" w:cs="宋体"/>
          <w:color w:val="000000" w:themeColor="text1"/>
          <w:position w:val="-2"/>
          <w:szCs w:val="21"/>
          <w:vertAlign w:val="superscript"/>
          <w14:textFill>
            <w14:solidFill>
              <w14:schemeClr w14:val="tx1"/>
            </w14:solidFill>
          </w14:textFill>
        </w:rPr>
        <w:t xml:space="preserve">1</w:t>
      </w:r>
      <w:r>
        <w:rPr>
          <w:rFonts w:hint="eastAsia" w:ascii="宋体" w:hAnsi="宋体" w:cs="宋体"/>
          <w:color w:val="000000" w:themeColor="text1"/>
          <w:position w:val="-2"/>
          <w:szCs w:val="21"/>
          <w14:textFill>
            <w14:solidFill>
              <w14:schemeClr w14:val="tx1"/>
            </w14:solidFill>
          </w14:textFill>
        </w:rPr>
        <w:t xml:space="preserve">，属于</w:t>
      </w:r>
      <w:r>
        <w:rPr>
          <w:rFonts w:hint="eastAsia" w:ascii="宋体" w:hAnsi="宋体" w:cs="宋体"/>
          <w:i/>
          <w:color w:val="000000" w:themeColor="text1"/>
          <w:position w:val="-2"/>
          <w:szCs w:val="21"/>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2. </w:t>
      </w:r>
      <w:r>
        <w:rPr>
          <w:rFonts w:hint="eastAsia" w:ascii="宋体" w:hAnsi="宋体" w:cs="宋体"/>
          <w:i/>
          <w:color w:val="000000" w:themeColor="text1"/>
          <w:position w:val="-2"/>
          <w:szCs w:val="21"/>
          <w:u w:val="single"/>
          <w14:textFill>
            <w14:solidFill>
              <w14:schemeClr w14:val="tx1"/>
            </w14:solidFill>
          </w14:textFill>
        </w:rPr>
        <w:t xml:space="preserve">（标的名称）</w:t>
      </w:r>
      <w:r>
        <w:rPr>
          <w:rFonts w:hint="eastAsia" w:ascii="宋体" w:hAnsi="宋体" w:cs="宋体"/>
          <w:color w:val="000000" w:themeColor="text1"/>
          <w:position w:val="-2"/>
          <w:szCs w:val="21"/>
          <w14:textFill>
            <w14:solidFill>
              <w14:schemeClr w14:val="tx1"/>
            </w14:solidFill>
          </w14:textFill>
        </w:rPr>
        <w:t xml:space="preserve">，属于</w:t>
      </w:r>
      <w:r>
        <w:rPr>
          <w:rFonts w:hint="eastAsia" w:ascii="宋体" w:hAnsi="宋体" w:cs="宋体"/>
          <w:color w:val="000000" w:themeColor="text1"/>
          <w:position w:val="-2"/>
          <w:szCs w:val="21"/>
          <w:u w:val="single"/>
          <w14:textFill>
            <w14:solidFill>
              <w14:schemeClr w14:val="tx1"/>
            </w14:solidFill>
          </w14:textFill>
        </w:rPr>
        <w:t xml:space="preserve">其他未列明行业</w:t>
      </w:r>
      <w:r>
        <w:rPr>
          <w:rFonts w:hint="eastAsia" w:ascii="宋体" w:hAnsi="宋体" w:cs="宋体"/>
          <w:color w:val="000000" w:themeColor="text1"/>
          <w:position w:val="-2"/>
          <w:szCs w:val="21"/>
          <w14:textFill>
            <w14:solidFill>
              <w14:schemeClr w14:val="tx1"/>
            </w14:solidFill>
          </w14:textFill>
        </w:rPr>
        <w:t xml:space="preserve">行业；制造商（或工程</w:t>
      </w:r>
      <w:r>
        <w:rPr>
          <w:rFonts w:hint="eastAsia" w:ascii="宋体" w:hAnsi="宋体" w:cs="宋体"/>
          <w:color w:val="000000" w:themeColor="text1"/>
          <w:spacing w:val="3"/>
          <w:szCs w:val="21"/>
          <w14:textFill>
            <w14:solidFill>
              <w14:schemeClr w14:val="tx1"/>
            </w14:solidFill>
          </w14:textFill>
        </w:rPr>
        <w:t xml:space="preserve">承建/</w:t>
      </w:r>
      <w:r>
        <w:rPr>
          <w:rFonts w:hint="eastAsia" w:ascii="宋体" w:hAnsi="宋体" w:cs="宋体"/>
          <w:color w:val="000000" w:themeColor="text1"/>
          <w:position w:val="-2"/>
          <w:szCs w:val="21"/>
          <w14:textFill>
            <w14:solidFill>
              <w14:schemeClr w14:val="tx1"/>
            </w14:solidFill>
          </w14:textFill>
        </w:rPr>
        <w:t xml:space="preserve">服务</w:t>
      </w:r>
      <w:r>
        <w:rPr>
          <w:rFonts w:hint="eastAsia" w:ascii="宋体" w:hAnsi="宋体" w:cs="宋体"/>
          <w:color w:val="000000" w:themeColor="text1"/>
          <w:spacing w:val="3"/>
          <w:szCs w:val="21"/>
          <w14:textFill>
            <w14:solidFill>
              <w14:schemeClr w14:val="tx1"/>
            </w14:solidFill>
          </w14:textFill>
        </w:rPr>
        <w:t xml:space="preserve">承接企业</w:t>
      </w:r>
      <w:r>
        <w:rPr>
          <w:rFonts w:hint="eastAsia" w:ascii="宋体" w:hAnsi="宋体" w:cs="宋体"/>
          <w:color w:val="000000" w:themeColor="text1"/>
          <w:position w:val="-2"/>
          <w:szCs w:val="21"/>
          <w14:textFill>
            <w14:solidFill>
              <w14:schemeClr w14:val="tx1"/>
            </w14:solidFill>
          </w14:textFill>
        </w:rPr>
        <w:t xml:space="preserve">）为</w:t>
      </w:r>
      <w:r>
        <w:rPr>
          <w:rFonts w:hint="eastAsia" w:ascii="宋体" w:hAnsi="宋体" w:cs="宋体"/>
          <w:i/>
          <w:color w:val="000000" w:themeColor="text1"/>
          <w:position w:val="-2"/>
          <w:szCs w:val="21"/>
          <w:u w:val="single"/>
          <w14:textFill>
            <w14:solidFill>
              <w14:schemeClr w14:val="tx1"/>
            </w14:solidFill>
          </w14:textFill>
        </w:rPr>
        <w:t xml:space="preserve">（企业名称）</w:t>
      </w:r>
      <w:r>
        <w:rPr>
          <w:rFonts w:hint="eastAsia" w:ascii="宋体" w:hAnsi="宋体" w:cs="宋体"/>
          <w:color w:val="000000" w:themeColor="text1"/>
          <w:position w:val="-2"/>
          <w:szCs w:val="21"/>
          <w14:textFill>
            <w14:solidFill>
              <w14:schemeClr w14:val="tx1"/>
            </w14:solidFill>
          </w14:textFill>
        </w:rPr>
        <w:t xml:space="preserve">，从业人员</w:t>
      </w:r>
      <w:r>
        <w:rPr>
          <w:rFonts w:hint="eastAsia" w:ascii="宋体" w:hAnsi="宋体" w:cs="宋体"/>
          <w:color w:val="000000" w:themeColor="text1"/>
          <w:position w:val="-2"/>
          <w:szCs w:val="21"/>
          <w:u w:val="single"/>
          <w14:textFill>
            <w14:solidFill>
              <w14:schemeClr w14:val="tx1"/>
            </w14:solidFill>
          </w14:textFill>
        </w:rPr>
        <w:tab/>
      </w:r>
      <w:r>
        <w:rPr>
          <w:rFonts w:hint="eastAsia" w:ascii="宋体" w:hAnsi="宋体" w:cs="宋体"/>
          <w:color w:val="000000" w:themeColor="text1"/>
          <w:position w:val="-2"/>
          <w:szCs w:val="21"/>
          <w14:textFill>
            <w14:solidFill>
              <w14:schemeClr w14:val="tx1"/>
            </w14:solidFill>
          </w14:textFill>
        </w:rPr>
        <w:t xml:space="preserve">人，营业收入为万元，资产总额为</w:t>
      </w:r>
      <w:r>
        <w:rPr>
          <w:rFonts w:hint="eastAsia" w:ascii="宋体" w:hAnsi="宋体" w:cs="宋体"/>
          <w:color w:val="000000" w:themeColor="text1"/>
          <w:position w:val="-2"/>
          <w:szCs w:val="21"/>
          <w:u w:val="single"/>
          <w14:textFill>
            <w14:solidFill>
              <w14:schemeClr w14:val="tx1"/>
            </w14:solidFill>
          </w14:textFill>
        </w:rPr>
        <w:tab/>
      </w:r>
      <w:r>
        <w:rPr>
          <w:rFonts w:hint="eastAsia" w:ascii="宋体" w:hAnsi="宋体" w:cs="宋体"/>
          <w:color w:val="000000" w:themeColor="text1"/>
          <w:position w:val="-2"/>
          <w:szCs w:val="21"/>
          <w14:textFill>
            <w14:solidFill>
              <w14:schemeClr w14:val="tx1"/>
            </w14:solidFill>
          </w14:textFill>
        </w:rPr>
        <w:t xml:space="preserve">万元，属于</w:t>
      </w:r>
      <w:r>
        <w:rPr>
          <w:rFonts w:hint="eastAsia" w:ascii="宋体" w:hAnsi="宋体" w:cs="宋体"/>
          <w:i/>
          <w:color w:val="000000" w:themeColor="text1"/>
          <w:position w:val="-2"/>
          <w:szCs w:val="21"/>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r>
      <w:r/>
    </w:p>
    <w:p>
      <w:pPr>
        <w:ind w:right="400" w:firstLine="3780"/>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position w:val="-2"/>
          <w:szCs w:val="21"/>
          <w14:textFill>
            <w14:solidFill>
              <w14:schemeClr w14:val="tx1"/>
            </w14:solidFill>
          </w14:textFill>
        </w:rPr>
        <w:t xml:space="preserve">企</w:t>
      </w:r>
      <w:r>
        <w:rPr>
          <w:rFonts w:hint="eastAsia" w:ascii="宋体" w:hAnsi="宋体" w:cs="宋体"/>
          <w:color w:val="000000" w:themeColor="text1"/>
          <w:spacing w:val="3"/>
          <w:position w:val="-2"/>
          <w:szCs w:val="21"/>
          <w14:textFill>
            <w14:solidFill>
              <w14:schemeClr w14:val="tx1"/>
            </w14:solidFill>
          </w14:textFill>
        </w:rPr>
        <w:t xml:space="preserve">业</w:t>
      </w:r>
      <w:r>
        <w:rPr>
          <w:rFonts w:hint="eastAsia" w:ascii="宋体" w:hAnsi="宋体" w:cs="宋体"/>
          <w:color w:val="000000" w:themeColor="text1"/>
          <w:position w:val="-2"/>
          <w:szCs w:val="21"/>
          <w14:textFill>
            <w14:solidFill>
              <w14:schemeClr w14:val="tx1"/>
            </w14:solidFill>
          </w14:textFill>
        </w:rPr>
        <w:t xml:space="preserve">名称</w:t>
      </w:r>
      <w:r>
        <w:rPr>
          <w:rFonts w:hint="eastAsia" w:ascii="宋体" w:hAnsi="宋体" w:cs="宋体"/>
          <w:color w:val="000000" w:themeColor="text1"/>
          <w:spacing w:val="3"/>
          <w:position w:val="-2"/>
          <w:szCs w:val="21"/>
          <w14:textFill>
            <w14:solidFill>
              <w14:schemeClr w14:val="tx1"/>
            </w14:solidFill>
          </w14:textFill>
        </w:rPr>
        <w:t xml:space="preserve">（</w:t>
      </w:r>
      <w:r>
        <w:rPr>
          <w:rFonts w:hint="eastAsia" w:ascii="宋体" w:hAnsi="宋体" w:cs="宋体"/>
          <w:color w:val="000000" w:themeColor="text1"/>
          <w:position w:val="-2"/>
          <w:szCs w:val="21"/>
          <w14:textFill>
            <w14:solidFill>
              <w14:schemeClr w14:val="tx1"/>
            </w14:solidFill>
          </w14:textFill>
        </w:rPr>
        <w:t xml:space="preserve">盖章</w:t>
      </w:r>
      <w:r>
        <w:rPr>
          <w:rFonts w:hint="eastAsia" w:ascii="宋体" w:hAnsi="宋体" w:cs="宋体"/>
          <w:color w:val="000000" w:themeColor="text1"/>
          <w:spacing w:val="-158"/>
          <w:position w:val="-2"/>
          <w:szCs w:val="21"/>
          <w14:textFill>
            <w14:solidFill>
              <w14:schemeClr w14:val="tx1"/>
            </w14:solidFill>
          </w14:textFill>
        </w:rPr>
        <w:t xml:space="preserve">）</w:t>
      </w:r>
      <w:r>
        <w:rPr>
          <w:rFonts w:hint="eastAsia" w:ascii="宋体" w:hAnsi="宋体" w:cs="宋体"/>
          <w:color w:val="000000" w:themeColor="text1"/>
          <w:position w:val="-2"/>
          <w:szCs w:val="21"/>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14:textFill>
            <w14:solidFill>
              <w14:schemeClr w14:val="tx1"/>
            </w14:solidFill>
          </w14:textFill>
        </w:rPr>
      </w:pPr>
      <w:r>
        <w:rPr>
          <w:rFonts w:hint="eastAsia" w:ascii="宋体" w:hAnsi="宋体" w:cs="宋体"/>
          <w:color w:val="000000" w:themeColor="text1"/>
          <w:position w:val="-2"/>
          <w:szCs w:val="21"/>
          <w:vertAlign w:val="superscript"/>
          <w14:textFill>
            <w14:solidFill>
              <w14:schemeClr w14:val="tx1"/>
            </w14:solidFill>
          </w14:textFill>
        </w:rPr>
        <w:t xml:space="preserve">1</w:t>
      </w:r>
      <w:r>
        <w:rPr>
          <w:rFonts w:hint="eastAsia" w:ascii="宋体" w:hAnsi="宋体" w:cs="宋体"/>
          <w:color w:val="000000" w:themeColor="text1"/>
          <w:position w:val="-2"/>
          <w:szCs w:val="21"/>
          <w14:textFill>
            <w14:solidFill>
              <w14:schemeClr w14:val="tx1"/>
            </w14:solidFill>
          </w14:textFill>
        </w:rPr>
        <w:t xml:space="preserve">从业人员、营业收入、资产总额填报上一年度数据，无上一年度数据的新成立企业可不填报。</w:t>
      </w:r>
      <w:r/>
    </w:p>
    <w:p>
      <w:pPr>
        <w:ind w:firstLine="373"/>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注：</w:t>
      </w:r>
      <w:r/>
    </w:p>
    <w:p>
      <w:pPr>
        <w:numPr>
          <w:ilvl w:val="0"/>
          <w:numId w:val="49"/>
        </w:numPr>
        <w:ind w:firstLine="373"/>
        <w:spacing w:line="360" w:lineRule="auto"/>
        <w:rPr>
          <w:rFonts w:hint="eastAsia" w:ascii="宋体" w:hAnsi="宋体" w:cs="宋体"/>
          <w:b/>
          <w:color w:val="000000" w:themeColor="text1"/>
          <w:szCs w:val="21"/>
          <w:u w:val="single"/>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本项目中小微企业划分标准为：</w:t>
      </w:r>
      <w:r>
        <w:rPr>
          <w:rFonts w:hint="eastAsia" w:ascii="宋体" w:hAnsi="宋体" w:cs="宋体"/>
          <w:b/>
          <w:color w:val="000000" w:themeColor="text1"/>
          <w:szCs w:val="21"/>
          <w:u w:val="singl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firstLine="42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14:textFill>
            <w14:solidFill>
              <w14:schemeClr w14:val="tx1"/>
            </w14:solidFill>
          </w14:textFill>
        </w:rPr>
        <w:br w:type="page" w:clear="all"/>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104"/>
        <w:ind w:firstLine="482"/>
        <w:jc w:val="center"/>
        <w:spacing w:line="360" w:lineRule="auto"/>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监狱企业证明</w:t>
      </w:r>
      <w:r/>
    </w:p>
    <w:p>
      <w:pPr>
        <w:pStyle w:val="1104"/>
        <w:ind w:firstLine="482"/>
        <w:jc w:val="center"/>
        <w:spacing w:line="360" w:lineRule="auto"/>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04"/>
        <w:ind w:firstLine="400"/>
        <w:spacing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r>
      <w:r/>
    </w:p>
    <w:p>
      <w:pPr>
        <w:ind w:firstLine="372"/>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104"/>
        <w:ind w:firstLine="198"/>
        <w:jc w:val="center"/>
        <w:spacing w:line="360" w:lineRule="auto"/>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br w:type="page" w:clear="all"/>
      </w:r>
      <w:r>
        <w:rPr>
          <w:rFonts w:hint="eastAsia" w:hAnsi="宋体" w:cs="宋体"/>
          <w:b/>
          <w:color w:val="000000" w:themeColor="text1"/>
          <w:sz w:val="24"/>
          <w:szCs w:val="24"/>
          <w14:textFill>
            <w14:solidFill>
              <w14:schemeClr w14:val="tx1"/>
            </w14:solidFill>
          </w14:textFill>
        </w:rPr>
        <w:t xml:space="preserve">残疾人福利性单位声明函</w:t>
      </w:r>
      <w:r/>
    </w:p>
    <w:p>
      <w:pPr>
        <w:ind w:firstLine="554"/>
        <w:spacing w:line="360" w:lineRule="auto"/>
        <w:rPr>
          <w:rFonts w:hint="eastAsia" w:ascii="宋体" w:hAnsi="宋体" w:cs="宋体"/>
          <w:b/>
          <w:color w:val="000000" w:themeColor="text1"/>
          <w:spacing w:val="6"/>
          <w:sz w:val="30"/>
          <w:szCs w:val="30"/>
          <w14:textFill>
            <w14:solidFill>
              <w14:schemeClr w14:val="tx1"/>
            </w14:solidFill>
          </w14:textFill>
        </w:rPr>
      </w:pPr>
      <w:r>
        <w:rPr>
          <w:rFonts w:hint="eastAsia" w:ascii="宋体" w:hAnsi="宋体" w:cs="宋体"/>
          <w:b/>
          <w:color w:val="000000" w:themeColor="text1"/>
          <w:spacing w:val="6"/>
          <w:sz w:val="30"/>
          <w:szCs w:val="30"/>
          <w14:textFill>
            <w14:solidFill>
              <w14:schemeClr w14:val="tx1"/>
            </w14:solidFill>
          </w14:textFill>
        </w:rPr>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本单位对上述声明的真实性负责。如有虚假，将依法承担相应责任。</w:t>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04"/>
        <w:ind w:firstLine="420"/>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r>
      <w:r/>
    </w:p>
    <w:p>
      <w:pPr>
        <w:pStyle w:val="1104"/>
        <w:ind w:firstLine="3769"/>
        <w:spacing w:line="360" w:lineRule="auto"/>
        <w:rPr>
          <w:rFonts w:hint="eastAsia" w:hAnsi="宋体" w:cs="宋体"/>
          <w:color w:val="000000" w:themeColor="text1"/>
          <w:sz w:val="21"/>
          <w:szCs w:val="21"/>
          <w14:textFill>
            <w14:solidFill>
              <w14:schemeClr w14:val="tx1"/>
            </w14:solidFill>
          </w14:textFill>
        </w:rPr>
      </w:pPr>
      <w:r>
        <w:rPr>
          <w:rFonts w:hint="eastAsia" w:hAnsi="宋体" w:cs="宋体"/>
          <w:color w:val="000000" w:themeColor="text1"/>
          <w:sz w:val="21"/>
          <w:szCs w:val="21"/>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日期：</w:t>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14:textFill>
            <w14:solidFill>
              <w14:schemeClr w14:val="tx1"/>
            </w14:solidFill>
          </w14:textFill>
        </w:rPr>
        <w:t xml:space="preserve">年</w:t>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14:textFill>
            <w14:solidFill>
              <w14:schemeClr w14:val="tx1"/>
            </w14:solidFill>
          </w14:textFill>
        </w:rPr>
        <w:t xml:space="preserve">月</w:t>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u w:val="single"/>
          <w14:textFill>
            <w14:solidFill>
              <w14:schemeClr w14:val="tx1"/>
            </w14:solidFill>
          </w14:textFill>
        </w:rPr>
        <w:tab/>
      </w:r>
      <w:r>
        <w:rPr>
          <w:rFonts w:hint="eastAsia" w:ascii="宋体" w:hAnsi="宋体" w:cs="宋体"/>
          <w:bCs/>
          <w:color w:val="000000" w:themeColor="text1"/>
          <w:szCs w:val="21"/>
          <w14:textFill>
            <w14:solidFill>
              <w14:schemeClr w14:val="tx1"/>
            </w14:solidFill>
          </w14:textFill>
        </w:rPr>
        <w:t xml:space="preserve">日</w:t>
      </w:r>
      <w:r/>
    </w:p>
    <w:p>
      <w:pPr>
        <w:pStyle w:val="1104"/>
        <w:ind w:firstLine="164"/>
        <w:jc w:val="center"/>
        <w:spacing w:line="360" w:lineRule="auto"/>
        <w:rPr>
          <w:rFonts w:hint="eastAsia"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r>
      <w:r/>
    </w:p>
    <w:p>
      <w:pPr>
        <w:ind w:right="420" w:firstLine="378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w:r/>
  </w:p>
  <w:p>
    <w:pPr>
      <w:pStyle w:val="8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85"/>
                          </w:pPr>
                          <w:r>
                            <w:fldChar w:fldCharType="begin"/>
                          </w:r>
                          <w:r>
                            <w:instrText xml:space="preserve"> PAGE  \* MERGEFORMAT </w:instrText>
                          </w:r>
                          <w:r>
                            <w:fldChar w:fldCharType="separate"/>
                          </w:r>
                          <w:r>
                            <w:t xml:space="preserve">10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5"/>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76238843"/>
      <w:rPr/>
    </w:sdtPr>
    <w:sdtContent>
      <w:p>
        <w:pPr>
          <w:pStyle w:val="885"/>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86"/>
    </w:pPr>
    <w:r>
      <w:rPr>
        <w:rFonts w:hint="eastAsia" w:ascii="宋体" w:hAnsi="宋体" w:cs="宋体"/>
        <w:color w:val="000000"/>
        <w:sz w:val="22"/>
        <w:szCs w:val="22"/>
      </w:rPr>
      <w:t xml:space="preserve">（南京鼓楼医院</w:t>
    </w:r>
    <w:r>
      <w:rPr>
        <w:rFonts w:hint="eastAsia" w:ascii="宋体" w:hAnsi="宋体" w:cs="宋体"/>
        <w:color w:val="000000"/>
        <w:sz w:val="22"/>
        <w:szCs w:val="22"/>
        <w:lang w:eastAsia="zh-CN"/>
      </w:rPr>
      <w:t xml:space="preserve">医疗责任保险服务项目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2"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0"/>
  </w:num>
  <w:num w:numId="3">
    <w:abstractNumId w:val="44"/>
  </w:num>
  <w:num w:numId="4">
    <w:abstractNumId w:val="42"/>
  </w:num>
  <w:num w:numId="5">
    <w:abstractNumId w:val="45"/>
  </w:num>
  <w:num w:numId="6">
    <w:abstractNumId w:val="35"/>
  </w:num>
  <w:num w:numId="7">
    <w:abstractNumId w:val="41"/>
  </w:num>
  <w:num w:numId="8">
    <w:abstractNumId w:val="3"/>
  </w:num>
  <w:num w:numId="9">
    <w:abstractNumId w:val="12"/>
  </w:num>
  <w:num w:numId="10">
    <w:abstractNumId w:val="25"/>
  </w:num>
  <w:num w:numId="11">
    <w:abstractNumId w:val="34"/>
  </w:num>
  <w:num w:numId="12">
    <w:abstractNumId w:val="26"/>
  </w:num>
  <w:num w:numId="13">
    <w:abstractNumId w:val="14"/>
  </w:num>
  <w:num w:numId="14">
    <w:abstractNumId w:val="43"/>
  </w:num>
  <w:num w:numId="15">
    <w:abstractNumId w:val="39"/>
  </w:num>
  <w:num w:numId="16">
    <w:abstractNumId w:val="13"/>
  </w:num>
  <w:num w:numId="17">
    <w:abstractNumId w:val="11"/>
  </w:num>
  <w:num w:numId="18">
    <w:abstractNumId w:val="9"/>
  </w:num>
  <w:num w:numId="19">
    <w:abstractNumId w:val="31"/>
  </w:num>
  <w:num w:numId="20">
    <w:abstractNumId w:val="38"/>
  </w:num>
  <w:num w:numId="21">
    <w:abstractNumId w:val="2"/>
  </w:num>
  <w:num w:numId="22">
    <w:abstractNumId w:val="0"/>
  </w:num>
  <w:num w:numId="23">
    <w:abstractNumId w:val="17"/>
  </w:num>
  <w:num w:numId="24">
    <w:abstractNumId w:val="22"/>
  </w:num>
  <w:num w:numId="25">
    <w:abstractNumId w:val="32"/>
  </w:num>
  <w:num w:numId="26">
    <w:abstractNumId w:val="28"/>
  </w:num>
  <w:num w:numId="27">
    <w:abstractNumId w:val="24"/>
  </w:num>
  <w:num w:numId="28">
    <w:abstractNumId w:val="18"/>
  </w:num>
  <w:num w:numId="29">
    <w:abstractNumId w:val="27"/>
  </w:num>
  <w:num w:numId="30">
    <w:abstractNumId w:val="47"/>
  </w:num>
  <w:num w:numId="31">
    <w:abstractNumId w:val="20"/>
  </w:num>
  <w:num w:numId="32">
    <w:abstractNumId w:val="46"/>
  </w:num>
  <w:num w:numId="33">
    <w:abstractNumId w:val="33"/>
  </w:num>
  <w:num w:numId="34">
    <w:abstractNumId w:val="19"/>
  </w:num>
  <w:num w:numId="35">
    <w:abstractNumId w:val="7"/>
  </w:num>
  <w:num w:numId="36">
    <w:abstractNumId w:val="37"/>
  </w:num>
  <w:num w:numId="37">
    <w:abstractNumId w:val="40"/>
  </w:num>
  <w:num w:numId="38">
    <w:abstractNumId w:val="29"/>
  </w:num>
  <w:num w:numId="39">
    <w:abstractNumId w:val="8"/>
  </w:num>
  <w:num w:numId="40">
    <w:abstractNumId w:val="16"/>
  </w:num>
  <w:num w:numId="41">
    <w:abstractNumId w:val="1"/>
  </w:num>
  <w:num w:numId="42">
    <w:abstractNumId w:val="23"/>
  </w:num>
  <w:num w:numId="43">
    <w:abstractNumId w:val="21"/>
  </w:num>
  <w:num w:numId="44">
    <w:abstractNumId w:val="6"/>
  </w:num>
  <w:num w:numId="45">
    <w:abstractNumId w:val="15"/>
  </w:num>
  <w:num w:numId="46">
    <w:abstractNumId w:val="36"/>
  </w:num>
  <w:num w:numId="47">
    <w:abstractNumId w:val="10"/>
  </w:num>
  <w:num w:numId="48">
    <w:abstractNumId w:val="4"/>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8">
    <w:name w:val="Heading 5 Char"/>
    <w:basedOn w:val="866"/>
    <w:link w:val="861"/>
    <w:uiPriority w:val="9"/>
    <w:rPr>
      <w:rFonts w:ascii="Arial" w:hAnsi="Arial" w:eastAsia="Arial" w:cs="Arial"/>
      <w:b/>
      <w:bCs/>
      <w:sz w:val="24"/>
      <w:szCs w:val="24"/>
    </w:rPr>
  </w:style>
  <w:style w:type="character" w:styleId="829">
    <w:name w:val="Heading 7 Char"/>
    <w:basedOn w:val="866"/>
    <w:link w:val="863"/>
    <w:uiPriority w:val="9"/>
    <w:rPr>
      <w:rFonts w:ascii="Arial" w:hAnsi="Arial" w:eastAsia="Arial" w:cs="Arial"/>
      <w:b/>
      <w:bCs/>
      <w:i/>
      <w:iCs/>
      <w:sz w:val="22"/>
      <w:szCs w:val="22"/>
    </w:rPr>
  </w:style>
  <w:style w:type="character" w:styleId="830">
    <w:name w:val="Heading 9 Char"/>
    <w:basedOn w:val="866"/>
    <w:link w:val="865"/>
    <w:uiPriority w:val="9"/>
    <w:rPr>
      <w:rFonts w:ascii="Arial" w:hAnsi="Arial" w:eastAsia="Arial" w:cs="Arial"/>
      <w:i/>
      <w:iCs/>
      <w:sz w:val="21"/>
      <w:szCs w:val="21"/>
    </w:rPr>
  </w:style>
  <w:style w:type="character" w:styleId="831">
    <w:name w:val="Subtitle Char"/>
    <w:basedOn w:val="866"/>
    <w:link w:val="889"/>
    <w:uiPriority w:val="11"/>
    <w:rPr>
      <w:sz w:val="24"/>
      <w:szCs w:val="24"/>
    </w:rPr>
  </w:style>
  <w:style w:type="character" w:styleId="832">
    <w:name w:val="Quote Char"/>
    <w:link w:val="926"/>
    <w:uiPriority w:val="29"/>
    <w:rPr>
      <w:i/>
    </w:rPr>
  </w:style>
  <w:style w:type="character" w:styleId="833">
    <w:name w:val="Intense Quote Char"/>
    <w:link w:val="928"/>
    <w:uiPriority w:val="30"/>
    <w:rPr>
      <w:i/>
    </w:rPr>
  </w:style>
  <w:style w:type="table" w:styleId="834">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3">
    <w:name w:val="Footnote Text Char"/>
    <w:link w:val="890"/>
    <w:uiPriority w:val="99"/>
    <w:rPr>
      <w:sz w:val="18"/>
    </w:rPr>
  </w:style>
  <w:style w:type="character" w:styleId="854">
    <w:name w:val="Endnote Text Char"/>
    <w:link w:val="883"/>
    <w:uiPriority w:val="99"/>
    <w:rPr>
      <w:sz w:val="20"/>
    </w:rPr>
  </w:style>
  <w:style w:type="paragraph" w:styleId="855">
    <w:name w:val="TOC Heading"/>
    <w:uiPriority w:val="39"/>
    <w:unhideWhenUsed/>
  </w:style>
  <w:style w:type="paragraph" w:styleId="85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7">
    <w:name w:val="Heading 1"/>
    <w:basedOn w:val="856"/>
    <w:next w:val="856"/>
    <w:link w:val="1062"/>
    <w:uiPriority w:val="0"/>
    <w:qFormat/>
    <w:pPr>
      <w:ind w:left="100" w:right="100"/>
      <w:keepLines/>
      <w:keepNext/>
      <w:spacing w:before="120" w:after="120"/>
      <w:outlineLvl w:val="0"/>
    </w:pPr>
    <w:rPr>
      <w:b/>
      <w:bCs/>
      <w:szCs w:val="44"/>
    </w:rPr>
  </w:style>
  <w:style w:type="paragraph" w:styleId="858">
    <w:name w:val="Heading 2"/>
    <w:basedOn w:val="856"/>
    <w:next w:val="856"/>
    <w:link w:val="909"/>
    <w:uiPriority w:val="0"/>
    <w:qFormat/>
    <w:pPr>
      <w:keepLines/>
      <w:keepNext/>
      <w:spacing w:before="260" w:after="260" w:line="416" w:lineRule="auto"/>
      <w:outlineLvl w:val="1"/>
    </w:pPr>
    <w:rPr>
      <w:rFonts w:ascii="等线 Light" w:hAnsi="等线 Light" w:eastAsia="等线 Light"/>
      <w:b/>
      <w:bCs/>
      <w:sz w:val="32"/>
      <w:szCs w:val="32"/>
    </w:rPr>
  </w:style>
  <w:style w:type="paragraph" w:styleId="859">
    <w:name w:val="Heading 3"/>
    <w:basedOn w:val="856"/>
    <w:next w:val="856"/>
    <w:link w:val="908"/>
    <w:uiPriority w:val="9"/>
    <w:qFormat/>
    <w:pPr>
      <w:keepLines/>
      <w:keepNext/>
      <w:spacing w:before="260" w:after="260" w:line="416" w:lineRule="auto"/>
      <w:outlineLvl w:val="2"/>
    </w:pPr>
    <w:rPr>
      <w:b/>
      <w:bCs/>
      <w:sz w:val="32"/>
      <w:szCs w:val="32"/>
    </w:rPr>
  </w:style>
  <w:style w:type="paragraph" w:styleId="860">
    <w:name w:val="Heading 4"/>
    <w:basedOn w:val="856"/>
    <w:next w:val="856"/>
    <w:link w:val="911"/>
    <w:uiPriority w:val="0"/>
    <w:qFormat/>
    <w:pPr>
      <w:keepLines/>
      <w:keepNext/>
      <w:spacing w:before="280" w:after="290" w:line="376" w:lineRule="auto"/>
      <w:outlineLvl w:val="3"/>
    </w:pPr>
    <w:rPr>
      <w:rFonts w:ascii="等线 Light" w:hAnsi="等线 Light" w:eastAsia="等线 Light"/>
      <w:b/>
      <w:bCs/>
      <w:sz w:val="28"/>
      <w:szCs w:val="28"/>
    </w:rPr>
  </w:style>
  <w:style w:type="paragraph" w:styleId="861">
    <w:name w:val="Heading 5"/>
    <w:basedOn w:val="856"/>
    <w:next w:val="856"/>
    <w:link w:val="919"/>
    <w:uiPriority w:val="9"/>
    <w:unhideWhenUsed/>
    <w:qFormat/>
    <w:pPr>
      <w:keepLines/>
      <w:keepNext/>
      <w:spacing w:before="320" w:after="200"/>
      <w:outlineLvl w:val="4"/>
    </w:pPr>
    <w:rPr>
      <w:rFonts w:ascii="Arial" w:hAnsi="Arial" w:eastAsia="Arial" w:cs="Arial"/>
      <w:b/>
      <w:bCs/>
      <w:sz w:val="24"/>
    </w:rPr>
  </w:style>
  <w:style w:type="paragraph" w:styleId="862">
    <w:name w:val="Heading 6"/>
    <w:basedOn w:val="856"/>
    <w:next w:val="856"/>
    <w:link w:val="1063"/>
    <w:uiPriority w:val="0"/>
    <w:qFormat/>
    <w:pPr>
      <w:keepLines/>
      <w:keepNext/>
      <w:spacing w:before="240" w:after="64" w:line="320" w:lineRule="auto"/>
      <w:outlineLvl w:val="5"/>
    </w:pPr>
    <w:rPr>
      <w:rFonts w:ascii="等线 Light" w:hAnsi="等线 Light" w:eastAsia="等线 Light"/>
      <w:b/>
      <w:bCs/>
      <w:sz w:val="24"/>
    </w:rPr>
  </w:style>
  <w:style w:type="paragraph" w:styleId="863">
    <w:name w:val="Heading 7"/>
    <w:basedOn w:val="856"/>
    <w:next w:val="856"/>
    <w:link w:val="921"/>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1064"/>
    <w:uiPriority w:val="0"/>
    <w:qFormat/>
    <w:pPr>
      <w:keepLines/>
      <w:keepNext/>
      <w:spacing w:before="240" w:after="64" w:line="320" w:lineRule="auto"/>
      <w:outlineLvl w:val="7"/>
    </w:pPr>
    <w:rPr>
      <w:rFonts w:ascii="等线 Light" w:hAnsi="等线 Light" w:eastAsia="等线 Light"/>
      <w:sz w:val="24"/>
    </w:rPr>
  </w:style>
  <w:style w:type="paragraph" w:styleId="865">
    <w:name w:val="Heading 9"/>
    <w:basedOn w:val="856"/>
    <w:next w:val="856"/>
    <w:link w:val="923"/>
    <w:uiPriority w:val="9"/>
    <w:unhideWhenUsed/>
    <w:qFormat/>
    <w:pPr>
      <w:keepLines/>
      <w:keepNext/>
      <w:spacing w:before="320" w:after="200"/>
      <w:outlineLvl w:val="8"/>
    </w:pPr>
    <w:rPr>
      <w:rFonts w:ascii="Arial" w:hAnsi="Arial" w:eastAsia="Arial" w:cs="Arial"/>
      <w:i/>
      <w:iCs/>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List 3"/>
    <w:basedOn w:val="856"/>
    <w:uiPriority w:val="0"/>
    <w:qFormat/>
    <w:pPr>
      <w:contextualSpacing/>
      <w:ind w:left="100" w:hanging="200"/>
      <w:jc w:val="left"/>
      <w:widowControl/>
    </w:pPr>
    <w:rPr>
      <w:sz w:val="20"/>
      <w:szCs w:val="20"/>
    </w:rPr>
  </w:style>
  <w:style w:type="paragraph" w:styleId="869">
    <w:name w:val="toc 7"/>
    <w:basedOn w:val="856"/>
    <w:next w:val="856"/>
    <w:uiPriority w:val="39"/>
    <w:unhideWhenUsed/>
    <w:qFormat/>
    <w:pPr>
      <w:ind w:left="1701"/>
      <w:spacing w:after="57"/>
    </w:pPr>
  </w:style>
  <w:style w:type="paragraph" w:styleId="870">
    <w:name w:val="Normal Indent"/>
    <w:basedOn w:val="856"/>
    <w:link w:val="1066"/>
    <w:uiPriority w:val="99"/>
    <w:qFormat/>
    <w:pPr>
      <w:ind w:firstLine="420"/>
    </w:pPr>
    <w:rPr>
      <w:szCs w:val="20"/>
    </w:rPr>
  </w:style>
  <w:style w:type="paragraph" w:styleId="871">
    <w:name w:val="Caption"/>
    <w:basedOn w:val="856"/>
    <w:next w:val="85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72">
    <w:name w:val="Document Map"/>
    <w:basedOn w:val="856"/>
    <w:link w:val="1067"/>
    <w:uiPriority w:val="0"/>
    <w:qFormat/>
    <w:pPr>
      <w:shd w:val="clear" w:color="auto" w:fill="000080"/>
    </w:pPr>
  </w:style>
  <w:style w:type="paragraph" w:styleId="873">
    <w:name w:val="annotation text"/>
    <w:basedOn w:val="856"/>
    <w:link w:val="1068"/>
    <w:uiPriority w:val="0"/>
    <w:qFormat/>
    <w:pPr>
      <w:jc w:val="left"/>
    </w:pPr>
  </w:style>
  <w:style w:type="paragraph" w:styleId="874">
    <w:name w:val="Body Text"/>
    <w:basedOn w:val="856"/>
    <w:next w:val="856"/>
    <w:link w:val="1069"/>
    <w:uiPriority w:val="1"/>
    <w:qFormat/>
    <w:pPr>
      <w:spacing w:after="120"/>
    </w:pPr>
  </w:style>
  <w:style w:type="paragraph" w:styleId="875">
    <w:name w:val="Body Text Indent"/>
    <w:basedOn w:val="856"/>
    <w:next w:val="876"/>
    <w:uiPriority w:val="0"/>
    <w:qFormat/>
    <w:pPr>
      <w:ind w:left="420"/>
      <w:spacing w:after="120"/>
    </w:pPr>
  </w:style>
  <w:style w:type="paragraph" w:styleId="876">
    <w:name w:val="envelope return"/>
    <w:basedOn w:val="856"/>
    <w:uiPriority w:val="0"/>
    <w:qFormat/>
    <w:rPr>
      <w:rFonts w:ascii="Arial" w:hAnsi="Arial"/>
    </w:rPr>
  </w:style>
  <w:style w:type="paragraph" w:styleId="877">
    <w:name w:val="index 4"/>
    <w:basedOn w:val="856"/>
    <w:next w:val="856"/>
    <w:uiPriority w:val="99"/>
    <w:unhideWhenUsed/>
    <w:qFormat/>
    <w:pPr>
      <w:ind w:left="600"/>
    </w:pPr>
    <w:rPr>
      <w:rFonts w:ascii="宋体"/>
      <w:b/>
      <w:position w:val="-10"/>
      <w:sz w:val="24"/>
      <w:szCs w:val="20"/>
    </w:rPr>
  </w:style>
  <w:style w:type="paragraph" w:styleId="878">
    <w:name w:val="toc 5"/>
    <w:basedOn w:val="856"/>
    <w:next w:val="856"/>
    <w:uiPriority w:val="39"/>
    <w:unhideWhenUsed/>
    <w:qFormat/>
    <w:pPr>
      <w:ind w:left="1134"/>
      <w:spacing w:after="57"/>
    </w:pPr>
  </w:style>
  <w:style w:type="paragraph" w:styleId="879">
    <w:name w:val="toc 3"/>
    <w:basedOn w:val="856"/>
    <w:next w:val="856"/>
    <w:uiPriority w:val="39"/>
    <w:unhideWhenUsed/>
    <w:qFormat/>
    <w:pPr>
      <w:ind w:left="567"/>
      <w:spacing w:after="57"/>
    </w:pPr>
  </w:style>
  <w:style w:type="paragraph" w:styleId="880">
    <w:name w:val="Plain Text"/>
    <w:basedOn w:val="856"/>
    <w:link w:val="1072"/>
    <w:uiPriority w:val="0"/>
    <w:qFormat/>
    <w:rPr>
      <w:rFonts w:ascii="宋体" w:hAnsi="Courier New" w:cs="Courier New"/>
      <w:szCs w:val="21"/>
    </w:rPr>
  </w:style>
  <w:style w:type="paragraph" w:styleId="881">
    <w:name w:val="toc 8"/>
    <w:basedOn w:val="856"/>
    <w:next w:val="856"/>
    <w:uiPriority w:val="39"/>
    <w:unhideWhenUsed/>
    <w:qFormat/>
    <w:pPr>
      <w:ind w:left="1984"/>
      <w:spacing w:after="57"/>
    </w:pPr>
  </w:style>
  <w:style w:type="paragraph" w:styleId="882">
    <w:name w:val="Date"/>
    <w:basedOn w:val="856"/>
    <w:next w:val="856"/>
    <w:link w:val="1074"/>
    <w:uiPriority w:val="0"/>
    <w:qFormat/>
    <w:rPr>
      <w:sz w:val="24"/>
      <w:szCs w:val="20"/>
    </w:rPr>
  </w:style>
  <w:style w:type="paragraph" w:styleId="883">
    <w:name w:val="endnote text"/>
    <w:basedOn w:val="856"/>
    <w:link w:val="1059"/>
    <w:uiPriority w:val="99"/>
    <w:semiHidden/>
    <w:unhideWhenUsed/>
    <w:qFormat/>
    <w:rPr>
      <w:sz w:val="20"/>
    </w:rPr>
  </w:style>
  <w:style w:type="paragraph" w:styleId="884">
    <w:name w:val="Balloon Text"/>
    <w:basedOn w:val="856"/>
    <w:link w:val="1075"/>
    <w:uiPriority w:val="0"/>
    <w:qFormat/>
    <w:rPr>
      <w:sz w:val="18"/>
      <w:szCs w:val="18"/>
    </w:rPr>
  </w:style>
  <w:style w:type="paragraph" w:styleId="885">
    <w:name w:val="Footer"/>
    <w:basedOn w:val="856"/>
    <w:link w:val="1076"/>
    <w:uiPriority w:val="99"/>
    <w:qFormat/>
    <w:pPr>
      <w:jc w:val="left"/>
      <w:tabs>
        <w:tab w:val="center" w:pos="4153" w:leader="none"/>
        <w:tab w:val="right" w:pos="8306" w:leader="none"/>
      </w:tabs>
    </w:pPr>
    <w:rPr>
      <w:sz w:val="18"/>
      <w:szCs w:val="18"/>
    </w:rPr>
  </w:style>
  <w:style w:type="paragraph" w:styleId="886">
    <w:name w:val="Header"/>
    <w:basedOn w:val="856"/>
    <w:link w:val="1077"/>
    <w:uiPriority w:val="99"/>
    <w:qFormat/>
    <w:pPr>
      <w:jc w:val="center"/>
      <w:tabs>
        <w:tab w:val="center" w:pos="4153" w:leader="none"/>
        <w:tab w:val="right" w:pos="8306" w:leader="none"/>
      </w:tabs>
      <w:pBdr>
        <w:bottom w:val="single" w:color="auto" w:sz="6" w:space="1"/>
      </w:pBdr>
    </w:pPr>
    <w:rPr>
      <w:sz w:val="18"/>
      <w:szCs w:val="18"/>
    </w:rPr>
  </w:style>
  <w:style w:type="paragraph" w:styleId="887">
    <w:name w:val="toc 1"/>
    <w:basedOn w:val="856"/>
    <w:next w:val="856"/>
    <w:uiPriority w:val="39"/>
    <w:unhideWhenUsed/>
    <w:qFormat/>
    <w:pPr>
      <w:spacing w:after="57"/>
    </w:pPr>
  </w:style>
  <w:style w:type="paragraph" w:styleId="888">
    <w:name w:val="toc 4"/>
    <w:basedOn w:val="856"/>
    <w:next w:val="856"/>
    <w:uiPriority w:val="39"/>
    <w:unhideWhenUsed/>
    <w:qFormat/>
    <w:pPr>
      <w:ind w:left="850"/>
      <w:spacing w:after="57"/>
    </w:pPr>
  </w:style>
  <w:style w:type="paragraph" w:styleId="889">
    <w:name w:val="Subtitle"/>
    <w:basedOn w:val="856"/>
    <w:next w:val="856"/>
    <w:link w:val="925"/>
    <w:uiPriority w:val="11"/>
    <w:qFormat/>
    <w:pPr>
      <w:spacing w:before="200" w:after="200"/>
    </w:pPr>
    <w:rPr>
      <w:sz w:val="24"/>
    </w:rPr>
  </w:style>
  <w:style w:type="paragraph" w:styleId="890">
    <w:name w:val="footnote text"/>
    <w:basedOn w:val="856"/>
    <w:link w:val="1058"/>
    <w:uiPriority w:val="99"/>
    <w:semiHidden/>
    <w:unhideWhenUsed/>
    <w:qFormat/>
    <w:pPr>
      <w:spacing w:after="40"/>
    </w:pPr>
    <w:rPr>
      <w:sz w:val="18"/>
    </w:rPr>
  </w:style>
  <w:style w:type="paragraph" w:styleId="891">
    <w:name w:val="toc 6"/>
    <w:basedOn w:val="856"/>
    <w:next w:val="856"/>
    <w:uiPriority w:val="39"/>
    <w:unhideWhenUsed/>
    <w:qFormat/>
    <w:pPr>
      <w:ind w:left="1417"/>
      <w:spacing w:after="57"/>
    </w:pPr>
  </w:style>
  <w:style w:type="paragraph" w:styleId="892">
    <w:name w:val="table of figures"/>
    <w:basedOn w:val="856"/>
    <w:next w:val="856"/>
    <w:uiPriority w:val="99"/>
    <w:unhideWhenUsed/>
    <w:qFormat/>
  </w:style>
  <w:style w:type="paragraph" w:styleId="893">
    <w:name w:val="toc 2"/>
    <w:basedOn w:val="856"/>
    <w:next w:val="856"/>
    <w:uiPriority w:val="99"/>
    <w:semiHidden/>
    <w:qFormat/>
    <w:pPr>
      <w:ind w:left="420"/>
    </w:pPr>
    <w:rPr>
      <w:rFonts w:eastAsia="楷体_GB2312"/>
      <w:sz w:val="26"/>
      <w:szCs w:val="26"/>
    </w:rPr>
  </w:style>
  <w:style w:type="paragraph" w:styleId="894">
    <w:name w:val="toc 9"/>
    <w:basedOn w:val="856"/>
    <w:next w:val="856"/>
    <w:uiPriority w:val="39"/>
    <w:unhideWhenUsed/>
    <w:qFormat/>
    <w:pPr>
      <w:ind w:left="2268"/>
      <w:spacing w:after="57"/>
    </w:pPr>
  </w:style>
  <w:style w:type="paragraph" w:styleId="895">
    <w:name w:val="Body Text 2"/>
    <w:basedOn w:val="856"/>
    <w:link w:val="1083"/>
    <w:uiPriority w:val="0"/>
    <w:qFormat/>
    <w:pPr>
      <w:spacing w:after="120" w:line="480" w:lineRule="auto"/>
    </w:pPr>
    <w:rPr>
      <w:rFonts w:ascii="Calibri" w:hAnsi="Calibri"/>
    </w:rPr>
  </w:style>
  <w:style w:type="paragraph" w:styleId="896">
    <w:name w:val="Normal (Web)"/>
    <w:basedOn w:val="856"/>
    <w:uiPriority w:val="99"/>
    <w:qFormat/>
    <w:pPr>
      <w:jc w:val="left"/>
      <w:spacing w:before="100" w:beforeAutospacing="1" w:after="100" w:afterAutospacing="1"/>
      <w:widowControl/>
    </w:pPr>
    <w:rPr>
      <w:sz w:val="24"/>
    </w:rPr>
  </w:style>
  <w:style w:type="paragraph" w:styleId="897">
    <w:name w:val="Title"/>
    <w:basedOn w:val="856"/>
    <w:next w:val="856"/>
    <w:link w:val="1084"/>
    <w:uiPriority w:val="0"/>
    <w:qFormat/>
    <w:pPr>
      <w:jc w:val="center"/>
      <w:spacing w:before="240" w:after="60" w:line="360" w:lineRule="auto"/>
      <w:outlineLvl w:val="0"/>
    </w:pPr>
    <w:rPr>
      <w:rFonts w:ascii="等线 Light" w:hAnsi="等线 Light"/>
      <w:b/>
      <w:bCs/>
      <w:sz w:val="32"/>
      <w:szCs w:val="32"/>
    </w:rPr>
  </w:style>
  <w:style w:type="paragraph" w:styleId="898">
    <w:name w:val="annotation subject"/>
    <w:basedOn w:val="873"/>
    <w:next w:val="873"/>
    <w:link w:val="1085"/>
    <w:uiPriority w:val="0"/>
    <w:qFormat/>
    <w:rPr>
      <w:b/>
      <w:bCs/>
    </w:rPr>
  </w:style>
  <w:style w:type="paragraph" w:styleId="899">
    <w:name w:val="Body Text First Indent"/>
    <w:basedOn w:val="874"/>
    <w:uiPriority w:val="0"/>
    <w:qFormat/>
    <w:pPr>
      <w:ind w:firstLine="420"/>
      <w:spacing w:line="360" w:lineRule="auto"/>
    </w:pPr>
    <w:rPr>
      <w:szCs w:val="21"/>
    </w:rPr>
  </w:style>
  <w:style w:type="table" w:styleId="900">
    <w:name w:val="Table Grid"/>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uiPriority w:val="0"/>
    <w:qFormat/>
    <w:rPr>
      <w:b/>
      <w:bCs/>
    </w:rPr>
  </w:style>
  <w:style w:type="character" w:styleId="902">
    <w:name w:val="endnote reference"/>
    <w:basedOn w:val="866"/>
    <w:uiPriority w:val="99"/>
    <w:semiHidden/>
    <w:unhideWhenUsed/>
    <w:qFormat/>
    <w:rPr>
      <w:vertAlign w:val="superscript"/>
    </w:rPr>
  </w:style>
  <w:style w:type="character" w:styleId="903">
    <w:name w:val="page number"/>
    <w:uiPriority w:val="0"/>
    <w:qFormat/>
  </w:style>
  <w:style w:type="character" w:styleId="904">
    <w:name w:val="Emphasis"/>
    <w:uiPriority w:val="0"/>
    <w:qFormat/>
    <w:rPr>
      <w:i/>
      <w:iCs/>
    </w:rPr>
  </w:style>
  <w:style w:type="character" w:styleId="905">
    <w:name w:val="Hyperlink"/>
    <w:uiPriority w:val="99"/>
    <w:qFormat/>
    <w:rPr>
      <w:color w:val="auto"/>
      <w:u w:val="none"/>
    </w:rPr>
  </w:style>
  <w:style w:type="character" w:styleId="906">
    <w:name w:val="annotation reference"/>
    <w:uiPriority w:val="0"/>
    <w:qFormat/>
    <w:rPr>
      <w:sz w:val="21"/>
      <w:szCs w:val="21"/>
    </w:rPr>
  </w:style>
  <w:style w:type="character" w:styleId="907">
    <w:name w:val="footnote reference"/>
    <w:basedOn w:val="866"/>
    <w:uiPriority w:val="99"/>
    <w:unhideWhenUsed/>
    <w:qFormat/>
    <w:rPr>
      <w:vertAlign w:val="superscript"/>
    </w:rPr>
  </w:style>
  <w:style w:type="character" w:styleId="908" w:customStyle="1">
    <w:name w:val="标题 3 字符"/>
    <w:link w:val="859"/>
    <w:uiPriority w:val="9"/>
    <w:qFormat/>
    <w:rPr>
      <w:rFonts w:eastAsia="宋体"/>
      <w:b/>
      <w:bCs/>
      <w:sz w:val="32"/>
      <w:szCs w:val="32"/>
      <w:lang w:val="en-US" w:eastAsia="zh-CN" w:bidi="ar-SA"/>
    </w:rPr>
  </w:style>
  <w:style w:type="character" w:styleId="909" w:customStyle="1">
    <w:name w:val="标题 2 字符"/>
    <w:link w:val="858"/>
    <w:uiPriority w:val="0"/>
    <w:semiHidden/>
    <w:qFormat/>
    <w:rPr>
      <w:rFonts w:ascii="等线 Light" w:hAnsi="等线 Light" w:eastAsia="等线 Light" w:cs="Times New Roman"/>
      <w:b/>
      <w:bCs/>
      <w:sz w:val="32"/>
      <w:szCs w:val="32"/>
    </w:rPr>
  </w:style>
  <w:style w:type="paragraph" w:styleId="910" w:customStyle="1">
    <w:name w:val="段"/>
    <w:next w:val="856"/>
    <w:uiPriority w:val="0"/>
    <w:qFormat/>
    <w:pPr>
      <w:ind w:firstLine="200"/>
      <w:jc w:val="both"/>
      <w:spacing w:after="160" w:line="278" w:lineRule="auto"/>
    </w:pPr>
    <w:rPr>
      <w:rFonts w:ascii="宋体" w:hAnsi="Calibri" w:eastAsia="宋体" w:cs="Times New Roman"/>
      <w:sz w:val="21"/>
      <w:szCs w:val="22"/>
      <w:lang w:val="en-US" w:eastAsia="zh-CN" w:bidi="ar-SA"/>
    </w:rPr>
  </w:style>
  <w:style w:type="character" w:styleId="911" w:customStyle="1">
    <w:name w:val="标题 4 字符"/>
    <w:link w:val="860"/>
    <w:uiPriority w:val="0"/>
    <w:semiHidden/>
    <w:qFormat/>
    <w:rPr>
      <w:rFonts w:ascii="等线 Light" w:hAnsi="等线 Light" w:eastAsia="等线 Light" w:cs="Times New Roman"/>
      <w:b/>
      <w:bCs/>
      <w:sz w:val="28"/>
      <w:szCs w:val="28"/>
    </w:rPr>
  </w:style>
  <w:style w:type="paragraph" w:styleId="912" w:customStyle="1">
    <w:name w:val="首行缩进"/>
    <w:basedOn w:val="856"/>
    <w:uiPriority w:val="0"/>
    <w:qFormat/>
    <w:pPr>
      <w:spacing w:line="360" w:lineRule="auto"/>
    </w:pPr>
  </w:style>
  <w:style w:type="paragraph" w:styleId="913" w:customStyle="1">
    <w:name w:val="正文文本1"/>
    <w:basedOn w:val="914"/>
    <w:next w:val="856"/>
    <w:uiPriority w:val="0"/>
    <w:qFormat/>
    <w:pPr>
      <w:spacing w:after="120"/>
    </w:pPr>
    <w:rPr>
      <w:sz w:val="28"/>
    </w:rPr>
  </w:style>
  <w:style w:type="paragraph" w:styleId="914"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915" w:customStyle="1">
    <w:name w:val="Heading 1 Char"/>
    <w:basedOn w:val="866"/>
    <w:uiPriority w:val="9"/>
    <w:qFormat/>
    <w:rPr>
      <w:rFonts w:ascii="Arial" w:hAnsi="Arial" w:eastAsia="Arial" w:cs="Arial"/>
      <w:sz w:val="40"/>
      <w:szCs w:val="40"/>
    </w:rPr>
  </w:style>
  <w:style w:type="character" w:styleId="916" w:customStyle="1">
    <w:name w:val="Heading 2 Char"/>
    <w:basedOn w:val="866"/>
    <w:uiPriority w:val="9"/>
    <w:qFormat/>
    <w:rPr>
      <w:rFonts w:ascii="Arial" w:hAnsi="Arial" w:eastAsia="Arial" w:cs="Arial"/>
      <w:sz w:val="34"/>
    </w:rPr>
  </w:style>
  <w:style w:type="character" w:styleId="917" w:customStyle="1">
    <w:name w:val="Heading 3 Char"/>
    <w:basedOn w:val="866"/>
    <w:uiPriority w:val="9"/>
    <w:qFormat/>
    <w:rPr>
      <w:rFonts w:ascii="Arial" w:hAnsi="Arial" w:eastAsia="Arial" w:cs="Arial"/>
      <w:sz w:val="30"/>
      <w:szCs w:val="30"/>
    </w:rPr>
  </w:style>
  <w:style w:type="character" w:styleId="918" w:customStyle="1">
    <w:name w:val="Heading 4 Char"/>
    <w:basedOn w:val="866"/>
    <w:uiPriority w:val="9"/>
    <w:qFormat/>
    <w:rPr>
      <w:rFonts w:ascii="Arial" w:hAnsi="Arial" w:eastAsia="Arial" w:cs="Arial"/>
      <w:b/>
      <w:bCs/>
      <w:sz w:val="26"/>
      <w:szCs w:val="26"/>
    </w:rPr>
  </w:style>
  <w:style w:type="character" w:styleId="919" w:customStyle="1">
    <w:name w:val="标题 5 字符"/>
    <w:basedOn w:val="866"/>
    <w:link w:val="861"/>
    <w:uiPriority w:val="9"/>
    <w:qFormat/>
    <w:rPr>
      <w:rFonts w:ascii="Arial" w:hAnsi="Arial" w:eastAsia="Arial" w:cs="Arial"/>
      <w:b/>
      <w:bCs/>
      <w:sz w:val="24"/>
      <w:szCs w:val="24"/>
    </w:rPr>
  </w:style>
  <w:style w:type="character" w:styleId="920" w:customStyle="1">
    <w:name w:val="Heading 6 Char"/>
    <w:basedOn w:val="866"/>
    <w:uiPriority w:val="9"/>
    <w:qFormat/>
    <w:rPr>
      <w:rFonts w:ascii="Arial" w:hAnsi="Arial" w:eastAsia="Arial" w:cs="Arial"/>
      <w:b/>
      <w:bCs/>
      <w:sz w:val="22"/>
      <w:szCs w:val="22"/>
    </w:rPr>
  </w:style>
  <w:style w:type="character" w:styleId="921" w:customStyle="1">
    <w:name w:val="标题 7 字符"/>
    <w:basedOn w:val="866"/>
    <w:link w:val="863"/>
    <w:uiPriority w:val="9"/>
    <w:qFormat/>
    <w:rPr>
      <w:rFonts w:ascii="Arial" w:hAnsi="Arial" w:eastAsia="Arial" w:cs="Arial"/>
      <w:b/>
      <w:bCs/>
      <w:i/>
      <w:iCs/>
      <w:sz w:val="22"/>
      <w:szCs w:val="22"/>
    </w:rPr>
  </w:style>
  <w:style w:type="character" w:styleId="922" w:customStyle="1">
    <w:name w:val="Heading 8 Char"/>
    <w:basedOn w:val="866"/>
    <w:uiPriority w:val="9"/>
    <w:qFormat/>
    <w:rPr>
      <w:rFonts w:ascii="Arial" w:hAnsi="Arial" w:eastAsia="Arial" w:cs="Arial"/>
      <w:i/>
      <w:iCs/>
      <w:sz w:val="22"/>
      <w:szCs w:val="22"/>
    </w:rPr>
  </w:style>
  <w:style w:type="character" w:styleId="923" w:customStyle="1">
    <w:name w:val="标题 9 字符"/>
    <w:basedOn w:val="866"/>
    <w:link w:val="865"/>
    <w:uiPriority w:val="9"/>
    <w:qFormat/>
    <w:rPr>
      <w:rFonts w:ascii="Arial" w:hAnsi="Arial" w:eastAsia="Arial" w:cs="Arial"/>
      <w:i/>
      <w:iCs/>
      <w:sz w:val="21"/>
      <w:szCs w:val="21"/>
    </w:rPr>
  </w:style>
  <w:style w:type="character" w:styleId="924" w:customStyle="1">
    <w:name w:val="Title Char"/>
    <w:basedOn w:val="866"/>
    <w:uiPriority w:val="10"/>
    <w:qFormat/>
    <w:rPr>
      <w:sz w:val="48"/>
      <w:szCs w:val="48"/>
    </w:rPr>
  </w:style>
  <w:style w:type="character" w:styleId="925" w:customStyle="1">
    <w:name w:val="副标题 字符"/>
    <w:basedOn w:val="866"/>
    <w:link w:val="889"/>
    <w:uiPriority w:val="11"/>
    <w:qFormat/>
    <w:rPr>
      <w:sz w:val="24"/>
      <w:szCs w:val="24"/>
    </w:rPr>
  </w:style>
  <w:style w:type="paragraph" w:styleId="926">
    <w:name w:val="Quote"/>
    <w:basedOn w:val="856"/>
    <w:next w:val="856"/>
    <w:link w:val="927"/>
    <w:uiPriority w:val="29"/>
    <w:qFormat/>
    <w:pPr>
      <w:ind w:left="720" w:right="720"/>
    </w:pPr>
    <w:rPr>
      <w:i/>
    </w:rPr>
  </w:style>
  <w:style w:type="character" w:styleId="927" w:customStyle="1">
    <w:name w:val="引用 字符"/>
    <w:link w:val="926"/>
    <w:uiPriority w:val="29"/>
    <w:qFormat/>
    <w:rPr>
      <w:i/>
    </w:rPr>
  </w:style>
  <w:style w:type="paragraph" w:styleId="928">
    <w:name w:val="Intense Quote"/>
    <w:basedOn w:val="856"/>
    <w:next w:val="856"/>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明显引用 字符"/>
    <w:link w:val="928"/>
    <w:uiPriority w:val="30"/>
    <w:qFormat/>
    <w:rPr>
      <w:i/>
    </w:rPr>
  </w:style>
  <w:style w:type="character" w:styleId="930" w:customStyle="1">
    <w:name w:val="Header Char"/>
    <w:basedOn w:val="866"/>
    <w:uiPriority w:val="99"/>
    <w:qFormat/>
  </w:style>
  <w:style w:type="character" w:styleId="931" w:customStyle="1">
    <w:name w:val="Footer Char"/>
    <w:basedOn w:val="866"/>
    <w:uiPriority w:val="99"/>
    <w:qFormat/>
  </w:style>
  <w:style w:type="character" w:styleId="932" w:customStyle="1">
    <w:name w:val="Caption Char"/>
    <w:uiPriority w:val="99"/>
    <w:qFormat/>
  </w:style>
  <w:style w:type="table" w:styleId="933" w:customStyle="1">
    <w:name w:val="Table Grid Light"/>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4"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1"/>
    <w:basedOn w:val="86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2"/>
    <w:basedOn w:val="8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3"/>
    <w:basedOn w:val="8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4"/>
    <w:basedOn w:val="8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5"/>
    <w:basedOn w:val="86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6"/>
    <w:basedOn w:val="8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6"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7" w:customStyle="1">
    <w:name w:val="Grid Table 2 - Accent 1"/>
    <w:basedOn w:val="86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8" w:customStyle="1">
    <w:name w:val="Grid Table 2 - Accent 2"/>
    <w:basedOn w:val="8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9" w:customStyle="1">
    <w:name w:val="Grid Table 2 - Accent 3"/>
    <w:basedOn w:val="8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0" w:customStyle="1">
    <w:name w:val="Grid Table 2 - Accent 4"/>
    <w:basedOn w:val="8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1" w:customStyle="1">
    <w:name w:val="Grid Table 2 - Accent 5"/>
    <w:basedOn w:val="86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2" w:customStyle="1">
    <w:name w:val="Grid Table 2 - Accent 6"/>
    <w:basedOn w:val="8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3"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1"/>
    <w:basedOn w:val="86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2"/>
    <w:basedOn w:val="8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3"/>
    <w:basedOn w:val="8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4"/>
    <w:basedOn w:val="8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5"/>
    <w:basedOn w:val="86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6"/>
    <w:basedOn w:val="8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1" w:customStyle="1">
    <w:name w:val="Grid Table 4 - Accent 1"/>
    <w:basedOn w:val="86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2" w:customStyle="1">
    <w:name w:val="Grid Table 4 - Accent 2"/>
    <w:basedOn w:val="86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3" w:customStyle="1">
    <w:name w:val="Grid Table 4 - Accent 3"/>
    <w:basedOn w:val="86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4" w:customStyle="1">
    <w:name w:val="Grid Table 4 - Accent 4"/>
    <w:basedOn w:val="86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5" w:customStyle="1">
    <w:name w:val="Grid Table 4 - Accent 5"/>
    <w:basedOn w:val="86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6" w:customStyle="1">
    <w:name w:val="Grid Table 4 - Accent 6"/>
    <w:basedOn w:val="86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7"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8" w:customStyle="1">
    <w:name w:val="Grid Table 5 Dark- Accent 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9" w:customStyle="1">
    <w:name w:val="Grid Table 5 Dark - Accent 2"/>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0" w:customStyle="1">
    <w:name w:val="Grid Table 5 Dark - Accent 3"/>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1" w:customStyle="1">
    <w:name w:val="Grid Table 5 Dark- Accent 4"/>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2" w:customStyle="1">
    <w:name w:val="Grid Table 5 Dark - Accent 5"/>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3" w:customStyle="1">
    <w:name w:val="Grid Table 5 Dark - Accent 6"/>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4"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6 Colorful - Accent 1"/>
    <w:basedOn w:val="867"/>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6" w:customStyle="1">
    <w:name w:val="Grid Table 6 Colorful - Accent 2"/>
    <w:basedOn w:val="8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7" w:customStyle="1">
    <w:name w:val="Grid Table 6 Colorful - Accent 3"/>
    <w:basedOn w:val="86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8" w:customStyle="1">
    <w:name w:val="Grid Table 6 Colorful - Accent 4"/>
    <w:basedOn w:val="8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9" w:customStyle="1">
    <w:name w:val="Grid Table 6 Colorful - Accent 5"/>
    <w:basedOn w:val="86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0" w:customStyle="1">
    <w:name w:val="Grid Table 6 Colorful - Accent 6"/>
    <w:basedOn w:val="86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1"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Grid Table 7 Colorful - Accent 1"/>
    <w:basedOn w:val="867"/>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3" w:customStyle="1">
    <w:name w:val="Grid Table 7 Colorful - Accent 2"/>
    <w:basedOn w:val="86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4" w:customStyle="1">
    <w:name w:val="Grid Table 7 Colorful - Accent 3"/>
    <w:basedOn w:val="86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5" w:customStyle="1">
    <w:name w:val="Grid Table 7 Colorful - Accent 4"/>
    <w:basedOn w:val="86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6" w:customStyle="1">
    <w:name w:val="Grid Table 7 Colorful - Accent 5"/>
    <w:basedOn w:val="86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7" w:customStyle="1">
    <w:name w:val="Grid Table 7 Colorful - Accent 6"/>
    <w:basedOn w:val="86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8"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9" w:customStyle="1">
    <w:name w:val="List Table 1 Light - Accent 1"/>
    <w:basedOn w:val="867"/>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0" w:customStyle="1">
    <w:name w:val="List Table 1 Light - Accent 2"/>
    <w:basedOn w:val="86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1" w:customStyle="1">
    <w:name w:val="List Table 1 Light - Accent 3"/>
    <w:basedOn w:val="86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2" w:customStyle="1">
    <w:name w:val="List Table 1 Light - Accent 4"/>
    <w:basedOn w:val="86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3" w:customStyle="1">
    <w:name w:val="List Table 1 Light - Accent 5"/>
    <w:basedOn w:val="86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4" w:customStyle="1">
    <w:name w:val="List Table 1 Light - Accent 6"/>
    <w:basedOn w:val="86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5"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6" w:customStyle="1">
    <w:name w:val="List Table 2 - Accent 1"/>
    <w:basedOn w:val="86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7" w:customStyle="1">
    <w:name w:val="List Table 2 - Accent 2"/>
    <w:basedOn w:val="86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8" w:customStyle="1">
    <w:name w:val="List Table 2 - Accent 3"/>
    <w:basedOn w:val="86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9" w:customStyle="1">
    <w:name w:val="List Table 2 - Accent 4"/>
    <w:basedOn w:val="86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0" w:customStyle="1">
    <w:name w:val="List Table 2 - Accent 5"/>
    <w:basedOn w:val="86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1" w:customStyle="1">
    <w:name w:val="List Table 2 - Accent 6"/>
    <w:basedOn w:val="86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2"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3 - Accent 1"/>
    <w:basedOn w:val="86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4" w:customStyle="1">
    <w:name w:val="List Table 3 - Accent 2"/>
    <w:basedOn w:val="8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5" w:customStyle="1">
    <w:name w:val="List Table 3 - Accent 3"/>
    <w:basedOn w:val="86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6" w:customStyle="1">
    <w:name w:val="List Table 3 - Accent 4"/>
    <w:basedOn w:val="8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7" w:customStyle="1">
    <w:name w:val="List Table 3 - Accent 5"/>
    <w:basedOn w:val="86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8" w:customStyle="1">
    <w:name w:val="List Table 3 - Accent 6"/>
    <w:basedOn w:val="86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9"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0" w:customStyle="1">
    <w:name w:val="List Table 4 - Accent 1"/>
    <w:basedOn w:val="86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1" w:customStyle="1">
    <w:name w:val="List Table 4 - Accent 2"/>
    <w:basedOn w:val="86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2" w:customStyle="1">
    <w:name w:val="List Table 4 - Accent 3"/>
    <w:basedOn w:val="86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3" w:customStyle="1">
    <w:name w:val="List Table 4 - Accent 4"/>
    <w:basedOn w:val="86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4" w:customStyle="1">
    <w:name w:val="List Table 4 - Accent 5"/>
    <w:basedOn w:val="86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5" w:customStyle="1">
    <w:name w:val="List Table 4 - Accent 6"/>
    <w:basedOn w:val="86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6"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1"/>
    <w:basedOn w:val="86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2"/>
    <w:basedOn w:val="86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3"/>
    <w:basedOn w:val="86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4"/>
    <w:basedOn w:val="86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5"/>
    <w:basedOn w:val="86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6"/>
    <w:basedOn w:val="86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4" w:customStyle="1">
    <w:name w:val="List Table 6 Colorful - Accent 1"/>
    <w:basedOn w:val="867"/>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5" w:customStyle="1">
    <w:name w:val="List Table 6 Colorful - Accent 2"/>
    <w:basedOn w:val="86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6" w:customStyle="1">
    <w:name w:val="List Table 6 Colorful - Accent 3"/>
    <w:basedOn w:val="86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7" w:customStyle="1">
    <w:name w:val="List Table 6 Colorful - Accent 4"/>
    <w:basedOn w:val="86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8" w:customStyle="1">
    <w:name w:val="List Table 6 Colorful - Accent 5"/>
    <w:basedOn w:val="86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9" w:customStyle="1">
    <w:name w:val="List Table 6 Colorful - Accent 6"/>
    <w:basedOn w:val="86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0"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List Table 7 Colorful - Accent 1"/>
    <w:basedOn w:val="867"/>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2" w:customStyle="1">
    <w:name w:val="List Table 7 Colorful - Accent 2"/>
    <w:basedOn w:val="86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3" w:customStyle="1">
    <w:name w:val="List Table 7 Colorful - Accent 3"/>
    <w:basedOn w:val="86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4" w:customStyle="1">
    <w:name w:val="List Table 7 Colorful - Accent 4"/>
    <w:basedOn w:val="86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5" w:customStyle="1">
    <w:name w:val="List Table 7 Colorful - Accent 5"/>
    <w:basedOn w:val="867"/>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6" w:customStyle="1">
    <w:name w:val="List Table 7 Colorful - Accent 6"/>
    <w:basedOn w:val="86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7" w:customStyle="1">
    <w:name w:val="Lined - Accent"/>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Lined - Accent 1"/>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9" w:customStyle="1">
    <w:name w:val="Lined - Accent 2"/>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0" w:customStyle="1">
    <w:name w:val="Lined - Accent 3"/>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1" w:customStyle="1">
    <w:name w:val="Lined - Accent 4"/>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2" w:customStyle="1">
    <w:name w:val="Lined - Accent 5"/>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3" w:customStyle="1">
    <w:name w:val="Lined - Accent 6"/>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4" w:customStyle="1">
    <w:name w:val="Bordered &amp; Lined - Accent"/>
    <w:basedOn w:val="8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5" w:customStyle="1">
    <w:name w:val="Bordered &amp; Lined - Accent 1"/>
    <w:basedOn w:val="867"/>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6" w:customStyle="1">
    <w:name w:val="Bordered &amp; Lined - Accent 2"/>
    <w:basedOn w:val="86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7" w:customStyle="1">
    <w:name w:val="Bordered &amp; Lined - Accent 3"/>
    <w:basedOn w:val="86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8" w:customStyle="1">
    <w:name w:val="Bordered &amp; Lined - Accent 4"/>
    <w:basedOn w:val="86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9" w:customStyle="1">
    <w:name w:val="Bordered &amp; Lined - Accent 5"/>
    <w:basedOn w:val="867"/>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0" w:customStyle="1">
    <w:name w:val="Bordered &amp; Lined - Accent 6"/>
    <w:basedOn w:val="86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1" w:customStyle="1">
    <w:name w:val="Bordered"/>
    <w:basedOn w:val="8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2" w:customStyle="1">
    <w:name w:val="Bordered - Accent 1"/>
    <w:basedOn w:val="867"/>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3" w:customStyle="1">
    <w:name w:val="Bordered - Accent 2"/>
    <w:basedOn w:val="8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4" w:customStyle="1">
    <w:name w:val="Bordered - Accent 3"/>
    <w:basedOn w:val="8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5" w:customStyle="1">
    <w:name w:val="Bordered - Accent 4"/>
    <w:basedOn w:val="8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6" w:customStyle="1">
    <w:name w:val="Bordered - Accent 5"/>
    <w:basedOn w:val="86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7" w:customStyle="1">
    <w:name w:val="Bordered - Accent 6"/>
    <w:basedOn w:val="8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8" w:customStyle="1">
    <w:name w:val="脚注文本 字符"/>
    <w:link w:val="890"/>
    <w:uiPriority w:val="99"/>
    <w:qFormat/>
    <w:rPr>
      <w:sz w:val="18"/>
    </w:rPr>
  </w:style>
  <w:style w:type="character" w:styleId="1059" w:customStyle="1">
    <w:name w:val="尾注文本 字符"/>
    <w:link w:val="883"/>
    <w:uiPriority w:val="99"/>
    <w:qFormat/>
    <w:rPr>
      <w:sz w:val="20"/>
    </w:rPr>
  </w:style>
  <w:style w:type="paragraph" w:styleId="1060" w:customStyle="1">
    <w:name w:val="TOC 标题1"/>
    <w:uiPriority w:val="39"/>
    <w:unhideWhenUsed/>
    <w:qFormat/>
    <w:rPr>
      <w:rFonts w:ascii="Times New Roman" w:hAnsi="Times New Roman" w:eastAsia="宋体" w:cs="Times New Roman"/>
      <w:lang w:val="en-US" w:eastAsia="zh-CN" w:bidi="ar-SA"/>
    </w:rPr>
  </w:style>
  <w:style w:type="paragraph" w:styleId="1061" w:customStyle="1">
    <w:name w:val="正文文本11"/>
    <w:basedOn w:val="856"/>
    <w:uiPriority w:val="99"/>
    <w:qFormat/>
    <w:rPr>
      <w:rFonts w:ascii="楷体_GB2312" w:hAnsi="宋体" w:eastAsia="楷体_GB2312"/>
      <w:sz w:val="28"/>
      <w:szCs w:val="28"/>
    </w:rPr>
  </w:style>
  <w:style w:type="character" w:styleId="1062" w:customStyle="1">
    <w:name w:val="标题 1 字符"/>
    <w:link w:val="857"/>
    <w:uiPriority w:val="0"/>
    <w:qFormat/>
    <w:rPr>
      <w:b/>
      <w:bCs/>
      <w:sz w:val="21"/>
      <w:szCs w:val="44"/>
    </w:rPr>
  </w:style>
  <w:style w:type="character" w:styleId="1063" w:customStyle="1">
    <w:name w:val="标题 6 字符"/>
    <w:link w:val="862"/>
    <w:uiPriority w:val="0"/>
    <w:qFormat/>
    <w:rPr>
      <w:rFonts w:ascii="等线 Light" w:hAnsi="等线 Light" w:eastAsia="等线 Light" w:cs="Times New Roman"/>
      <w:b/>
      <w:bCs/>
      <w:sz w:val="24"/>
      <w:szCs w:val="24"/>
    </w:rPr>
  </w:style>
  <w:style w:type="character" w:styleId="1064" w:customStyle="1">
    <w:name w:val="标题 8 字符"/>
    <w:link w:val="864"/>
    <w:uiPriority w:val="0"/>
    <w:semiHidden/>
    <w:qFormat/>
    <w:rPr>
      <w:rFonts w:ascii="等线 Light" w:hAnsi="等线 Light" w:eastAsia="等线 Light" w:cs="Times New Roman"/>
      <w:sz w:val="24"/>
      <w:szCs w:val="24"/>
    </w:rPr>
  </w:style>
  <w:style w:type="paragraph" w:styleId="1065" w:customStyle="1">
    <w:name w:val="目录 71"/>
    <w:basedOn w:val="856"/>
    <w:next w:val="856"/>
    <w:uiPriority w:val="39"/>
    <w:unhideWhenUsed/>
    <w:qFormat/>
    <w:pPr>
      <w:ind w:left="2520"/>
    </w:pPr>
    <w:rPr>
      <w:rFonts w:ascii="等线" w:hAnsi="等线" w:eastAsia="等线"/>
      <w:szCs w:val="22"/>
    </w:rPr>
  </w:style>
  <w:style w:type="character" w:styleId="1066" w:customStyle="1">
    <w:name w:val="正文缩进 字符"/>
    <w:link w:val="870"/>
    <w:uiPriority w:val="0"/>
    <w:qFormat/>
    <w:rPr>
      <w:sz w:val="21"/>
    </w:rPr>
  </w:style>
  <w:style w:type="character" w:styleId="1067" w:customStyle="1">
    <w:name w:val="文档结构图 字符"/>
    <w:link w:val="872"/>
    <w:uiPriority w:val="0"/>
    <w:qFormat/>
    <w:rPr>
      <w:sz w:val="21"/>
      <w:szCs w:val="24"/>
      <w:shd w:val="clear" w:color="auto" w:fill="000080"/>
    </w:rPr>
  </w:style>
  <w:style w:type="character" w:styleId="1068" w:customStyle="1">
    <w:name w:val="批注文字 字符"/>
    <w:link w:val="873"/>
    <w:uiPriority w:val="0"/>
    <w:qFormat/>
    <w:rPr>
      <w:sz w:val="21"/>
      <w:szCs w:val="24"/>
    </w:rPr>
  </w:style>
  <w:style w:type="character" w:styleId="1069" w:customStyle="1">
    <w:name w:val="正文文本 字符"/>
    <w:link w:val="874"/>
    <w:uiPriority w:val="1"/>
    <w:qFormat/>
    <w:rPr>
      <w:sz w:val="21"/>
      <w:szCs w:val="24"/>
    </w:rPr>
  </w:style>
  <w:style w:type="paragraph" w:styleId="1070" w:customStyle="1">
    <w:name w:val="目录 51"/>
    <w:basedOn w:val="856"/>
    <w:next w:val="856"/>
    <w:uiPriority w:val="39"/>
    <w:unhideWhenUsed/>
    <w:qFormat/>
    <w:pPr>
      <w:ind w:left="1680"/>
    </w:pPr>
    <w:rPr>
      <w:rFonts w:ascii="等线" w:hAnsi="等线" w:eastAsia="等线"/>
      <w:szCs w:val="22"/>
    </w:rPr>
  </w:style>
  <w:style w:type="paragraph" w:styleId="1071" w:customStyle="1">
    <w:name w:val="目录 31"/>
    <w:basedOn w:val="856"/>
    <w:next w:val="856"/>
    <w:uiPriority w:val="39"/>
    <w:unhideWhenUsed/>
    <w:qFormat/>
    <w:pPr>
      <w:ind w:left="440"/>
      <w:jc w:val="left"/>
      <w:spacing w:after="100" w:line="259" w:lineRule="auto"/>
      <w:widowControl/>
    </w:pPr>
    <w:rPr>
      <w:rFonts w:ascii="等线" w:hAnsi="等线" w:eastAsia="等线"/>
      <w:sz w:val="22"/>
      <w:szCs w:val="22"/>
    </w:rPr>
  </w:style>
  <w:style w:type="character" w:styleId="1072" w:customStyle="1">
    <w:name w:val="纯文本 字符"/>
    <w:link w:val="880"/>
    <w:uiPriority w:val="0"/>
    <w:qFormat/>
    <w:rPr>
      <w:rFonts w:ascii="宋体" w:hAnsi="Courier New" w:cs="Courier New"/>
      <w:sz w:val="21"/>
      <w:szCs w:val="21"/>
    </w:rPr>
  </w:style>
  <w:style w:type="paragraph" w:styleId="1073" w:customStyle="1">
    <w:name w:val="目录 81"/>
    <w:basedOn w:val="856"/>
    <w:next w:val="856"/>
    <w:uiPriority w:val="39"/>
    <w:unhideWhenUsed/>
    <w:qFormat/>
    <w:pPr>
      <w:ind w:left="2940"/>
    </w:pPr>
    <w:rPr>
      <w:rFonts w:ascii="等线" w:hAnsi="等线" w:eastAsia="等线"/>
      <w:szCs w:val="22"/>
    </w:rPr>
  </w:style>
  <w:style w:type="character" w:styleId="1074" w:customStyle="1">
    <w:name w:val="日期 字符"/>
    <w:link w:val="882"/>
    <w:uiPriority w:val="0"/>
    <w:qFormat/>
    <w:rPr>
      <w:sz w:val="24"/>
    </w:rPr>
  </w:style>
  <w:style w:type="character" w:styleId="1075" w:customStyle="1">
    <w:name w:val="批注框文本 字符"/>
    <w:link w:val="884"/>
    <w:uiPriority w:val="0"/>
    <w:qFormat/>
    <w:rPr>
      <w:sz w:val="18"/>
      <w:szCs w:val="18"/>
    </w:rPr>
  </w:style>
  <w:style w:type="character" w:styleId="1076" w:customStyle="1">
    <w:name w:val="页脚 字符"/>
    <w:link w:val="885"/>
    <w:uiPriority w:val="99"/>
    <w:qFormat/>
    <w:rPr>
      <w:sz w:val="18"/>
      <w:szCs w:val="18"/>
    </w:rPr>
  </w:style>
  <w:style w:type="character" w:styleId="1077" w:customStyle="1">
    <w:name w:val="页眉 字符"/>
    <w:link w:val="886"/>
    <w:uiPriority w:val="99"/>
    <w:qFormat/>
    <w:rPr>
      <w:sz w:val="18"/>
      <w:szCs w:val="18"/>
    </w:rPr>
  </w:style>
  <w:style w:type="paragraph" w:styleId="1078" w:customStyle="1">
    <w:name w:val="目录 11"/>
    <w:basedOn w:val="856"/>
    <w:next w:val="856"/>
    <w:uiPriority w:val="39"/>
    <w:qFormat/>
    <w:rPr>
      <w:rFonts w:ascii="仿宋_GB2312" w:eastAsia="仿宋_GB2312"/>
      <w:sz w:val="24"/>
    </w:rPr>
  </w:style>
  <w:style w:type="paragraph" w:styleId="1079" w:customStyle="1">
    <w:name w:val="目录 41"/>
    <w:basedOn w:val="856"/>
    <w:next w:val="856"/>
    <w:uiPriority w:val="39"/>
    <w:unhideWhenUsed/>
    <w:qFormat/>
    <w:pPr>
      <w:ind w:left="1260"/>
    </w:pPr>
    <w:rPr>
      <w:rFonts w:ascii="等线" w:hAnsi="等线" w:eastAsia="等线"/>
      <w:szCs w:val="22"/>
    </w:rPr>
  </w:style>
  <w:style w:type="paragraph" w:styleId="1080" w:customStyle="1">
    <w:name w:val="目录 61"/>
    <w:basedOn w:val="856"/>
    <w:next w:val="856"/>
    <w:uiPriority w:val="39"/>
    <w:unhideWhenUsed/>
    <w:qFormat/>
    <w:pPr>
      <w:ind w:left="2100"/>
    </w:pPr>
    <w:rPr>
      <w:rFonts w:ascii="等线" w:hAnsi="等线" w:eastAsia="等线"/>
      <w:szCs w:val="22"/>
    </w:rPr>
  </w:style>
  <w:style w:type="paragraph" w:styleId="1081" w:customStyle="1">
    <w:name w:val="目录 21"/>
    <w:basedOn w:val="856"/>
    <w:next w:val="856"/>
    <w:uiPriority w:val="39"/>
    <w:unhideWhenUsed/>
    <w:qFormat/>
    <w:pPr>
      <w:ind w:left="220"/>
      <w:jc w:val="left"/>
      <w:spacing w:after="100" w:line="259" w:lineRule="auto"/>
      <w:widowControl/>
    </w:pPr>
    <w:rPr>
      <w:rFonts w:ascii="等线" w:hAnsi="等线" w:eastAsia="等线"/>
      <w:sz w:val="22"/>
      <w:szCs w:val="22"/>
    </w:rPr>
  </w:style>
  <w:style w:type="paragraph" w:styleId="1082" w:customStyle="1">
    <w:name w:val="目录 91"/>
    <w:basedOn w:val="856"/>
    <w:next w:val="856"/>
    <w:uiPriority w:val="39"/>
    <w:unhideWhenUsed/>
    <w:qFormat/>
    <w:pPr>
      <w:ind w:left="3360"/>
    </w:pPr>
    <w:rPr>
      <w:rFonts w:ascii="等线" w:hAnsi="等线" w:eastAsia="等线"/>
      <w:szCs w:val="22"/>
    </w:rPr>
  </w:style>
  <w:style w:type="character" w:styleId="1083" w:customStyle="1">
    <w:name w:val="正文文本 2 字符"/>
    <w:link w:val="895"/>
    <w:uiPriority w:val="0"/>
    <w:qFormat/>
    <w:rPr>
      <w:rFonts w:ascii="Calibri" w:hAnsi="Calibri"/>
      <w:sz w:val="21"/>
      <w:szCs w:val="24"/>
    </w:rPr>
  </w:style>
  <w:style w:type="character" w:styleId="1084" w:customStyle="1">
    <w:name w:val="标题 字符"/>
    <w:link w:val="897"/>
    <w:uiPriority w:val="0"/>
    <w:qFormat/>
    <w:rPr>
      <w:rFonts w:ascii="等线 Light" w:hAnsi="等线 Light" w:eastAsia="宋体" w:cs="Times New Roman"/>
      <w:b/>
      <w:bCs/>
      <w:sz w:val="32"/>
      <w:szCs w:val="32"/>
    </w:rPr>
  </w:style>
  <w:style w:type="character" w:styleId="1085" w:customStyle="1">
    <w:name w:val="批注主题 字符"/>
    <w:link w:val="898"/>
    <w:uiPriority w:val="0"/>
    <w:qFormat/>
    <w:rPr>
      <w:b/>
      <w:bCs/>
      <w:sz w:val="21"/>
      <w:szCs w:val="24"/>
    </w:rPr>
  </w:style>
  <w:style w:type="character" w:styleId="1086" w:customStyle="1">
    <w:name w:val="p0 Char"/>
    <w:link w:val="1087"/>
    <w:uiPriority w:val="0"/>
    <w:qFormat/>
    <w:rPr>
      <w:rFonts w:eastAsia="宋体"/>
      <w:sz w:val="21"/>
      <w:szCs w:val="21"/>
      <w:lang w:val="en-US" w:eastAsia="zh-CN" w:bidi="ar-SA"/>
    </w:rPr>
  </w:style>
  <w:style w:type="paragraph" w:styleId="1087" w:customStyle="1">
    <w:name w:val="p0"/>
    <w:basedOn w:val="856"/>
    <w:link w:val="1086"/>
    <w:uiPriority w:val="0"/>
    <w:qFormat/>
    <w:pPr>
      <w:widowControl/>
    </w:pPr>
    <w:rPr>
      <w:szCs w:val="21"/>
    </w:rPr>
  </w:style>
  <w:style w:type="character" w:styleId="1088" w:customStyle="1">
    <w:name w:val="标题 2 Char Char Char"/>
    <w:uiPriority w:val="0"/>
    <w:qFormat/>
    <w:rPr>
      <w:rFonts w:ascii="Arial" w:hAnsi="Arial" w:eastAsia="黑体"/>
      <w:b/>
      <w:bCs/>
      <w:sz w:val="32"/>
      <w:szCs w:val="32"/>
      <w:lang w:val="en-US" w:eastAsia="zh-CN" w:bidi="ar-SA"/>
    </w:rPr>
  </w:style>
  <w:style w:type="character" w:styleId="1089" w:customStyle="1">
    <w:name w:val="NormalCharacter"/>
    <w:uiPriority w:val="0"/>
    <w:semiHidden/>
    <w:qFormat/>
  </w:style>
  <w:style w:type="paragraph" w:styleId="1090" w:customStyle="1">
    <w:name w:val="标题 21"/>
    <w:basedOn w:val="856"/>
    <w:next w:val="856"/>
    <w:uiPriority w:val="0"/>
    <w:qFormat/>
    <w:pPr>
      <w:jc w:val="center"/>
      <w:keepNext/>
      <w:widowControl/>
    </w:pPr>
    <w:rPr>
      <w:rFonts w:ascii="楷体_GB2312" w:eastAsia="楷体_GB2312"/>
      <w:sz w:val="18"/>
      <w:szCs w:val="20"/>
    </w:rPr>
  </w:style>
  <w:style w:type="paragraph" w:styleId="1091" w:customStyle="1">
    <w:name w:val="TOC 标题11"/>
    <w:basedOn w:val="857"/>
    <w:next w:val="85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92">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样式1"/>
    <w:basedOn w:val="857"/>
    <w:link w:val="1094"/>
    <w:uiPriority w:val="0"/>
    <w:qFormat/>
    <w:pPr>
      <w:ind w:left="210" w:right="210"/>
    </w:pPr>
  </w:style>
  <w:style w:type="character" w:styleId="1094" w:customStyle="1">
    <w:name w:val="样式1 字符"/>
    <w:link w:val="1093"/>
    <w:uiPriority w:val="0"/>
    <w:qFormat/>
  </w:style>
  <w:style w:type="paragraph" w:styleId="1095" w:customStyle="1">
    <w:name w:val="标题 211"/>
    <w:basedOn w:val="85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96" w:customStyle="1">
    <w:name w:val="列出段落1"/>
    <w:basedOn w:val="856"/>
    <w:uiPriority w:val="1"/>
    <w:qFormat/>
    <w:pPr>
      <w:ind w:left="400" w:firstLine="420"/>
      <w:jc w:val="left"/>
    </w:pPr>
    <w:rPr>
      <w:rFonts w:ascii="宋体" w:hAnsi="宋体" w:cs="宋体"/>
      <w:sz w:val="22"/>
      <w:szCs w:val="22"/>
      <w:lang w:val="zh-CN" w:bidi="zh-CN"/>
    </w:rPr>
  </w:style>
  <w:style w:type="paragraph" w:styleId="1097" w:customStyle="1">
    <w:name w:val="Table Paragraph"/>
    <w:basedOn w:val="856"/>
    <w:uiPriority w:val="1"/>
    <w:qFormat/>
    <w:pPr>
      <w:jc w:val="left"/>
    </w:pPr>
    <w:rPr>
      <w:rFonts w:ascii="宋体" w:hAnsi="宋体" w:cs="宋体"/>
      <w:sz w:val="22"/>
      <w:szCs w:val="22"/>
      <w:lang w:val="zh-CN" w:bidi="zh-CN"/>
    </w:rPr>
  </w:style>
  <w:style w:type="character" w:styleId="1098" w:customStyle="1">
    <w:name w:val="ask-title2"/>
    <w:uiPriority w:val="0"/>
    <w:qFormat/>
  </w:style>
  <w:style w:type="paragraph" w:styleId="1099" w:customStyle="1">
    <w:name w:val="列出段落2"/>
    <w:basedOn w:val="856"/>
    <w:uiPriority w:val="99"/>
    <w:unhideWhenUsed/>
    <w:qFormat/>
    <w:pPr>
      <w:ind w:firstLine="420"/>
      <w:jc w:val="left"/>
    </w:pPr>
    <w:rPr>
      <w:rFonts w:ascii="宋体"/>
      <w:sz w:val="20"/>
      <w:szCs w:val="20"/>
    </w:rPr>
  </w:style>
  <w:style w:type="paragraph" w:styleId="1100" w:customStyle="1">
    <w:name w:val="纯文本1"/>
    <w:basedOn w:val="856"/>
    <w:uiPriority w:val="0"/>
    <w:qFormat/>
    <w:rPr>
      <w:rFonts w:ascii="宋体" w:hAnsi="Courier New"/>
      <w:sz w:val="20"/>
      <w:szCs w:val="21"/>
    </w:rPr>
  </w:style>
  <w:style w:type="character" w:styleId="1101" w:customStyle="1">
    <w:name w:val="纯文本 Char2"/>
    <w:uiPriority w:val="0"/>
    <w:qFormat/>
    <w:rPr>
      <w:rFonts w:ascii="宋体" w:hAnsi="Courier New"/>
      <w:sz w:val="21"/>
    </w:rPr>
  </w:style>
  <w:style w:type="paragraph" w:styleId="1102" w:customStyle="1">
    <w:name w:val="列出段落11"/>
    <w:basedOn w:val="856"/>
    <w:uiPriority w:val="0"/>
    <w:qFormat/>
    <w:pPr>
      <w:ind w:firstLine="420"/>
      <w:spacing w:line="0" w:lineRule="atLeast"/>
    </w:pPr>
    <w:rPr>
      <w:rFonts w:eastAsia="微软雅黑"/>
      <w:sz w:val="20"/>
      <w:szCs w:val="20"/>
    </w:rPr>
  </w:style>
  <w:style w:type="character" w:styleId="1103" w:customStyle="1">
    <w:name w:val="纯文本 Char"/>
    <w:link w:val="1104"/>
    <w:uiPriority w:val="0"/>
    <w:qFormat/>
    <w:rPr>
      <w:rFonts w:ascii="宋体" w:hAnsi="Courier New"/>
    </w:rPr>
  </w:style>
  <w:style w:type="paragraph" w:styleId="1104" w:customStyle="1">
    <w:name w:val="纯文本2"/>
    <w:basedOn w:val="856"/>
    <w:link w:val="1103"/>
    <w:uiPriority w:val="0"/>
    <w:qFormat/>
    <w:pPr>
      <w:ind w:firstLine="200"/>
      <w:spacing w:line="360" w:lineRule="auto"/>
    </w:pPr>
    <w:rPr>
      <w:rFonts w:ascii="宋体" w:hAnsi="Courier New"/>
      <w:sz w:val="20"/>
      <w:szCs w:val="20"/>
    </w:rPr>
  </w:style>
  <w:style w:type="character" w:styleId="1105" w:customStyle="1">
    <w:name w:val="页脚 Char"/>
    <w:uiPriority w:val="0"/>
    <w:qFormat/>
    <w:rPr>
      <w:sz w:val="18"/>
      <w:szCs w:val="18"/>
    </w:rPr>
  </w:style>
  <w:style w:type="paragraph" w:styleId="1106" w:customStyle="1">
    <w:name w:val="_Style 83"/>
    <w:basedOn w:val="856"/>
    <w:next w:val="1096"/>
    <w:uiPriority w:val="99"/>
    <w:qFormat/>
    <w:pPr>
      <w:ind w:firstLine="420"/>
    </w:pPr>
  </w:style>
  <w:style w:type="character" w:styleId="1107">
    <w:name w:val="Placeholder Text"/>
    <w:basedOn w:val="866"/>
    <w:uiPriority w:val="99"/>
    <w:unhideWhenUsed/>
    <w:qFormat/>
    <w:rPr>
      <w:color w:val="808080"/>
    </w:rPr>
  </w:style>
  <w:style w:type="paragraph" w:styleId="1108" w:customStyle="1">
    <w:name w:val="pf0"/>
    <w:basedOn w:val="856"/>
    <w:uiPriority w:val="0"/>
    <w:qFormat/>
    <w:pPr>
      <w:jc w:val="left"/>
      <w:spacing w:before="100" w:beforeAutospacing="1" w:after="100" w:afterAutospacing="1"/>
      <w:widowControl/>
    </w:pPr>
    <w:rPr>
      <w:rFonts w:ascii="宋体" w:hAnsi="宋体" w:cs="宋体"/>
      <w:sz w:val="24"/>
    </w:rPr>
  </w:style>
  <w:style w:type="character" w:styleId="1109" w:customStyle="1">
    <w:name w:val="cf01"/>
    <w:basedOn w:val="866"/>
    <w:uiPriority w:val="0"/>
    <w:qFormat/>
    <w:rPr>
      <w:rFonts w:hint="eastAsia" w:ascii="Microsoft YaHei UI" w:hAnsi="Microsoft YaHei UI" w:eastAsia="Microsoft YaHei UI"/>
      <w:sz w:val="18"/>
      <w:szCs w:val="18"/>
    </w:rPr>
  </w:style>
  <w:style w:type="character" w:styleId="1110" w:customStyle="1">
    <w:name w:val="cf11"/>
    <w:basedOn w:val="866"/>
    <w:uiPriority w:val="0"/>
    <w:qFormat/>
    <w:rPr>
      <w:rFonts w:hint="eastAsia" w:ascii="Microsoft YaHei UI" w:hAnsi="Microsoft YaHei UI" w:eastAsia="Microsoft YaHei UI"/>
      <w:sz w:val="18"/>
      <w:szCs w:val="18"/>
    </w:rPr>
  </w:style>
  <w:style w:type="paragraph" w:styleId="1111">
    <w:name w:val="List Paragraph"/>
    <w:basedOn w:val="856"/>
    <w:uiPriority w:val="1"/>
    <w:qFormat/>
    <w:pPr>
      <w:ind w:firstLine="420"/>
    </w:pPr>
  </w:style>
  <w:style w:type="paragraph" w:styleId="1112" w:customStyle="1">
    <w:name w:val="标题1，章节第一层"/>
    <w:basedOn w:val="856"/>
    <w:next w:val="856"/>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13" w:customStyle="1">
    <w:name w:val="标准文本"/>
    <w:basedOn w:val="856"/>
    <w:uiPriority w:val="0"/>
    <w:qFormat/>
    <w:pPr>
      <w:ind w:firstLine="480"/>
      <w:spacing w:line="360" w:lineRule="auto"/>
    </w:pPr>
    <w:rPr>
      <w:rFonts w:ascii="Calibri" w:hAnsi="Calibri" w:eastAsia="Calibri" w:cs="宋体"/>
      <w:sz w:val="24"/>
      <w:lang w:val="zh-CN"/>
    </w:rPr>
  </w:style>
  <w:style w:type="character" w:styleId="1114" w:customStyle="1">
    <w:name w:val="标准文本 Char Char"/>
    <w:uiPriority w:val="0"/>
    <w:qFormat/>
    <w:rPr>
      <w:rFonts w:eastAsia="宋体" w:cs="宋体"/>
      <w:sz w:val="24"/>
      <w:szCs w:val="24"/>
      <w:lang w:val="en-US" w:eastAsia="zh-CN" w:bidi="ar-SA"/>
    </w:rPr>
  </w:style>
  <w:style w:type="character" w:styleId="1115" w:customStyle="1">
    <w:name w:val="标准小四 Char Char"/>
    <w:uiPriority w:val="0"/>
    <w:qFormat/>
    <w:rPr>
      <w:rFonts w:ascii="Arial" w:hAnsi="Arial" w:eastAsia="宋体"/>
      <w:sz w:val="24"/>
      <w:szCs w:val="21"/>
      <w:lang w:val="en-US" w:eastAsia="zh-CN" w:bidi="ar-SA"/>
    </w:rPr>
  </w:style>
  <w:style w:type="character" w:styleId="1116" w:customStyle="1">
    <w:name w:val="标准文本 Char"/>
    <w:uiPriority w:val="0"/>
    <w:qFormat/>
    <w:rPr>
      <w:rFonts w:eastAsia="宋体" w:cs="宋体"/>
      <w:sz w:val="24"/>
      <w:szCs w:val="24"/>
      <w:lang w:val="en-US" w:eastAsia="zh-CN" w:bidi="ar-SA"/>
    </w:rPr>
  </w:style>
  <w:style w:type="character" w:styleId="1117" w:customStyle="1">
    <w:name w:val="未处理的提及1"/>
    <w:basedOn w:val="866"/>
    <w:uiPriority w:val="99"/>
    <w:semiHidden/>
    <w:unhideWhenUsed/>
    <w:qFormat/>
    <w:rPr>
      <w:color w:val="605e5c"/>
      <w:shd w:val="clear" w:color="auto" w:fill="e1dfdd"/>
    </w:rPr>
  </w:style>
  <w:style w:type="paragraph" w:styleId="1118" w:customStyle="1">
    <w:name w:val="列出段落3"/>
    <w:basedOn w:val="856"/>
    <w:uiPriority w:val="99"/>
    <w:qFormat/>
    <w:pPr>
      <w:ind w:firstLine="420"/>
    </w:pPr>
  </w:style>
  <w:style w:type="paragraph" w:styleId="1119" w:customStyle="1">
    <w:name w:val="Normal_8_0"/>
    <w:uiPriority w:val="0"/>
    <w:qFormat/>
    <w:rPr>
      <w:rFonts w:ascii="Times New Roman" w:hAnsi="Times New Roman" w:eastAsia="Times New Roman" w:cs="Times New Roman"/>
      <w:sz w:val="24"/>
      <w:szCs w:val="24"/>
      <w:lang w:val="en-US" w:eastAsia="zh-CN" w:bidi="ar-SA"/>
    </w:rPr>
  </w:style>
  <w:style w:type="character" w:styleId="1120"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21" w:customStyle="1">
    <w:name w:val="font41"/>
    <w:basedOn w:val="866"/>
    <w:uiPriority w:val="0"/>
    <w:qFormat/>
    <w:rPr>
      <w:rFonts w:hint="default" w:ascii="方正仿宋_GBK" w:hAnsi="方正仿宋_GBK" w:eastAsia="方正仿宋_GBK" w:cs="方正仿宋_GBK"/>
      <w:b/>
      <w:bCs/>
      <w:color w:val="000000"/>
      <w:sz w:val="22"/>
      <w:szCs w:val="22"/>
      <w:u w:val="none"/>
    </w:rPr>
  </w:style>
  <w:style w:type="character" w:styleId="1122" w:customStyle="1">
    <w:name w:val="font31"/>
    <w:basedOn w:val="866"/>
    <w:uiPriority w:val="0"/>
    <w:qFormat/>
    <w:rPr>
      <w:rFonts w:hint="default" w:ascii="方正仿宋_GBK" w:hAnsi="方正仿宋_GBK" w:eastAsia="方正仿宋_GBK" w:cs="方正仿宋_GBK"/>
      <w:color w:val="000000"/>
      <w:sz w:val="22"/>
      <w:szCs w:val="22"/>
      <w:u w:val="none"/>
    </w:rPr>
  </w:style>
  <w:style w:type="character" w:styleId="1123" w:customStyle="1">
    <w:name w:val="不明显参考1"/>
    <w:uiPriority w:val="31"/>
    <w:qFormat/>
    <w:rPr>
      <w:smallCaps/>
    </w:rPr>
  </w:style>
  <w:style w:type="paragraph" w:styleId="1124" w:customStyle="1">
    <w:name w:val="Normal_5_0"/>
    <w:uiPriority w:val="0"/>
    <w:qFormat/>
    <w:rPr>
      <w:rFonts w:ascii="Times New Roman" w:hAnsi="Times New Roman" w:eastAsia="Times New Roman" w:cs="Times New Roman"/>
      <w:sz w:val="24"/>
      <w:szCs w:val="24"/>
      <w:lang w:val="en-US" w:eastAsia="zh-CN" w:bidi="ar-SA"/>
    </w:rPr>
  </w:style>
  <w:style w:type="character" w:styleId="1125" w:customStyle="1">
    <w:name w:val="默认段落字体11"/>
    <w:uiPriority w:val="1"/>
    <w:unhideWhenUsed/>
    <w:qFormat/>
  </w:style>
  <w:style w:type="paragraph" w:styleId="1126" w:customStyle="1">
    <w:name w:val="Normal_17"/>
    <w:uiPriority w:val="0"/>
    <w:qFormat/>
    <w:rPr>
      <w:rFonts w:ascii="Times New Roman" w:hAnsi="Times New Roman" w:eastAsia="Times New Roman" w:cs="Times New Roman"/>
      <w:sz w:val="24"/>
      <w:szCs w:val="24"/>
      <w:lang w:val="en-US" w:eastAsia="zh-CN" w:bidi="ar-SA"/>
    </w:rPr>
  </w:style>
  <w:style w:type="paragraph" w:styleId="1127" w:customStyle="1">
    <w:name w:val="Normal_0_3"/>
    <w:uiPriority w:val="0"/>
    <w:qFormat/>
    <w:rPr>
      <w:rFonts w:ascii="Times New Roman" w:hAnsi="Times New Roman" w:eastAsia="Times New Roman" w:cs="Times New Roman"/>
      <w:sz w:val="24"/>
      <w:szCs w:val="24"/>
      <w:lang w:val="en-US" w:eastAsia="zh-CN" w:bidi="ar-SA"/>
    </w:rPr>
  </w:style>
  <w:style w:type="paragraph" w:styleId="1128" w:customStyle="1">
    <w:name w:val="Normal_23"/>
    <w:uiPriority w:val="0"/>
    <w:qFormat/>
    <w:rPr>
      <w:rFonts w:ascii="Times New Roman" w:hAnsi="Times New Roman" w:eastAsia="Times New Roman" w:cs="Times New Roman"/>
      <w:sz w:val="24"/>
      <w:szCs w:val="24"/>
      <w:lang w:val="en-US" w:eastAsia="zh-CN" w:bidi="ar-SA"/>
    </w:rPr>
  </w:style>
  <w:style w:type="paragraph" w:styleId="112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30" w:customStyle="1">
    <w:name w:val="列表段落1"/>
    <w:basedOn w:val="856"/>
    <w:uiPriority w:val="99"/>
    <w:qFormat/>
    <w:pPr>
      <w:ind w:firstLine="420"/>
    </w:pPr>
  </w:style>
  <w:style w:type="character" w:styleId="1131" w:customStyle="1">
    <w:name w:val="font21"/>
    <w:basedOn w:val="866"/>
    <w:uiPriority w:val="0"/>
    <w:qFormat/>
    <w:rPr>
      <w:rFonts w:hint="eastAsia" w:ascii="等线" w:hAnsi="等线" w:eastAsia="等线" w:cs="等线"/>
      <w:color w:val="000000"/>
      <w:sz w:val="21"/>
      <w:szCs w:val="21"/>
      <w:u w:val="none"/>
    </w:rPr>
  </w:style>
  <w:style w:type="character" w:styleId="1132" w:customStyle="1">
    <w:name w:val="font11"/>
    <w:basedOn w:val="866"/>
    <w:uiPriority w:val="0"/>
    <w:qFormat/>
    <w:rPr>
      <w:rFonts w:hint="eastAsia" w:ascii="宋体" w:hAnsi="宋体" w:eastAsia="宋体" w:cs="宋体"/>
      <w:color w:val="000000"/>
      <w:sz w:val="21"/>
      <w:szCs w:val="21"/>
      <w:u w:val="none"/>
    </w:rPr>
  </w:style>
  <w:style w:type="paragraph" w:styleId="1133" w:customStyle="1">
    <w:name w:val="null3"/>
    <w:hidden/>
    <w:uiPriority w:val="0"/>
    <w:qFormat/>
    <w:rPr>
      <w:rFonts w:hint="eastAsia" w:asciiTheme="minorHAnsi" w:hAnsiTheme="minorHAnsi" w:eastAsiaTheme="minorEastAsia" w:cstheme="minorBidi"/>
      <w:lang w:val="en-US" w:eastAsia="zh-Hans" w:bidi="ar-SA"/>
    </w:rPr>
  </w:style>
  <w:style w:type="paragraph" w:styleId="1134" w:customStyle="1">
    <w:name w:val="Plain Text1"/>
    <w:basedOn w:val="856"/>
    <w:uiPriority w:val="0"/>
    <w:qFormat/>
    <w:pPr>
      <w:jc w:val="left"/>
      <w:widowControl/>
    </w:pPr>
    <w:rPr>
      <w:rFonts w:ascii="宋体" w:hAnsi="Courier New" w:eastAsia="楷体_GB2312"/>
      <w:sz w:val="26"/>
      <w:szCs w:val="20"/>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801"/>
            <w:rPr>
              <w:rFonts w:hint="eastAsia"/>
            </w:rPr>
          </w:pPr>
          <w:r>
            <w:rPr>
              <w:rStyle w:val="180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84">
    <w:name w:val="Heading 1 Char"/>
    <w:basedOn w:val="1632"/>
    <w:link w:val="1623"/>
    <w:uiPriority w:val="9"/>
    <w:rPr>
      <w:rFonts w:ascii="Arial" w:hAnsi="Arial" w:eastAsia="Arial" w:cs="Arial"/>
      <w:sz w:val="40"/>
      <w:szCs w:val="40"/>
    </w:rPr>
  </w:style>
  <w:style w:type="character" w:styleId="1585">
    <w:name w:val="Heading 2 Char"/>
    <w:basedOn w:val="1632"/>
    <w:link w:val="1624"/>
    <w:uiPriority w:val="9"/>
    <w:rPr>
      <w:rFonts w:ascii="Arial" w:hAnsi="Arial" w:eastAsia="Arial" w:cs="Arial"/>
      <w:sz w:val="34"/>
    </w:rPr>
  </w:style>
  <w:style w:type="character" w:styleId="1586">
    <w:name w:val="Heading 3 Char"/>
    <w:basedOn w:val="1632"/>
    <w:link w:val="1625"/>
    <w:uiPriority w:val="9"/>
    <w:rPr>
      <w:rFonts w:ascii="Arial" w:hAnsi="Arial" w:eastAsia="Arial" w:cs="Arial"/>
      <w:sz w:val="30"/>
      <w:szCs w:val="30"/>
    </w:rPr>
  </w:style>
  <w:style w:type="character" w:styleId="1587">
    <w:name w:val="Heading 4 Char"/>
    <w:basedOn w:val="1632"/>
    <w:link w:val="1626"/>
    <w:uiPriority w:val="9"/>
    <w:rPr>
      <w:rFonts w:ascii="Arial" w:hAnsi="Arial" w:eastAsia="Arial" w:cs="Arial"/>
      <w:b/>
      <w:bCs/>
      <w:sz w:val="26"/>
      <w:szCs w:val="26"/>
    </w:rPr>
  </w:style>
  <w:style w:type="character" w:styleId="1588">
    <w:name w:val="Heading 5 Char"/>
    <w:basedOn w:val="1632"/>
    <w:link w:val="1627"/>
    <w:uiPriority w:val="9"/>
    <w:rPr>
      <w:rFonts w:ascii="Arial" w:hAnsi="Arial" w:eastAsia="Arial" w:cs="Arial"/>
      <w:b/>
      <w:bCs/>
      <w:sz w:val="24"/>
      <w:szCs w:val="24"/>
    </w:rPr>
  </w:style>
  <w:style w:type="character" w:styleId="1589">
    <w:name w:val="Heading 6 Char"/>
    <w:basedOn w:val="1632"/>
    <w:link w:val="1628"/>
    <w:uiPriority w:val="9"/>
    <w:rPr>
      <w:rFonts w:ascii="Arial" w:hAnsi="Arial" w:eastAsia="Arial" w:cs="Arial"/>
      <w:b/>
      <w:bCs/>
      <w:sz w:val="22"/>
      <w:szCs w:val="22"/>
    </w:rPr>
  </w:style>
  <w:style w:type="character" w:styleId="1590">
    <w:name w:val="Heading 7 Char"/>
    <w:basedOn w:val="1632"/>
    <w:link w:val="1629"/>
    <w:uiPriority w:val="9"/>
    <w:rPr>
      <w:rFonts w:ascii="Arial" w:hAnsi="Arial" w:eastAsia="Arial" w:cs="Arial"/>
      <w:b/>
      <w:bCs/>
      <w:i/>
      <w:iCs/>
      <w:sz w:val="22"/>
      <w:szCs w:val="22"/>
    </w:rPr>
  </w:style>
  <w:style w:type="character" w:styleId="1591">
    <w:name w:val="Heading 8 Char"/>
    <w:basedOn w:val="1632"/>
    <w:link w:val="1630"/>
    <w:uiPriority w:val="9"/>
    <w:rPr>
      <w:rFonts w:ascii="Arial" w:hAnsi="Arial" w:eastAsia="Arial" w:cs="Arial"/>
      <w:i/>
      <w:iCs/>
      <w:sz w:val="22"/>
      <w:szCs w:val="22"/>
    </w:rPr>
  </w:style>
  <w:style w:type="character" w:styleId="1592">
    <w:name w:val="Heading 9 Char"/>
    <w:basedOn w:val="1632"/>
    <w:link w:val="1631"/>
    <w:uiPriority w:val="9"/>
    <w:rPr>
      <w:rFonts w:ascii="Arial" w:hAnsi="Arial" w:eastAsia="Arial" w:cs="Arial"/>
      <w:i/>
      <w:iCs/>
      <w:sz w:val="21"/>
      <w:szCs w:val="21"/>
    </w:rPr>
  </w:style>
  <w:style w:type="character" w:styleId="1593">
    <w:name w:val="Title Char"/>
    <w:basedOn w:val="1632"/>
    <w:link w:val="1645"/>
    <w:uiPriority w:val="10"/>
    <w:rPr>
      <w:sz w:val="48"/>
      <w:szCs w:val="48"/>
    </w:rPr>
  </w:style>
  <w:style w:type="character" w:styleId="1594">
    <w:name w:val="Subtitle Char"/>
    <w:basedOn w:val="1632"/>
    <w:link w:val="1647"/>
    <w:uiPriority w:val="11"/>
    <w:rPr>
      <w:sz w:val="24"/>
      <w:szCs w:val="24"/>
    </w:rPr>
  </w:style>
  <w:style w:type="character" w:styleId="1595">
    <w:name w:val="Quote Char"/>
    <w:link w:val="1649"/>
    <w:uiPriority w:val="29"/>
    <w:rPr>
      <w:i/>
    </w:rPr>
  </w:style>
  <w:style w:type="character" w:styleId="1596">
    <w:name w:val="Intense Quote Char"/>
    <w:link w:val="1651"/>
    <w:uiPriority w:val="30"/>
    <w:rPr>
      <w:i/>
    </w:rPr>
  </w:style>
  <w:style w:type="character" w:styleId="1597">
    <w:name w:val="Header Char"/>
    <w:basedOn w:val="1632"/>
    <w:link w:val="1653"/>
    <w:uiPriority w:val="99"/>
  </w:style>
  <w:style w:type="character" w:styleId="1598">
    <w:name w:val="Footer Char"/>
    <w:basedOn w:val="1632"/>
    <w:link w:val="1655"/>
    <w:uiPriority w:val="99"/>
  </w:style>
  <w:style w:type="character" w:styleId="1599">
    <w:name w:val="Caption Char"/>
    <w:basedOn w:val="1656"/>
    <w:link w:val="1655"/>
    <w:uiPriority w:val="99"/>
  </w:style>
  <w:style w:type="table" w:styleId="1600">
    <w:name w:val="Plain Table 1"/>
    <w:basedOn w:val="16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01">
    <w:name w:val="Plain Table 2"/>
    <w:basedOn w:val="16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02">
    <w:name w:val="Plain Table 3"/>
    <w:basedOn w:val="1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03">
    <w:name w:val="Plain Table 4"/>
    <w:basedOn w:val="1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04">
    <w:name w:val="Plain Table 5"/>
    <w:basedOn w:val="16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05">
    <w:name w:val="Grid Table 1 Light"/>
    <w:basedOn w:val="16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06">
    <w:name w:val="Grid Table 2"/>
    <w:basedOn w:val="1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07">
    <w:name w:val="Grid Table 3"/>
    <w:basedOn w:val="16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08">
    <w:name w:val="Grid Table 4"/>
    <w:basedOn w:val="16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09">
    <w:name w:val="Grid Table 5 Dark"/>
    <w:basedOn w:val="16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10">
    <w:name w:val="Grid Table 6 Colorful"/>
    <w:basedOn w:val="16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11">
    <w:name w:val="Grid Table 7 Colorful"/>
    <w:basedOn w:val="16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12">
    <w:name w:val="List Table 1 Light"/>
    <w:basedOn w:val="16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3">
    <w:name w:val="List Table 2"/>
    <w:basedOn w:val="16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14">
    <w:name w:val="List Table 3"/>
    <w:basedOn w:val="1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15">
    <w:name w:val="List Table 4"/>
    <w:basedOn w:val="16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16">
    <w:name w:val="List Table 5 Dark"/>
    <w:basedOn w:val="16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17">
    <w:name w:val="List Table 6 Colorful"/>
    <w:basedOn w:val="16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18">
    <w:name w:val="List Table 7 Colorful"/>
    <w:basedOn w:val="16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619">
    <w:name w:val="Footnote Text Char"/>
    <w:link w:val="1785"/>
    <w:uiPriority w:val="99"/>
    <w:rPr>
      <w:sz w:val="18"/>
    </w:rPr>
  </w:style>
  <w:style w:type="character" w:styleId="1620">
    <w:name w:val="Endnote Text Char"/>
    <w:link w:val="1788"/>
    <w:uiPriority w:val="99"/>
    <w:rPr>
      <w:sz w:val="20"/>
    </w:rPr>
  </w:style>
  <w:style w:type="paragraph" w:styleId="1621">
    <w:name w:val="TOC Heading"/>
    <w:uiPriority w:val="39"/>
    <w:unhideWhenUsed/>
  </w:style>
  <w:style w:type="paragraph" w:styleId="1622" w:default="1">
    <w:name w:val="Normal"/>
    <w:uiPriority w:val="0"/>
    <w:qFormat/>
    <w:rPr>
      <w:rFonts w:asciiTheme="minorHAnsi" w:hAnsiTheme="minorHAnsi" w:eastAsiaTheme="minorEastAsia" w:cstheme="minorBidi"/>
      <w:lang w:val="en-US" w:eastAsia="zh-CN" w:bidi="ar-SA"/>
    </w:rPr>
  </w:style>
  <w:style w:type="paragraph" w:styleId="1623">
    <w:name w:val="Heading 1"/>
    <w:link w:val="1634"/>
    <w:uiPriority w:val="9"/>
    <w:qFormat/>
    <w:pPr>
      <w:keepLines/>
      <w:keepNext/>
      <w:spacing w:before="480" w:after="200"/>
      <w:outlineLvl w:val="0"/>
    </w:pPr>
    <w:rPr>
      <w:rFonts w:ascii="Arial" w:hAnsi="Arial" w:eastAsia="Arial" w:cs="Arial"/>
      <w:sz w:val="40"/>
      <w:szCs w:val="40"/>
      <w:lang w:val="en-US" w:eastAsia="zh-CN" w:bidi="ar-SA"/>
    </w:rPr>
  </w:style>
  <w:style w:type="paragraph" w:styleId="1624">
    <w:name w:val="Heading 2"/>
    <w:link w:val="1635"/>
    <w:uiPriority w:val="9"/>
    <w:unhideWhenUsed/>
    <w:qFormat/>
    <w:pPr>
      <w:keepLines/>
      <w:keepNext/>
      <w:spacing w:before="360" w:after="200"/>
      <w:outlineLvl w:val="1"/>
    </w:pPr>
    <w:rPr>
      <w:rFonts w:ascii="Arial" w:hAnsi="Arial" w:eastAsia="Arial" w:cs="Arial"/>
      <w:sz w:val="34"/>
      <w:lang w:val="en-US" w:eastAsia="zh-CN" w:bidi="ar-SA"/>
    </w:rPr>
  </w:style>
  <w:style w:type="paragraph" w:styleId="1625">
    <w:name w:val="Heading 3"/>
    <w:link w:val="1636"/>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1626">
    <w:name w:val="Heading 4"/>
    <w:link w:val="1637"/>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1627">
    <w:name w:val="Heading 5"/>
    <w:link w:val="1638"/>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1628">
    <w:name w:val="Heading 6"/>
    <w:link w:val="1639"/>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1629">
    <w:name w:val="Heading 7"/>
    <w:link w:val="1640"/>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1630">
    <w:name w:val="Heading 8"/>
    <w:link w:val="1641"/>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1631">
    <w:name w:val="Heading 9"/>
    <w:link w:val="1642"/>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1632" w:default="1">
    <w:name w:val="Default Paragraph Font"/>
    <w:uiPriority w:val="1"/>
    <w:semiHidden/>
    <w:unhideWhenUsed/>
    <w:qFormat/>
  </w:style>
  <w:style w:type="table" w:styleId="1633" w:default="1">
    <w:name w:val="Normal Table"/>
    <w:uiPriority w:val="99"/>
    <w:semiHidden/>
    <w:unhideWhenUsed/>
    <w:qFormat/>
    <w:tblPr>
      <w:tblCellMar>
        <w:left w:w="108" w:type="dxa"/>
        <w:top w:w="0" w:type="dxa"/>
        <w:right w:w="108" w:type="dxa"/>
        <w:bottom w:w="0" w:type="dxa"/>
      </w:tblCellMar>
    </w:tblPr>
  </w:style>
  <w:style w:type="character" w:styleId="1634" w:customStyle="1">
    <w:name w:val="标题 1 字符"/>
    <w:basedOn w:val="1632"/>
    <w:link w:val="1623"/>
    <w:uiPriority w:val="9"/>
    <w:qFormat/>
    <w:rPr>
      <w:rFonts w:ascii="Arial" w:hAnsi="Arial" w:eastAsia="Arial" w:cs="Arial"/>
      <w:sz w:val="40"/>
      <w:szCs w:val="40"/>
    </w:rPr>
  </w:style>
  <w:style w:type="character" w:styleId="1635" w:customStyle="1">
    <w:name w:val="标题 2 字符"/>
    <w:basedOn w:val="1632"/>
    <w:link w:val="1624"/>
    <w:uiPriority w:val="9"/>
    <w:qFormat/>
    <w:rPr>
      <w:rFonts w:ascii="Arial" w:hAnsi="Arial" w:eastAsia="Arial" w:cs="Arial"/>
      <w:sz w:val="34"/>
    </w:rPr>
  </w:style>
  <w:style w:type="character" w:styleId="1636" w:customStyle="1">
    <w:name w:val="标题 3 字符"/>
    <w:basedOn w:val="1632"/>
    <w:link w:val="1625"/>
    <w:uiPriority w:val="9"/>
    <w:qFormat/>
    <w:rPr>
      <w:rFonts w:ascii="Arial" w:hAnsi="Arial" w:eastAsia="Arial" w:cs="Arial"/>
      <w:sz w:val="30"/>
      <w:szCs w:val="30"/>
    </w:rPr>
  </w:style>
  <w:style w:type="character" w:styleId="1637" w:customStyle="1">
    <w:name w:val="标题 4 字符"/>
    <w:basedOn w:val="1632"/>
    <w:link w:val="1626"/>
    <w:uiPriority w:val="9"/>
    <w:qFormat/>
    <w:rPr>
      <w:rFonts w:ascii="Arial" w:hAnsi="Arial" w:eastAsia="Arial" w:cs="Arial"/>
      <w:b/>
      <w:bCs/>
      <w:sz w:val="26"/>
      <w:szCs w:val="26"/>
    </w:rPr>
  </w:style>
  <w:style w:type="character" w:styleId="1638" w:customStyle="1">
    <w:name w:val="标题 5 字符"/>
    <w:basedOn w:val="1632"/>
    <w:link w:val="1627"/>
    <w:uiPriority w:val="9"/>
    <w:qFormat/>
    <w:rPr>
      <w:rFonts w:ascii="Arial" w:hAnsi="Arial" w:eastAsia="Arial" w:cs="Arial"/>
      <w:b/>
      <w:bCs/>
      <w:sz w:val="24"/>
      <w:szCs w:val="24"/>
    </w:rPr>
  </w:style>
  <w:style w:type="character" w:styleId="1639" w:customStyle="1">
    <w:name w:val="标题 6 字符"/>
    <w:basedOn w:val="1632"/>
    <w:link w:val="1628"/>
    <w:uiPriority w:val="9"/>
    <w:qFormat/>
    <w:rPr>
      <w:rFonts w:ascii="Arial" w:hAnsi="Arial" w:eastAsia="Arial" w:cs="Arial"/>
      <w:b/>
      <w:bCs/>
      <w:sz w:val="22"/>
      <w:szCs w:val="22"/>
    </w:rPr>
  </w:style>
  <w:style w:type="character" w:styleId="1640" w:customStyle="1">
    <w:name w:val="标题 7 字符"/>
    <w:basedOn w:val="1632"/>
    <w:link w:val="1629"/>
    <w:uiPriority w:val="9"/>
    <w:qFormat/>
    <w:rPr>
      <w:rFonts w:ascii="Arial" w:hAnsi="Arial" w:eastAsia="Arial" w:cs="Arial"/>
      <w:b/>
      <w:bCs/>
      <w:i/>
      <w:iCs/>
      <w:sz w:val="22"/>
      <w:szCs w:val="22"/>
    </w:rPr>
  </w:style>
  <w:style w:type="character" w:styleId="1641" w:customStyle="1">
    <w:name w:val="标题 8 字符"/>
    <w:basedOn w:val="1632"/>
    <w:link w:val="1630"/>
    <w:uiPriority w:val="9"/>
    <w:qFormat/>
    <w:rPr>
      <w:rFonts w:ascii="Arial" w:hAnsi="Arial" w:eastAsia="Arial" w:cs="Arial"/>
      <w:i/>
      <w:iCs/>
      <w:sz w:val="22"/>
      <w:szCs w:val="22"/>
    </w:rPr>
  </w:style>
  <w:style w:type="character" w:styleId="1642" w:customStyle="1">
    <w:name w:val="标题 9 字符"/>
    <w:basedOn w:val="1632"/>
    <w:link w:val="1631"/>
    <w:uiPriority w:val="9"/>
    <w:qFormat/>
    <w:rPr>
      <w:rFonts w:ascii="Arial" w:hAnsi="Arial" w:eastAsia="Arial" w:cs="Arial"/>
      <w:i/>
      <w:iCs/>
      <w:sz w:val="21"/>
      <w:szCs w:val="21"/>
    </w:rPr>
  </w:style>
  <w:style w:type="paragraph" w:styleId="1643">
    <w:name w:val="List Paragraph"/>
    <w:uiPriority w:val="34"/>
    <w:qFormat/>
    <w:pPr>
      <w:contextualSpacing/>
      <w:ind w:left="720"/>
    </w:pPr>
    <w:rPr>
      <w:rFonts w:asciiTheme="minorHAnsi" w:hAnsiTheme="minorHAnsi" w:eastAsiaTheme="minorEastAsia" w:cstheme="minorBidi"/>
      <w:lang w:val="en-US" w:eastAsia="zh-CN" w:bidi="ar-SA"/>
    </w:rPr>
  </w:style>
  <w:style w:type="paragraph" w:styleId="1644">
    <w:name w:val="No Spacing"/>
    <w:uiPriority w:val="1"/>
    <w:qFormat/>
    <w:rPr>
      <w:rFonts w:asciiTheme="minorHAnsi" w:hAnsiTheme="minorHAnsi" w:eastAsiaTheme="minorEastAsia" w:cstheme="minorBidi"/>
      <w:lang w:val="en-US" w:eastAsia="zh-CN" w:bidi="ar-SA"/>
    </w:rPr>
  </w:style>
  <w:style w:type="paragraph" w:styleId="1645">
    <w:name w:val="Title"/>
    <w:link w:val="1646"/>
    <w:uiPriority w:val="10"/>
    <w:qFormat/>
    <w:pPr>
      <w:contextualSpacing/>
      <w:spacing w:before="300" w:after="200"/>
    </w:pPr>
    <w:rPr>
      <w:rFonts w:asciiTheme="minorHAnsi" w:hAnsiTheme="minorHAnsi" w:eastAsiaTheme="minorEastAsia" w:cstheme="minorBidi"/>
      <w:sz w:val="48"/>
      <w:szCs w:val="48"/>
      <w:lang w:val="en-US" w:eastAsia="zh-CN" w:bidi="ar-SA"/>
    </w:rPr>
  </w:style>
  <w:style w:type="character" w:styleId="1646" w:customStyle="1">
    <w:name w:val="标题 字符"/>
    <w:basedOn w:val="1632"/>
    <w:link w:val="1645"/>
    <w:uiPriority w:val="10"/>
    <w:qFormat/>
    <w:rPr>
      <w:sz w:val="48"/>
      <w:szCs w:val="48"/>
    </w:rPr>
  </w:style>
  <w:style w:type="paragraph" w:styleId="1647">
    <w:name w:val="Subtitle"/>
    <w:link w:val="1648"/>
    <w:uiPriority w:val="11"/>
    <w:qFormat/>
    <w:pPr>
      <w:spacing w:before="200" w:after="200"/>
    </w:pPr>
    <w:rPr>
      <w:rFonts w:asciiTheme="minorHAnsi" w:hAnsiTheme="minorHAnsi" w:eastAsiaTheme="minorEastAsia" w:cstheme="minorBidi"/>
      <w:sz w:val="24"/>
      <w:szCs w:val="24"/>
      <w:lang w:val="en-US" w:eastAsia="zh-CN" w:bidi="ar-SA"/>
    </w:rPr>
  </w:style>
  <w:style w:type="character" w:styleId="1648" w:customStyle="1">
    <w:name w:val="副标题 字符"/>
    <w:basedOn w:val="1632"/>
    <w:link w:val="1647"/>
    <w:uiPriority w:val="11"/>
    <w:qFormat/>
    <w:rPr>
      <w:sz w:val="24"/>
      <w:szCs w:val="24"/>
    </w:rPr>
  </w:style>
  <w:style w:type="paragraph" w:styleId="1649">
    <w:name w:val="Quote"/>
    <w:link w:val="1650"/>
    <w:uiPriority w:val="29"/>
    <w:qFormat/>
    <w:pPr>
      <w:ind w:left="720" w:right="720"/>
    </w:pPr>
    <w:rPr>
      <w:rFonts w:asciiTheme="minorHAnsi" w:hAnsiTheme="minorHAnsi" w:eastAsiaTheme="minorEastAsia" w:cstheme="minorBidi"/>
      <w:i/>
      <w:lang w:val="en-US" w:eastAsia="zh-CN" w:bidi="ar-SA"/>
    </w:rPr>
  </w:style>
  <w:style w:type="character" w:styleId="1650" w:customStyle="1">
    <w:name w:val="引用 字符"/>
    <w:link w:val="1649"/>
    <w:uiPriority w:val="29"/>
    <w:qFormat/>
    <w:rPr>
      <w:i/>
    </w:rPr>
  </w:style>
  <w:style w:type="paragraph" w:styleId="1651">
    <w:name w:val="Intense Quote"/>
    <w:link w:val="16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lang w:val="en-US" w:eastAsia="zh-CN" w:bidi="ar-SA"/>
    </w:rPr>
  </w:style>
  <w:style w:type="character" w:styleId="1652" w:customStyle="1">
    <w:name w:val="明显引用 字符"/>
    <w:link w:val="1651"/>
    <w:uiPriority w:val="30"/>
    <w:qFormat/>
    <w:rPr>
      <w:i/>
    </w:rPr>
  </w:style>
  <w:style w:type="paragraph" w:styleId="1653">
    <w:name w:val="Header"/>
    <w:link w:val="1654"/>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character" w:styleId="1654" w:customStyle="1">
    <w:name w:val="页眉 字符"/>
    <w:basedOn w:val="1632"/>
    <w:link w:val="1653"/>
    <w:uiPriority w:val="99"/>
    <w:qFormat/>
  </w:style>
  <w:style w:type="paragraph" w:styleId="1655">
    <w:name w:val="Footer"/>
    <w:link w:val="1657"/>
    <w:uiPriority w:val="99"/>
    <w:unhideWhenUsed/>
    <w:qFormat/>
    <w:pPr>
      <w:tabs>
        <w:tab w:val="center" w:pos="7143" w:leader="none"/>
        <w:tab w:val="right" w:pos="14287" w:leader="none"/>
      </w:tabs>
    </w:pPr>
    <w:rPr>
      <w:rFonts w:asciiTheme="minorHAnsi" w:hAnsiTheme="minorHAnsi" w:eastAsiaTheme="minorEastAsia" w:cstheme="minorBidi"/>
      <w:lang w:val="en-US" w:eastAsia="zh-CN" w:bidi="ar-SA"/>
    </w:rPr>
  </w:style>
  <w:style w:type="paragraph" w:styleId="1656">
    <w:name w:val="Caption"/>
    <w:uiPriority w:val="35"/>
    <w:semiHidden/>
    <w:unhideWhenUsed/>
    <w:qFormat/>
    <w:pPr>
      <w:spacing w:line="276" w:lineRule="auto"/>
    </w:pPr>
    <w:rPr>
      <w:rFonts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57" w:customStyle="1">
    <w:name w:val="页脚 字符"/>
    <w:link w:val="1655"/>
    <w:uiPriority w:val="99"/>
    <w:qFormat/>
  </w:style>
  <w:style w:type="table" w:styleId="165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66"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67"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68"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69"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70"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71"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73"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74"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75"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76"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77"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78"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0"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1"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2"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3"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4"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5"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87"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88"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89"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90"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91"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92"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7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01"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702"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03"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704"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05"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06"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08"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709"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10"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711"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12"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713"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71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15"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716"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717"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718"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719"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720"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22"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23"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24"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25"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26"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27"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9"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30"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31"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32"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33"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34"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36"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37"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38"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39"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40"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41"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3"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4"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5"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6"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7"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8"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50"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51"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52"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53"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54"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55"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5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57"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58"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59"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60"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61"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62"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71"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72"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73"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74"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75"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76"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78"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79"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80"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81"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82"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83"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84">
    <w:name w:val="Hyperlink"/>
    <w:uiPriority w:val="99"/>
    <w:unhideWhenUsed/>
    <w:qFormat/>
    <w:rPr>
      <w:color w:val="0563c1" w:themeColor="hyperlink"/>
      <w:u w:val="single"/>
      <w14:textFill>
        <w14:solidFill>
          <w14:schemeClr w14:val="hlink"/>
        </w14:solidFill>
      </w14:textFill>
    </w:rPr>
  </w:style>
  <w:style w:type="paragraph" w:styleId="1785">
    <w:name w:val="footnote text"/>
    <w:link w:val="1786"/>
    <w:uiPriority w:val="99"/>
    <w:semiHidden/>
    <w:unhideWhenUsed/>
    <w:qFormat/>
    <w:pPr>
      <w:spacing w:after="40"/>
    </w:pPr>
    <w:rPr>
      <w:rFonts w:asciiTheme="minorHAnsi" w:hAnsiTheme="minorHAnsi" w:eastAsiaTheme="minorEastAsia" w:cstheme="minorBidi"/>
      <w:sz w:val="18"/>
      <w:lang w:val="en-US" w:eastAsia="zh-CN" w:bidi="ar-SA"/>
    </w:rPr>
  </w:style>
  <w:style w:type="character" w:styleId="1786" w:customStyle="1">
    <w:name w:val="脚注文本 字符"/>
    <w:link w:val="1785"/>
    <w:uiPriority w:val="99"/>
    <w:qFormat/>
    <w:rPr>
      <w:sz w:val="18"/>
    </w:rPr>
  </w:style>
  <w:style w:type="character" w:styleId="1787">
    <w:name w:val="footnote reference"/>
    <w:basedOn w:val="1632"/>
    <w:uiPriority w:val="99"/>
    <w:unhideWhenUsed/>
    <w:qFormat/>
    <w:rPr>
      <w:vertAlign w:val="superscript"/>
    </w:rPr>
  </w:style>
  <w:style w:type="paragraph" w:styleId="1788">
    <w:name w:val="endnote text"/>
    <w:link w:val="1789"/>
    <w:uiPriority w:val="99"/>
    <w:semiHidden/>
    <w:unhideWhenUsed/>
    <w:qFormat/>
    <w:rPr>
      <w:rFonts w:asciiTheme="minorHAnsi" w:hAnsiTheme="minorHAnsi" w:eastAsiaTheme="minorEastAsia" w:cstheme="minorBidi"/>
      <w:lang w:val="en-US" w:eastAsia="zh-CN" w:bidi="ar-SA"/>
    </w:rPr>
  </w:style>
  <w:style w:type="character" w:styleId="1789" w:customStyle="1">
    <w:name w:val="尾注文本 字符"/>
    <w:link w:val="1788"/>
    <w:uiPriority w:val="99"/>
    <w:qFormat/>
    <w:rPr>
      <w:sz w:val="20"/>
    </w:rPr>
  </w:style>
  <w:style w:type="character" w:styleId="1790">
    <w:name w:val="endnote reference"/>
    <w:basedOn w:val="1632"/>
    <w:uiPriority w:val="99"/>
    <w:semiHidden/>
    <w:unhideWhenUsed/>
    <w:qFormat/>
    <w:rPr>
      <w:vertAlign w:val="superscript"/>
    </w:rPr>
  </w:style>
  <w:style w:type="paragraph" w:styleId="1791">
    <w:name w:val="toc 1"/>
    <w:uiPriority w:val="39"/>
    <w:unhideWhenUsed/>
    <w:qFormat/>
    <w:pPr>
      <w:spacing w:after="57"/>
    </w:pPr>
    <w:rPr>
      <w:rFonts w:asciiTheme="minorHAnsi" w:hAnsiTheme="minorHAnsi" w:eastAsiaTheme="minorEastAsia" w:cstheme="minorBidi"/>
      <w:lang w:val="en-US" w:eastAsia="zh-CN" w:bidi="ar-SA"/>
    </w:rPr>
  </w:style>
  <w:style w:type="paragraph" w:styleId="1792">
    <w:name w:val="toc 2"/>
    <w:uiPriority w:val="39"/>
    <w:unhideWhenUsed/>
    <w:qFormat/>
    <w:pPr>
      <w:ind w:left="283"/>
      <w:spacing w:after="57"/>
    </w:pPr>
    <w:rPr>
      <w:rFonts w:asciiTheme="minorHAnsi" w:hAnsiTheme="minorHAnsi" w:eastAsiaTheme="minorEastAsia" w:cstheme="minorBidi"/>
      <w:lang w:val="en-US" w:eastAsia="zh-CN" w:bidi="ar-SA"/>
    </w:rPr>
  </w:style>
  <w:style w:type="paragraph" w:styleId="1793">
    <w:name w:val="toc 3"/>
    <w:uiPriority w:val="39"/>
    <w:unhideWhenUsed/>
    <w:qFormat/>
    <w:pPr>
      <w:ind w:left="567"/>
      <w:spacing w:after="57"/>
    </w:pPr>
    <w:rPr>
      <w:rFonts w:asciiTheme="minorHAnsi" w:hAnsiTheme="minorHAnsi" w:eastAsiaTheme="minorEastAsia" w:cstheme="minorBidi"/>
      <w:lang w:val="en-US" w:eastAsia="zh-CN" w:bidi="ar-SA"/>
    </w:rPr>
  </w:style>
  <w:style w:type="paragraph" w:styleId="1794">
    <w:name w:val="toc 4"/>
    <w:uiPriority w:val="39"/>
    <w:unhideWhenUsed/>
    <w:qFormat/>
    <w:pPr>
      <w:ind w:left="850"/>
      <w:spacing w:after="57"/>
    </w:pPr>
    <w:rPr>
      <w:rFonts w:asciiTheme="minorHAnsi" w:hAnsiTheme="minorHAnsi" w:eastAsiaTheme="minorEastAsia" w:cstheme="minorBidi"/>
      <w:lang w:val="en-US" w:eastAsia="zh-CN" w:bidi="ar-SA"/>
    </w:rPr>
  </w:style>
  <w:style w:type="paragraph" w:styleId="1795">
    <w:name w:val="toc 5"/>
    <w:uiPriority w:val="39"/>
    <w:unhideWhenUsed/>
    <w:qFormat/>
    <w:pPr>
      <w:ind w:left="1134"/>
      <w:spacing w:after="57"/>
    </w:pPr>
    <w:rPr>
      <w:rFonts w:asciiTheme="minorHAnsi" w:hAnsiTheme="minorHAnsi" w:eastAsiaTheme="minorEastAsia" w:cstheme="minorBidi"/>
      <w:lang w:val="en-US" w:eastAsia="zh-CN" w:bidi="ar-SA"/>
    </w:rPr>
  </w:style>
  <w:style w:type="paragraph" w:styleId="1796">
    <w:name w:val="toc 6"/>
    <w:uiPriority w:val="39"/>
    <w:unhideWhenUsed/>
    <w:qFormat/>
    <w:pPr>
      <w:ind w:left="1417"/>
      <w:spacing w:after="57"/>
    </w:pPr>
    <w:rPr>
      <w:rFonts w:asciiTheme="minorHAnsi" w:hAnsiTheme="minorHAnsi" w:eastAsiaTheme="minorEastAsia" w:cstheme="minorBidi"/>
      <w:lang w:val="en-US" w:eastAsia="zh-CN" w:bidi="ar-SA"/>
    </w:rPr>
  </w:style>
  <w:style w:type="paragraph" w:styleId="1797">
    <w:name w:val="toc 7"/>
    <w:uiPriority w:val="39"/>
    <w:unhideWhenUsed/>
    <w:qFormat/>
    <w:pPr>
      <w:ind w:left="1701"/>
      <w:spacing w:after="57"/>
    </w:pPr>
    <w:rPr>
      <w:rFonts w:asciiTheme="minorHAnsi" w:hAnsiTheme="minorHAnsi" w:eastAsiaTheme="minorEastAsia" w:cstheme="minorBidi"/>
      <w:lang w:val="en-US" w:eastAsia="zh-CN" w:bidi="ar-SA"/>
    </w:rPr>
  </w:style>
  <w:style w:type="paragraph" w:styleId="1798">
    <w:name w:val="toc 8"/>
    <w:uiPriority w:val="39"/>
    <w:unhideWhenUsed/>
    <w:qFormat/>
    <w:pPr>
      <w:ind w:left="1984"/>
      <w:spacing w:after="57"/>
    </w:pPr>
    <w:rPr>
      <w:rFonts w:asciiTheme="minorHAnsi" w:hAnsiTheme="minorHAnsi" w:eastAsiaTheme="minorEastAsia" w:cstheme="minorBidi"/>
      <w:lang w:val="en-US" w:eastAsia="zh-CN" w:bidi="ar-SA"/>
    </w:rPr>
  </w:style>
  <w:style w:type="paragraph" w:styleId="1799">
    <w:name w:val="toc 9"/>
    <w:uiPriority w:val="39"/>
    <w:unhideWhenUsed/>
    <w:qFormat/>
    <w:pPr>
      <w:ind w:left="2268"/>
      <w:spacing w:after="57"/>
    </w:pPr>
    <w:rPr>
      <w:rFonts w:asciiTheme="minorHAnsi" w:hAnsiTheme="minorHAnsi" w:eastAsiaTheme="minorEastAsia" w:cstheme="minorBidi"/>
      <w:lang w:val="en-US" w:eastAsia="zh-CN" w:bidi="ar-SA"/>
    </w:rPr>
  </w:style>
  <w:style w:type="paragraph" w:styleId="1800">
    <w:name w:val="table of figures"/>
    <w:uiPriority w:val="99"/>
    <w:unhideWhenUsed/>
    <w:qFormat/>
    <w:rPr>
      <w:rFonts w:asciiTheme="minorHAnsi" w:hAnsiTheme="minorHAnsi" w:eastAsiaTheme="minorEastAsia" w:cstheme="minorBidi"/>
      <w:lang w:val="en-US" w:eastAsia="zh-CN" w:bidi="ar-SA"/>
    </w:rPr>
  </w:style>
  <w:style w:type="paragraph" w:styleId="1801" w:customStyle="1">
    <w:name w:val="40972909C00547EF89E6E87F19707554"/>
    <w:uiPriority w:val="0"/>
    <w:qFormat/>
    <w:pPr>
      <w:jc w:val="both"/>
      <w:spacing w:after="160" w:line="278" w:lineRule="auto"/>
      <w:widowControl w:val="off"/>
    </w:pPr>
    <w:rPr>
      <w:rFonts w:asciiTheme="minorHAnsi" w:hAnsiTheme="minorHAnsi" w:eastAsiaTheme="minorEastAsia" w:cstheme="minorBidi"/>
      <w:sz w:val="21"/>
      <w:szCs w:val="22"/>
      <w:lang w:val="en-US" w:eastAsia="zh-CN" w:bidi="ar-SA"/>
    </w:rPr>
  </w:style>
  <w:style w:type="character" w:styleId="1802">
    <w:name w:val="Placeholder Text"/>
    <w:basedOn w:val="1632"/>
    <w:uiPriority w:val="99"/>
    <w:unhideWhenUsed/>
    <w:qFormat/>
    <w:rPr>
      <w:color w:val="808080"/>
    </w:rPr>
  </w:style>
  <w:style w:type="numbering" w:styleId="180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97</cp:revision>
  <dcterms:created xsi:type="dcterms:W3CDTF">2023-10-16T02:18:00Z</dcterms:created>
  <dcterms:modified xsi:type="dcterms:W3CDTF">2025-10-16T06:51:00Z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758CB6F215E943F38E2876DAEBA264C9_13</vt:lpwstr>
  </property>
  <property fmtid="{D5CDD505-2E9C-101B-9397-08002B2CF9AE}" pid="4" name="KSOTemplateDocerSaveRecord">
    <vt:lpwstr>eyJoZGlkIjoiNjA0M2UxYzI4YTlhNDUwNDllNzk5NGRmNTA0OGJmNzMiLCJ1c2VySWQiOiI1NjIxNTM0NjIifQ==</vt:lpwstr>
  </property>
</Properties>
</file>