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27B1A4">
      <w:pPr>
        <w:pStyle w:val="3"/>
        <w:jc w:val="center"/>
        <w:rPr>
          <w:rFonts w:ascii="宋体" w:hAnsi="宋体"/>
          <w:sz w:val="36"/>
          <w:szCs w:val="36"/>
        </w:rPr>
      </w:pPr>
      <w:r>
        <w:rPr>
          <w:rFonts w:hint="eastAsia" w:ascii="宋体" w:hAnsi="宋体" w:eastAsia="宋体" w:cs="Times New Roman"/>
          <w:b/>
          <w:bCs/>
          <w:kern w:val="2"/>
          <w:sz w:val="28"/>
          <w:szCs w:val="28"/>
          <w:lang w:val="en-US" w:eastAsia="zh-CN" w:bidi="ar-SA"/>
        </w:rPr>
        <w:t>仪征市公安局交通管理大队2025年全市扣押车辆拖、停车服务外包项目项目需求</w:t>
      </w:r>
    </w:p>
    <w:p w14:paraId="45C72FA7">
      <w:pPr>
        <w:rPr>
          <w:rFonts w:hint="eastAsia"/>
        </w:rPr>
      </w:pPr>
    </w:p>
    <w:p w14:paraId="2CA106C9">
      <w:pPr>
        <w:pStyle w:val="4"/>
        <w:snapToGrid w:val="0"/>
        <w:spacing w:before="120" w:after="120" w:line="360" w:lineRule="auto"/>
        <w:ind w:firstLine="420" w:firstLineChars="200"/>
        <w:rPr>
          <w:rFonts w:hAnsi="宋体" w:cs="宋体"/>
        </w:rPr>
      </w:pPr>
      <w:r>
        <w:rPr>
          <w:rFonts w:hint="eastAsia" w:hAnsi="宋体"/>
          <w:sz w:val="21"/>
        </w:rPr>
        <w:t>注：本章内容里斜体且有下划线部分为实质性要求和条件，投标文件不满足的，视为无效投标处理。请各供应商制作电子投标文件时，将实质性响应的内容在政府采购交易系统“符合证明文件格式”中准确填写或上传。</w:t>
      </w:r>
    </w:p>
    <w:p w14:paraId="2CA33DFB">
      <w:pPr>
        <w:pStyle w:val="4"/>
        <w:snapToGrid w:val="0"/>
        <w:spacing w:before="120" w:after="120" w:line="360" w:lineRule="auto"/>
        <w:ind w:firstLine="422" w:firstLineChars="200"/>
        <w:rPr>
          <w:rFonts w:hint="eastAsia" w:hAnsi="宋体"/>
          <w:b/>
          <w:bCs/>
          <w:sz w:val="21"/>
        </w:rPr>
      </w:pPr>
      <w:r>
        <w:rPr>
          <w:rFonts w:hint="eastAsia" w:hAnsi="宋体"/>
          <w:b/>
          <w:bCs/>
          <w:sz w:val="21"/>
        </w:rPr>
        <w:t>一、项目简介：</w:t>
      </w:r>
    </w:p>
    <w:p w14:paraId="4730F3E6">
      <w:pPr>
        <w:spacing w:line="360" w:lineRule="auto"/>
        <w:ind w:firstLine="420" w:firstLineChars="200"/>
        <w:rPr>
          <w:rFonts w:hint="eastAsia" w:ascii="宋体" w:hAnsi="宋体" w:eastAsia="宋体" w:cs="Times New Roman"/>
          <w:kern w:val="2"/>
          <w:sz w:val="21"/>
          <w:szCs w:val="22"/>
          <w:lang w:val="en-US" w:eastAsia="zh-CN" w:bidi="ar-SA"/>
        </w:rPr>
      </w:pPr>
      <w:r>
        <w:rPr>
          <w:rFonts w:hint="eastAsia" w:ascii="宋体" w:hAnsi="宋体" w:eastAsia="宋体" w:cs="Times New Roman"/>
          <w:kern w:val="2"/>
          <w:sz w:val="21"/>
          <w:szCs w:val="22"/>
          <w:lang w:val="en-US" w:eastAsia="zh-CN" w:bidi="ar-SA"/>
        </w:rPr>
        <w:t>1、</w:t>
      </w:r>
      <w:r>
        <w:rPr>
          <w:rFonts w:hint="eastAsia" w:ascii="宋体" w:hAnsi="宋体" w:cs="Times New Roman"/>
          <w:kern w:val="2"/>
          <w:sz w:val="21"/>
          <w:szCs w:val="22"/>
          <w:lang w:val="en-US" w:eastAsia="zh-CN" w:bidi="ar-SA"/>
        </w:rPr>
        <w:t>仪征市公安局交通管理大队</w:t>
      </w:r>
      <w:r>
        <w:rPr>
          <w:rFonts w:hint="eastAsia" w:ascii="宋体" w:hAnsi="宋体" w:eastAsia="宋体" w:cs="Times New Roman"/>
          <w:kern w:val="2"/>
          <w:sz w:val="21"/>
          <w:szCs w:val="22"/>
          <w:lang w:val="en-US" w:eastAsia="zh-CN" w:bidi="ar-SA"/>
        </w:rPr>
        <w:t>所属辖区内的各类拖车、停车服务项目。包括：交通事故、交通违法车辆拖车、停车服务，交通保障服务，拖送事故涉案车辆检测服务，各类非法占道物品的清理和其他清障工作等。</w:t>
      </w:r>
    </w:p>
    <w:p w14:paraId="3C1D318F">
      <w:pPr>
        <w:pStyle w:val="4"/>
        <w:keepNext w:val="0"/>
        <w:keepLines w:val="0"/>
        <w:pageBreakBefore w:val="0"/>
        <w:widowControl w:val="0"/>
        <w:kinsoku/>
        <w:wordWrap/>
        <w:overflowPunct/>
        <w:topLinePunct w:val="0"/>
        <w:autoSpaceDE/>
        <w:autoSpaceDN/>
        <w:bidi w:val="0"/>
        <w:adjustRightInd/>
        <w:snapToGrid w:val="0"/>
        <w:spacing w:before="120" w:after="120" w:line="360" w:lineRule="auto"/>
        <w:ind w:firstLine="420" w:firstLineChars="200"/>
        <w:textAlignment w:val="auto"/>
        <w:outlineLvl w:val="9"/>
        <w:rPr>
          <w:rFonts w:hint="eastAsia" w:ascii="宋体" w:hAnsi="宋体" w:eastAsia="宋体" w:cs="Times New Roman"/>
          <w:kern w:val="2"/>
          <w:sz w:val="21"/>
          <w:szCs w:val="22"/>
          <w:lang w:val="en-US" w:eastAsia="zh-CN" w:bidi="ar-SA"/>
        </w:rPr>
      </w:pPr>
      <w:r>
        <w:rPr>
          <w:rFonts w:hint="eastAsia" w:ascii="宋体" w:hAnsi="宋体" w:eastAsia="宋体" w:cs="Times New Roman"/>
          <w:kern w:val="2"/>
          <w:sz w:val="21"/>
          <w:szCs w:val="22"/>
          <w:lang w:val="en-US" w:eastAsia="zh-CN" w:bidi="ar-SA"/>
        </w:rPr>
        <w:t>2、服务期限：自合同签订之日起1年。</w:t>
      </w:r>
    </w:p>
    <w:p w14:paraId="33FEE9F7">
      <w:pPr>
        <w:pStyle w:val="4"/>
        <w:keepNext w:val="0"/>
        <w:keepLines w:val="0"/>
        <w:pageBreakBefore w:val="0"/>
        <w:widowControl w:val="0"/>
        <w:kinsoku/>
        <w:wordWrap/>
        <w:overflowPunct/>
        <w:topLinePunct w:val="0"/>
        <w:autoSpaceDE/>
        <w:autoSpaceDN/>
        <w:bidi w:val="0"/>
        <w:adjustRightInd/>
        <w:snapToGrid w:val="0"/>
        <w:spacing w:before="120" w:after="120" w:line="360" w:lineRule="auto"/>
        <w:ind w:firstLine="420" w:firstLineChars="200"/>
        <w:textAlignment w:val="auto"/>
        <w:outlineLvl w:val="9"/>
        <w:rPr>
          <w:rFonts w:hint="eastAsia" w:ascii="宋体" w:hAnsi="宋体" w:eastAsia="宋体" w:cs="Times New Roman"/>
          <w:kern w:val="2"/>
          <w:sz w:val="21"/>
          <w:szCs w:val="22"/>
          <w:lang w:val="en-US" w:eastAsia="zh-CN" w:bidi="ar-SA"/>
        </w:rPr>
      </w:pPr>
      <w:r>
        <w:rPr>
          <w:rFonts w:hint="eastAsia" w:ascii="宋体" w:hAnsi="宋体" w:eastAsia="宋体" w:cs="Times New Roman"/>
          <w:kern w:val="2"/>
          <w:sz w:val="21"/>
          <w:szCs w:val="22"/>
          <w:lang w:val="en-US" w:eastAsia="zh-CN" w:bidi="ar-SA"/>
        </w:rPr>
        <w:t>3、报价要求：</w:t>
      </w:r>
    </w:p>
    <w:tbl>
      <w:tblPr>
        <w:tblStyle w:val="5"/>
        <w:tblW w:w="7806" w:type="dxa"/>
        <w:tblInd w:w="4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6"/>
      </w:tblGrid>
      <w:tr w14:paraId="2BD1C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exact"/>
        </w:trPr>
        <w:tc>
          <w:tcPr>
            <w:tcW w:w="7806" w:type="dxa"/>
          </w:tcPr>
          <w:p w14:paraId="4EE8E98A">
            <w:pPr>
              <w:spacing w:line="360" w:lineRule="auto"/>
              <w:ind w:firstLine="420" w:firstLineChars="200"/>
              <w:rPr>
                <w:rFonts w:hint="eastAsia" w:ascii="宋体" w:hAnsi="宋体" w:eastAsia="宋体" w:cs="Times New Roman"/>
                <w:kern w:val="2"/>
                <w:sz w:val="21"/>
                <w:szCs w:val="22"/>
                <w:lang w:val="en-US" w:eastAsia="zh-CN" w:bidi="ar-SA"/>
              </w:rPr>
            </w:pPr>
            <w:r>
              <w:rPr>
                <w:rFonts w:hint="eastAsia" w:ascii="宋体" w:hAnsi="宋体" w:eastAsia="宋体" w:cs="Times New Roman"/>
                <w:kern w:val="2"/>
                <w:sz w:val="21"/>
                <w:szCs w:val="22"/>
                <w:lang w:val="en-US" w:eastAsia="zh-CN" w:bidi="ar-SA"/>
              </w:rPr>
              <w:t>1、大型车辆（包括大中型客车、重中型货车、汽车列车、城市公交车等）拖车最高报价350元/辆/次，停车最高报价20元/辆/天（不足一天按一天计算，限最长60天，超过60天的部分免收）。</w:t>
            </w:r>
          </w:p>
        </w:tc>
      </w:tr>
      <w:tr w14:paraId="73585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exact"/>
        </w:trPr>
        <w:tc>
          <w:tcPr>
            <w:tcW w:w="7806" w:type="dxa"/>
          </w:tcPr>
          <w:p w14:paraId="4F305F76">
            <w:pPr>
              <w:spacing w:line="360" w:lineRule="auto"/>
              <w:ind w:firstLine="420" w:firstLineChars="200"/>
              <w:rPr>
                <w:rFonts w:hint="eastAsia" w:ascii="宋体" w:hAnsi="宋体" w:eastAsia="宋体" w:cs="Times New Roman"/>
                <w:kern w:val="2"/>
                <w:sz w:val="21"/>
                <w:szCs w:val="22"/>
                <w:lang w:val="en-US" w:eastAsia="zh-CN" w:bidi="ar-SA"/>
              </w:rPr>
            </w:pPr>
            <w:r>
              <w:rPr>
                <w:rFonts w:hint="eastAsia" w:ascii="宋体" w:hAnsi="宋体" w:eastAsia="宋体" w:cs="Times New Roman"/>
                <w:kern w:val="2"/>
                <w:sz w:val="21"/>
                <w:szCs w:val="22"/>
                <w:lang w:val="en-US" w:eastAsia="zh-CN" w:bidi="ar-SA"/>
              </w:rPr>
              <w:t xml:space="preserve">2、小型车辆（包括小微型汽车、轻型货车、低速载货汽车、三轮汽车等）拖车最高报价250元/辆/次，停车最高报价10元/辆/天（不足一天按一天计算，限最长60天，超过60天的部分免收）。                                      </w:t>
            </w:r>
          </w:p>
        </w:tc>
      </w:tr>
      <w:tr w14:paraId="61E9F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exact"/>
        </w:trPr>
        <w:tc>
          <w:tcPr>
            <w:tcW w:w="7806" w:type="dxa"/>
          </w:tcPr>
          <w:p w14:paraId="15E25772">
            <w:pPr>
              <w:spacing w:line="360" w:lineRule="auto"/>
              <w:ind w:firstLine="420" w:firstLineChars="200"/>
              <w:rPr>
                <w:rFonts w:hint="eastAsia" w:ascii="宋体" w:hAnsi="宋体" w:eastAsia="宋体" w:cs="Times New Roman"/>
                <w:kern w:val="2"/>
                <w:sz w:val="21"/>
                <w:szCs w:val="22"/>
                <w:lang w:val="en-US" w:eastAsia="zh-CN" w:bidi="ar-SA"/>
              </w:rPr>
            </w:pPr>
            <w:r>
              <w:rPr>
                <w:rFonts w:hint="eastAsia" w:ascii="宋体" w:hAnsi="宋体" w:eastAsia="宋体" w:cs="Times New Roman"/>
                <w:kern w:val="2"/>
                <w:sz w:val="21"/>
                <w:szCs w:val="22"/>
                <w:lang w:val="en-US" w:eastAsia="zh-CN" w:bidi="ar-SA"/>
              </w:rPr>
              <w:t xml:space="preserve">3、摩托车、机动三轮车（包括三轮摩托车、二轮摩托车、轻便摩托车、拖拉机等）拖车最高报价120元/辆/次，停车最高报价5元/辆/天（不足一天按一天计算，限最长60天，超过60天的部分免收）。   </w:t>
            </w:r>
          </w:p>
        </w:tc>
      </w:tr>
      <w:tr w14:paraId="6DDE9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exact"/>
        </w:trPr>
        <w:tc>
          <w:tcPr>
            <w:tcW w:w="7806" w:type="dxa"/>
          </w:tcPr>
          <w:p w14:paraId="280BC725">
            <w:pPr>
              <w:spacing w:line="360" w:lineRule="auto"/>
              <w:ind w:firstLine="420" w:firstLineChars="200"/>
              <w:rPr>
                <w:rFonts w:hint="eastAsia" w:ascii="宋体" w:hAnsi="宋体" w:eastAsia="宋体" w:cs="Times New Roman"/>
                <w:kern w:val="2"/>
                <w:sz w:val="21"/>
                <w:szCs w:val="22"/>
                <w:lang w:val="en-US" w:eastAsia="zh-CN" w:bidi="ar-SA"/>
              </w:rPr>
            </w:pPr>
            <w:r>
              <w:rPr>
                <w:rFonts w:hint="eastAsia" w:ascii="宋体" w:hAnsi="宋体" w:eastAsia="宋体" w:cs="Times New Roman"/>
                <w:kern w:val="2"/>
                <w:sz w:val="21"/>
                <w:szCs w:val="22"/>
                <w:lang w:val="en-US" w:eastAsia="zh-CN" w:bidi="ar-SA"/>
              </w:rPr>
              <w:t>4、电动自行车、非机动三轮车、自行车（包括畜力车、手推车等）拖车最高报价80元/辆/次，停车最高报价1元/辆/天（不足一天按一天计算，限最长30天，超过30天的部分免收）。</w:t>
            </w:r>
          </w:p>
        </w:tc>
      </w:tr>
      <w:tr w14:paraId="3F406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exact"/>
        </w:trPr>
        <w:tc>
          <w:tcPr>
            <w:tcW w:w="7806" w:type="dxa"/>
            <w:vAlign w:val="center"/>
          </w:tcPr>
          <w:p w14:paraId="5EF77A9F">
            <w:pPr>
              <w:spacing w:line="360" w:lineRule="auto"/>
              <w:ind w:firstLine="420" w:firstLineChars="200"/>
              <w:rPr>
                <w:rFonts w:hint="eastAsia" w:ascii="宋体" w:hAnsi="宋体" w:eastAsia="宋体" w:cs="Times New Roman"/>
                <w:kern w:val="2"/>
                <w:sz w:val="21"/>
                <w:szCs w:val="22"/>
                <w:lang w:val="en-US" w:eastAsia="zh-CN" w:bidi="ar-SA"/>
              </w:rPr>
            </w:pPr>
            <w:r>
              <w:rPr>
                <w:rFonts w:hint="eastAsia" w:ascii="宋体" w:hAnsi="宋体" w:eastAsia="宋体" w:cs="Times New Roman"/>
                <w:kern w:val="2"/>
                <w:sz w:val="21"/>
                <w:szCs w:val="22"/>
                <w:lang w:val="en-US" w:eastAsia="zh-CN" w:bidi="ar-SA"/>
              </w:rPr>
              <w:t>5、交通保障服务（包含不限于拖送临时信号灯、交通指示牌等）最高报价150元/次，拖送事故涉案车辆检测服务、各类非法占道物品的清理和其他清障工作最高报价100元/小时。</w:t>
            </w:r>
          </w:p>
        </w:tc>
      </w:tr>
      <w:tr w14:paraId="5B10A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exact"/>
        </w:trPr>
        <w:tc>
          <w:tcPr>
            <w:tcW w:w="7806" w:type="dxa"/>
            <w:vAlign w:val="center"/>
          </w:tcPr>
          <w:p w14:paraId="23E0054E">
            <w:pPr>
              <w:spacing w:line="360" w:lineRule="auto"/>
              <w:ind w:firstLine="420" w:firstLineChars="200"/>
              <w:rPr>
                <w:rFonts w:hint="eastAsia" w:ascii="宋体" w:hAnsi="宋体" w:eastAsia="宋体" w:cs="Times New Roman"/>
                <w:kern w:val="2"/>
                <w:sz w:val="21"/>
                <w:szCs w:val="22"/>
                <w:lang w:val="en-US" w:eastAsia="zh-CN" w:bidi="ar-SA"/>
              </w:rPr>
            </w:pPr>
            <w:r>
              <w:rPr>
                <w:rFonts w:hint="eastAsia" w:ascii="宋体" w:hAnsi="宋体" w:eastAsia="宋体" w:cs="Times New Roman"/>
                <w:kern w:val="2"/>
                <w:sz w:val="21"/>
                <w:szCs w:val="22"/>
                <w:lang w:val="en-US" w:eastAsia="zh-CN" w:bidi="ar-SA"/>
              </w:rPr>
              <w:t>6、清障车辆到达现场后放空（指因委托方的原因不需要拖车、停车服务）最高报价50元/次。</w:t>
            </w:r>
          </w:p>
        </w:tc>
      </w:tr>
      <w:tr w14:paraId="77F97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exact"/>
        </w:trPr>
        <w:tc>
          <w:tcPr>
            <w:tcW w:w="7806" w:type="dxa"/>
            <w:vAlign w:val="center"/>
          </w:tcPr>
          <w:p w14:paraId="590E450B">
            <w:pPr>
              <w:spacing w:line="360" w:lineRule="auto"/>
              <w:ind w:firstLine="420" w:firstLineChars="200"/>
              <w:rPr>
                <w:rFonts w:hint="eastAsia" w:ascii="宋体" w:hAnsi="宋体" w:eastAsia="宋体" w:cs="Times New Roman"/>
                <w:kern w:val="2"/>
                <w:sz w:val="21"/>
                <w:szCs w:val="22"/>
                <w:lang w:val="en-US" w:eastAsia="zh-CN" w:bidi="ar-SA"/>
              </w:rPr>
            </w:pPr>
            <w:r>
              <w:rPr>
                <w:rFonts w:hint="eastAsia" w:ascii="宋体" w:hAnsi="宋体" w:eastAsia="宋体" w:cs="Times New Roman"/>
                <w:kern w:val="2"/>
                <w:sz w:val="21"/>
                <w:szCs w:val="22"/>
                <w:lang w:val="en-US" w:eastAsia="zh-CN" w:bidi="ar-SA"/>
              </w:rPr>
              <w:t>7、拍卖、报废、销毁处理车辆的停车费，按以上各车型报价，处理完成后结算。</w:t>
            </w:r>
          </w:p>
        </w:tc>
      </w:tr>
    </w:tbl>
    <w:p w14:paraId="1193858F">
      <w:pPr>
        <w:spacing w:line="360" w:lineRule="auto"/>
        <w:ind w:firstLine="420" w:firstLineChars="200"/>
        <w:rPr>
          <w:rFonts w:hint="eastAsia" w:ascii="宋体" w:hAnsi="宋体" w:eastAsia="宋体" w:cs="Times New Roman"/>
          <w:b/>
          <w:bCs/>
          <w:kern w:val="2"/>
          <w:sz w:val="21"/>
          <w:szCs w:val="22"/>
          <w:lang w:val="en-US" w:eastAsia="zh-CN" w:bidi="ar-SA"/>
        </w:rPr>
      </w:pPr>
      <w:r>
        <w:rPr>
          <w:rFonts w:hint="eastAsia" w:ascii="宋体" w:hAnsi="宋体" w:eastAsia="宋体" w:cs="Times New Roman"/>
          <w:kern w:val="2"/>
          <w:sz w:val="21"/>
          <w:szCs w:val="22"/>
          <w:lang w:val="en-US" w:eastAsia="zh-CN" w:bidi="ar-SA"/>
        </w:rPr>
        <w:t>备注</w:t>
      </w:r>
      <w:r>
        <w:rPr>
          <w:rFonts w:hint="eastAsia" w:ascii="宋体" w:hAnsi="宋体" w:eastAsia="宋体" w:cs="Times New Roman"/>
          <w:i/>
          <w:iCs/>
          <w:kern w:val="2"/>
          <w:sz w:val="21"/>
          <w:szCs w:val="22"/>
          <w:u w:val="single"/>
          <w:lang w:val="en-US" w:eastAsia="zh-CN" w:bidi="ar-SA"/>
        </w:rPr>
        <w:t>：</w:t>
      </w:r>
      <w:r>
        <w:rPr>
          <w:rFonts w:hint="eastAsia" w:ascii="宋体" w:hAnsi="宋体" w:eastAsia="宋体" w:cs="Times New Roman"/>
          <w:b/>
          <w:bCs/>
          <w:i/>
          <w:iCs/>
          <w:kern w:val="2"/>
          <w:sz w:val="21"/>
          <w:szCs w:val="22"/>
          <w:u w:val="single"/>
          <w:lang w:val="en-US" w:eastAsia="zh-CN" w:bidi="ar-SA"/>
        </w:rPr>
        <w:t>本项目</w:t>
      </w:r>
      <w:r>
        <w:rPr>
          <w:rFonts w:hint="eastAsia" w:ascii="宋体" w:hAnsi="宋体" w:cs="Times New Roman"/>
          <w:b/>
          <w:bCs/>
          <w:i/>
          <w:iCs/>
          <w:kern w:val="2"/>
          <w:sz w:val="21"/>
          <w:szCs w:val="22"/>
          <w:u w:val="single"/>
          <w:lang w:val="en-US" w:eastAsia="zh-CN" w:bidi="ar-SA"/>
        </w:rPr>
        <w:t>报价方式为优惠率</w:t>
      </w:r>
      <w:r>
        <w:rPr>
          <w:rFonts w:hint="eastAsia" w:ascii="宋体" w:hAnsi="宋体" w:eastAsia="宋体" w:cs="Times New Roman"/>
          <w:b/>
          <w:bCs/>
          <w:i/>
          <w:iCs/>
          <w:kern w:val="2"/>
          <w:sz w:val="21"/>
          <w:szCs w:val="22"/>
          <w:u w:val="single"/>
          <w:lang w:val="en-US" w:eastAsia="zh-CN" w:bidi="ar-SA"/>
        </w:rPr>
        <w:t>报价，</w:t>
      </w:r>
      <w:r>
        <w:rPr>
          <w:rFonts w:hint="eastAsia" w:ascii="宋体" w:hAnsi="宋体" w:cs="Times New Roman"/>
          <w:b/>
          <w:bCs/>
          <w:i/>
          <w:iCs/>
          <w:kern w:val="2"/>
          <w:sz w:val="21"/>
          <w:szCs w:val="22"/>
          <w:u w:val="single"/>
          <w:lang w:val="en-US" w:eastAsia="zh-CN" w:bidi="ar-SA"/>
        </w:rPr>
        <w:t>采购人无法预计也无法保证中标人在服务期内可以获得的服务数量，最终以实际服务数据为准，并结合</w:t>
      </w:r>
      <w:r>
        <w:rPr>
          <w:rFonts w:hint="eastAsia" w:ascii="宋体" w:hAnsi="宋体" w:eastAsia="宋体" w:cs="Times New Roman"/>
          <w:b/>
          <w:bCs/>
          <w:i/>
          <w:iCs/>
          <w:kern w:val="2"/>
          <w:sz w:val="21"/>
          <w:szCs w:val="22"/>
          <w:u w:val="single"/>
          <w:lang w:val="en-US" w:eastAsia="zh-CN" w:bidi="ar-SA"/>
        </w:rPr>
        <w:t>报价</w:t>
      </w:r>
      <w:r>
        <w:rPr>
          <w:rFonts w:hint="eastAsia" w:ascii="宋体" w:hAnsi="宋体" w:cs="Times New Roman"/>
          <w:b/>
          <w:bCs/>
          <w:i/>
          <w:iCs/>
          <w:kern w:val="2"/>
          <w:sz w:val="21"/>
          <w:szCs w:val="22"/>
          <w:u w:val="single"/>
          <w:lang w:val="en-US" w:eastAsia="zh-CN" w:bidi="ar-SA"/>
        </w:rPr>
        <w:t>办理结算手续，结算时按报价清单中每项单价*（1-优惠率）*数量。项目服务期：合同签订之日起1年，合同总价为：119万元，最终结算总价不得高于合同价；最终结算价格如低于合同价， 按实计算；如高于合同价，按合同价结算，且乙方不得因此停止提供服务或降低服务质量。投标人应充分考虑经营风险，并尽可能地提供优惠的价格和优质的服务，以提高自身的竞争力；</w:t>
      </w:r>
      <w:r>
        <w:rPr>
          <w:rFonts w:hint="eastAsia" w:ascii="宋体" w:hAnsi="宋体" w:eastAsia="宋体" w:cs="Times New Roman"/>
          <w:b/>
          <w:bCs/>
          <w:i/>
          <w:iCs/>
          <w:kern w:val="2"/>
          <w:sz w:val="21"/>
          <w:szCs w:val="22"/>
          <w:u w:val="single"/>
          <w:lang w:val="en-US" w:eastAsia="zh-CN" w:bidi="ar-SA"/>
        </w:rPr>
        <w:t>供应</w:t>
      </w:r>
      <w:r>
        <w:rPr>
          <w:rFonts w:hint="eastAsia" w:hAnsi="宋体" w:cs="宋体"/>
          <w:b/>
          <w:bCs/>
          <w:i/>
          <w:iCs/>
          <w:u w:val="single"/>
        </w:rPr>
        <w:t>商</w:t>
      </w:r>
      <w:r>
        <w:rPr>
          <w:rFonts w:hint="eastAsia" w:ascii="宋体" w:hAnsi="宋体" w:eastAsia="宋体" w:cs="Times New Roman"/>
          <w:b/>
          <w:bCs/>
          <w:i/>
          <w:iCs/>
          <w:kern w:val="2"/>
          <w:sz w:val="21"/>
          <w:szCs w:val="22"/>
          <w:u w:val="single"/>
          <w:lang w:val="en-US" w:eastAsia="zh-CN" w:bidi="ar-SA"/>
        </w:rPr>
        <w:t>报价应综合考虑实际拖车距离，应包含租赁费、场地管理费、油料费、维修费、保险费、税费以及服务人员工资等所有税、费</w:t>
      </w:r>
      <w:r>
        <w:rPr>
          <w:rFonts w:hint="eastAsia" w:ascii="宋体" w:hAnsi="宋体" w:cs="Times New Roman"/>
          <w:b/>
          <w:bCs/>
          <w:i/>
          <w:iCs/>
          <w:kern w:val="2"/>
          <w:sz w:val="21"/>
          <w:szCs w:val="22"/>
          <w:u w:val="single"/>
          <w:lang w:val="en-US" w:eastAsia="zh-CN" w:bidi="ar-SA"/>
        </w:rPr>
        <w:t>和招标文件中所有涉及的费用</w:t>
      </w:r>
      <w:r>
        <w:rPr>
          <w:rFonts w:hint="eastAsia" w:ascii="宋体" w:hAnsi="宋体" w:eastAsia="宋体" w:cs="Times New Roman"/>
          <w:b/>
          <w:bCs/>
          <w:i/>
          <w:iCs/>
          <w:kern w:val="2"/>
          <w:sz w:val="21"/>
          <w:szCs w:val="22"/>
          <w:u w:val="single"/>
          <w:lang w:val="en-US" w:eastAsia="zh-CN" w:bidi="ar-SA"/>
        </w:rPr>
        <w:t>；除依法应当由当事人承担的事故现场清障费、</w:t>
      </w:r>
      <w:r>
        <w:rPr>
          <w:rFonts w:hint="default" w:ascii="宋体" w:hAnsi="宋体" w:eastAsia="宋体" w:cs="Times New Roman"/>
          <w:b/>
          <w:bCs/>
          <w:i/>
          <w:iCs/>
          <w:kern w:val="2"/>
          <w:sz w:val="21"/>
          <w:szCs w:val="22"/>
          <w:u w:val="single"/>
          <w:lang w:val="en-US" w:eastAsia="zh-CN" w:bidi="ar-SA"/>
        </w:rPr>
        <w:t>当事人逾期未领取</w:t>
      </w:r>
      <w:r>
        <w:rPr>
          <w:rFonts w:hint="eastAsia" w:ascii="宋体" w:hAnsi="宋体" w:eastAsia="宋体" w:cs="Times New Roman"/>
          <w:b/>
          <w:bCs/>
          <w:i/>
          <w:iCs/>
          <w:kern w:val="2"/>
          <w:sz w:val="21"/>
          <w:szCs w:val="22"/>
          <w:u w:val="single"/>
          <w:lang w:val="en-US" w:eastAsia="zh-CN" w:bidi="ar-SA"/>
        </w:rPr>
        <w:t>车辆</w:t>
      </w:r>
      <w:r>
        <w:rPr>
          <w:rFonts w:hint="default" w:ascii="宋体" w:hAnsi="宋体" w:eastAsia="宋体" w:cs="Times New Roman"/>
          <w:b/>
          <w:bCs/>
          <w:i/>
          <w:iCs/>
          <w:kern w:val="2"/>
          <w:sz w:val="21"/>
          <w:szCs w:val="22"/>
          <w:u w:val="single"/>
          <w:lang w:val="en-US" w:eastAsia="zh-CN" w:bidi="ar-SA"/>
        </w:rPr>
        <w:t>产生的停车费</w:t>
      </w:r>
      <w:r>
        <w:rPr>
          <w:rFonts w:hint="eastAsia" w:ascii="宋体" w:hAnsi="宋体" w:eastAsia="宋体" w:cs="Times New Roman"/>
          <w:b/>
          <w:bCs/>
          <w:i/>
          <w:iCs/>
          <w:kern w:val="2"/>
          <w:sz w:val="21"/>
          <w:szCs w:val="22"/>
          <w:u w:val="single"/>
          <w:lang w:val="en-US" w:eastAsia="zh-CN" w:bidi="ar-SA"/>
        </w:rPr>
        <w:t>、车辆因违停被拖移至社会停车场产生的</w:t>
      </w:r>
      <w:r>
        <w:rPr>
          <w:rFonts w:hint="default" w:ascii="宋体" w:hAnsi="宋体" w:eastAsia="宋体" w:cs="Times New Roman"/>
          <w:b/>
          <w:bCs/>
          <w:i/>
          <w:iCs/>
          <w:kern w:val="2"/>
          <w:sz w:val="21"/>
          <w:szCs w:val="22"/>
          <w:u w:val="single"/>
          <w:lang w:val="en-US" w:eastAsia="zh-CN" w:bidi="ar-SA"/>
        </w:rPr>
        <w:t>停车费</w:t>
      </w:r>
      <w:r>
        <w:rPr>
          <w:rFonts w:hint="eastAsia" w:ascii="宋体" w:hAnsi="宋体" w:eastAsia="宋体" w:cs="Times New Roman"/>
          <w:b/>
          <w:bCs/>
          <w:i/>
          <w:iCs/>
          <w:kern w:val="2"/>
          <w:sz w:val="21"/>
          <w:szCs w:val="22"/>
          <w:u w:val="single"/>
          <w:lang w:val="en-US" w:eastAsia="zh-CN" w:bidi="ar-SA"/>
        </w:rPr>
        <w:t>，不得向当事人收取任何费用。</w:t>
      </w:r>
    </w:p>
    <w:p w14:paraId="5CA2E8D2">
      <w:pPr>
        <w:rPr>
          <w:rFonts w:hint="eastAsia" w:ascii="宋体" w:hAnsi="宋体" w:eastAsia="宋体" w:cs="Times New Roman"/>
          <w:b/>
          <w:bCs/>
          <w:kern w:val="2"/>
          <w:sz w:val="21"/>
          <w:szCs w:val="22"/>
          <w:lang w:val="en-US" w:eastAsia="zh-CN" w:bidi="ar-SA"/>
        </w:rPr>
      </w:pPr>
      <w:r>
        <w:rPr>
          <w:rFonts w:hint="eastAsia" w:ascii="宋体" w:hAnsi="宋体" w:eastAsia="宋体" w:cs="Times New Roman"/>
          <w:b/>
          <w:bCs/>
          <w:kern w:val="2"/>
          <w:sz w:val="21"/>
          <w:szCs w:val="22"/>
          <w:lang w:val="en-US" w:eastAsia="zh-CN" w:bidi="ar-SA"/>
        </w:rPr>
        <w:t>二、项目服务技术参数及要求：</w:t>
      </w:r>
    </w:p>
    <w:p w14:paraId="4378BFF0">
      <w:pPr>
        <w:rPr>
          <w:rFonts w:hint="eastAsia" w:ascii="宋体" w:hAnsi="宋体" w:eastAsia="宋体" w:cs="Times New Roman"/>
          <w:b/>
          <w:bCs/>
          <w:kern w:val="2"/>
          <w:sz w:val="21"/>
          <w:szCs w:val="22"/>
          <w:lang w:val="en-US" w:eastAsia="zh-CN" w:bidi="ar-SA"/>
        </w:rPr>
      </w:pPr>
      <w:r>
        <w:rPr>
          <w:rFonts w:hint="eastAsia" w:ascii="宋体" w:hAnsi="宋体" w:eastAsia="宋体" w:cs="Times New Roman"/>
          <w:b/>
          <w:bCs/>
          <w:kern w:val="2"/>
          <w:sz w:val="21"/>
          <w:szCs w:val="22"/>
          <w:lang w:val="en-US" w:eastAsia="zh-CN" w:bidi="ar-SA"/>
        </w:rPr>
        <w:t>（一）车辆数量及状况、停车场地、作业人员要求</w:t>
      </w:r>
    </w:p>
    <w:p w14:paraId="77D2CA35">
      <w:pPr>
        <w:rPr>
          <w:rFonts w:hint="eastAsia" w:ascii="宋体" w:hAnsi="宋体" w:eastAsia="宋体" w:cs="Times New Roman"/>
          <w:b/>
          <w:bCs/>
          <w:kern w:val="2"/>
          <w:sz w:val="21"/>
          <w:szCs w:val="22"/>
          <w:lang w:val="en-US" w:eastAsia="zh-CN" w:bidi="ar-SA"/>
        </w:rPr>
      </w:pPr>
      <w:r>
        <w:rPr>
          <w:rFonts w:hint="eastAsia" w:ascii="宋体" w:hAnsi="宋体" w:eastAsia="宋体" w:cs="Times New Roman"/>
          <w:b/>
          <w:bCs/>
          <w:kern w:val="2"/>
          <w:sz w:val="21"/>
          <w:szCs w:val="22"/>
          <w:lang w:val="en-US" w:eastAsia="zh-CN" w:bidi="ar-SA"/>
        </w:rPr>
        <w:t>1、车辆数量要求</w:t>
      </w:r>
    </w:p>
    <w:p w14:paraId="1F04E6C3">
      <w:pPr>
        <w:pStyle w:val="4"/>
        <w:snapToGrid w:val="0"/>
        <w:spacing w:before="120" w:after="120" w:line="360" w:lineRule="auto"/>
        <w:ind w:firstLine="420" w:firstLineChars="200"/>
        <w:rPr>
          <w:rFonts w:hAnsi="宋体" w:cs="宋体"/>
          <w:i/>
          <w:iCs/>
          <w:u w:val="single"/>
        </w:rPr>
      </w:pPr>
      <w:r>
        <w:rPr>
          <w:rFonts w:hint="eastAsia" w:hAnsi="宋体" w:cs="宋体"/>
          <w:i/>
          <w:iCs/>
          <w:u w:val="single"/>
        </w:rPr>
        <w:t>（1）</w:t>
      </w:r>
      <w:r>
        <w:rPr>
          <w:rFonts w:hint="eastAsia" w:hAnsi="宋体" w:cs="宋体"/>
          <w:i/>
          <w:iCs/>
          <w:u w:val="single"/>
          <w:lang w:val="en-US" w:eastAsia="zh-CN"/>
        </w:rPr>
        <w:t>服务</w:t>
      </w:r>
      <w:r>
        <w:rPr>
          <w:rFonts w:hint="eastAsia" w:hAnsi="宋体" w:cs="宋体"/>
          <w:i/>
          <w:iCs/>
          <w:u w:val="single"/>
        </w:rPr>
        <w:t>车辆总数为5辆，具体分配如下表：</w:t>
      </w:r>
    </w:p>
    <w:tbl>
      <w:tblPr>
        <w:tblStyle w:val="5"/>
        <w:tblW w:w="8083" w:type="dxa"/>
        <w:jc w:val="center"/>
        <w:tblLayout w:type="fixed"/>
        <w:tblCellMar>
          <w:top w:w="0" w:type="dxa"/>
          <w:left w:w="108" w:type="dxa"/>
          <w:bottom w:w="0" w:type="dxa"/>
          <w:right w:w="108" w:type="dxa"/>
        </w:tblCellMar>
      </w:tblPr>
      <w:tblGrid>
        <w:gridCol w:w="1486"/>
        <w:gridCol w:w="5190"/>
        <w:gridCol w:w="1407"/>
      </w:tblGrid>
      <w:tr w14:paraId="39021D71">
        <w:tblPrEx>
          <w:tblCellMar>
            <w:top w:w="0" w:type="dxa"/>
            <w:left w:w="108" w:type="dxa"/>
            <w:bottom w:w="0" w:type="dxa"/>
            <w:right w:w="108" w:type="dxa"/>
          </w:tblCellMar>
        </w:tblPrEx>
        <w:trPr>
          <w:trHeight w:val="276" w:hRule="atLeast"/>
          <w:tblHeader/>
          <w:jc w:val="center"/>
        </w:trPr>
        <w:tc>
          <w:tcPr>
            <w:tcW w:w="1486" w:type="dxa"/>
            <w:tcBorders>
              <w:top w:val="single" w:color="auto" w:sz="4" w:space="0"/>
              <w:left w:val="single" w:color="auto" w:sz="4" w:space="0"/>
              <w:bottom w:val="single" w:color="auto" w:sz="4" w:space="0"/>
              <w:right w:val="single" w:color="auto" w:sz="4" w:space="0"/>
            </w:tcBorders>
            <w:vAlign w:val="center"/>
          </w:tcPr>
          <w:p w14:paraId="44847C08">
            <w:pPr>
              <w:pStyle w:val="4"/>
              <w:snapToGrid w:val="0"/>
              <w:spacing w:before="120" w:after="120" w:line="360" w:lineRule="auto"/>
              <w:ind w:firstLine="420" w:firstLineChars="200"/>
              <w:rPr>
                <w:rFonts w:hAnsi="宋体" w:cs="宋体"/>
                <w:i/>
                <w:iCs/>
                <w:u w:val="single"/>
              </w:rPr>
            </w:pPr>
            <w:r>
              <w:rPr>
                <w:rFonts w:hint="eastAsia" w:hAnsi="宋体" w:cs="宋体"/>
                <w:i/>
                <w:iCs/>
                <w:u w:val="single"/>
              </w:rPr>
              <w:t>序号</w:t>
            </w:r>
          </w:p>
        </w:tc>
        <w:tc>
          <w:tcPr>
            <w:tcW w:w="5190" w:type="dxa"/>
            <w:tcBorders>
              <w:top w:val="single" w:color="auto" w:sz="4" w:space="0"/>
              <w:left w:val="single" w:color="auto" w:sz="4" w:space="0"/>
              <w:bottom w:val="single" w:color="auto" w:sz="4" w:space="0"/>
              <w:right w:val="single" w:color="auto" w:sz="4" w:space="0"/>
            </w:tcBorders>
            <w:vAlign w:val="center"/>
          </w:tcPr>
          <w:p w14:paraId="5BAAE928">
            <w:pPr>
              <w:pStyle w:val="4"/>
              <w:snapToGrid w:val="0"/>
              <w:spacing w:before="120" w:after="120" w:line="360" w:lineRule="auto"/>
              <w:ind w:firstLine="420" w:firstLineChars="200"/>
              <w:rPr>
                <w:rFonts w:hAnsi="宋体" w:cs="宋体"/>
                <w:i/>
                <w:iCs/>
                <w:u w:val="single"/>
              </w:rPr>
            </w:pPr>
            <w:r>
              <w:rPr>
                <w:rFonts w:hint="eastAsia" w:hAnsi="宋体" w:cs="宋体"/>
                <w:i/>
                <w:iCs/>
                <w:u w:val="single"/>
              </w:rPr>
              <w:t>车      型</w:t>
            </w:r>
          </w:p>
        </w:tc>
        <w:tc>
          <w:tcPr>
            <w:tcW w:w="1407" w:type="dxa"/>
            <w:tcBorders>
              <w:top w:val="single" w:color="auto" w:sz="4" w:space="0"/>
              <w:left w:val="single" w:color="auto" w:sz="4" w:space="0"/>
              <w:bottom w:val="single" w:color="auto" w:sz="4" w:space="0"/>
              <w:right w:val="single" w:color="auto" w:sz="4" w:space="0"/>
            </w:tcBorders>
            <w:vAlign w:val="center"/>
          </w:tcPr>
          <w:p w14:paraId="72AB9DBB">
            <w:pPr>
              <w:pStyle w:val="4"/>
              <w:snapToGrid w:val="0"/>
              <w:spacing w:before="120" w:after="120" w:line="360" w:lineRule="auto"/>
              <w:ind w:firstLine="420" w:firstLineChars="200"/>
              <w:rPr>
                <w:rFonts w:hAnsi="宋体" w:cs="宋体"/>
                <w:i/>
                <w:iCs/>
                <w:u w:val="single"/>
              </w:rPr>
            </w:pPr>
            <w:r>
              <w:rPr>
                <w:rFonts w:hint="eastAsia" w:hAnsi="宋体" w:cs="宋体"/>
                <w:i/>
                <w:iCs/>
                <w:u w:val="single"/>
              </w:rPr>
              <w:t>数量</w:t>
            </w:r>
          </w:p>
        </w:tc>
      </w:tr>
      <w:tr w14:paraId="4EA72121">
        <w:tblPrEx>
          <w:tblCellMar>
            <w:top w:w="0" w:type="dxa"/>
            <w:left w:w="108" w:type="dxa"/>
            <w:bottom w:w="0" w:type="dxa"/>
            <w:right w:w="108" w:type="dxa"/>
          </w:tblCellMar>
        </w:tblPrEx>
        <w:trPr>
          <w:trHeight w:val="284" w:hRule="atLeast"/>
          <w:jc w:val="center"/>
        </w:trPr>
        <w:tc>
          <w:tcPr>
            <w:tcW w:w="1486" w:type="dxa"/>
            <w:tcBorders>
              <w:top w:val="single" w:color="auto" w:sz="4" w:space="0"/>
              <w:left w:val="single" w:color="auto" w:sz="4" w:space="0"/>
              <w:bottom w:val="single" w:color="auto" w:sz="4" w:space="0"/>
              <w:right w:val="single" w:color="auto" w:sz="4" w:space="0"/>
            </w:tcBorders>
            <w:vAlign w:val="center"/>
          </w:tcPr>
          <w:p w14:paraId="5A6BF8B3">
            <w:pPr>
              <w:pStyle w:val="4"/>
              <w:snapToGrid w:val="0"/>
              <w:spacing w:before="120" w:after="120" w:line="360" w:lineRule="auto"/>
              <w:ind w:firstLine="420" w:firstLineChars="200"/>
              <w:rPr>
                <w:rFonts w:hAnsi="宋体" w:cs="宋体"/>
                <w:i/>
                <w:iCs/>
                <w:u w:val="single"/>
              </w:rPr>
            </w:pPr>
            <w:r>
              <w:rPr>
                <w:rFonts w:hint="eastAsia" w:hAnsi="宋体" w:cs="宋体"/>
                <w:i/>
                <w:iCs/>
                <w:u w:val="single"/>
              </w:rPr>
              <w:t>1</w:t>
            </w:r>
          </w:p>
        </w:tc>
        <w:tc>
          <w:tcPr>
            <w:tcW w:w="5190" w:type="dxa"/>
            <w:tcBorders>
              <w:top w:val="single" w:color="auto" w:sz="4" w:space="0"/>
              <w:left w:val="single" w:color="auto" w:sz="4" w:space="0"/>
              <w:bottom w:val="single" w:color="auto" w:sz="4" w:space="0"/>
              <w:right w:val="single" w:color="auto" w:sz="4" w:space="0"/>
            </w:tcBorders>
            <w:vAlign w:val="center"/>
          </w:tcPr>
          <w:p w14:paraId="4237963A">
            <w:pPr>
              <w:pStyle w:val="4"/>
              <w:snapToGrid w:val="0"/>
              <w:spacing w:before="120" w:after="120" w:line="360" w:lineRule="auto"/>
              <w:ind w:firstLine="420" w:firstLineChars="200"/>
              <w:rPr>
                <w:rFonts w:hAnsi="宋体" w:cs="宋体"/>
                <w:i/>
                <w:iCs/>
                <w:u w:val="single"/>
              </w:rPr>
            </w:pPr>
            <w:r>
              <w:rPr>
                <w:rFonts w:hint="eastAsia" w:hAnsi="宋体" w:cs="宋体"/>
                <w:i/>
                <w:iCs/>
                <w:u w:val="single"/>
              </w:rPr>
              <w:t>2吨（含2吨）至5吨中小型专项作业车(清障车)</w:t>
            </w:r>
          </w:p>
        </w:tc>
        <w:tc>
          <w:tcPr>
            <w:tcW w:w="1407" w:type="dxa"/>
            <w:tcBorders>
              <w:top w:val="single" w:color="auto" w:sz="4" w:space="0"/>
              <w:left w:val="single" w:color="auto" w:sz="4" w:space="0"/>
              <w:bottom w:val="single" w:color="auto" w:sz="4" w:space="0"/>
              <w:right w:val="single" w:color="auto" w:sz="4" w:space="0"/>
            </w:tcBorders>
            <w:vAlign w:val="center"/>
          </w:tcPr>
          <w:p w14:paraId="78152D23">
            <w:pPr>
              <w:pStyle w:val="4"/>
              <w:snapToGrid w:val="0"/>
              <w:spacing w:before="120" w:after="120" w:line="360" w:lineRule="auto"/>
              <w:ind w:firstLine="420" w:firstLineChars="200"/>
              <w:rPr>
                <w:rFonts w:hAnsi="宋体" w:cs="宋体"/>
                <w:i/>
                <w:iCs/>
                <w:u w:val="single"/>
              </w:rPr>
            </w:pPr>
            <w:r>
              <w:rPr>
                <w:rFonts w:hint="eastAsia" w:hAnsi="宋体" w:cs="宋体"/>
                <w:i/>
                <w:iCs/>
                <w:u w:val="single"/>
              </w:rPr>
              <w:t>2</w:t>
            </w:r>
          </w:p>
        </w:tc>
      </w:tr>
      <w:tr w14:paraId="5CC0468E">
        <w:tblPrEx>
          <w:tblCellMar>
            <w:top w:w="0" w:type="dxa"/>
            <w:left w:w="108" w:type="dxa"/>
            <w:bottom w:w="0" w:type="dxa"/>
            <w:right w:w="108" w:type="dxa"/>
          </w:tblCellMar>
        </w:tblPrEx>
        <w:trPr>
          <w:trHeight w:val="284" w:hRule="atLeast"/>
          <w:jc w:val="center"/>
        </w:trPr>
        <w:tc>
          <w:tcPr>
            <w:tcW w:w="1486" w:type="dxa"/>
            <w:tcBorders>
              <w:top w:val="single" w:color="auto" w:sz="4" w:space="0"/>
              <w:left w:val="single" w:color="auto" w:sz="4" w:space="0"/>
              <w:bottom w:val="single" w:color="auto" w:sz="4" w:space="0"/>
              <w:right w:val="single" w:color="auto" w:sz="4" w:space="0"/>
            </w:tcBorders>
            <w:vAlign w:val="center"/>
          </w:tcPr>
          <w:p w14:paraId="323A2F64">
            <w:pPr>
              <w:pStyle w:val="4"/>
              <w:snapToGrid w:val="0"/>
              <w:spacing w:before="120" w:after="120" w:line="360" w:lineRule="auto"/>
              <w:ind w:firstLine="420" w:firstLineChars="200"/>
              <w:rPr>
                <w:rFonts w:hAnsi="宋体" w:cs="宋体"/>
                <w:i/>
                <w:iCs/>
                <w:u w:val="single"/>
              </w:rPr>
            </w:pPr>
            <w:r>
              <w:rPr>
                <w:rFonts w:hint="eastAsia" w:hAnsi="宋体" w:cs="宋体"/>
                <w:i/>
                <w:iCs/>
                <w:u w:val="single"/>
              </w:rPr>
              <w:t>2</w:t>
            </w:r>
          </w:p>
        </w:tc>
        <w:tc>
          <w:tcPr>
            <w:tcW w:w="5190" w:type="dxa"/>
            <w:tcBorders>
              <w:top w:val="single" w:color="auto" w:sz="4" w:space="0"/>
              <w:left w:val="single" w:color="auto" w:sz="4" w:space="0"/>
              <w:bottom w:val="single" w:color="auto" w:sz="4" w:space="0"/>
              <w:right w:val="single" w:color="auto" w:sz="4" w:space="0"/>
            </w:tcBorders>
            <w:vAlign w:val="center"/>
          </w:tcPr>
          <w:p w14:paraId="48D7F3CB">
            <w:pPr>
              <w:pStyle w:val="4"/>
              <w:snapToGrid w:val="0"/>
              <w:spacing w:before="120" w:after="120" w:line="360" w:lineRule="auto"/>
              <w:ind w:firstLine="420" w:firstLineChars="200"/>
              <w:rPr>
                <w:rFonts w:hAnsi="宋体" w:cs="宋体"/>
                <w:i/>
                <w:iCs/>
                <w:u w:val="single"/>
              </w:rPr>
            </w:pPr>
            <w:r>
              <w:rPr>
                <w:rFonts w:hint="eastAsia" w:hAnsi="宋体" w:cs="宋体"/>
                <w:i/>
                <w:iCs/>
                <w:u w:val="single"/>
              </w:rPr>
              <w:t>5吨（含5吨）以上大中型专项作业车(清障车)</w:t>
            </w:r>
          </w:p>
        </w:tc>
        <w:tc>
          <w:tcPr>
            <w:tcW w:w="1407" w:type="dxa"/>
            <w:tcBorders>
              <w:top w:val="single" w:color="auto" w:sz="4" w:space="0"/>
              <w:left w:val="single" w:color="auto" w:sz="4" w:space="0"/>
              <w:bottom w:val="single" w:color="auto" w:sz="4" w:space="0"/>
              <w:right w:val="single" w:color="auto" w:sz="4" w:space="0"/>
            </w:tcBorders>
            <w:vAlign w:val="center"/>
          </w:tcPr>
          <w:p w14:paraId="2B4CD298">
            <w:pPr>
              <w:pStyle w:val="4"/>
              <w:snapToGrid w:val="0"/>
              <w:spacing w:before="120" w:after="120" w:line="360" w:lineRule="auto"/>
              <w:ind w:firstLine="420" w:firstLineChars="200"/>
              <w:rPr>
                <w:rFonts w:hAnsi="宋体" w:cs="宋体"/>
                <w:i/>
                <w:iCs/>
                <w:u w:val="single"/>
              </w:rPr>
            </w:pPr>
            <w:r>
              <w:rPr>
                <w:rFonts w:hint="eastAsia" w:hAnsi="宋体" w:cs="宋体"/>
                <w:i/>
                <w:iCs/>
                <w:u w:val="single"/>
              </w:rPr>
              <w:t>1</w:t>
            </w:r>
          </w:p>
        </w:tc>
      </w:tr>
      <w:tr w14:paraId="1ED7E234">
        <w:tblPrEx>
          <w:tblCellMar>
            <w:top w:w="0" w:type="dxa"/>
            <w:left w:w="108" w:type="dxa"/>
            <w:bottom w:w="0" w:type="dxa"/>
            <w:right w:w="108" w:type="dxa"/>
          </w:tblCellMar>
        </w:tblPrEx>
        <w:trPr>
          <w:trHeight w:val="284" w:hRule="atLeast"/>
          <w:jc w:val="center"/>
        </w:trPr>
        <w:tc>
          <w:tcPr>
            <w:tcW w:w="1486" w:type="dxa"/>
            <w:tcBorders>
              <w:top w:val="single" w:color="auto" w:sz="4" w:space="0"/>
              <w:left w:val="single" w:color="auto" w:sz="4" w:space="0"/>
              <w:bottom w:val="single" w:color="auto" w:sz="4" w:space="0"/>
              <w:right w:val="single" w:color="auto" w:sz="4" w:space="0"/>
            </w:tcBorders>
            <w:vAlign w:val="center"/>
          </w:tcPr>
          <w:p w14:paraId="72091D8A">
            <w:pPr>
              <w:pStyle w:val="4"/>
              <w:snapToGrid w:val="0"/>
              <w:spacing w:before="120" w:after="120" w:line="360" w:lineRule="auto"/>
              <w:ind w:firstLine="420" w:firstLineChars="200"/>
              <w:rPr>
                <w:rFonts w:hAnsi="宋体" w:cs="宋体"/>
                <w:i/>
                <w:iCs/>
                <w:u w:val="single"/>
              </w:rPr>
            </w:pPr>
            <w:r>
              <w:rPr>
                <w:rFonts w:hint="eastAsia" w:hAnsi="宋体" w:cs="宋体"/>
                <w:i/>
                <w:iCs/>
                <w:u w:val="single"/>
              </w:rPr>
              <w:t>3</w:t>
            </w:r>
          </w:p>
        </w:tc>
        <w:tc>
          <w:tcPr>
            <w:tcW w:w="5190" w:type="dxa"/>
            <w:tcBorders>
              <w:top w:val="single" w:color="auto" w:sz="4" w:space="0"/>
              <w:left w:val="single" w:color="auto" w:sz="4" w:space="0"/>
              <w:bottom w:val="single" w:color="auto" w:sz="4" w:space="0"/>
              <w:right w:val="single" w:color="auto" w:sz="4" w:space="0"/>
            </w:tcBorders>
            <w:vAlign w:val="center"/>
          </w:tcPr>
          <w:p w14:paraId="1840FF2A">
            <w:pPr>
              <w:pStyle w:val="4"/>
              <w:snapToGrid w:val="0"/>
              <w:spacing w:before="120" w:after="120" w:line="360" w:lineRule="auto"/>
              <w:ind w:firstLine="420" w:firstLineChars="200"/>
              <w:rPr>
                <w:rFonts w:hAnsi="宋体" w:cs="宋体"/>
                <w:i/>
                <w:iCs/>
                <w:u w:val="single"/>
              </w:rPr>
            </w:pPr>
            <w:r>
              <w:rPr>
                <w:rFonts w:hint="eastAsia" w:hAnsi="宋体" w:cs="宋体"/>
                <w:i/>
                <w:iCs/>
                <w:u w:val="single"/>
              </w:rPr>
              <w:t>30吨（含30吨）以上大型专项作业车(清障车)</w:t>
            </w:r>
          </w:p>
        </w:tc>
        <w:tc>
          <w:tcPr>
            <w:tcW w:w="1407" w:type="dxa"/>
            <w:tcBorders>
              <w:top w:val="single" w:color="auto" w:sz="4" w:space="0"/>
              <w:left w:val="single" w:color="auto" w:sz="4" w:space="0"/>
              <w:bottom w:val="single" w:color="auto" w:sz="4" w:space="0"/>
              <w:right w:val="single" w:color="auto" w:sz="4" w:space="0"/>
            </w:tcBorders>
            <w:vAlign w:val="center"/>
          </w:tcPr>
          <w:p w14:paraId="64B5E66A">
            <w:pPr>
              <w:pStyle w:val="4"/>
              <w:snapToGrid w:val="0"/>
              <w:spacing w:before="120" w:after="120" w:line="360" w:lineRule="auto"/>
              <w:ind w:firstLine="420" w:firstLineChars="200"/>
              <w:rPr>
                <w:rFonts w:hAnsi="宋体" w:cs="宋体"/>
                <w:i/>
                <w:iCs/>
                <w:u w:val="single"/>
              </w:rPr>
            </w:pPr>
            <w:r>
              <w:rPr>
                <w:rFonts w:hint="eastAsia" w:hAnsi="宋体" w:cs="宋体"/>
                <w:i/>
                <w:iCs/>
                <w:u w:val="single"/>
              </w:rPr>
              <w:t>1</w:t>
            </w:r>
          </w:p>
        </w:tc>
      </w:tr>
      <w:tr w14:paraId="75FD38EE">
        <w:tblPrEx>
          <w:tblCellMar>
            <w:top w:w="0" w:type="dxa"/>
            <w:left w:w="108" w:type="dxa"/>
            <w:bottom w:w="0" w:type="dxa"/>
            <w:right w:w="108" w:type="dxa"/>
          </w:tblCellMar>
        </w:tblPrEx>
        <w:trPr>
          <w:trHeight w:val="284" w:hRule="atLeast"/>
          <w:jc w:val="center"/>
        </w:trPr>
        <w:tc>
          <w:tcPr>
            <w:tcW w:w="1486" w:type="dxa"/>
            <w:tcBorders>
              <w:top w:val="single" w:color="auto" w:sz="4" w:space="0"/>
              <w:left w:val="single" w:color="auto" w:sz="4" w:space="0"/>
              <w:bottom w:val="single" w:color="auto" w:sz="4" w:space="0"/>
              <w:right w:val="single" w:color="auto" w:sz="4" w:space="0"/>
            </w:tcBorders>
            <w:vAlign w:val="center"/>
          </w:tcPr>
          <w:p w14:paraId="3342055E">
            <w:pPr>
              <w:pStyle w:val="4"/>
              <w:snapToGrid w:val="0"/>
              <w:spacing w:before="120" w:after="120" w:line="360" w:lineRule="auto"/>
              <w:ind w:firstLine="420" w:firstLineChars="200"/>
              <w:rPr>
                <w:rFonts w:hAnsi="宋体" w:cs="宋体"/>
                <w:i/>
                <w:iCs/>
                <w:u w:val="single"/>
              </w:rPr>
            </w:pPr>
            <w:r>
              <w:rPr>
                <w:rFonts w:hint="eastAsia" w:hAnsi="宋体" w:cs="宋体"/>
                <w:i/>
                <w:iCs/>
                <w:u w:val="single"/>
              </w:rPr>
              <w:t>4</w:t>
            </w:r>
          </w:p>
        </w:tc>
        <w:tc>
          <w:tcPr>
            <w:tcW w:w="5190" w:type="dxa"/>
            <w:tcBorders>
              <w:top w:val="single" w:color="auto" w:sz="4" w:space="0"/>
              <w:left w:val="single" w:color="auto" w:sz="4" w:space="0"/>
              <w:bottom w:val="single" w:color="auto" w:sz="4" w:space="0"/>
              <w:right w:val="single" w:color="auto" w:sz="4" w:space="0"/>
            </w:tcBorders>
            <w:vAlign w:val="center"/>
          </w:tcPr>
          <w:p w14:paraId="1EDDB6D2">
            <w:pPr>
              <w:pStyle w:val="4"/>
              <w:snapToGrid w:val="0"/>
              <w:spacing w:before="120" w:after="120" w:line="360" w:lineRule="auto"/>
              <w:ind w:firstLine="420" w:firstLineChars="200"/>
              <w:rPr>
                <w:rFonts w:hAnsi="宋体" w:cs="宋体"/>
                <w:i/>
                <w:iCs/>
                <w:u w:val="single"/>
              </w:rPr>
            </w:pPr>
            <w:r>
              <w:rPr>
                <w:rFonts w:hint="eastAsia" w:hAnsi="宋体" w:cs="宋体"/>
                <w:i/>
                <w:iCs/>
                <w:u w:val="single"/>
              </w:rPr>
              <w:t>2吨（含2吨）以上货车</w:t>
            </w:r>
          </w:p>
        </w:tc>
        <w:tc>
          <w:tcPr>
            <w:tcW w:w="1407" w:type="dxa"/>
            <w:tcBorders>
              <w:top w:val="single" w:color="auto" w:sz="4" w:space="0"/>
              <w:left w:val="single" w:color="auto" w:sz="4" w:space="0"/>
              <w:bottom w:val="single" w:color="auto" w:sz="4" w:space="0"/>
              <w:right w:val="single" w:color="auto" w:sz="4" w:space="0"/>
            </w:tcBorders>
            <w:vAlign w:val="center"/>
          </w:tcPr>
          <w:p w14:paraId="32DFF871">
            <w:pPr>
              <w:pStyle w:val="4"/>
              <w:snapToGrid w:val="0"/>
              <w:spacing w:before="120" w:after="120" w:line="360" w:lineRule="auto"/>
              <w:ind w:firstLine="420" w:firstLineChars="200"/>
              <w:rPr>
                <w:rFonts w:hAnsi="宋体" w:cs="宋体"/>
                <w:i/>
                <w:iCs/>
                <w:u w:val="single"/>
              </w:rPr>
            </w:pPr>
            <w:r>
              <w:rPr>
                <w:rFonts w:hint="eastAsia" w:hAnsi="宋体" w:cs="宋体"/>
                <w:i/>
                <w:iCs/>
                <w:u w:val="single"/>
              </w:rPr>
              <w:t>1</w:t>
            </w:r>
          </w:p>
        </w:tc>
      </w:tr>
    </w:tbl>
    <w:p w14:paraId="23D587BA">
      <w:pPr>
        <w:pStyle w:val="4"/>
        <w:snapToGrid w:val="0"/>
        <w:spacing w:before="120" w:after="120" w:line="360" w:lineRule="auto"/>
        <w:ind w:firstLine="420" w:firstLineChars="200"/>
        <w:rPr>
          <w:rFonts w:hAnsi="宋体" w:cs="宋体"/>
          <w:i/>
          <w:iCs/>
          <w:u w:val="single"/>
        </w:rPr>
      </w:pPr>
    </w:p>
    <w:p w14:paraId="15BA80FB">
      <w:pPr>
        <w:pStyle w:val="4"/>
        <w:snapToGrid w:val="0"/>
        <w:spacing w:before="120" w:after="120" w:line="360" w:lineRule="auto"/>
        <w:ind w:firstLine="420" w:firstLineChars="200"/>
        <w:rPr>
          <w:rFonts w:hAnsi="宋体" w:cs="宋体"/>
          <w:i/>
          <w:iCs/>
          <w:u w:val="single"/>
        </w:rPr>
      </w:pPr>
      <w:r>
        <w:rPr>
          <w:rFonts w:hint="eastAsia" w:hAnsi="宋体" w:cs="宋体"/>
          <w:i/>
          <w:iCs/>
          <w:u w:val="single"/>
        </w:rPr>
        <w:t>（2）以上车辆数量要求仅为供应商提供服务的最低要求，在实际工作中如清障作业需要车辆超出上述要求，供应商应当满足。专项作业车车辆吨位是指车辆的最大拖牵质量（以车辆技术文件为准）。货车吨位是指核定载质量（以车辆行驶证为准）。</w:t>
      </w:r>
    </w:p>
    <w:p w14:paraId="657FAB66">
      <w:pPr>
        <w:pStyle w:val="4"/>
        <w:snapToGrid w:val="0"/>
        <w:spacing w:before="120" w:after="120" w:line="360" w:lineRule="auto"/>
        <w:ind w:firstLine="420" w:firstLineChars="200"/>
        <w:rPr>
          <w:rFonts w:hAnsi="宋体" w:cs="宋体"/>
          <w:i/>
          <w:iCs/>
          <w:u w:val="single"/>
        </w:rPr>
      </w:pPr>
      <w:r>
        <w:rPr>
          <w:rFonts w:hint="eastAsia" w:hAnsi="宋体" w:cs="宋体"/>
          <w:i/>
          <w:iCs/>
          <w:u w:val="single"/>
        </w:rPr>
        <w:t>（3）供应商必须按需投标的数量要求提供足够的车辆</w:t>
      </w:r>
      <w:r>
        <w:rPr>
          <w:rFonts w:hint="eastAsia" w:hAnsi="宋体" w:cs="宋体"/>
          <w:i/>
          <w:iCs/>
          <w:u w:val="single"/>
          <w:lang w:eastAsia="zh-CN"/>
        </w:rPr>
        <w:t>，</w:t>
      </w:r>
      <w:r>
        <w:rPr>
          <w:rFonts w:hint="eastAsia" w:hAnsi="宋体" w:cs="宋体"/>
          <w:i/>
          <w:iCs/>
          <w:u w:val="single"/>
        </w:rPr>
        <w:t>确保24小时待命</w:t>
      </w:r>
      <w:r>
        <w:rPr>
          <w:rFonts w:hint="eastAsia" w:hAnsi="宋体" w:cs="宋体"/>
          <w:i/>
          <w:iCs/>
          <w:u w:val="single"/>
          <w:lang w:eastAsia="zh-CN"/>
        </w:rPr>
        <w:t>，</w:t>
      </w:r>
      <w:r>
        <w:rPr>
          <w:rFonts w:hint="eastAsia" w:hAnsi="宋体" w:cs="宋体"/>
          <w:i/>
          <w:iCs/>
          <w:u w:val="single"/>
        </w:rPr>
        <w:t>以满足清障作业要求。车辆</w:t>
      </w:r>
      <w:r>
        <w:rPr>
          <w:rFonts w:hint="eastAsia" w:hAnsi="宋体" w:cs="宋体"/>
          <w:i/>
          <w:iCs/>
          <w:u w:val="single"/>
          <w:lang w:val="en-US" w:eastAsia="zh-CN"/>
        </w:rPr>
        <w:t>自有或</w:t>
      </w:r>
      <w:r>
        <w:rPr>
          <w:rFonts w:hint="eastAsia" w:hAnsi="宋体" w:cs="宋体"/>
          <w:i/>
          <w:iCs/>
          <w:u w:val="single"/>
        </w:rPr>
        <w:t>租赁，</w:t>
      </w:r>
      <w:r>
        <w:rPr>
          <w:rFonts w:hint="eastAsia" w:hAnsi="宋体" w:cs="宋体"/>
          <w:i/>
          <w:iCs/>
          <w:u w:val="single"/>
          <w:lang w:val="en-US" w:eastAsia="zh-CN"/>
        </w:rPr>
        <w:t>自有</w:t>
      </w:r>
      <w:r>
        <w:rPr>
          <w:rFonts w:hint="eastAsia" w:hAnsi="宋体" w:cs="宋体"/>
          <w:i/>
          <w:iCs/>
          <w:u w:val="single"/>
        </w:rPr>
        <w:t>车辆</w:t>
      </w:r>
      <w:r>
        <w:rPr>
          <w:rFonts w:hint="eastAsia" w:hAnsi="宋体" w:cs="宋体"/>
          <w:i/>
          <w:iCs/>
          <w:u w:val="single"/>
          <w:lang w:val="en-US" w:eastAsia="zh-CN"/>
        </w:rPr>
        <w:t>提供</w:t>
      </w:r>
      <w:r>
        <w:rPr>
          <w:rFonts w:hint="eastAsia" w:hAnsi="宋体" w:cs="宋体"/>
          <w:i/>
          <w:iCs/>
          <w:u w:val="single"/>
        </w:rPr>
        <w:t>车辆行驶证复印件</w:t>
      </w:r>
      <w:r>
        <w:rPr>
          <w:rFonts w:hint="eastAsia" w:hAnsi="宋体" w:cs="宋体"/>
          <w:i/>
          <w:iCs/>
          <w:u w:val="single"/>
          <w:lang w:eastAsia="zh-CN"/>
        </w:rPr>
        <w:t>，</w:t>
      </w:r>
      <w:r>
        <w:rPr>
          <w:rFonts w:hint="eastAsia" w:hAnsi="宋体" w:cs="宋体"/>
          <w:i/>
          <w:iCs/>
          <w:u w:val="single"/>
        </w:rPr>
        <w:t>租赁车辆</w:t>
      </w:r>
      <w:r>
        <w:rPr>
          <w:rFonts w:hint="eastAsia" w:hAnsi="宋体" w:cs="宋体"/>
          <w:i/>
          <w:iCs/>
          <w:u w:val="single"/>
          <w:lang w:val="en-US" w:eastAsia="zh-CN"/>
        </w:rPr>
        <w:t>提供</w:t>
      </w:r>
      <w:r>
        <w:rPr>
          <w:rFonts w:hint="eastAsia" w:hAnsi="宋体" w:cs="宋体"/>
          <w:i/>
          <w:iCs/>
          <w:u w:val="single"/>
        </w:rPr>
        <w:t>车辆行驶证复印件</w:t>
      </w:r>
      <w:r>
        <w:rPr>
          <w:rFonts w:hint="eastAsia" w:hAnsi="宋体" w:cs="宋体"/>
          <w:i/>
          <w:iCs/>
          <w:u w:val="single"/>
          <w:lang w:val="en-US" w:eastAsia="zh-CN"/>
        </w:rPr>
        <w:t>和</w:t>
      </w:r>
      <w:r>
        <w:rPr>
          <w:rFonts w:hint="eastAsia" w:hAnsi="宋体" w:cs="宋体"/>
          <w:i/>
          <w:iCs/>
          <w:u w:val="single"/>
        </w:rPr>
        <w:t>租赁合同</w:t>
      </w:r>
      <w:r>
        <w:rPr>
          <w:rFonts w:hint="eastAsia" w:hAnsi="宋体" w:cs="宋体"/>
          <w:i/>
          <w:iCs/>
          <w:u w:val="single"/>
          <w:lang w:eastAsia="zh-CN"/>
        </w:rPr>
        <w:t>，</w:t>
      </w:r>
      <w:r>
        <w:rPr>
          <w:rFonts w:hint="eastAsia" w:hAnsi="宋体" w:cs="宋体"/>
          <w:i/>
          <w:iCs/>
          <w:u w:val="single"/>
        </w:rPr>
        <w:t>租赁合同生效起期限至少为1年（含1年）。</w:t>
      </w:r>
    </w:p>
    <w:p w14:paraId="1004F635">
      <w:pPr>
        <w:pStyle w:val="4"/>
        <w:snapToGrid w:val="0"/>
        <w:spacing w:before="120" w:after="120" w:line="360" w:lineRule="auto"/>
        <w:ind w:firstLine="420" w:firstLineChars="200"/>
        <w:rPr>
          <w:rFonts w:hAnsi="宋体" w:cs="宋体"/>
          <w:i/>
          <w:iCs/>
          <w:u w:val="single"/>
        </w:rPr>
      </w:pPr>
      <w:r>
        <w:rPr>
          <w:rFonts w:hint="eastAsia" w:hAnsi="宋体" w:cs="宋体"/>
          <w:i/>
          <w:iCs/>
          <w:u w:val="single"/>
        </w:rPr>
        <w:t>（4）供应商须与具有大件清障能力的单位签订联动服务协议，保证应急施救需求。（投标时提供承诺函）</w:t>
      </w:r>
    </w:p>
    <w:p w14:paraId="59C0C632">
      <w:pPr>
        <w:rPr>
          <w:rFonts w:hint="eastAsia" w:ascii="宋体" w:hAnsi="宋体" w:eastAsia="宋体" w:cs="Times New Roman"/>
          <w:b/>
          <w:bCs/>
          <w:kern w:val="2"/>
          <w:sz w:val="21"/>
          <w:szCs w:val="22"/>
          <w:lang w:val="en-US" w:eastAsia="zh-CN" w:bidi="ar-SA"/>
        </w:rPr>
      </w:pPr>
      <w:r>
        <w:rPr>
          <w:rFonts w:hint="eastAsia" w:ascii="宋体" w:hAnsi="宋体" w:eastAsia="宋体" w:cs="Times New Roman"/>
          <w:b/>
          <w:bCs/>
          <w:kern w:val="2"/>
          <w:sz w:val="21"/>
          <w:szCs w:val="22"/>
          <w:lang w:val="en-US" w:eastAsia="zh-CN" w:bidi="ar-SA"/>
        </w:rPr>
        <w:t>2、车辆状况要求</w:t>
      </w:r>
    </w:p>
    <w:p w14:paraId="07875FC9">
      <w:pPr>
        <w:pStyle w:val="4"/>
        <w:snapToGrid w:val="0"/>
        <w:spacing w:before="120" w:after="120" w:line="360" w:lineRule="auto"/>
        <w:ind w:firstLine="420" w:firstLineChars="200"/>
        <w:rPr>
          <w:rFonts w:hAnsi="宋体" w:cs="宋体"/>
        </w:rPr>
      </w:pPr>
      <w:r>
        <w:rPr>
          <w:rFonts w:hint="eastAsia" w:hAnsi="宋体" w:cs="宋体"/>
        </w:rPr>
        <w:t>（1）供应商提供的车辆必须具有合法、完备的证照，不得提供报废、非法车辆参与清障作业，保证车况良好并配备足够、完好的交通清障辅助设备（包括枕木、警示筒、警示带等反光标志、拖车辅助轮、磅秤、千斤顶、1000万像素以上具有夜间拍摄和摄录功能的相机等）及通讯工具。大中型专项作业车（含）以上车型还需增配消防器材、破拆工具等设备，以确保清障能力与通信畅通。</w:t>
      </w:r>
    </w:p>
    <w:p w14:paraId="0452811B">
      <w:pPr>
        <w:pStyle w:val="4"/>
        <w:snapToGrid w:val="0"/>
        <w:spacing w:before="120" w:after="120" w:line="360" w:lineRule="auto"/>
        <w:ind w:firstLine="420" w:firstLineChars="200"/>
        <w:rPr>
          <w:rFonts w:hAnsi="宋体" w:cs="宋体"/>
        </w:rPr>
      </w:pPr>
      <w:r>
        <w:rPr>
          <w:rFonts w:hint="eastAsia" w:hAnsi="宋体" w:cs="宋体"/>
          <w:i/>
          <w:iCs/>
          <w:u w:val="single"/>
        </w:rPr>
        <w:t>（2）供应商提供的车辆必须购买相应的保险，除交强险外，还应购买保险理赔金额不少于100万的第三者责任险，且保险理赔时限在本项目服务期限内持续有效。</w:t>
      </w:r>
    </w:p>
    <w:p w14:paraId="66F78307">
      <w:pPr>
        <w:pStyle w:val="4"/>
        <w:snapToGrid w:val="0"/>
        <w:spacing w:before="120" w:after="120" w:line="360" w:lineRule="auto"/>
        <w:ind w:firstLine="420" w:firstLineChars="200"/>
        <w:rPr>
          <w:rFonts w:hAnsi="宋体" w:cs="宋体"/>
        </w:rPr>
      </w:pPr>
      <w:r>
        <w:rPr>
          <w:rFonts w:hint="eastAsia" w:hAnsi="宋体" w:cs="宋体"/>
        </w:rPr>
        <w:t>（</w:t>
      </w:r>
      <w:r>
        <w:rPr>
          <w:rFonts w:hint="eastAsia" w:hAnsi="宋体" w:cs="宋体"/>
          <w:lang w:val="en-US" w:eastAsia="zh-CN"/>
        </w:rPr>
        <w:t>3</w:t>
      </w:r>
      <w:r>
        <w:rPr>
          <w:rFonts w:hint="eastAsia" w:hAnsi="宋体" w:cs="宋体"/>
        </w:rPr>
        <w:t>）供应商提供的车辆必须安装行车记录仪，行车记录仪必须配备至少一个摄像头，满足日间、夜晚的记录要求，能清晰摄录从采购人将暂扣车辆移交给供应商起至供应商将暂扣车辆拖移至停车场并移交完毕的整个过程，具体安装要求由采购人指定，摄录数据至少保存45天。</w:t>
      </w:r>
    </w:p>
    <w:p w14:paraId="0930D14A">
      <w:pPr>
        <w:pStyle w:val="4"/>
        <w:snapToGrid w:val="0"/>
        <w:spacing w:before="120" w:after="120" w:line="360" w:lineRule="auto"/>
        <w:ind w:firstLine="420" w:firstLineChars="200"/>
        <w:rPr>
          <w:rFonts w:hAnsi="宋体" w:cs="宋体"/>
        </w:rPr>
      </w:pPr>
      <w:r>
        <w:rPr>
          <w:rFonts w:hint="eastAsia" w:hAnsi="宋体" w:cs="宋体"/>
        </w:rPr>
        <w:t>（</w:t>
      </w:r>
      <w:r>
        <w:rPr>
          <w:rFonts w:hint="eastAsia" w:hAnsi="宋体" w:cs="宋体"/>
          <w:lang w:val="en-US" w:eastAsia="zh-CN"/>
        </w:rPr>
        <w:t>4</w:t>
      </w:r>
      <w:r>
        <w:rPr>
          <w:rFonts w:hint="eastAsia" w:hAnsi="宋体" w:cs="宋体"/>
        </w:rPr>
        <w:t>）供应商提供的车辆必须统一喷涂供应商单位名称及投诉电话（如车辆属租赁的，供应商应在车辆明显位置标示出供应商单位名称及投诉电话）。</w:t>
      </w:r>
    </w:p>
    <w:p w14:paraId="40410D59">
      <w:pPr>
        <w:pStyle w:val="4"/>
        <w:snapToGrid w:val="0"/>
        <w:spacing w:before="120" w:after="120" w:line="360" w:lineRule="auto"/>
        <w:ind w:firstLine="420" w:firstLineChars="200"/>
        <w:rPr>
          <w:rFonts w:hAnsi="宋体" w:cs="宋体"/>
        </w:rPr>
      </w:pPr>
      <w:r>
        <w:rPr>
          <w:rFonts w:hint="eastAsia" w:hAnsi="宋体" w:cs="宋体"/>
        </w:rPr>
        <w:t>（</w:t>
      </w:r>
      <w:r>
        <w:rPr>
          <w:rFonts w:hint="eastAsia" w:hAnsi="宋体" w:cs="宋体"/>
          <w:lang w:val="en-US" w:eastAsia="zh-CN"/>
        </w:rPr>
        <w:t>5</w:t>
      </w:r>
      <w:r>
        <w:rPr>
          <w:rFonts w:hint="eastAsia" w:hAnsi="宋体" w:cs="宋体"/>
        </w:rPr>
        <w:t>）服务期内，供应商投入的车辆必须在年检有效期内，并对提供服务的车辆进行维修保养，在原服务车辆不能按时到场服务的情况下，供应商须提供同车型、同吨位的备用车辆（具有合格、完备证照）替代服务，并事前征得采购人同意。</w:t>
      </w:r>
    </w:p>
    <w:p w14:paraId="24C3633C">
      <w:pPr>
        <w:pStyle w:val="4"/>
        <w:snapToGrid w:val="0"/>
        <w:spacing w:before="120" w:after="120" w:line="360" w:lineRule="auto"/>
        <w:ind w:firstLine="420" w:firstLineChars="200"/>
        <w:rPr>
          <w:rFonts w:hAnsi="宋体" w:cs="宋体"/>
        </w:rPr>
      </w:pPr>
      <w:r>
        <w:rPr>
          <w:rFonts w:hint="eastAsia" w:hAnsi="宋体" w:cs="宋体"/>
        </w:rPr>
        <w:t>（</w:t>
      </w:r>
      <w:r>
        <w:rPr>
          <w:rFonts w:hint="eastAsia" w:hAnsi="宋体" w:cs="宋体"/>
          <w:lang w:val="en-US" w:eastAsia="zh-CN"/>
        </w:rPr>
        <w:t>6</w:t>
      </w:r>
      <w:r>
        <w:rPr>
          <w:rFonts w:hint="eastAsia" w:hAnsi="宋体" w:cs="宋体"/>
        </w:rPr>
        <w:t>）到达现场清障作业的车辆必须能够承担并完成采购人指定的清障任务。</w:t>
      </w:r>
    </w:p>
    <w:p w14:paraId="0FAE5DC5">
      <w:pPr>
        <w:rPr>
          <w:rFonts w:hint="eastAsia" w:ascii="宋体" w:hAnsi="宋体" w:eastAsia="宋体" w:cs="Times New Roman"/>
          <w:b/>
          <w:bCs/>
          <w:kern w:val="2"/>
          <w:sz w:val="21"/>
          <w:szCs w:val="22"/>
          <w:lang w:val="en-US" w:eastAsia="zh-CN" w:bidi="ar-SA"/>
        </w:rPr>
      </w:pPr>
      <w:r>
        <w:rPr>
          <w:rFonts w:hint="eastAsia" w:ascii="宋体" w:hAnsi="宋体" w:eastAsia="宋体" w:cs="Times New Roman"/>
          <w:b/>
          <w:bCs/>
          <w:kern w:val="2"/>
          <w:sz w:val="21"/>
          <w:szCs w:val="22"/>
          <w:lang w:val="en-US" w:eastAsia="zh-CN" w:bidi="ar-SA"/>
        </w:rPr>
        <w:t>3、停车场地要求</w:t>
      </w:r>
    </w:p>
    <w:p w14:paraId="323A09DC">
      <w:pPr>
        <w:pStyle w:val="7"/>
        <w:pageBreakBefore w:val="0"/>
        <w:spacing w:line="360" w:lineRule="auto"/>
        <w:ind w:firstLine="420"/>
        <w:rPr>
          <w:rFonts w:hint="eastAsia" w:hAnsi="宋体" w:eastAsia="宋体" w:cs="宋体"/>
          <w:b/>
          <w:bCs/>
          <w:i/>
          <w:iCs/>
          <w:color w:val="auto"/>
          <w:highlight w:val="none"/>
          <w:u w:val="single"/>
          <w:lang w:val="en-US" w:eastAsia="zh-CN"/>
        </w:rPr>
      </w:pPr>
      <w:r>
        <w:rPr>
          <w:rFonts w:hint="eastAsia" w:hAnsi="宋体" w:cs="宋体"/>
          <w:b/>
          <w:bCs/>
          <w:i/>
          <w:iCs/>
          <w:color w:val="auto"/>
          <w:highlight w:val="none"/>
          <w:u w:val="single"/>
        </w:rPr>
        <w:t>（1）仪征市</w:t>
      </w:r>
      <w:r>
        <w:rPr>
          <w:rFonts w:hint="eastAsia" w:hAnsi="宋体" w:cs="宋体"/>
          <w:b/>
          <w:bCs/>
          <w:i/>
          <w:iCs/>
          <w:color w:val="auto"/>
          <w:highlight w:val="none"/>
          <w:u w:val="single"/>
          <w:lang w:eastAsia="zh-CN"/>
        </w:rPr>
        <w:t>城</w:t>
      </w:r>
      <w:r>
        <w:rPr>
          <w:rFonts w:hint="eastAsia" w:hAnsi="宋体" w:cs="宋体"/>
          <w:b/>
          <w:bCs/>
          <w:i/>
          <w:iCs/>
          <w:color w:val="auto"/>
          <w:highlight w:val="none"/>
          <w:u w:val="single"/>
          <w:lang w:val="en-US" w:eastAsia="zh-CN"/>
        </w:rPr>
        <w:t>区</w:t>
      </w:r>
      <w:r>
        <w:rPr>
          <w:rFonts w:hint="eastAsia" w:hAnsi="宋体" w:cs="宋体"/>
          <w:b/>
          <w:bCs/>
          <w:i/>
          <w:iCs/>
          <w:color w:val="auto"/>
          <w:highlight w:val="none"/>
          <w:u w:val="single"/>
          <w:lang w:eastAsia="zh-CN"/>
        </w:rPr>
        <w:t>附近</w:t>
      </w:r>
      <w:r>
        <w:rPr>
          <w:rFonts w:hint="eastAsia" w:hAnsi="宋体" w:cs="宋体"/>
          <w:b/>
          <w:bCs/>
          <w:i/>
          <w:iCs/>
          <w:color w:val="auto"/>
          <w:highlight w:val="none"/>
          <w:u w:val="single"/>
          <w:lang w:val="en-US" w:eastAsia="zh-CN"/>
        </w:rPr>
        <w:t>10公里范围内提供</w:t>
      </w:r>
      <w:r>
        <w:rPr>
          <w:rFonts w:hint="eastAsia" w:hAnsi="宋体" w:cs="宋体"/>
          <w:b/>
          <w:bCs/>
          <w:i/>
          <w:iCs/>
          <w:color w:val="auto"/>
          <w:highlight w:val="none"/>
          <w:u w:val="single"/>
        </w:rPr>
        <w:t>不少于20亩停车场，停车场须为封闭空间，入口处须设立停车场标志牌，地面平整，并利用</w:t>
      </w:r>
      <w:r>
        <w:rPr>
          <w:rFonts w:hint="eastAsia" w:ascii="宋体" w:hAnsi="宋体" w:eastAsia="宋体" w:cs="宋体"/>
          <w:b/>
          <w:bCs/>
          <w:i/>
          <w:iCs/>
          <w:color w:val="auto"/>
          <w:highlight w:val="none"/>
          <w:u w:val="single"/>
          <w:lang w:val="en-US" w:eastAsia="zh-CN"/>
        </w:rPr>
        <w:t>围栏、标线进行明示。</w:t>
      </w:r>
      <w:r>
        <w:rPr>
          <w:rFonts w:hint="eastAsia" w:ascii="Times New Roman" w:hAnsi="Times New Roman" w:eastAsia="宋体"/>
          <w:b/>
          <w:bCs/>
          <w:i/>
          <w:iCs/>
          <w:color w:val="auto"/>
          <w:highlight w:val="none"/>
          <w:u w:val="single"/>
          <w:lang w:eastAsia="zh-CN"/>
        </w:rPr>
        <w:t>【</w:t>
      </w:r>
      <w:r>
        <w:rPr>
          <w:rFonts w:hint="eastAsia" w:ascii="Times New Roman" w:hAnsi="Times New Roman" w:eastAsia="宋体"/>
          <w:b/>
          <w:bCs/>
          <w:i/>
          <w:iCs/>
          <w:color w:val="auto"/>
          <w:highlight w:val="none"/>
          <w:u w:val="single"/>
        </w:rPr>
        <w:t>提供</w:t>
      </w:r>
      <w:r>
        <w:rPr>
          <w:rFonts w:hint="eastAsia" w:ascii="Times New Roman" w:hAnsi="Times New Roman" w:eastAsia="宋体"/>
          <w:b/>
          <w:bCs/>
          <w:i/>
          <w:iCs/>
          <w:color w:val="auto"/>
          <w:highlight w:val="none"/>
          <w:u w:val="single"/>
          <w:lang w:eastAsia="zh-CN"/>
        </w:rPr>
        <w:t>（</w:t>
      </w:r>
      <w:r>
        <w:rPr>
          <w:rFonts w:hint="eastAsia" w:ascii="Times New Roman" w:hAnsi="Times New Roman" w:eastAsia="宋体"/>
          <w:b/>
          <w:bCs/>
          <w:i/>
          <w:iCs/>
          <w:color w:val="auto"/>
          <w:highlight w:val="none"/>
          <w:u w:val="single"/>
        </w:rPr>
        <w:t>有效产权证明</w:t>
      </w:r>
      <w:r>
        <w:rPr>
          <w:rFonts w:hint="eastAsia" w:ascii="Times New Roman" w:hAnsi="Times New Roman" w:eastAsia="宋体"/>
          <w:b/>
          <w:bCs/>
          <w:i/>
          <w:iCs/>
          <w:color w:val="auto"/>
          <w:highlight w:val="none"/>
          <w:u w:val="single"/>
          <w:lang w:val="en-US" w:eastAsia="zh-CN"/>
        </w:rPr>
        <w:t>或</w:t>
      </w:r>
      <w:r>
        <w:rPr>
          <w:rFonts w:hint="eastAsia" w:ascii="Times New Roman" w:hAnsi="Times New Roman" w:eastAsia="宋体"/>
          <w:b/>
          <w:bCs/>
          <w:i/>
          <w:iCs/>
          <w:color w:val="auto"/>
          <w:highlight w:val="none"/>
          <w:u w:val="single"/>
        </w:rPr>
        <w:t>租赁合同扫描上传</w:t>
      </w:r>
      <w:r>
        <w:rPr>
          <w:rFonts w:hint="eastAsia" w:ascii="Times New Roman" w:hAnsi="Times New Roman" w:eastAsia="宋体"/>
          <w:b/>
          <w:bCs/>
          <w:i/>
          <w:iCs/>
          <w:color w:val="auto"/>
          <w:highlight w:val="none"/>
          <w:u w:val="single"/>
          <w:lang w:eastAsia="zh-CN"/>
        </w:rPr>
        <w:t>）</w:t>
      </w:r>
      <w:r>
        <w:rPr>
          <w:rFonts w:hint="eastAsia" w:ascii="Times New Roman" w:hAnsi="Times New Roman" w:eastAsia="宋体"/>
          <w:b/>
          <w:bCs/>
          <w:i/>
          <w:iCs/>
          <w:color w:val="auto"/>
          <w:highlight w:val="none"/>
          <w:u w:val="single"/>
          <w:lang w:val="en-US" w:eastAsia="zh-CN"/>
        </w:rPr>
        <w:t>或承诺函</w:t>
      </w:r>
      <w:r>
        <w:rPr>
          <w:rFonts w:hint="eastAsia" w:ascii="Times New Roman" w:hAnsi="Times New Roman" w:eastAsia="宋体"/>
          <w:b/>
          <w:bCs/>
          <w:i/>
          <w:iCs/>
          <w:color w:val="auto"/>
          <w:highlight w:val="none"/>
          <w:u w:val="single"/>
        </w:rPr>
        <w:t>原件，</w:t>
      </w:r>
      <w:r>
        <w:rPr>
          <w:rFonts w:hint="eastAsia" w:ascii="Times New Roman" w:hAnsi="Times New Roman" w:eastAsia="宋体"/>
          <w:b/>
          <w:bCs/>
          <w:i/>
          <w:iCs/>
          <w:color w:val="auto"/>
          <w:highlight w:val="none"/>
          <w:u w:val="single"/>
          <w:lang w:val="en-US" w:eastAsia="zh-CN"/>
        </w:rPr>
        <w:t>承诺函格式自拟，系统</w:t>
      </w:r>
      <w:r>
        <w:rPr>
          <w:rFonts w:hint="eastAsia" w:ascii="Times New Roman" w:hAnsi="Times New Roman" w:eastAsia="宋体"/>
          <w:b/>
          <w:bCs/>
          <w:i/>
          <w:iCs/>
          <w:color w:val="auto"/>
          <w:highlight w:val="none"/>
          <w:u w:val="single"/>
        </w:rPr>
        <w:t>扫描</w:t>
      </w:r>
      <w:r>
        <w:rPr>
          <w:rFonts w:hint="eastAsia" w:ascii="Times New Roman" w:hAnsi="Times New Roman" w:eastAsia="宋体"/>
          <w:b/>
          <w:bCs/>
          <w:i/>
          <w:iCs/>
          <w:color w:val="auto"/>
          <w:highlight w:val="none"/>
          <w:u w:val="single"/>
          <w:lang w:val="en-US" w:eastAsia="zh-CN"/>
        </w:rPr>
        <w:t>上传，</w:t>
      </w:r>
      <w:r>
        <w:rPr>
          <w:rFonts w:hint="eastAsia" w:ascii="Times New Roman" w:hAnsi="Times New Roman" w:eastAsia="宋体"/>
          <w:b/>
          <w:bCs/>
          <w:i/>
          <w:iCs/>
          <w:color w:val="auto"/>
          <w:highlight w:val="none"/>
          <w:u w:val="single"/>
        </w:rPr>
        <w:t>未按要求提供，视为无效投标</w:t>
      </w:r>
      <w:r>
        <w:rPr>
          <w:rFonts w:hint="eastAsia" w:ascii="Times New Roman" w:hAnsi="Times New Roman" w:eastAsia="宋体"/>
          <w:b/>
          <w:bCs/>
          <w:i/>
          <w:iCs/>
          <w:color w:val="auto"/>
          <w:highlight w:val="none"/>
          <w:u w:val="single"/>
          <w:lang w:eastAsia="zh-CN"/>
        </w:rPr>
        <w:t>】</w:t>
      </w:r>
    </w:p>
    <w:p w14:paraId="487C8AD5">
      <w:pPr>
        <w:pStyle w:val="4"/>
        <w:snapToGrid w:val="0"/>
        <w:spacing w:before="120" w:after="120" w:line="360" w:lineRule="auto"/>
        <w:ind w:firstLine="420" w:firstLineChars="200"/>
        <w:rPr>
          <w:rFonts w:hAnsi="宋体" w:cs="宋体"/>
        </w:rPr>
      </w:pPr>
      <w:r>
        <w:rPr>
          <w:rFonts w:hint="eastAsia" w:hAnsi="宋体" w:cs="宋体"/>
        </w:rPr>
        <w:t>（2）停车场须具备灭火器、灭火毯、消防栓、水带、水枪等消防用品，保证有效。</w:t>
      </w:r>
    </w:p>
    <w:p w14:paraId="30610C39">
      <w:pPr>
        <w:numPr>
          <w:ilvl w:val="0"/>
          <w:numId w:val="0"/>
        </w:numPr>
        <w:spacing w:line="360" w:lineRule="auto"/>
        <w:ind w:firstLine="420" w:firstLineChars="200"/>
        <w:rPr>
          <w:rFonts w:ascii="宋体" w:hAnsi="宋体" w:cs="宋体"/>
          <w:i/>
          <w:iCs/>
          <w:sz w:val="24"/>
          <w:u w:val="single"/>
        </w:rPr>
      </w:pPr>
      <w:r>
        <w:rPr>
          <w:rFonts w:hint="eastAsia" w:hAnsi="宋体" w:cs="宋体"/>
        </w:rPr>
        <w:t>（3）停</w:t>
      </w:r>
      <w:r>
        <w:rPr>
          <w:rFonts w:hint="eastAsia" w:ascii="宋体" w:hAnsi="宋体" w:eastAsia="宋体" w:cs="宋体"/>
          <w:kern w:val="2"/>
          <w:sz w:val="21"/>
          <w:szCs w:val="21"/>
          <w:lang w:val="en-US" w:eastAsia="zh-CN" w:bidi="ar-SA"/>
        </w:rPr>
        <w:t>车场须在围墙四周及停车场出入口安装足够的照明设施和视频监控设备（具有高清、夜视、区域入侵报警等功能），保证照明、监控无死角。安装的视频监控设备可视范围应覆盖整个停车场，并24小时录像，录像数据保存时间不少于3个月，中标供应商应在中标后提供各场地的四周和出入口及内部监控设备数量分布图、监控有效区域图。</w:t>
      </w:r>
    </w:p>
    <w:p w14:paraId="4F9A4814">
      <w:pPr>
        <w:pStyle w:val="4"/>
        <w:snapToGrid w:val="0"/>
        <w:spacing w:before="120" w:after="120" w:line="360" w:lineRule="auto"/>
        <w:ind w:firstLine="420" w:firstLineChars="200"/>
        <w:rPr>
          <w:rFonts w:hAnsi="宋体" w:cs="宋体"/>
        </w:rPr>
      </w:pPr>
      <w:r>
        <w:rPr>
          <w:rFonts w:hint="eastAsia" w:hAnsi="宋体" w:cs="宋体"/>
        </w:rPr>
        <w:t>（4）停车场须有专用业务办公用房，用于办理车辆存取手续。业务办公用房内须安装视频监控设备，明显位置须张贴或悬挂《扣留（拖移）机动车停车费缴费提示》及有效的《停车收费标准明细表》、《企业法人营业执照》、《停车服务规章制度》等，公开停车场电话号码及监督投诉电话，业务办公用房前须设立停车场收费标准标识牌。</w:t>
      </w:r>
    </w:p>
    <w:p w14:paraId="46804BB1">
      <w:pPr>
        <w:pStyle w:val="4"/>
        <w:snapToGrid w:val="0"/>
        <w:spacing w:before="120" w:after="120" w:line="360" w:lineRule="auto"/>
        <w:ind w:firstLine="420" w:firstLineChars="200"/>
        <w:rPr>
          <w:rFonts w:hAnsi="宋体" w:cs="宋体"/>
        </w:rPr>
      </w:pPr>
      <w:r>
        <w:rPr>
          <w:rFonts w:hint="eastAsia" w:hAnsi="宋体" w:cs="宋体"/>
        </w:rPr>
        <w:t>（5）停车场须按要求提供相应的电脑硬件设备，配合采购人使用车辆扣押管理系统，并配备相应的操作人员。</w:t>
      </w:r>
    </w:p>
    <w:p w14:paraId="32D4B798">
      <w:pPr>
        <w:pStyle w:val="4"/>
        <w:snapToGrid w:val="0"/>
        <w:spacing w:before="120" w:after="120" w:line="360" w:lineRule="auto"/>
        <w:ind w:firstLine="420" w:firstLineChars="200"/>
        <w:rPr>
          <w:rFonts w:hAnsi="宋体" w:cs="宋体"/>
        </w:rPr>
      </w:pPr>
      <w:r>
        <w:rPr>
          <w:rFonts w:hint="eastAsia" w:hAnsi="宋体" w:cs="宋体"/>
        </w:rPr>
        <w:t>（6）停车场须按办案单位需求提供车衣、苫布等，能够对扣留拖移车辆给予妥善保护。</w:t>
      </w:r>
    </w:p>
    <w:p w14:paraId="4EAFCFA8">
      <w:pPr>
        <w:pStyle w:val="4"/>
        <w:snapToGrid w:val="0"/>
        <w:spacing w:before="120" w:after="120" w:line="360" w:lineRule="auto"/>
        <w:ind w:firstLine="420" w:firstLineChars="200"/>
        <w:rPr>
          <w:rFonts w:hAnsi="宋体" w:cs="宋体"/>
        </w:rPr>
      </w:pPr>
      <w:r>
        <w:rPr>
          <w:rFonts w:hint="eastAsia" w:hAnsi="宋体" w:cs="宋体"/>
        </w:rPr>
        <w:t>（7）停车场须有货物储存专用车库，有供车辆停放的专用车棚。</w:t>
      </w:r>
    </w:p>
    <w:p w14:paraId="1FB64013">
      <w:pPr>
        <w:pStyle w:val="4"/>
        <w:snapToGrid w:val="0"/>
        <w:spacing w:before="120" w:after="120" w:line="360" w:lineRule="auto"/>
        <w:ind w:firstLine="420" w:firstLineChars="200"/>
        <w:rPr>
          <w:rFonts w:hint="eastAsia" w:hAnsi="宋体" w:cs="宋体"/>
          <w:lang w:eastAsia="zh-CN"/>
        </w:rPr>
      </w:pPr>
      <w:r>
        <w:rPr>
          <w:rFonts w:hint="eastAsia" w:hAnsi="宋体" w:cs="宋体"/>
        </w:rPr>
        <w:t>（8）</w:t>
      </w:r>
      <w:r>
        <w:rPr>
          <w:rFonts w:hint="eastAsia" w:hAnsi="宋体" w:cs="宋体"/>
          <w:lang w:val="en-US" w:eastAsia="zh-CN"/>
        </w:rPr>
        <w:t xml:space="preserve"> </w:t>
      </w:r>
      <w:r>
        <w:rPr>
          <w:rFonts w:hint="eastAsia" w:hAnsi="宋体" w:cs="宋体"/>
        </w:rPr>
        <w:t>停车场内可供扣留车辆停放的泊位</w:t>
      </w:r>
      <w:r>
        <w:rPr>
          <w:rFonts w:hint="eastAsia" w:hAnsi="宋体" w:cs="宋体"/>
          <w:lang w:eastAsia="zh-CN"/>
        </w:rPr>
        <w:t>，</w:t>
      </w:r>
      <w:r>
        <w:rPr>
          <w:rFonts w:hint="eastAsia" w:hAnsi="宋体" w:cs="宋体"/>
        </w:rPr>
        <w:t>大型车辆停车位不少于</w:t>
      </w:r>
      <w:r>
        <w:rPr>
          <w:rFonts w:hint="eastAsia" w:hAnsi="宋体" w:cs="宋体"/>
          <w:lang w:val="en-US" w:eastAsia="zh-CN"/>
        </w:rPr>
        <w:t>1</w:t>
      </w:r>
      <w:r>
        <w:rPr>
          <w:rFonts w:hint="eastAsia" w:hAnsi="宋体" w:cs="宋体"/>
        </w:rPr>
        <w:t>0个</w:t>
      </w:r>
      <w:r>
        <w:rPr>
          <w:rFonts w:hint="eastAsia" w:hAnsi="宋体" w:cs="宋体"/>
          <w:lang w:eastAsia="zh-CN"/>
        </w:rPr>
        <w:t>（</w:t>
      </w:r>
      <w:r>
        <w:rPr>
          <w:rFonts w:hint="eastAsia" w:hAnsi="宋体" w:cs="宋体"/>
        </w:rPr>
        <w:t>每个车位25-40平方米</w:t>
      </w:r>
      <w:r>
        <w:rPr>
          <w:rFonts w:hint="eastAsia" w:hAnsi="宋体" w:cs="宋体"/>
          <w:lang w:eastAsia="zh-CN"/>
        </w:rPr>
        <w:t>），</w:t>
      </w:r>
      <w:r>
        <w:rPr>
          <w:rFonts w:hint="eastAsia" w:hAnsi="宋体" w:cs="宋体"/>
        </w:rPr>
        <w:t>小型车辆停车位不少于</w:t>
      </w:r>
      <w:r>
        <w:rPr>
          <w:rFonts w:hint="eastAsia" w:hAnsi="宋体" w:cs="宋体"/>
          <w:lang w:val="en-US" w:eastAsia="zh-CN"/>
        </w:rPr>
        <w:t>2</w:t>
      </w:r>
      <w:r>
        <w:rPr>
          <w:rFonts w:hint="eastAsia" w:hAnsi="宋体" w:cs="宋体"/>
        </w:rPr>
        <w:t>0个</w:t>
      </w:r>
      <w:r>
        <w:rPr>
          <w:rFonts w:hint="eastAsia" w:hAnsi="宋体" w:cs="宋体"/>
          <w:lang w:eastAsia="zh-CN"/>
        </w:rPr>
        <w:t>（</w:t>
      </w:r>
      <w:r>
        <w:rPr>
          <w:rFonts w:hint="eastAsia" w:hAnsi="宋体" w:cs="宋体"/>
        </w:rPr>
        <w:t>每个车位15-25平方米</w:t>
      </w:r>
      <w:r>
        <w:rPr>
          <w:rFonts w:hint="eastAsia" w:hAnsi="宋体" w:cs="宋体"/>
          <w:lang w:eastAsia="zh-CN"/>
        </w:rPr>
        <w:t>），</w:t>
      </w:r>
      <w:r>
        <w:rPr>
          <w:rFonts w:hint="eastAsia" w:hAnsi="宋体" w:cs="宋体"/>
        </w:rPr>
        <w:t>非机动车停车位不少于</w:t>
      </w:r>
      <w:r>
        <w:rPr>
          <w:rFonts w:hint="eastAsia" w:hAnsi="宋体" w:cs="宋体"/>
          <w:lang w:val="en-US" w:eastAsia="zh-CN"/>
        </w:rPr>
        <w:t>5</w:t>
      </w:r>
      <w:r>
        <w:rPr>
          <w:rFonts w:hint="eastAsia" w:hAnsi="宋体" w:cs="宋体"/>
        </w:rPr>
        <w:t>0个</w:t>
      </w:r>
      <w:r>
        <w:rPr>
          <w:rFonts w:hint="eastAsia" w:hAnsi="宋体" w:cs="宋体"/>
          <w:lang w:eastAsia="zh-CN"/>
        </w:rPr>
        <w:t>（</w:t>
      </w:r>
      <w:r>
        <w:rPr>
          <w:rFonts w:hint="eastAsia" w:hAnsi="宋体" w:cs="宋体"/>
        </w:rPr>
        <w:t>每个车位4个平方米</w:t>
      </w:r>
      <w:r>
        <w:rPr>
          <w:rFonts w:hint="eastAsia" w:hAnsi="宋体" w:cs="宋体"/>
          <w:lang w:eastAsia="zh-CN"/>
        </w:rPr>
        <w:t>）。</w:t>
      </w:r>
    </w:p>
    <w:p w14:paraId="66000D91">
      <w:pPr>
        <w:pStyle w:val="4"/>
        <w:snapToGrid w:val="0"/>
        <w:spacing w:before="120" w:after="120" w:line="360" w:lineRule="auto"/>
        <w:ind w:firstLine="420" w:firstLineChars="200"/>
        <w:rPr>
          <w:rFonts w:hint="eastAsia" w:hAnsi="宋体" w:cs="宋体"/>
        </w:rPr>
      </w:pPr>
      <w:r>
        <w:rPr>
          <w:rFonts w:hint="eastAsia" w:hAnsi="宋体" w:cs="宋体"/>
        </w:rPr>
        <w:t>（</w:t>
      </w:r>
      <w:r>
        <w:rPr>
          <w:rFonts w:hint="eastAsia" w:hAnsi="宋体" w:cs="宋体"/>
          <w:lang w:val="en-US" w:eastAsia="zh-CN"/>
        </w:rPr>
        <w:t>9</w:t>
      </w:r>
      <w:r>
        <w:rPr>
          <w:rFonts w:hint="eastAsia" w:hAnsi="宋体" w:cs="宋体"/>
        </w:rPr>
        <w:t>）如遇所提供场地因土地规划或政策变更等不可抗力因素导致租赁场地不能继续使用的，中标供应商负责提供同等条件（区域面积、地点、场地状况、周边交通环境等与原场地不得有明显差异）的场地供采购人使用，并且由中标供应商负责转场及承担转场搬迁所产生的费用，因转场过程中出现问题造成采购人或第三人财产损失或人身伤害的，由中标供应商承担所有责任。</w:t>
      </w:r>
    </w:p>
    <w:p w14:paraId="45594E1F">
      <w:pPr>
        <w:pStyle w:val="4"/>
        <w:snapToGrid w:val="0"/>
        <w:spacing w:before="120" w:after="120" w:line="360" w:lineRule="auto"/>
        <w:ind w:firstLine="420" w:firstLineChars="200"/>
        <w:rPr>
          <w:rFonts w:hAnsi="宋体" w:cs="宋体"/>
        </w:rPr>
      </w:pPr>
      <w:r>
        <w:rPr>
          <w:rFonts w:hint="eastAsia" w:hAnsi="宋体" w:cs="宋体"/>
        </w:rPr>
        <w:t>（</w:t>
      </w:r>
      <w:r>
        <w:rPr>
          <w:rFonts w:hint="eastAsia" w:hAnsi="宋体" w:cs="宋体"/>
          <w:lang w:val="en-US" w:eastAsia="zh-CN"/>
        </w:rPr>
        <w:t>10</w:t>
      </w:r>
      <w:r>
        <w:rPr>
          <w:rFonts w:hint="eastAsia" w:hAnsi="宋体" w:cs="宋体"/>
        </w:rPr>
        <w:t>）根据国家消防、安全生产的相关法律、法规，为消除安全隐患，确保公路、桥梁安全，中标供应商不得在桥梁下空间设置停车场。</w:t>
      </w:r>
    </w:p>
    <w:p w14:paraId="42D785F4">
      <w:pPr>
        <w:rPr>
          <w:rFonts w:hint="eastAsia" w:ascii="宋体" w:hAnsi="宋体" w:eastAsia="宋体" w:cs="Times New Roman"/>
          <w:b/>
          <w:bCs/>
          <w:kern w:val="2"/>
          <w:sz w:val="21"/>
          <w:szCs w:val="22"/>
          <w:lang w:val="en-US" w:eastAsia="zh-CN" w:bidi="ar-SA"/>
        </w:rPr>
      </w:pPr>
      <w:r>
        <w:rPr>
          <w:rFonts w:hint="eastAsia" w:ascii="宋体" w:hAnsi="宋体" w:eastAsia="宋体" w:cs="Times New Roman"/>
          <w:b/>
          <w:bCs/>
          <w:kern w:val="2"/>
          <w:sz w:val="21"/>
          <w:szCs w:val="22"/>
          <w:lang w:val="en-US" w:eastAsia="zh-CN" w:bidi="ar-SA"/>
        </w:rPr>
        <w:t>4、车辆驾驶员、清障作业人员要求</w:t>
      </w:r>
    </w:p>
    <w:p w14:paraId="347B683B">
      <w:pPr>
        <w:pStyle w:val="4"/>
        <w:snapToGrid w:val="0"/>
        <w:spacing w:before="120" w:after="120" w:line="360" w:lineRule="auto"/>
        <w:ind w:firstLine="420" w:firstLineChars="200"/>
        <w:rPr>
          <w:rFonts w:hAnsi="宋体" w:cs="宋体"/>
        </w:rPr>
      </w:pPr>
      <w:r>
        <w:rPr>
          <w:rFonts w:hint="eastAsia" w:hAnsi="宋体" w:cs="宋体"/>
        </w:rPr>
        <w:t>（1）供应商应加强车辆驾驶员、清障作业人员的交通安全、操作技能培训，培训</w:t>
      </w:r>
      <w:r>
        <w:rPr>
          <w:rFonts w:hint="eastAsia" w:hAnsi="宋体" w:cs="宋体"/>
          <w:lang w:eastAsia="zh-CN"/>
        </w:rPr>
        <w:t>合格后</w:t>
      </w:r>
      <w:r>
        <w:rPr>
          <w:rFonts w:hint="eastAsia" w:hAnsi="宋体" w:cs="宋体"/>
        </w:rPr>
        <w:t>方可上岗。</w:t>
      </w:r>
    </w:p>
    <w:p w14:paraId="70C54A40">
      <w:pPr>
        <w:pStyle w:val="4"/>
        <w:snapToGrid w:val="0"/>
        <w:spacing w:before="120" w:after="120" w:line="360" w:lineRule="auto"/>
        <w:ind w:firstLine="420" w:firstLineChars="200"/>
        <w:rPr>
          <w:rFonts w:hAnsi="宋体" w:cs="宋体"/>
        </w:rPr>
      </w:pPr>
      <w:r>
        <w:rPr>
          <w:rFonts w:hint="eastAsia" w:hAnsi="宋体" w:cs="宋体"/>
          <w:i/>
          <w:iCs/>
          <w:u w:val="single"/>
        </w:rPr>
        <w:t>（2）实施清障作业的每辆车，驾驶员必须具备相应的驾驶资格，至少配备</w:t>
      </w:r>
      <w:r>
        <w:rPr>
          <w:rFonts w:hint="eastAsia" w:hAnsi="宋体" w:cs="宋体"/>
          <w:i/>
          <w:iCs/>
          <w:u w:val="single"/>
          <w:lang w:val="en-US" w:eastAsia="zh-CN"/>
        </w:rPr>
        <w:t>2</w:t>
      </w:r>
      <w:r>
        <w:rPr>
          <w:rFonts w:hint="eastAsia" w:hAnsi="宋体" w:cs="宋体"/>
          <w:i/>
          <w:iCs/>
          <w:u w:val="single"/>
        </w:rPr>
        <w:t>名熟悉业务的作业人员。</w:t>
      </w:r>
    </w:p>
    <w:p w14:paraId="304F87C1">
      <w:pPr>
        <w:pStyle w:val="4"/>
        <w:snapToGrid w:val="0"/>
        <w:spacing w:before="120" w:after="120" w:line="360" w:lineRule="auto"/>
        <w:ind w:firstLine="420" w:firstLineChars="200"/>
        <w:rPr>
          <w:rFonts w:hAnsi="宋体" w:cs="宋体"/>
        </w:rPr>
      </w:pPr>
      <w:r>
        <w:rPr>
          <w:rFonts w:hint="eastAsia" w:hAnsi="宋体" w:cs="宋体"/>
        </w:rPr>
        <w:t>（3）车辆驾驶员、清障作业人员必须统一着装，按规范流程操作。</w:t>
      </w:r>
    </w:p>
    <w:p w14:paraId="79E4933B">
      <w:pPr>
        <w:widowControl/>
        <w:tabs>
          <w:tab w:val="left" w:pos="720"/>
        </w:tabs>
        <w:snapToGrid w:val="0"/>
        <w:spacing w:line="440" w:lineRule="exact"/>
        <w:ind w:firstLine="420" w:firstLineChars="200"/>
        <w:rPr>
          <w:rFonts w:hAnsi="宋体" w:cs="宋体"/>
        </w:rPr>
      </w:pPr>
      <w:r>
        <w:rPr>
          <w:rFonts w:hint="eastAsia" w:hAnsi="宋体" w:cs="宋体"/>
        </w:rPr>
        <w:t>（4）车辆驾驶员、清障作业人员必须是和中标人签定劳动合同的人员，</w:t>
      </w:r>
      <w:r>
        <w:rPr>
          <w:rFonts w:hint="eastAsia" w:hAnsi="宋体" w:cs="宋体"/>
          <w:lang w:eastAsia="zh-CN"/>
        </w:rPr>
        <w:t>并</w:t>
      </w:r>
      <w:r>
        <w:rPr>
          <w:rFonts w:hint="eastAsia" w:hAnsi="宋体" w:cs="宋体"/>
        </w:rPr>
        <w:t>缴纳社保及购买人生意外险</w:t>
      </w:r>
      <w:r>
        <w:rPr>
          <w:rFonts w:hint="eastAsia" w:hAnsi="宋体" w:cs="宋体"/>
          <w:lang w:eastAsia="zh-CN"/>
        </w:rPr>
        <w:t>，</w:t>
      </w:r>
      <w:r>
        <w:rPr>
          <w:rFonts w:hint="eastAsia" w:hAnsi="宋体" w:cs="宋体"/>
        </w:rPr>
        <w:t>作业人员名册</w:t>
      </w:r>
      <w:r>
        <w:rPr>
          <w:rFonts w:hint="eastAsia" w:hAnsi="宋体" w:cs="宋体"/>
          <w:lang w:eastAsia="zh-CN"/>
        </w:rPr>
        <w:t>须</w:t>
      </w:r>
      <w:r>
        <w:rPr>
          <w:rFonts w:hint="eastAsia" w:hAnsi="宋体" w:cs="宋体"/>
        </w:rPr>
        <w:t>提交采购人备案</w:t>
      </w:r>
      <w:r>
        <w:rPr>
          <w:rFonts w:hint="eastAsia" w:hAnsi="宋体" w:cs="宋体"/>
          <w:lang w:eastAsia="zh-CN"/>
        </w:rPr>
        <w:t>，</w:t>
      </w:r>
      <w:r>
        <w:rPr>
          <w:rFonts w:hint="eastAsia" w:hAnsi="宋体" w:cs="宋体"/>
          <w:lang w:val="en-US" w:eastAsia="zh-CN"/>
        </w:rPr>
        <w:t>如需更换人员，需报请采购人批准，经采购人确认方可更换人员</w:t>
      </w:r>
      <w:r>
        <w:rPr>
          <w:rFonts w:hint="eastAsia" w:hAnsi="宋体" w:cs="宋体"/>
        </w:rPr>
        <w:t>。</w:t>
      </w:r>
    </w:p>
    <w:p w14:paraId="2597EBD0">
      <w:pPr>
        <w:pStyle w:val="4"/>
        <w:snapToGrid w:val="0"/>
        <w:spacing w:before="120" w:after="120" w:line="360" w:lineRule="auto"/>
        <w:ind w:firstLine="420" w:firstLineChars="200"/>
        <w:rPr>
          <w:rFonts w:hAnsi="宋体" w:cs="宋体"/>
        </w:rPr>
      </w:pPr>
      <w:r>
        <w:rPr>
          <w:rFonts w:hint="eastAsia" w:hAnsi="宋体" w:cs="宋体"/>
        </w:rPr>
        <w:t>（5）停车场不得录用有违法犯罪记录或被认定为在清障作业工作中违规的人员。车辆驾驶员、清障作业人员应报采购人备案。</w:t>
      </w:r>
    </w:p>
    <w:p w14:paraId="15EA0654">
      <w:pPr>
        <w:rPr>
          <w:rFonts w:hint="eastAsia" w:ascii="宋体" w:hAnsi="宋体" w:eastAsia="宋体" w:cs="Times New Roman"/>
          <w:b/>
          <w:bCs/>
          <w:kern w:val="2"/>
          <w:sz w:val="21"/>
          <w:szCs w:val="22"/>
          <w:lang w:val="en-US" w:eastAsia="zh-CN" w:bidi="ar-SA"/>
        </w:rPr>
      </w:pPr>
      <w:r>
        <w:rPr>
          <w:rFonts w:hint="eastAsia" w:ascii="宋体" w:hAnsi="宋体" w:eastAsia="宋体" w:cs="Times New Roman"/>
          <w:b/>
          <w:bCs/>
          <w:kern w:val="2"/>
          <w:sz w:val="21"/>
          <w:szCs w:val="22"/>
          <w:lang w:val="en-US" w:eastAsia="zh-CN" w:bidi="ar-SA"/>
        </w:rPr>
        <w:t>（二）清障作业服务要求</w:t>
      </w:r>
    </w:p>
    <w:p w14:paraId="532F4F9E">
      <w:pPr>
        <w:rPr>
          <w:rFonts w:hint="eastAsia" w:ascii="宋体" w:hAnsi="宋体" w:eastAsia="宋体" w:cs="Times New Roman"/>
          <w:b/>
          <w:bCs/>
          <w:kern w:val="2"/>
          <w:sz w:val="21"/>
          <w:szCs w:val="22"/>
          <w:lang w:val="en-US" w:eastAsia="zh-CN" w:bidi="ar-SA"/>
        </w:rPr>
      </w:pPr>
      <w:r>
        <w:rPr>
          <w:rFonts w:hint="eastAsia" w:ascii="宋体" w:hAnsi="宋体" w:eastAsia="宋体" w:cs="Times New Roman"/>
          <w:b/>
          <w:bCs/>
          <w:kern w:val="2"/>
          <w:sz w:val="21"/>
          <w:szCs w:val="22"/>
          <w:lang w:val="en-US" w:eastAsia="zh-CN" w:bidi="ar-SA"/>
        </w:rPr>
        <w:t>1、服务时间要求</w:t>
      </w:r>
    </w:p>
    <w:p w14:paraId="40B00C20">
      <w:pPr>
        <w:widowControl/>
        <w:tabs>
          <w:tab w:val="left" w:pos="720"/>
        </w:tabs>
        <w:snapToGrid w:val="0"/>
        <w:spacing w:line="440" w:lineRule="exact"/>
        <w:ind w:firstLine="420" w:firstLineChars="200"/>
        <w:rPr>
          <w:rFonts w:hAnsi="宋体" w:cs="宋体"/>
        </w:rPr>
      </w:pPr>
      <w:r>
        <w:rPr>
          <w:rFonts w:hint="eastAsia" w:hAnsi="宋体" w:cs="宋体"/>
        </w:rPr>
        <w:t>供应商须能够提供全天24小时的各类清障作业（包含法定节假日）。供应商接到采购人发出的清障指令起计，须在规定时间内到达现场提供服务（5公里以内15分钟内到达；10公里以内20分钟内到达；20公里以内30分钟内到达；30公里以内40分钟内到达）。特殊原因不能及时赶往现场，要将有关情况及时反馈给主管部门。</w:t>
      </w:r>
    </w:p>
    <w:p w14:paraId="143304CE">
      <w:pPr>
        <w:rPr>
          <w:rFonts w:hint="eastAsia" w:ascii="宋体" w:hAnsi="宋体" w:eastAsia="宋体" w:cs="Times New Roman"/>
          <w:b/>
          <w:bCs/>
          <w:kern w:val="2"/>
          <w:sz w:val="21"/>
          <w:szCs w:val="22"/>
          <w:lang w:val="en-US" w:eastAsia="zh-CN" w:bidi="ar-SA"/>
        </w:rPr>
      </w:pPr>
      <w:r>
        <w:rPr>
          <w:rFonts w:hint="eastAsia" w:ascii="宋体" w:hAnsi="宋体" w:eastAsia="宋体" w:cs="Times New Roman"/>
          <w:b/>
          <w:bCs/>
          <w:kern w:val="2"/>
          <w:sz w:val="21"/>
          <w:szCs w:val="22"/>
          <w:lang w:val="en-US" w:eastAsia="zh-CN" w:bidi="ar-SA"/>
        </w:rPr>
        <w:t>2、现场作业要求</w:t>
      </w:r>
    </w:p>
    <w:p w14:paraId="378D640E">
      <w:pPr>
        <w:pStyle w:val="4"/>
        <w:snapToGrid w:val="0"/>
        <w:spacing w:before="120" w:after="120" w:line="360" w:lineRule="auto"/>
        <w:ind w:firstLine="420" w:firstLineChars="200"/>
        <w:rPr>
          <w:rFonts w:hAnsi="宋体" w:cs="宋体"/>
        </w:rPr>
      </w:pPr>
      <w:r>
        <w:rPr>
          <w:rFonts w:hint="eastAsia" w:hAnsi="宋体" w:cs="宋体"/>
        </w:rPr>
        <w:t>（1）供应商应按照规范流程进行作业，包括对被拖吊车辆的检查和清点等；</w:t>
      </w:r>
    </w:p>
    <w:p w14:paraId="1FC297CE">
      <w:pPr>
        <w:pStyle w:val="4"/>
        <w:snapToGrid w:val="0"/>
        <w:spacing w:before="120" w:after="120" w:line="360" w:lineRule="auto"/>
        <w:ind w:firstLine="420" w:firstLineChars="200"/>
        <w:rPr>
          <w:rFonts w:hAnsi="宋体" w:cs="宋体"/>
        </w:rPr>
      </w:pPr>
      <w:r>
        <w:rPr>
          <w:rFonts w:hint="eastAsia" w:hAnsi="宋体" w:cs="宋体"/>
        </w:rPr>
        <w:t>（2）供应商实施清障作业时，必须有交通警察在场并取得委托。</w:t>
      </w:r>
    </w:p>
    <w:p w14:paraId="75475F83">
      <w:pPr>
        <w:pStyle w:val="4"/>
        <w:snapToGrid w:val="0"/>
        <w:spacing w:before="120" w:after="120" w:line="360" w:lineRule="auto"/>
        <w:ind w:firstLine="420" w:firstLineChars="200"/>
        <w:rPr>
          <w:rFonts w:hAnsi="宋体" w:cs="宋体"/>
        </w:rPr>
      </w:pPr>
      <w:r>
        <w:rPr>
          <w:rFonts w:hint="eastAsia" w:hAnsi="宋体" w:cs="宋体"/>
        </w:rPr>
        <w:t>（3）采购人开展交通整治时，供应商须按采购人要求提供拖吊车服务，拖吊作业人员应服从现场交警的指挥；</w:t>
      </w:r>
    </w:p>
    <w:p w14:paraId="4EF31ACC">
      <w:pPr>
        <w:pStyle w:val="4"/>
        <w:snapToGrid w:val="0"/>
        <w:spacing w:before="120" w:after="120" w:line="360" w:lineRule="auto"/>
        <w:ind w:firstLine="420" w:firstLineChars="200"/>
        <w:rPr>
          <w:rFonts w:hAnsi="宋体" w:cs="宋体"/>
        </w:rPr>
      </w:pPr>
      <w:r>
        <w:rPr>
          <w:rFonts w:hint="eastAsia" w:hAnsi="宋体" w:cs="宋体"/>
        </w:rPr>
        <w:t>（4）供应商应将被拖吊车辆的停放地点及联系方式等，通过文字标示或者其它方式告知当事人。</w:t>
      </w:r>
    </w:p>
    <w:p w14:paraId="3E346E2D">
      <w:pPr>
        <w:pStyle w:val="4"/>
        <w:snapToGrid w:val="0"/>
        <w:spacing w:before="120" w:after="120" w:line="360" w:lineRule="auto"/>
        <w:ind w:firstLine="420" w:firstLineChars="200"/>
        <w:rPr>
          <w:rFonts w:hAnsi="宋体" w:cs="宋体"/>
        </w:rPr>
      </w:pPr>
      <w:bookmarkStart w:id="0" w:name="_Toc363483632"/>
      <w:r>
        <w:rPr>
          <w:rFonts w:hint="eastAsia" w:hAnsi="宋体" w:cs="宋体"/>
        </w:rPr>
        <w:t>（5）供应商作业过程中</w:t>
      </w:r>
      <w:bookmarkEnd w:id="0"/>
      <w:r>
        <w:rPr>
          <w:rFonts w:hint="eastAsia" w:hAnsi="宋体" w:cs="宋体"/>
        </w:rPr>
        <w:t>必须严格遵守道路交通管理规定,不得因作业而影响交通、造成交通堵塞或损坏市政设施(如因作业需要违反交通管理规定的，应经现场交警同意)</w:t>
      </w:r>
    </w:p>
    <w:p w14:paraId="039E9872">
      <w:pPr>
        <w:rPr>
          <w:rFonts w:hint="eastAsia" w:ascii="宋体" w:hAnsi="宋体" w:eastAsia="宋体" w:cs="Times New Roman"/>
          <w:b/>
          <w:bCs/>
          <w:kern w:val="2"/>
          <w:sz w:val="21"/>
          <w:szCs w:val="22"/>
          <w:lang w:val="en-US" w:eastAsia="zh-CN" w:bidi="ar-SA"/>
        </w:rPr>
      </w:pPr>
      <w:r>
        <w:rPr>
          <w:rFonts w:hint="eastAsia" w:ascii="宋体" w:hAnsi="宋体" w:eastAsia="宋体" w:cs="Times New Roman"/>
          <w:b/>
          <w:bCs/>
          <w:kern w:val="2"/>
          <w:sz w:val="21"/>
          <w:szCs w:val="22"/>
          <w:lang w:val="en-US" w:eastAsia="zh-CN" w:bidi="ar-SA"/>
        </w:rPr>
        <w:t>3、被清拖车辆物品处理要求</w:t>
      </w:r>
    </w:p>
    <w:p w14:paraId="46DEBA3D">
      <w:pPr>
        <w:pStyle w:val="4"/>
        <w:snapToGrid w:val="0"/>
        <w:spacing w:before="120" w:after="120" w:line="360" w:lineRule="auto"/>
        <w:ind w:firstLine="420" w:firstLineChars="200"/>
        <w:rPr>
          <w:rFonts w:hAnsi="宋体" w:cs="宋体"/>
        </w:rPr>
      </w:pPr>
      <w:r>
        <w:rPr>
          <w:rFonts w:hint="eastAsia" w:hAnsi="宋体" w:cs="宋体"/>
        </w:rPr>
        <w:t>供应商应按照规定程序及规范处置被拖吊车辆的随车物品，未经采购人或当事人同意，不得进入被拖吊车辆的车辆内部（包括驾驶乘坐仓以及车尾箱等）。</w:t>
      </w:r>
    </w:p>
    <w:p w14:paraId="7F3EFBDD">
      <w:pPr>
        <w:rPr>
          <w:rFonts w:hint="eastAsia" w:ascii="宋体" w:hAnsi="宋体" w:eastAsia="宋体" w:cs="Times New Roman"/>
          <w:b/>
          <w:bCs/>
          <w:kern w:val="2"/>
          <w:sz w:val="21"/>
          <w:szCs w:val="22"/>
          <w:lang w:val="en-US" w:eastAsia="zh-CN" w:bidi="ar-SA"/>
        </w:rPr>
      </w:pPr>
      <w:r>
        <w:rPr>
          <w:rFonts w:hint="eastAsia" w:ascii="宋体" w:hAnsi="宋体" w:eastAsia="宋体" w:cs="Times New Roman"/>
          <w:b/>
          <w:bCs/>
          <w:kern w:val="2"/>
          <w:sz w:val="21"/>
          <w:szCs w:val="22"/>
          <w:lang w:val="en-US" w:eastAsia="zh-CN" w:bidi="ar-SA"/>
        </w:rPr>
        <w:t>4、拖吊进场的要求</w:t>
      </w:r>
    </w:p>
    <w:p w14:paraId="344BF537">
      <w:pPr>
        <w:pStyle w:val="4"/>
        <w:snapToGrid w:val="0"/>
        <w:spacing w:before="120" w:after="120" w:line="360" w:lineRule="auto"/>
        <w:ind w:firstLine="420" w:firstLineChars="200"/>
        <w:rPr>
          <w:rFonts w:hAnsi="宋体" w:cs="宋体"/>
        </w:rPr>
      </w:pPr>
      <w:r>
        <w:rPr>
          <w:rFonts w:hint="eastAsia" w:hAnsi="宋体" w:cs="宋体"/>
        </w:rPr>
        <w:t>（1）供应商应按照要求将车辆拖至规定停车场，因供应商违反拖吊车辆作业规范，导致车辆（含随车物品）进场时与扣留登记的实际状态不符的，由此造成的法律及经济责任由供应商承担。</w:t>
      </w:r>
    </w:p>
    <w:p w14:paraId="307C4B98">
      <w:pPr>
        <w:pStyle w:val="4"/>
        <w:snapToGrid w:val="0"/>
        <w:spacing w:before="120" w:after="120" w:line="360" w:lineRule="auto"/>
        <w:ind w:firstLine="420" w:firstLineChars="200"/>
        <w:rPr>
          <w:rFonts w:hAnsi="宋体" w:cs="宋体"/>
        </w:rPr>
      </w:pPr>
      <w:r>
        <w:rPr>
          <w:rFonts w:hint="eastAsia" w:hAnsi="宋体" w:cs="宋体"/>
        </w:rPr>
        <w:t>（2）如办案民警要求现场查验车辆，将涉案车辆拖移至称重点或治超点进行称重的，供应商应予以满足并积极配合，并在任务完成后，将车辆拖移至指定的停车场。</w:t>
      </w:r>
    </w:p>
    <w:p w14:paraId="1AD7B0E0">
      <w:pPr>
        <w:pStyle w:val="4"/>
        <w:snapToGrid w:val="0"/>
        <w:spacing w:before="120" w:after="120" w:line="360" w:lineRule="auto"/>
        <w:ind w:firstLine="420" w:firstLineChars="200"/>
        <w:rPr>
          <w:rFonts w:hAnsi="宋体" w:cs="宋体"/>
        </w:rPr>
      </w:pPr>
      <w:r>
        <w:rPr>
          <w:rFonts w:hint="eastAsia" w:hAnsi="宋体" w:cs="宋体"/>
        </w:rPr>
        <w:t>（3）供应商应对“清障作业”所拖吊车辆数据进行分类登记，并定期向采购人报备。</w:t>
      </w:r>
    </w:p>
    <w:p w14:paraId="6AA744B2">
      <w:pPr>
        <w:rPr>
          <w:rFonts w:hint="eastAsia" w:ascii="宋体" w:hAnsi="宋体" w:eastAsia="宋体" w:cs="Times New Roman"/>
          <w:b/>
          <w:bCs/>
          <w:kern w:val="2"/>
          <w:sz w:val="21"/>
          <w:szCs w:val="22"/>
          <w:lang w:val="en-US" w:eastAsia="zh-CN" w:bidi="ar-SA"/>
        </w:rPr>
      </w:pPr>
      <w:r>
        <w:rPr>
          <w:rFonts w:hint="eastAsia" w:ascii="宋体" w:hAnsi="宋体" w:eastAsia="宋体" w:cs="Times New Roman"/>
          <w:b/>
          <w:bCs/>
          <w:kern w:val="2"/>
          <w:sz w:val="21"/>
          <w:szCs w:val="22"/>
          <w:lang w:val="en-US" w:eastAsia="zh-CN" w:bidi="ar-SA"/>
        </w:rPr>
        <w:t>（三）拖送涉案车辆检测鉴定服务要求</w:t>
      </w:r>
    </w:p>
    <w:p w14:paraId="6DCB4009">
      <w:pPr>
        <w:pStyle w:val="4"/>
        <w:snapToGrid w:val="0"/>
        <w:spacing w:before="120" w:after="120" w:line="360" w:lineRule="auto"/>
        <w:ind w:firstLine="420" w:firstLineChars="200"/>
        <w:rPr>
          <w:rFonts w:hAnsi="宋体" w:cs="宋体"/>
        </w:rPr>
      </w:pPr>
      <w:r>
        <w:rPr>
          <w:rFonts w:hint="eastAsia" w:hAnsi="宋体" w:cs="宋体"/>
        </w:rPr>
        <w:t>1、供应商须提供相应的人员和拖车，配合办案民警，确保检测、鉴定工作顺利完成。</w:t>
      </w:r>
    </w:p>
    <w:p w14:paraId="126132D8">
      <w:pPr>
        <w:pStyle w:val="4"/>
        <w:snapToGrid w:val="0"/>
        <w:spacing w:before="120" w:after="120" w:line="360" w:lineRule="auto"/>
        <w:ind w:firstLine="420" w:firstLineChars="200"/>
        <w:rPr>
          <w:rFonts w:hAnsi="宋体" w:cs="宋体"/>
        </w:rPr>
      </w:pPr>
      <w:r>
        <w:rPr>
          <w:rFonts w:hint="eastAsia" w:hAnsi="宋体" w:cs="宋体"/>
        </w:rPr>
        <w:t>2、供应商拖送涉案车辆检测、鉴定必须取得办案单位及民警的委托，并在规定期限内将涉案车辆拖送到指定地点检测、鉴定。</w:t>
      </w:r>
    </w:p>
    <w:p w14:paraId="4FBB9194">
      <w:pPr>
        <w:pStyle w:val="4"/>
        <w:snapToGrid w:val="0"/>
        <w:spacing w:before="120" w:after="120" w:line="360" w:lineRule="auto"/>
        <w:ind w:firstLine="420" w:firstLineChars="200"/>
        <w:rPr>
          <w:rFonts w:hAnsi="宋体" w:cs="宋体"/>
        </w:rPr>
      </w:pPr>
      <w:r>
        <w:rPr>
          <w:rFonts w:hint="eastAsia" w:hAnsi="宋体" w:cs="宋体"/>
        </w:rPr>
        <w:t>3、检测、鉴定工作结束后，供应商须按办案民警要求将涉案车辆拖移至停车场。</w:t>
      </w:r>
    </w:p>
    <w:p w14:paraId="6D95F73D">
      <w:pPr>
        <w:rPr>
          <w:rFonts w:hint="eastAsia" w:ascii="宋体" w:hAnsi="宋体" w:eastAsia="宋体" w:cs="Times New Roman"/>
          <w:b/>
          <w:bCs/>
          <w:kern w:val="2"/>
          <w:sz w:val="21"/>
          <w:szCs w:val="22"/>
          <w:lang w:val="en-US" w:eastAsia="zh-CN" w:bidi="ar-SA"/>
        </w:rPr>
      </w:pPr>
      <w:r>
        <w:rPr>
          <w:rFonts w:hint="eastAsia" w:ascii="宋体" w:hAnsi="宋体" w:eastAsia="宋体" w:cs="Times New Roman"/>
          <w:b/>
          <w:bCs/>
          <w:kern w:val="2"/>
          <w:sz w:val="21"/>
          <w:szCs w:val="22"/>
          <w:lang w:val="en-US" w:eastAsia="zh-CN" w:bidi="ar-SA"/>
        </w:rPr>
        <w:t>（四）交通保障服务、各类非法占道物品的清理和其他清障工作要求</w:t>
      </w:r>
    </w:p>
    <w:p w14:paraId="3266920C">
      <w:pPr>
        <w:pStyle w:val="4"/>
        <w:snapToGrid w:val="0"/>
        <w:spacing w:before="120" w:after="120" w:line="360" w:lineRule="auto"/>
        <w:ind w:firstLine="420" w:firstLineChars="200"/>
        <w:rPr>
          <w:rFonts w:hAnsi="宋体" w:cs="宋体"/>
          <w:highlight w:val="none"/>
        </w:rPr>
      </w:pPr>
      <w:r>
        <w:rPr>
          <w:rFonts w:hint="eastAsia" w:hAnsi="宋体" w:cs="宋体"/>
          <w:highlight w:val="none"/>
        </w:rPr>
        <w:t>供应商须按采购人指令提供交通保障服务</w:t>
      </w:r>
      <w:r>
        <w:rPr>
          <w:rFonts w:hint="eastAsia" w:hAnsi="宋体" w:cs="宋体"/>
          <w:highlight w:val="none"/>
          <w:lang w:val="en-US" w:eastAsia="zh-CN"/>
        </w:rPr>
        <w:t>、</w:t>
      </w:r>
      <w:r>
        <w:rPr>
          <w:rFonts w:hint="eastAsia" w:hAnsi="宋体" w:cs="宋体"/>
          <w:highlight w:val="none"/>
        </w:rPr>
        <w:t>各类非法占道物品的清理</w:t>
      </w:r>
      <w:r>
        <w:rPr>
          <w:rFonts w:hint="eastAsia" w:hAnsi="宋体" w:cs="宋体"/>
          <w:highlight w:val="none"/>
          <w:lang w:eastAsia="zh-CN"/>
        </w:rPr>
        <w:t>和</w:t>
      </w:r>
      <w:r>
        <w:rPr>
          <w:rFonts w:hint="eastAsia" w:hAnsi="宋体" w:cs="宋体"/>
          <w:highlight w:val="none"/>
        </w:rPr>
        <w:t>其他清障服务，包括拖送拖送</w:t>
      </w:r>
      <w:r>
        <w:rPr>
          <w:rFonts w:hint="eastAsia" w:hAnsi="宋体" w:cs="宋体"/>
          <w:highlight w:val="none"/>
          <w:lang w:eastAsia="zh-CN"/>
        </w:rPr>
        <w:t>临时信号灯、交通指示牌、反光锥筒</w:t>
      </w:r>
      <w:r>
        <w:rPr>
          <w:rFonts w:hint="eastAsia" w:hAnsi="宋体" w:cs="宋体"/>
          <w:highlight w:val="none"/>
        </w:rPr>
        <w:t>，清理路面淤泥、油污、障碍物等。对大范围需专业力量处置的路面清理，先采取临时措施，待公路等其他部门联动后方可撤离。</w:t>
      </w:r>
    </w:p>
    <w:p w14:paraId="7BAD3A3E">
      <w:pPr>
        <w:rPr>
          <w:rFonts w:hint="eastAsia" w:ascii="宋体" w:hAnsi="宋体" w:eastAsia="宋体" w:cs="Times New Roman"/>
          <w:b/>
          <w:bCs/>
          <w:kern w:val="2"/>
          <w:sz w:val="21"/>
          <w:szCs w:val="22"/>
          <w:lang w:val="en-US" w:eastAsia="zh-CN" w:bidi="ar-SA"/>
        </w:rPr>
      </w:pPr>
      <w:r>
        <w:rPr>
          <w:rFonts w:hint="eastAsia" w:ascii="宋体" w:hAnsi="宋体" w:eastAsia="宋体" w:cs="Times New Roman"/>
          <w:b/>
          <w:bCs/>
          <w:kern w:val="2"/>
          <w:sz w:val="21"/>
          <w:szCs w:val="22"/>
          <w:lang w:val="en-US" w:eastAsia="zh-CN" w:bidi="ar-SA"/>
        </w:rPr>
        <w:t>（五）扣押车辆交接要求</w:t>
      </w:r>
    </w:p>
    <w:p w14:paraId="5FD3995F">
      <w:pPr>
        <w:pStyle w:val="4"/>
        <w:snapToGrid w:val="0"/>
        <w:spacing w:before="120" w:after="120" w:line="360" w:lineRule="auto"/>
        <w:ind w:firstLine="420" w:firstLineChars="200"/>
        <w:rPr>
          <w:rFonts w:hAnsi="宋体" w:cs="宋体"/>
        </w:rPr>
      </w:pPr>
      <w:r>
        <w:rPr>
          <w:rFonts w:hint="eastAsia" w:hAnsi="宋体" w:cs="宋体"/>
        </w:rPr>
        <w:t>1、供应商须统一使用采购人提供的车辆扣押管理系统，做好对扣押车辆的登记、保管、移送、发还。</w:t>
      </w:r>
    </w:p>
    <w:p w14:paraId="3FA95A01">
      <w:pPr>
        <w:pStyle w:val="4"/>
        <w:snapToGrid w:val="0"/>
        <w:spacing w:before="120" w:after="120" w:line="360" w:lineRule="auto"/>
        <w:ind w:firstLine="420" w:firstLineChars="200"/>
        <w:rPr>
          <w:rFonts w:hAnsi="宋体" w:cs="宋体"/>
        </w:rPr>
      </w:pPr>
      <w:r>
        <w:rPr>
          <w:rFonts w:hint="eastAsia" w:hAnsi="宋体" w:cs="宋体"/>
        </w:rPr>
        <w:t>2、所有扣押车辆进出场都要从扣押管理系统进行登记采集，按要求拍摄上传车辆照片，照片须保持清晰完整，背景为停车场内或在清障车上。</w:t>
      </w:r>
    </w:p>
    <w:p w14:paraId="7D3CD747">
      <w:pPr>
        <w:pStyle w:val="4"/>
        <w:snapToGrid w:val="0"/>
        <w:spacing w:before="120" w:after="120" w:line="360" w:lineRule="auto"/>
        <w:ind w:firstLine="420" w:firstLineChars="200"/>
        <w:rPr>
          <w:rFonts w:hAnsi="宋体" w:cs="宋体"/>
        </w:rPr>
      </w:pPr>
      <w:r>
        <w:rPr>
          <w:rFonts w:hint="eastAsia" w:hAnsi="宋体" w:cs="宋体"/>
        </w:rPr>
        <w:t>3、供应商须能够全天24小时办理车辆存取手续（包含法定节假日），车辆发还</w:t>
      </w:r>
      <w:r>
        <w:rPr>
          <w:rFonts w:hint="eastAsia" w:hAnsi="宋体" w:cs="宋体"/>
          <w:lang w:eastAsia="zh-CN"/>
        </w:rPr>
        <w:t>须</w:t>
      </w:r>
      <w:r>
        <w:rPr>
          <w:rFonts w:hint="eastAsia" w:hAnsi="宋体" w:cs="宋体"/>
        </w:rPr>
        <w:t>从扣押管理系统流转至放行状态</w:t>
      </w:r>
      <w:r>
        <w:rPr>
          <w:rFonts w:hint="eastAsia" w:hAnsi="宋体" w:cs="宋体"/>
          <w:lang w:eastAsia="zh-CN"/>
        </w:rPr>
        <w:t>，</w:t>
      </w:r>
      <w:r>
        <w:rPr>
          <w:rFonts w:hint="eastAsia" w:hAnsi="宋体" w:cs="宋体"/>
        </w:rPr>
        <w:t>一律凭</w:t>
      </w:r>
      <w:r>
        <w:rPr>
          <w:rFonts w:hint="eastAsia" w:hAnsi="宋体" w:cs="宋体"/>
          <w:lang w:eastAsia="zh-CN"/>
        </w:rPr>
        <w:t>系统生成的</w:t>
      </w:r>
      <w:r>
        <w:rPr>
          <w:rFonts w:hint="eastAsia" w:hAnsi="宋体" w:cs="宋体"/>
        </w:rPr>
        <w:t>放车单</w:t>
      </w:r>
      <w:r>
        <w:rPr>
          <w:rFonts w:hint="eastAsia" w:hAnsi="宋体" w:cs="宋体"/>
          <w:lang w:eastAsia="zh-CN"/>
        </w:rPr>
        <w:t>，办案民警签名加盖</w:t>
      </w:r>
      <w:r>
        <w:rPr>
          <w:rFonts w:hint="eastAsia" w:hAnsi="宋体" w:cs="宋体"/>
        </w:rPr>
        <w:t>部门公章</w:t>
      </w:r>
      <w:r>
        <w:rPr>
          <w:rFonts w:hint="eastAsia" w:hAnsi="宋体" w:cs="宋体"/>
          <w:lang w:eastAsia="zh-CN"/>
        </w:rPr>
        <w:t>后放行</w:t>
      </w:r>
      <w:r>
        <w:rPr>
          <w:rFonts w:hint="eastAsia" w:hAnsi="宋体" w:cs="宋体"/>
        </w:rPr>
        <w:t>。</w:t>
      </w:r>
    </w:p>
    <w:p w14:paraId="65ECB239">
      <w:pPr>
        <w:pStyle w:val="4"/>
        <w:snapToGrid w:val="0"/>
        <w:spacing w:before="120" w:after="120" w:line="360" w:lineRule="auto"/>
        <w:ind w:firstLine="420" w:firstLineChars="200"/>
        <w:rPr>
          <w:rFonts w:hAnsi="宋体" w:cs="宋体"/>
        </w:rPr>
      </w:pPr>
      <w:r>
        <w:rPr>
          <w:rFonts w:hint="eastAsia" w:hAnsi="宋体" w:cs="宋体"/>
        </w:rPr>
        <w:t>4、供应商须具有严格完善的车辆停放安全监管措施和服务规章制度，每天认真清点车辆，对被扣留拖移车辆停放安全进行巡视，核对登记台帐，保证实际车辆与登记数量、内容完全一致。</w:t>
      </w:r>
    </w:p>
    <w:p w14:paraId="7716FA88">
      <w:pPr>
        <w:pStyle w:val="4"/>
        <w:snapToGrid w:val="0"/>
        <w:spacing w:before="120" w:after="120" w:line="360" w:lineRule="auto"/>
        <w:ind w:firstLine="420" w:firstLineChars="200"/>
        <w:rPr>
          <w:rFonts w:hAnsi="宋体" w:cs="宋体"/>
        </w:rPr>
      </w:pPr>
      <w:r>
        <w:rPr>
          <w:rFonts w:hint="eastAsia" w:hAnsi="宋体" w:cs="宋体"/>
        </w:rPr>
        <w:t>5、供应商须对本单位员工加强保密教育与管理，制定完备的保密制度，检查督促保密规章制度的执行，不得以任何方式泄露所接触、知悉的警务信息和公民个人信息，违者一律追究法律责任。</w:t>
      </w:r>
    </w:p>
    <w:p w14:paraId="612FF970">
      <w:pPr>
        <w:rPr>
          <w:rFonts w:hint="eastAsia" w:ascii="宋体" w:hAnsi="宋体" w:eastAsia="宋体" w:cs="Times New Roman"/>
          <w:b/>
          <w:bCs/>
          <w:kern w:val="2"/>
          <w:sz w:val="21"/>
          <w:szCs w:val="22"/>
          <w:lang w:val="en-US" w:eastAsia="zh-CN" w:bidi="ar-SA"/>
        </w:rPr>
      </w:pPr>
      <w:r>
        <w:rPr>
          <w:rFonts w:hint="eastAsia" w:ascii="宋体" w:hAnsi="宋体" w:eastAsia="宋体" w:cs="Times New Roman"/>
          <w:b/>
          <w:bCs/>
          <w:kern w:val="2"/>
          <w:sz w:val="21"/>
          <w:szCs w:val="22"/>
          <w:lang w:val="en-US" w:eastAsia="zh-CN" w:bidi="ar-SA"/>
        </w:rPr>
        <w:t>（六）其他要求</w:t>
      </w:r>
    </w:p>
    <w:p w14:paraId="7D17856A">
      <w:pPr>
        <w:pStyle w:val="4"/>
        <w:snapToGrid w:val="0"/>
        <w:spacing w:before="120" w:after="120" w:line="360" w:lineRule="auto"/>
        <w:ind w:firstLine="420" w:firstLineChars="200"/>
        <w:rPr>
          <w:rFonts w:hAnsi="宋体" w:cs="宋体"/>
        </w:rPr>
      </w:pPr>
      <w:r>
        <w:rPr>
          <w:rFonts w:hint="eastAsia" w:hAnsi="宋体" w:cs="宋体"/>
        </w:rPr>
        <w:t>1、供应商应严格遵守国家法律法规，认真执行本市有关停车管理的各项法律法规和规范性文件，合法经营，诚实守信，自觉维护广大车主的合法利益，树立良好形象；</w:t>
      </w:r>
    </w:p>
    <w:p w14:paraId="5394C1E1">
      <w:pPr>
        <w:pStyle w:val="4"/>
        <w:snapToGrid w:val="0"/>
        <w:spacing w:before="120" w:after="120" w:line="360" w:lineRule="auto"/>
        <w:ind w:firstLine="420" w:firstLineChars="200"/>
        <w:rPr>
          <w:rFonts w:hAnsi="宋体" w:cs="宋体"/>
        </w:rPr>
      </w:pPr>
      <w:r>
        <w:rPr>
          <w:rFonts w:hint="eastAsia" w:hAnsi="宋体" w:cs="宋体"/>
        </w:rPr>
        <w:t>2、法律规定应由采购人承担的拖停车费用，供应商不得再向被扣留车辆当事人重复收取。不得借停车管理、车辆拖曳、道路清障之便，谋取不正当利益，造成后果的，承担一切法律责任。</w:t>
      </w:r>
    </w:p>
    <w:p w14:paraId="1C574009">
      <w:pPr>
        <w:spacing w:line="360" w:lineRule="auto"/>
        <w:ind w:firstLine="420" w:firstLineChars="200"/>
        <w:rPr>
          <w:rFonts w:hint="eastAsia" w:hAnsi="宋体" w:cs="宋体"/>
          <w:highlight w:val="none"/>
        </w:rPr>
      </w:pPr>
      <w:r>
        <w:rPr>
          <w:rFonts w:hint="eastAsia" w:hAnsi="宋体" w:cs="宋体"/>
        </w:rPr>
        <w:t>3、对逾期未接受公安机关处理的涉案车辆，由公安机关按照相关法律法规进行销毁、报废处理，供应商不得以任何理由额外增加</w:t>
      </w:r>
      <w:r>
        <w:rPr>
          <w:rFonts w:hint="eastAsia" w:hAnsi="宋体" w:cs="宋体"/>
          <w:lang w:eastAsia="zh-CN"/>
        </w:rPr>
        <w:t>其他</w:t>
      </w:r>
      <w:r>
        <w:rPr>
          <w:rFonts w:hint="eastAsia" w:hAnsi="宋体" w:cs="宋体"/>
        </w:rPr>
        <w:t>保管费用。</w:t>
      </w:r>
    </w:p>
    <w:p w14:paraId="3C1E59A3">
      <w:pPr>
        <w:pStyle w:val="4"/>
        <w:snapToGrid w:val="0"/>
        <w:spacing w:before="120" w:after="120" w:line="360" w:lineRule="auto"/>
        <w:ind w:firstLine="420" w:firstLineChars="200"/>
        <w:rPr>
          <w:rFonts w:hint="eastAsia" w:hAnsi="宋体" w:cs="宋体"/>
          <w:highlight w:val="none"/>
        </w:rPr>
      </w:pPr>
      <w:r>
        <w:rPr>
          <w:rFonts w:hint="eastAsia" w:hAnsi="宋体" w:cs="宋体"/>
          <w:highlight w:val="none"/>
        </w:rPr>
        <w:t>4、除采购人要求开展的拖车服务外，</w:t>
      </w:r>
      <w:r>
        <w:rPr>
          <w:rFonts w:hint="eastAsia" w:hAnsi="宋体" w:cs="宋体"/>
          <w:color w:val="auto"/>
          <w:highlight w:val="none"/>
        </w:rPr>
        <w:t>交通事故</w:t>
      </w:r>
      <w:r>
        <w:rPr>
          <w:rFonts w:hint="eastAsia" w:hAnsi="宋体" w:cs="宋体"/>
          <w:color w:val="auto"/>
          <w:highlight w:val="none"/>
          <w:lang w:eastAsia="zh-CN"/>
        </w:rPr>
        <w:t>造成</w:t>
      </w:r>
      <w:r>
        <w:rPr>
          <w:rFonts w:hint="eastAsia" w:hAnsi="宋体" w:cs="宋体"/>
          <w:color w:val="auto"/>
          <w:highlight w:val="none"/>
        </w:rPr>
        <w:t>车辆</w:t>
      </w:r>
      <w:r>
        <w:rPr>
          <w:rFonts w:hint="eastAsia" w:hAnsi="宋体" w:cs="宋体"/>
          <w:color w:val="auto"/>
          <w:highlight w:val="none"/>
          <w:lang w:eastAsia="zh-CN"/>
        </w:rPr>
        <w:t>损坏或者在道路上散落物品，妨碍其他车辆正常通行，</w:t>
      </w:r>
      <w:r>
        <w:rPr>
          <w:rFonts w:hint="eastAsia" w:hAnsi="宋体" w:cs="宋体"/>
          <w:color w:val="auto"/>
          <w:highlight w:val="none"/>
        </w:rPr>
        <w:t>需要吊车、驳运或抢险作业等其他施救服务</w:t>
      </w:r>
      <w:r>
        <w:rPr>
          <w:rFonts w:hint="eastAsia" w:hAnsi="宋体" w:cs="宋体"/>
          <w:color w:val="auto"/>
          <w:highlight w:val="none"/>
          <w:lang w:eastAsia="zh-CN"/>
        </w:rPr>
        <w:t>及时清除障碍</w:t>
      </w:r>
      <w:r>
        <w:rPr>
          <w:rFonts w:hint="eastAsia" w:hAnsi="宋体" w:cs="宋体"/>
          <w:color w:val="auto"/>
          <w:highlight w:val="none"/>
        </w:rPr>
        <w:t>，</w:t>
      </w:r>
      <w:r>
        <w:rPr>
          <w:rFonts w:hint="eastAsia" w:hAnsi="宋体" w:cs="宋体"/>
          <w:color w:val="auto"/>
          <w:highlight w:val="none"/>
          <w:lang w:eastAsia="zh-CN"/>
        </w:rPr>
        <w:t>依法应当向当事人收取的清障费用，</w:t>
      </w:r>
      <w:r>
        <w:rPr>
          <w:rFonts w:hint="eastAsia" w:hAnsi="宋体" w:cs="宋体"/>
          <w:color w:val="auto"/>
          <w:highlight w:val="none"/>
        </w:rPr>
        <w:t>由供应商自行与当事人（或事故车辆保险公司）协商；供应商</w:t>
      </w:r>
      <w:r>
        <w:rPr>
          <w:rFonts w:hint="eastAsia" w:hAnsi="宋体" w:cs="宋体"/>
          <w:color w:val="auto"/>
          <w:highlight w:val="none"/>
          <w:lang w:eastAsia="zh-CN"/>
        </w:rPr>
        <w:t>应主动将服务内容、收费金额、收费依据等向当事人予以说明，</w:t>
      </w:r>
      <w:r>
        <w:rPr>
          <w:rFonts w:hint="eastAsia" w:ascii="宋体" w:hAnsi="宋体"/>
          <w:color w:val="auto"/>
          <w:szCs w:val="21"/>
          <w:highlight w:val="none"/>
        </w:rPr>
        <w:t>根据物价部门的收费标准</w:t>
      </w:r>
      <w:r>
        <w:rPr>
          <w:rFonts w:hint="eastAsia" w:hAnsi="宋体" w:cs="宋体"/>
          <w:color w:val="auto"/>
          <w:highlight w:val="none"/>
          <w:lang w:eastAsia="zh-CN"/>
        </w:rPr>
        <w:t>向</w:t>
      </w:r>
      <w:r>
        <w:rPr>
          <w:rFonts w:hint="eastAsia" w:hAnsi="宋体" w:cs="宋体"/>
          <w:color w:val="auto"/>
          <w:highlight w:val="none"/>
        </w:rPr>
        <w:t>当事人（或事故车辆保险公司）结算，</w:t>
      </w:r>
      <w:r>
        <w:rPr>
          <w:rFonts w:hint="eastAsia" w:hAnsi="宋体" w:cs="宋体"/>
          <w:color w:val="auto"/>
          <w:highlight w:val="none"/>
          <w:lang w:eastAsia="zh-CN"/>
        </w:rPr>
        <w:t>并</w:t>
      </w:r>
      <w:r>
        <w:rPr>
          <w:rFonts w:hint="eastAsia" w:hAnsi="宋体" w:cs="宋体"/>
          <w:color w:val="auto"/>
          <w:highlight w:val="none"/>
        </w:rPr>
        <w:t>开具正规施救发票。</w:t>
      </w:r>
      <w:r>
        <w:rPr>
          <w:rFonts w:hint="eastAsia" w:hAnsi="宋体" w:cs="宋体"/>
          <w:highlight w:val="none"/>
        </w:rPr>
        <w:t>供应商违反相关法律、法规、规章，如未与当事人（或事故车辆保险公司）协商同意</w:t>
      </w:r>
      <w:r>
        <w:rPr>
          <w:rFonts w:hint="eastAsia" w:hAnsi="宋体" w:cs="宋体"/>
          <w:highlight w:val="none"/>
          <w:lang w:val="en-US" w:eastAsia="zh-CN"/>
        </w:rPr>
        <w:t>，</w:t>
      </w:r>
      <w:r>
        <w:rPr>
          <w:rFonts w:hint="eastAsia" w:hAnsi="宋体" w:cs="宋体"/>
          <w:highlight w:val="none"/>
        </w:rPr>
        <w:t>强行自行开展吊车、驳运或抢险作业等其他施救服务等行为的，产生的法律后果由供应商负责。</w:t>
      </w:r>
    </w:p>
    <w:p w14:paraId="710EC781">
      <w:pPr>
        <w:pStyle w:val="4"/>
        <w:snapToGrid w:val="0"/>
        <w:spacing w:before="120" w:after="120" w:line="360" w:lineRule="auto"/>
        <w:ind w:firstLine="420" w:firstLineChars="200"/>
        <w:rPr>
          <w:rFonts w:hint="eastAsia" w:hAnsi="宋体" w:cs="宋体"/>
          <w:highlight w:val="none"/>
        </w:rPr>
      </w:pPr>
      <w:r>
        <w:rPr>
          <w:rFonts w:hint="eastAsia" w:hAnsi="宋体" w:cs="宋体"/>
          <w:highlight w:val="none"/>
          <w:lang w:val="en-US" w:eastAsia="zh-CN"/>
        </w:rPr>
        <w:t>5、</w:t>
      </w:r>
      <w:r>
        <w:rPr>
          <w:rFonts w:hint="eastAsia" w:hAnsi="宋体" w:cs="宋体"/>
          <w:highlight w:val="none"/>
        </w:rPr>
        <w:t>供应商</w:t>
      </w:r>
      <w:r>
        <w:rPr>
          <w:rFonts w:hint="eastAsia" w:hAnsi="宋体" w:cs="宋体"/>
          <w:highlight w:val="none"/>
          <w:lang w:eastAsia="zh-CN"/>
        </w:rPr>
        <w:t>应按规定实行明码标价，将清障施救收费项目、收费标准、举报投诉电话以及单位名称、联系电话等有关内容，在企业经营场所、清障施救车辆上以公示牌的形式进行公示，接受社会监督和有关部门的管理。</w:t>
      </w:r>
    </w:p>
    <w:p w14:paraId="76E3973D">
      <w:pPr>
        <w:pStyle w:val="4"/>
        <w:snapToGrid w:val="0"/>
        <w:spacing w:before="120" w:after="120" w:line="360" w:lineRule="auto"/>
        <w:ind w:firstLine="420" w:firstLineChars="200"/>
        <w:rPr>
          <w:rFonts w:hAnsi="宋体" w:cs="宋体"/>
        </w:rPr>
      </w:pPr>
      <w:r>
        <w:rPr>
          <w:rFonts w:hint="eastAsia" w:hAnsi="宋体" w:cs="宋体"/>
          <w:lang w:val="en-US" w:eastAsia="zh-CN"/>
        </w:rPr>
        <w:t>6</w:t>
      </w:r>
      <w:r>
        <w:rPr>
          <w:rFonts w:hint="eastAsia" w:hAnsi="宋体" w:cs="宋体"/>
        </w:rPr>
        <w:t>、在服务作业过程中发生交通事故、作业事故或其他意外，造成自身车辆损坏、工作人员伤害的，由供应商自行负责；造成涉案车辆损坏、其他人员伤害、物品损坏、车内物品及油料失少等其他损失的，均由供应商负责赔偿，与采购人无关。</w:t>
      </w:r>
    </w:p>
    <w:p w14:paraId="322F5A9F">
      <w:pPr>
        <w:pStyle w:val="4"/>
        <w:snapToGrid w:val="0"/>
        <w:spacing w:before="120" w:after="120" w:line="360" w:lineRule="auto"/>
        <w:ind w:firstLine="420" w:firstLineChars="200"/>
        <w:rPr>
          <w:rFonts w:hAnsi="宋体" w:cs="宋体"/>
        </w:rPr>
      </w:pPr>
      <w:r>
        <w:rPr>
          <w:rFonts w:hint="eastAsia" w:hAnsi="宋体" w:cs="宋体"/>
          <w:lang w:val="en-US" w:eastAsia="zh-CN"/>
        </w:rPr>
        <w:t>7</w:t>
      </w:r>
      <w:r>
        <w:rPr>
          <w:rFonts w:hint="eastAsia" w:hAnsi="宋体" w:cs="宋体"/>
        </w:rPr>
        <w:t>、供应商应当加强车辆停放秩序、安全管理，配置必要的消防、监控等安防设施，严格车辆出入、登记。值班、安保人员应当严格履行工作职责，加强防范。因管理不当造成车辆、附属财产丢失、损坏、燃烧，以及人员伤害等一切损失均由供应商自行承担，与采购人无关；</w:t>
      </w:r>
    </w:p>
    <w:p w14:paraId="7983AA6C">
      <w:pPr>
        <w:pStyle w:val="4"/>
        <w:snapToGrid w:val="0"/>
        <w:spacing w:before="120" w:after="120" w:line="360" w:lineRule="auto"/>
        <w:ind w:firstLine="420" w:firstLineChars="200"/>
        <w:rPr>
          <w:rFonts w:hint="eastAsia" w:hAnsi="宋体" w:cs="宋体"/>
        </w:rPr>
      </w:pPr>
      <w:r>
        <w:rPr>
          <w:rFonts w:hint="eastAsia" w:hAnsi="宋体" w:cs="宋体"/>
          <w:lang w:val="en-US" w:eastAsia="zh-CN"/>
        </w:rPr>
        <w:t>8</w:t>
      </w:r>
      <w:r>
        <w:rPr>
          <w:rFonts w:hint="eastAsia" w:hAnsi="宋体" w:cs="宋体"/>
        </w:rPr>
        <w:t>、供应商在合同期内因土地征迁、规划调整或其它原因需要变更车辆停放地点时，应当提前3个月向采购人报告，征求采购人同意后，及时、妥善做好停车场地迁移工作，迁移过程中所需要的一切费用由供应商自行承担，与采购人无关。</w:t>
      </w:r>
    </w:p>
    <w:p w14:paraId="2CD1B922">
      <w:pPr>
        <w:pStyle w:val="4"/>
        <w:snapToGrid w:val="0"/>
        <w:spacing w:before="120" w:after="120" w:line="360" w:lineRule="auto"/>
        <w:ind w:firstLine="420" w:firstLineChars="200"/>
        <w:rPr>
          <w:rFonts w:hint="eastAsia" w:hAnsi="宋体" w:cs="宋体"/>
          <w:color w:val="auto"/>
        </w:rPr>
      </w:pPr>
      <w:r>
        <w:rPr>
          <w:rFonts w:hint="eastAsia" w:hAnsi="宋体" w:cs="宋体"/>
          <w:i/>
          <w:iCs/>
          <w:color w:val="auto"/>
          <w:u w:val="single"/>
          <w:lang w:val="en-US" w:eastAsia="zh-CN"/>
        </w:rPr>
        <w:t>9、</w:t>
      </w:r>
      <w:r>
        <w:rPr>
          <w:rFonts w:hint="eastAsia" w:hAnsi="宋体" w:cs="宋体"/>
          <w:i/>
          <w:iCs/>
          <w:color w:val="auto"/>
          <w:u w:val="single"/>
        </w:rPr>
        <w:t>中标供应商须承诺在所提供的场地经采购人按采购需求全部验收通过之后，协助采购人从原中标供应商场地内将</w:t>
      </w:r>
      <w:r>
        <w:rPr>
          <w:rFonts w:hint="eastAsia" w:hAnsi="宋体" w:cs="宋体"/>
          <w:i/>
          <w:iCs/>
          <w:color w:val="auto"/>
          <w:u w:val="single"/>
          <w:lang w:val="en-US" w:eastAsia="zh-CN"/>
        </w:rPr>
        <w:t>原</w:t>
      </w:r>
      <w:r>
        <w:rPr>
          <w:rFonts w:hint="eastAsia" w:hAnsi="宋体" w:cs="宋体"/>
          <w:i/>
          <w:iCs/>
          <w:color w:val="auto"/>
          <w:u w:val="single"/>
        </w:rPr>
        <w:t>有扣押车辆转移到中标供应商的场地，</w:t>
      </w:r>
      <w:r>
        <w:rPr>
          <w:rFonts w:hint="eastAsia" w:hAnsi="宋体" w:cs="宋体"/>
          <w:i/>
          <w:iCs/>
          <w:color w:val="auto"/>
          <w:u w:val="single"/>
          <w:lang w:val="en-US" w:eastAsia="zh-CN"/>
        </w:rPr>
        <w:t>原</w:t>
      </w:r>
      <w:r>
        <w:rPr>
          <w:rFonts w:hint="eastAsia" w:hAnsi="宋体" w:cs="宋体"/>
          <w:i/>
          <w:iCs/>
          <w:color w:val="auto"/>
          <w:u w:val="single"/>
        </w:rPr>
        <w:t>有扣押车辆转移</w:t>
      </w:r>
      <w:r>
        <w:rPr>
          <w:rFonts w:hint="eastAsia" w:hAnsi="宋体" w:cs="宋体"/>
          <w:i/>
          <w:iCs/>
          <w:color w:val="auto"/>
          <w:u w:val="single"/>
          <w:lang w:val="en-US" w:eastAsia="zh-CN"/>
        </w:rPr>
        <w:t>的费用由</w:t>
      </w:r>
      <w:r>
        <w:rPr>
          <w:rFonts w:hint="eastAsia" w:hAnsi="宋体" w:cs="宋体"/>
          <w:i/>
          <w:iCs/>
          <w:color w:val="auto"/>
          <w:u w:val="single"/>
        </w:rPr>
        <w:t>中标供应商</w:t>
      </w:r>
      <w:r>
        <w:rPr>
          <w:rFonts w:hint="eastAsia" w:hAnsi="宋体" w:cs="宋体"/>
          <w:i/>
          <w:iCs/>
          <w:color w:val="auto"/>
          <w:u w:val="single"/>
          <w:lang w:val="en-US" w:eastAsia="zh-CN"/>
        </w:rPr>
        <w:t>承担</w:t>
      </w:r>
      <w:r>
        <w:rPr>
          <w:rFonts w:hint="eastAsia" w:hAnsi="宋体" w:cs="宋体"/>
          <w:b/>
          <w:bCs/>
          <w:i/>
          <w:iCs/>
          <w:color w:val="auto"/>
          <w:u w:val="single"/>
          <w:lang w:val="en-US" w:eastAsia="zh-CN"/>
        </w:rPr>
        <w:t>（大车12辆，小车167辆，摩托电三轮151辆，电二轮自行车413辆）</w:t>
      </w:r>
      <w:r>
        <w:rPr>
          <w:rFonts w:hint="eastAsia" w:hAnsi="宋体" w:cs="宋体"/>
          <w:i/>
          <w:iCs/>
          <w:color w:val="auto"/>
          <w:u w:val="single"/>
          <w:lang w:val="en-US" w:eastAsia="zh-CN"/>
        </w:rPr>
        <w:t>，</w:t>
      </w:r>
      <w:r>
        <w:rPr>
          <w:rFonts w:hint="eastAsia" w:hAnsi="宋体" w:cs="宋体"/>
          <w:i/>
          <w:iCs/>
          <w:color w:val="auto"/>
          <w:u w:val="single"/>
        </w:rPr>
        <w:t>包含在本项目报价内</w:t>
      </w:r>
      <w:r>
        <w:rPr>
          <w:rFonts w:hint="eastAsia" w:hAnsi="宋体" w:cs="宋体"/>
          <w:i/>
          <w:iCs/>
          <w:color w:val="auto"/>
          <w:u w:val="single"/>
          <w:lang w:val="en-US" w:eastAsia="zh-CN"/>
        </w:rPr>
        <w:t>；</w:t>
      </w:r>
      <w:r>
        <w:rPr>
          <w:rFonts w:hint="eastAsia" w:hAnsi="宋体" w:cs="宋体"/>
          <w:i/>
          <w:iCs/>
          <w:color w:val="auto"/>
          <w:u w:val="single"/>
        </w:rPr>
        <w:t>车辆、随车物品及档案资料等启动转场后，自离开原中标供应商场地起，涉案车辆、随车物品及档案资料的保管工作由中标供应商负责，期间发生丢失、损坏的，将追究中标供应商法律和经济责任。</w:t>
      </w:r>
      <w:r>
        <w:rPr>
          <w:rFonts w:hint="eastAsia" w:hAnsi="宋体" w:cs="宋体"/>
          <w:b/>
          <w:bCs/>
          <w:i/>
          <w:iCs/>
          <w:color w:val="auto"/>
          <w:u w:val="single"/>
        </w:rPr>
        <w:t>（投标时提供承诺函</w:t>
      </w:r>
      <w:r>
        <w:rPr>
          <w:rFonts w:hint="eastAsia" w:hAnsi="宋体" w:cs="宋体"/>
          <w:b/>
          <w:bCs/>
          <w:i/>
          <w:iCs/>
          <w:color w:val="auto"/>
          <w:u w:val="single"/>
          <w:lang w:eastAsia="zh-CN"/>
        </w:rPr>
        <w:t>，</w:t>
      </w:r>
      <w:r>
        <w:rPr>
          <w:rFonts w:hint="eastAsia" w:hAnsi="宋体" w:cs="宋体"/>
          <w:b/>
          <w:bCs/>
          <w:i/>
          <w:iCs/>
          <w:color w:val="auto"/>
          <w:u w:val="single"/>
          <w:lang w:val="en-US" w:eastAsia="zh-CN"/>
        </w:rPr>
        <w:t>格式自拟</w:t>
      </w:r>
      <w:r>
        <w:rPr>
          <w:rFonts w:hint="eastAsia" w:hAnsi="宋体" w:cs="宋体"/>
          <w:b/>
          <w:bCs/>
          <w:i/>
          <w:iCs/>
          <w:color w:val="auto"/>
          <w:u w:val="single"/>
        </w:rPr>
        <w:t>）</w:t>
      </w:r>
    </w:p>
    <w:p w14:paraId="0106F86A">
      <w:pPr>
        <w:pStyle w:val="4"/>
        <w:snapToGrid w:val="0"/>
        <w:spacing w:before="120" w:after="120" w:line="360" w:lineRule="auto"/>
        <w:ind w:firstLine="420" w:firstLineChars="200"/>
        <w:rPr>
          <w:rFonts w:hint="eastAsia" w:hAnsi="宋体" w:cs="宋体"/>
          <w:color w:val="FF0000"/>
        </w:rPr>
      </w:pPr>
      <w:r>
        <w:rPr>
          <w:rFonts w:hint="eastAsia" w:hAnsi="宋体" w:cs="宋体"/>
          <w:i/>
          <w:iCs/>
          <w:color w:val="auto"/>
          <w:u w:val="single"/>
          <w:lang w:val="en-US" w:eastAsia="zh-CN"/>
        </w:rPr>
        <w:t>10</w:t>
      </w:r>
      <w:r>
        <w:rPr>
          <w:rFonts w:hint="eastAsia" w:hAnsi="宋体" w:cs="宋体"/>
          <w:i/>
          <w:iCs/>
          <w:color w:val="auto"/>
          <w:u w:val="single"/>
        </w:rPr>
        <w:t>、中标供应商服务期满后，对采购人因客观因素仍需停放在中标供应商停车场的扣押车辆，在采购人处理完成前，所产生的停车费用包含在本项目报价内，直至采购人处理</w:t>
      </w:r>
      <w:r>
        <w:rPr>
          <w:rFonts w:hint="eastAsia" w:ascii="宋体" w:hAnsi="宋体" w:eastAsia="宋体" w:cs="宋体"/>
          <w:i/>
          <w:iCs/>
          <w:color w:val="auto"/>
          <w:u w:val="single"/>
        </w:rPr>
        <w:t>完毕</w:t>
      </w:r>
      <w:r>
        <w:rPr>
          <w:rFonts w:hint="eastAsia" w:ascii="宋体" w:hAnsi="宋体" w:eastAsia="宋体" w:cs="宋体"/>
          <w:i/>
          <w:iCs/>
          <w:color w:val="auto"/>
          <w:u w:val="single"/>
          <w:lang w:eastAsia="zh-CN"/>
        </w:rPr>
        <w:t>，</w:t>
      </w:r>
      <w:r>
        <w:rPr>
          <w:rFonts w:hint="eastAsia" w:ascii="宋体" w:hAnsi="宋体" w:eastAsia="宋体" w:cs="宋体"/>
          <w:i/>
          <w:iCs/>
          <w:color w:val="auto"/>
          <w:u w:val="single"/>
        </w:rPr>
        <w:t>限最长</w:t>
      </w:r>
      <w:r>
        <w:rPr>
          <w:rFonts w:hint="eastAsia" w:ascii="宋体" w:hAnsi="宋体" w:eastAsia="宋体" w:cs="宋体"/>
          <w:i/>
          <w:iCs/>
          <w:color w:val="auto"/>
          <w:u w:val="single"/>
          <w:lang w:val="en-US" w:eastAsia="zh-CN"/>
        </w:rPr>
        <w:t>6</w:t>
      </w:r>
      <w:r>
        <w:rPr>
          <w:rFonts w:hint="eastAsia" w:ascii="宋体" w:hAnsi="宋体" w:eastAsia="宋体" w:cs="宋体"/>
          <w:i/>
          <w:iCs/>
          <w:color w:val="auto"/>
          <w:u w:val="single"/>
        </w:rPr>
        <w:t>0天</w:t>
      </w:r>
      <w:r>
        <w:rPr>
          <w:rFonts w:hint="eastAsia" w:hAnsi="宋体" w:cs="宋体"/>
          <w:i/>
          <w:iCs/>
          <w:color w:val="auto"/>
          <w:u w:val="single"/>
        </w:rPr>
        <w:t>。</w:t>
      </w:r>
      <w:r>
        <w:rPr>
          <w:rFonts w:hint="eastAsia" w:hAnsi="宋体" w:cs="宋体"/>
          <w:b/>
          <w:bCs/>
          <w:i/>
          <w:iCs/>
          <w:color w:val="auto"/>
          <w:u w:val="single"/>
        </w:rPr>
        <w:t>（投标时提供承诺函</w:t>
      </w:r>
      <w:r>
        <w:rPr>
          <w:rFonts w:hint="eastAsia" w:hAnsi="宋体" w:cs="宋体"/>
          <w:b/>
          <w:bCs/>
          <w:i/>
          <w:iCs/>
          <w:color w:val="auto"/>
          <w:u w:val="single"/>
          <w:lang w:eastAsia="zh-CN"/>
        </w:rPr>
        <w:t>，</w:t>
      </w:r>
      <w:r>
        <w:rPr>
          <w:rFonts w:hint="eastAsia" w:hAnsi="宋体" w:cs="宋体"/>
          <w:b/>
          <w:bCs/>
          <w:i/>
          <w:iCs/>
          <w:color w:val="auto"/>
          <w:u w:val="single"/>
          <w:lang w:val="en-US" w:eastAsia="zh-CN"/>
        </w:rPr>
        <w:t>格式自拟</w:t>
      </w:r>
      <w:r>
        <w:rPr>
          <w:rFonts w:hint="eastAsia" w:hAnsi="宋体" w:cs="宋体"/>
          <w:b/>
          <w:bCs/>
          <w:i/>
          <w:iCs/>
          <w:color w:val="auto"/>
          <w:u w:val="single"/>
        </w:rPr>
        <w:t>）</w:t>
      </w:r>
    </w:p>
    <w:p w14:paraId="628C015A">
      <w:pPr>
        <w:pStyle w:val="4"/>
        <w:snapToGrid w:val="0"/>
        <w:spacing w:before="120" w:after="120" w:line="360" w:lineRule="auto"/>
        <w:ind w:firstLine="420" w:firstLineChars="200"/>
        <w:rPr>
          <w:rFonts w:hAnsi="宋体" w:cs="宋体"/>
        </w:rPr>
      </w:pPr>
      <w:r>
        <w:rPr>
          <w:rFonts w:hint="eastAsia" w:hAnsi="宋体" w:cs="宋体"/>
          <w:lang w:val="en-US" w:eastAsia="zh-CN"/>
        </w:rPr>
        <w:t>11</w:t>
      </w:r>
      <w:r>
        <w:rPr>
          <w:rFonts w:hint="eastAsia" w:hAnsi="宋体" w:cs="宋体"/>
        </w:rPr>
        <w:t>、供应商针对本项目所提供的一切相关服务须符合扬州市相关规定，否则一切后果均由供应商自行承担。</w:t>
      </w:r>
    </w:p>
    <w:p w14:paraId="0464E636">
      <w:pPr>
        <w:rPr>
          <w:rFonts w:hint="eastAsia" w:ascii="宋体" w:hAnsi="宋体" w:eastAsia="宋体" w:cs="Times New Roman"/>
          <w:b/>
          <w:bCs/>
          <w:kern w:val="2"/>
          <w:sz w:val="21"/>
          <w:szCs w:val="22"/>
          <w:lang w:val="en-US" w:eastAsia="zh-CN" w:bidi="ar-SA"/>
        </w:rPr>
      </w:pPr>
      <w:bookmarkStart w:id="1" w:name="_Toc318979057"/>
      <w:bookmarkStart w:id="2" w:name="_Toc363483633"/>
      <w:r>
        <w:rPr>
          <w:rFonts w:hint="eastAsia" w:ascii="宋体" w:hAnsi="宋体" w:eastAsia="宋体" w:cs="Times New Roman"/>
          <w:b/>
          <w:bCs/>
          <w:kern w:val="2"/>
          <w:sz w:val="21"/>
          <w:szCs w:val="22"/>
          <w:lang w:val="en-US" w:eastAsia="zh-CN" w:bidi="ar-SA"/>
        </w:rPr>
        <w:t>（七）项目管理</w:t>
      </w:r>
    </w:p>
    <w:p w14:paraId="728A7093">
      <w:pPr>
        <w:pStyle w:val="4"/>
        <w:snapToGrid w:val="0"/>
        <w:spacing w:before="120" w:after="120" w:line="360" w:lineRule="auto"/>
        <w:ind w:firstLine="420" w:firstLineChars="200"/>
        <w:rPr>
          <w:rFonts w:hint="eastAsia" w:hAnsi="宋体" w:cs="宋体"/>
        </w:rPr>
      </w:pPr>
      <w:r>
        <w:rPr>
          <w:rFonts w:hint="eastAsia" w:hAnsi="宋体" w:cs="宋体"/>
        </w:rPr>
        <w:t>1、扣押场要依规收费，不得违规收取相关费用。招标人将不定期对中标人的作业情况及台帐登记情况进行检查。</w:t>
      </w:r>
    </w:p>
    <w:p w14:paraId="008F9B0A">
      <w:pPr>
        <w:pStyle w:val="4"/>
        <w:snapToGrid w:val="0"/>
        <w:spacing w:before="120" w:after="120" w:line="360" w:lineRule="auto"/>
        <w:ind w:firstLine="420" w:firstLineChars="200"/>
        <w:rPr>
          <w:rFonts w:hAnsi="宋体" w:cs="宋体"/>
        </w:rPr>
      </w:pPr>
      <w:r>
        <w:rPr>
          <w:rFonts w:hint="eastAsia" w:hAnsi="宋体" w:cs="宋体"/>
        </w:rPr>
        <w:t>2、中标人每月的服务费与当月的考核总评挂钩。招标人将对中标人清障任务完成的质量情况进行考评，并按照月度考评情况扣减相应的服务费用。</w:t>
      </w:r>
    </w:p>
    <w:p w14:paraId="27F9AC77">
      <w:pPr>
        <w:tabs>
          <w:tab w:val="left" w:pos="530"/>
        </w:tabs>
        <w:spacing w:line="440" w:lineRule="exact"/>
        <w:ind w:firstLine="48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招标人根据检查发现并核实的问题向中标人发出整改通知书，要求限期整改，中标人应在规定期限内实施整改，并将整改结果书面报招标人；如中标人不按要求实施整改的，招标人有权暂缓支付相关费用。对于拒绝整改或发生违规行为3次及以上的，采购人有权责令中标单位停业整顿。</w:t>
      </w:r>
    </w:p>
    <w:p w14:paraId="5F5D693E">
      <w:pPr>
        <w:pStyle w:val="4"/>
        <w:snapToGrid w:val="0"/>
        <w:spacing w:before="120" w:after="120" w:line="360" w:lineRule="auto"/>
        <w:ind w:firstLine="420" w:firstLineChars="200"/>
        <w:rPr>
          <w:rFonts w:hint="eastAsia" w:hAnsi="宋体" w:cs="宋体"/>
        </w:rPr>
      </w:pPr>
      <w:r>
        <w:rPr>
          <w:rFonts w:hint="eastAsia" w:hAnsi="宋体" w:cs="宋体"/>
        </w:rPr>
        <w:t>4、考评处罚办法</w:t>
      </w:r>
      <w:bookmarkEnd w:id="1"/>
      <w:bookmarkEnd w:id="2"/>
    </w:p>
    <w:p w14:paraId="63FA7937">
      <w:pPr>
        <w:pStyle w:val="4"/>
        <w:snapToGrid w:val="0"/>
        <w:spacing w:before="120" w:after="120" w:line="360" w:lineRule="auto"/>
        <w:ind w:firstLine="420" w:firstLineChars="200"/>
        <w:rPr>
          <w:rFonts w:hint="eastAsia" w:hAnsi="宋体" w:cs="宋体"/>
        </w:rPr>
      </w:pPr>
      <w:r>
        <w:rPr>
          <w:rFonts w:hint="eastAsia" w:hAnsi="宋体" w:cs="宋体"/>
        </w:rPr>
        <w:t>（1）、中标供应商在接到拖车指令后，超过时间未到</w:t>
      </w:r>
      <w:r>
        <w:rPr>
          <w:rFonts w:hint="eastAsia" w:hAnsi="宋体" w:cs="宋体"/>
          <w:lang w:eastAsia="zh-CN"/>
        </w:rPr>
        <w:t>，</w:t>
      </w:r>
      <w:r>
        <w:rPr>
          <w:rFonts w:hint="eastAsia" w:hAnsi="宋体" w:cs="宋体"/>
        </w:rPr>
        <w:t>且无法说明有效原因（客观原因）的，发现一次，在当期应支付费用中扣罚</w:t>
      </w:r>
      <w:r>
        <w:rPr>
          <w:rFonts w:hint="eastAsia" w:hAnsi="宋体" w:cs="宋体"/>
          <w:lang w:val="en-US" w:eastAsia="zh-CN"/>
        </w:rPr>
        <w:t>5</w:t>
      </w:r>
      <w:r>
        <w:rPr>
          <w:rFonts w:hint="eastAsia" w:hAnsi="宋体" w:cs="宋体"/>
        </w:rPr>
        <w:t>00元，合同期内发现第二次该情况的，扣罚</w:t>
      </w:r>
      <w:r>
        <w:rPr>
          <w:rFonts w:hint="eastAsia" w:hAnsi="宋体" w:cs="宋体"/>
          <w:lang w:val="en-US" w:eastAsia="zh-CN"/>
        </w:rPr>
        <w:t>10</w:t>
      </w:r>
      <w:r>
        <w:rPr>
          <w:rFonts w:hint="eastAsia" w:hAnsi="宋体" w:cs="宋体"/>
        </w:rPr>
        <w:t>00元，以此类推，不设上限。</w:t>
      </w:r>
    </w:p>
    <w:p w14:paraId="647B6ED8">
      <w:pPr>
        <w:tabs>
          <w:tab w:val="left" w:pos="530"/>
        </w:tabs>
        <w:spacing w:line="440" w:lineRule="exact"/>
        <w:ind w:firstLine="480"/>
        <w:rPr>
          <w:rFonts w:hint="eastAsia" w:ascii="宋体" w:hAnsi="宋体" w:eastAsia="宋体" w:cs="宋体"/>
          <w:kern w:val="2"/>
          <w:sz w:val="21"/>
          <w:szCs w:val="21"/>
          <w:lang w:val="en-US" w:eastAsia="zh-CN" w:bidi="ar-SA"/>
        </w:rPr>
      </w:pPr>
      <w:r>
        <w:rPr>
          <w:rFonts w:hint="eastAsia" w:hAnsi="宋体" w:cs="宋体"/>
        </w:rPr>
        <w:t>（</w:t>
      </w:r>
      <w:r>
        <w:rPr>
          <w:rFonts w:hint="eastAsia" w:ascii="宋体" w:hAnsi="宋体" w:eastAsia="宋体" w:cs="宋体"/>
          <w:kern w:val="2"/>
          <w:sz w:val="21"/>
          <w:szCs w:val="21"/>
          <w:lang w:val="en-US" w:eastAsia="zh-CN" w:bidi="ar-SA"/>
        </w:rPr>
        <w:t>2）、中标供应商存在违规收费行为，采购人有权要求中标供应商立即整改，对于拒绝整改或多次发生违规行为的，采购人有权责令中标单位停业整顿。发现一次，在当期应支付费用中扣罚1000元，合同期内发现第二次该情况的，扣罚2000元，以此类推，不设上限。</w:t>
      </w:r>
    </w:p>
    <w:p w14:paraId="5689693F">
      <w:pPr>
        <w:tabs>
          <w:tab w:val="left" w:pos="530"/>
        </w:tabs>
        <w:spacing w:line="440" w:lineRule="exact"/>
        <w:ind w:firstLine="48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中标供应商驾驶拖车人员或移动扣押车辆人员要依法取得与准驾车型相符的机动车驾驶证，且严禁工作期间酒后驾车和疲劳驾驶。发现一次，在当期应支付费用中扣罚1000元，合同期内发现第二次该情况的，扣罚2000元，以此类推，不设上限。</w:t>
      </w:r>
    </w:p>
    <w:p w14:paraId="1809ACC8">
      <w:pPr>
        <w:tabs>
          <w:tab w:val="left" w:pos="530"/>
        </w:tabs>
        <w:spacing w:line="440" w:lineRule="exact"/>
        <w:ind w:firstLine="48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除上述情况外，中标供应商因服务不及时、服务态度恶劣等，造成当事人投诉，被有关媒体曝光，发现一次，在当期应支付费用中扣罚2000元，合同期内发现第二次该情况的，扣罚2000元，以此类推，不设上限。</w:t>
      </w:r>
    </w:p>
    <w:p w14:paraId="23DF3F61">
      <w:pPr>
        <w:tabs>
          <w:tab w:val="left" w:pos="530"/>
        </w:tabs>
        <w:spacing w:line="440" w:lineRule="exact"/>
        <w:ind w:firstLine="48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（5）、除上述情况外，中标供应商违反招标文件中的其他规定的，每发现一次，在当期应支付费用中扣罚100元，不设上限。</w:t>
      </w:r>
    </w:p>
    <w:p w14:paraId="56D6AA88">
      <w:pPr>
        <w:tabs>
          <w:tab w:val="left" w:pos="530"/>
        </w:tabs>
        <w:spacing w:line="440" w:lineRule="exact"/>
        <w:ind w:firstLine="480"/>
        <w:rPr>
          <w:rFonts w:ascii="宋体" w:hAnsi="宋体" w:cs="Calibri"/>
          <w:sz w:val="24"/>
          <w:szCs w:val="21"/>
        </w:rPr>
      </w:pPr>
      <w:r>
        <w:rPr>
          <w:rFonts w:hint="eastAsia" w:ascii="宋体" w:hAnsi="宋体" w:eastAsia="宋体" w:cs="宋体"/>
          <w:kern w:val="2"/>
          <w:sz w:val="21"/>
          <w:szCs w:val="21"/>
          <w:lang w:val="en-US" w:eastAsia="zh-CN" w:bidi="ar-SA"/>
        </w:rPr>
        <w:t>（6）、</w:t>
      </w:r>
      <w:r>
        <w:rPr>
          <w:rFonts w:hint="eastAsia" w:ascii="宋体" w:hAnsi="宋体" w:cs="宋体"/>
          <w:kern w:val="2"/>
          <w:sz w:val="21"/>
          <w:szCs w:val="21"/>
          <w:lang w:val="en-US" w:eastAsia="zh-CN" w:bidi="ar-SA"/>
        </w:rPr>
        <w:t>以</w:t>
      </w:r>
      <w:r>
        <w:rPr>
          <w:rFonts w:hint="eastAsia" w:ascii="宋体" w:hAnsi="宋体" w:eastAsia="宋体" w:cs="宋体"/>
          <w:kern w:val="2"/>
          <w:sz w:val="21"/>
          <w:szCs w:val="21"/>
          <w:lang w:val="en-US" w:eastAsia="zh-CN" w:bidi="ar-SA"/>
        </w:rPr>
        <w:t>虚报行程、停车数量及其它弄虚作假行为，来骗取收益，经查属实的，每发现一次，在当期应支付费用中扣罚</w:t>
      </w:r>
      <w:r>
        <w:rPr>
          <w:rFonts w:hint="eastAsia" w:ascii="宋体" w:hAnsi="宋体" w:cs="宋体"/>
          <w:kern w:val="2"/>
          <w:sz w:val="21"/>
          <w:szCs w:val="21"/>
          <w:lang w:val="en-US" w:eastAsia="zh-CN" w:bidi="ar-SA"/>
        </w:rPr>
        <w:t>5000</w:t>
      </w:r>
      <w:r>
        <w:rPr>
          <w:rFonts w:hint="eastAsia" w:ascii="宋体" w:hAnsi="宋体" w:eastAsia="宋体" w:cs="宋体"/>
          <w:kern w:val="2"/>
          <w:sz w:val="21"/>
          <w:szCs w:val="21"/>
          <w:lang w:val="en-US" w:eastAsia="zh-CN" w:bidi="ar-SA"/>
        </w:rPr>
        <w:t>元，不设上限。采购人可以终止合同，并追究相关法律责任</w:t>
      </w:r>
      <w:r>
        <w:rPr>
          <w:rFonts w:hint="eastAsia" w:ascii="宋体" w:hAnsi="宋体" w:cs="宋体"/>
          <w:kern w:val="2"/>
          <w:sz w:val="21"/>
          <w:szCs w:val="21"/>
          <w:lang w:val="en-US" w:eastAsia="zh-CN" w:bidi="ar-SA"/>
        </w:rPr>
        <w:t>。</w:t>
      </w:r>
    </w:p>
    <w:p w14:paraId="65E5A94F">
      <w:pPr>
        <w:rPr>
          <w:rFonts w:hint="eastAsia" w:ascii="宋体" w:hAnsi="宋体" w:eastAsia="宋体" w:cs="Times New Roman"/>
          <w:b/>
          <w:bCs/>
          <w:kern w:val="2"/>
          <w:sz w:val="21"/>
          <w:szCs w:val="22"/>
          <w:lang w:val="en-US" w:eastAsia="zh-CN" w:bidi="ar-SA"/>
        </w:rPr>
      </w:pPr>
      <w:bookmarkStart w:id="3" w:name="_Toc318979065"/>
      <w:bookmarkStart w:id="4" w:name="_Toc101951261"/>
      <w:bookmarkStart w:id="5" w:name="_Toc363483678"/>
      <w:bookmarkStart w:id="6" w:name="_Toc175644392"/>
      <w:r>
        <w:rPr>
          <w:rFonts w:hint="eastAsia" w:ascii="宋体" w:hAnsi="宋体" w:eastAsia="宋体" w:cs="Times New Roman"/>
          <w:b/>
          <w:bCs/>
          <w:kern w:val="2"/>
          <w:sz w:val="21"/>
          <w:szCs w:val="22"/>
          <w:lang w:val="en-US" w:eastAsia="zh-CN" w:bidi="ar-SA"/>
        </w:rPr>
        <w:t>三、付款方式</w:t>
      </w:r>
      <w:bookmarkEnd w:id="3"/>
      <w:bookmarkEnd w:id="4"/>
      <w:bookmarkEnd w:id="5"/>
      <w:bookmarkEnd w:id="6"/>
    </w:p>
    <w:p w14:paraId="099B8320">
      <w:pPr>
        <w:pStyle w:val="4"/>
        <w:snapToGrid w:val="0"/>
        <w:spacing w:before="120" w:after="120" w:line="360" w:lineRule="auto"/>
        <w:ind w:firstLine="420" w:firstLineChars="200"/>
        <w:rPr>
          <w:rFonts w:hAnsi="宋体" w:cs="宋体"/>
        </w:rPr>
      </w:pPr>
      <w:r>
        <w:rPr>
          <w:rFonts w:hint="eastAsia" w:hAnsi="宋体" w:cs="宋体"/>
        </w:rPr>
        <w:t>（1）</w:t>
      </w:r>
      <w:r>
        <w:rPr>
          <w:rFonts w:hint="eastAsia" w:hAnsi="宋体" w:cs="宋体"/>
          <w:sz w:val="21"/>
          <w:highlight w:val="none"/>
        </w:rPr>
        <w:t xml:space="preserve"> </w:t>
      </w:r>
      <w:r>
        <w:rPr>
          <w:rFonts w:hint="eastAsia" w:ascii="宋体" w:hAnsi="宋体" w:cs="宋体"/>
          <w:color w:val="000000"/>
          <w:szCs w:val="21"/>
          <w:highlight w:val="none"/>
        </w:rPr>
        <w:t>合同签订后，甲方自收到乙方发票之日起</w:t>
      </w:r>
      <w:r>
        <w:rPr>
          <w:rFonts w:hint="eastAsia" w:ascii="宋体" w:hAnsi="宋体" w:eastAsia="宋体" w:cs="宋体"/>
          <w:kern w:val="0"/>
          <w:sz w:val="21"/>
          <w:szCs w:val="21"/>
          <w:highlight w:val="none"/>
          <w:lang w:val="zh-CN"/>
        </w:rPr>
        <w:t>（乙方开票日期）</w:t>
      </w:r>
      <w:r>
        <w:rPr>
          <w:rFonts w:hint="eastAsia" w:ascii="宋体" w:hAnsi="宋体" w:cs="宋体"/>
          <w:color w:val="000000"/>
          <w:szCs w:val="21"/>
          <w:highlight w:val="none"/>
        </w:rPr>
        <w:t>1</w:t>
      </w:r>
      <w:r>
        <w:rPr>
          <w:rFonts w:hint="eastAsia" w:ascii="宋体" w:hAnsi="宋体" w:cs="宋体"/>
          <w:color w:val="000000"/>
          <w:szCs w:val="21"/>
          <w:highlight w:val="none"/>
          <w:lang w:val="en-US" w:eastAsia="zh-CN"/>
        </w:rPr>
        <w:t>0个工作</w:t>
      </w:r>
      <w:r>
        <w:rPr>
          <w:rFonts w:hint="eastAsia" w:ascii="宋体" w:hAnsi="宋体" w:cs="宋体"/>
          <w:color w:val="000000"/>
          <w:szCs w:val="21"/>
          <w:highlight w:val="none"/>
        </w:rPr>
        <w:t>日内支付合同总额的30%为预付款</w:t>
      </w:r>
      <w:r>
        <w:rPr>
          <w:rFonts w:hint="eastAsia" w:hAnsi="宋体" w:cs="宋体"/>
        </w:rPr>
        <w:t>。</w:t>
      </w:r>
    </w:p>
    <w:p w14:paraId="07AC53FF">
      <w:pPr>
        <w:pStyle w:val="4"/>
        <w:snapToGrid w:val="0"/>
        <w:spacing w:before="120" w:after="120" w:line="360" w:lineRule="auto"/>
        <w:ind w:firstLine="420" w:firstLineChars="200"/>
        <w:rPr>
          <w:rFonts w:hAnsi="宋体" w:cs="宋体"/>
        </w:rPr>
      </w:pPr>
      <w:r>
        <w:rPr>
          <w:rFonts w:hint="eastAsia" w:hAnsi="宋体" w:cs="宋体"/>
        </w:rPr>
        <w:t>（2）拖吊车辆、清障服务及车辆保管服务费用每</w:t>
      </w:r>
      <w:r>
        <w:rPr>
          <w:rFonts w:hint="eastAsia" w:hAnsi="宋体" w:cs="宋体"/>
          <w:lang w:val="en-US" w:eastAsia="zh-CN"/>
        </w:rPr>
        <w:t>个月</w:t>
      </w:r>
      <w:r>
        <w:rPr>
          <w:rFonts w:hint="eastAsia" w:hAnsi="宋体" w:cs="宋体"/>
        </w:rPr>
        <w:t>按实际产生费用结算并支付。供应商有义务配合采购人做好相关审计工作，由于供应商的原因导致审计不符合要求，不能按时付款，采购人不承担责任。</w:t>
      </w:r>
    </w:p>
    <w:p w14:paraId="4CA3579F">
      <w:pPr>
        <w:pStyle w:val="4"/>
        <w:snapToGrid w:val="0"/>
        <w:spacing w:before="120" w:after="120" w:line="360" w:lineRule="auto"/>
        <w:ind w:firstLine="420" w:firstLineChars="200"/>
        <w:rPr>
          <w:rFonts w:hAnsi="宋体" w:cs="宋体"/>
        </w:rPr>
      </w:pPr>
      <w:r>
        <w:rPr>
          <w:rFonts w:hint="eastAsia" w:hAnsi="宋体" w:cs="宋体"/>
        </w:rPr>
        <w:t>（3）除合同中规定的拖吊车辆、清障作业及定点保管费用外，采购人不再向成交供应商额外支付任何费用以及成交供应商自行购置清障工作所需的各种设备、人工费用和各项开支。</w:t>
      </w:r>
    </w:p>
    <w:p w14:paraId="279FC28F">
      <w:pPr>
        <w:pStyle w:val="4"/>
        <w:snapToGrid w:val="0"/>
        <w:spacing w:before="120" w:after="120" w:line="360" w:lineRule="auto"/>
        <w:ind w:firstLine="420" w:firstLineChars="200"/>
        <w:rPr>
          <w:rFonts w:hint="eastAsia" w:hAnsi="宋体" w:cs="宋体"/>
        </w:rPr>
      </w:pPr>
      <w:r>
        <w:rPr>
          <w:rFonts w:hint="eastAsia" w:hAnsi="宋体" w:cs="宋体"/>
        </w:rPr>
        <w:t>（4）成交供应商应于每</w:t>
      </w:r>
      <w:r>
        <w:rPr>
          <w:rFonts w:hint="eastAsia" w:hAnsi="宋体" w:cs="宋体"/>
          <w:lang w:val="en-US" w:eastAsia="zh-CN"/>
        </w:rPr>
        <w:t>个月</w:t>
      </w:r>
      <w:r>
        <w:rPr>
          <w:rFonts w:hint="eastAsia" w:hAnsi="宋体" w:cs="宋体"/>
        </w:rPr>
        <w:t>10</w:t>
      </w:r>
      <w:r>
        <w:rPr>
          <w:rFonts w:hint="eastAsia" w:hAnsi="宋体" w:cs="宋体"/>
          <w:lang w:val="en-US" w:eastAsia="zh-CN"/>
        </w:rPr>
        <w:t>号</w:t>
      </w:r>
      <w:r>
        <w:rPr>
          <w:rFonts w:hint="eastAsia" w:hAnsi="宋体" w:cs="宋体"/>
        </w:rPr>
        <w:t>前提交上个</w:t>
      </w:r>
      <w:r>
        <w:rPr>
          <w:rFonts w:hint="eastAsia" w:hAnsi="宋体" w:cs="宋体"/>
          <w:lang w:val="en-US" w:eastAsia="zh-CN"/>
        </w:rPr>
        <w:t>月</w:t>
      </w:r>
      <w:r>
        <w:rPr>
          <w:rFonts w:hint="eastAsia" w:hAnsi="宋体" w:cs="宋体"/>
        </w:rPr>
        <w:t>报账表及相关资料给采购人以进行审核，并在采购人完成审核后5个工作日内提供等额的正式发票给采购人，采购人自收到发票</w:t>
      </w:r>
      <w:r>
        <w:rPr>
          <w:rFonts w:hint="eastAsia" w:ascii="宋体" w:hAnsi="宋体" w:cs="宋体"/>
          <w:color w:val="000000"/>
          <w:szCs w:val="21"/>
          <w:highlight w:val="none"/>
        </w:rPr>
        <w:t>之日起</w:t>
      </w:r>
      <w:r>
        <w:rPr>
          <w:rFonts w:hint="eastAsia" w:ascii="宋体" w:hAnsi="宋体" w:eastAsia="宋体" w:cs="宋体"/>
          <w:kern w:val="0"/>
          <w:sz w:val="21"/>
          <w:szCs w:val="21"/>
          <w:highlight w:val="none"/>
          <w:lang w:val="zh-CN"/>
        </w:rPr>
        <w:t>（乙方开票日期）</w:t>
      </w:r>
      <w:r>
        <w:rPr>
          <w:rFonts w:hint="eastAsia" w:hAnsi="宋体" w:cs="宋体"/>
        </w:rPr>
        <w:t>1</w:t>
      </w:r>
      <w:r>
        <w:rPr>
          <w:rFonts w:hint="eastAsia" w:hAnsi="宋体" w:cs="宋体"/>
          <w:lang w:val="en-US" w:eastAsia="zh-CN"/>
        </w:rPr>
        <w:t>0</w:t>
      </w:r>
      <w:r>
        <w:rPr>
          <w:rFonts w:hint="eastAsia" w:hAnsi="宋体" w:cs="宋体"/>
        </w:rPr>
        <w:t>日内完成支付。</w:t>
      </w:r>
    </w:p>
    <w:p w14:paraId="5D81A015">
      <w:pPr>
        <w:rPr>
          <w:rFonts w:hint="eastAsia" w:ascii="宋体" w:hAnsi="宋体" w:eastAsia="宋体" w:cs="Times New Roman"/>
          <w:b/>
          <w:bCs/>
          <w:kern w:val="2"/>
          <w:sz w:val="21"/>
          <w:szCs w:val="22"/>
          <w:lang w:val="en-US" w:eastAsia="zh-CN" w:bidi="ar-SA"/>
        </w:rPr>
      </w:pPr>
      <w:r>
        <w:rPr>
          <w:rFonts w:hint="eastAsia" w:ascii="宋体" w:hAnsi="宋体" w:eastAsia="宋体" w:cs="Times New Roman"/>
          <w:b/>
          <w:bCs/>
          <w:kern w:val="2"/>
          <w:sz w:val="21"/>
          <w:szCs w:val="22"/>
          <w:lang w:val="en-US" w:eastAsia="zh-CN" w:bidi="ar-SA"/>
        </w:rPr>
        <w:t>四、采购标的对应的中小企业划分标准所属行业一览表</w:t>
      </w:r>
    </w:p>
    <w:tbl>
      <w:tblPr>
        <w:tblStyle w:val="5"/>
        <w:tblW w:w="100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2"/>
        <w:gridCol w:w="3576"/>
      </w:tblGrid>
      <w:tr w14:paraId="01BF2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jc w:val="center"/>
        </w:trPr>
        <w:tc>
          <w:tcPr>
            <w:tcW w:w="6432" w:type="dxa"/>
            <w:noWrap w:val="0"/>
            <w:vAlign w:val="center"/>
          </w:tcPr>
          <w:p w14:paraId="74E2E8D4">
            <w:pPr>
              <w:pStyle w:val="4"/>
              <w:snapToGrid w:val="0"/>
              <w:spacing w:before="120" w:after="120" w:line="360" w:lineRule="auto"/>
              <w:ind w:firstLine="422" w:firstLineChars="200"/>
              <w:jc w:val="center"/>
              <w:rPr>
                <w:rFonts w:hint="eastAsia" w:ascii="宋体" w:hAnsi="宋体" w:eastAsia="宋体" w:cs="Times New Roman"/>
                <w:b/>
                <w:bCs/>
                <w:kern w:val="2"/>
                <w:sz w:val="21"/>
                <w:szCs w:val="22"/>
                <w:highlight w:val="none"/>
                <w:lang w:val="en-US" w:eastAsia="zh-CN" w:bidi="ar-SA"/>
              </w:rPr>
            </w:pPr>
            <w:r>
              <w:rPr>
                <w:rFonts w:hint="eastAsia" w:ascii="宋体" w:hAnsi="宋体" w:eastAsia="宋体" w:cs="Times New Roman"/>
                <w:b/>
                <w:bCs/>
                <w:kern w:val="2"/>
                <w:sz w:val="21"/>
                <w:szCs w:val="22"/>
                <w:highlight w:val="none"/>
                <w:lang w:val="en-US" w:eastAsia="zh-CN" w:bidi="ar-SA"/>
              </w:rPr>
              <w:t>采购标的</w:t>
            </w:r>
          </w:p>
        </w:tc>
        <w:tc>
          <w:tcPr>
            <w:tcW w:w="3576" w:type="dxa"/>
            <w:noWrap w:val="0"/>
            <w:vAlign w:val="center"/>
          </w:tcPr>
          <w:p w14:paraId="711A192B">
            <w:pPr>
              <w:pStyle w:val="4"/>
              <w:snapToGrid w:val="0"/>
              <w:spacing w:before="120" w:after="120" w:line="360" w:lineRule="auto"/>
              <w:jc w:val="center"/>
              <w:rPr>
                <w:rFonts w:hint="eastAsia" w:ascii="宋体" w:hAnsi="宋体" w:eastAsia="宋体" w:cs="Times New Roman"/>
                <w:b/>
                <w:bCs/>
                <w:kern w:val="2"/>
                <w:sz w:val="21"/>
                <w:szCs w:val="22"/>
                <w:highlight w:val="none"/>
                <w:lang w:val="en-US" w:eastAsia="zh-CN" w:bidi="ar-SA"/>
              </w:rPr>
            </w:pPr>
            <w:r>
              <w:rPr>
                <w:rFonts w:hint="eastAsia" w:ascii="宋体" w:hAnsi="宋体" w:eastAsia="宋体" w:cs="Times New Roman"/>
                <w:b/>
                <w:bCs/>
                <w:kern w:val="2"/>
                <w:sz w:val="21"/>
                <w:szCs w:val="22"/>
                <w:highlight w:val="none"/>
                <w:lang w:val="en-US" w:eastAsia="zh-CN" w:bidi="ar-SA"/>
              </w:rPr>
              <w:t>对应中小企业划分标准所属行业</w:t>
            </w:r>
          </w:p>
        </w:tc>
      </w:tr>
      <w:tr w14:paraId="1AED6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6432" w:type="dxa"/>
            <w:noWrap w:val="0"/>
          </w:tcPr>
          <w:p w14:paraId="1AFA2B5E">
            <w:pPr>
              <w:spacing w:line="400" w:lineRule="exact"/>
              <w:jc w:val="center"/>
              <w:rPr>
                <w:rFonts w:ascii="宋体" w:hAnsi="宋体" w:cs="宋体"/>
                <w:sz w:val="24"/>
              </w:rPr>
            </w:pPr>
            <w:r>
              <w:rPr>
                <w:rFonts w:hint="eastAsia" w:ascii="宋体" w:hAnsi="宋体" w:cs="宋体"/>
                <w:szCs w:val="21"/>
                <w:lang w:val="en-US" w:eastAsia="zh-CN"/>
              </w:rPr>
              <w:t>仪征市公安局交通管理大队2025年全市扣押车辆拖、停车服务外包项目（二次）</w:t>
            </w:r>
          </w:p>
        </w:tc>
        <w:tc>
          <w:tcPr>
            <w:tcW w:w="3576" w:type="dxa"/>
            <w:noWrap w:val="0"/>
            <w:vAlign w:val="center"/>
          </w:tcPr>
          <w:p w14:paraId="47E7E548">
            <w:pPr>
              <w:spacing w:line="400" w:lineRule="exact"/>
              <w:jc w:val="center"/>
              <w:rPr>
                <w:rFonts w:ascii="宋体" w:hAnsi="宋体" w:cs="宋体"/>
                <w:sz w:val="24"/>
              </w:rPr>
            </w:pPr>
            <w:r>
              <w:rPr>
                <w:rFonts w:hint="eastAsia" w:ascii="宋体" w:hAnsi="宋体" w:eastAsia="宋体" w:cs="宋体"/>
                <w:szCs w:val="21"/>
                <w:lang w:val="en-US" w:eastAsia="zh-CN"/>
              </w:rPr>
              <w:t>其他未列明行业</w:t>
            </w:r>
          </w:p>
        </w:tc>
      </w:tr>
    </w:tbl>
    <w:p w14:paraId="139BAF8A">
      <w:bookmarkStart w:id="7" w:name="_GoBack"/>
      <w:bookmarkEnd w:id="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AF6D34"/>
    <w:rsid w:val="0F0D5318"/>
    <w:rsid w:val="2BAF6D34"/>
    <w:rsid w:val="40026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rFonts w:ascii="Calibri" w:hAnsi="Calibri" w:eastAsia="宋体" w:cs="Times New Roman"/>
      <w:b/>
      <w:bCs/>
      <w:kern w:val="44"/>
      <w:sz w:val="44"/>
      <w:szCs w:val="44"/>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rPr>
      <w:rFonts w:ascii="楷体_GB2312" w:hAnsi="Arial" w:eastAsia="楷体_GB2312"/>
      <w:kern w:val="0"/>
      <w:sz w:val="28"/>
      <w:szCs w:val="28"/>
    </w:rPr>
  </w:style>
  <w:style w:type="paragraph" w:styleId="4">
    <w:name w:val="Plain Text"/>
    <w:basedOn w:val="1"/>
    <w:unhideWhenUsed/>
    <w:qFormat/>
    <w:uiPriority w:val="0"/>
    <w:rPr>
      <w:rFonts w:ascii="宋体" w:hAnsi="Courier New"/>
    </w:rPr>
  </w:style>
  <w:style w:type="paragraph" w:customStyle="1" w:styleId="7">
    <w:name w:val="2"/>
    <w:next w:val="1"/>
    <w:qFormat/>
    <w:uiPriority w:val="0"/>
    <w:pPr>
      <w:widowControl w:val="0"/>
      <w:jc w:val="both"/>
    </w:pPr>
    <w:rPr>
      <w:rFonts w:hint="default" w:ascii="Times New Roman" w:hAnsi="Times New Roman" w:eastAsia="宋体" w:cs="Times New Roman"/>
      <w:color w:val="FF0000"/>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7163</Words>
  <Characters>7270</Characters>
  <Lines>0</Lines>
  <Paragraphs>0</Paragraphs>
  <TotalTime>32</TotalTime>
  <ScaleCrop>false</ScaleCrop>
  <LinksUpToDate>false</LinksUpToDate>
  <CharactersWithSpaces>7320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2025-08-27T02:13:00Z</dcterms:created>
  <dc:creator>Administrator</dc:creator>
  <cp:lastModifiedBy>Administrator</cp:lastModifiedBy>
  <cp:lastPrinted>2025-09-01T06:03:08Z</cp:lastPrinted>
  <dcterms:modified xsi:type="dcterms:W3CDTF">2025-09-01T08:47:20Z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3D18A99CC83A4544B951071074E3C369_11</vt:lpwstr>
  </property>
  <property fmtid="{D5CDD505-2E9C-101B-9397-08002B2CF9AE}" pid="4" name="KSOTemplateDocerSaveRecord">
    <vt:lpwstr>eyJoZGlkIjoiMmQ5NmE0ZjdmMjRjMzQ4ZDU0ZjgzNGE2OWE3OTQ4ZTAifQ==</vt:lpwstr>
  </property>
</Properties>
</file>