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b/>
          <w:color w:val="auto"/>
          <w:sz w:val="72"/>
          <w:highlight w:val="none"/>
        </w:rPr>
      </w:pPr>
      <w:r>
        <w:rPr>
          <w:rFonts w:hint="eastAsia" w:ascii="宋体" w:hAnsi="宋体" w:eastAsia="宋体" w:cs="宋体"/>
          <w:b/>
          <w:color w:val="auto"/>
          <w:sz w:val="72"/>
          <w:highlight w:val="none"/>
          <w:lang w:val="en-US" w:eastAsia="zh-CN"/>
        </w:rPr>
        <w:t xml:space="preserve">昆山市</w:t>
      </w:r>
      <w:r>
        <w:rPr>
          <w:rFonts w:hint="eastAsia" w:ascii="宋体" w:hAnsi="宋体" w:eastAsia="宋体" w:cs="宋体"/>
          <w:b/>
          <w:color w:val="auto"/>
          <w:sz w:val="72"/>
          <w:highlight w:val="none"/>
        </w:rPr>
        <w:t xml:space="preserve">政府采购</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72"/>
          <w:highlight w:val="none"/>
        </w:rPr>
        <w:t xml:space="preserve">招标文件</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52"/>
        <w:tblW w:w="8720" w:type="dxa"/>
        <w:tblInd w:w="12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80"/>
        <w:gridCol w:w="6540"/>
      </w:tblGrid>
      <w:tr>
        <w:trPr>
          <w:trHeight w:val="680"/>
        </w:trPr>
        <w:tc>
          <w:tcPr>
            <w:tcW w:w="2180" w:type="dxa"/>
            <w:vAlign w:val="center"/>
            <w:textDirection w:val="lrTb"/>
            <w:noWrap w:val="false"/>
          </w:tcPr>
          <w:p>
            <w:pPr>
              <w:pStyle w:val="757"/>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招标编号：</w:t>
            </w:r>
            <w:r/>
          </w:p>
        </w:tc>
        <w:tc>
          <w:tcPr>
            <w:tcW w:w="6540" w:type="dxa"/>
            <w:vAlign w:val="center"/>
            <w:textDirection w:val="lrTb"/>
            <w:noWrap w:val="false"/>
          </w:tcPr>
          <w:p>
            <w:pPr>
              <w:pStyle w:val="757"/>
              <w:ind w:firstLine="0"/>
              <w:widowControl w:val="off"/>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JSZC-320583-LHZX-G2026-0001</w:t>
            </w:r>
            <w:r/>
          </w:p>
        </w:tc>
      </w:tr>
      <w:tr>
        <w:trPr>
          <w:trHeight w:val="680"/>
        </w:trPr>
        <w:tc>
          <w:tcPr>
            <w:tcW w:w="2180" w:type="dxa"/>
            <w:vAlign w:val="center"/>
            <w:textDirection w:val="lrTb"/>
            <w:noWrap w:val="false"/>
          </w:tcPr>
          <w:p>
            <w:pPr>
              <w:pStyle w:val="757"/>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 购 人：</w:t>
            </w:r>
            <w:r/>
          </w:p>
        </w:tc>
        <w:tc>
          <w:tcPr>
            <w:tcW w:w="6540" w:type="dxa"/>
            <w:vAlign w:val="center"/>
            <w:textDirection w:val="lrTb"/>
            <w:noWrap w:val="false"/>
          </w:tcPr>
          <w:p>
            <w:pPr>
              <w:pStyle w:val="757"/>
              <w:ind w:firstLine="0"/>
              <w:widowControl w:val="off"/>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昆山市中西医结合医院</w:t>
            </w:r>
            <w:r/>
          </w:p>
        </w:tc>
      </w:tr>
      <w:tr>
        <w:trPr>
          <w:trHeight w:val="680"/>
        </w:trPr>
        <w:tc>
          <w:tcPr>
            <w:tcW w:w="2180" w:type="dxa"/>
            <w:vAlign w:val="center"/>
            <w:textDirection w:val="lrTb"/>
            <w:noWrap w:val="false"/>
          </w:tcPr>
          <w:p>
            <w:pPr>
              <w:pStyle w:val="757"/>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项目名称：</w:t>
            </w:r>
            <w:r/>
          </w:p>
        </w:tc>
        <w:tc>
          <w:tcPr>
            <w:tcW w:w="6540" w:type="dxa"/>
            <w:vAlign w:val="center"/>
            <w:textDirection w:val="lrTb"/>
            <w:noWrap w:val="false"/>
          </w:tcPr>
          <w:p>
            <w:pPr>
              <w:pStyle w:val="757"/>
              <w:ind w:firstLine="0"/>
              <w:widowControl w:val="off"/>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大放设备和DSA维保服务</w:t>
            </w:r>
            <w:r/>
          </w:p>
        </w:tc>
      </w:tr>
      <w:tr>
        <w:trPr>
          <w:trHeight w:val="680"/>
        </w:trPr>
        <w:tc>
          <w:tcPr>
            <w:tcW w:w="2180" w:type="dxa"/>
            <w:vAlign w:val="center"/>
            <w:textDirection w:val="lrTb"/>
            <w:noWrap w:val="false"/>
          </w:tcPr>
          <w:p>
            <w:pPr>
              <w:pStyle w:val="757"/>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类    别：</w:t>
            </w:r>
            <w:r/>
          </w:p>
        </w:tc>
        <w:tc>
          <w:tcPr>
            <w:tcW w:w="6540" w:type="dxa"/>
            <w:vAlign w:val="center"/>
            <w:textDirection w:val="lrTb"/>
            <w:noWrap w:val="false"/>
          </w:tcPr>
          <w:p>
            <w:pPr>
              <w:pStyle w:val="757"/>
              <w:ind w:firstLine="0"/>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lang w:val="en-US" w:eastAsia="zh-CN"/>
              </w:rPr>
              <w:t xml:space="preserve">服务</w:t>
            </w:r>
            <w:r>
              <w:rPr>
                <w:rFonts w:hint="eastAsia" w:ascii="宋体" w:hAnsi="宋体" w:eastAsia="宋体" w:cs="宋体"/>
                <w:b/>
                <w:bCs/>
                <w:color w:val="auto"/>
                <w:sz w:val="32"/>
                <w:highlight w:val="none"/>
              </w:rPr>
              <w:t xml:space="preserve">类</w:t>
            </w:r>
            <w:r/>
          </w:p>
        </w:tc>
      </w:tr>
    </w:tbl>
    <w:p>
      <w:pPr>
        <w:pStyle w:val="757"/>
        <w:ind w:left="1050" w:firstLine="643"/>
        <w:spacing w:line="48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left"/>
        <w:spacing w:line="360" w:lineRule="auto"/>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42"/>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3047365" cy="1675765"/>
                <wp:effectExtent l="0" t="0" r="635" b="635"/>
                <wp:docPr id="3" name="图片 4"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F:\单位照片—乐慧\QQ图片20180411122618.jpg"/>
                        <pic:cNvPicPr>
                          <a:picLocks noChangeAspect="1"/>
                        </pic:cNvPicPr>
                        <pic:nvPr/>
                      </pic:nvPicPr>
                      <pic:blipFill>
                        <a:blip r:embed="rId12"/>
                        <a:stretch/>
                      </pic:blipFill>
                      <pic:spPr bwMode="auto">
                        <a:xfrm rot="10800000" flipH="1" flipV="1">
                          <a:off x="0" y="0"/>
                          <a:ext cx="3047365" cy="1675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39.9pt;height:131.9pt;mso-wrap-distance-left:0.0pt;mso-wrap-distance-top:0.0pt;mso-wrap-distance-right:0.0pt;mso-wrap-distance-bottom:0.0pt;rotation:180;flip:xy;" stroked="f">
                <v:path textboxrect="0,0,0,0"/>
                <v:imagedata r:id="rId12" o:title=""/>
              </v:shape>
            </w:pict>
          </mc:Fallback>
        </mc:AlternateConten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57"/>
        <w:jc w:val="center"/>
        <w:spacing w:line="360" w:lineRule="auto"/>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苏州乐慧招投标咨询有限公司</w:t>
      </w:r>
      <w:r/>
    </w:p>
    <w:p>
      <w:pPr>
        <w:jc w:val="center"/>
        <w:widowControl/>
        <w:tabs>
          <w:tab w:val="left" w:pos="315" w:leader="none"/>
          <w:tab w:val="center" w:pos="4153" w:leader="none"/>
        </w:tabs>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二○二</w:t>
      </w:r>
      <w:r>
        <w:rPr>
          <w:rFonts w:hint="eastAsia" w:ascii="宋体" w:hAnsi="宋体" w:eastAsia="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一</w:t>
      </w:r>
      <w:r>
        <w:rPr>
          <w:rFonts w:hint="eastAsia" w:ascii="宋体" w:hAnsi="宋体" w:eastAsia="宋体" w:cs="宋体"/>
          <w:b/>
          <w:color w:val="auto"/>
          <w:sz w:val="32"/>
          <w:highlight w:val="none"/>
        </w:rPr>
        <w:t xml:space="preserve">月</w:t>
      </w:r>
      <w:r/>
    </w:p>
    <w:p>
      <w:pPr>
        <w:jc w:val="center"/>
        <w:widowControl/>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br w:type="page" w:clear="all"/>
      </w:r>
      <w:r>
        <w:rPr>
          <w:rFonts w:hint="eastAsia" w:ascii="宋体" w:hAnsi="宋体" w:eastAsia="宋体" w:cs="宋体"/>
          <w:b/>
          <w:bCs/>
          <w:color w:val="auto"/>
          <w:spacing w:val="20"/>
          <w:sz w:val="32"/>
          <w:szCs w:val="32"/>
          <w:highlight w:val="none"/>
        </w:rPr>
        <w:t xml:space="preserve">前附表</w:t>
      </w:r>
      <w:r/>
    </w:p>
    <w:tbl>
      <w:tblPr>
        <w:tblStyle w:val="725"/>
        <w:tblW w:w="964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5"/>
        <w:gridCol w:w="1285"/>
        <w:gridCol w:w="7761"/>
      </w:tblGrid>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top"/>
            <w:textDirection w:val="lrTb"/>
            <w:noWrap w:val="false"/>
          </w:tcPr>
          <w:p>
            <w:pPr>
              <w:jc w:val="center"/>
              <w:spacing w:line="240" w:lineRule="auto"/>
              <w:widowControl/>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名称</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center"/>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内容</w:t>
            </w:r>
            <w:r/>
          </w:p>
        </w:tc>
      </w:tr>
      <w:tr>
        <w:trPr>
          <w:jc w:val="center"/>
          <w:trHeight w:val="271"/>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招标编号</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JSZC-320583-LHZX-G2026-0001</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招标内容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大放设备和DSA维保服务</w:t>
            </w:r>
            <w:r/>
          </w:p>
        </w:tc>
      </w:tr>
      <w:tr>
        <w:trPr>
          <w:jc w:val="center"/>
          <w:trHeight w:val="323"/>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投标截止之日起</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0天（日历日）</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投标保证金</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bottom"/>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本项目不收投标（响应）保证金</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本项目采用电子投标文件，投标人按照招标文件要求制作上传电子投标文件，投标人无需提供纸质投标文件。</w:t>
            </w:r>
            <w:r/>
          </w:p>
        </w:tc>
      </w:tr>
      <w:tr>
        <w:trPr>
          <w:jc w:val="center"/>
          <w:trHeight w:val="66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w:t>
            </w:r>
            <w:r/>
          </w:p>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提交</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截止时间：2026年01月26日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点30分（北京时间）</w:t>
            </w:r>
            <w:r/>
          </w:p>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投标文件必须在截止时间前完成提交（上传），逾期提交（上传）的投标文件恕不接受。</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7</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开标时间</w:t>
            </w:r>
            <w:r/>
          </w:p>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开标地点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时间：2026年01月26日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点30分（北京时间）</w:t>
            </w:r>
            <w:r/>
          </w:p>
          <w:p>
            <w:pPr>
              <w:ind w:left="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rPr>
              <w:t xml:space="preserve">地点：</w:t>
            </w:r>
            <w:r>
              <w:rPr>
                <w:rFonts w:hint="eastAsia" w:ascii="宋体" w:hAnsi="宋体" w:eastAsia="宋体" w:cs="宋体"/>
                <w:color w:val="auto"/>
                <w:sz w:val="24"/>
                <w:szCs w:val="24"/>
                <w:highlight w:val="none"/>
              </w:rPr>
              <w:t xml:space="preserve">“苏采云”系统（网址：http://jszfcg.jsczt.cn/）</w:t>
            </w:r>
            <w:r/>
          </w:p>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b/>
                <w:color w:val="auto"/>
                <w:sz w:val="24"/>
                <w:szCs w:val="24"/>
                <w:highlight w:val="none"/>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中标通知书</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pStyle w:val="909"/>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确定出中标人后，采购代理机构在法定时间内向中标人发出中标通知书。中标通知书将成为合同的组成部分。</w:t>
            </w:r>
            <w:r/>
          </w:p>
          <w:p>
            <w:pPr>
              <w:pStyle w:val="909"/>
              <w:ind w:left="0" w:firstLine="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p>
        </w:tc>
      </w:tr>
      <w:tr>
        <w:trPr>
          <w:jc w:val="center"/>
          <w:trHeight w:val="316"/>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导致废标因素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出现下列情形之一的，为废标： </w:t>
            </w:r>
            <w:r/>
          </w:p>
          <w:p>
            <w:pPr>
              <w:numPr>
                <w:ilvl w:val="0"/>
                <w:numId w:val="0"/>
              </w:num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符合专业条件的投标人或者对招标文件作实质响应的投标人不足三家的；</w:t>
            </w:r>
            <w:r/>
          </w:p>
          <w:p>
            <w:pPr>
              <w:numPr>
                <w:ilvl w:val="0"/>
                <w:numId w:val="0"/>
              </w:num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 </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 </w:t>
            </w:r>
            <w:r/>
          </w:p>
          <w:p>
            <w:pPr>
              <w:ind w:left="0"/>
              <w:jc w:val="left"/>
              <w:spacing w:line="240" w:lineRule="auto"/>
              <w:widowControl/>
              <w:tabs>
                <w:tab w:val="left" w:pos="42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导致无效标因素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投标文件属下列情况之一的，在资格性、符合性检查时按照无效投标处理：</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（一）未按照招标文件规定要求签署、盖章的；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（二）不具备招标文件中规定资格要求的；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（三）报价超过招标文件中规定的预算金额或者最高限价的；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（四）投标文件含有采购人不能接受的附加条件的；</w:t>
            </w:r>
            <w:r/>
          </w:p>
          <w:p>
            <w:pPr>
              <w:ind w:left="0"/>
              <w:jc w:val="left"/>
              <w:spacing w:line="240" w:lineRule="auto"/>
              <w:widowControl/>
              <w:tabs>
                <w:tab w:val="left" w:pos="42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（五）法律、法规和招标文件规定的其他无效情形。</w:t>
            </w:r>
            <w:r/>
          </w:p>
        </w:tc>
      </w:tr>
      <w:tr>
        <w:trPr>
          <w:jc w:val="center"/>
          <w:trHeight w:val="37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代理服务费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服务费：本项目招标代理服务费由中标单位按以下收费标准向招标代理机构支付。</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预算金额100万元以下部分，费率为该部分预算金额的1.5%；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预算金额100万元（含）－500万元部分，费率为该部分预算金额的1.1%；</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预算金额500万元（含）-1000万元部分，费率为该部分预算金额的0.8%；</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预算金额1000万元（含）-5000万元部分，费率为该部分预算金额的0.5%；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预算金额5000万元以上部分，费率为该部分预算金额的0.25%。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服务费账号：155189060</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账户名：苏州乐慧招投标咨询有限公司</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开户行：民生银行苏州相城支行</w:t>
            </w:r>
            <w:r/>
          </w:p>
        </w:tc>
      </w:tr>
    </w:tbl>
    <w:p>
      <w:pPr>
        <w:pStyle w:val="727"/>
        <w:ind w:firstLine="0"/>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pStyle w:val="727"/>
        <w:ind w:firstLine="0"/>
        <w:jc w:val="center"/>
        <w:rPr>
          <w:rFonts w:hint="eastAsia" w:ascii="宋体" w:hAnsi="宋体" w:eastAsia="宋体" w:cs="宋体"/>
          <w:b/>
          <w:color w:val="auto"/>
          <w:sz w:val="84"/>
          <w:szCs w:val="84"/>
          <w:highlight w:val="none"/>
        </w:rPr>
      </w:pPr>
      <w:r>
        <w:rPr>
          <w:rFonts w:hint="eastAsia" w:ascii="宋体" w:hAnsi="宋体" w:eastAsia="宋体" w:cs="宋体"/>
          <w:b/>
          <w:color w:val="auto"/>
          <w:sz w:val="52"/>
          <w:szCs w:val="52"/>
          <w:highlight w:val="none"/>
        </w:rPr>
        <w:t xml:space="preserve">目</w:t>
      </w:r>
      <w:r>
        <w:rPr>
          <w:rFonts w:hint="eastAsia" w:ascii="宋体" w:hAnsi="宋体" w:eastAsia="宋体" w:cs="宋体"/>
          <w:b/>
          <w:color w:val="auto"/>
          <w:sz w:val="52"/>
          <w:szCs w:val="52"/>
          <w:highlight w:val="none"/>
          <w:lang w:val="en-US" w:eastAsia="zh-CN"/>
        </w:rPr>
        <w:t xml:space="preserve">     </w:t>
      </w:r>
      <w:r>
        <w:rPr>
          <w:rFonts w:hint="eastAsia" w:ascii="宋体" w:hAnsi="宋体" w:eastAsia="宋体" w:cs="宋体"/>
          <w:b/>
          <w:color w:val="auto"/>
          <w:sz w:val="52"/>
          <w:szCs w:val="52"/>
          <w:highlight w:val="none"/>
        </w:rPr>
        <w:t xml:space="preserve"> 录</w:t>
      </w:r>
      <w:r/>
    </w:p>
    <w:p>
      <w:pPr>
        <w:pStyle w:val="742"/>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TOC \o "1-1"</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color w:val="auto"/>
          <w:sz w:val="30"/>
          <w:szCs w:val="30"/>
          <w:highlight w:val="none"/>
        </w:rPr>
        <w:t xml:space="preserve">第一章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招标公告</w:t>
      </w:r>
      <w:r/>
    </w:p>
    <w:p>
      <w:pPr>
        <w:pStyle w:val="742"/>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投标人须知</w:t>
      </w:r>
      <w:r/>
    </w:p>
    <w:p>
      <w:pPr>
        <w:pStyle w:val="742"/>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第三章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投标文件格式</w:t>
      </w:r>
      <w:r/>
    </w:p>
    <w:p>
      <w:pPr>
        <w:pStyle w:val="742"/>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第四章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招标书</w:t>
      </w:r>
      <w:r/>
    </w:p>
    <w:p>
      <w:pPr>
        <w:pStyle w:val="742"/>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第五章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合同主要条款</w:t>
      </w:r>
      <w:r/>
    </w:p>
    <w:p>
      <w:pPr>
        <w:pStyle w:val="742"/>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第六章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评分标准</w:t>
      </w:r>
      <w:r/>
    </w:p>
    <w:p>
      <w:pPr>
        <w:pStyle w:val="727"/>
        <w:ind w:firstLine="0"/>
        <w:jc w:val="center"/>
        <w:spacing w:line="480" w:lineRule="auto"/>
        <w:rPr>
          <w:rFonts w:hint="eastAsia" w:ascii="宋体" w:hAnsi="宋体" w:eastAsia="宋体" w:cs="宋体"/>
          <w:b/>
          <w:color w:val="auto"/>
          <w:sz w:val="32"/>
          <w:highlight w:val="none"/>
        </w:rPr>
      </w:pPr>
      <w:r>
        <w:rPr>
          <w:rFonts w:hint="eastAsia" w:ascii="宋体" w:hAnsi="宋体" w:eastAsia="宋体" w:cs="宋体"/>
          <w:b/>
          <w:bCs/>
          <w:color w:val="auto"/>
          <w:sz w:val="30"/>
          <w:szCs w:val="30"/>
          <w:highlight w:val="none"/>
        </w:rPr>
        <w:fldChar w:fldCharType="end"/>
      </w:r>
      <w:r>
        <w:rPr>
          <w:rFonts w:hint="eastAsia" w:ascii="宋体" w:hAnsi="宋体" w:eastAsia="宋体" w:cs="宋体"/>
          <w:b/>
          <w:color w:val="auto"/>
          <w:sz w:val="32"/>
          <w:highlight w:val="none"/>
        </w:rPr>
        <w:br w:type="page" w:clear="all"/>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5"/>
        <w:jc w:val="center"/>
        <w:rPr>
          <w:rFonts w:hint="eastAsia" w:ascii="宋体" w:hAnsi="宋体" w:eastAsia="宋体" w:cs="宋体"/>
          <w:color w:val="auto"/>
          <w:sz w:val="52"/>
          <w:highlight w:val="none"/>
        </w:rPr>
      </w:pPr>
      <w:r/>
      <w:bookmarkStart w:id="0" w:name="_Toc520073481"/>
      <w:r>
        <w:rPr>
          <w:rFonts w:hint="eastAsia" w:ascii="宋体" w:hAnsi="宋体" w:eastAsia="宋体" w:cs="宋体"/>
          <w:color w:val="auto"/>
          <w:sz w:val="52"/>
          <w:highlight w:val="none"/>
        </w:rPr>
        <w:t xml:space="preserve">第一章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招标公告</w:t>
      </w:r>
      <w:bookmarkEnd w:id="0"/>
      <w:r/>
      <w:r/>
    </w:p>
    <w:p>
      <w:pPr>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br w:type="page" w:clear="all"/>
      </w:r>
      <w:r/>
    </w:p>
    <w:tbl>
      <w:tblPr>
        <w:tblStyle w:val="7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3"/>
      </w:tblGrid>
      <w:tr>
        <w:trPr>
          <w:jc w:val="center"/>
        </w:trPr>
        <w:tc>
          <w:tcPr>
            <w:tcW w:w="5000" w:type="pct"/>
            <w:vAlign w:val="top"/>
            <w:textDirection w:val="lrTb"/>
            <w:noWrap w:val="false"/>
          </w:tcPr>
          <w:p>
            <w:pPr>
              <w:ind w:firstLine="480"/>
              <w:jc w:val="both"/>
              <w:spacing w:line="360" w:lineRule="auto"/>
              <w:widowControl w:val="off"/>
              <w:rPr>
                <w:rFonts w:hint="eastAsia" w:ascii="宋体" w:hAnsi="宋体" w:eastAsia="宋体" w:cs="宋体"/>
                <w:color w:val="auto"/>
                <w:sz w:val="24"/>
                <w:highlight w:val="none"/>
              </w:rPr>
            </w:pPr>
            <w:r/>
            <w:bookmarkStart w:id="1" w:name="OLE_LINK1"/>
            <w:r>
              <w:rPr>
                <w:rFonts w:hint="eastAsia" w:ascii="宋体" w:hAnsi="宋体" w:eastAsia="宋体" w:cs="宋体"/>
                <w:color w:val="auto"/>
                <w:sz w:val="24"/>
                <w:highlight w:val="none"/>
              </w:rPr>
              <w:t xml:space="preserve">项目概况</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昆山市中西医结合医院</w:t>
            </w:r>
            <w:r>
              <w:rPr>
                <w:rFonts w:hint="eastAsia" w:ascii="宋体" w:hAnsi="宋体" w:eastAsia="宋体" w:cs="宋体"/>
                <w:color w:val="auto"/>
                <w:sz w:val="24"/>
                <w:highlight w:val="none"/>
              </w:rPr>
              <w:t xml:space="preserve">关于</w:t>
            </w:r>
            <w:r>
              <w:rPr>
                <w:rFonts w:hint="eastAsia" w:ascii="宋体" w:hAnsi="宋体" w:eastAsia="宋体" w:cs="宋体"/>
                <w:color w:val="auto"/>
                <w:sz w:val="24"/>
                <w:highlight w:val="none"/>
                <w:lang w:eastAsia="zh-CN"/>
              </w:rPr>
              <w:t xml:space="preserve">大放设备和DSA维保服务</w:t>
            </w:r>
            <w:r>
              <w:rPr>
                <w:rFonts w:hint="eastAsia" w:ascii="宋体" w:hAnsi="宋体" w:eastAsia="宋体" w:cs="宋体"/>
                <w:color w:val="auto"/>
                <w:sz w:val="24"/>
                <w:highlight w:val="none"/>
              </w:rPr>
              <w:t xml:space="preserve">招标项目的潜在投标人应在</w:t>
            </w:r>
            <w:r>
              <w:rPr>
                <w:rFonts w:hint="eastAsia" w:ascii="宋体" w:hAnsi="宋体" w:eastAsia="宋体" w:cs="宋体"/>
                <w:color w:val="auto"/>
                <w:sz w:val="24"/>
                <w:highlight w:val="none"/>
                <w:lang w:eastAsia="zh-CN"/>
              </w:rPr>
              <w:t xml:space="preserve">“苏采云”系统</w:t>
            </w:r>
            <w:r>
              <w:rPr>
                <w:rFonts w:hint="eastAsia" w:ascii="宋体" w:hAnsi="宋体" w:eastAsia="宋体" w:cs="宋体"/>
                <w:color w:val="auto"/>
                <w:sz w:val="24"/>
                <w:highlight w:val="none"/>
              </w:rPr>
              <w:t xml:space="preserve">获取招标文件，并于</w:t>
            </w:r>
            <w:r>
              <w:rPr>
                <w:rFonts w:hint="eastAsia" w:ascii="宋体" w:hAnsi="宋体" w:eastAsia="宋体" w:cs="宋体"/>
                <w:color w:val="auto"/>
                <w:sz w:val="24"/>
                <w:highlight w:val="none"/>
                <w:lang w:val="zh-CN"/>
              </w:rPr>
              <w:t xml:space="preserve">2026年01月26日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（北京时间）前递交投标文件。</w:t>
            </w:r>
            <w:r/>
          </w:p>
        </w:tc>
      </w:tr>
    </w:tbl>
    <w:p>
      <w:pPr>
        <w:ind w:firstLine="482"/>
        <w:jc w:val="left"/>
        <w:keepLines w:val="0"/>
        <w:keepNext w:val="0"/>
        <w:pageBreakBefore w:val="0"/>
        <w:spacing w:line="348"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一、项目基本情况</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JSZC-320583-LHZX-G2026-0001</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大放设备和DSA维保服务</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3.预算金额：</w:t>
      </w:r>
      <w:r>
        <w:rPr>
          <w:rFonts w:hint="eastAsia" w:ascii="宋体" w:hAnsi="宋体" w:eastAsia="宋体" w:cs="宋体"/>
          <w:color w:val="auto"/>
          <w:sz w:val="24"/>
          <w:highlight w:val="none"/>
          <w:lang w:eastAsia="zh-CN"/>
        </w:rPr>
        <w:t xml:space="preserve">人民币壹仟零贰拾万元整（¥10200000.00）；</w:t>
      </w:r>
      <w:r/>
    </w:p>
    <w:p>
      <w:pPr>
        <w:ind w:firstLine="480"/>
        <w:jc w:val="left"/>
        <w:keepLines w:val="0"/>
        <w:keepNext w:val="0"/>
        <w:pageBreakBefore w:val="0"/>
        <w:spacing w:line="348" w:lineRule="auto"/>
        <w:widowControl w:val="off"/>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4.最高限价：</w:t>
      </w:r>
      <w:r>
        <w:rPr>
          <w:rFonts w:hint="eastAsia" w:ascii="宋体" w:hAnsi="宋体" w:eastAsia="宋体" w:cs="宋体"/>
          <w:color w:val="auto"/>
          <w:sz w:val="24"/>
          <w:highlight w:val="none"/>
          <w:lang w:eastAsia="zh-CN"/>
        </w:rPr>
        <w:t xml:space="preserve">人民币壹仟零贰拾万元整（¥10200000.00）；</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5.采购需求：</w:t>
      </w:r>
      <w:r>
        <w:rPr>
          <w:rFonts w:hint="eastAsia" w:ascii="宋体" w:hAnsi="宋体" w:eastAsia="宋体" w:cs="宋体"/>
          <w:color w:val="auto"/>
          <w:sz w:val="24"/>
          <w:highlight w:val="none"/>
          <w:lang w:eastAsia="zh-CN"/>
        </w:rPr>
        <w:t xml:space="preserve">昆山市中西医结合医院大放设备和DSA维保服务</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合同履行期限：2年</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lang w:eastAsia="zh-CN"/>
        </w:rPr>
        <w:t xml:space="preserve">不接受联合体投标</w:t>
      </w:r>
      <w:r>
        <w:rPr>
          <w:rFonts w:hint="eastAsia" w:ascii="宋体" w:hAnsi="宋体" w:eastAsia="宋体" w:cs="宋体"/>
          <w:color w:val="auto"/>
          <w:sz w:val="24"/>
          <w:highlight w:val="none"/>
        </w:rPr>
        <w:t xml:space="preserve">。</w:t>
      </w:r>
      <w:r/>
    </w:p>
    <w:p>
      <w:pPr>
        <w:ind w:firstLine="482"/>
        <w:jc w:val="left"/>
        <w:keepLines w:val="0"/>
        <w:keepNext w:val="0"/>
        <w:pageBreakBefore w:val="0"/>
        <w:spacing w:line="348"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二、申请人的资格要求</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1.1具有独立承担民事责任的能力；</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1.2具有良好的商业信誉和健全的财务会计制度；</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1.3具有履行合同所必需的设备和专业技术能力；</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1.4有依法缴纳税收和社会保障资金的良好记录；</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1.5参加政府采购活动前三年内，在经营活动中没有重大违法记录；</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1.6法律、行政法规规定的其他条件。</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落实政府采购政策需满足的资格要求：</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val="en-US" w:eastAsia="zh-CN"/>
        </w:rPr>
        <w:t xml:space="preserve">具有有效期内的</w:t>
      </w:r>
      <w:r>
        <w:rPr>
          <w:rFonts w:hint="eastAsia" w:ascii="宋体" w:hAnsi="宋体" w:eastAsia="宋体" w:cs="宋体"/>
          <w:color w:val="auto"/>
          <w:sz w:val="24"/>
          <w:szCs w:val="24"/>
          <w:highlight w:val="none"/>
          <w:lang w:val="en-US" w:eastAsia="zh-CN"/>
        </w:rPr>
        <w:t xml:space="preserve">辐射安全许可证</w:t>
      </w:r>
      <w:r>
        <w:rPr>
          <w:rFonts w:hint="eastAsia" w:ascii="宋体" w:hAnsi="宋体" w:eastAsia="宋体" w:cs="宋体"/>
          <w:color w:val="auto"/>
          <w:sz w:val="24"/>
          <w:highlight w:val="none"/>
        </w:rPr>
        <w:t xml:space="preserve">。</w:t>
      </w:r>
      <w:r/>
    </w:p>
    <w:p>
      <w:pPr>
        <w:ind w:firstLine="482"/>
        <w:jc w:val="left"/>
        <w:keepLines w:val="0"/>
        <w:keepNext w:val="0"/>
        <w:pageBreakBefore w:val="0"/>
        <w:spacing w:line="348"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三、获取招标文件</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1.时间：自公告发布之日起</w:t>
      </w:r>
      <w:r>
        <w:rPr>
          <w:rFonts w:hint="eastAsia" w:ascii="宋体" w:hAnsi="宋体" w:eastAsia="宋体" w:cs="宋体"/>
          <w:color w:val="auto"/>
          <w:sz w:val="24"/>
          <w:highlight w:val="none"/>
          <w:lang w:val="en-US" w:eastAsia="zh-CN"/>
        </w:rPr>
        <w:t xml:space="preserve">至2026年01月09日</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w:t>
      </w:r>
      <w:r>
        <w:rPr>
          <w:rFonts w:hint="eastAsia" w:ascii="宋体" w:hAnsi="宋体" w:eastAsia="宋体" w:cs="宋体"/>
          <w:color w:val="auto"/>
          <w:sz w:val="24"/>
          <w:highlight w:val="none"/>
          <w:lang w:eastAsia="zh-CN"/>
        </w:rPr>
        <w:t xml:space="preserve">“苏采云”系统自行下载</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3.方式：</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（1）CA证书办理</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auto"/>
          <w:sz w:val="24"/>
          <w:szCs w:val="20"/>
          <w:highlight w:val="none"/>
          <w:lang w:eastAsia="zh-CN"/>
        </w:rPr>
        <w:t xml:space="preserve">苏州市高新区邓蔚路105号狮山科技馆一楼服务大厅</w:t>
      </w:r>
      <w:r>
        <w:rPr>
          <w:rFonts w:hint="eastAsia" w:ascii="宋体" w:hAnsi="宋体" w:eastAsia="宋体" w:cs="宋体"/>
          <w:color w:val="auto"/>
          <w:sz w:val="24"/>
          <w:szCs w:val="20"/>
          <w:highlight w:val="none"/>
        </w:rPr>
        <w:t xml:space="preserve">，咨询电话：</w:t>
      </w:r>
      <w:r>
        <w:rPr>
          <w:rFonts w:hint="eastAsia" w:ascii="宋体" w:hAnsi="宋体" w:eastAsia="宋体" w:cs="宋体"/>
          <w:color w:val="auto"/>
          <w:sz w:val="24"/>
          <w:szCs w:val="20"/>
          <w:highlight w:val="none"/>
          <w:lang w:eastAsia="zh-CN"/>
        </w:rPr>
        <w:t xml:space="preserve">0512-65737699</w:t>
      </w:r>
      <w:r>
        <w:rPr>
          <w:rFonts w:hint="eastAsia" w:ascii="宋体" w:hAnsi="宋体" w:eastAsia="宋体" w:cs="宋体"/>
          <w:color w:val="auto"/>
          <w:sz w:val="24"/>
          <w:szCs w:val="20"/>
          <w:highlight w:val="none"/>
        </w:rPr>
        <w:t xml:space="preserve">。</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（2）参与采购活动</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（3）电子投标准备</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在系统操作过程中如有疑问，请按以下方式联系：</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注册咨询：18261002950；</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CA技术咨询电话：400-608-6099；</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签章使用问题：025-83633811、025-83633812、15380932027、15371015030；</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系统使用指导与咨询：联系电话：18261002950；QQ：3048755361、1315179389、895706745。</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4.售价：免费</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注：未依照招标公告要求获取招标文件的投标人，视为未参加该项政府采购活动，不具备对该政府采购项目提出质疑的法定权利。</w:t>
      </w:r>
      <w:r/>
    </w:p>
    <w:p>
      <w:pPr>
        <w:ind w:firstLine="482"/>
        <w:jc w:val="left"/>
        <w:keepLines w:val="0"/>
        <w:keepNext w:val="0"/>
        <w:pageBreakBefore w:val="0"/>
        <w:spacing w:line="348"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四、提交投标文件截止时间、开标时间和地点</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提交投标文件截止时间：</w:t>
      </w:r>
      <w:r>
        <w:rPr>
          <w:rFonts w:hint="eastAsia" w:ascii="宋体" w:hAnsi="宋体" w:eastAsia="宋体" w:cs="宋体"/>
          <w:color w:val="auto"/>
          <w:sz w:val="24"/>
          <w:highlight w:val="none"/>
          <w:lang w:val="zh-CN"/>
        </w:rPr>
        <w:t xml:space="preserve">2026年01月26日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开标时间：</w:t>
      </w:r>
      <w:r>
        <w:rPr>
          <w:rFonts w:hint="eastAsia" w:ascii="宋体" w:hAnsi="宋体" w:eastAsia="宋体" w:cs="宋体"/>
          <w:color w:val="auto"/>
          <w:sz w:val="24"/>
          <w:highlight w:val="none"/>
          <w:lang w:val="zh-CN"/>
        </w:rPr>
        <w:t xml:space="preserve">2026年01月26日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地点：“苏采云”系统（网址：http://jszfcg.jsczt.cn/）</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4.本项目采用电子招投标形式，请供应商按照《苏采云系统供应商操作手册》进行制作、上传电子投标文件。</w:t>
      </w:r>
      <w:r>
        <w:rPr>
          <w:rFonts w:hint="eastAsia" w:ascii="宋体" w:hAnsi="宋体" w:eastAsia="宋体" w:cs="宋体"/>
          <w:b/>
          <w:bCs/>
          <w:color w:val="auto"/>
          <w:sz w:val="24"/>
          <w:highlight w:val="none"/>
        </w:rPr>
        <w:t xml:space="preserve">电子投标文件制作完成后请于投标文件递交截止时间前成功上传至“苏采云”系统，否则视为放弃参加该采购项目。</w:t>
      </w:r>
      <w:r>
        <w:rPr>
          <w:rFonts w:hint="eastAsia" w:ascii="宋体" w:hAnsi="宋体" w:eastAsia="宋体" w:cs="宋体"/>
          <w:color w:val="auto"/>
          <w:sz w:val="24"/>
          <w:highlight w:val="none"/>
        </w:rPr>
        <w:t xml:space="preserve">供应商应充分考虑到网络环境、网络带宽等风险因素，如因供应商自身原因造成的电子投标文件上传不成功由供应商自行承担全部责任。</w:t>
      </w:r>
      <w:r/>
    </w:p>
    <w:p>
      <w:pPr>
        <w:ind w:firstLine="480"/>
        <w:jc w:val="left"/>
        <w:keepLines w:val="0"/>
        <w:keepNext w:val="0"/>
        <w:pageBreakBefore w:val="0"/>
        <w:spacing w:line="348"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highlight w:val="none"/>
        </w:rPr>
        <w:t xml:space="preserve">本项目为不见面开标项目，开标阶段供应商在【供应商解密】环节必须使用 CA证书解密电子投标文件，如在系统规定的解密时间内未能完成解密的视为放弃投标。</w:t>
      </w:r>
      <w:r/>
    </w:p>
    <w:p>
      <w:pPr>
        <w:ind w:firstLine="482"/>
        <w:jc w:val="left"/>
        <w:keepLines w:val="0"/>
        <w:keepNext w:val="0"/>
        <w:pageBreakBefore w:val="0"/>
        <w:spacing w:line="348"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请供应商确保电脑、系统及其他设备（视频输入输出设备等）无误，且开标直至项目结束始终保持系统在线状态。</w:t>
      </w:r>
      <w:r/>
    </w:p>
    <w:p>
      <w:pPr>
        <w:ind w:firstLine="482"/>
        <w:jc w:val="left"/>
        <w:keepLines w:val="0"/>
        <w:keepNext w:val="0"/>
        <w:pageBreakBefore w:val="0"/>
        <w:spacing w:line="348"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五、公告期限</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ind w:firstLine="482"/>
        <w:jc w:val="left"/>
        <w:keepLines w:val="0"/>
        <w:keepNext w:val="0"/>
        <w:pageBreakBefore w:val="0"/>
        <w:spacing w:line="348"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六、其他补充事宜</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1.昆山市财政局政府采购管理科电话：0512-57310854。</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2.本项目获取招标文件截止日期之后仍可以下载招标文件，但截止日期之后下载的招标文件，视为非有效方式且不作为供应商权益受到损害的证明材料和依据。</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3.单位负责人为同一人或者存在直接控股、管理关系的不同供应商，不得参加同一合同项下的政府采购活动。</w:t>
      </w:r>
      <w:r/>
    </w:p>
    <w:p>
      <w:pPr>
        <w:ind w:firstLine="482"/>
        <w:jc w:val="left"/>
        <w:keepLines w:val="0"/>
        <w:keepNext w:val="0"/>
        <w:pageBreakBefore w:val="0"/>
        <w:spacing w:line="348" w:lineRule="auto"/>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供应商诚信管理</w:t>
      </w:r>
      <w:r/>
    </w:p>
    <w:p>
      <w:pPr>
        <w:ind w:firstLine="482"/>
        <w:jc w:val="left"/>
        <w:keepLines w:val="0"/>
        <w:keepNext w:val="0"/>
        <w:pageBreakBefore w:val="0"/>
        <w:spacing w:line="348"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82"/>
        <w:jc w:val="left"/>
        <w:keepLines w:val="0"/>
        <w:keepNext w:val="0"/>
        <w:pageBreakBefore w:val="0"/>
        <w:spacing w:line="348"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八</w:t>
      </w:r>
      <w:r>
        <w:rPr>
          <w:rFonts w:hint="eastAsia" w:ascii="宋体" w:hAnsi="宋体" w:eastAsia="宋体" w:cs="宋体"/>
          <w:b/>
          <w:color w:val="auto"/>
          <w:sz w:val="24"/>
          <w:highlight w:val="none"/>
        </w:rPr>
        <w:t xml:space="preserve">、对本次招标提出询问，请按以下方式联系</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昆山市中西医结合医院</w:t>
      </w:r>
      <w:r/>
    </w:p>
    <w:p>
      <w:pPr>
        <w:ind w:firstLine="480"/>
        <w:jc w:val="left"/>
        <w:keepLines w:val="0"/>
        <w:keepNext w:val="0"/>
        <w:pageBreakBefore w:val="0"/>
        <w:spacing w:line="348"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eastAsia="zh-CN"/>
        </w:rPr>
        <w:t xml:space="preserve">周佳浚</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val="en-US" w:eastAsia="zh-CN"/>
        </w:rPr>
        <w:t xml:space="preserve">0512-50118258</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昆山市花桥镇金城路1号</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名称：苏州乐慧招投标咨询有限公司</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地址：苏州市相城区元和街道华元路766号都会商业中心1幢2706室</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联系方式：0512-69223600</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项目联系人：陈浩</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王佳静</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电话：0512-69223600</w:t>
      </w:r>
      <w:bookmarkEnd w:id="1"/>
      <w:r/>
      <w:r/>
    </w:p>
    <w:p>
      <w:pPr>
        <w:jc w:val="left"/>
        <w:widowControl/>
        <w:rPr>
          <w:rFonts w:hint="eastAsia" w:ascii="宋体" w:hAnsi="宋体" w:eastAsia="宋体" w:cs="宋体"/>
          <w:b/>
          <w:color w:val="auto"/>
          <w:sz w:val="52"/>
          <w:szCs w:val="20"/>
          <w:highlight w:val="none"/>
        </w:rPr>
      </w:pPr>
      <w:r>
        <w:rPr>
          <w:rFonts w:hint="eastAsia" w:ascii="宋体" w:hAnsi="宋体" w:eastAsia="宋体" w:cs="宋体"/>
          <w:color w:val="auto"/>
          <w:sz w:val="52"/>
          <w:highlight w:val="none"/>
        </w:rPr>
        <w:br w:type="page" w:clear="all"/>
      </w:r>
      <w:r/>
    </w:p>
    <w:p>
      <w:pPr>
        <w:pStyle w:val="715"/>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15"/>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15"/>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15"/>
        <w:jc w:val="center"/>
        <w:rPr>
          <w:rFonts w:hint="eastAsia" w:ascii="宋体" w:hAnsi="宋体" w:eastAsia="宋体" w:cs="宋体"/>
          <w:color w:val="auto"/>
          <w:sz w:val="52"/>
          <w:highlight w:val="none"/>
        </w:rPr>
      </w:pPr>
      <w:r/>
      <w:bookmarkStart w:id="2" w:name="_Toc520073482"/>
      <w:r>
        <w:rPr>
          <w:rFonts w:hint="eastAsia" w:ascii="宋体" w:hAnsi="宋体" w:eastAsia="宋体" w:cs="宋体"/>
          <w:color w:val="auto"/>
          <w:sz w:val="52"/>
          <w:highlight w:val="none"/>
        </w:rPr>
        <w:t xml:space="preserve">第二章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投标人须知</w:t>
      </w:r>
      <w:bookmarkEnd w:id="2"/>
      <w:r/>
      <w:r/>
    </w:p>
    <w:p>
      <w:pPr>
        <w:ind w:firstLine="480"/>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lang w:val="zh-CN"/>
        </w:rPr>
        <w:t xml:space="preserve">1.说明</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1.1本招标文件仅适用于苏州乐慧招投标咨询有限公司组织的招标活动。</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1.2本次招标活动及因本次招标产生的合同受中国法律制约和保护。</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1.3本招标文件的解释权属于苏州乐慧招投标咨询有限公司。</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2.词语释义</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2.1招标代理机构：具体组织实施招标活动的法人。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2.2投标人：经认定有资格响应招标，参加投标竞争的法人或其他组织和自然人。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2.3响应：投标人根据招标代理机构或招标代理机构发布的招标文件，编制投标文件并按规定投标的行为。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2.5甲方（采购</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val="zh-CN"/>
        </w:rPr>
        <w:t xml:space="preserve">）：合同中明确规定的实际购买货物和服务的法人或其他组织和自然人(采购人)。</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2.6乙方（</w:t>
      </w:r>
      <w:r>
        <w:rPr>
          <w:rFonts w:hint="eastAsia" w:ascii="宋体" w:hAnsi="宋体" w:eastAsia="宋体" w:cs="宋体"/>
          <w:color w:val="auto"/>
          <w:sz w:val="24"/>
          <w:highlight w:val="none"/>
        </w:rPr>
        <w:t xml:space="preserve">中标人</w:t>
      </w:r>
      <w:r>
        <w:rPr>
          <w:rFonts w:hint="eastAsia" w:ascii="宋体" w:hAnsi="宋体" w:eastAsia="宋体" w:cs="宋体"/>
          <w:color w:val="auto"/>
          <w:sz w:val="24"/>
          <w:highlight w:val="none"/>
          <w:lang w:val="zh-CN"/>
        </w:rPr>
        <w:t xml:space="preserve">）：合同中规定的向采购人提供货物和服务的法人或其他组织和自然人(中标人)。</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2.7货物：系指乙方按招标招标文件规定，应向甲方提供的一切设备、备品、备件、工具、手册及其它有关技术资料和材料。</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2.8服务：系指本次招标招标文件规定乙方应承担的与提供货物和服务有关的辅助服务，比如运输、保险、安装、调试、提供技术援助、培训、配合措施、维修响应及合同中规定乙方应承担的其它义务。</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2.9知识产权：指专利权、商标权、著作权等无形财产专有权的统称。</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2.10天：日历日。</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2.11交货地点：合同中明确约定的乙方提交的货物和服务最终到达地点。</w:t>
      </w:r>
      <w:r/>
    </w:p>
    <w:p>
      <w:pPr>
        <w:pStyle w:val="73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2.12合同价款：根据合同规定，乙方在正确地履行合同义务后甲方应支付乙方的</w:t>
      </w:r>
      <w:r>
        <w:rPr>
          <w:rFonts w:hint="eastAsia" w:ascii="宋体" w:hAnsi="宋体" w:eastAsia="宋体" w:cs="宋体"/>
          <w:color w:val="auto"/>
          <w:szCs w:val="24"/>
          <w:highlight w:val="none"/>
        </w:rPr>
        <w:t xml:space="preserve">价款。</w:t>
      </w:r>
      <w:r/>
    </w:p>
    <w:p>
      <w:pPr>
        <w:pStyle w:val="73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2.13产地：货物开采、生长、生产、最终制造、加工或提供服务的来源地。</w:t>
      </w:r>
      <w:r/>
    </w:p>
    <w:p>
      <w:pPr>
        <w:pStyle w:val="73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2.14不可抗力：不能预见、不能避免并且不能克服的客观情况。</w:t>
      </w:r>
      <w:r/>
    </w:p>
    <w:p>
      <w:pPr>
        <w:pStyle w:val="73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2.15进口产品：通过中国海关报关验放进入中国境内且产自关境外的产品。</w:t>
      </w:r>
      <w:r/>
    </w:p>
    <w:p>
      <w:pPr>
        <w:pStyle w:val="73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2.16书面形式：指书面文字、合同书、信件和传真等可以有形地表现所载内容的形式。</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2.17实质响应：满足有关本次采购标的、数量、质量、价款或者报酬、履行期限、履行地点和方式、违约责任和解决争议方法等要求。</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2.18进口产品：通过中国海关报关验放进入中国境内且产自关境外的产品。</w:t>
      </w:r>
      <w:r/>
    </w:p>
    <w:p>
      <w:pPr>
        <w:ind w:firstLine="480"/>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2.19书面形式：指书面文字、合同书、信件和传真等可以有形地表现所载内容的形式。</w:t>
      </w:r>
      <w:r/>
    </w:p>
    <w:p>
      <w:pPr>
        <w:pStyle w:val="737"/>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3.合格投标人的一般条件：</w:t>
      </w:r>
      <w:r/>
    </w:p>
    <w:p>
      <w:pPr>
        <w:pStyle w:val="73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3.1具有独立承担民事责任的能力；</w:t>
      </w:r>
      <w:r/>
    </w:p>
    <w:p>
      <w:pPr>
        <w:pStyle w:val="73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3.2具有良好的商业信誉和健全的财务会计制度；</w:t>
      </w:r>
      <w:r/>
    </w:p>
    <w:p>
      <w:pPr>
        <w:pStyle w:val="73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3.3具有履行合同所必需的设备和专业技术能力；</w:t>
      </w:r>
      <w:r/>
    </w:p>
    <w:p>
      <w:pPr>
        <w:pStyle w:val="73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3.4有依法缴纳税收和社会保障资金的良好记录；</w:t>
      </w:r>
      <w:r/>
    </w:p>
    <w:p>
      <w:pPr>
        <w:pStyle w:val="73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3.5参加政府采购活动前三年内，在经营活动中没有重大违法记录；</w:t>
      </w:r>
      <w:r/>
    </w:p>
    <w:p>
      <w:pPr>
        <w:pStyle w:val="73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3.6法律、行政法规规定的其他条件。</w:t>
      </w:r>
      <w:r/>
    </w:p>
    <w:p>
      <w:pPr>
        <w:pStyle w:val="737"/>
        <w:ind w:firstLine="48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4.供应商的特殊条件：</w:t>
      </w:r>
      <w:r/>
    </w:p>
    <w:p>
      <w:pPr>
        <w:pStyle w:val="737"/>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4.1具有有效期内的辐射安全许可证</w:t>
      </w:r>
      <w:r>
        <w:rPr>
          <w:rFonts w:hint="eastAsia" w:ascii="宋体" w:hAnsi="宋体" w:eastAsia="宋体" w:cs="宋体"/>
          <w:color w:val="auto"/>
          <w:szCs w:val="24"/>
          <w:highlight w:val="none"/>
          <w:lang w:eastAsia="zh-CN"/>
        </w:rPr>
        <w:t xml:space="preserve">。</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w:t>
      </w:r>
      <w:r>
        <w:rPr>
          <w:rFonts w:hint="eastAsia" w:ascii="宋体" w:hAnsi="宋体" w:eastAsia="宋体" w:cs="宋体"/>
          <w:b/>
          <w:bCs/>
          <w:color w:val="auto"/>
          <w:sz w:val="24"/>
          <w:highlight w:val="none"/>
          <w:lang w:val="zh-CN"/>
        </w:rPr>
        <w:t xml:space="preserve">.投标人代表</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.1指全权代表投标人参加投标活动并签署投标文件的人，如果投标人代表不是法定代表人，须持有《法定代表人授权委托书》（格式见第三章）。</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6</w:t>
      </w:r>
      <w:r>
        <w:rPr>
          <w:rFonts w:hint="eastAsia" w:ascii="宋体" w:hAnsi="宋体" w:eastAsia="宋体" w:cs="宋体"/>
          <w:b/>
          <w:bCs/>
          <w:color w:val="auto"/>
          <w:sz w:val="24"/>
          <w:highlight w:val="none"/>
          <w:lang w:val="zh-CN"/>
        </w:rPr>
        <w:t xml:space="preserve">.投标费用</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.1无论投标过程中的做法和结果如何，投标人自行承担所有与参加投标有关的全部费用。</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7</w:t>
      </w:r>
      <w:r>
        <w:rPr>
          <w:rFonts w:hint="eastAsia" w:ascii="宋体" w:hAnsi="宋体" w:eastAsia="宋体" w:cs="宋体"/>
          <w:b/>
          <w:bCs/>
          <w:color w:val="auto"/>
          <w:sz w:val="24"/>
          <w:highlight w:val="none"/>
          <w:lang w:val="zh-CN"/>
        </w:rPr>
        <w:t xml:space="preserve">.联合投标及转包、分包</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rPr>
        <w:t xml:space="preserve">7</w:t>
      </w:r>
      <w:r>
        <w:rPr>
          <w:rFonts w:hint="eastAsia" w:ascii="宋体" w:hAnsi="宋体" w:eastAsia="宋体" w:cs="宋体"/>
          <w:b w:val="0"/>
          <w:bCs w:val="0"/>
          <w:color w:val="auto"/>
          <w:sz w:val="24"/>
          <w:highlight w:val="none"/>
          <w:lang w:val="zh-CN"/>
        </w:rPr>
        <w:t xml:space="preserve">.1本项目不接受联合体投标。</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rPr>
        <w:t xml:space="preserve">7</w:t>
      </w:r>
      <w:r>
        <w:rPr>
          <w:rFonts w:hint="eastAsia" w:ascii="宋体" w:hAnsi="宋体" w:eastAsia="宋体" w:cs="宋体"/>
          <w:b w:val="0"/>
          <w:bCs w:val="0"/>
          <w:color w:val="auto"/>
          <w:sz w:val="24"/>
          <w:highlight w:val="none"/>
          <w:lang w:val="zh-CN"/>
        </w:rPr>
        <w:t xml:space="preserve">.2本项目不接受转包、分包。</w:t>
      </w:r>
      <w:r/>
    </w:p>
    <w:p>
      <w:pPr>
        <w:ind w:firstLine="482"/>
        <w:jc w:val="left"/>
        <w:spacing w:line="360" w:lineRule="auto"/>
        <w:widowControl w:val="off"/>
        <w:tabs>
          <w:tab w:val="left" w:pos="630" w:leader="none"/>
        </w:tabs>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8</w:t>
      </w:r>
      <w:r>
        <w:rPr>
          <w:rFonts w:hint="eastAsia" w:ascii="宋体" w:hAnsi="宋体" w:eastAsia="宋体" w:cs="宋体"/>
          <w:b/>
          <w:bCs/>
          <w:color w:val="auto"/>
          <w:sz w:val="24"/>
          <w:highlight w:val="none"/>
          <w:lang w:val="zh-CN"/>
        </w:rPr>
        <w:t xml:space="preserve">.招标文件的询问</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投标人在收到招标文件后，若有问题需要询问，应于下载招标文件后，可通过公告中的联系方式及时提出，采购人或采购代理机构将予以解答。</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9.质疑</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投标人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9.2供应商质疑办法具体详见《政府采购质疑和投诉办法》。供应商应在法定质疑期内一次性提出针对同一采购程序环节的质疑。</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9.3供应商对招标文件如有质疑，请质疑以书面形式（当场送达或邮寄方式，不接收到付快递）递交至采购代理单位。</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内容质疑时，需提供在采购交易系统中下载本项目</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的《交易文件下载确认单》，未提供的视为未依照招标公告要求获取招标文件，不具备对该政府采购项目提出质疑的法定权利。</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9.6质疑联系：苏州乐慧招投标咨询有限公司</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联系地址：苏州市相城区元和街道华元路766号都会商业中心1幢2706室</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联系电话：0512-69223600 </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陈浩</w:t>
      </w:r>
      <w:r>
        <w:rPr>
          <w:rFonts w:hint="eastAsia" w:ascii="宋体" w:hAnsi="宋体" w:eastAsia="宋体" w:cs="宋体"/>
          <w:color w:val="auto"/>
          <w:sz w:val="24"/>
          <w:highlight w:val="none"/>
        </w:rPr>
        <w:t xml:space="preserve">、王佳静</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w:t>
      </w:r>
      <w:r>
        <w:rPr>
          <w:rFonts w:hint="eastAsia" w:ascii="宋体" w:hAnsi="宋体" w:eastAsia="宋体" w:cs="宋体"/>
          <w:b/>
          <w:bCs/>
          <w:color w:val="auto"/>
          <w:sz w:val="24"/>
          <w:highlight w:val="none"/>
          <w:lang w:val="zh-CN"/>
        </w:rPr>
        <w:t xml:space="preserve">.招标文件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招标文件由招标文件总目录所列内容组成，投标人获取招标文件后，应仔细检查招标文件的所有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电子投标（响应）文件将被视为未实质性响应。</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10.2招标文件及其补充文件为未按规定的方式获得的，采购代理机构对招标文件及其补遗的真实性、完整性不承担任何责任。</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招标文件的澄清或修改</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3对于补充通知（包括更正公告），投标人通过“苏州市政府采购网”的“采购公告”自行查看项目的补充通知（包括更正公告）。补充通知（包括更正公告）将作为招标文件的组成部分，对所有投标人有约束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.4招标文件的澄清、修改、补充等内容均以苏州市政府采购网上发布的内容为准。</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zh-CN"/>
        </w:rPr>
        <w:t xml:space="preserve">提示与要求</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12.2无论是否递交投标文件，投标人都应将招标文件及以后的所有通知、文件等视为保密文件。</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13.投标文件计量单位和使用文字</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13.1投标文件中所使用的计量单位，除招标文件中有特殊要求外，均应使用中华人民共和国法定计量单位。</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14.投标文件的组成</w:t>
      </w:r>
      <w:r/>
    </w:p>
    <w:p>
      <w:pPr>
        <w:ind w:left="0" w:firstLine="482"/>
        <w:jc w:val="both"/>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14.1封面</w:t>
      </w:r>
      <w:r/>
    </w:p>
    <w:p>
      <w:pPr>
        <w:ind w:left="0" w:firstLine="482"/>
        <w:jc w:val="both"/>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14.2开标一览表</w:t>
      </w:r>
      <w:r/>
    </w:p>
    <w:p>
      <w:pPr>
        <w:ind w:left="0" w:firstLine="482"/>
        <w:jc w:val="both"/>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14.3</w:t>
      </w:r>
      <w:r>
        <w:rPr>
          <w:rFonts w:hint="eastAsia" w:ascii="宋体" w:hAnsi="宋体" w:eastAsia="宋体" w:cs="宋体"/>
          <w:b/>
          <w:color w:val="auto"/>
          <w:sz w:val="24"/>
          <w:szCs w:val="24"/>
          <w:highlight w:val="none"/>
          <w:lang w:eastAsia="zh-CN"/>
        </w:rPr>
        <w:t xml:space="preserve">投标报价明细表</w:t>
      </w:r>
      <w:r/>
    </w:p>
    <w:p>
      <w:pPr>
        <w:ind w:left="0" w:firstLine="482"/>
        <w:jc w:val="both"/>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14.4资格审查文件</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14.4.1具有独立承担民事责任的能力证明（包括法人或者其他组织的营业执照等证明文件，自然人的身份证明）；</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14.4.2具有良好的商业信誉和健全的财务会计制度证明；</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14.4.3具备履行合同所必需的设备和专业技术能力的证明材料或承诺；</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14.4.5参加政府采购活动前三年内，在经营活动中没有重大违法记录（提供参加本次政府采购活动前3年内在经营活动中没有重大违法记录的书面声明）（格式自拟）；</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14.4.6法律、行政法规规定的其他条件；</w:t>
      </w:r>
      <w:r/>
    </w:p>
    <w:p>
      <w:pPr>
        <w:ind w:left="0" w:firstLine="480"/>
        <w:jc w:val="both"/>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14.4.7具有有效期内的辐射安全许可证。</w:t>
      </w:r>
      <w:r/>
    </w:p>
    <w:p>
      <w:pPr>
        <w:ind w:left="0" w:firstLine="482"/>
        <w:jc w:val="both"/>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14.5符合性审查文件</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14.5.1投标人法定代表人身份证扫描件；</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14.5.2法定代表人授权委托书（如有授权，格式见第三章）；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14.5.3投标人授权代理人身份证扫描件（如有授权）；</w:t>
      </w:r>
      <w:r/>
    </w:p>
    <w:p>
      <w:pPr>
        <w:ind w:left="0" w:firstLine="480"/>
        <w:jc w:val="both"/>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14.5.4营业执照副本复印件；</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14.5.5投标函（格式见第三章）；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14.5.6关于资格文件的声明函（格式见第三章）；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14.5.7投标人基本情况表（格式见第三章）；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14.5.8商务条款偏离表（格式见第三章）；</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14.5.9</w:t>
      </w:r>
      <w:r>
        <w:rPr>
          <w:rFonts w:hint="eastAsia" w:ascii="宋体" w:hAnsi="宋体" w:eastAsia="宋体" w:cs="宋体"/>
          <w:color w:val="auto"/>
          <w:sz w:val="24"/>
          <w:szCs w:val="24"/>
          <w:highlight w:val="none"/>
          <w:lang w:val="zh-CN" w:eastAsia="zh-CN" w:bidi="ar-SA"/>
        </w:rPr>
        <w:t xml:space="preserve">远程参与开标会议诚信承诺书</w:t>
      </w:r>
      <w:r>
        <w:rPr>
          <w:rFonts w:hint="eastAsia" w:ascii="宋体" w:hAnsi="宋体" w:eastAsia="宋体" w:cs="宋体"/>
          <w:color w:val="auto"/>
          <w:sz w:val="24"/>
          <w:szCs w:val="24"/>
          <w:highlight w:val="none"/>
          <w:lang w:val="en-US" w:eastAsia="zh-CN" w:bidi="ar-SA"/>
        </w:rPr>
        <w:t xml:space="preserve">（格式见第三章）</w:t>
      </w:r>
      <w:r>
        <w:rPr>
          <w:rFonts w:hint="eastAsia" w:ascii="宋体" w:hAnsi="宋体" w:eastAsia="宋体" w:cs="宋体"/>
          <w:color w:val="auto"/>
          <w:sz w:val="24"/>
          <w:szCs w:val="24"/>
          <w:highlight w:val="none"/>
          <w:lang w:val="zh-CN" w:eastAsia="zh-CN" w:bidi="ar-SA"/>
        </w:rPr>
        <w:t xml:space="preserve">；</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14.5.10服务要求偏离表（格式见第三章）；</w:t>
      </w:r>
      <w:r/>
    </w:p>
    <w:p>
      <w:pPr>
        <w:ind w:left="0" w:firstLine="482"/>
        <w:jc w:val="both"/>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14.6综合评审文件</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14.6.</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设备维保方案</w:t>
      </w:r>
      <w:bookmarkStart w:id="30" w:name="_GoBack"/>
      <w:r/>
      <w:bookmarkEnd w:id="30"/>
      <w:r>
        <w:rPr>
          <w:rFonts w:hint="eastAsia" w:ascii="宋体" w:hAnsi="宋体" w:eastAsia="宋体" w:cs="宋体"/>
          <w:color w:val="auto"/>
          <w:sz w:val="24"/>
          <w:szCs w:val="24"/>
          <w:highlight w:val="none"/>
          <w:lang w:val="zh-CN" w:eastAsia="zh-CN" w:bidi="ar-SA"/>
        </w:rPr>
        <w:t xml:space="preserve">；</w:t>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rPr>
        <w:t xml:space="preserve">14.6.</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szCs w:val="24"/>
          <w:highlight w:val="none"/>
          <w:lang w:eastAsia="zh-CN"/>
        </w:rPr>
        <w:t xml:space="preserve">项目人员配置表</w:t>
      </w:r>
      <w:r>
        <w:rPr>
          <w:rFonts w:hint="eastAsia" w:ascii="宋体" w:hAnsi="宋体" w:eastAsia="宋体" w:cs="宋体"/>
          <w:color w:val="auto"/>
          <w:sz w:val="24"/>
          <w:szCs w:val="24"/>
          <w:highlight w:val="none"/>
        </w:rPr>
        <w:t xml:space="preserve">（格式见第三章）；</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14.6.</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企业类似业绩一览表（格式见第三章）</w:t>
      </w:r>
      <w:r>
        <w:rPr>
          <w:rFonts w:hint="eastAsia" w:ascii="宋体" w:hAnsi="宋体" w:eastAsia="宋体" w:cs="宋体"/>
          <w:color w:val="auto"/>
          <w:sz w:val="24"/>
          <w:highlight w:val="none"/>
          <w:lang w:val="zh-CN"/>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zh-CN"/>
        </w:rPr>
      </w:pPr>
      <w:r>
        <w:rPr>
          <w:rFonts w:hint="eastAsia" w:ascii="宋体" w:hAnsi="宋体" w:eastAsia="宋体" w:cs="宋体"/>
          <w:b w:val="0"/>
          <w:bCs w:val="0"/>
          <w:i w:val="0"/>
          <w:iCs w:val="0"/>
          <w:color w:val="auto"/>
          <w:sz w:val="24"/>
          <w:szCs w:val="24"/>
          <w:highlight w:val="none"/>
          <w:lang w:val="zh-CN"/>
        </w:rPr>
        <w:t xml:space="preserve">14.</w:t>
      </w:r>
      <w:r>
        <w:rPr>
          <w:rFonts w:hint="eastAsia" w:ascii="宋体" w:hAnsi="宋体" w:eastAsia="宋体" w:cs="宋体"/>
          <w:b w:val="0"/>
          <w:bCs w:val="0"/>
          <w:color w:val="auto"/>
          <w:sz w:val="24"/>
          <w:highlight w:val="none"/>
          <w:lang w:val="zh-CN"/>
        </w:rPr>
        <w:t xml:space="preserve">6.</w:t>
      </w: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color w:val="auto"/>
          <w:sz w:val="24"/>
          <w:highlight w:val="none"/>
        </w:rPr>
        <w:t xml:space="preserve">评分标准中所涉及到的其他材料、证明</w:t>
      </w:r>
      <w:r>
        <w:rPr>
          <w:rFonts w:hint="eastAsia" w:ascii="宋体" w:hAnsi="宋体" w:eastAsia="宋体" w:cs="宋体"/>
          <w:b w:val="0"/>
          <w:bCs w:val="0"/>
          <w:i w:val="0"/>
          <w:iCs w:val="0"/>
          <w:color w:val="auto"/>
          <w:sz w:val="24"/>
          <w:szCs w:val="24"/>
          <w:highlight w:val="none"/>
          <w:lang w:val="zh-CN"/>
        </w:rPr>
        <w:t xml:space="preserve">。</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注：（1）</w:t>
      </w:r>
      <w:r>
        <w:rPr>
          <w:rFonts w:hint="eastAsia" w:ascii="宋体" w:hAnsi="宋体" w:eastAsia="宋体" w:cs="宋体"/>
          <w:b/>
          <w:bCs/>
          <w:color w:val="auto"/>
          <w:sz w:val="24"/>
          <w:szCs w:val="24"/>
          <w:highlight w:val="none"/>
          <w:u w:val="single"/>
          <w:lang w:val="zh-CN" w:eastAsia="zh-CN" w:bidi="ar-SA"/>
        </w:rPr>
        <w:t xml:space="preserve">以上14.4为资格审查要求提供的材料</w:t>
      </w:r>
      <w:r>
        <w:rPr>
          <w:rFonts w:hint="eastAsia" w:ascii="宋体" w:hAnsi="宋体" w:eastAsia="宋体" w:cs="宋体"/>
          <w:b/>
          <w:bCs/>
          <w:color w:val="auto"/>
          <w:sz w:val="24"/>
          <w:szCs w:val="24"/>
          <w:highlight w:val="none"/>
          <w:lang w:val="zh-CN" w:eastAsia="zh-CN" w:bidi="ar-SA"/>
        </w:rPr>
        <w:t xml:space="preserve">，是作为对供应商资格审查的依据，投标人必须提供并加盖电子公章。否则，投标文件将被认定为不符合资格审查要求。</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（2）</w:t>
      </w:r>
      <w:r>
        <w:rPr>
          <w:rFonts w:hint="eastAsia" w:ascii="宋体" w:hAnsi="宋体" w:eastAsia="宋体" w:cs="宋体"/>
          <w:b/>
          <w:bCs/>
          <w:color w:val="auto"/>
          <w:sz w:val="24"/>
          <w:szCs w:val="24"/>
          <w:highlight w:val="none"/>
          <w:u w:val="single"/>
          <w:lang w:val="zh-CN" w:eastAsia="zh-CN" w:bidi="ar-SA"/>
        </w:rPr>
        <w:t xml:space="preserve">以上14.5为符合性审查须提供的资料</w:t>
      </w:r>
      <w:r>
        <w:rPr>
          <w:rFonts w:hint="eastAsia" w:ascii="宋体" w:hAnsi="宋体" w:eastAsia="宋体" w:cs="宋体"/>
          <w:b/>
          <w:bCs/>
          <w:color w:val="auto"/>
          <w:sz w:val="24"/>
          <w:szCs w:val="24"/>
          <w:highlight w:val="none"/>
          <w:lang w:val="zh-CN" w:eastAsia="zh-CN" w:bidi="ar-SA"/>
        </w:rPr>
        <w:t xml:space="preserve">，投标人必须提供并加盖电子公章。否则，投标文件将被认定为未实质性响应。</w:t>
      </w:r>
      <w:r/>
    </w:p>
    <w:p>
      <w:pPr>
        <w:ind w:left="0" w:firstLine="482"/>
        <w:jc w:val="both"/>
        <w:keepLines w:val="0"/>
        <w:keepNext w:val="0"/>
        <w:pageBreakBefore w:val="0"/>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（3）</w:t>
      </w:r>
      <w:r>
        <w:rPr>
          <w:rFonts w:hint="eastAsia" w:ascii="宋体" w:hAnsi="宋体" w:eastAsia="宋体" w:cs="宋体"/>
          <w:color w:val="auto"/>
          <w:sz w:val="24"/>
          <w:szCs w:val="24"/>
          <w:highlight w:val="none"/>
          <w:lang w:val="zh-CN" w:eastAsia="zh-CN" w:bidi="ar-SA"/>
        </w:rPr>
        <w:t xml:space="preserve">投标人所提交的资料的完整与否，将直接影响投标人的评分。</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（4）制作电子投标文件时必须与投标文件制作软件目录一一对应，将相关资料上传至相应模块。</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15.电子投标文件的编制与提交</w:t>
      </w:r>
      <w:r/>
    </w:p>
    <w:p>
      <w:pPr>
        <w:ind w:left="0" w:firstLine="489"/>
        <w:jc w:val="both"/>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.1本项目采用电子招投标形式，请供应商按照</w:t>
      </w:r>
      <w:r>
        <w:rPr>
          <w:rFonts w:hint="eastAsia" w:ascii="宋体" w:hAnsi="宋体" w:eastAsia="宋体" w:cs="宋体"/>
          <w:b/>
          <w:color w:val="auto"/>
          <w:sz w:val="24"/>
          <w:szCs w:val="24"/>
          <w:highlight w:val="none"/>
          <w:lang w:val="zh-CN" w:eastAsia="zh-CN" w:bidi="ar-SA"/>
        </w:rPr>
        <w:t xml:space="preserve">《苏采云系统供应商操作手册》</w:t>
      </w:r>
      <w:r>
        <w:rPr>
          <w:rFonts w:hint="eastAsia" w:ascii="宋体" w:hAnsi="宋体" w:eastAsia="宋体" w:cs="宋体"/>
          <w:color w:val="auto"/>
          <w:sz w:val="24"/>
          <w:szCs w:val="24"/>
          <w:highlight w:val="none"/>
          <w:lang w:val="zh-CN" w:eastAsia="zh-CN" w:bidi="ar-SA"/>
        </w:rPr>
        <w:t xml:space="preserve">进行制作、上传电子投标文件。</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.2制作电子投标文件时，应按照招标文件要求加盖投标人电子公章。</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.3</w:t>
      </w:r>
      <w:r>
        <w:rPr>
          <w:rFonts w:hint="eastAsia" w:ascii="宋体" w:hAnsi="宋体" w:eastAsia="宋体" w:cs="宋体"/>
          <w:b/>
          <w:color w:val="auto"/>
          <w:sz w:val="24"/>
          <w:szCs w:val="24"/>
          <w:highlight w:val="none"/>
          <w:lang w:val="zh-CN" w:eastAsia="zh-CN" w:bidi="ar-SA"/>
        </w:rPr>
        <w:t xml:space="preserve">电子投标文件制作完成后请于投标文件网上提交截止时间前成功上传至“苏采云”系统，否则视为放弃参加该采购项目。</w:t>
      </w:r>
      <w:bookmarkStart w:id="3" w:name="_Toc31150"/>
      <w:r/>
      <w:bookmarkStart w:id="4" w:name="_Toc25608"/>
      <w:r>
        <w:rPr>
          <w:rFonts w:hint="eastAsia" w:ascii="宋体" w:hAnsi="宋体" w:eastAsia="宋体" w:cs="宋体"/>
          <w:color w:val="auto"/>
          <w:sz w:val="24"/>
          <w:szCs w:val="24"/>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bCs/>
          <w:color w:val="auto"/>
          <w:sz w:val="24"/>
          <w:highlight w:val="none"/>
          <w:lang w:val="zh-CN"/>
        </w:rPr>
        <w:t xml:space="preserve">16.</w:t>
      </w:r>
      <w:r>
        <w:rPr>
          <w:rFonts w:hint="eastAsia" w:ascii="宋体" w:hAnsi="宋体" w:eastAsia="宋体" w:cs="宋体"/>
          <w:b/>
          <w:color w:val="auto"/>
          <w:sz w:val="24"/>
          <w:highlight w:val="none"/>
        </w:rPr>
        <w:t xml:space="preserve">报价（编制）要求说明</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16.1投标报价</w:t>
      </w:r>
      <w:r>
        <w:rPr>
          <w:rFonts w:hint="eastAsia" w:ascii="宋体" w:hAnsi="宋体" w:eastAsia="宋体" w:cs="宋体"/>
          <w:color w:val="auto"/>
          <w:sz w:val="24"/>
          <w:highlight w:val="none"/>
          <w:lang w:eastAsia="zh-CN"/>
        </w:rPr>
        <w:t xml:space="preserve">包括完成该项工作所需的招标服务费、检验服务所需设备、各种税费、人工、保险、劳保、维护、利润、税金、政策性文件规定及合同包含的所有风险、责任等各项应有费用。</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投标人应对招标文件内所要采购的全部内容进行报价，只投其中部分内容者，其标书将被拒绝。但如果招标文件要求分标段投标的，则投标人可以按招标文件要求有选择地只投其中一个或几个标段，但各标段应分别计算填写单价和总价。</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16.3一项投标内容只允许一个报价，采购人不接受任何有选择性的投标报价。</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16.4投标文件中报价全部采用人民币表示，除非合同的特殊条款另有规定。</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16.5最低报价不能作为中标的保证。</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17.投标保证金</w:t>
      </w:r>
      <w:r/>
    </w:p>
    <w:p>
      <w:pPr>
        <w:ind w:firstLine="480"/>
        <w:jc w:val="both"/>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本项目不收投标（响应）保证金。</w:t>
      </w:r>
      <w:r/>
    </w:p>
    <w:p>
      <w:pPr>
        <w:ind w:firstLine="482"/>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zh-CN"/>
        </w:rPr>
        <w:t xml:space="preserve">18.投标文件的有效期</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18.1自投标截止之日起</w:t>
      </w:r>
      <w:r>
        <w:rPr>
          <w:rFonts w:hint="eastAsia" w:ascii="宋体" w:hAnsi="宋体" w:eastAsia="宋体" w:cs="宋体"/>
          <w:color w:val="auto"/>
          <w:sz w:val="24"/>
          <w:highlight w:val="none"/>
          <w:u w:val="single"/>
          <w:lang w:val="en-US" w:eastAsia="zh-CN"/>
        </w:rPr>
        <w:t xml:space="preserve">9</w:t>
      </w:r>
      <w:r>
        <w:rPr>
          <w:rFonts w:hint="eastAsia" w:ascii="宋体" w:hAnsi="宋体" w:eastAsia="宋体" w:cs="宋体"/>
          <w:color w:val="auto"/>
          <w:sz w:val="24"/>
          <w:highlight w:val="none"/>
          <w:u w:val="single"/>
          <w:lang w:val="zh-CN"/>
        </w:rPr>
        <w:t xml:space="preserve">0</w:t>
      </w:r>
      <w:r>
        <w:rPr>
          <w:rFonts w:hint="eastAsia" w:ascii="宋体" w:hAnsi="宋体" w:eastAsia="宋体" w:cs="宋体"/>
          <w:color w:val="auto"/>
          <w:sz w:val="24"/>
          <w:highlight w:val="none"/>
          <w:lang w:val="zh-CN"/>
        </w:rPr>
        <w:t xml:space="preserve">天内，投标书应保持有效。有效期短于这个规定期限的投标，将被拒绝。</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18.2在特殊情况下，招标代理机构可与投标人协商延长投标书的有效期。这种要求和答复都应以书面的形式进行。同意延长有效期的投标人不能修改投标文件；拒绝延长的，其投标失效。</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19.投标截止时间</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.1投标人应当在招标文件要求投标文件网上提交截止时间前，将投标文件完成提交（上传）。逾期提交（上传）的投标文件，采购人和采购代理机构拒绝接收。</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.3在投标截止时间止成功解密的投标文件少于三份，采购代理机构有权宣布本次招标失败。</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0</w:t>
      </w:r>
      <w:r>
        <w:rPr>
          <w:rFonts w:hint="eastAsia" w:ascii="宋体" w:hAnsi="宋体" w:eastAsia="宋体" w:cs="宋体"/>
          <w:b/>
          <w:bCs/>
          <w:color w:val="auto"/>
          <w:sz w:val="24"/>
          <w:highlight w:val="none"/>
          <w:lang w:val="zh-CN"/>
        </w:rPr>
        <w:t xml:space="preserve">.投标文件的补充、修改或撤回</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0"/>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val="zh-CN"/>
        </w:rPr>
        <w:t xml:space="preserve">.开标</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eastAsia="zh-CN"/>
        </w:rPr>
        <w:t xml:space="preserve">21.</w:t>
      </w:r>
      <w:r>
        <w:rPr>
          <w:rFonts w:hint="eastAsia" w:ascii="宋体" w:hAnsi="宋体" w:eastAsia="宋体" w:cs="宋体"/>
          <w:color w:val="auto"/>
          <w:sz w:val="24"/>
          <w:highlight w:val="none"/>
          <w:lang w:val="zh-CN"/>
        </w:rPr>
        <w:t xml:space="preserve">1开标由采购代理机构</w:t>
      </w:r>
      <w:r>
        <w:rPr>
          <w:rFonts w:hint="eastAsia" w:ascii="宋体" w:hAnsi="宋体" w:eastAsia="宋体" w:cs="宋体"/>
          <w:color w:val="auto"/>
          <w:sz w:val="24"/>
          <w:highlight w:val="none"/>
          <w:lang w:val="en-US"/>
        </w:rPr>
        <w:t xml:space="preserve">在线</w:t>
      </w:r>
      <w:r>
        <w:rPr>
          <w:rFonts w:hint="eastAsia" w:ascii="宋体" w:hAnsi="宋体" w:eastAsia="宋体" w:cs="宋体"/>
          <w:color w:val="auto"/>
          <w:sz w:val="24"/>
          <w:highlight w:val="none"/>
          <w:lang w:val="zh-CN"/>
        </w:rPr>
        <w:t xml:space="preserve">主持，邀请投标人</w:t>
      </w:r>
      <w:r>
        <w:rPr>
          <w:rFonts w:hint="eastAsia" w:ascii="宋体" w:hAnsi="宋体" w:eastAsia="宋体" w:cs="宋体"/>
          <w:color w:val="auto"/>
          <w:sz w:val="24"/>
          <w:highlight w:val="none"/>
          <w:lang w:val="en-US"/>
        </w:rPr>
        <w:t xml:space="preserve">在线</w:t>
      </w:r>
      <w:r>
        <w:rPr>
          <w:rFonts w:hint="eastAsia" w:ascii="宋体" w:hAnsi="宋体" w:eastAsia="宋体" w:cs="宋体"/>
          <w:color w:val="auto"/>
          <w:sz w:val="24"/>
          <w:highlight w:val="none"/>
          <w:lang w:val="zh-CN"/>
        </w:rPr>
        <w:t xml:space="preserve">参加。投标人应当按照《苏采云系统供应商操作手册》规定，</w:t>
      </w:r>
      <w:r>
        <w:rPr>
          <w:rFonts w:hint="eastAsia" w:ascii="宋体" w:hAnsi="宋体" w:eastAsia="宋体" w:cs="宋体"/>
          <w:b/>
          <w:bCs/>
          <w:color w:val="auto"/>
          <w:sz w:val="24"/>
          <w:highlight w:val="none"/>
          <w:lang w:val="zh-CN"/>
        </w:rPr>
        <w:t xml:space="preserve">参加开标活动和在“苏采云”系统规定的时间内对投标文件进行解密。</w:t>
      </w:r>
      <w:r>
        <w:rPr>
          <w:rFonts w:hint="eastAsia" w:ascii="宋体" w:hAnsi="宋体" w:eastAsia="宋体" w:cs="宋体"/>
          <w:color w:val="auto"/>
          <w:sz w:val="24"/>
          <w:highlight w:val="none"/>
          <w:lang w:val="zh-CN"/>
        </w:rPr>
        <w:t xml:space="preserve">评标委员会成员不得参加开标活动。</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eastAsia="zh-CN"/>
        </w:rPr>
        <w:t xml:space="preserve">21.</w:t>
      </w:r>
      <w:r>
        <w:rPr>
          <w:rFonts w:hint="eastAsia" w:ascii="宋体" w:hAnsi="宋体" w:eastAsia="宋体" w:cs="宋体"/>
          <w:color w:val="auto"/>
          <w:sz w:val="24"/>
          <w:highlight w:val="none"/>
          <w:lang w:val="zh-CN"/>
        </w:rPr>
        <w:t xml:space="preserve">2开标时，由采购代理机构</w:t>
      </w:r>
      <w:r>
        <w:rPr>
          <w:rFonts w:hint="eastAsia" w:ascii="宋体" w:hAnsi="宋体" w:eastAsia="宋体" w:cs="宋体"/>
          <w:color w:val="auto"/>
          <w:sz w:val="24"/>
          <w:highlight w:val="none"/>
          <w:lang w:val="en-US"/>
        </w:rPr>
        <w:t xml:space="preserve">通过“苏采云”系统在线</w:t>
      </w:r>
      <w:r>
        <w:rPr>
          <w:rFonts w:hint="eastAsia" w:ascii="宋体" w:hAnsi="宋体" w:eastAsia="宋体" w:cs="宋体"/>
          <w:color w:val="auto"/>
          <w:sz w:val="24"/>
          <w:highlight w:val="none"/>
          <w:lang w:val="zh-CN"/>
        </w:rPr>
        <w:t xml:space="preserve">宣布投标人名称、投标价格和招标文件规定的需要宣布的其他内容。</w:t>
      </w:r>
      <w:r>
        <w:rPr>
          <w:rFonts w:hint="eastAsia" w:ascii="宋体" w:hAnsi="宋体" w:eastAsia="宋体" w:cs="宋体"/>
          <w:color w:val="auto"/>
          <w:sz w:val="24"/>
          <w:highlight w:val="none"/>
          <w:lang w:val="en-US"/>
        </w:rPr>
        <w:t xml:space="preserve">投标人在不见面开标系统中确认投标价格，如</w:t>
      </w:r>
      <w:r>
        <w:rPr>
          <w:rFonts w:hint="eastAsia" w:ascii="宋体" w:hAnsi="宋体" w:eastAsia="宋体" w:cs="宋体"/>
          <w:color w:val="auto"/>
          <w:sz w:val="24"/>
          <w:highlight w:val="none"/>
          <w:lang w:val="zh-CN"/>
        </w:rPr>
        <w:t xml:space="preserve">投标人未</w:t>
      </w:r>
      <w:r>
        <w:rPr>
          <w:rFonts w:hint="eastAsia" w:ascii="宋体" w:hAnsi="宋体" w:eastAsia="宋体" w:cs="宋体"/>
          <w:color w:val="auto"/>
          <w:sz w:val="24"/>
          <w:highlight w:val="none"/>
          <w:lang w:val="en-US"/>
        </w:rPr>
        <w:t xml:space="preserve">在线</w:t>
      </w:r>
      <w:r>
        <w:rPr>
          <w:rFonts w:hint="eastAsia" w:ascii="宋体" w:hAnsi="宋体" w:eastAsia="宋体" w:cs="宋体"/>
          <w:color w:val="auto"/>
          <w:sz w:val="24"/>
          <w:highlight w:val="none"/>
          <w:lang w:val="zh-CN"/>
        </w:rPr>
        <w:t xml:space="preserve">参加开标</w:t>
      </w:r>
      <w:r>
        <w:rPr>
          <w:rFonts w:hint="eastAsia" w:ascii="宋体" w:hAnsi="宋体" w:eastAsia="宋体" w:cs="宋体"/>
          <w:color w:val="auto"/>
          <w:sz w:val="24"/>
          <w:highlight w:val="none"/>
          <w:lang w:val="en-US"/>
        </w:rPr>
        <w:t xml:space="preserve">或未在规定时间内确认价格</w:t>
      </w:r>
      <w:r>
        <w:rPr>
          <w:rFonts w:hint="eastAsia" w:ascii="宋体" w:hAnsi="宋体" w:eastAsia="宋体" w:cs="宋体"/>
          <w:color w:val="auto"/>
          <w:sz w:val="24"/>
          <w:highlight w:val="none"/>
          <w:lang w:val="zh-CN"/>
        </w:rPr>
        <w:t xml:space="preserve">的，视同认可开标结果。</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eastAsia="zh-CN"/>
        </w:rPr>
        <w:t xml:space="preserve">21.</w:t>
      </w:r>
      <w:r>
        <w:rPr>
          <w:rFonts w:hint="eastAsia" w:ascii="宋体" w:hAnsi="宋体" w:eastAsia="宋体" w:cs="宋体"/>
          <w:color w:val="auto"/>
          <w:sz w:val="24"/>
          <w:highlight w:val="none"/>
          <w:lang w:val="zh-CN"/>
        </w:rPr>
        <w:t xml:space="preserve">3资格审查</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eastAsia="zh-CN"/>
        </w:rPr>
        <w:t xml:space="preserve">21.</w:t>
      </w:r>
      <w:r>
        <w:rPr>
          <w:rFonts w:hint="eastAsia" w:ascii="宋体" w:hAnsi="宋体" w:eastAsia="宋体" w:cs="宋体"/>
          <w:color w:val="auto"/>
          <w:sz w:val="24"/>
          <w:highlight w:val="none"/>
          <w:lang w:val="zh-CN"/>
        </w:rPr>
        <w:t xml:space="preserve">3.1公开招标采购项目开标结束后，采购人应当依法对投标人的资格进行审查，未通过资格审查的视为无效投标。</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eastAsia="zh-CN"/>
        </w:rPr>
        <w:t xml:space="preserve">21.</w:t>
      </w:r>
      <w:r>
        <w:rPr>
          <w:rFonts w:hint="eastAsia" w:ascii="宋体" w:hAnsi="宋体" w:eastAsia="宋体" w:cs="宋体"/>
          <w:color w:val="auto"/>
          <w:sz w:val="24"/>
          <w:highlight w:val="none"/>
          <w:lang w:val="zh-CN"/>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eastAsia="zh-CN"/>
        </w:rPr>
        <w:t xml:space="preserve">21.</w:t>
      </w:r>
      <w:r>
        <w:rPr>
          <w:rFonts w:hint="eastAsia" w:ascii="宋体" w:hAnsi="宋体" w:eastAsia="宋体" w:cs="宋体"/>
          <w:color w:val="auto"/>
          <w:sz w:val="24"/>
          <w:highlight w:val="none"/>
          <w:lang w:val="zh-CN"/>
        </w:rPr>
        <w:t xml:space="preserve">3.2.1查询时间：投标文件递交截止时间。</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eastAsia="zh-CN"/>
        </w:rPr>
        <w:t xml:space="preserve">21.</w:t>
      </w:r>
      <w:r>
        <w:rPr>
          <w:rFonts w:hint="eastAsia" w:ascii="宋体" w:hAnsi="宋体" w:eastAsia="宋体" w:cs="宋体"/>
          <w:color w:val="auto"/>
          <w:sz w:val="24"/>
          <w:highlight w:val="none"/>
          <w:lang w:val="zh-CN"/>
        </w:rPr>
        <w:t xml:space="preserve">3.2.2查询渠道：采购代理机构会在接收投标文件截止时间后，登录信用中国网站（www.creditchina.gov.cn）和中国政府采购网（www.ccgp.gov.cn/）查询供应商的信用记录，并将查询结果递交评标委员会。</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eastAsia="zh-CN"/>
        </w:rPr>
        <w:t xml:space="preserve">21.</w:t>
      </w:r>
      <w:r>
        <w:rPr>
          <w:rFonts w:hint="eastAsia" w:ascii="宋体" w:hAnsi="宋体" w:eastAsia="宋体" w:cs="宋体"/>
          <w:color w:val="auto"/>
          <w:sz w:val="24"/>
          <w:highlight w:val="none"/>
          <w:lang w:val="zh-CN"/>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21.</w:t>
      </w:r>
      <w:r>
        <w:rPr>
          <w:rFonts w:hint="eastAsia" w:ascii="宋体" w:hAnsi="宋体" w:eastAsia="宋体" w:cs="宋体"/>
          <w:b/>
          <w:color w:val="auto"/>
          <w:sz w:val="24"/>
          <w:szCs w:val="24"/>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09"/>
        <w:ind w:left="0" w:firstLine="42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eastAsia="zh-CN"/>
        </w:rPr>
        <w:t xml:space="preserve">.评标委员会或评标小组</w:t>
      </w:r>
      <w:r/>
    </w:p>
    <w:p>
      <w:pPr>
        <w:pStyle w:val="909"/>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22.1评标委员会负责具体评标事务，并独立履行下列职责：</w:t>
      </w:r>
      <w:r/>
    </w:p>
    <w:p>
      <w:pPr>
        <w:pStyle w:val="909"/>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22.1.1审查、评价投标文件是否符合招标文件的商务、技术等实质性要求；</w:t>
      </w:r>
      <w:r/>
    </w:p>
    <w:p>
      <w:pPr>
        <w:pStyle w:val="909"/>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22.1.2要求投标人对投标文件有关事项作出澄清或者说明；</w:t>
      </w:r>
      <w:r/>
    </w:p>
    <w:p>
      <w:pPr>
        <w:pStyle w:val="909"/>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22.1.3对投标文件进行比较和评价；</w:t>
      </w:r>
      <w:r/>
    </w:p>
    <w:p>
      <w:pPr>
        <w:pStyle w:val="909"/>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22.1.4确定中标候选人名单，以及根据采购人委托直接确定中标人；</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1.5向采购人、采购代理机构或者有关部门报告评标中发现的违法行为。</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2评标委员会成员应当履行下列义务：</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2.1遵纪守法，客观、公正、廉洁地履行职责；</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2.2按照招标文件规定的评标办法和评标标准进行评标，对评审意见承担个人责任；</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2.3对评标过程和结果，以及投标人的商业秘密保密；</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2.4评标委员会根据全体评标成员签字的原始评标记录和评标结果编写评标报告。评标报告应当包括以下内容： </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（一）招标公告刊登的媒体名称、开标日期和地点；</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（二）投标人名单和评标委员会成员名单；</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（三）评标方法和标准；</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（四）开标记录和评标情况及说明，包括无效投标人名单及原因；</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（五）评标结果，确定的中标候选人名单或者经采购人委托直接确定的中标人；</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（六）其他需要说明的情况，包括评标过程中投标人根据评标委员会要求进行的澄清、说明或者补正，评标委员会成员的更换等。</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2.5配合相关部门的投诉处理工作；</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2.6配合采购人和采购代理机构答复投标人提出的质疑。</w:t>
      </w:r>
      <w:r/>
    </w:p>
    <w:p>
      <w:pPr>
        <w:pStyle w:val="909"/>
        <w:ind w:left="0"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rPr>
        <w:t xml:space="preserve">.保密</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.1公开开标后，直到宣布授予中标合同为止，凡属于审查、澄清、评价和比较投标的所有资料，有关授予合同的信息都不应向投标人或与评标无关的其他人泄露。</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.2在投标文件的审查、澄清、评价和比较以及授予合同的过程中，投标人对采购人、采购代理机构和评标委员会成员施加影响的任何行为，都将取消其中标资格。</w:t>
      </w:r>
      <w:r/>
    </w:p>
    <w:p>
      <w:pPr>
        <w:pStyle w:val="909"/>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color w:val="auto"/>
          <w:sz w:val="24"/>
          <w:szCs w:val="24"/>
          <w:highlight w:val="none"/>
        </w:rPr>
        <w:t xml:space="preserve">对投标文件初审</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1评标委员会应当对符合资格的投标人的投标文件进行符合性审查，以确定其是否满足招标文件的实质性要求。</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投标文件有下列情况之一者评标委员会有权将其拒绝：</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1.1投标人的投标文件未按照本须知规定制作的；</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1.2未按本须知规定提交资格文件；</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1.3与招标文件有重大偏离；</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1.4投标人拒绝修正错误；</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1.5投标人的报价是选择性的；</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1.6投标人的报价只投了部分内容；</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1.7投标人的投标文件出现了评标委员会认为不应当雷同的情况；</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1.8其他被评委会认定无效的情况。</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3投标文件报价出现前后不一致的，除招标文件另有规定外，按照下列规定修正：</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5 评标委员会成员对需要共同认定的事项存在争议的，应当按照少数服从多数的原则作出结论。持不同意见的评标委员会成员应当在评标报告上签署不同意见及理由，否则视为同意</w:t>
      </w:r>
      <w:r>
        <w:rPr>
          <w:rFonts w:hint="eastAsia" w:ascii="宋体" w:hAnsi="宋体" w:eastAsia="宋体" w:cs="宋体"/>
          <w:b w:val="0"/>
          <w:bCs w:val="0"/>
          <w:color w:val="auto"/>
          <w:sz w:val="24"/>
          <w:szCs w:val="24"/>
          <w:highlight w:val="none"/>
        </w:rPr>
        <w:t xml:space="preserve">评标报告。</w:t>
      </w:r>
      <w:r/>
    </w:p>
    <w:p>
      <w:pPr>
        <w:ind w:firstLine="480"/>
        <w:jc w:val="left"/>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eastAsia="zh-CN"/>
        </w:rPr>
        <w:t xml:space="preserve">.投标的澄清</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.1对于投标文件中含义不明确、同类问题表述不一致或者有明显文字和计算错误的内容，评标委员会应当以书面形式要求投标人作出必要的澄清、说明或者补正。</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.2投标人的澄清、说明或者补正应当采用书面形式，并加盖</w:t>
      </w:r>
      <w:r>
        <w:rPr>
          <w:rFonts w:hint="eastAsia" w:ascii="宋体" w:hAnsi="宋体" w:eastAsia="宋体" w:cs="宋体"/>
          <w:color w:val="auto"/>
          <w:sz w:val="24"/>
          <w:szCs w:val="24"/>
          <w:highlight w:val="none"/>
          <w:lang w:val="en-US" w:eastAsia="zh-CN"/>
        </w:rPr>
        <w:t xml:space="preserve">其单位电子</w:t>
      </w:r>
      <w:r>
        <w:rPr>
          <w:rFonts w:hint="eastAsia" w:ascii="宋体" w:hAnsi="宋体" w:eastAsia="宋体" w:cs="宋体"/>
          <w:color w:val="auto"/>
          <w:sz w:val="24"/>
          <w:szCs w:val="24"/>
          <w:highlight w:val="none"/>
          <w:lang w:eastAsia="zh-CN"/>
        </w:rPr>
        <w:t xml:space="preserve">公章。投标人的澄清、说明或者补正不得超出投标文件的范围或者改变投标文件的实质性内容。</w:t>
      </w:r>
      <w:r/>
    </w:p>
    <w:p>
      <w:pPr>
        <w:pStyle w:val="909"/>
        <w:ind w:left="0" w:firstLine="42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此处规定时间的计算以系统中的倒计时间为准，</w:t>
      </w:r>
      <w:r>
        <w:rPr>
          <w:rFonts w:hint="eastAsia" w:ascii="宋体" w:hAnsi="宋体" w:eastAsia="宋体" w:cs="宋体"/>
          <w:color w:val="auto"/>
          <w:sz w:val="24"/>
          <w:szCs w:val="24"/>
          <w:highlight w:val="none"/>
        </w:rPr>
        <w:t xml:space="preserve">供应商应随时保持系统在线，如因供应商自身原因未在规定时间内提交澄清确认资料的，导致的不利后果由供应商自行承担。</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25.3</w:t>
      </w:r>
      <w:r>
        <w:rPr>
          <w:rFonts w:hint="eastAsia" w:ascii="宋体" w:hAnsi="宋体" w:eastAsia="宋体" w:cs="宋体"/>
          <w:b/>
          <w:bCs/>
          <w:color w:val="auto"/>
          <w:sz w:val="24"/>
          <w:szCs w:val="24"/>
          <w:highlight w:val="none"/>
          <w:lang w:eastAsia="zh-CN"/>
        </w:rPr>
        <w:t xml:space="preserve">异常低价问题处理</w:t>
      </w:r>
      <w:r/>
    </w:p>
    <w:p>
      <w:pPr>
        <w:ind w:firstLine="480"/>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25.3.</w:t>
      </w:r>
      <w:r>
        <w:rPr>
          <w:rFonts w:hint="eastAsia" w:ascii="宋体" w:hAnsi="宋体" w:eastAsia="宋体"/>
          <w:b/>
          <w:bCs/>
          <w:color w:val="auto"/>
          <w:sz w:val="24"/>
          <w:szCs w:val="24"/>
          <w:highlight w:val="none"/>
        </w:rPr>
        <w:t xml:space="preserve">1根据《关于推动解决政府采购异常低价问题相关工作的通知》（苏财购〔2025〕62号），评审委员会启动异常低价投标（响应）审查的情形和具体要求，包括：</w:t>
      </w:r>
      <w:r/>
    </w:p>
    <w:p>
      <w:pPr>
        <w:ind w:firstLine="480"/>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25.3.</w:t>
      </w:r>
      <w:r>
        <w:rPr>
          <w:rFonts w:hint="eastAsia" w:ascii="宋体" w:hAnsi="宋体" w:eastAsia="宋体"/>
          <w:b/>
          <w:bCs/>
          <w:color w:val="auto"/>
          <w:sz w:val="24"/>
          <w:szCs w:val="24"/>
          <w:highlight w:val="none"/>
        </w:rPr>
        <w:t xml:space="preserve">2评审过程中出现下列情形之一的，评审委员会应当启动异常低价投标（响应）审查程序：</w:t>
      </w:r>
      <w:r/>
    </w:p>
    <w:p>
      <w:pPr>
        <w:ind w:firstLine="480"/>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①投标（响应）报价低于采购项目预算50%的，即投标（响应）报价&lt;采购项目预算×50%；</w:t>
      </w:r>
      <w:r/>
    </w:p>
    <w:p>
      <w:pPr>
        <w:ind w:firstLine="480"/>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②投标（响应）报价低于采购项目最高限价45%的，即投标（响应）报价&lt;采购项目最高限价×45%；</w:t>
      </w:r>
      <w:r/>
    </w:p>
    <w:p>
      <w:pPr>
        <w:ind w:firstLine="480"/>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③评审委员会认定的供应商报价过低、有可能影响产品质量或者不能诚信履约的其他情形。</w:t>
      </w:r>
      <w:r/>
    </w:p>
    <w:p>
      <w:pPr>
        <w:ind w:firstLine="480"/>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25.3.</w:t>
      </w:r>
      <w:r>
        <w:rPr>
          <w:rFonts w:hint="eastAsia" w:ascii="宋体" w:hAnsi="宋体" w:eastAsia="宋体"/>
          <w:b/>
          <w:bCs/>
          <w:color w:val="auto"/>
          <w:sz w:val="24"/>
          <w:szCs w:val="24"/>
          <w:highlight w:val="none"/>
        </w:rPr>
        <w:t xml:space="preserve">3启动异常低价投标（响应）审查后，评审委员会将要求相关供应商在合理的时间内，线上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.无效投标</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26.1投标人存在下列情况之一的，投标无效:</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）投标文件未按招标文件要求签署、盖章的；</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）不具备招标文件中规定的资格要求的；</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）报价超过招标文件中规定的预算金额或者最高限价的；</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）投标文件含有采购人不能接受的附加条件的；</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（五）法律、法规和招标文件规定的其他无效情形；</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机器码一致的。</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26.2投标人应当遵循公平竞争的原则，不得恶意串通，不得妨碍其他投标人的竞争行为，不得损害采购人或者其他投标人的合法权益。</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在评标过程中发现投标人有上述情形的，评标委员会应当认定其投标无效，并书面报告本级财政部门。</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26.3有下列情形之一的，视为投标人串通投标，其投标无效：</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（一）不同投标人的投标文件由同一单位或者个人编制；</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（二）不同投标人委托同一单位或者个人办理投标事宜；</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（三）不同投标人的投标文件载明的项目管理成员或者联系人员为同一人；</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（四）不同投标人的投标文件异常一致或者投标报价呈规律性差异；</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（五）不同投标人的投标文件相互混装。</w:t>
      </w:r>
      <w:r/>
    </w:p>
    <w:p>
      <w:pPr>
        <w:pStyle w:val="909"/>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.废标</w:t>
      </w:r>
      <w:r/>
    </w:p>
    <w:p>
      <w:pPr>
        <w:pStyle w:val="909"/>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.1在招标过程中，出现下列情况之一的，应予废标：</w:t>
      </w:r>
      <w:r/>
    </w:p>
    <w:p>
      <w:pPr>
        <w:pStyle w:val="909"/>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.1.1符合专业条件的供应商或者对招标文件作实质投标的供应商不足</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家的；</w:t>
      </w:r>
      <w:r/>
    </w:p>
    <w:p>
      <w:pPr>
        <w:pStyle w:val="909"/>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.1.2出现影响采购公正的违法、违规行为的；</w:t>
      </w:r>
      <w:r/>
    </w:p>
    <w:p>
      <w:pPr>
        <w:pStyle w:val="909"/>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.1.3投标人的报价均超过了采购预算，采购人不能支付的；</w:t>
      </w:r>
      <w:r/>
    </w:p>
    <w:p>
      <w:pPr>
        <w:pStyle w:val="909"/>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.1.4因重大变故，采购任务取消的；</w:t>
      </w:r>
      <w:r/>
    </w:p>
    <w:p>
      <w:pPr>
        <w:pStyle w:val="909"/>
        <w:ind w:left="0" w:firstLine="42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.2废标后，采购人和采购代理机构将把废标的理由通知所有投标人。</w:t>
      </w:r>
      <w:r/>
    </w:p>
    <w:p>
      <w:pPr>
        <w:pStyle w:val="909"/>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28.</w:t>
      </w:r>
      <w:r>
        <w:rPr>
          <w:rFonts w:hint="eastAsia" w:ascii="宋体" w:hAnsi="宋体" w:eastAsia="宋体" w:cs="宋体"/>
          <w:b/>
          <w:color w:val="auto"/>
          <w:sz w:val="24"/>
          <w:szCs w:val="24"/>
          <w:highlight w:val="none"/>
        </w:rPr>
        <w:t xml:space="preserve">投标文件的评价和比较</w:t>
      </w:r>
      <w:r/>
    </w:p>
    <w:p>
      <w:pPr>
        <w:pStyle w:val="909"/>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jc w:val="left"/>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.2最低的投标报价或最高的折扣比例是中标的重要条件，但不是唯一条件。</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29</w:t>
      </w:r>
      <w:r>
        <w:rPr>
          <w:rFonts w:hint="eastAsia" w:ascii="宋体" w:hAnsi="宋体" w:eastAsia="宋体" w:cs="宋体"/>
          <w:b/>
          <w:color w:val="auto"/>
          <w:sz w:val="24"/>
          <w:highlight w:val="none"/>
        </w:rPr>
        <w:t xml:space="preserve">.中标人的确认</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29</w:t>
      </w:r>
      <w:r>
        <w:rPr>
          <w:rFonts w:hint="eastAsia" w:ascii="宋体" w:hAnsi="宋体" w:eastAsia="宋体" w:cs="宋体"/>
          <w:color w:val="auto"/>
          <w:sz w:val="24"/>
          <w:highlight w:val="none"/>
        </w:rPr>
        <w:t xml:space="preserve">.1评标委员会根据投标人资格审查情况，对投标文件进行评价和比较，按照评标办法和标准进行评标，并按招标采购人的委托向招标采购人推荐中标候选单位。</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29</w:t>
      </w:r>
      <w:r>
        <w:rPr>
          <w:rFonts w:hint="eastAsia" w:ascii="宋体" w:hAnsi="宋体" w:eastAsia="宋体" w:cs="宋体"/>
          <w:color w:val="auto"/>
          <w:sz w:val="24"/>
          <w:highlight w:val="none"/>
        </w:rPr>
        <w:t xml:space="preserve">.2经评标委员会评审并确定中标人后，招标代理机构将在规定的时间内</w:t>
      </w:r>
      <w:r>
        <w:rPr>
          <w:rFonts w:hint="eastAsia" w:ascii="宋体" w:hAnsi="宋体" w:eastAsia="宋体" w:cs="宋体"/>
          <w:color w:val="auto"/>
          <w:sz w:val="24"/>
          <w:highlight w:val="none"/>
        </w:rPr>
        <w:t xml:space="preserve">将中标结果在政府采购管理部门指定媒体上予以公告。各投标人如对公告结果有异议，应在中标公告公告期届满之日起七个工作日内，以书面形式向招标代理机构提出质疑，同时该质疑应有投标人法定代表人或参加投标的代理人签署和盖公章(原件)。招标代理机构将在收到经投标人法定代表人或参加投标的代理人签署和盖公章(原件)的书面质疑后七个工作日内，对质疑内容做出答复。如投标人在中标公告公告期届满之日起七个工作日后向招标代理机构提出质疑或质疑未经投标人法定代表人或参加投标的代理人签署和盖公章(原件)，招标代理机构有权对该质疑不予答复。</w:t>
      </w:r>
      <w:r/>
    </w:p>
    <w:p>
      <w:pPr>
        <w:ind w:firstLine="482"/>
        <w:jc w:val="left"/>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3</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zh-CN"/>
        </w:rPr>
        <w:t xml:space="preserve">.合同</w:t>
      </w:r>
      <w:r>
        <w:rPr>
          <w:rFonts w:hint="eastAsia" w:ascii="宋体" w:hAnsi="宋体" w:eastAsia="宋体" w:cs="宋体"/>
          <w:b/>
          <w:color w:val="auto"/>
          <w:sz w:val="24"/>
          <w:szCs w:val="24"/>
          <w:highlight w:val="none"/>
        </w:rPr>
        <w:t xml:space="preserve">授予标准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30.1</w:t>
      </w:r>
      <w:r>
        <w:rPr>
          <w:rFonts w:hint="eastAsia" w:ascii="宋体" w:hAnsi="宋体" w:eastAsia="宋体" w:cs="宋体"/>
          <w:color w:val="auto"/>
          <w:sz w:val="24"/>
          <w:highlight w:val="none"/>
        </w:rPr>
        <w:t xml:space="preserve">采购人将把合同授予其投标文件在实质上响应投标招标文件要求且按本须知规定评选出的投标人。确定为中标的投标人必须具有实施本合同的能力和资源</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val="zh-CN"/>
        </w:rPr>
        <w:t xml:space="preserve">.中标通知书</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.2中标通知书将成为合同的组成部分，对采购人和中标人具有同等法律效力。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.3中标通知书发出后，采购人不得违法改变中标结果，中标人无正当理由不得放弃中标。</w:t>
      </w:r>
      <w:r/>
    </w:p>
    <w:p>
      <w:pPr>
        <w:ind w:firstLine="482"/>
        <w:jc w:val="left"/>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32.合同的签订</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最多三十日内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内，按照招标文件及投标文件规定与中标人签订书面合同。</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32.2采购人与中标人所签订的合同不得对招标文件确定的事项和中标人投标文件作实质性修改，采购人不得向中标人提出任何不合理的要求作为签订合同的条件。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val="zh-CN"/>
        </w:rPr>
        <w:t xml:space="preserve">.代理服务费</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33.1中标单位须按前附表的规定计算并支付代理服务费，该费用应在领取合同前付清。</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33.2中标单位如果未按规定缴纳代理服务费，招标代理机构将保留诉讼的权利。</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4</w:t>
      </w:r>
      <w:r>
        <w:rPr>
          <w:rFonts w:hint="eastAsia" w:ascii="宋体" w:hAnsi="宋体" w:eastAsia="宋体" w:cs="宋体"/>
          <w:b/>
          <w:bCs/>
          <w:color w:val="auto"/>
          <w:sz w:val="24"/>
          <w:highlight w:val="none"/>
          <w:lang w:val="zh-CN"/>
        </w:rPr>
        <w:t xml:space="preserve">.监督</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34.1政府有关监督部门将对招投标全过程进行监督。</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5</w:t>
      </w:r>
      <w:r>
        <w:rPr>
          <w:rFonts w:hint="eastAsia" w:ascii="宋体" w:hAnsi="宋体" w:eastAsia="宋体" w:cs="宋体"/>
          <w:b/>
          <w:bCs/>
          <w:color w:val="auto"/>
          <w:sz w:val="24"/>
          <w:highlight w:val="none"/>
          <w:lang w:val="zh-CN"/>
        </w:rPr>
        <w:t xml:space="preserve">.未尽事宜</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按《中华人民共和国政府采购法》及其他有关政府采购的法律法规的规定执行。</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5"/>
        <w:jc w:val="center"/>
        <w:rPr>
          <w:rFonts w:hint="eastAsia" w:ascii="宋体" w:hAnsi="宋体" w:eastAsia="宋体" w:cs="宋体"/>
          <w:b w:val="0"/>
          <w:color w:val="auto"/>
          <w:sz w:val="52"/>
          <w:highlight w:val="none"/>
        </w:rPr>
      </w:pPr>
      <w:r/>
      <w:bookmarkStart w:id="5" w:name="_Toc520073483"/>
      <w:r>
        <w:rPr>
          <w:rFonts w:hint="eastAsia" w:ascii="宋体" w:hAnsi="宋体" w:eastAsia="宋体" w:cs="宋体"/>
          <w:color w:val="auto"/>
          <w:sz w:val="52"/>
          <w:highlight w:val="none"/>
        </w:rPr>
        <w:t xml:space="preserve">第三章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投标文件格式</w:t>
      </w:r>
      <w:bookmarkEnd w:id="5"/>
      <w:r/>
      <w:r/>
    </w:p>
    <w:p>
      <w:pPr>
        <w:pStyle w:val="727"/>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727"/>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对本章所有的格式，投标人可根据自身情况进行补充和修改，但补充和修改不得造成与本格式内容有实质性的违背。</w:t>
      </w:r>
      <w:r/>
    </w:p>
    <w:p>
      <w:pPr>
        <w:pStyle w:val="727"/>
        <w:ind w:firstLine="26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 w:val="28"/>
          <w:highlight w:val="none"/>
        </w:rPr>
        <w:br w:type="page" w:clear="all"/>
      </w:r>
      <w:r>
        <w:rPr>
          <w:rFonts w:hint="eastAsia" w:ascii="宋体" w:hAnsi="宋体" w:eastAsia="宋体" w:cs="宋体"/>
          <w:b/>
          <w:color w:val="auto"/>
          <w:highlight w:val="none"/>
          <w:lang w:val="en-US" w:eastAsia="zh-CN"/>
        </w:rPr>
        <w:t xml:space="preserve">1</w:t>
      </w:r>
      <w:r>
        <w:rPr>
          <w:rFonts w:hint="eastAsia" w:ascii="宋体" w:hAnsi="宋体" w:eastAsia="宋体" w:cs="宋体"/>
          <w:b/>
          <w:color w:val="auto"/>
          <w:highlight w:val="none"/>
        </w:rPr>
        <w:t xml:space="preserve">、</w:t>
      </w:r>
      <w:r>
        <w:rPr>
          <w:rFonts w:hint="eastAsia" w:ascii="宋体" w:hAnsi="宋体" w:eastAsia="宋体" w:cs="宋体"/>
          <w:b/>
          <w:color w:val="auto"/>
          <w:szCs w:val="24"/>
          <w:highlight w:val="none"/>
        </w:rPr>
        <w:t xml:space="preserve">开标一览表</w:t>
      </w:r>
      <w:r/>
    </w:p>
    <w:p>
      <w:pPr>
        <w:jc w:val="center"/>
        <w:spacing w:line="360" w:lineRule="auto"/>
        <w:widowControl w:val="off"/>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开标一览表</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投标人全称（加盖公章）：</w:t>
      </w:r>
      <w:bookmarkStart w:id="6" w:name="TBR"/>
      <w:r/>
      <w:bookmarkEnd w:id="6"/>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项目编号：  </w:t>
      </w:r>
      <w:bookmarkStart w:id="7" w:name="XMBH"/>
      <w:r/>
      <w:bookmarkEnd w:id="7"/>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分包号：</w:t>
      </w:r>
      <w:bookmarkStart w:id="8" w:name="FBH"/>
      <w:r/>
      <w:bookmarkEnd w:id="8"/>
      <w:r/>
      <w:r/>
    </w:p>
    <w:tbl>
      <w:tblPr>
        <w:tblStyle w:val="72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总报价（元）</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lang w:eastAsia="zh-CN"/>
              </w:rPr>
            </w:pPr>
            <w:r/>
            <w:bookmarkStart w:id="9" w:name="XMMC"/>
            <w:r/>
            <w:bookmarkEnd w:id="9"/>
            <w:r>
              <w:rPr>
                <w:rFonts w:hint="eastAsia" w:ascii="宋体" w:hAnsi="宋体" w:eastAsia="宋体" w:cs="宋体"/>
                <w:color w:val="auto"/>
                <w:sz w:val="24"/>
                <w:szCs w:val="24"/>
                <w:highlight w:val="none"/>
                <w:lang w:eastAsia="zh-CN"/>
              </w:rPr>
              <w:t xml:space="preserve">大放设备和DSA维保服务</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both"/>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both"/>
              <w:spacing w:line="600" w:lineRule="exact"/>
              <w:widowControl/>
              <w:rPr>
                <w:rFonts w:hint="eastAsia" w:ascii="宋体" w:hAnsi="宋体" w:eastAsia="宋体" w:cs="宋体"/>
                <w:color w:val="auto"/>
                <w:sz w:val="24"/>
                <w:szCs w:val="24"/>
                <w:highlight w:val="none"/>
                <w:u w:val="single"/>
                <w:lang w:val="en-US" w:eastAsia="zh-CN"/>
              </w:rPr>
            </w:pPr>
            <w:r/>
            <w:bookmarkStart w:id="10" w:name="JEDX"/>
            <w:r/>
            <w:bookmarkEnd w:id="10"/>
            <w:r/>
            <w:r/>
          </w:p>
        </w:tc>
      </w:tr>
    </w:tbl>
    <w:p>
      <w:pPr>
        <w:ind w:left="1024"/>
        <w:jc w:val="both"/>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bookmarkStart w:id="11" w:name="NF"/>
      <w:r/>
      <w:bookmarkEnd w:id="11"/>
      <w:r>
        <w:rPr>
          <w:rFonts w:hint="eastAsia" w:ascii="宋体" w:hAnsi="宋体" w:eastAsia="宋体" w:cs="宋体"/>
          <w:color w:val="auto"/>
          <w:sz w:val="24"/>
          <w:szCs w:val="24"/>
          <w:highlight w:val="none"/>
        </w:rPr>
        <w:t xml:space="preserve"> 年 </w:t>
      </w:r>
      <w:bookmarkStart w:id="12" w:name="YF"/>
      <w:r/>
      <w:bookmarkEnd w:id="12"/>
      <w:r>
        <w:rPr>
          <w:rFonts w:hint="eastAsia" w:ascii="宋体" w:hAnsi="宋体" w:eastAsia="宋体" w:cs="宋体"/>
          <w:color w:val="auto"/>
          <w:sz w:val="24"/>
          <w:szCs w:val="24"/>
          <w:highlight w:val="none"/>
        </w:rPr>
        <w:t xml:space="preserve">  月 </w:t>
      </w:r>
      <w:bookmarkStart w:id="13" w:name="RI"/>
      <w:r/>
      <w:bookmarkEnd w:id="13"/>
      <w:r>
        <w:rPr>
          <w:rFonts w:hint="eastAsia" w:ascii="宋体" w:hAnsi="宋体" w:eastAsia="宋体" w:cs="宋体"/>
          <w:color w:val="auto"/>
          <w:sz w:val="24"/>
          <w:szCs w:val="24"/>
          <w:highlight w:val="none"/>
        </w:rPr>
        <w:t xml:space="preserve">  日</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填写说明：</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如有分包，投标人投任何一个包的标的，都需单独填写开标一览表。</w:t>
      </w:r>
      <w:r/>
    </w:p>
    <w:p>
      <w:pPr>
        <w:ind w:left="0" w:firstLine="2560"/>
        <w:jc w:val="both"/>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widowControl/>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highlight w:val="none"/>
        </w:rPr>
        <w:br w:type="page" w:clear="all"/>
      </w:r>
      <w:r>
        <w:rPr>
          <w:rFonts w:hint="eastAsia" w:ascii="宋体" w:hAnsi="宋体" w:eastAsia="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eastAsia="zh-CN"/>
        </w:rPr>
        <w:t xml:space="preserve">投标报价明细表</w:t>
      </w:r>
      <w:r/>
    </w:p>
    <w:p>
      <w:pPr>
        <w:pStyle w:val="731"/>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center"/>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投标报价明细表</w:t>
      </w:r>
      <w:r/>
    </w:p>
    <w:tbl>
      <w:tblPr>
        <w:tblStyle w:val="7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2025"/>
        <w:gridCol w:w="2419"/>
        <w:gridCol w:w="1491"/>
        <w:gridCol w:w="1656"/>
        <w:gridCol w:w="1572"/>
      </w:tblGrid>
      <w:tr>
        <w:trPr>
          <w:cantSplit/>
          <w:trHeight w:val="540"/>
        </w:trPr>
        <w:tc>
          <w:tcPr>
            <w:tcW w:w="50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993"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186" w:type="pct"/>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品牌规格（如有）</w:t>
            </w:r>
            <w:r/>
          </w:p>
        </w:tc>
        <w:tc>
          <w:tcPr>
            <w:tcW w:w="731" w:type="pct"/>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W w:w="812" w:type="pct"/>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w:t>
            </w:r>
            <w:r/>
          </w:p>
        </w:tc>
        <w:tc>
          <w:tcPr>
            <w:tcW w:w="77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480"/>
        </w:trPr>
        <w:tc>
          <w:tcPr>
            <w:tcW w:w="50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93"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2"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80"/>
        </w:trPr>
        <w:tc>
          <w:tcPr>
            <w:tcW w:w="50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93"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2"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80"/>
        </w:trPr>
        <w:tc>
          <w:tcPr>
            <w:tcW w:w="50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93"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2"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80"/>
        </w:trPr>
        <w:tc>
          <w:tcPr>
            <w:tcW w:w="50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93"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2"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80"/>
        </w:trPr>
        <w:tc>
          <w:tcPr>
            <w:tcW w:w="50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993"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2"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80"/>
        </w:trPr>
        <w:tc>
          <w:tcPr>
            <w:tcW w:w="50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p>
        </w:tc>
        <w:tc>
          <w:tcPr>
            <w:tcW w:w="993"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2"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80"/>
        </w:trPr>
        <w:tc>
          <w:tcPr>
            <w:tcW w:w="50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3"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2"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80"/>
        </w:trPr>
        <w:tc>
          <w:tcPr>
            <w:tcW w:w="50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3"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2"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80"/>
        </w:trPr>
        <w:tc>
          <w:tcPr>
            <w:tcW w:w="505"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3"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6"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2"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1" w:type="pct"/>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14"/>
        <w:spacing w:line="400" w:lineRule="exact"/>
        <w:rPr>
          <w:rFonts w:hint="default" w:asciiTheme="minorEastAsia" w:hAnsiTheme="minorEastAsia" w:eastAsiaTheme="minorEastAsia"/>
          <w:color w:val="auto"/>
          <w:sz w:val="24"/>
          <w:szCs w:val="24"/>
          <w:highlight w:val="none"/>
          <w:u w:val="single"/>
        </w:rPr>
      </w:pPr>
      <w:r>
        <w:rPr>
          <w:rFonts w:hint="default" w:asciiTheme="minorEastAsia" w:hAnsiTheme="minorEastAsia" w:eastAsiaTheme="minorEastAsia"/>
          <w:color w:val="auto"/>
          <w:sz w:val="24"/>
          <w:szCs w:val="24"/>
          <w:highlight w:val="none"/>
          <w:u w:val="single"/>
        </w:rPr>
      </w:r>
      <w:r/>
    </w:p>
    <w:p>
      <w:pPr>
        <w:ind w:left="0" w:firstLine="480"/>
        <w:jc w:val="both"/>
        <w:spacing w:line="440" w:lineRule="exact"/>
        <w:widowControl/>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lang w:val="zh-CN"/>
        </w:rPr>
        <w:t xml:space="preserve">：</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1.报价表包含投标单位各项成本核算和投入的成本明细，合计金额应与开标一览表合计金额一致；否则，以开标一览表为准。</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2.表中所列项目必须核算明细，如有增加，可自行添加。</w:t>
      </w:r>
      <w:r/>
    </w:p>
    <w:p>
      <w:pPr>
        <w:ind w:left="0" w:firstLine="480"/>
        <w:jc w:val="both"/>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910"/>
        <w:jc w:val="righ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left"/>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《中小企业声明函》或《残疾人福利性单位声明函》或省级以上监狱管理局、戒毒管理局（含新疆生产建设兵团）出具的属于监狱企业的证明文件</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中小企业声明函（服务）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val="zh-CN"/>
        </w:rPr>
        <w:t xml:space="preserve">（单位名称）</w:t>
      </w:r>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lang w:val="zh-CN"/>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u w:val="single"/>
          <w:lang w:val="zh-CN"/>
        </w:rPr>
        <w:t xml:space="preserve">（标的名称）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（其他未列明行业）</w:t>
      </w:r>
      <w:r>
        <w:rPr>
          <w:rFonts w:hint="eastAsia" w:ascii="宋体" w:hAnsi="宋体" w:eastAsia="宋体" w:cs="宋体"/>
          <w:color w:val="auto"/>
          <w:sz w:val="24"/>
          <w:szCs w:val="24"/>
          <w:highlight w:val="none"/>
          <w:lang w:val="zh-CN"/>
        </w:rPr>
        <w:t xml:space="preserve">行业；承接企业为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（中型企业、小型企业、微型企业）</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u w:val="single"/>
          <w:lang w:val="zh-CN"/>
        </w:rPr>
        <w:t xml:space="preserve">（标的名称）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（其他未列明行业）</w:t>
      </w:r>
      <w:r>
        <w:rPr>
          <w:rFonts w:hint="eastAsia" w:ascii="宋体" w:hAnsi="宋体" w:eastAsia="宋体" w:cs="宋体"/>
          <w:color w:val="auto"/>
          <w:sz w:val="24"/>
          <w:szCs w:val="24"/>
          <w:highlight w:val="none"/>
          <w:lang w:val="zh-CN"/>
        </w:rPr>
        <w:t xml:space="preserve">行业；承接企业为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（中型企业、小型企业、微型企业）</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本企业对上述声明内容的真实性负责。如有虚假，将依法承担相应责任。</w:t>
      </w:r>
      <w:r/>
    </w:p>
    <w:p>
      <w:pPr>
        <w:ind w:firstLine="480"/>
        <w:jc w:val="right"/>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企业名称（盖章）：</w:t>
      </w:r>
      <w:r/>
    </w:p>
    <w:p>
      <w:pPr>
        <w:ind w:firstLine="480"/>
        <w:jc w:val="right"/>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日期：</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备注：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1.从业人员、营业收入、资产总额填报上一年度数据，无上一年度数据的新成立企业可不填报。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2.根据“工信部联企业〔2011〕300号通知中的《中小企业划型标准规定》”，本项目所属行业为其他未列明行业。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2"/>
        <w:jc w:val="both"/>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br w:type="page" w:clear="all"/>
      </w:r>
      <w:r/>
    </w:p>
    <w:p>
      <w:pPr>
        <w:jc w:val="center"/>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残疾人福利性单位声明函</w:t>
      </w:r>
      <w:r/>
    </w:p>
    <w:p>
      <w:pPr>
        <w:jc w:val="left"/>
        <w:spacing w:line="360" w:lineRule="auto"/>
        <w:widowControl w:val="off"/>
        <w:rPr>
          <w:rFonts w:hint="eastAsia" w:ascii="宋体" w:hAnsi="宋体" w:eastAsia="宋体" w:cs="宋体"/>
          <w:b/>
          <w:color w:val="auto"/>
          <w:spacing w:val="6"/>
          <w:sz w:val="24"/>
          <w:highlight w:val="none"/>
        </w:rPr>
      </w:pPr>
      <w:r>
        <w:rPr>
          <w:rFonts w:hint="eastAsia" w:ascii="宋体" w:hAnsi="宋体" w:eastAsia="宋体" w:cs="宋体"/>
          <w:b/>
          <w:color w:val="auto"/>
          <w:spacing w:val="6"/>
          <w:sz w:val="24"/>
          <w:highlight w:val="none"/>
        </w:rPr>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本单位对上述声明的真实性负责。如有虚假，将依法承担相应责任。</w:t>
      </w:r>
      <w:r/>
    </w:p>
    <w:p>
      <w:pPr>
        <w:ind w:firstLine="504"/>
        <w:jc w:val="left"/>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jc w:val="left"/>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911"/>
        <w:ind w:left="3400" w:firstLine="2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pStyle w:val="911"/>
        <w:ind w:left="3400" w:firstLine="2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910"/>
        <w:jc w:val="left"/>
        <w:spacing w:line="360" w:lineRule="auto"/>
        <w:rPr>
          <w:rFonts w:hint="eastAsia" w:ascii="宋体" w:hAnsi="宋体" w:eastAsia="宋体" w:cs="宋体"/>
          <w:b/>
          <w:color w:val="auto"/>
          <w:sz w:val="24"/>
          <w:szCs w:val="24"/>
          <w:highlight w:val="none"/>
        </w:rPr>
      </w:pPr>
      <w:r>
        <w:rPr>
          <w:rFonts w:hint="eastAsia" w:hAnsi="宋体" w:eastAsia="宋体" w:cs="宋体"/>
          <w:b/>
          <w:bCs/>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法定代表人授权委托书</w:t>
      </w:r>
      <w:r/>
    </w:p>
    <w:p>
      <w:pPr>
        <w:jc w:val="center"/>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法定代表人授权委托书</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  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（投标人名称）的法定代表人，现授权委托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zh-CN"/>
        </w:rPr>
        <w:t xml:space="preserve">姓名</w:t>
      </w:r>
      <w:r>
        <w:rPr>
          <w:rFonts w:hint="eastAsia" w:ascii="宋体" w:hAnsi="宋体" w:eastAsia="宋体" w:cs="宋体"/>
          <w:color w:val="auto"/>
          <w:sz w:val="24"/>
          <w:szCs w:val="24"/>
          <w:highlight w:val="none"/>
          <w:lang w:val="en-US" w:eastAsia="zh-CN"/>
        </w:rPr>
        <w:t xml:space="preserve">及身份证号码</w:t>
      </w:r>
      <w:r>
        <w:rPr>
          <w:rFonts w:hint="eastAsia" w:ascii="宋体" w:hAnsi="宋体" w:eastAsia="宋体" w:cs="宋体"/>
          <w:color w:val="auto"/>
          <w:sz w:val="24"/>
          <w:highlight w:val="none"/>
        </w:rPr>
        <w:t xml:space="preserve">）为我公司代理人，以本公司的名义参加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（采购人名称）组织实施的编号为</w:t>
      </w:r>
      <w:r>
        <w:rPr>
          <w:rFonts w:hint="eastAsia" w:ascii="宋体" w:hAnsi="宋体" w:eastAsia="宋体" w:cs="宋体"/>
          <w:bCs/>
          <w:color w:val="auto"/>
          <w:sz w:val="24"/>
          <w:szCs w:val="24"/>
          <w:highlight w:val="none"/>
          <w:u w:val="single"/>
          <w:lang w:val="zh-CN"/>
        </w:rPr>
        <w:t xml:space="preserve">JSZC-320583-LHZX-G2026-0001</w:t>
      </w:r>
      <w:r>
        <w:rPr>
          <w:rFonts w:hint="eastAsia" w:ascii="宋体" w:hAnsi="宋体" w:eastAsia="宋体" w:cs="宋体"/>
          <w:color w:val="auto"/>
          <w:sz w:val="24"/>
          <w:highlight w:val="none"/>
        </w:rPr>
        <w:t xml:space="preserve">号的采购活动。代理人在投标、开标、评标、合同订立和履行过程中所签署的一切文件和处理与这有关的一切事务，我均予以承认。</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代理人无转委托权。特此委托。</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jc w:val="left"/>
        <w:widowControl/>
        <w:rPr>
          <w:rFonts w:hint="eastAsia" w:ascii="宋体" w:hAnsi="宋体" w:eastAsia="宋体" w:cs="宋体"/>
          <w:color w:val="auto"/>
          <w:sz w:val="24"/>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、投标函</w:t>
      </w:r>
      <w:r/>
    </w:p>
    <w:p>
      <w:pPr>
        <w:jc w:val="center"/>
        <w:spacing w:line="360" w:lineRule="auto"/>
        <w:widowControl/>
        <w:rPr>
          <w:rFonts w:hint="eastAsia" w:ascii="宋体" w:hAnsi="宋体" w:eastAsia="宋体" w:cs="宋体"/>
          <w:b/>
          <w:color w:val="auto"/>
          <w:sz w:val="24"/>
          <w:highlight w:val="none"/>
          <w:lang w:val="zh-CN"/>
        </w:rPr>
        <w:outlineLvl w:val="0"/>
      </w:pPr>
      <w:r/>
      <w:bookmarkStart w:id="14" w:name="_Hlk136550814"/>
      <w:r>
        <w:rPr>
          <w:rFonts w:hint="eastAsia" w:ascii="宋体" w:hAnsi="宋体" w:eastAsia="宋体" w:cs="宋体"/>
          <w:b/>
          <w:color w:val="auto"/>
          <w:sz w:val="24"/>
          <w:highlight w:val="none"/>
          <w:lang w:val="zh-CN"/>
        </w:rPr>
        <w:t xml:space="preserve">投标函</w:t>
      </w:r>
      <w:r/>
    </w:p>
    <w:p>
      <w:pPr>
        <w:pStyle w:val="75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我方收到贵公司</w:t>
      </w:r>
      <w:r>
        <w:rPr>
          <w:rFonts w:hint="eastAsia" w:ascii="宋体" w:hAnsi="宋体" w:eastAsia="宋体" w:cs="宋体"/>
          <w:bCs/>
          <w:color w:val="auto"/>
          <w:sz w:val="24"/>
          <w:szCs w:val="24"/>
          <w:highlight w:val="none"/>
          <w:u w:val="single"/>
          <w:lang w:val="zh-CN"/>
        </w:rPr>
        <w:t xml:space="preserve">JSZC-320583-LHZX-G2026-0001</w:t>
      </w:r>
      <w:r>
        <w:rPr>
          <w:rFonts w:hint="eastAsia" w:ascii="宋体" w:hAnsi="宋体" w:eastAsia="宋体" w:cs="宋体"/>
          <w:color w:val="auto"/>
          <w:sz w:val="24"/>
          <w:highlight w:val="none"/>
        </w:rPr>
        <w:t xml:space="preserve">号招标文件，经仔细阅读和研究，我方决定参加投标。</w:t>
      </w:r>
      <w:r/>
    </w:p>
    <w:p>
      <w:pPr>
        <w:ind w:firstLine="480"/>
        <w:jc w:val="left"/>
        <w:keepLines w:val="0"/>
        <w:keepNext w:val="0"/>
        <w:pageBreakBefore w:val="0"/>
        <w:spacing w:line="312"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1、我们愿意按照招标文件的一切要求，</w:t>
      </w:r>
      <w:r>
        <w:rPr>
          <w:rFonts w:hint="eastAsia" w:ascii="宋体" w:hAnsi="宋体" w:eastAsia="宋体" w:cs="宋体"/>
          <w:bCs/>
          <w:color w:val="auto"/>
          <w:sz w:val="24"/>
          <w:highlight w:val="none"/>
        </w:rPr>
        <w:t xml:space="preserve">报价</w:t>
      </w:r>
      <w:r>
        <w:rPr>
          <w:rFonts w:hint="eastAsia" w:ascii="宋体" w:hAnsi="宋体" w:eastAsia="宋体" w:cs="宋体"/>
          <w:bCs/>
          <w:color w:val="auto"/>
          <w:sz w:val="24"/>
          <w:highlight w:val="none"/>
          <w:lang w:eastAsia="zh-CN"/>
        </w:rPr>
        <w:t xml:space="preserve">包括完成该项工作所需的招标服务费、检验服务所需设备、各种税费、人工、保险、劳保、维护、利润、税金、政策性文件规定及合同包含的所有风险、责任等各项应有费用。</w:t>
      </w:r>
      <w:r>
        <w:rPr>
          <w:rFonts w:hint="eastAsia" w:ascii="宋体" w:hAnsi="宋体" w:eastAsia="宋体" w:cs="宋体"/>
          <w:bCs/>
          <w:color w:val="auto"/>
          <w:sz w:val="24"/>
          <w:highlight w:val="none"/>
        </w:rPr>
        <w:t xml:space="preserve">投标报价为最终报价，除非因特殊原因并经买卖双方协商同意，投标人不得再要求追加任何费用。</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2、如果我方的投标书被接受，我方将严格履行招标文件中规定的每一项要求，严格履行合同的责任和义务，保证按期、按质履行合同，完成合同内容所规定的全部工作。</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3、我方同意按招标文件中的规定，本投标书的有效期限为投标截止之日起</w:t>
      </w:r>
      <w:r>
        <w:rPr>
          <w:rFonts w:hint="eastAsia" w:ascii="宋体" w:hAnsi="宋体" w:eastAsia="宋体" w:cs="宋体"/>
          <w:color w:val="auto"/>
          <w:sz w:val="24"/>
          <w:highlight w:val="none"/>
          <w:u w:val="single"/>
          <w:lang w:val="en-US" w:eastAsia="zh-CN"/>
        </w:rPr>
        <w:t xml:space="preserve">90</w:t>
      </w:r>
      <w:r>
        <w:rPr>
          <w:rFonts w:hint="eastAsia" w:ascii="宋体" w:hAnsi="宋体" w:eastAsia="宋体" w:cs="宋体"/>
          <w:color w:val="auto"/>
          <w:sz w:val="24"/>
          <w:highlight w:val="none"/>
        </w:rPr>
        <w:t xml:space="preserve">天，如果我方在开标后规定的投标有效期内撤回投标，我方愿接受处罚。</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5、我方认为贵方有权决定中标者，还认为贵方有权接受或拒绝所有的投标者。</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6、我方愿意遵守招标公告及招标文件中所列的收费标准。</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7、我方承诺该项投标在开标后的全过程中保持有效，不作任何更改和变动。我方同意中标后若不履行投标文件的内容要求和各项承诺及义务的即被视为违约，我方的中标资格将被取消。</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8、我方同意中标方若无法按约定条款履行义务等行为，招标方有权取消我方的中标资格。</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9、与本投标有关的通讯地址：</w:t>
      </w:r>
      <w:r/>
    </w:p>
    <w:p>
      <w:pPr>
        <w:pStyle w:val="750"/>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单    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联 系 人：</w:t>
      </w:r>
      <w:r>
        <w:rPr>
          <w:rFonts w:hint="eastAsia" w:ascii="宋体" w:hAnsi="宋体" w:eastAsia="宋体" w:cs="宋体"/>
          <w:color w:val="auto"/>
          <w:highlight w:val="none"/>
          <w:u w:val="none"/>
        </w:rPr>
        <w:t xml:space="preserve">_____________________</w:t>
      </w:r>
      <w:r/>
    </w:p>
    <w:p>
      <w:pPr>
        <w:pStyle w:val="750"/>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邮政编码：</w:t>
      </w:r>
      <w:r>
        <w:rPr>
          <w:rFonts w:hint="eastAsia" w:ascii="宋体" w:hAnsi="宋体" w:eastAsia="宋体" w:cs="宋体"/>
          <w:color w:val="auto"/>
          <w:highlight w:val="none"/>
          <w:u w:val="none"/>
        </w:rPr>
        <w:t xml:space="preserve">_____________________</w:t>
      </w:r>
      <w:r/>
    </w:p>
    <w:p>
      <w:pPr>
        <w:pStyle w:val="750"/>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传    真：</w:t>
      </w:r>
      <w:r>
        <w:rPr>
          <w:rFonts w:hint="eastAsia" w:ascii="宋体" w:hAnsi="宋体" w:eastAsia="宋体" w:cs="宋体"/>
          <w:color w:val="auto"/>
          <w:highlight w:val="none"/>
          <w:u w:val="none"/>
        </w:rPr>
        <w:t xml:space="preserve">_____________________</w:t>
      </w:r>
      <w:r/>
    </w:p>
    <w:p>
      <w:pPr>
        <w:pStyle w:val="750"/>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电子邮箱：</w:t>
      </w:r>
      <w:r>
        <w:rPr>
          <w:rFonts w:hint="eastAsia" w:ascii="宋体" w:hAnsi="宋体" w:eastAsia="宋体" w:cs="宋体"/>
          <w:color w:val="auto"/>
          <w:highlight w:val="none"/>
          <w:u w:val="none"/>
        </w:rPr>
        <w:t xml:space="preserve">______________________________</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bookmarkEnd w:id="14"/>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Cs w:val="24"/>
          <w:highlight w:val="none"/>
          <w:lang w:val="en-US" w:eastAsia="zh-CN"/>
        </w:rPr>
        <w:t xml:space="preserve">6、</w:t>
      </w:r>
      <w:r>
        <w:rPr>
          <w:rFonts w:hint="eastAsia" w:ascii="宋体" w:hAnsi="宋体" w:eastAsia="宋体" w:cs="宋体"/>
          <w:b/>
          <w:color w:val="auto"/>
          <w:szCs w:val="24"/>
          <w:highlight w:val="none"/>
        </w:rPr>
        <w:t xml:space="preserve">关于资格文件的声明函</w:t>
      </w:r>
      <w:r/>
    </w:p>
    <w:p>
      <w:pPr>
        <w:pStyle w:val="727"/>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关于资格文件的声明函</w:t>
      </w:r>
      <w:r/>
    </w:p>
    <w:p>
      <w:pPr>
        <w:pStyle w:val="727"/>
        <w:ind w:left="0" w:firstLine="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本公司愿就由贵公司组织实施的编号为</w:t>
      </w:r>
      <w:r>
        <w:rPr>
          <w:rFonts w:hint="eastAsia" w:ascii="宋体" w:hAnsi="宋体" w:eastAsia="宋体" w:cs="宋体"/>
          <w:color w:val="auto"/>
          <w:sz w:val="24"/>
          <w:highlight w:val="none"/>
          <w:u w:val="single"/>
          <w:lang w:eastAsia="zh-CN"/>
        </w:rPr>
        <w:t xml:space="preserve">JSZC-320583-LHZX-G2026-0001</w:t>
      </w:r>
      <w:r>
        <w:rPr>
          <w:rFonts w:hint="eastAsia" w:ascii="宋体" w:hAnsi="宋体" w:eastAsia="宋体" w:cs="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910"/>
        <w:jc w:val="righ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27"/>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color w:val="auto"/>
          <w:highlight w:val="none"/>
        </w:rPr>
        <w:br w:type="page" w:clear="all"/>
      </w:r>
      <w:r>
        <w:rPr>
          <w:rFonts w:hint="eastAsia"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、投标人</w:t>
      </w:r>
      <w:r>
        <w:rPr>
          <w:rFonts w:hint="eastAsia" w:ascii="宋体" w:hAnsi="宋体" w:eastAsia="宋体" w:cs="宋体"/>
          <w:b/>
          <w:bCs/>
          <w:color w:val="auto"/>
          <w:sz w:val="24"/>
          <w:szCs w:val="24"/>
          <w:highlight w:val="none"/>
          <w:lang w:val="en-US" w:eastAsia="zh-CN"/>
        </w:rPr>
        <w:t xml:space="preserve">基本</w:t>
      </w:r>
      <w:r>
        <w:rPr>
          <w:rFonts w:hint="eastAsia" w:ascii="宋体" w:hAnsi="宋体" w:eastAsia="宋体" w:cs="宋体"/>
          <w:b/>
          <w:bCs/>
          <w:color w:val="auto"/>
          <w:sz w:val="24"/>
          <w:szCs w:val="24"/>
          <w:highlight w:val="none"/>
        </w:rPr>
        <w:t xml:space="preserve">情况表</w:t>
      </w:r>
      <w:r/>
    </w:p>
    <w:p>
      <w:pPr>
        <w:pStyle w:val="727"/>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投标人</w:t>
      </w:r>
      <w:r>
        <w:rPr>
          <w:rFonts w:hint="eastAsia" w:ascii="宋体" w:hAnsi="宋体" w:eastAsia="宋体" w:cs="宋体"/>
          <w:b/>
          <w:color w:val="auto"/>
          <w:szCs w:val="24"/>
          <w:highlight w:val="none"/>
          <w:lang w:val="en-US" w:eastAsia="zh-CN"/>
        </w:rPr>
        <w:t xml:space="preserve">基本</w:t>
      </w:r>
      <w:r>
        <w:rPr>
          <w:rFonts w:hint="eastAsia" w:ascii="宋体" w:hAnsi="宋体" w:eastAsia="宋体" w:cs="宋体"/>
          <w:b/>
          <w:color w:val="auto"/>
          <w:szCs w:val="24"/>
          <w:highlight w:val="none"/>
        </w:rPr>
        <w:t xml:space="preserve">情况表</w:t>
      </w:r>
      <w:r/>
    </w:p>
    <w:tbl>
      <w:tblPr>
        <w:tblStyle w:val="725"/>
        <w:tblpPr w:horzAnchor="page" w:tblpX="1292" w:vertAnchor="text" w:tblpY="288" w:leftFromText="180" w:topFromText="0" w:rightFromText="180" w:bottomFromText="0"/>
        <w:tblW w:w="956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98"/>
        <w:gridCol w:w="1923"/>
        <w:gridCol w:w="1458"/>
        <w:gridCol w:w="2051"/>
        <w:gridCol w:w="1234"/>
      </w:tblGrid>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p>
        </w:tc>
        <w:tc>
          <w:tcPr>
            <w:gridSpan w:val="2"/>
            <w:tcW w:w="3285" w:type="dxa"/>
            <w:vAlign w:val="center"/>
            <w:textDirection w:val="lrTb"/>
            <w:noWrap w:val="false"/>
          </w:tcPr>
          <w:p>
            <w:pPr>
              <w:pStyle w:val="727"/>
              <w:ind w:firstLine="216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509"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其中：有中高级以上职称的人数</w:t>
            </w:r>
            <w:r/>
          </w:p>
        </w:tc>
        <w:tc>
          <w:tcPr>
            <w:tcW w:w="1234"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资产总计</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股东权益</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销售收入</w:t>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202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年</w:t>
            </w:r>
            <w:r>
              <w:rPr>
                <w:rFonts w:hint="eastAsia" w:ascii="宋体" w:hAnsi="宋体" w:eastAsia="宋体" w:cs="宋体"/>
                <w:color w:val="auto"/>
                <w:szCs w:val="24"/>
                <w:highlight w:val="none"/>
              </w:rPr>
              <w:t xml:space="preserve">    万元</w:t>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实现利润</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202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lang w:eastAsia="zh-CN"/>
              </w:rPr>
              <w:t xml:space="preserve">年</w:t>
            </w:r>
            <w:r>
              <w:rPr>
                <w:rFonts w:hint="eastAsia" w:ascii="宋体" w:hAnsi="宋体" w:eastAsia="宋体" w:cs="宋体"/>
                <w:color w:val="auto"/>
                <w:szCs w:val="24"/>
                <w:highlight w:val="none"/>
              </w:rPr>
              <w:t xml:space="preserve">   万元</w:t>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营业面积（含厂房面积）</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平方米</w:t>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自有面积平方米</w:t>
            </w:r>
            <w:r/>
          </w:p>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承租面积平方米</w:t>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近三年来完成或正在履行的重大合同情况</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w:t>
            </w:r>
            <w:r>
              <w:rPr>
                <w:rFonts w:hint="eastAsia" w:ascii="宋体" w:hAnsi="宋体" w:eastAsia="宋体" w:cs="宋体"/>
                <w:color w:val="auto"/>
                <w:szCs w:val="24"/>
                <w:highlight w:val="none"/>
                <w:lang w:eastAsia="zh-CN"/>
              </w:rPr>
              <w:t xml:space="preserve">3年内</w:t>
            </w:r>
            <w:r>
              <w:rPr>
                <w:rFonts w:hint="eastAsia" w:ascii="宋体" w:hAnsi="宋体" w:eastAsia="宋体" w:cs="宋体"/>
                <w:color w:val="auto"/>
                <w:szCs w:val="24"/>
                <w:highlight w:val="none"/>
              </w:rPr>
              <w:t xml:space="preserve">在经营过程中受到何种奖励或处分</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w:t>
            </w:r>
            <w:r>
              <w:rPr>
                <w:rFonts w:hint="eastAsia" w:ascii="宋体" w:hAnsi="宋体" w:eastAsia="宋体" w:cs="宋体"/>
                <w:color w:val="auto"/>
                <w:szCs w:val="24"/>
                <w:highlight w:val="none"/>
                <w:lang w:eastAsia="zh-CN"/>
              </w:rPr>
              <w:t xml:space="preserve">3年内</w:t>
            </w:r>
            <w:r>
              <w:rPr>
                <w:rFonts w:hint="eastAsia" w:ascii="宋体" w:hAnsi="宋体" w:eastAsia="宋体" w:cs="宋体"/>
                <w:color w:val="auto"/>
                <w:szCs w:val="24"/>
                <w:highlight w:val="none"/>
              </w:rPr>
              <w:t xml:space="preserve">有无因售假、售劣或是其他原因被消费者投诉或起诉的情况及说明</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w:t>
            </w:r>
            <w:r>
              <w:rPr>
                <w:rFonts w:hint="eastAsia" w:ascii="宋体" w:hAnsi="宋体" w:eastAsia="宋体" w:cs="宋体"/>
                <w:color w:val="auto"/>
                <w:szCs w:val="24"/>
                <w:highlight w:val="none"/>
                <w:lang w:eastAsia="zh-CN"/>
              </w:rPr>
              <w:t xml:space="preserve">3年内</w:t>
            </w:r>
            <w:r>
              <w:rPr>
                <w:rFonts w:hint="eastAsia" w:ascii="宋体" w:hAnsi="宋体" w:eastAsia="宋体" w:cs="宋体"/>
                <w:color w:val="auto"/>
                <w:szCs w:val="24"/>
                <w:highlight w:val="none"/>
              </w:rPr>
              <w:t xml:space="preserve">主要负责人有无因经济犯罪被司法机关追究的情况及说明</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获得技术认证的工程师及简介</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727"/>
        <w:ind w:firstLine="0"/>
        <w:jc w:val="both"/>
        <w:spacing w:line="360" w:lineRule="auto"/>
        <w:rPr>
          <w:rFonts w:hint="eastAsia" w:ascii="宋体" w:hAnsi="宋体" w:eastAsia="宋体" w:cs="宋体"/>
          <w:color w:val="auto"/>
          <w:sz w:val="26"/>
          <w:szCs w:val="24"/>
          <w:highlight w:val="none"/>
        </w:rPr>
        <w:outlineLvl w:val="1"/>
      </w:pPr>
      <w:r>
        <w:rPr>
          <w:rFonts w:hint="eastAsia" w:ascii="宋体" w:hAnsi="宋体" w:eastAsia="宋体" w:cs="宋体"/>
          <w:b/>
          <w:color w:val="auto"/>
          <w:highlight w:val="none"/>
          <w:lang w:val="en-US" w:eastAsia="zh-CN"/>
        </w:rPr>
        <w:br w:type="page" w:clear="all"/>
      </w:r>
      <w:bookmarkStart w:id="15" w:name="_Hlk136550733"/>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商务条款偏离表</w:t>
      </w:r>
      <w:r/>
    </w:p>
    <w:p>
      <w:pPr>
        <w:pStyle w:val="727"/>
        <w:ind w:firstLine="0"/>
        <w:jc w:val="center"/>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商务条款偏离表</w:t>
      </w:r>
      <w:r/>
    </w:p>
    <w:tbl>
      <w:tblPr>
        <w:tblStyle w:val="7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141"/>
        <w:gridCol w:w="2675"/>
        <w:gridCol w:w="2675"/>
        <w:gridCol w:w="1913"/>
      </w:tblGrid>
      <w:tr>
        <w:trPr/>
        <w:tc>
          <w:tcPr>
            <w:tcW w:w="387"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50"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商务内容</w:t>
            </w:r>
            <w:r/>
          </w:p>
        </w:tc>
        <w:tc>
          <w:tcPr>
            <w:tcW w:w="1312"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招标文件的商务条款</w:t>
            </w:r>
            <w:r/>
          </w:p>
        </w:tc>
        <w:tc>
          <w:tcPr>
            <w:tcW w:w="1312"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投标文件的商务条款</w:t>
            </w:r>
            <w:r/>
          </w:p>
        </w:tc>
        <w:tc>
          <w:tcPr>
            <w:tcW w:w="938"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注：投标人的投标文件（除</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bookmarkEnd w:id="15"/>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912"/>
        <w:spacing w:line="360" w:lineRule="auto"/>
        <w:rPr>
          <w:rFonts w:hint="eastAsia" w:ascii="宋体" w:hAnsi="宋体" w:eastAsia="宋体" w:cs="宋体"/>
          <w:b/>
          <w:color w:val="auto"/>
          <w:highlight w:val="none"/>
        </w:rPr>
        <w:outlineLvl w:val="1"/>
      </w:pPr>
      <w:r>
        <w:rPr>
          <w:rFonts w:hint="eastAsia" w:ascii="宋体" w:hAnsi="宋体" w:eastAsia="宋体" w:cs="宋体"/>
          <w:b/>
          <w:color w:val="auto"/>
          <w:szCs w:val="24"/>
          <w:highlight w:val="none"/>
        </w:rPr>
        <w:br w:type="page" w:clear="all"/>
      </w:r>
      <w:r>
        <w:rPr>
          <w:rFonts w:hint="eastAsia"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eastAsia="zh-CN"/>
        </w:rPr>
        <w:t xml:space="preserve">服务要求偏离表</w:t>
      </w:r>
      <w:r/>
    </w:p>
    <w:p>
      <w:pPr>
        <w:pStyle w:val="727"/>
        <w:ind w:firstLine="0"/>
        <w:jc w:val="center"/>
        <w:spacing w:line="360" w:lineRule="auto"/>
        <w:tabs>
          <w:tab w:val="left" w:pos="900" w:leader="none"/>
        </w:tabs>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27"/>
        <w:ind w:firstLine="0"/>
        <w:jc w:val="center"/>
        <w:spacing w:line="360" w:lineRule="auto"/>
        <w:tabs>
          <w:tab w:val="left" w:pos="900" w:leader="none"/>
        </w:tabs>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eastAsia="zh-CN"/>
        </w:rPr>
        <w:t xml:space="preserve">服务要求偏离表</w:t>
      </w:r>
      <w:r/>
    </w:p>
    <w:tbl>
      <w:tblPr>
        <w:tblStyle w:val="725"/>
        <w:tblW w:w="10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42"/>
        <w:gridCol w:w="2299"/>
        <w:gridCol w:w="2268"/>
        <w:gridCol w:w="1559"/>
        <w:gridCol w:w="1238"/>
      </w:tblGrid>
      <w:tr>
        <w:trPr>
          <w:jc w:val="center"/>
        </w:trPr>
        <w:tc>
          <w:tcPr>
            <w:tcW w:w="71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942"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内容</w:t>
            </w:r>
            <w:r/>
          </w:p>
        </w:tc>
        <w:tc>
          <w:tcPr>
            <w:tcW w:w="229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要求条款</w:t>
            </w:r>
            <w:r/>
          </w:p>
        </w:tc>
        <w:tc>
          <w:tcPr>
            <w:tcW w:w="2268"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要求条款</w:t>
            </w:r>
            <w:r/>
          </w:p>
        </w:tc>
        <w:tc>
          <w:tcPr>
            <w:tcW w:w="1559" w:type="dxa"/>
            <w:vAlign w:val="center"/>
            <w:textDirection w:val="lrTb"/>
            <w:noWrap w:val="false"/>
          </w:tcPr>
          <w:p>
            <w:pPr>
              <w:jc w:val="center"/>
              <w:widowControl/>
              <w:rPr>
                <w:rFonts w:hint="eastAsia" w:ascii="宋体" w:hAnsi="宋体" w:eastAsia="宋体" w:cs="宋体"/>
                <w:color w:val="auto"/>
                <w:sz w:val="24"/>
                <w:highlight w:val="none"/>
              </w:rPr>
            </w:pPr>
            <w:r>
              <w:rPr>
                <w:rStyle w:val="913"/>
                <w:rFonts w:hint="eastAsia" w:ascii="宋体" w:hAnsi="宋体" w:eastAsia="宋体" w:cs="宋体"/>
                <w:color w:val="auto"/>
                <w:highlight w:val="none"/>
              </w:rPr>
              <w:t xml:space="preserve">偏离/响应</w:t>
            </w:r>
            <w:r/>
          </w:p>
        </w:tc>
        <w:tc>
          <w:tcPr>
            <w:tcW w:w="1238"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注：1、投标人应对照招标文件</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要求等要求，所投标的物与招标文件的规定有偏离的，应在此表中申明与</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要求条文的偏差和例外。</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2、未在上表中说明的，如在投标文件其他内容中已有文字说明的，则以已有文字说明为准，否则，将被认为完全响应招标文件的规定。但该表不作为投标人对所投标的物关于</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要求等详细描述和说明的替代。</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numPr>
          <w:ilvl w:val="0"/>
          <w:numId w:val="0"/>
        </w:numPr>
        <w:jc w:val="left"/>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lang w:val="zh-CN" w:eastAsia="zh-CN"/>
        </w:rPr>
        <w:t xml:space="preserve">远程参与开标会议诚信承诺书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远程参与开标会议诚信承诺书</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致：___________________________(采购人名称）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我单位自愿参加___________________（项目名称及项目编号）的投标（响应），并做出如下承诺：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一、除不可抗力外，我单位如果发生以下行为，将在行为发生的10个工作日内，向贵方支付本招标文件公布的预算价的2%作为违约赔偿金。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1.在招标文件规定的投标(响应)有效期内实质上修改或撤回投标（响应）；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3.在投标（响应）文件中提供虚假材料；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4.恶意串通；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5.其他违法违规情形。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二、我单位知晓上述行为的法律后果，承认本承诺书作为贵方要求我单位履行违约赔偿义务的依据作用。</w:t>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59"/>
        <w:ind w:left="0" w:firstLine="0"/>
        <w:rPr>
          <w:rFonts w:hint="eastAsia"/>
          <w:color w:val="auto"/>
          <w:highlight w:val="none"/>
        </w:rPr>
      </w:pPr>
      <w:r>
        <w:rPr>
          <w:rFonts w:hint="eastAsia" w:ascii="宋体" w:hAnsi="宋体" w:eastAsia="宋体" w:cs="宋体"/>
          <w:color w:val="auto"/>
          <w:sz w:val="24"/>
          <w:szCs w:val="24"/>
          <w:highlight w:val="none"/>
          <w:lang w:val="en-US" w:eastAsia="zh-CN"/>
        </w:rPr>
        <w:br w:type="page" w:clear="all"/>
      </w:r>
      <w:r/>
    </w:p>
    <w:p>
      <w:pPr>
        <w:pStyle w:val="727"/>
        <w:ind w:firstLine="0"/>
        <w:jc w:val="left"/>
        <w:spacing w:line="360" w:lineRule="auto"/>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val="en-US" w:eastAsia="zh-CN"/>
        </w:rPr>
        <w:t xml:space="preserve">11</w:t>
      </w:r>
      <w:r>
        <w:rPr>
          <w:rFonts w:hint="eastAsia" w:ascii="宋体" w:hAnsi="宋体" w:eastAsia="宋体" w:cs="宋体"/>
          <w:b/>
          <w:bCs w:val="0"/>
          <w:color w:val="auto"/>
          <w:szCs w:val="24"/>
          <w:highlight w:val="none"/>
        </w:rPr>
        <w:t xml:space="preserve">、</w:t>
      </w:r>
      <w:r>
        <w:rPr>
          <w:rFonts w:hint="eastAsia" w:ascii="宋体" w:hAnsi="宋体" w:eastAsia="宋体" w:cs="宋体"/>
          <w:b/>
          <w:bCs w:val="0"/>
          <w:color w:val="auto"/>
          <w:sz w:val="24"/>
          <w:szCs w:val="24"/>
          <w:highlight w:val="none"/>
          <w:lang w:eastAsia="zh-CN"/>
        </w:rPr>
        <w:t xml:space="preserve">项目人员配置表</w:t>
      </w:r>
      <w:r/>
    </w:p>
    <w:p>
      <w:pPr>
        <w:pStyle w:val="727"/>
        <w:ind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27"/>
        <w:ind w:firstLine="0"/>
        <w:jc w:val="center"/>
        <w:spacing w:line="360" w:lineRule="auto"/>
        <w:tabs>
          <w:tab w:val="left" w:pos="900" w:leader="none"/>
        </w:tabs>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项目人员配置表</w:t>
      </w:r>
      <w:r/>
    </w:p>
    <w:tbl>
      <w:tblPr>
        <w:tblStyle w:val="7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973"/>
        <w:gridCol w:w="1014"/>
        <w:gridCol w:w="1016"/>
        <w:gridCol w:w="847"/>
        <w:gridCol w:w="1014"/>
        <w:gridCol w:w="2207"/>
        <w:gridCol w:w="2273"/>
      </w:tblGrid>
      <w:tr>
        <w:trPr>
          <w:trHeight w:val="567"/>
        </w:trPr>
        <w:tc>
          <w:tcPr>
            <w:tcW w:w="416" w:type="pct"/>
            <w:vAlign w:val="center"/>
            <w:textDirection w:val="lrTb"/>
            <w:noWrap w:val="false"/>
          </w:tcPr>
          <w:p>
            <w:pPr>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477" w:type="pct"/>
            <w:vAlign w:val="center"/>
            <w:textDirection w:val="lrTb"/>
            <w:noWrap w:val="false"/>
          </w:tcPr>
          <w:p>
            <w:pPr>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497" w:type="pct"/>
            <w:vAlign w:val="center"/>
            <w:textDirection w:val="lrTb"/>
            <w:noWrap w:val="false"/>
          </w:tcPr>
          <w:p>
            <w:pPr>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性别</w:t>
            </w:r>
            <w:r/>
          </w:p>
        </w:tc>
        <w:tc>
          <w:tcPr>
            <w:tcW w:w="498" w:type="pct"/>
            <w:vAlign w:val="center"/>
            <w:textDirection w:val="lrTb"/>
            <w:noWrap w:val="false"/>
          </w:tcPr>
          <w:p>
            <w:pPr>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415" w:type="pct"/>
            <w:vAlign w:val="center"/>
            <w:textDirection w:val="lrTb"/>
            <w:noWrap w:val="false"/>
          </w:tcPr>
          <w:p>
            <w:pPr>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学历</w:t>
            </w:r>
            <w:r/>
          </w:p>
        </w:tc>
        <w:tc>
          <w:tcPr>
            <w:tcW w:w="497" w:type="pct"/>
            <w:vAlign w:val="center"/>
            <w:textDirection w:val="lrTb"/>
            <w:noWrap w:val="false"/>
          </w:tcPr>
          <w:p>
            <w:pPr>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职称</w:t>
            </w:r>
            <w:r/>
          </w:p>
        </w:tc>
        <w:tc>
          <w:tcPr>
            <w:tcW w:w="1082" w:type="pct"/>
            <w:vAlign w:val="center"/>
            <w:textDirection w:val="lrTb"/>
            <w:noWrap w:val="false"/>
          </w:tcPr>
          <w:p>
            <w:pPr>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身份证号</w:t>
            </w:r>
            <w:r/>
          </w:p>
        </w:tc>
        <w:tc>
          <w:tcPr>
            <w:tcW w:w="1114" w:type="pct"/>
            <w:vAlign w:val="center"/>
            <w:textDirection w:val="lrTb"/>
            <w:noWrap w:val="false"/>
          </w:tcPr>
          <w:p>
            <w:pPr>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在本项目中的岗位</w:t>
            </w:r>
            <w:r/>
          </w:p>
        </w:tc>
      </w:tr>
      <w:tr>
        <w:trPr>
          <w:trHeight w:val="567"/>
        </w:trPr>
        <w:tc>
          <w:tcPr>
            <w:tcW w:w="416" w:type="pct"/>
            <w:vAlign w:val="center"/>
            <w:textDirection w:val="lrTb"/>
            <w:noWrap w:val="false"/>
          </w:tcPr>
          <w:p>
            <w:pPr>
              <w:jc w:val="center"/>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47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47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47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47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47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47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47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47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47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47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47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7"/>
        </w:trPr>
        <w:tc>
          <w:tcPr>
            <w:tcW w:w="416" w:type="pct"/>
            <w:vAlign w:val="center"/>
            <w:textDirection w:val="lrTb"/>
            <w:noWrap w:val="false"/>
          </w:tcPr>
          <w:p>
            <w:pPr>
              <w:jc w:val="center"/>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47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8"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15"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497"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082"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14" w:type="pct"/>
            <w:vAlign w:val="center"/>
            <w:textDirection w:val="lrTb"/>
            <w:noWrap w:val="false"/>
          </w:tcPr>
          <w:p>
            <w:pPr>
              <w:ind w:right="357"/>
              <w:jc w:val="center"/>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bl>
    <w:p>
      <w:pPr>
        <w:pStyle w:val="735"/>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注：附相应证明材料。</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企业类似业绩一览表</w:t>
      </w:r>
      <w:r/>
    </w:p>
    <w:p>
      <w:pPr>
        <w:pStyle w:val="735"/>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bookmarkStart w:id="16" w:name="_Toc13642115"/>
      <w:r>
        <w:rPr>
          <w:rFonts w:hint="eastAsia" w:ascii="宋体" w:hAnsi="宋体" w:eastAsia="宋体" w:cs="宋体"/>
          <w:b/>
          <w:color w:val="auto"/>
          <w:sz w:val="24"/>
          <w:szCs w:val="24"/>
          <w:highlight w:val="none"/>
        </w:rPr>
        <w:t xml:space="preserve">企业类似业绩一览表</w:t>
      </w:r>
      <w:r/>
    </w:p>
    <w:tbl>
      <w:tblPr>
        <w:tblStyle w:val="7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034"/>
        <w:gridCol w:w="1136"/>
        <w:gridCol w:w="2295"/>
        <w:gridCol w:w="1722"/>
        <w:gridCol w:w="1093"/>
        <w:gridCol w:w="1407"/>
        <w:gridCol w:w="847"/>
      </w:tblGrid>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55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项目时间</w:t>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c>
          <w:tcPr>
            <w:tcW w:w="844" w:type="pct"/>
            <w:vAlign w:val="center"/>
            <w:textDirection w:val="lrTb"/>
            <w:noWrap w:val="false"/>
          </w:tcPr>
          <w:p>
            <w:pPr>
              <w:jc w:val="center"/>
              <w:spacing w:line="360" w:lineRule="auto"/>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480"/>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注：若事项较多，投标人可根据投标内容的实际情况另纸说明。</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5"/>
        <w:jc w:val="center"/>
        <w:rPr>
          <w:rFonts w:hint="eastAsia" w:ascii="宋体" w:hAnsi="宋体" w:eastAsia="宋体" w:cs="宋体"/>
          <w:color w:val="auto"/>
          <w:sz w:val="52"/>
          <w:szCs w:val="52"/>
          <w:highlight w:val="none"/>
        </w:rPr>
      </w:pPr>
      <w:r/>
      <w:bookmarkStart w:id="17" w:name="_Toc520073484"/>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第四章 </w:t>
      </w:r>
      <w:bookmarkEnd w:id="16"/>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招标书</w:t>
      </w:r>
      <w:bookmarkEnd w:id="17"/>
      <w:r/>
      <w:r/>
    </w:p>
    <w:p>
      <w:pPr>
        <w:jc w:val="left"/>
        <w:widowControl/>
        <w:rPr>
          <w:rFonts w:hint="eastAsia" w:ascii="宋体" w:hAnsi="宋体" w:eastAsia="宋体" w:cs="宋体"/>
          <w:color w:val="auto"/>
          <w:sz w:val="24"/>
          <w:highlight w:val="none"/>
        </w:rPr>
      </w:pPr>
      <w:r/>
      <w:bookmarkStart w:id="18" w:name="_Toc13543212"/>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 xml:space="preserve">招标书</w:t>
      </w:r>
      <w:bookmarkEnd w:id="18"/>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苏州乐慧招投标咨询有限公司受</w:t>
      </w:r>
      <w:r>
        <w:rPr>
          <w:rFonts w:hint="eastAsia" w:ascii="宋体" w:hAnsi="宋体" w:eastAsia="宋体" w:cs="宋体"/>
          <w:color w:val="auto"/>
          <w:sz w:val="24"/>
          <w:highlight w:val="none"/>
          <w:lang w:eastAsia="zh-CN"/>
        </w:rPr>
        <w:t xml:space="preserve">昆山市中西医结合医院</w:t>
      </w:r>
      <w:r>
        <w:rPr>
          <w:rFonts w:hint="eastAsia" w:ascii="宋体" w:hAnsi="宋体" w:eastAsia="宋体" w:cs="宋体"/>
          <w:color w:val="auto"/>
          <w:sz w:val="24"/>
          <w:highlight w:val="none"/>
        </w:rPr>
        <w:t xml:space="preserve">的委托，就其所需</w:t>
      </w:r>
      <w:r>
        <w:rPr>
          <w:rFonts w:hint="eastAsia" w:ascii="宋体" w:hAnsi="宋体" w:eastAsia="宋体" w:cs="宋体"/>
          <w:color w:val="auto"/>
          <w:sz w:val="24"/>
          <w:highlight w:val="none"/>
          <w:lang w:eastAsia="zh-CN"/>
        </w:rPr>
        <w:t xml:space="preserve">大放设备和DSA维保服务</w:t>
      </w:r>
      <w:r>
        <w:rPr>
          <w:rFonts w:hint="eastAsia" w:ascii="宋体" w:hAnsi="宋体" w:eastAsia="宋体" w:cs="宋体"/>
          <w:color w:val="auto"/>
          <w:sz w:val="24"/>
          <w:highlight w:val="none"/>
        </w:rPr>
        <w:t xml:space="preserve">项目采用公开招标方式进行采购，欢迎有资格的供应商前来参加本次采购。</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一、招标编号：</w:t>
      </w:r>
      <w:r>
        <w:rPr>
          <w:rFonts w:hint="eastAsia" w:ascii="宋体" w:hAnsi="宋体" w:eastAsia="宋体" w:cs="宋体"/>
          <w:b w:val="0"/>
          <w:bCs w:val="0"/>
          <w:color w:val="auto"/>
          <w:sz w:val="24"/>
          <w:szCs w:val="24"/>
          <w:highlight w:val="none"/>
          <w:lang w:val="en-US" w:eastAsia="zh-CN"/>
        </w:rPr>
        <w:t xml:space="preserve">JSZC-320583-LHZX-G2026-0001</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二、项目名称：</w:t>
      </w:r>
      <w:r>
        <w:rPr>
          <w:rFonts w:hint="eastAsia" w:ascii="宋体" w:hAnsi="宋体" w:eastAsia="宋体" w:cs="宋体"/>
          <w:color w:val="auto"/>
          <w:sz w:val="24"/>
          <w:szCs w:val="24"/>
          <w:highlight w:val="none"/>
          <w:lang w:val="en-US" w:eastAsia="zh-CN"/>
        </w:rPr>
        <w:t xml:space="preserve">大放设备和DSA维保服务项目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三、项目预算：</w:t>
      </w:r>
      <w:r>
        <w:rPr>
          <w:rFonts w:hint="eastAsia" w:ascii="宋体" w:hAnsi="宋体" w:eastAsia="宋体" w:cs="宋体"/>
          <w:color w:val="auto"/>
          <w:sz w:val="24"/>
          <w:szCs w:val="24"/>
          <w:highlight w:val="none"/>
          <w:lang w:val="en-US" w:eastAsia="zh-CN"/>
        </w:rPr>
        <w:t xml:space="preserve">人民币壹仟零贰拾万元整（¥10200000.00）</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19" w:name="_Toc291668811"/>
      <w:r/>
      <w:bookmarkStart w:id="20" w:name="_Toc13642116"/>
      <w:r>
        <w:rPr>
          <w:rFonts w:hint="eastAsia" w:ascii="宋体" w:hAnsi="宋体" w:eastAsia="宋体" w:cs="宋体"/>
          <w:b/>
          <w:bCs/>
          <w:color w:val="auto"/>
          <w:sz w:val="24"/>
          <w:szCs w:val="24"/>
          <w:highlight w:val="none"/>
          <w:lang w:val="en-US" w:eastAsia="zh-CN"/>
        </w:rPr>
        <w:t xml:space="preserve">四、采购内容及要求：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1、维保清单：</w:t>
      </w:r>
      <w:r/>
    </w:p>
    <w:tbl>
      <w:tblPr>
        <w:tblStyle w:val="725"/>
        <w:tblW w:w="5000" w:type="pct"/>
        <w:jc w:val="center"/>
        <w:tblLayout w:type="fixed"/>
        <w:tblCellMar>
          <w:left w:w="108" w:type="dxa"/>
          <w:top w:w="0" w:type="dxa"/>
          <w:right w:w="108" w:type="dxa"/>
          <w:bottom w:w="0" w:type="dxa"/>
        </w:tblCellMar>
        <w:tblLook w:val="04A0" w:firstRow="1" w:lastRow="0" w:firstColumn="1" w:lastColumn="0" w:noHBand="0" w:noVBand="1"/>
      </w:tblPr>
      <w:tblGrid>
        <w:gridCol w:w="3189"/>
        <w:gridCol w:w="1766"/>
        <w:gridCol w:w="1659"/>
        <w:gridCol w:w="783"/>
        <w:gridCol w:w="1049"/>
        <w:gridCol w:w="1747"/>
      </w:tblGrid>
      <w:tr>
        <w:trPr>
          <w:jc w:val="center"/>
          <w:trHeight w:val="312"/>
        </w:trPr>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维保设备名称</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入库时间</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使用部门</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品牌规格型号</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磁共振成像设备</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医用核磁共振设备</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2021年12月</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影像科</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联影uMR770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计算机断层多排扫描系统</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医用X线设备</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2021年12月</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影像科</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联影uCT780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计算机断层多排扫描系统</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医用X线设备</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2021年12月</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影像科</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联影uCT530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计算机断层多排扫描系统</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医用X线设备</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2021年12月</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影像科</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联影uCT528</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数字化医用X射线摄影系统</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医用X线设备</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2021年12月</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影像科</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联影uDR780i</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数字化医用X射线摄影系统</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医用X线设备</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2021年12月</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影像科</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联影uMammo590i</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医用血管造影X射线机</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医用X线设备</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2021年12月</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介入科</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西门子Artis Q ceiling</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数字化医用X射线摄影系统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医用X线设备</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2017</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影像科</w:t>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联影uDR</w:t>
            </w:r>
            <w:r>
              <w:rPr>
                <w:rFonts w:hint="eastAsia" w:ascii="宋体" w:hAnsi="宋体" w:eastAsia="宋体" w:cs="宋体"/>
                <w:bCs/>
                <w:color w:val="auto"/>
                <w:sz w:val="24"/>
                <w:szCs w:val="24"/>
                <w:highlight w:val="none"/>
                <w:lang w:val="en-US" w:eastAsia="zh-CN"/>
              </w:rPr>
              <w:t xml:space="preserve">588</w:t>
            </w:r>
            <w:r>
              <w:rPr>
                <w:rFonts w:hint="eastAsia" w:ascii="宋体" w:hAnsi="宋体" w:eastAsia="宋体" w:cs="宋体"/>
                <w:bCs/>
                <w:color w:val="auto"/>
                <w:sz w:val="24"/>
                <w:szCs w:val="24"/>
                <w:highlight w:val="none"/>
              </w:rPr>
              <w:t xml:space="preserve">i</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数字化医用X射线摄影系统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车载</w:t>
            </w:r>
            <w:r>
              <w:rPr>
                <w:rFonts w:hint="eastAsia" w:ascii="宋体" w:hAnsi="宋体" w:eastAsia="宋体" w:cs="宋体"/>
                <w:bCs/>
                <w:color w:val="auto"/>
                <w:sz w:val="24"/>
                <w:szCs w:val="24"/>
                <w:highlight w:val="none"/>
              </w:rPr>
              <w:t xml:space="preserve">X</w:t>
            </w:r>
            <w:r>
              <w:rPr>
                <w:rFonts w:hint="eastAsia" w:ascii="宋体" w:hAnsi="宋体" w:eastAsia="宋体" w:cs="宋体"/>
                <w:bCs/>
                <w:color w:val="auto"/>
                <w:sz w:val="24"/>
                <w:szCs w:val="24"/>
                <w:highlight w:val="none"/>
                <w:lang w:val="en-US" w:eastAsia="zh-CN"/>
              </w:rPr>
              <w:t xml:space="preserve">线设备</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2022</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影像科</w:t>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康达KD-CZ4000C</w:t>
            </w:r>
            <w:r/>
          </w:p>
        </w:tc>
      </w:tr>
    </w:tbl>
    <w:p>
      <w:pPr>
        <w:ind w:firstLine="480"/>
        <w:jc w:val="both"/>
        <w:keepLines w:val="0"/>
        <w:keepNext w:val="0"/>
        <w:pageBreakBefore w:val="0"/>
        <w:spacing w:line="348"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2、维保要求：</w:t>
      </w:r>
      <w:r/>
    </w:p>
    <w:p>
      <w:pPr>
        <w:ind w:firstLine="480"/>
        <w:jc w:val="both"/>
        <w:keepLines w:val="0"/>
        <w:keepNext w:val="0"/>
        <w:pageBreakBefore w:val="0"/>
        <w:spacing w:line="348"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★2.1本项目要求提供原</w:t>
      </w:r>
      <w:r>
        <w:rPr>
          <w:rFonts w:hint="eastAsia" w:ascii="宋体" w:hAnsi="宋体" w:eastAsia="宋体" w:cs="宋体"/>
          <w:color w:val="auto"/>
          <w:sz w:val="24"/>
          <w:szCs w:val="24"/>
          <w:highlight w:val="none"/>
          <w:lang w:val="en-US" w:eastAsia="zh-CN"/>
        </w:rPr>
        <w:t xml:space="preserve">厂维保服务包含：uMR770磁共振、uCT780、uCT530、 uCT528、uDR780i原厂功能升级、uMammo590i、DSA、uDR588i、KD-CZ4000C等设备主机全套系统，包含工作站系统。保修期内免费提供维修所需的人工和原厂零备件（设备含球管、高压发生器、探测器等全部备件，MR设备包含液氦、冷头、线圈等备件）及提供原厂的软件维护及升级。提供增值服务。其中uCT528球管保用≥20万扫描秒/年（≥40万扫描秒/2年），球管扫描秒和保修时间期限以先到值为准。未列明的第三方配套产品保修除外。</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2.2其中联影品牌设备</w:t>
      </w:r>
      <w:r>
        <w:rPr>
          <w:rFonts w:hint="eastAsia" w:ascii="宋体" w:hAnsi="宋体" w:eastAsia="宋体" w:cs="宋体"/>
          <w:color w:val="auto"/>
          <w:sz w:val="24"/>
          <w:szCs w:val="24"/>
          <w:highlight w:val="none"/>
        </w:rPr>
        <w:t xml:space="preserve">维保服务</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w:t>
      </w:r>
      <w:r>
        <w:rPr>
          <w:rFonts w:hint="eastAsia" w:ascii="宋体" w:hAnsi="宋体" w:eastAsia="宋体" w:cs="宋体"/>
          <w:color w:val="auto"/>
          <w:sz w:val="24"/>
          <w:szCs w:val="24"/>
          <w:highlight w:val="none"/>
        </w:rPr>
        <w:t xml:space="preserve">服务期内提供生产厂家软件版本升级，提供设备生产厂家出具的相关证明文件。</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2.2.2</w:t>
      </w:r>
      <w:r>
        <w:rPr>
          <w:rFonts w:hint="eastAsia" w:ascii="宋体" w:hAnsi="宋体" w:eastAsia="宋体" w:cs="宋体"/>
          <w:color w:val="auto"/>
          <w:sz w:val="24"/>
          <w:szCs w:val="24"/>
          <w:highlight w:val="none"/>
        </w:rPr>
        <w:t xml:space="preserve">保证设备符合相应的国内、国际机械电气标准，维修所用零部件为原厂同型号合格备件。更换球管必须为原厂同型号全新球管，与设备整机注册证一致，更换时需提供原厂盖章的供货证明材料，提供承诺函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否则甲方有权终止合同</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eastAsia="宋体" w:cs="宋体"/>
          <w:color w:val="auto"/>
          <w:sz w:val="24"/>
          <w:szCs w:val="24"/>
          <w:highlight w:val="none"/>
        </w:rPr>
        <w:t xml:space="preserve">提供3名及以上维修工程师</w:t>
      </w:r>
      <w:r>
        <w:rPr>
          <w:rFonts w:hint="eastAsia" w:ascii="宋体" w:hAnsi="宋体" w:eastAsia="宋体" w:cs="宋体"/>
          <w:color w:val="auto"/>
          <w:sz w:val="24"/>
          <w:szCs w:val="24"/>
          <w:highlight w:val="none"/>
          <w:lang w:val="en-US" w:eastAsia="zh-CN"/>
        </w:rPr>
        <w:t xml:space="preserve">和临床应用工程师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提供经原厂培训的</w:t>
      </w:r>
      <w:r>
        <w:rPr>
          <w:rFonts w:hint="eastAsia" w:ascii="宋体" w:hAnsi="宋体" w:eastAsia="宋体" w:cs="宋体"/>
          <w:color w:val="auto"/>
          <w:sz w:val="24"/>
          <w:szCs w:val="24"/>
          <w:highlight w:val="none"/>
        </w:rPr>
        <w:t xml:space="preserve">证书（提供证书复印件）。</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2.2.4</w:t>
      </w:r>
      <w:r>
        <w:rPr>
          <w:rFonts w:hint="eastAsia" w:ascii="宋体" w:hAnsi="宋体" w:eastAsia="宋体" w:cs="宋体"/>
          <w:color w:val="auto"/>
          <w:sz w:val="24"/>
          <w:szCs w:val="24"/>
          <w:highlight w:val="none"/>
        </w:rPr>
        <w:t xml:space="preserve">具备报修热线，并提供365天，7*24小时热线支持。</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eastAsia="宋体" w:cs="宋体"/>
          <w:color w:val="auto"/>
          <w:sz w:val="24"/>
          <w:szCs w:val="24"/>
          <w:highlight w:val="none"/>
        </w:rPr>
        <w:t xml:space="preserve">提供测试合格的产品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并保证设备经维修后的技术参数与原机数据相同。</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2.2.6为提高患者检查图像质量及减少患者检查时间，确保备件保障和溯源备件质量可靠性，投标人以所保修设备的生产企业或具备设备生产企业售后服务授权为优，合同签订前需提供原厂售后服务授权书文件，提供承诺函，否则采购方有权拒签合同。</w:t>
      </w:r>
      <w:r/>
    </w:p>
    <w:p>
      <w:pPr>
        <w:ind w:firstLine="480"/>
        <w:jc w:val="both"/>
        <w:keepLines w:val="0"/>
        <w:keepNext w:val="0"/>
        <w:pageBreakBefore w:val="0"/>
        <w:spacing w:line="348"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★2.2.7uDR780i设备新增原厂长骨拼接功能升级，可实现长骨（全脊柱、全下肢）的自动拍摄和自动拼接功能，提供承诺函，否则采购方有权拒签合同。</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3、其他品牌设备维保服务要求：</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提供设备主机全套系统，包含工作站系统维保服务。保修期内免费提供维修所需的人工和原厂零备件（设备含球管、高压发生器、探测器等全部备件，提供原厂的软件维护及升级。</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4、预防性保养：</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提供预防性保养 ≥ 2次/年（DR设备≥1次/年），保证设备处于最佳运行状态。与采购人约定定期保养时间，按照原厂保养内容清单，结合设备状态，免费更换损耗部件。按照厂家标准将设备校准至正常状态并提交维护保养报告。</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保修期内开机率：在正确使用设备的前提下，保证保修期内开机率≥95%。</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维保整体服务：内容包含但不仅限于维修保养规章制度与操作规范、维修保养操作规范方案、维修保养工作流程方案、维护保养计划方案等方面</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维保实施：内容包含但不仅限于维护保养程序、维修设备工具、故障报告及故障预防措施、资料档案管理、维护保养服务监督管理机制等方面</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响应时间：电话报修首次响应时间≤2小时，工程师到达现场时间≤24小时。</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备件保障：所有更换的零备件在维保期间需为全新的。至少在华东地区设有设备专属配件仓库，并确保 365*24 小时供需服务及物流渠道（提供仓库相关信息：地址及联系人、联系电话）</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培训方案：需经验丰富的专业工程师负责进行现场培训。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质量及安全管理：投标人保证设备处于优良运行状态，为设备提供安全检查、质量保证。对操作流程，质量自检措施等进行阐述，提供设备生产厂家原厂的维护及升级。</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售后服务要求：若遇到故障需更换配件而要停机的须提前通知科室主任并告知该配件最快能更换时间，及时处理故障，保证科室设备的正常使用。</w:t>
      </w:r>
      <w:r/>
    </w:p>
    <w:p>
      <w:pPr>
        <w:ind w:firstLine="482"/>
        <w:jc w:val="left"/>
        <w:keepLines w:val="0"/>
        <w:keepNext w:val="0"/>
        <w:pageBreakBefore w:val="0"/>
        <w:spacing w:line="348" w:lineRule="auto"/>
        <w:widowControl w:val="off"/>
        <w:tabs>
          <w:tab w:val="left" w:pos="36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、综合说明及要求</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1、本次招标不接受联合体投标。</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2、投标人必须承诺招标文件中提出的全部要求，如果其中某些条款不响应时，应在文件中逐条列出，未列出的视同响应。</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3、投标人应对所投项目的全部内容进行报价，只投其中部分内容者，其投标文件将被拒绝。中标单位对服务缺陷不予更正，采购方有权另请其他单位更正，所发生的费用由中标单位承担。</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、伴随服务：按国家行业标准规定和招标文件执行。</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、凡涉及招标文件的补充说明和修改，均以苏州政府采购网发布的内容为准。</w:t>
      </w:r>
      <w:r/>
    </w:p>
    <w:p>
      <w:pPr>
        <w:ind w:firstLine="482"/>
        <w:jc w:val="left"/>
        <w:keepLines w:val="0"/>
        <w:keepNext w:val="0"/>
        <w:pageBreakBefore w:val="0"/>
        <w:spacing w:line="348" w:lineRule="auto"/>
        <w:widowControl w:val="off"/>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lang w:val="zh-CN"/>
        </w:rPr>
        <w:t xml:space="preserve">、政府采购政策：</w:t>
      </w:r>
      <w:r/>
    </w:p>
    <w:p>
      <w:pPr>
        <w:ind w:firstLine="480"/>
        <w:jc w:val="left"/>
        <w:keepLines w:val="0"/>
        <w:keepNext w:val="0"/>
        <w:pageBreakBefore w:val="0"/>
        <w:spacing w:line="34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（1）绿色采购</w:t>
      </w:r>
      <w:r/>
    </w:p>
    <w:p>
      <w:pPr>
        <w:ind w:firstLine="480"/>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查询</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并在投标文件中提供由国家确定的认证机构出具的、处于有效期之内的节能产品认证证书</w:t>
      </w:r>
      <w:r>
        <w:rPr>
          <w:rFonts w:hint="eastAsia" w:ascii="宋体" w:hAnsi="宋体" w:eastAsia="宋体" w:cs="宋体"/>
          <w:bCs/>
          <w:color w:val="auto"/>
          <w:sz w:val="24"/>
          <w:highlight w:val="none"/>
          <w:lang w:eastAsia="zh-CN"/>
        </w:rPr>
        <w:t xml:space="preserve">扫描件</w:t>
      </w:r>
      <w:r>
        <w:rPr>
          <w:rFonts w:hint="eastAsia" w:ascii="宋体" w:hAnsi="宋体" w:eastAsia="宋体" w:cs="宋体"/>
          <w:bCs/>
          <w:color w:val="auto"/>
          <w:sz w:val="24"/>
          <w:highlight w:val="none"/>
        </w:rPr>
        <w:t xml:space="preserve">，否则视为未实质性响应。</w:t>
      </w:r>
      <w:r/>
    </w:p>
    <w:p>
      <w:pPr>
        <w:contextualSpacing/>
        <w:ind w:firstLine="480"/>
        <w:jc w:val="left"/>
        <w:keepLines w:val="0"/>
        <w:keepNext w:val="0"/>
        <w:pageBreakBefore w:val="0"/>
        <w:spacing w:line="34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（2）促进残疾人就业：</w:t>
      </w:r>
      <w:r/>
    </w:p>
    <w:p>
      <w:pPr>
        <w:contextualSpacing/>
        <w:ind w:firstLine="480"/>
        <w:jc w:val="left"/>
        <w:keepLines w:val="0"/>
        <w:keepNext w:val="0"/>
        <w:pageBreakBefore w:val="0"/>
        <w:spacing w:line="34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contextualSpacing/>
        <w:ind w:firstLine="480"/>
        <w:jc w:val="left"/>
        <w:keepLines w:val="0"/>
        <w:keepNext w:val="0"/>
        <w:pageBreakBefore w:val="0"/>
        <w:spacing w:line="34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促进残疾人就业政府采购政策的通知》（财库〔2017〕141号）规定条件的残疾人福利性单位在参加政府采购活动时，应当提供《残疾人福利性单位声明函》，并对声明的真实性负责，未提供视为非残疾人福利性单位，不视同小微企业，不享受残疾人福利性单位政策。</w:t>
      </w:r>
      <w:r/>
    </w:p>
    <w:p>
      <w:pPr>
        <w:contextualSpacing/>
        <w:ind w:firstLine="480"/>
        <w:jc w:val="left"/>
        <w:keepLines w:val="0"/>
        <w:keepNext w:val="0"/>
        <w:pageBreakBefore w:val="0"/>
        <w:spacing w:line="34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（3）支持监狱企业发展：</w:t>
      </w:r>
      <w:r/>
    </w:p>
    <w:p>
      <w:pPr>
        <w:contextualSpacing/>
        <w:ind w:firstLine="480"/>
        <w:jc w:val="left"/>
        <w:keepLines w:val="0"/>
        <w:keepNext w:val="0"/>
        <w:pageBreakBefore w:val="0"/>
        <w:spacing w:line="34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在政府采购活动中，监狱企业视同小型、微型企业，享受预留份额、评审中价格扣除等政府采购促进中小企业发展的政府采购政策。监狱企业属于小型、微型企业的，不重复享受政策。</w:t>
      </w:r>
      <w:r/>
    </w:p>
    <w:p>
      <w:pPr>
        <w:contextualSpacing/>
        <w:ind w:firstLine="480"/>
        <w:jc w:val="left"/>
        <w:keepLines w:val="0"/>
        <w:keepNext w:val="0"/>
        <w:pageBreakBefore w:val="0"/>
        <w:spacing w:line="34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未提供视为非监狱企业，不视同小微企业，不享受监狱企业政策。</w:t>
      </w:r>
      <w:r/>
    </w:p>
    <w:p>
      <w:pPr>
        <w:contextualSpacing/>
        <w:ind w:firstLine="480"/>
        <w:jc w:val="left"/>
        <w:keepLines w:val="0"/>
        <w:keepNext w:val="0"/>
        <w:pageBreakBefore w:val="0"/>
        <w:spacing w:line="34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（4）中小</w:t>
      </w:r>
      <w:r>
        <w:rPr>
          <w:rFonts w:hint="eastAsia" w:ascii="宋体" w:hAnsi="宋体" w:eastAsia="宋体" w:cs="宋体"/>
          <w:bCs/>
          <w:color w:val="auto"/>
          <w:sz w:val="24"/>
          <w:highlight w:val="none"/>
          <w:lang w:val="en-US" w:eastAsia="zh-CN"/>
        </w:rPr>
        <w:t xml:space="preserve">微</w:t>
      </w:r>
      <w:r>
        <w:rPr>
          <w:rFonts w:hint="eastAsia" w:ascii="宋体" w:hAnsi="宋体" w:eastAsia="宋体" w:cs="宋体"/>
          <w:bCs/>
          <w:color w:val="auto"/>
          <w:sz w:val="24"/>
          <w:highlight w:val="none"/>
        </w:rPr>
        <w:t xml:space="preserve">企业：</w:t>
      </w:r>
      <w:r/>
    </w:p>
    <w:p>
      <w:pPr>
        <w:contextualSpacing/>
        <w:ind w:firstLine="480"/>
        <w:jc w:val="left"/>
        <w:keepLines w:val="0"/>
        <w:keepNext w:val="0"/>
        <w:pageBreakBefore w:val="0"/>
        <w:spacing w:line="348"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contextualSpacing/>
        <w:ind w:firstLine="480"/>
        <w:jc w:val="left"/>
        <w:keepLines w:val="0"/>
        <w:keepNext w:val="0"/>
        <w:pageBreakBefore w:val="0"/>
        <w:spacing w:line="348" w:lineRule="auto"/>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lang w:val="zh-CN"/>
        </w:rPr>
        <w:t xml:space="preserve">其他未列明行业</w:t>
      </w:r>
      <w:r>
        <w:rPr>
          <w:rFonts w:hint="eastAsia" w:ascii="宋体" w:hAnsi="宋体" w:eastAsia="宋体" w:cs="宋体"/>
          <w:bCs/>
          <w:color w:val="auto"/>
          <w:sz w:val="24"/>
          <w:highlight w:val="none"/>
        </w:rPr>
        <w:t xml:space="preserve">。小</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微企业划型标准根据《中小企业划型标准规定》（工信部联企业【2011】 300 号）。</w:t>
      </w:r>
      <w:r>
        <w:rPr>
          <w:rFonts w:hint="eastAsia" w:ascii="宋体" w:hAnsi="宋体" w:eastAsia="宋体" w:cs="宋体"/>
          <w:bCs/>
          <w:color w:val="auto"/>
          <w:sz w:val="24"/>
          <w:highlight w:val="none"/>
          <w:lang w:val="en-US" w:eastAsia="zh-CN"/>
        </w:rPr>
        <w:t xml:space="preserve">对符合小、微企业价格扣除要求的，对小、微企业的投标报价给予20%的扣除，用扣除后的价格参与评审。</w:t>
      </w:r>
      <w:r/>
    </w:p>
    <w:p>
      <w:pPr>
        <w:contextualSpacing/>
        <w:ind w:firstLine="480"/>
        <w:jc w:val="left"/>
        <w:keepLines w:val="0"/>
        <w:keepNext w:val="0"/>
        <w:pageBreakBefore w:val="0"/>
        <w:spacing w:line="34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（5）关于对参与供应商信用记录的政府采购要求</w:t>
      </w:r>
      <w:r/>
    </w:p>
    <w:p>
      <w:pPr>
        <w:contextualSpacing/>
        <w:ind w:firstLine="480"/>
        <w:jc w:val="left"/>
        <w:keepLines w:val="0"/>
        <w:keepNext w:val="0"/>
        <w:pageBreakBefore w:val="0"/>
        <w:spacing w:line="34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1.采购代理机构会在接收投标文件截止时间后，登录信用中国网站（www.creditchina.gov.cn/）和中国政府采购网（www.ccgp.gov.cn/）查询供应商的信用记录，并将查询结果递交评标委员会。</w:t>
      </w:r>
      <w:r/>
    </w:p>
    <w:p>
      <w:pPr>
        <w:contextualSpacing/>
        <w:ind w:firstLine="480"/>
        <w:jc w:val="left"/>
        <w:keepLines w:val="0"/>
        <w:keepNext w:val="0"/>
        <w:pageBreakBefore w:val="0"/>
        <w:spacing w:line="34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contextualSpacing/>
        <w:ind w:firstLine="480"/>
        <w:jc w:val="left"/>
        <w:keepLines w:val="0"/>
        <w:keepNext w:val="0"/>
        <w:pageBreakBefore w:val="0"/>
        <w:spacing w:line="34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contextualSpacing/>
        <w:ind w:firstLine="480"/>
        <w:jc w:val="left"/>
        <w:keepLines w:val="0"/>
        <w:keepNext w:val="0"/>
        <w:pageBreakBefore w:val="0"/>
        <w:spacing w:line="34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3.供应商若在经营活动中受到罚款的，请携带相关地方、部门对较大数额认定标准的证明材料，与投标文件一并提交。若无法提供，则可能承担投标无效等相应不利后果。</w:t>
      </w:r>
      <w:r/>
    </w:p>
    <w:p>
      <w:pPr>
        <w:contextualSpacing/>
        <w:ind w:firstLine="480"/>
        <w:jc w:val="left"/>
        <w:keepLines w:val="0"/>
        <w:keepNext w:val="0"/>
        <w:pageBreakBefore w:val="0"/>
        <w:spacing w:line="34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4.对存在失信信息的供应商，由失信供应商进行确认。同时，采购代理机构工作人员应根据评标委员会确认的失信信息，登陆到相关来源网站页面进行复核并打印，作为证据留存。</w:t>
      </w:r>
      <w:r/>
    </w:p>
    <w:p>
      <w:pPr>
        <w:jc w:val="lef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715"/>
        <w:jc w:val="center"/>
        <w:rPr>
          <w:rFonts w:hint="eastAsia" w:ascii="宋体" w:hAnsi="宋体" w:eastAsia="宋体" w:cs="宋体"/>
          <w:color w:val="auto"/>
          <w:sz w:val="52"/>
          <w:szCs w:val="52"/>
          <w:highlight w:val="none"/>
        </w:rPr>
      </w:pPr>
      <w:r/>
      <w:bookmarkStart w:id="21" w:name="_Toc520073485"/>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第五章</w:t>
      </w:r>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合同主要条款</w:t>
      </w:r>
      <w:bookmarkEnd w:id="19"/>
      <w:r/>
      <w:bookmarkEnd w:id="20"/>
      <w:r/>
      <w:bookmarkEnd w:id="21"/>
      <w:r/>
      <w:r/>
    </w:p>
    <w:p>
      <w:pPr>
        <w:jc w:val="center"/>
        <w:spacing w:line="360" w:lineRule="auto"/>
        <w:widowControl/>
        <w:rPr>
          <w:rFonts w:hint="eastAsia" w:ascii="宋体" w:hAnsi="宋体" w:eastAsia="宋体" w:cs="宋体"/>
          <w:b/>
          <w:color w:val="auto"/>
          <w:sz w:val="48"/>
          <w:szCs w:val="48"/>
          <w:highlight w:val="none"/>
        </w:rPr>
        <w:outlineLvl w:val="0"/>
      </w:pPr>
      <w:r>
        <w:rPr>
          <w:rFonts w:hint="eastAsia" w:ascii="宋体" w:hAnsi="宋体" w:eastAsia="宋体" w:cs="宋体"/>
          <w:color w:val="auto"/>
          <w:sz w:val="24"/>
          <w:highlight w:val="none"/>
        </w:rPr>
        <w:br w:type="page" w:clear="all"/>
      </w:r>
      <w:r>
        <w:rPr>
          <w:rFonts w:hint="eastAsia" w:ascii="宋体" w:hAnsi="宋体" w:eastAsia="宋体" w:cs="宋体"/>
          <w:b/>
          <w:color w:val="auto"/>
          <w:sz w:val="48"/>
          <w:szCs w:val="48"/>
          <w:highlight w:val="none"/>
        </w:rPr>
        <w:t xml:space="preserve">合同主要条款</w:t>
      </w:r>
      <w:r/>
    </w:p>
    <w:p>
      <w:pPr>
        <w:ind w:firstLine="482"/>
        <w:jc w:val="left"/>
        <w:keepLines w:val="0"/>
        <w:keepNext w:val="0"/>
        <w:pageBreakBefore w:val="0"/>
        <w:spacing w:line="360" w:lineRule="auto"/>
        <w:widowControl/>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项目名称：</w:t>
      </w:r>
      <w:r>
        <w:rPr>
          <w:rFonts w:hint="eastAsia" w:ascii="宋体" w:hAnsi="宋体" w:eastAsia="宋体" w:cs="宋体"/>
          <w:b/>
          <w:bCs w:val="0"/>
          <w:color w:val="auto"/>
          <w:sz w:val="24"/>
          <w:highlight w:val="none"/>
          <w:lang w:eastAsia="zh-CN"/>
        </w:rPr>
        <w:t xml:space="preserve">大放设备和DSA维保服务</w:t>
      </w:r>
      <w:r/>
    </w:p>
    <w:p>
      <w:pPr>
        <w:ind w:firstLine="482"/>
        <w:jc w:val="left"/>
        <w:keepLines w:val="0"/>
        <w:keepNext w:val="0"/>
        <w:pageBreakBefore w:val="0"/>
        <w:spacing w:line="360" w:lineRule="auto"/>
        <w:widowControl/>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招标编号：</w:t>
      </w:r>
      <w:r>
        <w:rPr>
          <w:rFonts w:hint="eastAsia" w:ascii="宋体" w:hAnsi="宋体" w:eastAsia="宋体" w:cs="宋体"/>
          <w:b/>
          <w:bCs w:val="0"/>
          <w:color w:val="auto"/>
          <w:sz w:val="24"/>
          <w:highlight w:val="none"/>
          <w:lang w:eastAsia="zh-CN"/>
        </w:rPr>
        <w:t xml:space="preserve">JSZC-320583-LHZX-G2026-0001</w:t>
      </w:r>
      <w:r/>
    </w:p>
    <w:p>
      <w:pPr>
        <w:pStyle w:val="731"/>
        <w:ind w:firstLine="48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甲方(招标人)：</w:t>
      </w:r>
      <w:r>
        <w:rPr>
          <w:rFonts w:hint="eastAsia" w:ascii="宋体" w:hAnsi="宋体" w:eastAsia="宋体" w:cs="宋体"/>
          <w:color w:val="auto"/>
          <w:sz w:val="24"/>
          <w:highlight w:val="none"/>
          <w:lang w:eastAsia="zh-CN"/>
        </w:rPr>
        <w:t xml:space="preserve">昆山市中西医结合医院</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乙方（中标人）：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根据苏州乐慧招投标咨询有限公司招标编号</w:t>
      </w:r>
      <w:r>
        <w:rPr>
          <w:rFonts w:hint="eastAsia" w:ascii="宋体" w:hAnsi="宋体" w:eastAsia="宋体" w:cs="宋体"/>
          <w:color w:val="auto"/>
          <w:sz w:val="24"/>
          <w:highlight w:val="none"/>
          <w:u w:val="single"/>
          <w:lang w:eastAsia="zh-CN"/>
        </w:rPr>
        <w:t xml:space="preserve">JSZC-320583-LHZX-G2026-0001</w:t>
      </w:r>
      <w:r>
        <w:rPr>
          <w:rFonts w:hint="eastAsia" w:ascii="宋体" w:hAnsi="宋体" w:eastAsia="宋体" w:cs="宋体"/>
          <w:color w:val="auto"/>
          <w:sz w:val="24"/>
          <w:highlight w:val="none"/>
        </w:rPr>
        <w:t xml:space="preserve">号</w:t>
      </w:r>
      <w:r>
        <w:rPr>
          <w:rFonts w:hint="eastAsia" w:ascii="宋体" w:hAnsi="宋体" w:eastAsia="宋体" w:cs="宋体"/>
          <w:color w:val="auto"/>
          <w:sz w:val="24"/>
          <w:highlight w:val="none"/>
          <w:u w:val="single"/>
          <w:lang w:eastAsia="zh-CN"/>
        </w:rPr>
        <w:t xml:space="preserve">大放设备和DSA维保服务</w:t>
      </w:r>
      <w:r>
        <w:rPr>
          <w:rFonts w:hint="eastAsia" w:ascii="宋体" w:hAnsi="宋体" w:eastAsia="宋体" w:cs="宋体"/>
          <w:color w:val="auto"/>
          <w:sz w:val="24"/>
          <w:highlight w:val="none"/>
          <w:u w:val="single"/>
        </w:rPr>
        <w:t xml:space="preserve">项目</w:t>
      </w:r>
      <w:r>
        <w:rPr>
          <w:rFonts w:hint="eastAsia" w:ascii="宋体" w:hAnsi="宋体" w:eastAsia="宋体" w:cs="宋体"/>
          <w:color w:val="auto"/>
          <w:sz w:val="24"/>
          <w:highlight w:val="none"/>
        </w:rPr>
        <w:t xml:space="preserve">的招标文件及中标单位的投标文件和中标通知书，甲乙双方就此次中标的标的物的购销事宜，签订本合同书。</w:t>
      </w:r>
      <w:r/>
    </w:p>
    <w:p>
      <w:pPr>
        <w:ind w:firstLine="482"/>
        <w:jc w:val="left"/>
        <w:keepLines w:val="0"/>
        <w:keepNext w:val="0"/>
        <w:pageBreakBefore w:val="0"/>
        <w:spacing w:line="360" w:lineRule="auto"/>
        <w:widowControl/>
        <w:rPr>
          <w:rFonts w:hint="eastAsia" w:ascii="宋体" w:hAnsi="宋体" w:eastAsia="宋体" w:cs="宋体"/>
          <w:b/>
          <w:color w:val="auto"/>
          <w:sz w:val="24"/>
          <w:highlight w:val="none"/>
        </w:rPr>
      </w:pPr>
      <w:r/>
      <w:bookmarkStart w:id="22" w:name="_Toc291668812"/>
      <w:r>
        <w:rPr>
          <w:rFonts w:hint="eastAsia" w:ascii="宋体" w:hAnsi="宋体" w:eastAsia="宋体" w:cs="宋体"/>
          <w:b/>
          <w:color w:val="auto"/>
          <w:sz w:val="24"/>
          <w:highlight w:val="none"/>
        </w:rPr>
        <w:t xml:space="preserve">一、合同文件</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下列文件为本合同不可分割部分：</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招标文件及其附件；</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乙方的投标文件；</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合同条款；</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乙方在招投标过程中所作的其它承诺、声明、书面澄清等；</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中标通知书；</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本合同附件。</w:t>
      </w:r>
      <w:r/>
    </w:p>
    <w:p>
      <w:pPr>
        <w:ind w:firstLine="482"/>
        <w:jc w:val="left"/>
        <w:keepLines w:val="0"/>
        <w:keepNext w:val="0"/>
        <w:pageBreakBefore w:val="0"/>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、合同价款</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 xml:space="preserve">1.合同总金额：</w:t>
      </w:r>
      <w:r>
        <w:rPr>
          <w:rFonts w:hint="eastAsia" w:ascii="宋体" w:hAnsi="宋体" w:eastAsia="宋体" w:cs="宋体"/>
          <w:color w:val="auto"/>
          <w:sz w:val="24"/>
          <w:highlight w:val="none"/>
          <w:u w:val="single"/>
          <w:lang w:val="en-US" w:eastAsia="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报价包括</w:t>
      </w:r>
      <w:r>
        <w:rPr>
          <w:rFonts w:hint="eastAsia" w:ascii="宋体" w:hAnsi="宋体" w:eastAsia="宋体" w:cs="宋体"/>
          <w:color w:val="auto"/>
          <w:sz w:val="24"/>
          <w:highlight w:val="none"/>
          <w:lang w:val="zh-CN" w:eastAsia="zh-CN"/>
        </w:rPr>
        <w:t xml:space="preserve">完成该项工作所需的整机保修包含人工及所有备件及易损件，设备提供人工叫修、定期保养、零备件更换、软件升级及管理服务，含所有更换的零备件费用、调试、售后服务、各种税费及政策性文件规定及合同包含的所有风险、责任等各项应有费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付款步骤：政府采购合同签订后，甲方在收到乙方正式发票后30天内向乙方支付第一年的半年度的服务费，即合同总额的25%；第一年年度服务结束时，甲方在收到乙方正式发票后30天内向乙方支付第一年年度的服务费，即合同总额的25%；第二年的半年度服务结束时，甲方在收到乙方正式发票后30天内向乙方支付第二年半年度的服务费，即合同总额的25%；第二年年度服务结束时，甲方在收到乙方正式发票后30天内向乙方支付第二年年度的服务费，即合同总额的25%。</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乙方应向甲方提供以下材料：</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A、合格发票。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B、《政府采购合同履行验收报告》。</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3.支付方式：银行转账等。</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、付款约定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甲方根据乙方在本合同中所提供银行开户信息转账支付。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乙方开户名称：</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rPr>
          <w:rFonts w:hint="eastAsia" w:ascii="宋体" w:hAnsi="宋体" w:eastAsia="宋体" w:cs="宋体"/>
          <w:color w:val="auto"/>
          <w:sz w:val="24"/>
          <w:szCs w:val="24"/>
          <w:highlight w:val="none"/>
          <w:u w:val="single"/>
          <w:lang w:val="en-US" w:eastAsia="zh-CN"/>
        </w:rPr>
        <w:t xml:space="preserve">                </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四、合同履行期限、地点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1.合同履行期限：2年</w:t>
      </w:r>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日止。</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2.服务地点：甲方指定地点（昆山市中西医结合医院内）。</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五、标的物的一般条款</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1.完整物权</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标方应能保证所提供相关服务及备品的知识产权和所提供技术资料是合法取得，并享有完整的知识产权，不会因为需方的使用而被责令停止使用、追偿或要求赔偿损失，如出现此情况，一切经济和法律责任均由供方承担。</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eastAsia="zh-CN"/>
        </w:rPr>
        <w:t xml:space="preserve">对服务提出异议的时间和办法</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2.1甲方在验收过程中，应当于双方约定的检验期间内将服务不符合约定的情形及处理方式以书面形式通知乙方。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 乙方应在收到甲方书面异议后七天内负责处理问题，否则将视为默认甲方提出的异议和处理意见。</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3.伴随服务</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bookmarkStart w:id="23" w:name="_Toc13543215"/>
      <w:r>
        <w:rPr>
          <w:rFonts w:hint="eastAsia" w:ascii="宋体" w:hAnsi="宋体" w:eastAsia="宋体" w:cs="宋体"/>
          <w:color w:val="auto"/>
          <w:sz w:val="24"/>
          <w:highlight w:val="none"/>
          <w:lang w:val="en-US" w:eastAsia="zh-CN"/>
        </w:rPr>
        <w:t xml:space="preserve">3.1乙方除应履行按期按量交付合格标的物的义务之外，还应提供下列服务。</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3.1.1标的物的现场安装、启动、调试、监督（如果必须安装、调试的话）。</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3.1.2提供标的物组装和一般维修所必须的工具。</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3.1.3在合同规定的期限内对所提供标的物实行运行监督、维修服务的前提条件是该服务并不能免除乙方在质量保证期内所承担的义务。</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3.1.4对甲方技术人员的技术指导或培训。</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3.2除合同另有规定之外，伴随服务的费用均已含在合同价款中，甲方不再另行支付。</w:t>
      </w:r>
      <w:bookmarkEnd w:id="23"/>
      <w:r/>
      <w:r/>
    </w:p>
    <w:p>
      <w:pPr>
        <w:ind w:firstLine="482"/>
        <w:jc w:val="left"/>
        <w:keepLines w:val="0"/>
        <w:keepNext w:val="0"/>
        <w:pageBreakBefore w:val="0"/>
        <w:spacing w:line="360" w:lineRule="auto"/>
        <w:widowControl/>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维保服务要求：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1、维保清单：</w:t>
      </w:r>
      <w:r/>
    </w:p>
    <w:tbl>
      <w:tblPr>
        <w:tblStyle w:val="725"/>
        <w:tblW w:w="5000" w:type="pct"/>
        <w:jc w:val="center"/>
        <w:tblLayout w:type="fixed"/>
        <w:tblCellMar>
          <w:left w:w="108" w:type="dxa"/>
          <w:top w:w="0" w:type="dxa"/>
          <w:right w:w="108" w:type="dxa"/>
          <w:bottom w:w="0" w:type="dxa"/>
        </w:tblCellMar>
        <w:tblLook w:val="04A0" w:firstRow="1" w:lastRow="0" w:firstColumn="1" w:lastColumn="0" w:noHBand="0" w:noVBand="1"/>
      </w:tblPr>
      <w:tblGrid>
        <w:gridCol w:w="3189"/>
        <w:gridCol w:w="1766"/>
        <w:gridCol w:w="1659"/>
        <w:gridCol w:w="783"/>
        <w:gridCol w:w="1049"/>
        <w:gridCol w:w="1747"/>
      </w:tblGrid>
      <w:tr>
        <w:trPr>
          <w:jc w:val="center"/>
          <w:trHeight w:val="312"/>
        </w:trPr>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维保设备名称</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入库时间</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使用部门</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品牌规格型号</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磁共振成像设备</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医用核磁共振设备</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2021年12月</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影像科</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联影uMR770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计算机断层多排扫描系统</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医用X线设备</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2021年12月</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影像科</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联影uCT780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计算机断层多排扫描系统</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医用X线设备</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2021年12月</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影像科</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联影uCT530</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计算机断层多排扫描系统</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医用X线设备</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2021年12月</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影像科</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联影uCT528</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数字化医用X射线摄影系统</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医用X线设备</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2021年12月</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影像科</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联影uDR780i</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数字化医用X射线摄影系统</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医用X线设备</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2021年12月</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影像科</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联影uMammo590i</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医用血管造影X射线机</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医用X线设备</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2021年12月</w:t>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介入科</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西门子Artis Q ceiling</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数字化医用X射线摄影系统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医用X线设备</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2017</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影像科</w:t>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联影uDR</w:t>
            </w:r>
            <w:r>
              <w:rPr>
                <w:rFonts w:hint="eastAsia" w:ascii="宋体" w:hAnsi="宋体" w:eastAsia="宋体" w:cs="宋体"/>
                <w:bCs/>
                <w:color w:val="auto"/>
                <w:sz w:val="24"/>
                <w:szCs w:val="24"/>
                <w:highlight w:val="none"/>
                <w:lang w:val="en-US" w:eastAsia="zh-CN"/>
              </w:rPr>
              <w:t xml:space="preserve">588</w:t>
            </w:r>
            <w:r>
              <w:rPr>
                <w:rFonts w:hint="eastAsia" w:ascii="宋体" w:hAnsi="宋体" w:eastAsia="宋体" w:cs="宋体"/>
                <w:bCs/>
                <w:color w:val="auto"/>
                <w:sz w:val="24"/>
                <w:szCs w:val="24"/>
                <w:highlight w:val="none"/>
              </w:rPr>
              <w:t xml:space="preserve">i</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564" w:type="pct"/>
            <w:vAlign w:val="center"/>
            <w:textDirection w:val="lrTb"/>
            <w:noWrap/>
          </w:tcPr>
          <w:p>
            <w:pPr>
              <w:pStyle w:val="727"/>
              <w:ind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数字化医用X射线摄影系统</w:t>
            </w:r>
            <w:r/>
          </w:p>
        </w:tc>
        <w:tc>
          <w:tcPr>
            <w:shd w:val="clear" w:color="auto" w:fill="auto"/>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pStyle w:val="727"/>
              <w:ind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车载</w:t>
            </w:r>
            <w:r>
              <w:rPr>
                <w:rFonts w:hint="eastAsia" w:ascii="宋体" w:hAnsi="宋体" w:eastAsia="宋体" w:cs="宋体"/>
                <w:bCs/>
                <w:color w:val="auto"/>
                <w:sz w:val="24"/>
                <w:szCs w:val="24"/>
                <w:highlight w:val="none"/>
              </w:rPr>
              <w:t xml:space="preserve">X</w:t>
            </w:r>
            <w:r>
              <w:rPr>
                <w:rFonts w:hint="eastAsia" w:ascii="宋体" w:hAnsi="宋体" w:eastAsia="宋体" w:cs="宋体"/>
                <w:bCs/>
                <w:color w:val="auto"/>
                <w:sz w:val="24"/>
                <w:szCs w:val="24"/>
                <w:highlight w:val="none"/>
                <w:lang w:val="en-US" w:eastAsia="zh-CN"/>
              </w:rPr>
              <w:t xml:space="preserve">线设备</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pStyle w:val="727"/>
              <w:ind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2022</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pStyle w:val="727"/>
              <w:ind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pStyle w:val="727"/>
              <w:ind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影像科</w:t>
            </w:r>
            <w:r/>
          </w:p>
        </w:tc>
        <w:tc>
          <w:tcPr>
            <w:shd w:val="clear" w:color="auto" w:fill="auto"/>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27"/>
              <w:ind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康达KD-CZ4000C</w:t>
            </w:r>
            <w:r/>
          </w:p>
        </w:tc>
      </w:tr>
    </w:tbl>
    <w:p>
      <w:pPr>
        <w:ind w:firstLine="480"/>
        <w:jc w:val="both"/>
        <w:keepLines w:val="0"/>
        <w:keepNext w:val="0"/>
        <w:pageBreakBefore w:val="0"/>
        <w:spacing w:line="348"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2、维保要求：</w:t>
      </w:r>
      <w:r/>
    </w:p>
    <w:p>
      <w:pPr>
        <w:ind w:firstLine="480"/>
        <w:jc w:val="both"/>
        <w:keepLines w:val="0"/>
        <w:keepNext w:val="0"/>
        <w:pageBreakBefore w:val="0"/>
        <w:spacing w:line="348"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★2.1本项目要求提供原</w:t>
      </w:r>
      <w:r>
        <w:rPr>
          <w:rFonts w:hint="eastAsia" w:ascii="宋体" w:hAnsi="宋体" w:eastAsia="宋体" w:cs="宋体"/>
          <w:color w:val="auto"/>
          <w:sz w:val="24"/>
          <w:szCs w:val="24"/>
          <w:highlight w:val="none"/>
          <w:lang w:val="en-US" w:eastAsia="zh-CN"/>
        </w:rPr>
        <w:t xml:space="preserve">厂维保服务包含：uMR770磁共振、uCT780、uCT530、 uCT528、uDR780i原厂功能升级、uMammo590i、DSA、uDR588i、KD-CZ4000C等设备主机全套系统，包含工作站系统。保修期内免费提供维修所需的人工和原厂零备件（设备含球管、高压发生器、探测器等全部备件，MR设备包含液氦、冷头、线圈等备件）及提供原厂的软件维护及升级。提供增值服务。其中uCT528球管保用≥20万扫描秒/年（≥40万扫描秒/2年），球管扫描秒和保修时间期限以先到值为准。未列明的第三方配套产品保修除外。</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2.2其中联影品牌设备</w:t>
      </w:r>
      <w:r>
        <w:rPr>
          <w:rFonts w:hint="eastAsia" w:ascii="宋体" w:hAnsi="宋体" w:eastAsia="宋体" w:cs="宋体"/>
          <w:color w:val="auto"/>
          <w:sz w:val="24"/>
          <w:szCs w:val="24"/>
          <w:highlight w:val="none"/>
        </w:rPr>
        <w:t xml:space="preserve">维保服务</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w:t>
      </w:r>
      <w:r>
        <w:rPr>
          <w:rFonts w:hint="eastAsia" w:ascii="宋体" w:hAnsi="宋体" w:eastAsia="宋体" w:cs="宋体"/>
          <w:color w:val="auto"/>
          <w:sz w:val="24"/>
          <w:szCs w:val="24"/>
          <w:highlight w:val="none"/>
        </w:rPr>
        <w:t xml:space="preserve">服务期内提供生产厂家软件版本升级，提供设备生产厂家出具的相关证明文件。</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2.2.2</w:t>
      </w:r>
      <w:r>
        <w:rPr>
          <w:rFonts w:hint="eastAsia" w:ascii="宋体" w:hAnsi="宋体" w:eastAsia="宋体" w:cs="宋体"/>
          <w:color w:val="auto"/>
          <w:sz w:val="24"/>
          <w:szCs w:val="24"/>
          <w:highlight w:val="none"/>
        </w:rPr>
        <w:t xml:space="preserve">保证设备符合相应的国内、国际机械电气标准，维修所用零部件为原厂同型号合格备件。更换球管必须为原厂同型号全新球管，与设备整机注册证一致，更换时需提供原厂盖章的供货证明材料，提供承诺函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否则甲方有权终止合同</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eastAsia="宋体" w:cs="宋体"/>
          <w:color w:val="auto"/>
          <w:sz w:val="24"/>
          <w:szCs w:val="24"/>
          <w:highlight w:val="none"/>
        </w:rPr>
        <w:t xml:space="preserve">提供3名及以上维修工程师</w:t>
      </w:r>
      <w:r>
        <w:rPr>
          <w:rFonts w:hint="eastAsia" w:ascii="宋体" w:hAnsi="宋体" w:eastAsia="宋体" w:cs="宋体"/>
          <w:color w:val="auto"/>
          <w:sz w:val="24"/>
          <w:szCs w:val="24"/>
          <w:highlight w:val="none"/>
          <w:lang w:val="en-US" w:eastAsia="zh-CN"/>
        </w:rPr>
        <w:t xml:space="preserve">和临床应用工程师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提供经原厂培训的</w:t>
      </w:r>
      <w:r>
        <w:rPr>
          <w:rFonts w:hint="eastAsia" w:ascii="宋体" w:hAnsi="宋体" w:eastAsia="宋体" w:cs="宋体"/>
          <w:color w:val="auto"/>
          <w:sz w:val="24"/>
          <w:szCs w:val="24"/>
          <w:highlight w:val="none"/>
        </w:rPr>
        <w:t xml:space="preserve">证书（提供证书复印件）。</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2.2.4</w:t>
      </w:r>
      <w:r>
        <w:rPr>
          <w:rFonts w:hint="eastAsia" w:ascii="宋体" w:hAnsi="宋体" w:eastAsia="宋体" w:cs="宋体"/>
          <w:color w:val="auto"/>
          <w:sz w:val="24"/>
          <w:szCs w:val="24"/>
          <w:highlight w:val="none"/>
        </w:rPr>
        <w:t xml:space="preserve">具备报修热线，并提供365天，7*24小时热线支持。</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eastAsia="宋体" w:cs="宋体"/>
          <w:color w:val="auto"/>
          <w:sz w:val="24"/>
          <w:szCs w:val="24"/>
          <w:highlight w:val="none"/>
        </w:rPr>
        <w:t xml:space="preserve">提供测试合格的产品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并保证设备经维修后的技术参数与原机数据相同。</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2.2.6为提高患者检查图像质量及减少患者检查时间，确保备件保障和溯源备件质量可靠性，投标人以所保修设备的生产企业或具备设备生产企业售后服务授权为优，合同签订前需提供原厂售后服务授权书文件，提供承诺函，否则采购方有权拒签合同。</w:t>
      </w:r>
      <w:r/>
    </w:p>
    <w:p>
      <w:pPr>
        <w:ind w:firstLine="480"/>
        <w:jc w:val="both"/>
        <w:keepLines w:val="0"/>
        <w:keepNext w:val="0"/>
        <w:pageBreakBefore w:val="0"/>
        <w:spacing w:line="348"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★2.2.7uDR780i设备新增原厂长骨拼接功能升级，可实现长骨（全脊柱、全下肢）的自动拍摄和自动拼接功能，提供承诺函，否则采购方有权拒签合同。</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3、其他品牌设备维保服务要求：</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提供设备主机全套系统，包含工作站系统维保服务。保修期内免费提供维修所需的人工和原厂零备件（设备含球管、高压发生器、探测器等全部备件，提供原厂的软件维护及升级。</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4、预防性保养：</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提供预防性保养 ≥ 2次/年（DR设备≥1次/年），保证设备处于最佳运行状态。与采购人约定定期保养时间，按照原厂保养内容清单，结合设备状态，免费更换损耗部件。按照厂家标准将设备校准至正常状态并提交维护保养报告。</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保修期内开机率：在正确使用设备的前提下，保证保修期内开机率≥95%。</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维保整体服务：内容包含但不仅限于维修保养规章制度与操作规范、维修保养操作规范方案、维修保养工作流程方案、维护保养计划方案等方面</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维保实施：内容包含但不仅限于维护保养程序、维修设备工具、故障报告及故障预防措施、资料档案管理、维护保养服务监督管理机制等方面</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响应时间：电话报修首次响应时间≤2小时，工程师到达现场时间≤24小时。</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备件保障：所有更换的零备件在维保期间需为全新的。至少在华东地区设有设备专属配件仓库，并确保 365*24 小时供需服务及物流渠道（提供仓库相关信息：地址及联系人、联系电话）</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培训方案：需经验丰富的专业工程师负责进行现场培训。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质量及安全管理：投标人保证设备处于优良运行状态，为设备提供安全检查、质量保证。对操作流程，质量自检措施等进行阐述，提供设备生产厂家原厂的维护及升级。</w:t>
      </w:r>
      <w:r/>
    </w:p>
    <w:p>
      <w:pPr>
        <w:ind w:firstLine="480"/>
        <w:jc w:val="both"/>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售后服务要求：若遇到故障需更换配件而要停机的须提前通知科室主任并告知该配件最快能更换时间，及时处理故障，保证科室设备的正常使用。</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24" w:name="_Toc13543219"/>
      <w:r>
        <w:rPr>
          <w:rFonts w:hint="eastAsia" w:ascii="宋体" w:hAnsi="宋体" w:eastAsia="宋体" w:cs="宋体"/>
          <w:color w:val="auto"/>
          <w:sz w:val="24"/>
          <w:szCs w:val="24"/>
          <w:highlight w:val="none"/>
          <w:lang w:val="en-US" w:eastAsia="zh-CN"/>
        </w:rPr>
        <w:t xml:space="preserve">合同一方不履行合同义务或者履行合同义务不符合约定的，应当承担继续履行、采取补救措施或者赔偿损失等违约责任。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1.1甲方逾期付款的应按照逾期付款金额的每天万分之一支付逾期付款违约金。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1.2甲方违反合同规定，拒绝接收乙方交付的合格标的物，应当承担乙方由此造成的损失。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乙方不能提供服务（逾期超过十五天视为不能提供服务），或提供服务不合格从而影响甲方按期正常使用的，甲方有权解除合同，乙方向甲方偿付合同总价款5%的违约金，违约金不足以补偿损失的甲方有权要求乙方补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乙方逾期提供服务的，应提前与甲方和协商，甲方仍需求的，乙方应按照逾期提供服务部分合同款的每天万分之一支付逾期提供服务违约金，同时承担甲方因此遭致的损失费用。</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zh-CN" w:eastAsia="zh-CN"/>
        </w:rPr>
        <w:t xml:space="preserve">不可抗力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因不可抗力不能履行合同的，根据不可抗力的影响，部分或者全部免除责任。但合同一方迟延履行后发生不可抗力的，不能免除责任。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合同一方因不可抗力不能履行合同的，应当及时通知对方，以减轻可能给对方造成的损失，并应当在合理期限内提供证明。</w:t>
      </w:r>
      <w:bookmarkEnd w:id="24"/>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25" w:name="_Toc13543221"/>
      <w:r>
        <w:rPr>
          <w:rFonts w:hint="eastAsia" w:ascii="宋体" w:hAnsi="宋体" w:eastAsia="宋体" w:cs="宋体"/>
          <w:b/>
          <w:bCs/>
          <w:color w:val="auto"/>
          <w:sz w:val="24"/>
          <w:szCs w:val="24"/>
          <w:highlight w:val="none"/>
          <w:lang w:val="en-US" w:eastAsia="zh-CN"/>
        </w:rPr>
        <w:t xml:space="preserve">九、合同的解除和转让</w:t>
      </w:r>
      <w:bookmarkEnd w:id="2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1.合同的解除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1.1甲方和乙方协商一致，可以解除合同。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1.2有下列情形之一，合同一方可以解除合同：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1.2.1因不可抗力致使不能实现合同目的，未受不可抗力影响的一方有权解除合同。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1.2.2因合同一方违约导致合同不能履行，另一方有权解除合同。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1.2.3有权解除合同的一方，应当在违约事实或不可抗力发生之后三十天内书面通知对方以主张解除合同，合同在书面通知到达对方时解除。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2.合同的转让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2.1合同的部分和全部都不得转让。</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26" w:name="_Toc13543222"/>
      <w:r>
        <w:rPr>
          <w:rFonts w:hint="eastAsia" w:ascii="宋体" w:hAnsi="宋体" w:eastAsia="宋体" w:cs="宋体"/>
          <w:b/>
          <w:bCs/>
          <w:color w:val="auto"/>
          <w:sz w:val="24"/>
          <w:szCs w:val="24"/>
          <w:highlight w:val="none"/>
          <w:lang w:val="en-US" w:eastAsia="zh-CN"/>
        </w:rPr>
        <w:t xml:space="preserve">十、合同的生效</w:t>
      </w:r>
      <w:bookmarkEnd w:id="2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27" w:name="_Toc13543223"/>
      <w:r>
        <w:rPr>
          <w:rFonts w:hint="eastAsia" w:ascii="宋体" w:hAnsi="宋体" w:eastAsia="宋体" w:cs="宋体"/>
          <w:color w:val="auto"/>
          <w:sz w:val="24"/>
          <w:szCs w:val="24"/>
          <w:highlight w:val="none"/>
          <w:lang w:val="en-US" w:eastAsia="zh-CN"/>
        </w:rPr>
        <w:t xml:space="preserve">合同经甲乙双方代表签字并加盖公章可生效。合同须经政府采购管理部门备案。</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十一、争议解决</w:t>
      </w:r>
      <w:bookmarkEnd w:id="2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甲乙双方因合同发生争议，应在招标方的主持下进行调解，协商不成，任何一方可以向甲方所在地人民法院起诉。</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28" w:name="_Toc13543224"/>
      <w:r>
        <w:rPr>
          <w:rFonts w:hint="eastAsia" w:ascii="宋体" w:hAnsi="宋体" w:eastAsia="宋体" w:cs="宋体"/>
          <w:b/>
          <w:bCs/>
          <w:color w:val="auto"/>
          <w:sz w:val="24"/>
          <w:szCs w:val="24"/>
          <w:highlight w:val="none"/>
          <w:lang w:val="en-US" w:eastAsia="zh-CN"/>
        </w:rPr>
        <w:t xml:space="preserve">十二、附则</w:t>
      </w:r>
      <w:bookmarkEnd w:id="2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1.合同份数：本合同一式叁份，甲方壹份，乙方壹份，采购代理机构壹份。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2.本合同文件使用中文书写、解释和说明。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3.本合同履行过程中产生的纪要、协议以及中标通知书、招标文件和投标文件为本合同的附件，与合同具有同等效力。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4.未尽事宜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本合同未尽事宜应按《中华人民共和国政府采购法》、《中华人民共和国民法典》及其它有关政府采购的法律法规的规定执行。</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5"/>
        <w:jc w:val="center"/>
        <w:rPr>
          <w:rFonts w:hint="eastAsia" w:ascii="宋体" w:hAnsi="宋体" w:eastAsia="宋体" w:cs="宋体"/>
          <w:color w:val="auto"/>
          <w:sz w:val="52"/>
          <w:szCs w:val="52"/>
          <w:highlight w:val="none"/>
        </w:rPr>
      </w:pPr>
      <w:r/>
      <w:bookmarkStart w:id="29" w:name="_Toc520073486"/>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第六章</w:t>
      </w:r>
      <w:bookmarkEnd w:id="22"/>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评分标准</w:t>
      </w:r>
      <w:bookmarkEnd w:id="29"/>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line="348"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24"/>
          <w:szCs w:val="24"/>
          <w:highlight w:val="none"/>
        </w:rPr>
        <w:t xml:space="preserve">一、评标办法：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1、本次招标评标采用综合评分法，即在满足招标文件实质性要求前提下，按照招标文件中规定的评分标准和各项因素进行综合评审后，以评标总得分最高的投标人作为中标候选人。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标委员会各成员独立对每个进入打分程序的有效投标人的标书技术部分以打分的形式进行评审和评价（计算结果均四舍五入保留两位小数）。对评标委员会（简称：评委）的评分（除价格分外）进行统计汇总，直接算术平均计算得分。投标报价得分加上技术得分为评标总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3、如出现评标总得分最高的投标人有两个或两个以上的，以投标报价较低者优先作为该标段中标候选人，如果投标报价也相同的，则以抽签方式确定中标候选人。</w:t>
      </w:r>
      <w:r/>
    </w:p>
    <w:p>
      <w:pPr>
        <w:ind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tbl>
      <w:tblPr>
        <w:tblStyle w:val="72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2"/>
        <w:gridCol w:w="1937"/>
        <w:gridCol w:w="5906"/>
        <w:gridCol w:w="926"/>
      </w:tblGrid>
      <w:tr>
        <w:trPr>
          <w:cantSplit/>
          <w:jc w:val="center"/>
        </w:trPr>
        <w:tc>
          <w:tcPr>
            <w:tcW w:w="69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评审类别</w:t>
            </w:r>
            <w:r/>
          </w:p>
        </w:tc>
        <w:tc>
          <w:tcPr>
            <w:tcW w:w="95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w:t>
            </w:r>
            <w:r/>
          </w:p>
        </w:tc>
        <w:tc>
          <w:tcPr>
            <w:tcW w:w="289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评审规则</w:t>
            </w:r>
            <w:r/>
          </w:p>
        </w:tc>
        <w:tc>
          <w:tcPr>
            <w:tcW w:w="45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cantSplit/>
          <w:jc w:val="center"/>
        </w:trPr>
        <w:tc>
          <w:tcPr>
            <w:tcW w:w="69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价格10分</w:t>
            </w:r>
            <w:r/>
          </w:p>
        </w:tc>
        <w:tc>
          <w:tcPr>
            <w:tcW w:w="950"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价格评审指标</w:t>
            </w:r>
            <w:r/>
          </w:p>
        </w:tc>
        <w:tc>
          <w:tcPr>
            <w:tcW w:w="289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（评标基准价／投标报价）×价格权值×100；（计算到小数点后二位）超预算的投标报价不进入评标程序。</w:t>
            </w:r>
            <w:r/>
          </w:p>
        </w:tc>
        <w:tc>
          <w:tcPr>
            <w:tcW w:w="45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r>
      <w:tr>
        <w:trPr>
          <w:cantSplit/>
          <w:jc w:val="center"/>
        </w:trPr>
        <w:tc>
          <w:tcPr>
            <w:tcW w:w="698" w:type="pct"/>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对设备巡检维护及管理方案能力比较（5</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tc>
        <w:tc>
          <w:tcPr>
            <w:tcW w:w="950"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维保整体服务方案</w:t>
            </w:r>
            <w:r/>
          </w:p>
        </w:tc>
        <w:tc>
          <w:tcPr>
            <w:tcW w:w="2897" w:type="pct"/>
            <w:vAlign w:val="center"/>
            <w:textDirection w:val="lrTb"/>
            <w:noWrap w:val="false"/>
          </w:tcPr>
          <w:p>
            <w:pPr>
              <w:pStyle w:val="757"/>
              <w:ind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根据针对本项目制定的维保整体服务方案，包含维修保养规章制度与操作规范、维修保养操作规范方案、维修保养工作流程方案、维护保养计划方，</w:t>
            </w:r>
            <w:r>
              <w:rPr>
                <w:rFonts w:hint="eastAsia" w:ascii="宋体" w:hAnsi="宋体" w:eastAsia="宋体" w:cs="宋体"/>
                <w:color w:val="auto"/>
                <w:sz w:val="24"/>
                <w:szCs w:val="24"/>
                <w:highlight w:val="none"/>
                <w:lang w:val="zh-CN"/>
              </w:rPr>
              <w:t xml:space="preserve">上述内容叙述完整的得</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rPr>
              <w:t xml:space="preserve">，存在缺项或者不符合采购需求的，每项扣2分</w:t>
            </w:r>
            <w:r/>
          </w:p>
        </w:tc>
        <w:tc>
          <w:tcPr>
            <w:tcW w:w="45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r>
      <w:tr>
        <w:trPr>
          <w:cantSplit/>
          <w:jc w:val="center"/>
        </w:trPr>
        <w:tc>
          <w:tcPr>
            <w:tcW w:w="698"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维保实施方案</w:t>
            </w:r>
            <w:r/>
          </w:p>
        </w:tc>
        <w:tc>
          <w:tcPr>
            <w:tcW w:w="2897" w:type="pct"/>
            <w:vAlign w:val="center"/>
            <w:textDirection w:val="lrTb"/>
            <w:noWrap w:val="false"/>
          </w:tcPr>
          <w:p>
            <w:pPr>
              <w:pStyle w:val="757"/>
              <w:ind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根据针对本项目制定的维保实施方案，包含维护保养程序、维修设备工具、故障报告及故障预防措施、资料档案管理、维护保养服务监督管理机制等方面，</w:t>
            </w:r>
            <w:r>
              <w:rPr>
                <w:rFonts w:hint="eastAsia" w:ascii="宋体" w:hAnsi="宋体" w:eastAsia="宋体" w:cs="宋体"/>
                <w:color w:val="auto"/>
                <w:sz w:val="24"/>
                <w:szCs w:val="24"/>
                <w:highlight w:val="none"/>
                <w:lang w:val="zh-CN"/>
              </w:rPr>
              <w:t xml:space="preserve">上述内容叙述完整的得</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rPr>
              <w:t xml:space="preserve">，存在缺项或者不符合采购需求的，每项扣2分</w:t>
            </w:r>
            <w:r/>
          </w:p>
        </w:tc>
        <w:tc>
          <w:tcPr>
            <w:tcW w:w="45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r>
      <w:tr>
        <w:trPr>
          <w:cantSplit/>
          <w:jc w:val="center"/>
        </w:trPr>
        <w:tc>
          <w:tcPr>
            <w:tcW w:w="698"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应急响应方案</w:t>
            </w:r>
            <w:r/>
          </w:p>
        </w:tc>
        <w:tc>
          <w:tcPr>
            <w:tcW w:w="2897" w:type="pct"/>
            <w:vAlign w:val="center"/>
            <w:textDirection w:val="lrTb"/>
            <w:noWrap w:val="false"/>
          </w:tcPr>
          <w:p>
            <w:pPr>
              <w:spacing w:line="24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针对本项目制定的突发事件的应急措施（要与医院的实际情况结合），包含应急突发事件的应急预案，应急保障措施，可能发生的应急事件处理方式分析，组织机构及工作原则，</w:t>
            </w:r>
            <w:r>
              <w:rPr>
                <w:rFonts w:hint="eastAsia" w:ascii="宋体" w:hAnsi="宋体" w:eastAsia="宋体" w:cs="宋体"/>
                <w:color w:val="auto"/>
                <w:sz w:val="24"/>
                <w:szCs w:val="24"/>
                <w:highlight w:val="none"/>
                <w:lang w:val="zh-CN"/>
              </w:rPr>
              <w:t xml:space="preserve">上述内容叙述完整的得</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rPr>
              <w:t xml:space="preserve">，存在缺项或者不符合采购需求的，每项扣2分</w:t>
            </w:r>
            <w:r/>
          </w:p>
        </w:tc>
        <w:tc>
          <w:tcPr>
            <w:tcW w:w="45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r>
      <w:tr>
        <w:trPr>
          <w:cantSplit/>
          <w:jc w:val="center"/>
        </w:trPr>
        <w:tc>
          <w:tcPr>
            <w:tcW w:w="698"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备件保障方案</w:t>
            </w:r>
            <w:r/>
          </w:p>
        </w:tc>
        <w:tc>
          <w:tcPr>
            <w:tcW w:w="2897" w:type="pct"/>
            <w:vAlign w:val="center"/>
            <w:textDirection w:val="lrTb"/>
            <w:noWrap w:val="false"/>
          </w:tcPr>
          <w:p>
            <w:pPr>
              <w:spacing w:line="240" w:lineRule="auto"/>
              <w:rPr>
                <w:rFonts w:hint="eastAsia" w:ascii="宋体" w:hAnsi="宋体" w:eastAsia="宋体" w:cs="宋体"/>
                <w:color w:val="auto"/>
                <w:sz w:val="24"/>
                <w:szCs w:val="24"/>
                <w:highlight w:val="none"/>
                <w:lang w:bidi="ar"/>
              </w:rPr>
            </w:pPr>
            <w:r>
              <w:rPr>
                <w:rFonts w:hint="eastAsia" w:ascii="宋体" w:hAnsi="宋体" w:eastAsia="宋体" w:cs="宋体"/>
                <w:bCs/>
                <w:color w:val="auto"/>
                <w:sz w:val="24"/>
                <w:szCs w:val="24"/>
                <w:highlight w:val="none"/>
              </w:rPr>
              <w:t xml:space="preserve">针对本项目制定的备件保障方案，包含对备件库详细情况进行阐述，具备提供原厂备品备件能力，有备品备件相关管理制度。</w:t>
            </w:r>
            <w:r>
              <w:rPr>
                <w:rFonts w:hint="eastAsia" w:ascii="宋体" w:hAnsi="宋体" w:eastAsia="宋体" w:cs="宋体"/>
                <w:color w:val="auto"/>
                <w:sz w:val="24"/>
                <w:szCs w:val="24"/>
                <w:highlight w:val="none"/>
                <w:lang w:val="zh-CN"/>
              </w:rPr>
              <w:t xml:space="preserve">上述内容叙述完整的得</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rPr>
              <w:t xml:space="preserve">，存在缺项或者不符合采购需求的，每项扣2分</w:t>
            </w:r>
            <w:r>
              <w:rPr>
                <w:rFonts w:hint="eastAsia" w:ascii="宋体" w:hAnsi="宋体" w:eastAsia="宋体" w:cs="宋体"/>
                <w:bCs/>
                <w:color w:val="auto"/>
                <w:sz w:val="24"/>
                <w:szCs w:val="24"/>
                <w:highlight w:val="none"/>
              </w:rPr>
              <w:t xml:space="preserve">（请在投标文件中提供具备原厂备件库相关证明材料，不提供不得分）。</w:t>
            </w:r>
            <w:r/>
          </w:p>
        </w:tc>
        <w:tc>
          <w:tcPr>
            <w:tcW w:w="454"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r>
      <w:tr>
        <w:trPr>
          <w:cantSplit/>
          <w:jc w:val="center"/>
        </w:trPr>
        <w:tc>
          <w:tcPr>
            <w:tcW w:w="698"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pct"/>
            <w:vAlign w:val="center"/>
            <w:textDirection w:val="lrTb"/>
            <w:noWrap w:val="false"/>
          </w:tcPr>
          <w:p>
            <w:pPr>
              <w:rPr>
                <w:rFonts w:hint="eastAsia" w:ascii="宋体" w:hAnsi="宋体" w:eastAsia="宋体" w:cs="宋体"/>
                <w:color w:val="auto"/>
                <w:sz w:val="24"/>
                <w:szCs w:val="24"/>
                <w:highlight w:val="none"/>
                <w:lang w:bidi="ar"/>
              </w:rPr>
            </w:pPr>
            <w:r>
              <w:rPr>
                <w:rFonts w:hint="eastAsia" w:ascii="宋体" w:hAnsi="宋体" w:eastAsia="宋体" w:cs="宋体"/>
                <w:bCs/>
                <w:color w:val="auto"/>
                <w:sz w:val="24"/>
                <w:szCs w:val="24"/>
                <w:highlight w:val="none"/>
              </w:rPr>
              <w:t xml:space="preserve">培训方案</w:t>
            </w:r>
            <w:r/>
          </w:p>
        </w:tc>
        <w:tc>
          <w:tcPr>
            <w:tcW w:w="2897" w:type="pct"/>
            <w:vAlign w:val="center"/>
            <w:textDirection w:val="lrTb"/>
            <w:noWrap w:val="false"/>
          </w:tcPr>
          <w:p>
            <w:pPr>
              <w:spacing w:line="24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对采购人人员的培训方案，包括人员培训配置，培训内容，培训频次及时间，</w:t>
            </w:r>
            <w:r>
              <w:rPr>
                <w:rFonts w:hint="eastAsia" w:ascii="宋体" w:hAnsi="宋体" w:eastAsia="宋体" w:cs="宋体"/>
                <w:color w:val="auto"/>
                <w:sz w:val="24"/>
                <w:szCs w:val="24"/>
                <w:highlight w:val="none"/>
                <w:lang w:val="zh-CN"/>
              </w:rPr>
              <w:t xml:space="preserve">上述内容叙述完整的得</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rPr>
              <w:t xml:space="preserve">，存在缺项或者不符合采购需求的，每项扣,3分</w:t>
            </w:r>
            <w:r/>
          </w:p>
        </w:tc>
        <w:tc>
          <w:tcPr>
            <w:tcW w:w="454"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9分</w:t>
            </w:r>
            <w:r/>
          </w:p>
        </w:tc>
      </w:tr>
      <w:tr>
        <w:trPr>
          <w:cantSplit/>
          <w:jc w:val="center"/>
        </w:trPr>
        <w:tc>
          <w:tcPr>
            <w:tcW w:w="698"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pct"/>
            <w:vAlign w:val="center"/>
            <w:textDirection w:val="lrTb"/>
            <w:noWrap w:val="false"/>
          </w:tcPr>
          <w:p>
            <w:pPr>
              <w:rPr>
                <w:rFonts w:hint="eastAsia" w:ascii="宋体" w:hAnsi="宋体" w:eastAsia="宋体" w:cs="宋体"/>
                <w:color w:val="auto"/>
                <w:sz w:val="24"/>
                <w:szCs w:val="24"/>
                <w:highlight w:val="none"/>
                <w:lang w:bidi="ar"/>
              </w:rPr>
            </w:pPr>
            <w:r>
              <w:rPr>
                <w:rFonts w:hint="eastAsia" w:ascii="宋体" w:hAnsi="宋体" w:eastAsia="宋体" w:cs="宋体"/>
                <w:bCs/>
                <w:color w:val="auto"/>
                <w:sz w:val="24"/>
                <w:szCs w:val="24"/>
                <w:highlight w:val="none"/>
              </w:rPr>
              <w:t xml:space="preserve">质量及安全管理方案</w:t>
            </w:r>
            <w:r/>
          </w:p>
        </w:tc>
        <w:tc>
          <w:tcPr>
            <w:tcW w:w="289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针对维保实施过程中的质量及安全管理方案综合评定，包含对操作流程，质量自检措施等进行阐述，提供设备生产厂家原厂的维护及升级，</w:t>
            </w:r>
            <w:r>
              <w:rPr>
                <w:rFonts w:hint="eastAsia" w:ascii="宋体" w:hAnsi="宋体" w:eastAsia="宋体" w:cs="宋体"/>
                <w:color w:val="auto"/>
                <w:sz w:val="24"/>
                <w:szCs w:val="24"/>
                <w:highlight w:val="none"/>
                <w:lang w:val="zh-CN"/>
              </w:rPr>
              <w:t xml:space="preserve">上述内容叙述完整的得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rPr>
              <w:t xml:space="preserve">，存在缺项或者不符合采购需求的，每项扣</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454"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r>
      <w:tr>
        <w:trPr>
          <w:cantSplit/>
          <w:jc w:val="center"/>
        </w:trPr>
        <w:tc>
          <w:tcPr>
            <w:tcW w:w="698" w:type="pct"/>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投标人履约能力比较（3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950"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培训证书</w:t>
            </w:r>
            <w:r/>
          </w:p>
        </w:tc>
        <w:tc>
          <w:tcPr>
            <w:tcW w:w="2897" w:type="pct"/>
            <w:vAlign w:val="center"/>
            <w:textDirection w:val="lrTb"/>
            <w:noWrap w:val="false"/>
          </w:tcPr>
          <w:p>
            <w:pPr>
              <w:jc w:val="both"/>
              <w:spacing w:line="240" w:lineRule="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专业维修技术能力:投标时提供具备服务能力工程师名单，每具有1人得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分。提供工程师基本信息资料（姓名、年龄、职称）及经原厂培训资质证明。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康达最多得1分、西门子最多得1分</w:t>
            </w:r>
            <w:r>
              <w:rPr>
                <w:rFonts w:hint="eastAsia" w:ascii="宋体" w:hAnsi="宋体" w:eastAsia="宋体" w:cs="宋体"/>
                <w:color w:val="auto"/>
                <w:sz w:val="24"/>
                <w:szCs w:val="24"/>
                <w:highlight w:val="none"/>
                <w:lang w:eastAsia="zh-CN"/>
              </w:rPr>
              <w:t xml:space="preserve">）</w:t>
            </w:r>
            <w:r/>
          </w:p>
          <w:p>
            <w:pPr>
              <w:jc w:val="both"/>
              <w:spacing w:line="24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临床应用技术支持工程师：投标时提供具备原厂培训资质的临床应用技术支持工程师名单，每具有1人得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分。提供工程师基本信息资料（姓名、年龄、职称）及经原厂培训资质证明。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康达品牌最多得1分、西门子品牌最多得1分</w:t>
            </w:r>
            <w:r>
              <w:rPr>
                <w:rFonts w:hint="eastAsia" w:ascii="宋体" w:hAnsi="宋体" w:eastAsia="宋体" w:cs="宋体"/>
                <w:color w:val="auto"/>
                <w:sz w:val="24"/>
                <w:szCs w:val="24"/>
                <w:highlight w:val="none"/>
                <w:lang w:eastAsia="zh-CN"/>
              </w:rPr>
              <w:t xml:space="preserve">）</w:t>
            </w:r>
            <w:r/>
          </w:p>
        </w:tc>
        <w:tc>
          <w:tcPr>
            <w:tcW w:w="454"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r>
      <w:tr>
        <w:trPr>
          <w:cantSplit/>
          <w:jc w:val="center"/>
        </w:trPr>
        <w:tc>
          <w:tcPr>
            <w:tcW w:w="698"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售后服务能力比较</w:t>
            </w:r>
            <w:r/>
          </w:p>
        </w:tc>
        <w:tc>
          <w:tcPr>
            <w:tcW w:w="289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服务清单内的</w:t>
            </w:r>
            <w:r>
              <w:rPr>
                <w:rFonts w:hint="eastAsia" w:ascii="宋体" w:hAnsi="宋体" w:eastAsia="宋体" w:cs="宋体"/>
                <w:color w:val="auto"/>
                <w:sz w:val="24"/>
                <w:szCs w:val="24"/>
                <w:highlight w:val="none"/>
              </w:rPr>
              <w:t xml:space="preserve">磁共振、CT、DR、乳腺机、DSA属于高价值医疗设备，投标人</w:t>
            </w:r>
            <w:r>
              <w:rPr>
                <w:rFonts w:hint="eastAsia" w:ascii="宋体" w:hAnsi="宋体" w:eastAsia="宋体" w:cs="宋体"/>
                <w:color w:val="auto"/>
                <w:sz w:val="24"/>
                <w:szCs w:val="24"/>
                <w:highlight w:val="none"/>
                <w:lang w:val="en-US" w:eastAsia="zh-CN"/>
              </w:rPr>
              <w:t xml:space="preserve">承诺可以提供</w:t>
            </w:r>
            <w:r>
              <w:rPr>
                <w:rFonts w:hint="eastAsia" w:ascii="宋体" w:hAnsi="宋体" w:eastAsia="宋体" w:cs="宋体"/>
                <w:color w:val="auto"/>
                <w:sz w:val="24"/>
                <w:szCs w:val="24"/>
                <w:highlight w:val="none"/>
              </w:rPr>
              <w:t xml:space="preserve">设备品牌生产厂家针对</w:t>
            </w:r>
            <w:r>
              <w:rPr>
                <w:rFonts w:hint="eastAsia" w:ascii="宋体" w:hAnsi="宋体" w:eastAsia="宋体" w:cs="宋体"/>
                <w:color w:val="auto"/>
                <w:sz w:val="24"/>
                <w:szCs w:val="24"/>
                <w:highlight w:val="none"/>
                <w:lang w:val="en-US" w:eastAsia="zh-CN"/>
              </w:rPr>
              <w:t xml:space="preserve">此</w:t>
            </w:r>
            <w:r>
              <w:rPr>
                <w:rFonts w:hint="eastAsia" w:ascii="宋体" w:hAnsi="宋体" w:eastAsia="宋体" w:cs="宋体"/>
                <w:color w:val="auto"/>
                <w:sz w:val="24"/>
                <w:szCs w:val="24"/>
                <w:highlight w:val="none"/>
              </w:rPr>
              <w:t xml:space="preserve">项目的售后服务能力证明文件，</w:t>
            </w:r>
            <w:r>
              <w:rPr>
                <w:rFonts w:hint="eastAsia" w:ascii="宋体" w:hAnsi="宋体" w:eastAsia="宋体" w:cs="宋体"/>
                <w:color w:val="auto"/>
                <w:sz w:val="24"/>
                <w:szCs w:val="24"/>
                <w:highlight w:val="none"/>
                <w:lang w:val="en-US" w:eastAsia="zh-CN"/>
              </w:rPr>
              <w:t xml:space="preserve">提供承诺函，</w:t>
            </w:r>
            <w:r>
              <w:rPr>
                <w:rFonts w:hint="eastAsia" w:ascii="宋体" w:hAnsi="宋体" w:eastAsia="宋体" w:cs="宋体"/>
                <w:color w:val="auto"/>
                <w:sz w:val="24"/>
                <w:szCs w:val="24"/>
                <w:highlight w:val="none"/>
              </w:rPr>
              <w:t xml:space="preserve">每提供一份得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分。（提供</w:t>
            </w:r>
            <w:r>
              <w:rPr>
                <w:rFonts w:hint="eastAsia" w:ascii="宋体" w:hAnsi="宋体" w:eastAsia="宋体" w:cs="宋体"/>
                <w:color w:val="auto"/>
                <w:sz w:val="24"/>
                <w:szCs w:val="24"/>
                <w:highlight w:val="none"/>
                <w:lang w:val="en-US" w:eastAsia="zh-CN"/>
              </w:rPr>
              <w:t xml:space="preserve">相关材料或承诺函</w:t>
            </w:r>
            <w:r>
              <w:rPr>
                <w:rFonts w:hint="eastAsia" w:ascii="宋体" w:hAnsi="宋体" w:eastAsia="宋体" w:cs="宋体"/>
                <w:color w:val="auto"/>
                <w:sz w:val="24"/>
                <w:szCs w:val="24"/>
                <w:highlight w:val="none"/>
              </w:rPr>
              <w:t xml:space="preserve">，未提供</w:t>
            </w:r>
            <w:r>
              <w:rPr>
                <w:rFonts w:hint="eastAsia" w:ascii="宋体" w:hAnsi="宋体" w:eastAsia="宋体" w:cs="宋体"/>
                <w:color w:val="auto"/>
                <w:sz w:val="24"/>
                <w:szCs w:val="24"/>
                <w:highlight w:val="none"/>
                <w:lang w:val="en-US" w:eastAsia="zh-CN"/>
              </w:rPr>
              <w:t xml:space="preserve">或不满足要求</w:t>
            </w:r>
            <w:r>
              <w:rPr>
                <w:rFonts w:hint="eastAsia" w:ascii="宋体" w:hAnsi="宋体" w:eastAsia="宋体" w:cs="宋体"/>
                <w:color w:val="auto"/>
                <w:sz w:val="24"/>
                <w:szCs w:val="24"/>
                <w:highlight w:val="none"/>
              </w:rPr>
              <w:t xml:space="preserve">不得分）</w:t>
            </w:r>
            <w:r/>
          </w:p>
        </w:tc>
        <w:tc>
          <w:tcPr>
            <w:tcW w:w="454"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r>
      <w:tr>
        <w:trPr>
          <w:cantSplit/>
          <w:jc w:val="center"/>
        </w:trPr>
        <w:tc>
          <w:tcPr>
            <w:tcW w:w="698"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原厂零部件证明材料比较</w:t>
            </w:r>
            <w:r/>
          </w:p>
        </w:tc>
        <w:tc>
          <w:tcPr>
            <w:tcW w:w="2897"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服务清单内的</w:t>
            </w:r>
            <w:r>
              <w:rPr>
                <w:rFonts w:hint="eastAsia" w:ascii="宋体" w:hAnsi="宋体" w:eastAsia="宋体" w:cs="宋体"/>
                <w:color w:val="auto"/>
                <w:sz w:val="24"/>
                <w:szCs w:val="24"/>
                <w:highlight w:val="none"/>
              </w:rPr>
              <w:t xml:space="preserve">磁共振、CT、DR、乳腺机、DSA维修所用零部件为原厂原装全新零部件的证明文件，每提供一份得2分，最高得10分。（提供</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针对</w:t>
            </w:r>
            <w:r>
              <w:rPr>
                <w:rFonts w:hint="eastAsia" w:ascii="宋体" w:hAnsi="宋体" w:eastAsia="宋体" w:cs="宋体"/>
                <w:color w:val="auto"/>
                <w:sz w:val="24"/>
                <w:szCs w:val="24"/>
                <w:highlight w:val="none"/>
                <w:lang w:val="en-US" w:eastAsia="zh-CN"/>
              </w:rPr>
              <w:t xml:space="preserve">此</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项目授权材料</w:t>
            </w:r>
            <w:r>
              <w:rPr>
                <w:rFonts w:hint="eastAsia" w:ascii="宋体" w:hAnsi="宋体" w:eastAsia="宋体" w:cs="宋体"/>
                <w:color w:val="auto"/>
                <w:sz w:val="24"/>
                <w:szCs w:val="24"/>
                <w:highlight w:val="none"/>
              </w:rPr>
              <w:t xml:space="preserve">，未提供</w:t>
            </w:r>
            <w:r>
              <w:rPr>
                <w:rFonts w:hint="eastAsia" w:ascii="宋体" w:hAnsi="宋体" w:eastAsia="宋体" w:cs="宋体"/>
                <w:color w:val="auto"/>
                <w:sz w:val="24"/>
                <w:szCs w:val="24"/>
                <w:highlight w:val="none"/>
                <w:lang w:val="en-US" w:eastAsia="zh-CN"/>
              </w:rPr>
              <w:t xml:space="preserve">或不满足要求</w:t>
            </w:r>
            <w:r>
              <w:rPr>
                <w:rFonts w:hint="eastAsia" w:ascii="宋体" w:hAnsi="宋体" w:eastAsia="宋体" w:cs="宋体"/>
                <w:color w:val="auto"/>
                <w:sz w:val="24"/>
                <w:szCs w:val="24"/>
                <w:highlight w:val="none"/>
              </w:rPr>
              <w:t xml:space="preserve">不得分）</w:t>
            </w:r>
            <w:r/>
          </w:p>
        </w:tc>
        <w:tc>
          <w:tcPr>
            <w:tcW w:w="454"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r>
      <w:tr>
        <w:trPr>
          <w:cantSplit/>
          <w:jc w:val="center"/>
        </w:trPr>
        <w:tc>
          <w:tcPr>
            <w:tcW w:w="698"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类似项目业绩比较</w:t>
            </w:r>
            <w:r/>
          </w:p>
        </w:tc>
        <w:tc>
          <w:tcPr>
            <w:tcW w:w="2897" w:type="pct"/>
            <w:vAlign w:val="center"/>
            <w:textDirection w:val="lrTb"/>
            <w:noWrap w:val="false"/>
          </w:tcPr>
          <w:p>
            <w:pPr>
              <w:spacing w:line="24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投标单位或者投标产品生产企业自202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年1月1日至今（以合同签订之日起为准）的类似项目业绩的，每提供一份的得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（提供相关合同的扫描件，不提供不得分）</w:t>
            </w:r>
            <w:r/>
          </w:p>
        </w:tc>
        <w:tc>
          <w:tcPr>
            <w:tcW w:w="454"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r>
      <w:tr>
        <w:trPr>
          <w:cantSplit/>
          <w:jc w:val="center"/>
        </w:trPr>
        <w:tc>
          <w:tcPr>
            <w:tcW w:w="698"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增值服务</w:t>
            </w:r>
            <w:r/>
          </w:p>
        </w:tc>
        <w:tc>
          <w:tcPr>
            <w:tcW w:w="2897" w:type="pct"/>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如有对此次维保项目的增值服务，请提供相关材料。最高得2分。</w:t>
            </w:r>
            <w:r>
              <w:rPr>
                <w:rFonts w:hint="eastAsia" w:ascii="宋体" w:hAnsi="宋体" w:eastAsia="宋体" w:cs="宋体"/>
                <w:b/>
                <w:bCs/>
                <w:color w:val="auto"/>
                <w:sz w:val="24"/>
                <w:szCs w:val="24"/>
                <w:highlight w:val="none"/>
              </w:rPr>
              <w:t xml:space="preserve">不提供不得分</w:t>
            </w:r>
            <w:r>
              <w:rPr>
                <w:rFonts w:hint="eastAsia" w:ascii="宋体" w:hAnsi="宋体" w:eastAsia="宋体" w:cs="宋体"/>
                <w:b/>
                <w:bCs/>
                <w:color w:val="auto"/>
                <w:sz w:val="24"/>
                <w:szCs w:val="24"/>
                <w:highlight w:val="none"/>
                <w:lang w:eastAsia="zh-CN"/>
              </w:rPr>
              <w:t xml:space="preserve">。</w:t>
            </w:r>
            <w:r/>
          </w:p>
        </w:tc>
        <w:tc>
          <w:tcPr>
            <w:tcW w:w="454"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2分</w:t>
            </w:r>
            <w:r/>
          </w:p>
        </w:tc>
      </w:tr>
    </w:tbl>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注：针对评分标准中评分的每一条，投标人均应提供相关资料并作出相应说明供评委评判，不提供相关资料的视为不具备该项得分的条件。</w:t>
      </w:r>
      <w:r/>
    </w:p>
    <w:p>
      <w:pPr>
        <w:ind w:firstLine="480"/>
        <w:jc w:val="right"/>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（全文完）</w:t>
      </w:r>
      <w:r/>
    </w:p>
    <w:p>
      <w:pPr>
        <w:rPr>
          <w:color w:val="auto"/>
          <w:highlight w:val="none"/>
        </w:rPr>
      </w:pPr>
      <w:r>
        <w:rPr>
          <w:color w:val="auto"/>
          <w:highlight w:val="none"/>
        </w:rPr>
      </w:r>
      <w:r/>
    </w:p>
    <w:sectPr>
      <w:headerReference w:type="default" r:id="rId8"/>
      <w:headerReference w:type="first" r:id="rId9"/>
      <w:footerReference w:type="default" r:id="rId10"/>
      <w:footerReference w:type="even" r:id="rId11"/>
      <w:footnotePr/>
      <w:endnotePr/>
      <w:type w:val="nextPage"/>
      <w:pgSz w:w="11906" w:h="16838" w:orient="portrait"/>
      <w:pgMar w:top="1440" w:right="849" w:bottom="1440" w:left="1080" w:header="794" w:footer="675"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DFKai-SB">
    <w:panose1 w:val="03050502040202030202"/>
  </w:font>
  <w:font w:name="Courier New">
    <w:panose1 w:val="02070309020205020404"/>
  </w:font>
  <w:font w:name="方正仿宋简体">
    <w:panose1 w:val="020B0503020202020204"/>
  </w:font>
  <w:font w:name="Arial Unicode MS">
    <w:panose1 w:val="020B0604020202020204"/>
  </w:font>
  <w:font w:name="创艺简仿宋">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fldChar w:fldCharType="begin"/>
    </w:r>
    <w:r>
      <w:instrText xml:space="preserve"> PAGE   \* MERGEFORMAT </w:instrText>
    </w:r>
    <w:r>
      <w:fldChar w:fldCharType="separate"/>
    </w:r>
    <w:r>
      <w:rPr>
        <w:lang w:val="zh-CN"/>
      </w:rPr>
      <w:t xml:space="preserve">54</w:t>
    </w:r>
    <w:r>
      <w:rPr>
        <w:lang w:val="zh-CN"/>
      </w:rPr>
      <w:fldChar w:fldCharType="end"/>
    </w:r>
    <w:r/>
  </w:p>
  <w:p>
    <w:pPr>
      <w:pStyle w:val="739"/>
      <w:ind w:right="360"/>
      <w:jc w:val="lef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left"/>
      <w:rPr>
        <w:rStyle w:val="754"/>
      </w:rPr>
      <w:framePr w:wrap="around" w:vAnchor="text" w:hAnchor="margin" w:xAlign="right" w:y="1"/>
    </w:pPr>
    <w:r>
      <w:fldChar w:fldCharType="begin"/>
    </w:r>
    <w:r>
      <w:rPr>
        <w:rStyle w:val="754"/>
        <w:rFonts w:ascii="宋体" w:hAnsi="宋体" w:eastAsia="宋体" w:cs="宋体"/>
        <w:sz w:val="24"/>
        <w:szCs w:val="24"/>
      </w:rPr>
      <w:instrText xml:space="preserve">PAGE  </w:instrText>
    </w:r>
    <w:r>
      <w:fldChar w:fldCharType="end"/>
    </w:r>
    <w:r/>
  </w:p>
  <w:p>
    <w:pPr>
      <w:pStyle w:val="739"/>
      <w:ind w:right="360" w:firstLine="360"/>
      <w:jc w:val="lef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381000" cy="209550"/>
              <wp:effectExtent l="0" t="0" r="0" b="0"/>
              <wp:docPr id="1" name="图片 3"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F:\单位照片—乐慧\QQ图片20180411122618.jpg"/>
                      <pic:cNvPicPr>
                        <a:picLocks noChangeAspect="1"/>
                      </pic:cNvPicPr>
                      <pic:nvPr/>
                    </pic:nvPicPr>
                    <pic:blipFill>
                      <a:blip r:embed="rId1"/>
                      <a:stretch/>
                    </pic:blipFill>
                    <pic:spPr bwMode="auto">
                      <a:xfrm rot="10800000" flipH="1" flipV="1">
                        <a:off x="0" y="0"/>
                        <a:ext cx="381000" cy="20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16.5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rPr>
      <w:t xml:space="preserve">苏州乐慧招投标咨询有限公司                                        招标编号：</w:t>
    </w:r>
    <w:r>
      <w:rPr>
        <w:rFonts w:hint="eastAsia" w:ascii="宋体" w:hAnsi="宋体" w:eastAsia="宋体"/>
        <w:lang w:eastAsia="zh-CN"/>
      </w:rPr>
      <w:t xml:space="preserve">JSZC-320583-LHZX-G2026-0001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381000" cy="209550"/>
              <wp:effectExtent l="0" t="0" r="0" b="0"/>
              <wp:docPr id="2" name="图片 2"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单位照片—乐慧\QQ图片20180411122618.jpg"/>
                      <pic:cNvPicPr>
                        <a:picLocks noChangeAspect="1"/>
                      </pic:cNvPicPr>
                      <pic:nvPr/>
                    </pic:nvPicPr>
                    <pic:blipFill>
                      <a:blip r:embed="rId1"/>
                      <a:stretch/>
                    </pic:blipFill>
                    <pic:spPr bwMode="auto">
                      <a:xfrm rot="10800000" flipH="1" flipV="1">
                        <a:off x="0" y="0"/>
                        <a:ext cx="381000" cy="20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16.5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rPr>
      <w:t xml:space="preserve">苏州乐慧招投标咨询有限公司                                        招标编号：</w:t>
    </w:r>
    <w:r>
      <w:rPr>
        <w:rFonts w:hint="eastAsia" w:ascii="宋体" w:hAnsi="宋体" w:eastAsia="宋体"/>
        <w:lang w:eastAsia="zh-CN"/>
      </w:rPr>
      <w:t xml:space="preserve">JSZC-320583-LHZX-G2026-0001</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5">
    <w:name w:val="Heading 1"/>
    <w:next w:val="714"/>
    <w:uiPriority w:val="0"/>
    <w:qFormat/>
    <w:pPr>
      <w:jc w:val="both"/>
      <w:keepLines/>
      <w:keepNext/>
      <w:spacing w:before="340" w:after="330" w:line="578" w:lineRule="auto"/>
      <w:widowControl w:val="off"/>
      <w:outlineLvl w:val="0"/>
    </w:pPr>
    <w:rPr>
      <w:rFonts w:hint="default" w:ascii="Times New Roman" w:hAnsi="Times New Roman" w:eastAsia="楷体_GB2312" w:cs="Times New Roman"/>
      <w:b/>
      <w:sz w:val="44"/>
      <w:szCs w:val="20"/>
      <w:lang w:val="en-US" w:eastAsia="zh-CN" w:bidi="ar-SA"/>
    </w:rPr>
  </w:style>
  <w:style w:type="paragraph" w:styleId="716">
    <w:name w:val="Heading 2"/>
    <w:basedOn w:val="714"/>
    <w:next w:val="714"/>
    <w:link w:val="761"/>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62"/>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63"/>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64"/>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65"/>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67"/>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68"/>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0"/>
    <w:semiHidden/>
    <w:qFormat/>
  </w:style>
  <w:style w:type="table" w:styleId="725" w:default="1">
    <w:name w:val="Normal Table"/>
    <w:uiPriority w:val="0"/>
    <w:semiHidden/>
    <w:qFormat/>
    <w:tblPr>
      <w:tblCellMar>
        <w:left w:w="108" w:type="dxa"/>
        <w:top w:w="0" w:type="dxa"/>
        <w:right w:w="108" w:type="dxa"/>
        <w:bottom w:w="0" w:type="dxa"/>
      </w:tblCellMar>
    </w:tblPr>
  </w:style>
  <w:style w:type="paragraph" w:styleId="726">
    <w:name w:val="toc 7"/>
    <w:next w:val="714"/>
    <w:uiPriority w:val="0"/>
    <w:semiHidden/>
    <w:qFormat/>
    <w:pPr>
      <w:ind w:left="2520"/>
      <w:jc w:val="both"/>
      <w:keepLines/>
      <w:keepNext/>
      <w:spacing w:before="340" w:after="330" w:line="578" w:lineRule="auto"/>
      <w:widowControl w:val="off"/>
      <w:outlineLvl w:val="0"/>
    </w:pPr>
    <w:rPr>
      <w:rFonts w:hint="default" w:ascii="Times New Roman" w:hAnsi="Times New Roman" w:eastAsia="楷体_GB2312" w:cs="Times New Roman"/>
      <w:b/>
      <w:sz w:val="26"/>
      <w:szCs w:val="20"/>
      <w:lang w:val="en-US" w:eastAsia="zh-CN" w:bidi="ar-SA"/>
    </w:rPr>
  </w:style>
  <w:style w:type="paragraph" w:styleId="727">
    <w:name w:val="Normal Indent"/>
    <w:basedOn w:val="714"/>
    <w:uiPriority w:val="0"/>
    <w:qFormat/>
    <w:pPr>
      <w:ind w:firstLine="420"/>
      <w:widowControl w:val="off"/>
    </w:pPr>
    <w:rPr>
      <w:rFonts w:hint="default" w:ascii="Times New Roman" w:hAnsi="Times New Roman" w:eastAsia="楷体_GB2312" w:cs="Times New Roman"/>
      <w:sz w:val="24"/>
      <w:szCs w:val="20"/>
      <w:lang w:val="en-US" w:eastAsia="zh-CN" w:bidi="ar-SA"/>
    </w:rPr>
  </w:style>
  <w:style w:type="paragraph" w:styleId="728">
    <w:name w:val="Caption"/>
    <w:basedOn w:val="714"/>
    <w:next w:val="71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9">
    <w:name w:val="annotation text"/>
    <w:basedOn w:val="714"/>
    <w:uiPriority w:val="99"/>
    <w:semiHidden/>
    <w:unhideWhenUsed/>
    <w:qFormat/>
    <w:pPr>
      <w:jc w:val="left"/>
    </w:pPr>
  </w:style>
  <w:style w:type="paragraph" w:styleId="730">
    <w:name w:val="Body Text"/>
    <w:basedOn w:val="714"/>
    <w:uiPriority w:val="0"/>
    <w:qFormat/>
    <w:pPr>
      <w:spacing w:line="400" w:lineRule="exact"/>
    </w:pPr>
    <w:rPr>
      <w:rFonts w:ascii="楷体_GB2312"/>
      <w:sz w:val="28"/>
    </w:rPr>
  </w:style>
  <w:style w:type="paragraph" w:styleId="731">
    <w:name w:val="Body Text Indent"/>
    <w:basedOn w:val="714"/>
    <w:uiPriority w:val="0"/>
    <w:qFormat/>
    <w:pPr>
      <w:ind w:left="570"/>
      <w:jc w:val="both"/>
      <w:spacing w:line="520" w:lineRule="exact"/>
      <w:widowControl w:val="off"/>
    </w:pPr>
    <w:rPr>
      <w:rFonts w:hint="default" w:ascii="方正仿宋简体" w:hAnsi="创艺简仿宋" w:eastAsia="方正仿宋简体" w:cs="Times New Roman"/>
      <w:sz w:val="24"/>
      <w:szCs w:val="20"/>
      <w:lang w:val="en-US" w:eastAsia="zh-CN" w:bidi="ar-SA"/>
    </w:rPr>
  </w:style>
  <w:style w:type="paragraph" w:styleId="732">
    <w:name w:val="List 2"/>
    <w:next w:val="726"/>
    <w:uiPriority w:val="0"/>
    <w:qFormat/>
    <w:pPr>
      <w:ind w:left="100" w:firstLine="3640"/>
      <w:jc w:val="both"/>
      <w:keepLines/>
      <w:keepNext/>
      <w:spacing w:before="0" w:after="0" w:line="240" w:lineRule="auto"/>
      <w:widowControl w:val="off"/>
      <w:outlineLvl w:val="0"/>
    </w:pPr>
    <w:rPr>
      <w:rFonts w:hint="default" w:ascii="Times New Roman" w:hAnsi="Times New Roman" w:eastAsia="楷体_GB2312" w:cs="Times New Roman"/>
      <w:b/>
      <w:sz w:val="44"/>
      <w:szCs w:val="20"/>
      <w:lang w:val="en-US" w:eastAsia="zh-CN" w:bidi="ar-SA"/>
    </w:rPr>
  </w:style>
  <w:style w:type="paragraph" w:styleId="733">
    <w:name w:val="toc 5"/>
    <w:basedOn w:val="714"/>
    <w:next w:val="714"/>
    <w:uiPriority w:val="39"/>
    <w:unhideWhenUsed/>
    <w:qFormat/>
    <w:pPr>
      <w:ind w:left="1134" w:right="0" w:firstLine="0"/>
      <w:spacing w:after="57"/>
    </w:pPr>
  </w:style>
  <w:style w:type="paragraph" w:styleId="734">
    <w:name w:val="toc 3"/>
    <w:basedOn w:val="714"/>
    <w:next w:val="714"/>
    <w:uiPriority w:val="39"/>
    <w:unhideWhenUsed/>
    <w:qFormat/>
    <w:pPr>
      <w:ind w:left="567" w:right="0" w:firstLine="0"/>
      <w:spacing w:after="57"/>
    </w:pPr>
  </w:style>
  <w:style w:type="paragraph" w:styleId="735">
    <w:name w:val="Plain Text"/>
    <w:basedOn w:val="714"/>
    <w:uiPriority w:val="0"/>
    <w:qFormat/>
    <w:pPr>
      <w:jc w:val="both"/>
      <w:widowControl w:val="off"/>
    </w:pPr>
    <w:rPr>
      <w:rFonts w:hint="default" w:ascii="宋体" w:hAnsi="Courier New" w:eastAsia="楷体_GB2312" w:cs="Times New Roman"/>
      <w:sz w:val="26"/>
      <w:szCs w:val="20"/>
      <w:lang w:val="en-US" w:eastAsia="zh-CN" w:bidi="ar-SA"/>
    </w:rPr>
  </w:style>
  <w:style w:type="paragraph" w:styleId="736">
    <w:name w:val="toc 8"/>
    <w:basedOn w:val="714"/>
    <w:next w:val="714"/>
    <w:uiPriority w:val="39"/>
    <w:unhideWhenUsed/>
    <w:qFormat/>
    <w:pPr>
      <w:ind w:left="1984" w:right="0" w:firstLine="0"/>
      <w:spacing w:after="57"/>
    </w:pPr>
  </w:style>
  <w:style w:type="paragraph" w:styleId="737">
    <w:name w:val="Date"/>
    <w:next w:val="714"/>
    <w:uiPriority w:val="0"/>
    <w:qFormat/>
    <w:pPr>
      <w:jc w:val="both"/>
      <w:widowControl w:val="off"/>
    </w:pPr>
    <w:rPr>
      <w:rFonts w:hint="default" w:ascii="宋体" w:hAnsi="宋体" w:eastAsia="楷体_GB2312" w:cs="Times New Roman"/>
      <w:sz w:val="24"/>
      <w:szCs w:val="20"/>
      <w:lang w:val="en-US" w:eastAsia="zh-CN" w:bidi="ar-SA"/>
    </w:rPr>
  </w:style>
  <w:style w:type="paragraph" w:styleId="738">
    <w:name w:val="endnote text"/>
    <w:basedOn w:val="714"/>
    <w:link w:val="906"/>
    <w:uiPriority w:val="99"/>
    <w:semiHidden/>
    <w:unhideWhenUsed/>
    <w:qFormat/>
    <w:pPr>
      <w:spacing w:after="0" w:line="240" w:lineRule="auto"/>
    </w:pPr>
    <w:rPr>
      <w:sz w:val="20"/>
    </w:rPr>
  </w:style>
  <w:style w:type="paragraph" w:styleId="739">
    <w:name w:val="Footer"/>
    <w:uiPriority w:val="0"/>
    <w:qFormat/>
    <w:pPr>
      <w:widowControl w:val="off"/>
      <w:tabs>
        <w:tab w:val="center" w:pos="4153" w:leader="none"/>
        <w:tab w:val="right" w:pos="8306" w:leader="none"/>
      </w:tabs>
    </w:pPr>
    <w:rPr>
      <w:rFonts w:hint="default" w:ascii="Times New Roman" w:hAnsi="Times New Roman" w:eastAsia="楷体_GB2312" w:cs="Times New Roman"/>
      <w:sz w:val="18"/>
      <w:szCs w:val="20"/>
      <w:lang w:val="en-US" w:eastAsia="zh-CN" w:bidi="ar-SA"/>
    </w:rPr>
  </w:style>
  <w:style w:type="paragraph" w:styleId="740">
    <w:name w:val="envelope return"/>
    <w:basedOn w:val="714"/>
    <w:uiPriority w:val="0"/>
    <w:qFormat/>
    <w:pPr>
      <w:jc w:val="left"/>
      <w:tabs>
        <w:tab w:val="left" w:pos="1630" w:leader="none"/>
      </w:tabs>
    </w:pPr>
    <w:rPr>
      <w:rFonts w:ascii="Arial" w:hAnsi="Arial" w:eastAsia="DFKai-SB" w:cs="Arial"/>
      <w:sz w:val="28"/>
      <w:lang w:eastAsia="zh-TW"/>
    </w:rPr>
  </w:style>
  <w:style w:type="paragraph" w:styleId="741">
    <w:name w:val="Header"/>
    <w:uiPriority w:val="0"/>
    <w:qFormat/>
    <w:pPr>
      <w:jc w:val="center"/>
      <w:widowControl w:val="off"/>
      <w:tabs>
        <w:tab w:val="center" w:pos="4153" w:leader="none"/>
        <w:tab w:val="right" w:pos="8306" w:leader="none"/>
      </w:tabs>
      <w:pBdr>
        <w:bottom w:val="single" w:color="auto" w:sz="6" w:space="1"/>
      </w:pBdr>
    </w:pPr>
    <w:rPr>
      <w:rFonts w:hint="default" w:ascii="Times New Roman" w:hAnsi="Times New Roman" w:eastAsia="楷体_GB2312" w:cs="Times New Roman"/>
      <w:sz w:val="18"/>
      <w:szCs w:val="20"/>
      <w:lang w:val="en-US" w:eastAsia="zh-CN" w:bidi="ar-SA"/>
    </w:rPr>
  </w:style>
  <w:style w:type="paragraph" w:styleId="742">
    <w:name w:val="toc 1"/>
    <w:next w:val="714"/>
    <w:uiPriority w:val="39"/>
    <w:qFormat/>
    <w:pPr>
      <w:widowControl w:val="off"/>
    </w:pPr>
    <w:rPr>
      <w:rFonts w:hint="default" w:ascii="Times New Roman" w:hAnsi="Times New Roman" w:eastAsia="楷体_GB2312" w:cs="Times New Roman"/>
      <w:sz w:val="24"/>
      <w:szCs w:val="20"/>
      <w:lang w:val="en-US" w:eastAsia="zh-CN" w:bidi="ar-SA"/>
    </w:rPr>
  </w:style>
  <w:style w:type="paragraph" w:styleId="743">
    <w:name w:val="toc 4"/>
    <w:basedOn w:val="714"/>
    <w:next w:val="714"/>
    <w:uiPriority w:val="39"/>
    <w:unhideWhenUsed/>
    <w:qFormat/>
    <w:pPr>
      <w:ind w:left="850" w:right="0" w:firstLine="0"/>
      <w:spacing w:after="57"/>
    </w:pPr>
  </w:style>
  <w:style w:type="paragraph" w:styleId="744">
    <w:name w:val="Subtitle"/>
    <w:basedOn w:val="714"/>
    <w:next w:val="714"/>
    <w:link w:val="772"/>
    <w:uiPriority w:val="11"/>
    <w:qFormat/>
    <w:pPr>
      <w:spacing w:before="200" w:after="200"/>
    </w:pPr>
    <w:rPr>
      <w:sz w:val="24"/>
      <w:szCs w:val="24"/>
    </w:rPr>
  </w:style>
  <w:style w:type="paragraph" w:styleId="745">
    <w:name w:val="footnote text"/>
    <w:basedOn w:val="714"/>
    <w:link w:val="905"/>
    <w:uiPriority w:val="99"/>
    <w:semiHidden/>
    <w:unhideWhenUsed/>
    <w:qFormat/>
    <w:pPr>
      <w:spacing w:after="40" w:line="240" w:lineRule="auto"/>
    </w:pPr>
    <w:rPr>
      <w:sz w:val="18"/>
    </w:rPr>
  </w:style>
  <w:style w:type="paragraph" w:styleId="746">
    <w:name w:val="toc 6"/>
    <w:basedOn w:val="714"/>
    <w:next w:val="714"/>
    <w:uiPriority w:val="39"/>
    <w:unhideWhenUsed/>
    <w:qFormat/>
    <w:pPr>
      <w:ind w:left="1417" w:right="0" w:firstLine="0"/>
      <w:spacing w:after="57"/>
    </w:pPr>
  </w:style>
  <w:style w:type="paragraph" w:styleId="747">
    <w:name w:val="table of figures"/>
    <w:basedOn w:val="714"/>
    <w:next w:val="714"/>
    <w:uiPriority w:val="99"/>
    <w:unhideWhenUsed/>
    <w:qFormat/>
    <w:pPr>
      <w:spacing w:after="0" w:afterAutospacing="0"/>
    </w:pPr>
  </w:style>
  <w:style w:type="paragraph" w:styleId="748">
    <w:name w:val="toc 2"/>
    <w:basedOn w:val="714"/>
    <w:next w:val="714"/>
    <w:uiPriority w:val="39"/>
    <w:unhideWhenUsed/>
    <w:qFormat/>
    <w:pPr>
      <w:ind w:left="283" w:right="0" w:firstLine="0"/>
      <w:spacing w:after="57"/>
    </w:pPr>
  </w:style>
  <w:style w:type="paragraph" w:styleId="749">
    <w:name w:val="toc 9"/>
    <w:basedOn w:val="714"/>
    <w:next w:val="714"/>
    <w:uiPriority w:val="39"/>
    <w:unhideWhenUsed/>
    <w:qFormat/>
    <w:pPr>
      <w:ind w:left="2268" w:right="0" w:firstLine="0"/>
      <w:spacing w:after="57"/>
    </w:pPr>
  </w:style>
  <w:style w:type="paragraph" w:styleId="750">
    <w:name w:val="Normal (Web)"/>
    <w:next w:val="732"/>
    <w:uiPriority w:val="0"/>
    <w:qFormat/>
    <w:pPr>
      <w:spacing w:before="100" w:beforeAutospacing="1" w:after="100" w:afterAutospacing="1"/>
    </w:pPr>
    <w:rPr>
      <w:rFonts w:hint="default" w:ascii="宋体" w:hAnsi="宋体" w:eastAsia="宋体" w:cs="宋体"/>
      <w:sz w:val="24"/>
      <w:szCs w:val="24"/>
      <w:lang w:val="en-US" w:eastAsia="zh-CN" w:bidi="ar-SA"/>
    </w:rPr>
  </w:style>
  <w:style w:type="paragraph" w:styleId="751">
    <w:name w:val="Title"/>
    <w:basedOn w:val="714"/>
    <w:next w:val="714"/>
    <w:link w:val="771"/>
    <w:uiPriority w:val="10"/>
    <w:qFormat/>
    <w:pPr>
      <w:contextualSpacing/>
      <w:spacing w:before="300" w:after="200"/>
    </w:pPr>
    <w:rPr>
      <w:sz w:val="48"/>
      <w:szCs w:val="48"/>
    </w:rPr>
  </w:style>
  <w:style w:type="table" w:styleId="752">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basedOn w:val="724"/>
    <w:uiPriority w:val="99"/>
    <w:semiHidden/>
    <w:unhideWhenUsed/>
    <w:qFormat/>
    <w:rPr>
      <w:vertAlign w:val="superscript"/>
    </w:rPr>
  </w:style>
  <w:style w:type="character" w:styleId="754">
    <w:name w:val="page number"/>
    <w:uiPriority w:val="0"/>
    <w:qFormat/>
  </w:style>
  <w:style w:type="character" w:styleId="755">
    <w:name w:val="Hyperlink"/>
    <w:uiPriority w:val="99"/>
    <w:unhideWhenUsed/>
    <w:qFormat/>
    <w:rPr>
      <w:color w:val="0026e5" w:themeColor="hyperlink"/>
      <w:u w:val="single"/>
      <w14:textFill>
        <w14:solidFill>
          <w14:schemeClr w14:val="hlink"/>
        </w14:solidFill>
      </w14:textFill>
    </w:rPr>
  </w:style>
  <w:style w:type="character" w:styleId="756">
    <w:name w:val="footnote reference"/>
    <w:basedOn w:val="724"/>
    <w:uiPriority w:val="99"/>
    <w:unhideWhenUsed/>
    <w:qFormat/>
    <w:rPr>
      <w:vertAlign w:val="superscript"/>
    </w:rPr>
  </w:style>
  <w:style w:type="paragraph" w:styleId="757" w:customStyle="1">
    <w:name w:val="段"/>
    <w:next w:val="758"/>
    <w:uiPriority w:val="0"/>
    <w:qFormat/>
    <w:pPr>
      <w:ind w:firstLine="200"/>
      <w:jc w:val="both"/>
    </w:pPr>
    <w:rPr>
      <w:rFonts w:hint="default" w:ascii="宋体" w:hAnsi="Times New Roman" w:eastAsia="宋体" w:cs="Times New Roman"/>
      <w:sz w:val="21"/>
      <w:lang w:val="en-US" w:eastAsia="zh-CN" w:bidi="ar-SA"/>
    </w:rPr>
  </w:style>
  <w:style w:type="paragraph" w:styleId="758" w:customStyle="1">
    <w:name w:val="正文 A"/>
    <w:next w:val="757"/>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759" w:customStyle="1">
    <w:name w:val="正文 首行缩进加粗"/>
    <w:uiPriority w:val="0"/>
    <w:qFormat/>
    <w:pPr>
      <w:ind w:firstLine="422"/>
      <w:jc w:val="both"/>
      <w:spacing w:line="360" w:lineRule="auto"/>
      <w:widowControl w:val="off"/>
    </w:pPr>
    <w:rPr>
      <w:rFonts w:ascii="Arial" w:hAnsi="Arial" w:eastAsia="宋体" w:cs="宋体"/>
      <w:b/>
      <w:sz w:val="21"/>
      <w:lang w:val="en-US" w:eastAsia="zh-CN" w:bidi="ar-SA"/>
    </w:rPr>
  </w:style>
  <w:style w:type="character" w:styleId="760" w:customStyle="1">
    <w:name w:val="Heading 1 Char"/>
    <w:basedOn w:val="724"/>
    <w:uiPriority w:val="9"/>
    <w:qFormat/>
    <w:rPr>
      <w:rFonts w:ascii="Arial" w:hAnsi="Arial" w:eastAsia="Arial" w:cs="Arial"/>
      <w:sz w:val="40"/>
      <w:szCs w:val="40"/>
    </w:rPr>
  </w:style>
  <w:style w:type="character" w:styleId="761" w:customStyle="1">
    <w:name w:val="Heading 2 Char"/>
    <w:basedOn w:val="724"/>
    <w:link w:val="716"/>
    <w:uiPriority w:val="9"/>
    <w:qFormat/>
    <w:rPr>
      <w:rFonts w:ascii="Arial" w:hAnsi="Arial" w:eastAsia="Arial" w:cs="Arial"/>
      <w:sz w:val="34"/>
    </w:rPr>
  </w:style>
  <w:style w:type="character" w:styleId="762" w:customStyle="1">
    <w:name w:val="Heading 3 Char"/>
    <w:basedOn w:val="724"/>
    <w:link w:val="717"/>
    <w:uiPriority w:val="9"/>
    <w:qFormat/>
    <w:rPr>
      <w:rFonts w:ascii="Arial" w:hAnsi="Arial" w:eastAsia="Arial" w:cs="Arial"/>
      <w:sz w:val="30"/>
      <w:szCs w:val="30"/>
    </w:rPr>
  </w:style>
  <w:style w:type="character" w:styleId="763" w:customStyle="1">
    <w:name w:val="Heading 4 Char"/>
    <w:basedOn w:val="724"/>
    <w:link w:val="718"/>
    <w:uiPriority w:val="9"/>
    <w:qFormat/>
    <w:rPr>
      <w:rFonts w:ascii="Arial" w:hAnsi="Arial" w:eastAsia="Arial" w:cs="Arial"/>
      <w:b/>
      <w:bCs/>
      <w:sz w:val="26"/>
      <w:szCs w:val="26"/>
    </w:rPr>
  </w:style>
  <w:style w:type="character" w:styleId="764" w:customStyle="1">
    <w:name w:val="Heading 5 Char"/>
    <w:basedOn w:val="724"/>
    <w:link w:val="719"/>
    <w:uiPriority w:val="9"/>
    <w:qFormat/>
    <w:rPr>
      <w:rFonts w:ascii="Arial" w:hAnsi="Arial" w:eastAsia="Arial" w:cs="Arial"/>
      <w:b/>
      <w:bCs/>
      <w:sz w:val="24"/>
      <w:szCs w:val="24"/>
    </w:rPr>
  </w:style>
  <w:style w:type="character" w:styleId="765" w:customStyle="1">
    <w:name w:val="Heading 6 Char"/>
    <w:basedOn w:val="724"/>
    <w:link w:val="720"/>
    <w:uiPriority w:val="9"/>
    <w:qFormat/>
    <w:rPr>
      <w:rFonts w:ascii="Arial" w:hAnsi="Arial" w:eastAsia="Arial" w:cs="Arial"/>
      <w:b/>
      <w:bCs/>
      <w:sz w:val="22"/>
      <w:szCs w:val="22"/>
    </w:rPr>
  </w:style>
  <w:style w:type="character" w:styleId="766" w:customStyle="1">
    <w:name w:val="Heading 7 Char"/>
    <w:basedOn w:val="724"/>
    <w:link w:val="721"/>
    <w:uiPriority w:val="9"/>
    <w:qFormat/>
    <w:rPr>
      <w:rFonts w:ascii="Arial" w:hAnsi="Arial" w:eastAsia="Arial" w:cs="Arial"/>
      <w:b/>
      <w:bCs/>
      <w:i/>
      <w:iCs/>
      <w:sz w:val="22"/>
      <w:szCs w:val="22"/>
    </w:rPr>
  </w:style>
  <w:style w:type="character" w:styleId="767" w:customStyle="1">
    <w:name w:val="Heading 8 Char"/>
    <w:basedOn w:val="724"/>
    <w:link w:val="722"/>
    <w:uiPriority w:val="9"/>
    <w:qFormat/>
    <w:rPr>
      <w:rFonts w:ascii="Arial" w:hAnsi="Arial" w:eastAsia="Arial" w:cs="Arial"/>
      <w:i/>
      <w:iCs/>
      <w:sz w:val="22"/>
      <w:szCs w:val="22"/>
    </w:rPr>
  </w:style>
  <w:style w:type="character" w:styleId="768" w:customStyle="1">
    <w:name w:val="Heading 9 Char"/>
    <w:basedOn w:val="724"/>
    <w:link w:val="723"/>
    <w:uiPriority w:val="9"/>
    <w:qFormat/>
    <w:rPr>
      <w:rFonts w:ascii="Arial" w:hAnsi="Arial" w:eastAsia="Arial" w:cs="Arial"/>
      <w:i/>
      <w:iCs/>
      <w:sz w:val="21"/>
      <w:szCs w:val="21"/>
    </w:rPr>
  </w:style>
  <w:style w:type="paragraph" w:styleId="769">
    <w:name w:val="List Paragraph"/>
    <w:basedOn w:val="714"/>
    <w:uiPriority w:val="34"/>
    <w:qFormat/>
    <w:pPr>
      <w:contextualSpacing/>
      <w:ind w:left="720"/>
    </w:pPr>
  </w:style>
  <w:style w:type="paragraph" w:styleId="770">
    <w:name w:val="No Spacing"/>
    <w:uiPriority w:val="1"/>
    <w:qFormat/>
    <w:pPr>
      <w:spacing w:before="0" w:after="0" w:line="240" w:lineRule="auto"/>
    </w:pPr>
    <w:rPr>
      <w:rFonts w:hint="default" w:asciiTheme="minorHAnsi" w:hAnsiTheme="minorHAnsi" w:eastAsiaTheme="minorEastAsia" w:cstheme="minorBidi"/>
    </w:rPr>
  </w:style>
  <w:style w:type="character" w:styleId="771" w:customStyle="1">
    <w:name w:val="Title Char"/>
    <w:basedOn w:val="724"/>
    <w:link w:val="751"/>
    <w:uiPriority w:val="10"/>
    <w:qFormat/>
    <w:rPr>
      <w:sz w:val="48"/>
      <w:szCs w:val="48"/>
    </w:rPr>
  </w:style>
  <w:style w:type="character" w:styleId="772" w:customStyle="1">
    <w:name w:val="Subtitle Char"/>
    <w:basedOn w:val="724"/>
    <w:link w:val="744"/>
    <w:uiPriority w:val="11"/>
    <w:qFormat/>
    <w:rPr>
      <w:sz w:val="24"/>
      <w:szCs w:val="24"/>
    </w:rPr>
  </w:style>
  <w:style w:type="paragraph" w:styleId="773">
    <w:name w:val="Quote"/>
    <w:basedOn w:val="714"/>
    <w:next w:val="714"/>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14"/>
    <w:next w:val="714"/>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basedOn w:val="724"/>
    <w:uiPriority w:val="99"/>
    <w:qFormat/>
  </w:style>
  <w:style w:type="character" w:styleId="778" w:customStyle="1">
    <w:name w:val="Footer Char"/>
    <w:basedOn w:val="724"/>
    <w:uiPriority w:val="99"/>
    <w:qFormat/>
  </w:style>
  <w:style w:type="character" w:styleId="779" w:customStyle="1">
    <w:name w:val="Caption Char"/>
    <w:uiPriority w:val="99"/>
    <w:qFormat/>
  </w:style>
  <w:style w:type="table" w:styleId="780" w:customStyle="1">
    <w:name w:val="Table Grid Light"/>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2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2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2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2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2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2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2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2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2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2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2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2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0"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2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2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2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2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2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2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2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9" w:customStyle="1">
    <w:name w:val="Grid Table 4 - Accent 2"/>
    <w:basedOn w:val="72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0" w:customStyle="1">
    <w:name w:val="Grid Table 4 - Accent 3"/>
    <w:basedOn w:val="72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1" w:customStyle="1">
    <w:name w:val="Grid Table 4 - Accent 4"/>
    <w:basedOn w:val="72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2" w:customStyle="1">
    <w:name w:val="Grid Table 4 - Accent 5"/>
    <w:basedOn w:val="72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3" w:customStyle="1">
    <w:name w:val="Grid Table 4 - Accent 6"/>
    <w:basedOn w:val="72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4"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6" w:customStyle="1">
    <w:name w:val="Grid Table 5 Dark - Accent 2"/>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7"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8"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9" w:customStyle="1">
    <w:name w:val="Grid Table 5 Dark - Accent 5"/>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0" w:customStyle="1">
    <w:name w:val="Grid Table 5 Dark - Accent 6"/>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1"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72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72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72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5" w:customStyle="1">
    <w:name w:val="Grid Table 6 Colorful - Accent 4"/>
    <w:basedOn w:val="72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72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7" w:customStyle="1">
    <w:name w:val="Grid Table 6 Colorful - Accent 6"/>
    <w:basedOn w:val="72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8"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72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72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72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72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72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72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2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2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2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2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2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2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2"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72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4" w:customStyle="1">
    <w:name w:val="List Table 2 - Accent 2"/>
    <w:basedOn w:val="72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5" w:customStyle="1">
    <w:name w:val="List Table 2 - Accent 3"/>
    <w:basedOn w:val="72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6" w:customStyle="1">
    <w:name w:val="List Table 2 - Accent 4"/>
    <w:basedOn w:val="72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7" w:customStyle="1">
    <w:name w:val="List Table 2 - Accent 5"/>
    <w:basedOn w:val="72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8" w:customStyle="1">
    <w:name w:val="List Table 2 - Accent 6"/>
    <w:basedOn w:val="72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9"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2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1" w:customStyle="1">
    <w:name w:val="List Table 3 - Accent 2"/>
    <w:basedOn w:val="72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2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2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2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2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6"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2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8" w:customStyle="1">
    <w:name w:val="List Table 4 - Accent 2"/>
    <w:basedOn w:val="72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9" w:customStyle="1">
    <w:name w:val="List Table 4 - Accent 3"/>
    <w:basedOn w:val="72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0" w:customStyle="1">
    <w:name w:val="List Table 4 - Accent 4"/>
    <w:basedOn w:val="72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1" w:customStyle="1">
    <w:name w:val="List Table 4 - Accent 5"/>
    <w:basedOn w:val="72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2" w:customStyle="1">
    <w:name w:val="List Table 4 - Accent 6"/>
    <w:basedOn w:val="72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3"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72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72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72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72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72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72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72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2" w:customStyle="1">
    <w:name w:val="List Table 6 Colorful - Accent 2"/>
    <w:basedOn w:val="72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3" w:customStyle="1">
    <w:name w:val="List Table 6 Colorful - Accent 3"/>
    <w:basedOn w:val="72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4" w:customStyle="1">
    <w:name w:val="List Table 6 Colorful - Accent 4"/>
    <w:basedOn w:val="72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5" w:customStyle="1">
    <w:name w:val="List Table 6 Colorful - Accent 5"/>
    <w:basedOn w:val="72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6" w:customStyle="1">
    <w:name w:val="List Table 6 Colorful - Accent 6"/>
    <w:basedOn w:val="72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7"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72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72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72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72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72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72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6" w:customStyle="1">
    <w:name w:val="Lined - Accent 2"/>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7" w:customStyle="1">
    <w:name w:val="Lined - Accent 3"/>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8" w:customStyle="1">
    <w:name w:val="Lined - Accent 4"/>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9" w:customStyle="1">
    <w:name w:val="Lined - Accent 5"/>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0" w:customStyle="1">
    <w:name w:val="Lined - Accent 6"/>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1" w:customStyle="1">
    <w:name w:val="Bordered &amp; Lined - Accent"/>
    <w:basedOn w:val="7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72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3" w:customStyle="1">
    <w:name w:val="Bordered &amp; Lined - Accent 2"/>
    <w:basedOn w:val="72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4" w:customStyle="1">
    <w:name w:val="Bordered &amp; Lined - Accent 3"/>
    <w:basedOn w:val="72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5" w:customStyle="1">
    <w:name w:val="Bordered &amp; Lined - Accent 4"/>
    <w:basedOn w:val="72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6" w:customStyle="1">
    <w:name w:val="Bordered &amp; Lined - Accent 5"/>
    <w:basedOn w:val="72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7" w:customStyle="1">
    <w:name w:val="Bordered &amp; Lined - Accent 6"/>
    <w:basedOn w:val="72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8" w:customStyle="1">
    <w:name w:val="Bordered"/>
    <w:basedOn w:val="7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72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0" w:customStyle="1">
    <w:name w:val="Bordered - Accent 2"/>
    <w:basedOn w:val="72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1" w:customStyle="1">
    <w:name w:val="Bordered - Accent 3"/>
    <w:basedOn w:val="72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2" w:customStyle="1">
    <w:name w:val="Bordered - Accent 4"/>
    <w:basedOn w:val="72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3" w:customStyle="1">
    <w:name w:val="Bordered - Accent 5"/>
    <w:basedOn w:val="72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4" w:customStyle="1">
    <w:name w:val="Bordered - Accent 6"/>
    <w:basedOn w:val="72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5" w:customStyle="1">
    <w:name w:val="Footnote Text Char"/>
    <w:link w:val="745"/>
    <w:uiPriority w:val="99"/>
    <w:qFormat/>
    <w:rPr>
      <w:sz w:val="18"/>
    </w:rPr>
  </w:style>
  <w:style w:type="character" w:styleId="906" w:customStyle="1">
    <w:name w:val="Endnote Text Char"/>
    <w:link w:val="738"/>
    <w:uiPriority w:val="99"/>
    <w:qFormat/>
    <w:rPr>
      <w:sz w:val="20"/>
    </w:rPr>
  </w:style>
  <w:style w:type="paragraph" w:styleId="907" w:customStyle="1">
    <w:name w:val="TOC Heading"/>
    <w:uiPriority w:val="39"/>
    <w:unhideWhenUsed/>
    <w:qFormat/>
    <w:rPr>
      <w:rFonts w:hint="default" w:asciiTheme="minorHAnsi" w:hAnsiTheme="minorHAnsi" w:eastAsiaTheme="minorEastAsia" w:cstheme="minorBidi"/>
    </w:rPr>
  </w:style>
  <w:style w:type="paragraph" w:styleId="908" w:customStyle="1">
    <w:name w:val="纯文本1"/>
    <w:uiPriority w:val="0"/>
    <w:qFormat/>
    <w:pPr>
      <w:jc w:val="both"/>
      <w:widowControl w:val="off"/>
    </w:pPr>
    <w:rPr>
      <w:rFonts w:hint="default" w:ascii="宋体" w:hAnsi="Courier New" w:eastAsia="楷体_GB2312" w:cs="Times New Roman"/>
      <w:sz w:val="26"/>
      <w:szCs w:val="20"/>
      <w:lang w:val="en-US" w:eastAsia="zh-CN" w:bidi="ar-SA"/>
    </w:rPr>
  </w:style>
  <w:style w:type="paragraph" w:styleId="909" w:customStyle="1">
    <w:name w:val="首行缩进"/>
    <w:uiPriority w:val="0"/>
    <w:qFormat/>
    <w:pPr>
      <w:ind w:firstLine="480"/>
      <w:jc w:val="both"/>
      <w:widowControl w:val="off"/>
    </w:pPr>
    <w:rPr>
      <w:rFonts w:hint="default" w:ascii="Times New Roman" w:hAnsi="Times New Roman" w:eastAsia="宋体" w:cs="Times New Roman"/>
      <w:sz w:val="21"/>
      <w:szCs w:val="20"/>
      <w:lang w:val="zh-CN" w:eastAsia="zh-CN" w:bidi="ar-SA"/>
    </w:rPr>
  </w:style>
  <w:style w:type="paragraph" w:styleId="910" w:customStyle="1">
    <w:name w:val="纯文本4"/>
    <w:uiPriority w:val="0"/>
    <w:qFormat/>
    <w:pPr>
      <w:jc w:val="both"/>
      <w:widowControl w:val="off"/>
    </w:pPr>
    <w:rPr>
      <w:rFonts w:hint="default" w:ascii="宋体" w:hAnsi="Courier New" w:eastAsia="楷体_GB2312" w:cs="Times New Roman"/>
      <w:sz w:val="26"/>
      <w:szCs w:val="20"/>
      <w:lang w:val="en-US" w:eastAsia="zh-CN" w:bidi="ar-SA"/>
    </w:rPr>
  </w:style>
  <w:style w:type="paragraph" w:styleId="911" w:customStyle="1">
    <w:name w:val="纯文本5"/>
    <w:uiPriority w:val="0"/>
    <w:qFormat/>
    <w:pPr>
      <w:jc w:val="both"/>
      <w:widowControl w:val="off"/>
    </w:pPr>
    <w:rPr>
      <w:rFonts w:hint="default" w:ascii="宋体" w:hAnsi="Courier New" w:eastAsia="楷体_GB2312" w:cs="Times New Roman"/>
      <w:sz w:val="26"/>
      <w:szCs w:val="20"/>
      <w:lang w:val="en-US" w:eastAsia="zh-CN" w:bidi="ar-SA"/>
    </w:rPr>
  </w:style>
  <w:style w:type="paragraph" w:styleId="912" w:customStyle="1">
    <w:name w:val="纯文本11"/>
    <w:uiPriority w:val="0"/>
    <w:qFormat/>
    <w:pPr>
      <w:jc w:val="both"/>
      <w:widowControl w:val="off"/>
    </w:pPr>
    <w:rPr>
      <w:rFonts w:hint="default" w:ascii="宋体" w:hAnsi="Courier New" w:eastAsia="楷体_GB2312" w:cs="Times New Roman"/>
      <w:sz w:val="26"/>
      <w:szCs w:val="20"/>
      <w:lang w:val="en-US" w:eastAsia="zh-CN" w:bidi="ar-SA"/>
    </w:rPr>
  </w:style>
  <w:style w:type="character" w:styleId="913" w:customStyle="1">
    <w:name w:val="fontstyle01"/>
    <w:uiPriority w:val="0"/>
    <w:qFormat/>
    <w:rPr>
      <w:rFonts w:hint="eastAsia" w:ascii="宋体" w:hAnsi="宋体" w:eastAsia="宋体"/>
      <w:color w:val="000000"/>
      <w:sz w:val="24"/>
      <w:szCs w:val="24"/>
    </w:rPr>
  </w:style>
  <w:style w:type="paragraph" w:styleId="914" w:customStyle="1">
    <w:name w:val="纯文本2"/>
    <w:basedOn w:val="714"/>
    <w:uiPriority w:val="0"/>
    <w:qFormat/>
    <w:pPr>
      <w:jc w:val="both"/>
      <w:widowControl w:val="off"/>
    </w:pPr>
    <w:rPr>
      <w:rFonts w:hint="eastAsia" w:ascii="宋体" w:hAnsi="Courier New" w:eastAsia="楷体_GB2312"/>
      <w:sz w:val="28"/>
    </w:rPr>
  </w:style>
  <w:style w:type="character" w:styleId="915" w:customStyle="1">
    <w:name w:val="font01"/>
    <w:basedOn w:val="724"/>
    <w:uiPriority w:val="0"/>
    <w:qFormat/>
    <w:rPr>
      <w:rFonts w:hint="default" w:ascii="Arial" w:hAnsi="Arial" w:cs="Arial"/>
      <w:color w:val="000000"/>
      <w:sz w:val="20"/>
      <w:szCs w:val="20"/>
      <w:u w:val="none"/>
    </w:rPr>
  </w:style>
  <w:style w:type="character" w:styleId="916" w:customStyle="1">
    <w:name w:val="font41"/>
    <w:basedOn w:val="724"/>
    <w:uiPriority w:val="0"/>
    <w:qFormat/>
    <w:rPr>
      <w:rFonts w:hint="eastAsia" w:ascii="宋体" w:hAnsi="宋体" w:eastAsia="宋体" w:cs="宋体"/>
      <w:color w:val="000000"/>
      <w:sz w:val="20"/>
      <w:szCs w:val="20"/>
      <w:u w:val="none"/>
    </w:rPr>
  </w:style>
  <w:style w:type="character" w:styleId="917" w:customStyle="1">
    <w:name w:val="font21"/>
    <w:basedOn w:val="724"/>
    <w:uiPriority w:val="0"/>
    <w:qFormat/>
    <w:rPr>
      <w:rFonts w:hint="eastAsia" w:ascii="宋体" w:hAnsi="宋体" w:eastAsia="宋体" w:cs="宋体"/>
      <w:color w:val="000000"/>
      <w:sz w:val="20"/>
      <w:szCs w:val="20"/>
      <w:u w:val="none"/>
    </w:rPr>
  </w:style>
  <w:style w:type="paragraph" w:styleId="918" w:customStyle="1">
    <w:name w:val="彩色列表1"/>
    <w:basedOn w:val="714"/>
    <w:uiPriority w:val="0"/>
    <w:qFormat/>
    <w:pPr>
      <w:ind w:firstLine="420"/>
    </w:pPr>
    <w:rPr>
      <w:szCs w:val="24"/>
    </w:rPr>
  </w:style>
  <w:style w:type="paragraph" w:styleId="919" w:customStyle="1">
    <w:name w:val="列出段落"/>
    <w:basedOn w:val="714"/>
    <w:uiPriority w:val="34"/>
    <w:qFormat/>
    <w:pPr>
      <w:ind w:firstLine="420"/>
    </w:pPr>
    <w:rPr>
      <w:rFonts w:ascii="Calibri" w:hAnsi="Calibri"/>
      <w:szCs w:val="22"/>
    </w:r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陈浩</cp:lastModifiedBy>
  <cp:revision>4</cp:revision>
  <dcterms:created xsi:type="dcterms:W3CDTF">2024-04-26T06:45:00Z</dcterms:created>
  <dcterms:modified xsi:type="dcterms:W3CDTF">2026-01-04T07:13:19Z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1417F1CC4D654DE795D74CE0C61CA4F5_12</vt:lpwstr>
  </property>
  <property fmtid="{D5CDD505-2E9C-101B-9397-08002B2CF9AE}" pid="4" name="KSOTemplateDocerSaveRecord">
    <vt:lpwstr>eyJoZGlkIjoiMzFlODM0ZTRlYmQ0YWQ5MDRlODdkYjZmZjA5NTk2MjIiLCJ1c2VySWQiOiIzNjE2Mzc1MzkifQ==</vt:lpwstr>
  </property>
</Properties>
</file>