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rPr>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rPr>
          <w:highlight w:val="none"/>
        </w:rPr>
      </w:r>
      <w:r/>
    </w:p>
    <w:p>
      <w:pPr>
        <w:ind w:left="0"/>
        <w:jc w:val="center"/>
        <w:rPr>
          <w:rFonts w:ascii="宋体" w:hAnsi="宋体"/>
          <w:b/>
          <w:sz w:val="108"/>
          <w:highlight w:val="none"/>
        </w:rPr>
      </w:pPr>
      <w:r>
        <w:rPr>
          <w:rFonts w:hint="eastAsia" w:ascii="宋体" w:hAnsi="宋体"/>
          <w:b/>
          <w:sz w:val="108"/>
          <w:highlight w:val="none"/>
        </w:rPr>
        <w:t xml:space="preserve">招标文件</w:t>
      </w:r>
      <w:r>
        <w:rPr>
          <w:highlight w:val="none"/>
        </w:rPr>
      </w:r>
      <w:r/>
    </w:p>
    <w:p>
      <w:pPr>
        <w:ind w:left="0"/>
        <w:jc w:val="left"/>
        <w:spacing w:line="360" w:lineRule="auto"/>
        <w:rPr>
          <w:rFonts w:ascii="宋体" w:hAnsi="宋体"/>
          <w:highlight w:val="none"/>
        </w:rPr>
      </w:pPr>
      <w:r>
        <w:rPr>
          <w:rFonts w:ascii="宋体" w:hAnsi="宋体"/>
          <w:highlight w:val="none"/>
        </w:rPr>
      </w:r>
      <w:r>
        <w:rPr>
          <w:highlight w:val="none"/>
        </w:rPr>
      </w:r>
      <w:r/>
    </w:p>
    <w:p>
      <w:pPr>
        <w:ind w:left="0"/>
        <w:jc w:val="left"/>
        <w:spacing w:line="360" w:lineRule="auto"/>
        <w:rPr>
          <w:rFonts w:ascii="宋体" w:hAnsi="宋体"/>
          <w:highlight w:val="none"/>
        </w:rPr>
      </w:pPr>
      <w:r>
        <w:rPr>
          <w:rFonts w:ascii="宋体" w:hAnsi="宋体"/>
          <w:highlight w:val="none"/>
        </w:rPr>
      </w:r>
      <w:r>
        <w:rPr>
          <w:highlight w:val="none"/>
        </w:rPr>
      </w:r>
      <w:r/>
    </w:p>
    <w:p>
      <w:pPr>
        <w:ind w:left="0"/>
        <w:jc w:val="left"/>
        <w:spacing w:line="480" w:lineRule="auto"/>
        <w:rPr>
          <w:rFonts w:ascii="宋体" w:hAnsi="宋体"/>
          <w:b/>
          <w:sz w:val="32"/>
          <w:highlight w:val="none"/>
        </w:rPr>
      </w:pPr>
      <w:r>
        <w:rPr>
          <w:rFonts w:ascii="宋体" w:hAnsi="宋体"/>
          <w:b/>
          <w:sz w:val="32"/>
          <w:highlight w:val="none"/>
        </w:rPr>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JSZC-320500-JZCG-G2025-0224</w:t>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苏州市立医院本部</w:t>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苏州市立医院台式计算机</w:t>
      </w:r>
      <w:r>
        <w:rPr>
          <w:highlight w:val="none"/>
        </w:rPr>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rPr>
          <w:highlight w:val="none"/>
        </w:rPr>
      </w:r>
      <w:r/>
    </w:p>
    <w:p>
      <w:pPr>
        <w:ind w:left="0" w:firstLine="2695"/>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pStyle w:val="1017"/>
        <w:rPr>
          <w:highlight w:val="none"/>
        </w:rPr>
      </w:pPr>
      <w:r>
        <w:rPr>
          <w:highlight w:val="none"/>
        </w:rPr>
      </w:r>
      <w:r>
        <w:rPr>
          <w:highlight w:val="none"/>
        </w:rPr>
      </w:r>
      <w:r/>
    </w:p>
    <w:p>
      <w:pPr>
        <w:rPr>
          <w:rFonts w:ascii="Times New Roman" w:hAnsi="Times New Roman" w:cs="Times New Roman"/>
          <w:highlight w:val="none"/>
        </w:rPr>
      </w:pPr>
      <w:r>
        <w:rPr>
          <w:rFonts w:ascii="Times New Roman" w:hAnsi="Times New Roman" w:cs="Times New Roman"/>
          <w:highlight w:val="none"/>
        </w:rPr>
      </w:r>
      <w:r>
        <w:rPr>
          <w:highlight w:val="none"/>
        </w:rPr>
      </w:r>
      <w:r/>
    </w:p>
    <w:p>
      <w:pPr>
        <w:jc w:val="left"/>
        <w:rPr>
          <w:rFonts w:ascii="宋体" w:hAnsi="宋体"/>
          <w:b/>
          <w:sz w:val="32"/>
          <w:highlight w:val="none"/>
        </w:rPr>
      </w:pPr>
      <w:r>
        <w:rPr>
          <w:rFonts w:ascii="宋体" w:hAnsi="宋体"/>
          <w:b/>
          <w:sz w:val="32"/>
          <w:highlight w:val="none"/>
        </w:rPr>
      </w:r>
      <w:r>
        <w:rPr>
          <w:highlight w:val="none"/>
        </w:rPr>
      </w:r>
      <w:r/>
    </w:p>
    <w:p>
      <w:pPr>
        <w:ind w:left="0" w:firstLine="1606"/>
        <w:jc w:val="left"/>
        <w:rPr>
          <w:rFonts w:ascii="宋体" w:hAnsi="宋体"/>
          <w:b/>
          <w:sz w:val="32"/>
          <w:highlight w:val="none"/>
        </w:rPr>
      </w:pPr>
      <w:r>
        <w:rPr>
          <w:rFonts w:ascii="宋体" w:hAnsi="宋体"/>
          <w:b/>
          <w:sz w:val="32"/>
          <w:highlight w:val="none"/>
        </w:rPr>
      </w:r>
      <w:r>
        <w:rPr>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rPr>
          <w:highlight w:val="none"/>
        </w:rPr>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025</w:t>
      </w:r>
      <w:r>
        <w:rPr>
          <w:rFonts w:hint="eastAsia" w:ascii="宋体" w:hAnsi="宋体"/>
          <w:b/>
          <w:sz w:val="32"/>
          <w:highlight w:val="none"/>
        </w:rPr>
        <w:t xml:space="preserve">年05月</w:t>
      </w:r>
      <w:r>
        <w:rPr>
          <w:highlight w:val="none"/>
        </w:rPr>
      </w:r>
      <w:r/>
    </w:p>
    <w:p>
      <w:pPr>
        <w:ind w:left="0"/>
        <w:jc w:val="center"/>
        <w:rPr>
          <w:rFonts w:ascii="宋体" w:hAnsi="宋体"/>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rPr>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rPr>
          <w:highlight w:val="none"/>
        </w:rPr>
      </w:r>
      <w:r/>
    </w:p>
    <w:p>
      <w:pPr>
        <w:pStyle w:val="1025"/>
        <w:ind w:firstLine="0"/>
        <w:jc w:val="left"/>
        <w:spacing w:before="120" w:after="120"/>
        <w:tabs>
          <w:tab w:val="right" w:pos="9856" w:leader="dot"/>
        </w:tabs>
        <w:rPr>
          <w:rStyle w:val="1057"/>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rPr>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rStyle w:val="1057"/>
          <w:rFonts w:ascii="宋体" w:hAnsi="宋体" w:cs="Calibri"/>
          <w:bCs/>
          <w:caps/>
          <w:color w:val="auto"/>
          <w:sz w:val="32"/>
          <w:highlight w:val="none"/>
        </w:rPr>
        <w:fldChar w:fldCharType="begin"/>
      </w:r>
      <w:r>
        <w:rPr>
          <w:rStyle w:val="1057"/>
          <w:rFonts w:ascii="宋体" w:hAnsi="宋体" w:cs="Calibri"/>
          <w:bCs/>
          <w:caps/>
          <w:color w:val="auto"/>
          <w:sz w:val="32"/>
          <w:highlight w:val="none"/>
        </w:rPr>
        <w:instrText xml:space="preserve"> TOC \o "1-1" \h \z \u </w:instrText>
      </w:r>
      <w:r>
        <w:rPr>
          <w:rStyle w:val="1057"/>
          <w:rFonts w:ascii="宋体" w:hAnsi="宋体" w:cs="Calibri"/>
          <w:bCs/>
          <w:caps/>
          <w:color w:val="auto"/>
          <w:sz w:val="32"/>
          <w:highlight w:val="none"/>
        </w:rPr>
        <w:fldChar w:fldCharType="separate"/>
      </w:r>
      <w:hyperlink w:tooltip="#_Toc105397776" w:anchor="_Toc105397776" w:history="1">
        <w:r>
          <w:rPr>
            <w:rStyle w:val="1057"/>
            <w:rFonts w:ascii="宋体" w:hAnsi="宋体" w:cs="Calibri"/>
            <w:bCs/>
            <w:caps/>
            <w:color w:val="auto"/>
            <w:sz w:val="32"/>
            <w:szCs w:val="32"/>
            <w:highlight w:val="none"/>
          </w:rPr>
          <w:t xml:space="preserve">第一章 投标邀请函</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_Toc105397776 \h </w:instrText>
        </w:r>
        <w:r>
          <w:rPr>
            <w:rStyle w:val="1057"/>
            <w:rFonts w:ascii="宋体" w:hAnsi="宋体" w:cs="Calibri"/>
            <w:bCs/>
            <w:caps/>
            <w:color w:val="auto"/>
            <w:sz w:val="32"/>
            <w:szCs w:val="32"/>
            <w:highlight w:val="none"/>
          </w:rPr>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w:t>
        </w:r>
        <w:r>
          <w:rPr>
            <w:rStyle w:val="1057"/>
            <w:rFonts w:ascii="宋体" w:hAnsi="宋体" w:cs="Calibri"/>
            <w:bCs/>
            <w:caps/>
            <w:color w:val="auto"/>
            <w:sz w:val="32"/>
            <w:szCs w:val="32"/>
            <w:highlight w:val="none"/>
          </w:rPr>
          <w:fldChar w:fldCharType="end"/>
        </w:r>
      </w:hyperlink>
      <w:r>
        <w:rPr>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r>
      <w:hyperlink w:tooltip="#_Toc105397777" w:anchor="_Toc105397777" w:history="1">
        <w:r>
          <w:rPr>
            <w:rStyle w:val="1057"/>
            <w:rFonts w:ascii="宋体" w:hAnsi="宋体" w:cs="Calibri"/>
            <w:bCs/>
            <w:caps/>
            <w:color w:val="auto"/>
            <w:sz w:val="32"/>
            <w:szCs w:val="32"/>
            <w:highlight w:val="none"/>
          </w:rPr>
          <w:t xml:space="preserve">第二章 投标人须知</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_Toc105397777 \h </w:instrText>
        </w:r>
        <w:r>
          <w:rPr>
            <w:rStyle w:val="1057"/>
            <w:rFonts w:ascii="宋体" w:hAnsi="宋体" w:cs="Calibri"/>
            <w:bCs/>
            <w:caps/>
            <w:color w:val="auto"/>
            <w:sz w:val="32"/>
            <w:szCs w:val="32"/>
            <w:highlight w:val="none"/>
          </w:rPr>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8</w:t>
        </w:r>
        <w:r>
          <w:rPr>
            <w:rStyle w:val="1057"/>
            <w:rFonts w:ascii="宋体" w:hAnsi="宋体" w:cs="Calibri"/>
            <w:bCs/>
            <w:caps/>
            <w:color w:val="auto"/>
            <w:sz w:val="32"/>
            <w:szCs w:val="32"/>
            <w:highlight w:val="none"/>
          </w:rPr>
          <w:fldChar w:fldCharType="end"/>
        </w:r>
      </w:hyperlink>
      <w:r>
        <w:rPr>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r>
      <w:hyperlink w:tooltip="#_Toc105397778" w:anchor="_Toc105397778" w:history="1">
        <w:r>
          <w:rPr>
            <w:rStyle w:val="1057"/>
            <w:rFonts w:ascii="宋体" w:hAnsi="宋体" w:cs="Calibri"/>
            <w:bCs/>
            <w:caps/>
            <w:color w:val="auto"/>
            <w:sz w:val="32"/>
            <w:szCs w:val="32"/>
            <w:highlight w:val="none"/>
          </w:rPr>
          <w:t xml:space="preserve">第三章 投标文件格式</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_Toc105397778 \h </w:instrText>
        </w:r>
        <w:r>
          <w:rPr>
            <w:rStyle w:val="1057"/>
            <w:rFonts w:ascii="宋体" w:hAnsi="宋体" w:cs="Calibri"/>
            <w:bCs/>
            <w:caps/>
            <w:color w:val="auto"/>
            <w:sz w:val="32"/>
            <w:szCs w:val="32"/>
            <w:highlight w:val="none"/>
          </w:rPr>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20</w:t>
        </w:r>
        <w:r>
          <w:rPr>
            <w:rStyle w:val="1057"/>
            <w:rFonts w:ascii="宋体" w:hAnsi="宋体" w:cs="Calibri"/>
            <w:bCs/>
            <w:caps/>
            <w:color w:val="auto"/>
            <w:sz w:val="32"/>
            <w:szCs w:val="32"/>
            <w:highlight w:val="none"/>
          </w:rPr>
          <w:fldChar w:fldCharType="end"/>
        </w:r>
      </w:hyperlink>
      <w:r>
        <w:rPr>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r>
      <w:hyperlink w:tooltip="#_Toc105397793" w:anchor="_Toc105397793" w:history="1">
        <w:r>
          <w:rPr>
            <w:rStyle w:val="1057"/>
            <w:rFonts w:ascii="宋体" w:hAnsi="宋体" w:cs="Calibri"/>
            <w:bCs/>
            <w:caps/>
            <w:color w:val="auto"/>
            <w:sz w:val="32"/>
            <w:szCs w:val="32"/>
            <w:highlight w:val="none"/>
          </w:rPr>
          <w:t xml:space="preserve">第四章 招标书</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_Toc105397793 \h </w:instrText>
        </w:r>
        <w:r>
          <w:rPr>
            <w:rStyle w:val="1057"/>
            <w:rFonts w:ascii="宋体" w:hAnsi="宋体" w:cs="Calibri"/>
            <w:bCs/>
            <w:caps/>
            <w:color w:val="auto"/>
            <w:sz w:val="32"/>
            <w:szCs w:val="32"/>
            <w:highlight w:val="none"/>
          </w:rPr>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33</w:t>
        </w:r>
        <w:r>
          <w:rPr>
            <w:rStyle w:val="1057"/>
            <w:rFonts w:ascii="宋体" w:hAnsi="宋体" w:cs="Calibri"/>
            <w:bCs/>
            <w:caps/>
            <w:color w:val="auto"/>
            <w:sz w:val="32"/>
            <w:szCs w:val="32"/>
            <w:highlight w:val="none"/>
          </w:rPr>
          <w:fldChar w:fldCharType="end"/>
        </w:r>
      </w:hyperlink>
      <w:r>
        <w:rPr>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r>
      <w:hyperlink w:tooltip="#_Toc105397794" w:anchor="_Toc105397794" w:history="1">
        <w:r>
          <w:rPr>
            <w:rStyle w:val="1057"/>
            <w:rFonts w:ascii="宋体" w:hAnsi="宋体" w:cs="Calibri"/>
            <w:bCs/>
            <w:caps/>
            <w:color w:val="auto"/>
            <w:sz w:val="32"/>
            <w:szCs w:val="32"/>
            <w:highlight w:val="none"/>
          </w:rPr>
          <w:t xml:space="preserve">第五章 合同及主要条款</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_Toc105397794 \h </w:instrText>
        </w:r>
        <w:r>
          <w:rPr>
            <w:rStyle w:val="1057"/>
            <w:rFonts w:ascii="宋体" w:hAnsi="宋体" w:cs="Calibri"/>
            <w:bCs/>
            <w:caps/>
            <w:color w:val="auto"/>
            <w:sz w:val="32"/>
            <w:szCs w:val="32"/>
            <w:highlight w:val="none"/>
          </w:rPr>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38</w:t>
        </w:r>
        <w:r>
          <w:rPr>
            <w:rStyle w:val="1057"/>
            <w:rFonts w:ascii="宋体" w:hAnsi="宋体" w:cs="Calibri"/>
            <w:bCs/>
            <w:caps/>
            <w:color w:val="auto"/>
            <w:sz w:val="32"/>
            <w:szCs w:val="32"/>
            <w:highlight w:val="none"/>
          </w:rPr>
          <w:fldChar w:fldCharType="end"/>
        </w:r>
      </w:hyperlink>
      <w:r>
        <w:rPr>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r>
      <w:hyperlink w:tooltip="#_Toc105397795" w:anchor="_Toc105397795" w:history="1">
        <w:r>
          <w:rPr>
            <w:rStyle w:val="1057"/>
            <w:rFonts w:ascii="宋体" w:hAnsi="宋体" w:cs="Calibri"/>
            <w:bCs/>
            <w:caps/>
            <w:color w:val="auto"/>
            <w:sz w:val="32"/>
            <w:szCs w:val="32"/>
            <w:highlight w:val="none"/>
          </w:rPr>
          <w:t xml:space="preserve">第六章 评标办法和评分标准</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_Toc105397795 \h </w:instrText>
        </w:r>
        <w:r>
          <w:rPr>
            <w:rStyle w:val="1057"/>
            <w:rFonts w:ascii="宋体" w:hAnsi="宋体" w:cs="Calibri"/>
            <w:bCs/>
            <w:caps/>
            <w:color w:val="auto"/>
            <w:sz w:val="32"/>
            <w:szCs w:val="32"/>
            <w:highlight w:val="none"/>
          </w:rPr>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45</w:t>
        </w:r>
        <w:r>
          <w:rPr>
            <w:rStyle w:val="1057"/>
            <w:rFonts w:ascii="宋体" w:hAnsi="宋体" w:cs="Calibri"/>
            <w:bCs/>
            <w:caps/>
            <w:color w:val="auto"/>
            <w:sz w:val="32"/>
            <w:szCs w:val="32"/>
            <w:highlight w:val="none"/>
          </w:rPr>
          <w:fldChar w:fldCharType="end"/>
        </w:r>
      </w:hyperlink>
      <w:r>
        <w:rPr>
          <w:highlight w:val="none"/>
        </w:rPr>
      </w:r>
      <w:r/>
    </w:p>
    <w:p>
      <w:pPr>
        <w:pStyle w:val="1025"/>
        <w:ind w:firstLine="0"/>
        <w:jc w:val="left"/>
        <w:spacing w:before="120" w:after="120"/>
        <w:tabs>
          <w:tab w:val="right" w:pos="9856" w:leader="dot"/>
        </w:tabs>
        <w:rPr>
          <w:rFonts w:ascii="宋体" w:hAnsi="宋体"/>
          <w:sz w:val="32"/>
          <w:szCs w:val="32"/>
          <w:highlight w:val="none"/>
        </w:rPr>
        <w:outlineLvl w:val="9"/>
      </w:pPr>
      <w:r>
        <w:rPr>
          <w:rStyle w:val="1057"/>
          <w:rFonts w:ascii="宋体" w:hAnsi="宋体" w:cs="Calibri"/>
          <w:bCs/>
          <w:caps/>
          <w:color w:val="auto"/>
          <w:sz w:val="32"/>
          <w:highlight w:val="none"/>
        </w:rPr>
        <w:fldChar w:fldCharType="end"/>
      </w:r>
      <w:r>
        <w:rPr>
          <w:highlight w:val="none"/>
        </w:rPr>
      </w:r>
      <w:r/>
    </w:p>
    <w:p>
      <w:pPr>
        <w:ind w:left="0"/>
        <w:rPr>
          <w:rFonts w:ascii="宋体" w:hAnsi="宋体" w:cs="Times New Roman"/>
          <w:sz w:val="32"/>
          <w:szCs w:val="32"/>
          <w:highlight w:val="none"/>
        </w:rPr>
      </w:pPr>
      <w:r>
        <w:rPr>
          <w:rFonts w:ascii="宋体" w:hAnsi="宋体" w:cs="Times New Roman"/>
          <w:sz w:val="32"/>
          <w:szCs w:val="32"/>
          <w:highlight w:val="none"/>
        </w:rPr>
      </w:r>
      <w:r>
        <w:rPr>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5681"/>
      <w:r>
        <w:rPr>
          <w:highlight w:val="none"/>
        </w:rPr>
      </w:r>
      <w:bookmarkStart w:id="1" w:name="_Toc16121"/>
      <w:r>
        <w:rPr>
          <w:highlight w:val="none"/>
        </w:rPr>
      </w:r>
      <w:bookmarkStart w:id="2" w:name="_Toc17003"/>
      <w:r>
        <w:rPr>
          <w:rFonts w:ascii="宋体" w:hAnsi="宋体"/>
          <w:b/>
          <w:spacing w:val="20"/>
          <w:sz w:val="30"/>
          <w:highlight w:val="none"/>
        </w:rPr>
        <w:t xml:space="preserve">前 附 表</w:t>
      </w:r>
      <w:bookmarkEnd w:id="0"/>
      <w:r>
        <w:rPr>
          <w:highlight w:val="none"/>
        </w:rPr>
      </w:r>
      <w:bookmarkEnd w:id="1"/>
      <w:r>
        <w:rPr>
          <w:highlight w:val="none"/>
        </w:rPr>
      </w:r>
      <w:bookmarkEnd w:id="2"/>
      <w:r>
        <w:rPr>
          <w:highlight w:val="none"/>
        </w:rPr>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JSZC-320500-JZCG-G2025-0224</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苏州市立医院台式计算机</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地址：苏州市姑苏区平泷路251号城市生活广场西楼四楼</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 谷工、严工 </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联系电话：0512-69820888、69820896</w:t>
            </w:r>
            <w:r>
              <w:rPr>
                <w:highlight w:val="non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名称：苏州市立医院本部</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地址：苏州市姑苏区道前街26号</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联系人：王俊文</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联系电话：17798690525</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06</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24</w:t>
            </w:r>
            <w:r>
              <w:rPr>
                <w:rFonts w:hint="eastAsia" w:ascii="宋体" w:hAnsi="宋体" w:cs="Times New Roman"/>
                <w:sz w:val="21"/>
                <w:szCs w:val="21"/>
                <w:highlight w:val="none"/>
                <w:u w:val="single"/>
              </w:rPr>
              <w:t xml:space="preserve">日09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r>
            <w:r>
              <w:rPr>
                <w:rFonts w:ascii="宋体" w:hAnsi="宋体" w:cs="Times New Roman"/>
                <w:sz w:val="21"/>
                <w:szCs w:val="21"/>
                <w:highlight w:val="none"/>
                <w:u w:val="single"/>
              </w:rPr>
              <w:t xml:space="preserve">06</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24</w:t>
            </w:r>
            <w:r>
              <w:rPr>
                <w:rFonts w:hint="eastAsia" w:ascii="宋体" w:hAnsi="宋体" w:cs="Times New Roman"/>
                <w:sz w:val="21"/>
                <w:szCs w:val="21"/>
                <w:highlight w:val="none"/>
                <w:u w:val="single"/>
              </w:rPr>
              <w:t xml:space="preserve">日09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ascii="宋体" w:hAnsi="宋体" w:cs="Times New Roman"/>
                <w:sz w:val="21"/>
                <w:szCs w:val="21"/>
                <w:highlight w:val="none"/>
                <w:u w:val="single"/>
              </w:rPr>
            </w:r>
            <w:r>
              <w:rPr>
                <w:rFonts w:hint="eastAsia" w:ascii="宋体" w:hAnsi="宋体" w:cs="Times New Roman"/>
                <w:sz w:val="21"/>
                <w:szCs w:val="21"/>
                <w:highlight w:val="none"/>
              </w:rPr>
              <w:t xml:space="preserve">（北京时间）</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rPr>
                <w:highlight w:val="none"/>
              </w:rPr>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r>
            <w:r>
              <w:rPr>
                <w:rFonts w:ascii="宋体" w:hAnsi="宋体" w:cs="Times New Roman"/>
                <w:sz w:val="21"/>
                <w:szCs w:val="21"/>
                <w:highlight w:val="none"/>
                <w:u w:val="single"/>
              </w:rPr>
              <w:t xml:space="preserve">06</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24</w:t>
            </w:r>
            <w:r>
              <w:rPr>
                <w:rFonts w:hint="eastAsia" w:ascii="宋体" w:hAnsi="宋体" w:cs="Times New Roman"/>
                <w:sz w:val="21"/>
                <w:szCs w:val="21"/>
                <w:highlight w:val="none"/>
                <w:u w:val="single"/>
              </w:rPr>
              <w:t xml:space="preserve">日09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ascii="宋体" w:hAnsi="宋体" w:cs="Times New Roman"/>
                <w:sz w:val="21"/>
                <w:szCs w:val="21"/>
                <w:highlight w:val="none"/>
                <w:u w:val="single"/>
              </w:rPr>
            </w:r>
            <w:r>
              <w:rPr>
                <w:rFonts w:hint="eastAsia" w:ascii="宋体" w:hAnsi="宋体" w:cs="Times New Roman"/>
                <w:sz w:val="21"/>
                <w:szCs w:val="21"/>
                <w:highlight w:val="none"/>
              </w:rPr>
              <w:t xml:space="preserve">（北京时间）</w:t>
            </w:r>
            <w:r>
              <w:rPr>
                <w:highlight w:val="none"/>
              </w:rPr>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苏州市姑苏区平泷路251号城市生活广场西楼五楼</w:t>
            </w:r>
            <w:r>
              <w:rPr>
                <w:rFonts w:ascii="宋体" w:hAnsi="宋体" w:cs="Times New Roman"/>
                <w:sz w:val="21"/>
                <w:szCs w:val="21"/>
                <w:highlight w:val="none"/>
              </w:rPr>
              <w:t xml:space="preserve"> </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rPr>
                <w:highlight w:val="none"/>
              </w:rPr>
            </w:r>
            <w:r/>
          </w:p>
          <w:p>
            <w:pPr>
              <w:pStyle w:val="1226"/>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rPr>
                <w:highlight w:val="none"/>
              </w:rPr>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rPr>
                <w:highlight w:val="none"/>
              </w:rPr>
            </w:r>
            <w:r/>
          </w:p>
          <w:p>
            <w:pPr>
              <w:ind w:left="0"/>
              <w:jc w:val="left"/>
              <w:spacing w:line="440" w:lineRule="exact"/>
              <w:tabs>
                <w:tab w:val="left" w:pos="420" w:leader="none"/>
              </w:tabs>
              <w:rPr>
                <w:rFonts w:ascii="宋体" w:hAnsi="宋体"/>
                <w:b/>
                <w:sz w:val="21"/>
                <w:szCs w:val="21"/>
                <w:highlight w:val="none"/>
              </w:rPr>
            </w:pPr>
            <w:r>
              <w:rPr>
                <w:rFonts w:hint="eastAsia"/>
                <w:b/>
                <w:highlight w:val="none"/>
              </w:rPr>
              <w:t xml:space="preserve">（</w:t>
            </w:r>
            <w:r>
              <w:rPr>
                <w:rFonts w:hint="eastAsia" w:ascii="宋体" w:hAnsi="宋体"/>
                <w:b/>
                <w:sz w:val="21"/>
                <w:szCs w:val="21"/>
                <w:highlight w:val="none"/>
              </w:rPr>
              <w:t xml:space="preserve">六）在综合评审打分中，各评委的综合评分汇总后，投标人除价格部分以外的其余评审因素平均分值低于60%的；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（七）法</w:t>
            </w:r>
            <w:r>
              <w:rPr>
                <w:rFonts w:hint="eastAsia" w:ascii="宋体" w:hAnsi="宋体"/>
                <w:color w:val="000000" w:themeColor="text1"/>
                <w:sz w:val="21"/>
                <w:szCs w:val="21"/>
                <w:highlight w:val="none"/>
              </w:rPr>
              <w:t xml:space="preserve">律、法规和招标文件规定的其他无效情形。</w:t>
            </w:r>
            <w:r>
              <w:rPr>
                <w:highlight w:val="none"/>
              </w:rPr>
            </w:r>
            <w:r/>
          </w:p>
        </w:tc>
      </w:tr>
    </w:tbl>
    <w:p>
      <w:pPr>
        <w:ind w:left="0"/>
        <w:jc w:val="center"/>
        <w:rPr>
          <w:rFonts w:ascii="宋体" w:hAnsi="宋体"/>
          <w:b/>
          <w:sz w:val="44"/>
          <w:szCs w:val="22"/>
          <w:highlight w:val="none"/>
        </w:rPr>
      </w:pPr>
      <w:r>
        <w:rPr>
          <w:highlight w:val="none"/>
        </w:rPr>
      </w:r>
      <w:bookmarkStart w:id="3" w:name="_Toc28592"/>
      <w:r>
        <w:rPr>
          <w:highlight w:val="none"/>
        </w:rPr>
      </w:r>
      <w:bookmarkStart w:id="4" w:name="_Toc7166"/>
      <w:r>
        <w:rPr>
          <w:highlight w:val="none"/>
        </w:rPr>
      </w:r>
      <w:r/>
    </w:p>
    <w:p>
      <w:pPr>
        <w:ind w:left="0"/>
        <w:jc w:val="center"/>
        <w:rPr>
          <w:rFonts w:ascii="宋体" w:hAnsi="宋体"/>
          <w:b/>
          <w:sz w:val="44"/>
          <w:szCs w:val="22"/>
          <w:highlight w:val="none"/>
        </w:rPr>
      </w:pPr>
      <w:r>
        <w:rPr>
          <w:rFonts w:ascii="宋体" w:hAnsi="宋体"/>
          <w:b/>
          <w:sz w:val="44"/>
          <w:szCs w:val="22"/>
          <w:highlight w:val="none"/>
        </w:rPr>
      </w:r>
      <w:r>
        <w:rPr>
          <w:highlight w:val="none"/>
        </w:rPr>
      </w:r>
      <w:r/>
    </w:p>
    <w:p>
      <w:pPr>
        <w:pStyle w:val="1017"/>
        <w:rPr>
          <w:rFonts w:ascii="宋体" w:hAnsi="宋体"/>
          <w:highlight w:val="none"/>
        </w:rPr>
      </w:pPr>
      <w:r>
        <w:rPr>
          <w:rFonts w:ascii="宋体" w:hAnsi="宋体"/>
          <w:highlight w:val="none"/>
        </w:rPr>
      </w:r>
      <w:r>
        <w:rPr>
          <w:highlight w:val="none"/>
        </w:rPr>
      </w:r>
      <w:r/>
    </w:p>
    <w:p>
      <w:pPr>
        <w:ind w:left="0"/>
        <w:jc w:val="center"/>
        <w:rPr>
          <w:rFonts w:ascii="宋体" w:hAnsi="宋体"/>
          <w:b/>
          <w:sz w:val="44"/>
          <w:szCs w:val="22"/>
          <w:highlight w:val="none"/>
        </w:rPr>
      </w:pPr>
      <w:r>
        <w:rPr>
          <w:rFonts w:ascii="宋体" w:hAnsi="宋体"/>
          <w:b/>
          <w:sz w:val="44"/>
          <w:szCs w:val="22"/>
          <w:highlight w:val="none"/>
        </w:rPr>
      </w:r>
      <w:r>
        <w:rPr>
          <w:highlight w:val="none"/>
        </w:rPr>
      </w:r>
      <w:r/>
    </w:p>
    <w:p>
      <w:pPr>
        <w:pStyle w:val="1017"/>
        <w:rPr>
          <w:rFonts w:ascii="宋体" w:hAnsi="宋体"/>
          <w:highlight w:val="none"/>
        </w:rPr>
      </w:pPr>
      <w:r>
        <w:rPr>
          <w:rFonts w:ascii="宋体" w:hAnsi="宋体"/>
          <w:highlight w:val="none"/>
        </w:rPr>
      </w:r>
      <w:r>
        <w:rPr>
          <w:highlight w:val="none"/>
        </w:rPr>
      </w:r>
      <w:r/>
    </w:p>
    <w:p>
      <w:pPr>
        <w:pStyle w:val="1009"/>
        <w:rPr>
          <w:rFonts w:ascii="宋体" w:hAnsi="宋体" w:cs="Times New Roman"/>
          <w:highlight w:val="none"/>
        </w:rPr>
      </w:pPr>
      <w:r>
        <w:rPr>
          <w:rFonts w:ascii="宋体" w:hAnsi="宋体" w:cs="Times New Roman"/>
          <w:highlight w:val="none"/>
        </w:rPr>
      </w:r>
      <w:r>
        <w:rPr>
          <w:highlight w:val="none"/>
        </w:rPr>
      </w:r>
      <w:r/>
    </w:p>
    <w:p>
      <w:pPr>
        <w:ind w:left="0"/>
        <w:rPr>
          <w:rFonts w:ascii="宋体" w:hAnsi="宋体"/>
          <w:b/>
          <w:sz w:val="44"/>
          <w:szCs w:val="22"/>
          <w:highlight w:val="none"/>
        </w:rPr>
      </w:pPr>
      <w:r>
        <w:rPr>
          <w:rFonts w:ascii="宋体" w:hAnsi="宋体"/>
          <w:b/>
          <w:sz w:val="44"/>
          <w:szCs w:val="22"/>
          <w:highlight w:val="none"/>
        </w:rPr>
      </w:r>
      <w:r>
        <w:rPr>
          <w:highlight w:val="none"/>
        </w:rPr>
      </w:r>
      <w:r/>
    </w:p>
    <w:p>
      <w:pPr>
        <w:pStyle w:val="991"/>
        <w:ind w:left="431" w:firstLine="17"/>
        <w:jc w:val="center"/>
        <w:spacing w:before="0" w:after="0" w:line="360" w:lineRule="auto"/>
        <w:rPr>
          <w:rStyle w:val="1122"/>
          <w:rFonts w:ascii="宋体" w:hAnsi="宋体"/>
          <w:highlight w:val="none"/>
        </w:rPr>
      </w:pPr>
      <w:r>
        <w:rPr>
          <w:highlight w:val="none"/>
        </w:rPr>
      </w:r>
      <w:bookmarkStart w:id="5"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3"/>
      <w:r>
        <w:rPr>
          <w:highlight w:val="none"/>
        </w:rPr>
      </w:r>
      <w:bookmarkEnd w:id="4"/>
      <w:r>
        <w:rPr>
          <w:highlight w:val="none"/>
        </w:rPr>
      </w:r>
      <w:bookmarkEnd w:id="5"/>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 苏州市立医院台式计算机</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5</w:t>
      </w:r>
      <w:r>
        <w:rPr>
          <w:rFonts w:hint="eastAsia" w:ascii="宋体" w:hAnsi="宋体"/>
          <w:b/>
          <w:sz w:val="21"/>
          <w:szCs w:val="21"/>
          <w:highlight w:val="none"/>
          <w:u w:val="single"/>
        </w:rPr>
        <w:t xml:space="preserve">年06</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24</w:t>
      </w:r>
      <w:r>
        <w:rPr>
          <w:rFonts w:hint="eastAsia" w:ascii="宋体" w:hAnsi="宋体"/>
          <w:b/>
          <w:sz w:val="21"/>
          <w:szCs w:val="21"/>
          <w:highlight w:val="none"/>
          <w:u w:val="single"/>
        </w:rPr>
        <w:t xml:space="preserve">日</w:t>
      </w:r>
      <w:r>
        <w:rPr>
          <w:rFonts w:ascii="宋体" w:hAnsi="宋体"/>
          <w:b/>
          <w:sz w:val="21"/>
          <w:szCs w:val="21"/>
          <w:highlight w:val="none"/>
          <w:u w:val="single"/>
        </w:rPr>
        <w:t xml:space="preserve">09</w:t>
      </w:r>
      <w:r>
        <w:rPr>
          <w:rFonts w:hint="eastAsia" w:ascii="宋体" w:hAnsi="宋体"/>
          <w:b/>
          <w:sz w:val="21"/>
          <w:szCs w:val="21"/>
          <w:highlight w:val="none"/>
          <w:u w:val="single"/>
        </w:rPr>
        <w:t xml:space="preserve">点</w:t>
      </w:r>
      <w:r>
        <w:rPr>
          <w:rFonts w:ascii="宋体" w:hAnsi="宋体"/>
          <w:b/>
          <w:sz w:val="21"/>
          <w:szCs w:val="21"/>
          <w:highlight w:val="none"/>
          <w:u w:val="single"/>
        </w:rPr>
        <w:t xml:space="preserve">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1.项目编号：JSZC-320500-JZCG-G2025-0224</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2.项目名称：苏州市立医院台式计算机</w:t>
      </w:r>
      <w:r>
        <w:rPr>
          <w:rFonts w:ascii="宋体" w:hAnsi="宋体"/>
          <w:sz w:val="21"/>
          <w:szCs w:val="21"/>
          <w:highlight w:val="none"/>
        </w:rPr>
        <w:t xml:space="preserve">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4.预算金额：人民币壹佰伍拾万元整（￥1500000.00）</w:t>
      </w:r>
      <w:r>
        <w:rPr>
          <w:rFonts w:ascii="宋体" w:hAnsi="宋体"/>
          <w:sz w:val="21"/>
          <w:szCs w:val="21"/>
          <w:highlight w:val="none"/>
        </w:rPr>
        <w:t xml:space="preserve">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5.最高限价：人民币壹佰伍拾万元整（￥1500000.00）</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w:t>
      </w:r>
      <w:bookmarkStart w:id="6" w:name="OLE_LINK4"/>
      <w:r>
        <w:rPr>
          <w:rFonts w:hint="eastAsia" w:ascii="宋体" w:hAnsi="宋体"/>
          <w:sz w:val="21"/>
          <w:szCs w:val="21"/>
          <w:highlight w:val="none"/>
        </w:rPr>
        <w:t xml:space="preserve">在合同生效后，供应商需在交付后7日内完成产品的软硬件安装与调试。产品交付并安装和调试后，由使用单位和供应商对产品（包括软硬件）共同验收。</w:t>
      </w:r>
      <w:bookmarkEnd w:id="6"/>
      <w:r>
        <w:rPr>
          <w:rFonts w:hint="eastAsia" w:ascii="宋体" w:hAnsi="宋体"/>
          <w:sz w:val="21"/>
          <w:szCs w:val="21"/>
          <w:highlight w:val="none"/>
        </w:rPr>
        <w:t xml:space="preserve">原厂质保，上门服务，质保期3年(含易损件)。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7.采购需求：详见招标文件第四章。</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rPr>
          <w:highlight w:val="none"/>
        </w:rPr>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w:t>
      </w:r>
      <w:r>
        <w:rPr>
          <w:rFonts w:hint="eastAsia" w:ascii="宋体" w:hAnsi="宋体"/>
          <w:sz w:val="21"/>
          <w:szCs w:val="21"/>
          <w:highlight w:val="none"/>
        </w:rPr>
        <w:t xml:space="preserve">“苏采云”系统目前仅支持“苏采云”系统下的政务CA证书，江苏省内各地区办理的“苏采云”系统下的政务CA证书全省通用。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苏州现场办理地址：苏州市姑苏区平泷路251号政务服务中心4楼公共资源交易中心窗口，咨询电话：0512-69820834</w:t>
      </w:r>
      <w:r>
        <w:rPr>
          <w:rFonts w:hint="eastAsia" w:ascii="宋体" w:hAnsi="宋体"/>
          <w:sz w:val="21"/>
          <w:szCs w:val="21"/>
          <w:highlight w:val="none"/>
        </w:rPr>
        <w:t xml:space="preserve">。</w:t>
      </w:r>
      <w:r>
        <w:rPr>
          <w:highlight w:val="none"/>
        </w:rPr>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注册咨询：0512-69820854；</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系统使用指导与咨询：联系电话：0512-69820854；智能客服：登录苏采云系统后，联系系统右下方智能客服图标进行咨询。</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5</w:t>
      </w:r>
      <w:r>
        <w:rPr>
          <w:rFonts w:hint="eastAsia" w:ascii="宋体" w:hAnsi="宋体"/>
          <w:sz w:val="21"/>
          <w:szCs w:val="21"/>
          <w:highlight w:val="none"/>
          <w:u w:val="single"/>
        </w:rPr>
        <w:t xml:space="preserve">年06月24日09点30分</w:t>
      </w:r>
      <w:r>
        <w:rPr>
          <w:rFonts w:hint="eastAsia" w:ascii="宋体" w:hAnsi="宋体"/>
          <w:sz w:val="21"/>
          <w:szCs w:val="21"/>
          <w:highlight w:val="none"/>
        </w:rPr>
        <w:t xml:space="preserve">（北京时间）；</w:t>
      </w:r>
      <w:r>
        <w:rPr>
          <w:rFonts w:ascii="宋体" w:hAnsi="宋体"/>
          <w:sz w:val="21"/>
          <w:szCs w:val="21"/>
          <w:highlight w:val="none"/>
        </w:rPr>
        <w:t xml:space="preserve">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r>
      <w:r>
        <w:rPr>
          <w:rFonts w:hint="eastAsia" w:ascii="宋体" w:hAnsi="宋体"/>
          <w:sz w:val="21"/>
          <w:szCs w:val="21"/>
          <w:highlight w:val="none"/>
          <w:u w:val="single"/>
        </w:rPr>
        <w:t xml:space="preserve">202</w:t>
      </w:r>
      <w:r>
        <w:rPr>
          <w:rFonts w:ascii="宋体" w:hAnsi="宋体"/>
          <w:sz w:val="21"/>
          <w:szCs w:val="21"/>
          <w:highlight w:val="none"/>
          <w:u w:val="single"/>
        </w:rPr>
        <w:t xml:space="preserve">5</w:t>
      </w:r>
      <w:r>
        <w:rPr>
          <w:rFonts w:hint="eastAsia" w:ascii="宋体" w:hAnsi="宋体"/>
          <w:sz w:val="21"/>
          <w:szCs w:val="21"/>
          <w:highlight w:val="none"/>
          <w:u w:val="single"/>
        </w:rPr>
        <w:t xml:space="preserve">年06月24日09点30分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rPr>
          <w:highlight w:val="none"/>
        </w:rPr>
      </w:r>
      <w:r/>
    </w:p>
    <w:p>
      <w:pPr>
        <w:pStyle w:val="1009"/>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rPr>
          <w:highlight w:val="none"/>
        </w:rPr>
      </w:r>
      <w:r/>
    </w:p>
    <w:p>
      <w:pPr>
        <w:pStyle w:val="1009"/>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rPr>
          <w:highlight w:val="none"/>
        </w:rPr>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p>
      <w:pPr>
        <w:pStyle w:val="100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rPr>
          <w:highlight w:val="none"/>
        </w:rPr>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rPr>
          <w:highlight w:val="none"/>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rPr>
                <w:highlight w:val="none"/>
              </w:rPr>
            </w:r>
            <w:r/>
          </w:p>
          <w:p>
            <w:pPr>
              <w:pStyle w:val="1051"/>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rPr>
                <w:highlight w:val="none"/>
              </w:rPr>
            </w:r>
            <w:r/>
          </w:p>
          <w:p>
            <w:pPr>
              <w:pStyle w:val="1051"/>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rPr>
                <w:highlight w:val="none"/>
              </w:rPr>
            </w:r>
            <w:r/>
          </w:p>
          <w:p>
            <w:pPr>
              <w:pStyle w:val="1051"/>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tc>
      </w:tr>
    </w:tbl>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名称：苏州市立医院本部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地址：苏州市姑苏区道前街26号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联系人：王俊文</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联系方式：17798690525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地址：苏州市姑苏区平泷路251号城市生活广场西楼四楼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联系方式：0512-69820888、69820896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项目联系人：谷工、严工  </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电话：0512-69820888、69820896</w:t>
      </w:r>
      <w:r>
        <w:rPr>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8"/>
        <w:ind w:left="0" w:firstLine="0"/>
        <w:rPr>
          <w:highlight w:val="none"/>
        </w:rPr>
      </w:pPr>
      <w:r>
        <w:rPr>
          <w:highlight w:val="none"/>
        </w:rPr>
      </w:r>
      <w:r>
        <w:rPr>
          <w:highlight w:val="none"/>
        </w:rPr>
      </w:r>
      <w:r/>
    </w:p>
    <w:p>
      <w:pPr>
        <w:pStyle w:val="991"/>
        <w:ind w:left="0" w:firstLine="0"/>
        <w:jc w:val="center"/>
        <w:rPr>
          <w:rFonts w:ascii="宋体" w:hAnsi="宋体"/>
          <w:b/>
          <w:sz w:val="44"/>
          <w:szCs w:val="22"/>
          <w:highlight w:val="none"/>
        </w:rPr>
      </w:pPr>
      <w:r>
        <w:rPr>
          <w:highlight w:val="none"/>
        </w:rPr>
      </w:r>
      <w:bookmarkStart w:id="7" w:name="_Toc105397777"/>
      <w:r>
        <w:rPr>
          <w:highlight w:val="none"/>
        </w:rPr>
      </w:r>
      <w:bookmarkStart w:id="8" w:name="_Toc2412"/>
      <w:r>
        <w:rPr>
          <w:highlight w:val="none"/>
        </w:rPr>
      </w:r>
      <w:bookmarkStart w:id="9"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0" w:name="投标人须知"/>
      <w:r>
        <w:rPr>
          <w:highlight w:val="none"/>
        </w:rPr>
      </w:r>
      <w:bookmarkEnd w:id="10"/>
      <w:r>
        <w:rPr>
          <w:rFonts w:ascii="宋体" w:hAnsi="宋体"/>
          <w:b/>
          <w:sz w:val="44"/>
          <w:szCs w:val="22"/>
          <w:highlight w:val="none"/>
        </w:rPr>
        <w:t xml:space="preserve">投标人须知</w:t>
      </w:r>
      <w:bookmarkEnd w:id="7"/>
      <w:r>
        <w:rPr>
          <w:highlight w:val="none"/>
        </w:rPr>
      </w:r>
      <w:bookmarkEnd w:id="8"/>
      <w:r>
        <w:rPr>
          <w:highlight w:val="none"/>
        </w:rPr>
      </w:r>
      <w:bookmarkEnd w:id="9"/>
      <w:r>
        <w:rPr>
          <w:highlight w:val="none"/>
        </w:rPr>
      </w:r>
      <w:r/>
    </w:p>
    <w:p>
      <w:pPr>
        <w:pStyle w:val="1009"/>
        <w:ind w:left="0" w:firstLine="422"/>
        <w:spacing w:line="360" w:lineRule="auto"/>
        <w:rPr>
          <w:rFonts w:ascii="宋体" w:hAnsi="宋体"/>
          <w:b/>
          <w:sz w:val="21"/>
          <w:szCs w:val="21"/>
          <w:highlight w:val="none"/>
        </w:rPr>
      </w:pPr>
      <w:r>
        <w:rPr>
          <w:highlight w:val="none"/>
        </w:rPr>
      </w:r>
      <w:bookmarkStart w:id="11" w:name="_Toc20132"/>
      <w:r>
        <w:rPr>
          <w:highlight w:val="none"/>
        </w:rPr>
      </w:r>
      <w:bookmarkStart w:id="12" w:name="_Toc13437"/>
      <w:r>
        <w:rPr>
          <w:rFonts w:hint="eastAsia" w:ascii="宋体" w:hAnsi="宋体"/>
          <w:b/>
          <w:sz w:val="21"/>
          <w:szCs w:val="21"/>
          <w:highlight w:val="none"/>
        </w:rPr>
        <w:t xml:space="preserve">一、说明和释义</w:t>
      </w:r>
      <w:bookmarkEnd w:id="11"/>
      <w:r>
        <w:rPr>
          <w:highlight w:val="none"/>
        </w:rPr>
      </w:r>
      <w:bookmarkEnd w:id="12"/>
      <w:r>
        <w:rPr>
          <w:highlight w:val="none"/>
        </w:rPr>
      </w:r>
      <w:r/>
    </w:p>
    <w:p>
      <w:pPr>
        <w:pStyle w:val="1009"/>
        <w:ind w:left="0" w:firstLine="422"/>
        <w:spacing w:line="360" w:lineRule="auto"/>
        <w:rPr>
          <w:rFonts w:ascii="宋体" w:hAnsi="宋体"/>
          <w:b/>
          <w:sz w:val="21"/>
          <w:szCs w:val="21"/>
          <w:highlight w:val="none"/>
        </w:rPr>
      </w:pPr>
      <w:r>
        <w:rPr>
          <w:highlight w:val="none"/>
        </w:rPr>
      </w:r>
      <w:bookmarkStart w:id="13" w:name="_Toc9408"/>
      <w:r>
        <w:rPr>
          <w:rFonts w:hint="eastAsia" w:ascii="宋体" w:hAnsi="宋体"/>
          <w:b/>
          <w:sz w:val="21"/>
          <w:szCs w:val="21"/>
          <w:highlight w:val="none"/>
        </w:rPr>
        <w:t xml:space="preserve">1.说明</w:t>
      </w:r>
      <w:bookmarkEnd w:id="13"/>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rPr>
          <w:highlight w:val="none"/>
        </w:rPr>
      </w:r>
      <w:r/>
    </w:p>
    <w:p>
      <w:pPr>
        <w:pStyle w:val="1009"/>
        <w:ind w:left="0" w:firstLine="422"/>
        <w:spacing w:line="360" w:lineRule="auto"/>
        <w:rPr>
          <w:rFonts w:ascii="宋体" w:hAnsi="宋体"/>
          <w:b/>
          <w:sz w:val="21"/>
          <w:szCs w:val="21"/>
          <w:highlight w:val="none"/>
        </w:rPr>
      </w:pPr>
      <w:r>
        <w:rPr>
          <w:highlight w:val="none"/>
        </w:rPr>
      </w:r>
      <w:bookmarkStart w:id="14" w:name="_Toc27555"/>
      <w:r>
        <w:rPr>
          <w:rFonts w:hint="eastAsia" w:ascii="宋体" w:hAnsi="宋体"/>
          <w:b/>
          <w:sz w:val="21"/>
          <w:szCs w:val="21"/>
          <w:highlight w:val="none"/>
        </w:rPr>
        <w:t xml:space="preserve">2.词语释义</w:t>
      </w:r>
      <w:bookmarkEnd w:id="14"/>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5" w:name="_Toc14976"/>
      <w:r>
        <w:rPr>
          <w:highlight w:val="none"/>
        </w:rPr>
      </w:r>
      <w:bookmarkStart w:id="16" w:name="_Toc13350"/>
      <w:r>
        <w:rPr>
          <w:highlight w:val="none"/>
        </w:rPr>
      </w:r>
      <w:r/>
    </w:p>
    <w:p>
      <w:pPr>
        <w:pStyle w:val="100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5"/>
      <w:r>
        <w:rPr>
          <w:highlight w:val="none"/>
        </w:rPr>
      </w:r>
      <w:bookmarkEnd w:id="16"/>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3.3本项目的特定资格要求：无</w:t>
      </w:r>
      <w:r>
        <w:rPr>
          <w:highlight w:val="none"/>
        </w:rPr>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rPr>
          <w:highlight w:val="none"/>
        </w:rPr>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rPr>
          <w:highlight w:val="none"/>
        </w:rPr>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rPr>
          <w:highlight w:val="none"/>
        </w:rPr>
      </w:r>
      <w:r/>
    </w:p>
    <w:p>
      <w:pPr>
        <w:pStyle w:val="1049"/>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rPr>
          <w:highlight w:val="none"/>
        </w:rPr>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rPr>
          <w:highlight w:val="none"/>
        </w:rPr>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rPr>
          <w:highlight w:val="none"/>
        </w:rPr>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7" w:name="_Toc31958"/>
      <w:r>
        <w:rPr>
          <w:highlight w:val="none"/>
        </w:rPr>
      </w:r>
      <w:bookmarkStart w:id="18" w:name="_Toc5764"/>
      <w:r>
        <w:rPr>
          <w:highlight w:val="none"/>
        </w:rPr>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7"/>
      <w:r>
        <w:rPr>
          <w:highlight w:val="none"/>
        </w:rPr>
      </w:r>
      <w:bookmarkEnd w:id="18"/>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rPr>
          <w:highlight w:val="none"/>
        </w:rPr>
      </w:r>
      <w:r/>
    </w:p>
    <w:p>
      <w:pPr>
        <w:pStyle w:val="1009"/>
        <w:ind w:left="0" w:firstLine="420"/>
        <w:spacing w:line="360" w:lineRule="auto"/>
        <w:rPr>
          <w:rFonts w:ascii="宋体" w:hAnsi="宋体"/>
          <w:sz w:val="21"/>
          <w:szCs w:val="21"/>
          <w:highlight w:val="none"/>
        </w:rPr>
      </w:pPr>
      <w:r>
        <w:rPr>
          <w:highlight w:val="none"/>
        </w:rPr>
      </w:r>
      <w:bookmarkStart w:id="19" w:name="_Toc19463"/>
      <w:r>
        <w:rPr>
          <w:highlight w:val="none"/>
        </w:rPr>
      </w:r>
      <w:bookmarkStart w:id="20" w:name="_Toc16745"/>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rPr>
          <w:highlight w:val="none"/>
        </w:rPr>
      </w:r>
      <w:r/>
    </w:p>
    <w:p>
      <w:pPr>
        <w:pStyle w:val="1009"/>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rPr>
          <w:highlight w:val="none"/>
        </w:rPr>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质疑联系人：金工</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w:t>
      </w:r>
      <w:r>
        <w:rPr>
          <w:rFonts w:ascii="宋体" w:hAnsi="宋体"/>
          <w:sz w:val="21"/>
          <w:szCs w:val="21"/>
          <w:highlight w:val="none"/>
        </w:rPr>
        <w:t xml:space="preserve">512</w:t>
      </w:r>
      <w:r>
        <w:rPr>
          <w:rFonts w:hint="eastAsia" w:ascii="宋体" w:hAnsi="宋体"/>
          <w:sz w:val="21"/>
          <w:szCs w:val="21"/>
          <w:highlight w:val="none"/>
        </w:rPr>
        <w:t xml:space="preserve">-</w:t>
      </w:r>
      <w:r>
        <w:rPr>
          <w:rFonts w:ascii="宋体" w:hAnsi="宋体"/>
          <w:sz w:val="21"/>
          <w:szCs w:val="21"/>
          <w:highlight w:val="none"/>
        </w:rPr>
        <w:t xml:space="preserve">69820894</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联系地址：苏州市姑苏区平泷路251号城市生活广场西侧裙楼四楼400</w:t>
      </w:r>
      <w:r>
        <w:rPr>
          <w:rFonts w:ascii="宋体" w:hAnsi="宋体"/>
          <w:sz w:val="21"/>
          <w:szCs w:val="21"/>
          <w:highlight w:val="none"/>
        </w:rPr>
        <w:t xml:space="preserve">6</w:t>
      </w:r>
      <w:r>
        <w:rPr>
          <w:rFonts w:hint="eastAsia" w:ascii="宋体" w:hAnsi="宋体"/>
          <w:sz w:val="21"/>
          <w:szCs w:val="21"/>
          <w:highlight w:val="none"/>
        </w:rPr>
        <w:t xml:space="preserve">室。</w:t>
      </w:r>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9"/>
      <w:r>
        <w:rPr>
          <w:highlight w:val="none"/>
        </w:rPr>
      </w:r>
      <w:bookmarkEnd w:id="20"/>
      <w:r>
        <w:rPr>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rPr>
          <w:highlight w:val="none"/>
        </w:rPr>
      </w:r>
      <w:r/>
    </w:p>
    <w:p>
      <w:pPr>
        <w:pStyle w:val="100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rPr>
          <w:highlight w:val="none"/>
        </w:rPr>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rPr>
          <w:highlight w:val="none"/>
        </w:rPr>
      </w:r>
      <w:r/>
    </w:p>
    <w:p>
      <w:pPr>
        <w:pStyle w:val="100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rPr>
          <w:highlight w:val="none"/>
        </w:rPr>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rPr>
          <w:highlight w:val="none"/>
        </w:rPr>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rPr>
          <w:highlight w:val="none"/>
        </w:rPr>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rPr>
          <w:highlight w:val="none"/>
        </w:rPr>
      </w:r>
      <w:r/>
    </w:p>
    <w:p>
      <w:pPr>
        <w:pStyle w:val="100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rPr>
          <w:highlight w:val="none"/>
        </w:rPr>
      </w:r>
      <w:r/>
    </w:p>
    <w:p>
      <w:pPr>
        <w:pStyle w:val="100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其它有关资格证明文件。</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14.1.5.1投标函（格式见第三章）；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投标货物和服务数量、品牌规格、性能、交货期说明表（不得出现价格，格式见第三章）；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技术参数响应及偏离表（格式见第三章）；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商务条款响应及偏离表（格式见第三章）；</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5.5</w:t>
      </w:r>
      <w:r>
        <w:rPr>
          <w:rFonts w:hint="eastAsia" w:ascii="宋体" w:hAnsi="宋体"/>
          <w:sz w:val="21"/>
          <w:szCs w:val="21"/>
          <w:highlight w:val="none"/>
        </w:rPr>
        <w:t xml:space="preserve">对属于《节能产品政府采购品目清单》政府强制采购产品的，需提供该产品有效期内的认证等相关证明材料（如有）；</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4.1.5.6</w:t>
      </w:r>
      <w:r>
        <w:rPr>
          <w:rFonts w:hint="eastAsia" w:ascii="宋体" w:hAnsi="宋体"/>
          <w:sz w:val="21"/>
          <w:szCs w:val="21"/>
          <w:highlight w:val="none"/>
        </w:rPr>
        <w:t xml:space="preserve">其他有关符合性证明的文件；</w:t>
      </w:r>
      <w:r>
        <w:rPr>
          <w:highlight w:val="none"/>
        </w:rPr>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w:t>
      </w:r>
      <w:r>
        <w:rPr>
          <w:rFonts w:hint="eastAsia" w:ascii="宋体" w:hAnsi="宋体" w:cs="Times New Roman"/>
          <w:sz w:val="21"/>
          <w:szCs w:val="21"/>
          <w:highlight w:val="none"/>
        </w:rPr>
        <w:t xml:space="preserve"> </w:t>
      </w:r>
      <w:r>
        <w:rPr>
          <w:rFonts w:hint="eastAsia" w:ascii="宋体" w:hAnsi="宋体" w:cs="Times New Roman"/>
          <w:sz w:val="21"/>
          <w:szCs w:val="21"/>
          <w:highlight w:val="none"/>
          <w:lang w:val="zh-CN"/>
        </w:rPr>
        <w:t xml:space="preserve">技术参数及配置要求</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 技术方案</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.3 企业综合实力</w:t>
      </w:r>
      <w:r>
        <w:rPr>
          <w:highlight w:val="none"/>
        </w:rPr>
      </w:r>
      <w:r/>
    </w:p>
    <w:p>
      <w:pPr>
        <w:ind w:left="0" w:firstLine="408"/>
        <w:spacing w:line="360" w:lineRule="auto"/>
        <w:rPr>
          <w:rFonts w:ascii="宋体" w:hAnsi="宋体" w:cs="Times New Roman"/>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.4 投标单位类似项目经验</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rPr>
          <w:highlight w:val="none"/>
        </w:rPr>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14.1.4.1-14.1.4.6</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highlight w:val="none"/>
        </w:rPr>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14.1.5.6</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rPr>
          <w:highlight w:val="none"/>
        </w:rPr>
      </w:r>
      <w:r/>
    </w:p>
    <w:p>
      <w:pPr>
        <w:pStyle w:val="1226"/>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4.1.4-14.1.8</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rPr>
          <w:highlight w:val="none"/>
        </w:rPr>
      </w:r>
      <w:r/>
    </w:p>
    <w:p>
      <w:pPr>
        <w:pStyle w:val="1226"/>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highlight w:val="none"/>
        </w:rPr>
      </w:r>
      <w:r/>
    </w:p>
    <w:p>
      <w:pPr>
        <w:pStyle w:val="1226"/>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rPr>
          <w:highlight w:val="none"/>
        </w:rPr>
      </w:r>
      <w:r/>
    </w:p>
    <w:p>
      <w:pPr>
        <w:pStyle w:val="1226"/>
        <w:ind w:left="0" w:firstLine="428"/>
        <w:spacing w:line="360" w:lineRule="auto"/>
        <w:rPr>
          <w:rFonts w:ascii="宋体" w:hAnsi="宋体"/>
          <w:b/>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w:t>
      </w:r>
      <w:r>
        <w:rPr>
          <w:rFonts w:hint="eastAsia" w:asciiTheme="minorEastAsia" w:hAnsiTheme="minorEastAsia" w:eastAsiaTheme="minorEastAsia"/>
          <w:color w:val="000000" w:themeColor="text1"/>
          <w:sz w:val="21"/>
          <w:szCs w:val="21"/>
          <w:highlight w:val="none"/>
        </w:rPr>
        <w:t xml:space="preserve">本项目采用电子招投标形式，请供应商按照</w:t>
      </w:r>
      <w:r>
        <w:rPr>
          <w:rFonts w:hint="eastAsia" w:asciiTheme="minorEastAsia" w:hAnsiTheme="minorEastAsia" w:eastAsiaTheme="minorEastAsia"/>
          <w:b/>
          <w:color w:val="000000" w:themeColor="text1"/>
          <w:sz w:val="21"/>
          <w:szCs w:val="21"/>
          <w:highlight w:val="none"/>
        </w:rPr>
        <w:t xml:space="preserve">《苏采云系统供应商操作手册》</w:t>
      </w:r>
      <w:r>
        <w:rPr>
          <w:rFonts w:hint="eastAsia" w:asciiTheme="minorEastAsia" w:hAnsiTheme="minorEastAsia" w:eastAsiaTheme="minorEastAsia"/>
          <w:color w:val="000000" w:themeColor="text1"/>
          <w:sz w:val="21"/>
          <w:szCs w:val="21"/>
          <w:highlight w:val="none"/>
        </w:rPr>
        <w:t xml:space="preserve">进行制作、上传电子投标文件。</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9.2</w:t>
      </w:r>
      <w:r>
        <w:rPr>
          <w:rFonts w:hint="eastAsia" w:ascii="宋体" w:hAnsi="宋体" w:cs="宋体"/>
          <w:color w:val="000000" w:themeColor="text1"/>
          <w:sz w:val="21"/>
          <w:szCs w:val="21"/>
          <w:highlight w:val="none"/>
        </w:rPr>
        <w:t xml:space="preserve">制作电子投标文件时，应按照招标文件要求加盖投标人电子公章。</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.3</w:t>
      </w:r>
      <w:r>
        <w:rPr>
          <w:rFonts w:hint="eastAsia" w:ascii="宋体" w:hAnsi="宋体" w:cs="宋体"/>
          <w:b/>
          <w:color w:val="000000" w:themeColor="text1"/>
          <w:sz w:val="21"/>
          <w:szCs w:val="21"/>
          <w:highlight w:val="none"/>
        </w:rPr>
        <w:t xml:space="preserve">电子投标文件制作完成后请于</w:t>
      </w:r>
      <w:r>
        <w:rPr>
          <w:rFonts w:hint="eastAsia" w:ascii="宋体" w:hAnsi="宋体"/>
          <w:b/>
          <w:color w:val="000000" w:themeColor="text1"/>
          <w:sz w:val="21"/>
          <w:szCs w:val="21"/>
          <w:highlight w:val="none"/>
        </w:rPr>
        <w:t xml:space="preserve">投标文件网上提交截止时间</w:t>
      </w:r>
      <w:r>
        <w:rPr>
          <w:rFonts w:hint="eastAsia" w:ascii="宋体" w:hAnsi="宋体" w:cs="宋体"/>
          <w:b/>
          <w:color w:val="000000" w:themeColor="text1"/>
          <w:sz w:val="21"/>
          <w:szCs w:val="21"/>
          <w:highlight w:val="none"/>
        </w:rPr>
        <w:t xml:space="preserve">前成功上传至“苏采云”系统，否则视为放弃参加该采购项目。</w:t>
      </w:r>
      <w:bookmarkStart w:id="21" w:name="_Toc25608"/>
      <w:r>
        <w:rPr>
          <w:highlight w:val="none"/>
        </w:rPr>
      </w:r>
      <w:bookmarkStart w:id="22" w:name="_Toc31150"/>
      <w:r>
        <w:rPr>
          <w:rFonts w:hint="eastAsia" w:ascii="宋体" w:hAnsi="宋体" w:cs="宋体"/>
          <w:color w:val="000000" w:themeColor="text1"/>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bookmarkEnd w:id="22"/>
      <w:r>
        <w:rPr>
          <w:highlight w:val="none"/>
        </w:rPr>
      </w:r>
      <w:r/>
    </w:p>
    <w:p>
      <w:pPr>
        <w:pStyle w:val="1226"/>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五、投标文件的递交、补充、修改和撤回</w:t>
      </w:r>
      <w:r>
        <w:rPr>
          <w:highlight w:val="none"/>
        </w:rPr>
      </w:r>
      <w:r/>
    </w:p>
    <w:p>
      <w:pPr>
        <w:pStyle w:val="1226"/>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20.投标文件的递交</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20</w:t>
      </w:r>
      <w:r>
        <w:rPr>
          <w:rFonts w:hint="eastAsia" w:ascii="宋体" w:hAnsi="宋体" w:cs="宋体"/>
          <w:color w:val="000000" w:themeColor="text1"/>
          <w:sz w:val="21"/>
          <w:szCs w:val="21"/>
          <w:highlight w:val="none"/>
        </w:rPr>
        <w:t xml:space="preserve">.1投标人应当在投标截止时间前制作并上传电子投标文件。</w:t>
      </w:r>
      <w:r>
        <w:rPr>
          <w:highlight w:val="none"/>
        </w:rPr>
      </w:r>
      <w:r/>
    </w:p>
    <w:p>
      <w:pPr>
        <w:pStyle w:val="1009"/>
        <w:ind w:left="0" w:firstLine="420"/>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20</w:t>
      </w:r>
      <w:r>
        <w:rPr>
          <w:rFonts w:hint="eastAsia" w:ascii="宋体" w:hAnsi="宋体"/>
          <w:color w:val="000000" w:themeColor="text1"/>
          <w:sz w:val="21"/>
          <w:szCs w:val="21"/>
          <w:highlight w:val="none"/>
        </w:rPr>
        <w:t xml:space="preserve">.2投标人通过</w:t>
      </w:r>
      <w:r>
        <w:rPr>
          <w:rFonts w:hint="eastAsia" w:ascii="宋体" w:hAnsi="宋体"/>
          <w:b/>
          <w:color w:val="000000" w:themeColor="text1"/>
          <w:sz w:val="21"/>
          <w:szCs w:val="21"/>
          <w:highlight w:val="none"/>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rPr>
        <w:t xml:space="preserve">）</w:t>
      </w:r>
      <w:r>
        <w:rPr>
          <w:highlight w:val="none"/>
        </w:rPr>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.1投标人在</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rPr>
        <w:t xml:space="preserve">《苏采云系统供应商操作手册》</w:t>
      </w:r>
      <w:r>
        <w:rPr>
          <w:rFonts w:hint="eastAsia" w:ascii="宋体" w:hAnsi="宋体" w:cs="宋体"/>
          <w:color w:val="000000" w:themeColor="text1"/>
          <w:sz w:val="21"/>
          <w:szCs w:val="21"/>
          <w:highlight w:val="none"/>
        </w:rPr>
        <w:t xml:space="preserve">。在</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之后，投标人不得对其电子投标文件作任何修改。</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.2投标人在</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前，可以撤回其电子投标文件，具体操作方法见</w:t>
      </w:r>
      <w:r>
        <w:rPr>
          <w:rFonts w:hint="eastAsia" w:asciiTheme="minorEastAsia" w:hAnsiTheme="minorEastAsia" w:eastAsiaTheme="minorEastAsia"/>
          <w:color w:val="000000" w:themeColor="text1"/>
          <w:sz w:val="21"/>
          <w:szCs w:val="21"/>
          <w:highlight w:val="none"/>
        </w:rPr>
        <w:t xml:space="preserve">《苏采云系统供应商操作手册》</w:t>
      </w:r>
      <w:r>
        <w:rPr>
          <w:rFonts w:hint="eastAsia" w:ascii="宋体" w:hAnsi="宋体" w:cs="宋体"/>
          <w:color w:val="000000" w:themeColor="text1"/>
          <w:sz w:val="21"/>
          <w:szCs w:val="21"/>
          <w:highlight w:val="none"/>
        </w:rPr>
        <w:t xml:space="preserve">。</w:t>
      </w:r>
      <w:bookmarkStart w:id="23" w:name="_Toc22837"/>
      <w:r>
        <w:rPr>
          <w:highlight w:val="none"/>
        </w:rPr>
      </w:r>
      <w:bookmarkStart w:id="24" w:name="_Toc29371"/>
      <w:r>
        <w:rPr>
          <w:rFonts w:hint="eastAsia" w:ascii="宋体" w:hAnsi="宋体" w:cs="宋体"/>
          <w:color w:val="000000" w:themeColor="text1"/>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六、开标和评标</w:t>
      </w:r>
      <w:bookmarkEnd w:id="23"/>
      <w:r>
        <w:rPr>
          <w:highlight w:val="none"/>
        </w:rPr>
      </w:r>
      <w:bookmarkEnd w:id="24"/>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.开标</w:t>
      </w:r>
      <w:r>
        <w:rPr>
          <w:highlight w:val="none"/>
        </w:rPr>
      </w:r>
      <w:r/>
    </w:p>
    <w:p>
      <w:pPr>
        <w:pStyle w:val="1226"/>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.1开标由采购代理机构</w:t>
      </w:r>
      <w:r>
        <w:rPr>
          <w:rFonts w:hint="eastAsia" w:ascii="宋体" w:hAnsi="宋体" w:cs="宋体"/>
          <w:color w:val="000000" w:themeColor="text1"/>
          <w:sz w:val="21"/>
          <w:szCs w:val="21"/>
          <w:highlight w:val="none"/>
          <w:lang w:val="en-US"/>
        </w:rPr>
        <w:t xml:space="preserve">在线</w:t>
      </w:r>
      <w:r>
        <w:rPr>
          <w:rFonts w:hint="eastAsia" w:ascii="宋体" w:hAnsi="宋体" w:cs="宋体"/>
          <w:color w:val="000000" w:themeColor="text1"/>
          <w:sz w:val="21"/>
          <w:szCs w:val="21"/>
          <w:highlight w:val="none"/>
        </w:rPr>
        <w:t xml:space="preserve">主持，邀请投标人</w:t>
      </w:r>
      <w:r>
        <w:rPr>
          <w:rFonts w:hint="eastAsia" w:ascii="宋体" w:hAnsi="宋体" w:cs="宋体"/>
          <w:color w:val="000000" w:themeColor="text1"/>
          <w:sz w:val="21"/>
          <w:szCs w:val="21"/>
          <w:highlight w:val="none"/>
          <w:lang w:val="en-US"/>
        </w:rPr>
        <w:t xml:space="preserve">在线</w:t>
      </w:r>
      <w:r>
        <w:rPr>
          <w:rFonts w:hint="eastAsia" w:ascii="宋体" w:hAnsi="宋体" w:cs="宋体"/>
          <w:color w:val="000000" w:themeColor="text1"/>
          <w:sz w:val="21"/>
          <w:szCs w:val="21"/>
          <w:highlight w:val="none"/>
        </w:rPr>
        <w:t xml:space="preserve">参加。投标人应当按照</w:t>
      </w:r>
      <w:r>
        <w:rPr>
          <w:rFonts w:hint="eastAsia" w:asciiTheme="minorEastAsia" w:hAnsiTheme="minorEastAsia" w:eastAsiaTheme="minorEastAsia"/>
          <w:color w:val="000000" w:themeColor="text1"/>
          <w:sz w:val="21"/>
          <w:szCs w:val="21"/>
          <w:highlight w:val="none"/>
        </w:rPr>
        <w:t xml:space="preserve">《苏采云系统供应商操作手册》</w:t>
      </w:r>
      <w:r>
        <w:rPr>
          <w:rFonts w:hint="eastAsia" w:ascii="宋体" w:hAnsi="宋体" w:cs="宋体"/>
          <w:color w:val="000000" w:themeColor="text1"/>
          <w:sz w:val="21"/>
          <w:szCs w:val="21"/>
          <w:highlight w:val="none"/>
        </w:rPr>
        <w:t xml:space="preserve">规定，</w:t>
      </w:r>
      <w:r>
        <w:rPr>
          <w:rFonts w:hint="eastAsia" w:ascii="宋体" w:hAnsi="宋体" w:cs="宋体"/>
          <w:b/>
          <w:color w:val="000000" w:themeColor="text1"/>
          <w:sz w:val="21"/>
          <w:szCs w:val="21"/>
          <w:highlight w:val="none"/>
        </w:rPr>
        <w:t xml:space="preserve">参加开标活动和在“苏采云”系统规定的时间内对投标文件进行解密</w:t>
      </w:r>
      <w:r>
        <w:rPr>
          <w:rFonts w:hint="eastAsia" w:ascii="宋体" w:hAnsi="宋体" w:cs="宋体"/>
          <w:color w:val="000000" w:themeColor="text1"/>
          <w:sz w:val="21"/>
          <w:szCs w:val="21"/>
          <w:highlight w:val="none"/>
        </w:rPr>
        <w:t xml:space="preserve">。评标委员会成员不得参加开标活动。</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rPr>
          <w:highlight w:val="none"/>
        </w:rPr>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rPr>
        <w:t xml:space="preserve">采购代理机构会在接收投标文件截止时间后，登录</w:t>
      </w:r>
      <w:r>
        <w:rPr>
          <w:rFonts w:ascii="宋体" w:hAnsi="宋体" w:cs="宋体"/>
          <w:color w:val="000000" w:themeColor="text1"/>
          <w:sz w:val="21"/>
          <w:szCs w:val="21"/>
          <w:highlight w:val="none"/>
        </w:rPr>
        <w:t xml:space="preserve">信用中国</w:t>
      </w:r>
      <w:r>
        <w:rPr>
          <w:rFonts w:hint="eastAsia" w:ascii="宋体" w:hAnsi="宋体" w:cs="宋体"/>
          <w:color w:val="000000" w:themeColor="text1"/>
          <w:sz w:val="21"/>
          <w:szCs w:val="21"/>
          <w:highlight w:val="none"/>
        </w:rPr>
        <w:t xml:space="preserve">网站</w:t>
      </w:r>
      <w:r>
        <w:rPr>
          <w:rFonts w:ascii="宋体" w:hAnsi="宋体" w:cs="宋体"/>
          <w:color w:val="000000" w:themeColor="text1"/>
          <w:sz w:val="21"/>
          <w:szCs w:val="21"/>
          <w:highlight w:val="none"/>
        </w:rPr>
        <w:t xml:space="preserve">（www.creditchina.gov.cn）</w:t>
      </w:r>
      <w:r>
        <w:rPr>
          <w:rFonts w:hint="eastAsia" w:ascii="宋体" w:hAnsi="宋体" w:cs="宋体"/>
          <w:color w:val="000000" w:themeColor="text1"/>
          <w:sz w:val="21"/>
          <w:szCs w:val="21"/>
          <w:highlight w:val="none"/>
        </w:rPr>
        <w:t xml:space="preserve">和中国政府采购网（</w:t>
      </w:r>
      <w:r>
        <w:rPr>
          <w:rFonts w:ascii="宋体" w:hAnsi="宋体" w:cs="宋体"/>
          <w:color w:val="000000" w:themeColor="text1"/>
          <w:sz w:val="21"/>
          <w:szCs w:val="21"/>
          <w:highlight w:val="none"/>
        </w:rPr>
        <w:t xml:space="preserve">www.ccgp.gov.cn/</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查询供应商的信用记录，并将查询结果递交</w:t>
      </w:r>
      <w:r>
        <w:rPr>
          <w:rFonts w:hint="eastAsia" w:ascii="宋体" w:hAnsi="宋体" w:cs="宋体"/>
          <w:color w:val="000000" w:themeColor="text1"/>
          <w:sz w:val="21"/>
          <w:szCs w:val="21"/>
          <w:highlight w:val="none"/>
        </w:rPr>
        <w:t xml:space="preserve">评标委员会。</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none"/>
        </w:rPr>
      </w:r>
      <w:r/>
    </w:p>
    <w:p>
      <w:pPr>
        <w:pStyle w:val="1226"/>
        <w:ind w:left="0" w:firstLine="422"/>
        <w:spacing w:line="360" w:lineRule="auto"/>
        <w:rPr>
          <w:rFonts w:ascii="宋体" w:hAnsi="宋体" w:cs="宋体"/>
          <w:b/>
          <w:color w:val="ff0000"/>
          <w:sz w:val="21"/>
          <w:szCs w:val="21"/>
          <w:highlight w:val="none"/>
        </w:rPr>
      </w:pPr>
      <w:r>
        <w:rPr>
          <w:rFonts w:hint="eastAsia" w:ascii="宋体" w:hAnsi="宋体" w:cs="宋体"/>
          <w:b/>
          <w:color w:val="ff0000"/>
          <w:sz w:val="21"/>
          <w:szCs w:val="21"/>
          <w:highlight w:val="none"/>
        </w:rPr>
        <w:t xml:space="preserve">2</w:t>
      </w:r>
      <w:r>
        <w:rPr>
          <w:rFonts w:ascii="宋体" w:hAnsi="宋体" w:cs="宋体"/>
          <w:b/>
          <w:color w:val="ff0000"/>
          <w:sz w:val="21"/>
          <w:szCs w:val="21"/>
          <w:highlight w:val="none"/>
        </w:rPr>
        <w:t xml:space="preserve">6</w:t>
      </w:r>
      <w:r>
        <w:rPr>
          <w:rFonts w:hint="eastAsia" w:ascii="宋体" w:hAnsi="宋体" w:cs="宋体"/>
          <w:b/>
          <w:color w:val="ff0000"/>
          <w:sz w:val="21"/>
          <w:szCs w:val="21"/>
          <w:highlight w:val="none"/>
        </w:rPr>
        <w:t xml:space="preserve">.4评标委员会认为投标人的报价明显低于其他通过符合性审查投标人的报价</w:t>
      </w:r>
      <w:r>
        <w:rPr>
          <w:rFonts w:hint="eastAsia" w:ascii="宋体" w:hAnsi="宋体" w:cs="宋体"/>
          <w:b/>
          <w:color w:val="ff0000"/>
          <w:sz w:val="21"/>
          <w:szCs w:val="21"/>
          <w:highlight w:val="none"/>
          <w:lang w:val="en-US"/>
        </w:rPr>
        <w:t xml:space="preserve">或低于预算价的50%</w:t>
      </w:r>
      <w:r>
        <w:rPr>
          <w:rFonts w:hint="eastAsia" w:ascii="宋体" w:hAnsi="宋体" w:cs="宋体"/>
          <w:b/>
          <w:color w:val="ff0000"/>
          <w:sz w:val="21"/>
          <w:szCs w:val="21"/>
          <w:highlight w:val="none"/>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r/>
    </w:p>
    <w:p>
      <w:pPr>
        <w:pStyle w:val="1226"/>
        <w:ind w:left="0" w:firstLine="422"/>
        <w:spacing w:line="360" w:lineRule="auto"/>
        <w:rPr>
          <w:rFonts w:ascii="宋体" w:hAnsi="宋体" w:cs="宋体"/>
          <w:b/>
          <w:color w:val="ff0000"/>
          <w:sz w:val="21"/>
          <w:szCs w:val="21"/>
          <w:highlight w:val="none"/>
        </w:rPr>
      </w:pPr>
      <w:r>
        <w:rPr>
          <w:rFonts w:hint="eastAsia" w:ascii="宋体" w:hAnsi="宋体" w:cs="宋体"/>
          <w:b/>
          <w:color w:val="ff0000"/>
          <w:sz w:val="21"/>
          <w:szCs w:val="21"/>
          <w:highlight w:val="none"/>
          <w:lang w:val="en-US"/>
        </w:rPr>
        <w:t xml:space="preserve">26.</w:t>
      </w:r>
      <w:r>
        <w:rPr>
          <w:rFonts w:ascii="宋体" w:hAnsi="宋体" w:cs="宋体"/>
          <w:b/>
          <w:color w:val="ff0000"/>
          <w:sz w:val="21"/>
          <w:szCs w:val="21"/>
          <w:highlight w:val="none"/>
          <w:lang w:val="en-US"/>
        </w:rPr>
        <w:t xml:space="preserve">5</w:t>
      </w:r>
      <w:r>
        <w:rPr>
          <w:rFonts w:hint="eastAsia" w:ascii="宋体" w:hAnsi="宋体" w:cs="宋体"/>
          <w:b/>
          <w:color w:val="ff0000"/>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rPr>
          <w:highlight w:val="none"/>
        </w:rPr>
      </w:r>
      <w:r/>
    </w:p>
    <w:p>
      <w:pPr>
        <w:pStyle w:val="1226"/>
        <w:ind w:left="0" w:firstLine="422"/>
        <w:spacing w:line="360" w:lineRule="auto"/>
        <w:rPr>
          <w:rFonts w:ascii="宋体" w:hAnsi="宋体" w:cs="宋体"/>
          <w:color w:val="000000" w:themeColor="text1"/>
          <w:sz w:val="21"/>
          <w:szCs w:val="21"/>
          <w:highlight w:val="none"/>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rPr>
        <w:t xml:space="preserve">供应商应随时保持系统在线，如因供应商自身原因未在规定时间内提交澄清确认资料的，导致的不利后果由供应商自行承担。</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rPr>
          <w:highlight w:val="none"/>
        </w:rPr>
      </w:r>
      <w:r/>
    </w:p>
    <w:p>
      <w:pPr>
        <w:pStyle w:val="1226"/>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rPr>
          <w:highlight w:val="none"/>
        </w:rPr>
      </w:r>
      <w:r/>
    </w:p>
    <w:p>
      <w:pPr>
        <w:pStyle w:val="1226"/>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（六）在综合评审打分中，各评委的综合评分汇总后，投标人除价格部分以外的其余评审因素平均分值低于60%的;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（七）法律、法规和招标文件规定的其他无效情形。</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rPr>
          <w:highlight w:val="none"/>
        </w:rPr>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5" w:name="_Toc19501"/>
      <w:r>
        <w:rPr>
          <w:highlight w:val="none"/>
        </w:rPr>
      </w:r>
      <w:bookmarkStart w:id="26" w:name="_Toc18442"/>
      <w:r>
        <w:rPr>
          <w:highlight w:val="none"/>
        </w:rPr>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5"/>
      <w:r>
        <w:rPr>
          <w:highlight w:val="none"/>
        </w:rPr>
      </w:r>
      <w:bookmarkEnd w:id="26"/>
      <w:r>
        <w:rPr>
          <w:highlight w:val="none"/>
        </w:rPr>
      </w:r>
      <w:r/>
    </w:p>
    <w:p>
      <w:pPr>
        <w:pStyle w:val="1226"/>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rPr>
          <w:highlight w:val="none"/>
        </w:rPr>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rPr>
          <w:highlight w:val="none"/>
        </w:rPr>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rPr>
          <w:highlight w:val="none"/>
        </w:rPr>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highlight w:val="none"/>
        </w:rPr>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27" w:name="_Toc21029"/>
      <w:r>
        <w:rPr>
          <w:highlight w:val="none"/>
        </w:rPr>
      </w:r>
      <w:bookmarkStart w:id="28" w:name="_Toc8186"/>
      <w:r>
        <w:rPr>
          <w:highlight w:val="none"/>
        </w:rPr>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27"/>
      <w:r>
        <w:rPr>
          <w:highlight w:val="none"/>
        </w:rPr>
      </w:r>
      <w:bookmarkEnd w:id="28"/>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rPr>
          <w:highlight w:val="none"/>
        </w:rPr>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rPr>
          <w:highlight w:val="none"/>
        </w:rPr>
      </w:r>
      <w:r/>
    </w:p>
    <w:p>
      <w:pPr>
        <w:pStyle w:val="1226"/>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rPr>
          <w:highlight w:val="none"/>
        </w:rPr>
      </w:r>
      <w:r/>
    </w:p>
    <w:p>
      <w:pPr>
        <w:pStyle w:val="1226"/>
        <w:ind w:left="0" w:firstLine="0"/>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p>
      <w:pPr>
        <w:pStyle w:val="991"/>
        <w:ind w:left="0" w:firstLine="0"/>
        <w:jc w:val="center"/>
        <w:rPr>
          <w:rFonts w:ascii="宋体" w:hAnsi="宋体"/>
          <w:sz w:val="21"/>
          <w:szCs w:val="21"/>
          <w:highlight w:val="none"/>
        </w:rPr>
      </w:pPr>
      <w:r>
        <w:rPr>
          <w:highlight w:val="none"/>
        </w:rPr>
      </w:r>
      <w:bookmarkStart w:id="29" w:name="_Toc24711"/>
      <w:r>
        <w:rPr>
          <w:highlight w:val="none"/>
        </w:rPr>
      </w:r>
      <w:bookmarkStart w:id="30" w:name="_Toc105397778"/>
      <w:r>
        <w:rPr>
          <w:highlight w:val="none"/>
        </w:rPr>
      </w:r>
      <w:bookmarkStart w:id="31" w:name="_Toc7264"/>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32" w:name="投标文件格式"/>
      <w:r>
        <w:rPr>
          <w:highlight w:val="none"/>
        </w:rPr>
      </w:r>
      <w:bookmarkEnd w:id="32"/>
      <w:r>
        <w:rPr>
          <w:rFonts w:hint="eastAsia" w:ascii="宋体" w:hAnsi="宋体"/>
          <w:b/>
          <w:sz w:val="44"/>
          <w:szCs w:val="22"/>
          <w:highlight w:val="none"/>
        </w:rPr>
        <w:t xml:space="preserve">投标文件格式</w:t>
      </w:r>
      <w:bookmarkEnd w:id="29"/>
      <w:r>
        <w:rPr>
          <w:highlight w:val="none"/>
        </w:rPr>
      </w:r>
      <w:bookmarkEnd w:id="30"/>
      <w:r>
        <w:rPr>
          <w:highlight w:val="none"/>
        </w:rPr>
      </w:r>
      <w:bookmarkEnd w:id="31"/>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rPr>
          <w:highlight w:val="none"/>
        </w:rPr>
      </w:r>
      <w:r/>
    </w:p>
    <w:p>
      <w:pPr>
        <w:pStyle w:val="1226"/>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rPr>
          <w:highlight w:val="none"/>
        </w:rPr>
      </w:r>
      <w:r/>
    </w:p>
    <w:p>
      <w:pPr>
        <w:ind w:left="0"/>
        <w:rPr>
          <w:rFonts w:ascii="宋体" w:hAnsi="宋体"/>
          <w:b/>
          <w:sz w:val="21"/>
          <w:szCs w:val="21"/>
          <w:highlight w:val="none"/>
        </w:rPr>
        <w:outlineLvl w:val="0"/>
      </w:pPr>
      <w:r>
        <w:rPr>
          <w:highlight w:val="none"/>
        </w:rPr>
      </w:r>
      <w:bookmarkStart w:id="33" w:name="_Toc71810480"/>
      <w:r>
        <w:rPr>
          <w:highlight w:val="none"/>
        </w:rPr>
      </w:r>
      <w:bookmarkStart w:id="34" w:name="_Toc105397779"/>
      <w:r>
        <w:rPr>
          <w:highlight w:val="none"/>
        </w:rPr>
      </w:r>
      <w:bookmarkStart w:id="35" w:name="_Toc17036"/>
      <w:r>
        <w:rPr>
          <w:highlight w:val="none"/>
        </w:rPr>
      </w:r>
      <w:bookmarkStart w:id="36" w:name="_Toc3821"/>
      <w:r>
        <w:rPr>
          <w:rFonts w:hint="eastAsia" w:ascii="宋体" w:hAnsi="宋体"/>
          <w:b/>
          <w:sz w:val="21"/>
          <w:szCs w:val="21"/>
          <w:highlight w:val="none"/>
        </w:rPr>
        <w:t xml:space="preserve">附件1.投标函</w:t>
      </w:r>
      <w:bookmarkEnd w:id="33"/>
      <w:r>
        <w:rPr>
          <w:highlight w:val="none"/>
        </w:rPr>
      </w:r>
      <w:bookmarkEnd w:id="34"/>
      <w:r>
        <w:rPr>
          <w:highlight w:val="none"/>
        </w:rPr>
      </w:r>
      <w:bookmarkEnd w:id="35"/>
      <w:r>
        <w:rPr>
          <w:highlight w:val="none"/>
        </w:rPr>
      </w:r>
      <w:bookmarkEnd w:id="36"/>
      <w:r>
        <w:rPr>
          <w:highlight w:val="none"/>
        </w:rPr>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rPr>
          <w:highlight w:val="none"/>
        </w:rPr>
      </w:r>
      <w:r/>
    </w:p>
    <w:p>
      <w:pPr>
        <w:ind w:left="0"/>
        <w:spacing w:line="440" w:lineRule="exact"/>
        <w:rPr>
          <w:rFonts w:ascii="宋体" w:hAnsi="宋体"/>
          <w:sz w:val="21"/>
          <w:szCs w:val="21"/>
          <w:highlight w:val="none"/>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rPr>
          <w:highlight w:val="none"/>
        </w:rPr>
      </w:r>
      <w:r/>
    </w:p>
    <w:p>
      <w:pPr>
        <w:ind w:left="0" w:firstLine="420"/>
        <w:jc w:val="left"/>
        <w:spacing w:line="440" w:lineRule="exact"/>
        <w:rPr>
          <w:rFonts w:ascii="宋体" w:hAnsi="宋体"/>
          <w:sz w:val="21"/>
          <w:szCs w:val="21"/>
          <w:highlight w:val="none"/>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单   位：                                              联 系 人： </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地   址：                                              邮政编码： </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联系电话：                                             电子邮箱：</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rPr>
          <w:highlight w:val="none"/>
        </w:rPr>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37" w:name="_Toc105397780"/>
      <w:r>
        <w:rPr>
          <w:highlight w:val="none"/>
        </w:rPr>
      </w:r>
      <w:bookmarkStart w:id="38"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37"/>
      <w:r>
        <w:rPr>
          <w:highlight w:val="none"/>
        </w:rPr>
      </w:r>
      <w:bookmarkEnd w:id="38"/>
      <w:r>
        <w:rPr>
          <w:highlight w:val="none"/>
        </w:rPr>
      </w:r>
      <w:r/>
    </w:p>
    <w:p>
      <w:pPr>
        <w:rPr>
          <w:rFonts w:ascii="宋体" w:hAnsi="宋体"/>
          <w:sz w:val="21"/>
          <w:szCs w:val="21"/>
          <w:highlight w:val="none"/>
        </w:rPr>
      </w:pPr>
      <w:r>
        <w:rPr>
          <w:rFonts w:ascii="宋体" w:hAnsi="宋体"/>
          <w:sz w:val="21"/>
          <w:szCs w:val="21"/>
          <w:highlight w:val="none"/>
        </w:rPr>
      </w:r>
      <w:r>
        <w:rPr>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投标人全称（加盖公章）：</w:t>
      </w:r>
      <w:bookmarkStart w:id="39" w:name="TBR"/>
      <w:r>
        <w:rPr>
          <w:highlight w:val="none"/>
        </w:rPr>
      </w:r>
      <w:bookmarkEnd w:id="39"/>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项目编号：  </w:t>
      </w:r>
      <w:bookmarkStart w:id="40" w:name="XMBH"/>
      <w:r>
        <w:rPr>
          <w:highlight w:val="none"/>
        </w:rPr>
      </w:r>
      <w:bookmarkEnd w:id="40"/>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分包号：</w:t>
      </w:r>
      <w:bookmarkStart w:id="41" w:name="FBH"/>
      <w:r>
        <w:rPr>
          <w:highlight w:val="none"/>
        </w:rPr>
      </w:r>
      <w:bookmarkEnd w:id="41"/>
      <w:r>
        <w:rPr>
          <w:highlight w:val="non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rPr>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highlight w:val="none"/>
              </w:rPr>
            </w:r>
            <w:bookmarkStart w:id="42" w:name="XMMC"/>
            <w:r>
              <w:rPr>
                <w:highlight w:val="none"/>
              </w:rPr>
            </w:r>
            <w:bookmarkEnd w:id="42"/>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43" w:name="JEXX"/>
            <w:r>
              <w:rPr>
                <w:highlight w:val="none"/>
              </w:rPr>
            </w:r>
            <w:bookmarkEnd w:id="43"/>
            <w:r>
              <w:rPr>
                <w:rFonts w:hint="eastAsia" w:ascii="宋体" w:hAnsi="宋体"/>
                <w:sz w:val="21"/>
                <w:szCs w:val="21"/>
                <w:highlight w:val="none"/>
              </w:rPr>
              <w:t xml:space="preserve">     （元人民币）</w:t>
            </w:r>
            <w:r>
              <w:rPr>
                <w:highlight w:val="none"/>
              </w:rPr>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rPr>
                <w:highlight w:val="none"/>
              </w:rPr>
            </w:r>
            <w:bookmarkStart w:id="44" w:name="JEDX"/>
            <w:r>
              <w:rPr>
                <w:highlight w:val="none"/>
              </w:rPr>
            </w:r>
            <w:bookmarkEnd w:id="44"/>
            <w:r>
              <w:rPr>
                <w:highlight w:val="none"/>
              </w:rPr>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rPr>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45" w:name="NF"/>
      <w:r>
        <w:rPr>
          <w:highlight w:val="none"/>
        </w:rPr>
      </w:r>
      <w:bookmarkEnd w:id="45"/>
      <w:r>
        <w:rPr>
          <w:rFonts w:hint="eastAsia" w:ascii="宋体" w:hAnsi="宋体"/>
          <w:sz w:val="21"/>
          <w:szCs w:val="21"/>
          <w:highlight w:val="none"/>
        </w:rPr>
        <w:t xml:space="preserve"> 年 </w:t>
      </w:r>
      <w:bookmarkStart w:id="46" w:name="YF"/>
      <w:r>
        <w:rPr>
          <w:highlight w:val="none"/>
        </w:rPr>
      </w:r>
      <w:bookmarkEnd w:id="46"/>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7" w:name="RI"/>
      <w:r>
        <w:rPr>
          <w:highlight w:val="none"/>
        </w:rPr>
      </w:r>
      <w:bookmarkEnd w:id="47"/>
      <w:r>
        <w:rPr>
          <w:rFonts w:ascii="宋体" w:hAnsi="宋体"/>
          <w:sz w:val="21"/>
          <w:szCs w:val="21"/>
          <w:highlight w:val="none"/>
        </w:rPr>
        <w:t xml:space="preserve"> </w:t>
      </w:r>
      <w:r>
        <w:rPr>
          <w:rFonts w:hint="eastAsia" w:ascii="宋体" w:hAnsi="宋体"/>
          <w:sz w:val="21"/>
          <w:szCs w:val="21"/>
          <w:highlight w:val="none"/>
        </w:rPr>
        <w:t xml:space="preserve"> 日</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填写说明：</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rPr>
          <w:highlight w:val="none"/>
        </w:rPr>
      </w:r>
      <w:r/>
    </w:p>
    <w:p>
      <w:pPr>
        <w:pStyle w:val="1017"/>
        <w:rPr>
          <w:rFonts w:ascii="宋体" w:hAnsi="宋体"/>
          <w:highlight w:val="none"/>
        </w:rPr>
      </w:pPr>
      <w:r>
        <w:rPr>
          <w:rFonts w:ascii="宋体" w:hAnsi="宋体"/>
          <w:highlight w:val="none"/>
        </w:rPr>
      </w:r>
      <w:r>
        <w:rPr>
          <w:highlight w:val="none"/>
        </w:rPr>
      </w:r>
      <w:r/>
    </w:p>
    <w:p>
      <w:pPr>
        <w:ind w:left="0"/>
        <w:spacing w:line="440" w:lineRule="exact"/>
        <w:rPr>
          <w:rFonts w:ascii="宋体" w:hAnsi="宋体"/>
          <w:b/>
          <w:sz w:val="21"/>
          <w:szCs w:val="21"/>
          <w:highlight w:val="none"/>
        </w:rPr>
      </w:pPr>
      <w:r>
        <w:rPr>
          <w:highlight w:val="none"/>
        </w:rPr>
      </w:r>
      <w:bookmarkStart w:id="48" w:name="_Toc7945"/>
      <w:r>
        <w:rPr>
          <w:highlight w:val="none"/>
        </w:rPr>
      </w:r>
      <w:bookmarkStart w:id="49" w:name="_Toc241"/>
      <w:r>
        <w:rPr>
          <w:highlight w:val="none"/>
        </w:rPr>
      </w:r>
      <w:bookmarkStart w:id="50" w:name="_Toc71810482"/>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pStyle w:val="1017"/>
        <w:rPr>
          <w:highlight w:val="none"/>
        </w:rPr>
      </w:pPr>
      <w:r>
        <w:rPr>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rPr>
          <w:rFonts w:ascii="宋体" w:hAnsi="宋体"/>
          <w:b/>
          <w:sz w:val="21"/>
          <w:szCs w:val="21"/>
          <w:highlight w:val="none"/>
        </w:rPr>
        <w:outlineLvl w:val="0"/>
      </w:pPr>
      <w:r>
        <w:rPr>
          <w:highlight w:val="none"/>
        </w:rPr>
      </w:r>
      <w:bookmarkStart w:id="51" w:name="_Toc105397781"/>
      <w:r>
        <w:rPr>
          <w:rFonts w:ascii="宋体" w:hAnsi="宋体"/>
          <w:b/>
          <w:sz w:val="21"/>
          <w:szCs w:val="21"/>
          <w:highlight w:val="none"/>
        </w:rPr>
        <w:t xml:space="preserve">附件3</w:t>
      </w:r>
      <w:bookmarkEnd w:id="48"/>
      <w:r>
        <w:rPr>
          <w:highlight w:val="none"/>
        </w:rPr>
      </w:r>
      <w:bookmarkEnd w:id="49"/>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50"/>
      <w:r>
        <w:rPr>
          <w:highlight w:val="none"/>
        </w:rPr>
      </w:r>
      <w:bookmarkEnd w:id="51"/>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公开分项报价</w:t>
      </w:r>
      <w:r>
        <w:rPr>
          <w:highlight w:val="none"/>
        </w:rPr>
      </w:r>
      <w:r/>
    </w:p>
    <w:p>
      <w:pPr>
        <w:pStyle w:val="1017"/>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rPr>
          <w:highlight w:val="none"/>
        </w:rPr>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color w:val="000000"/>
                <w:sz w:val="21"/>
                <w:szCs w:val="21"/>
                <w:highlight w:val="none"/>
              </w:rPr>
              <w:t xml:space="preserve">标的物名称</w:t>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rPr>
                <w:highlight w:val="none"/>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sz w:val="21"/>
                <w:szCs w:val="21"/>
                <w:highlight w:val="none"/>
              </w:rPr>
              <w:t xml:space="preserve">生产厂家</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color w:val="000000"/>
                <w:sz w:val="21"/>
                <w:szCs w:val="21"/>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color w:val="000000"/>
                <w:sz w:val="21"/>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总价</w:t>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合计</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元（大写： </w:t>
            </w:r>
            <w:r>
              <w:rPr>
                <w:rFonts w:ascii="宋体" w:hAnsi="宋体"/>
                <w:szCs w:val="21"/>
                <w:highlight w:val="none"/>
              </w:rPr>
              <w:t xml:space="preserve">                </w:t>
            </w:r>
            <w:r>
              <w:rPr>
                <w:rFonts w:hint="eastAsia" w:ascii="宋体" w:hAnsi="宋体"/>
                <w:szCs w:val="21"/>
                <w:highlight w:val="none"/>
              </w:rPr>
              <w:t xml:space="preserve">）</w:t>
            </w:r>
            <w:r>
              <w:rPr>
                <w:highlight w:val="none"/>
              </w:rPr>
            </w:r>
            <w:r/>
          </w:p>
        </w:tc>
      </w:tr>
    </w:tbl>
    <w:p>
      <w:pPr>
        <w:pStyle w:val="1018"/>
        <w:ind w:left="0" w:firstLine="0"/>
        <w:rPr>
          <w:highlight w:val="none"/>
        </w:rPr>
      </w:pPr>
      <w:r>
        <w:rPr>
          <w:highlight w:val="none"/>
        </w:rPr>
      </w:r>
      <w:r>
        <w:rPr>
          <w:highlight w:val="none"/>
        </w:rPr>
      </w:r>
      <w:r/>
    </w:p>
    <w:p>
      <w:pPr>
        <w:rPr>
          <w:highlight w:val="none"/>
        </w:rPr>
      </w:pPr>
      <w:r>
        <w:rPr>
          <w:highlight w:val="none"/>
        </w:rPr>
      </w: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rPr>
          <w:highlight w:val="none"/>
        </w:rPr>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注：1.报价表包含投标单位各项成本核算和投入的成本明细，合计金额应与《开标一览表》合计金额一致；否则，以《开标一览表》为准。</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2.各投标人应根据此表格式按项目分别填写报价详细清单，</w:t>
      </w:r>
      <w:r>
        <w:rPr>
          <w:rFonts w:hint="eastAsia" w:ascii="宋体" w:hAnsi="宋体"/>
          <w:color w:val="000000"/>
          <w:sz w:val="21"/>
          <w:szCs w:val="21"/>
          <w:highlight w:val="none"/>
        </w:rPr>
        <w:t xml:space="preserve">栏数不够可自加</w:t>
      </w:r>
      <w:r>
        <w:rPr>
          <w:rFonts w:hint="eastAsia" w:ascii="宋体" w:hAnsi="宋体"/>
          <w:sz w:val="21"/>
          <w:szCs w:val="21"/>
          <w:highlight w:val="none"/>
        </w:rPr>
        <w:t xml:space="preserve">。</w:t>
      </w:r>
      <w:r>
        <w:rPr>
          <w:highlight w:val="none"/>
        </w:rPr>
      </w:r>
      <w:r/>
    </w:p>
    <w:p>
      <w:pPr>
        <w:pStyle w:val="1051"/>
        <w:ind w:left="400" w:firstLine="400"/>
        <w:rPr>
          <w:highlight w:val="none"/>
        </w:rPr>
      </w:pPr>
      <w:r>
        <w:rPr>
          <w:highlight w:val="none"/>
        </w:rPr>
      </w: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52" w:name="_Toc105397782"/>
      <w:r>
        <w:rPr>
          <w:highlight w:val="none"/>
        </w:rPr>
      </w:r>
      <w:bookmarkStart w:id="53"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2"/>
      <w:r>
        <w:rPr>
          <w:highlight w:val="none"/>
        </w:rPr>
      </w:r>
      <w:bookmarkEnd w:id="53"/>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rPr>
          <w:highlight w:val="none"/>
        </w:rPr>
      </w:r>
      <w:r/>
    </w:p>
    <w:p>
      <w:pPr>
        <w:pStyle w:val="1017"/>
        <w:rPr>
          <w:rFonts w:ascii="宋体" w:hAnsi="宋体"/>
          <w:highlight w:val="none"/>
        </w:rPr>
      </w:pPr>
      <w:r>
        <w:rPr>
          <w:rFonts w:ascii="宋体" w:hAnsi="宋体"/>
          <w:highlight w:val="none"/>
        </w:rPr>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4" w:name="_Toc71810484"/>
      <w:r>
        <w:rPr>
          <w:highlight w:val="none"/>
        </w:rPr>
      </w:r>
      <w:bookmarkStart w:id="55" w:name="_Toc21574"/>
      <w:r>
        <w:rPr>
          <w:highlight w:val="none"/>
        </w:rPr>
      </w:r>
      <w:bookmarkStart w:id="56" w:name="_Toc19621"/>
      <w:r>
        <w:rPr>
          <w:highlight w:val="none"/>
        </w:rPr>
      </w:r>
      <w:bookmarkStart w:id="57" w:name="_Toc105397783"/>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4"/>
      <w:r>
        <w:rPr>
          <w:highlight w:val="none"/>
        </w:rPr>
      </w:r>
      <w:bookmarkEnd w:id="55"/>
      <w:r>
        <w:rPr>
          <w:highlight w:val="none"/>
        </w:rPr>
      </w:r>
      <w:bookmarkEnd w:id="56"/>
      <w:r>
        <w:rPr>
          <w:highlight w:val="none"/>
        </w:rPr>
      </w:r>
      <w:bookmarkEnd w:id="57"/>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rPr>
          <w:highlight w:val="none"/>
        </w:rPr>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苏州市立医院本部</w:t>
      </w:r>
      <w:r>
        <w:rPr>
          <w:rFonts w:hint="eastAsia" w:ascii="宋体" w:hAnsi="宋体"/>
          <w:sz w:val="21"/>
          <w:szCs w:val="21"/>
          <w:highlight w:val="none"/>
          <w:u w:val="single"/>
        </w:rPr>
        <w:t xml:space="preserve">） </w:t>
      </w:r>
      <w:r>
        <w:rPr>
          <w:rFonts w:hint="eastAsia" w:ascii="宋体" w:hAnsi="宋体"/>
          <w:sz w:val="21"/>
          <w:szCs w:val="21"/>
          <w:highlight w:val="none"/>
        </w:rPr>
        <w:t xml:space="preserve">的 </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苏州市立医院台式计算机</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9"/>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rPr>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rPr>
          <w:highlight w:val="none"/>
        </w:rPr>
      </w:r>
      <w:r/>
    </w:p>
    <w:p>
      <w:pPr>
        <w:ind w:left="0"/>
        <w:jc w:val="left"/>
        <w:spacing w:line="480" w:lineRule="exact"/>
        <w:rPr>
          <w:rFonts w:ascii="宋体" w:hAnsi="宋体"/>
          <w:sz w:val="21"/>
          <w:szCs w:val="21"/>
          <w:highlight w:val="none"/>
        </w:rPr>
      </w:pPr>
      <w:r>
        <w:rPr>
          <w:rFonts w:ascii="宋体" w:hAnsi="宋体"/>
          <w:sz w:val="21"/>
          <w:szCs w:val="21"/>
          <w:highlight w:val="none"/>
        </w:rPr>
      </w:r>
      <w:r>
        <w:rPr>
          <w:highlight w:val="none"/>
        </w:rPr>
      </w:r>
      <w:r/>
    </w:p>
    <w:p>
      <w:pPr>
        <w:pStyle w:val="1017"/>
        <w:rPr>
          <w:highlight w:val="none"/>
        </w:rPr>
      </w:pPr>
      <w:r>
        <w:rPr>
          <w:highlight w:val="none"/>
        </w:rPr>
      </w: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rPr>
          <w:highlight w:val="none"/>
        </w:rPr>
      </w:r>
      <w:r/>
    </w:p>
    <w:p>
      <w:pPr>
        <w:ind w:right="2500"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rPr>
          <w:highlight w:val="none"/>
        </w:rPr>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58" w:name="_Toc71810485"/>
      <w:r>
        <w:rPr>
          <w:rFonts w:hint="eastAsia" w:ascii="宋体" w:hAnsi="宋体"/>
          <w:b/>
          <w:highlight w:val="none"/>
        </w:rPr>
        <w:t xml:space="preserve">附：中小企业划型标准规定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highlight w:val="none"/>
        </w:rPr>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ind w:left="0"/>
        <w:rPr>
          <w:rFonts w:ascii="宋体" w:hAnsi="宋体" w:cs="Times New Roman"/>
          <w:highlight w:val="none"/>
        </w:rPr>
      </w:pPr>
      <w:r>
        <w:rPr>
          <w:rFonts w:ascii="宋体" w:hAnsi="宋体" w:cs="Times New Roman"/>
          <w:highlight w:val="none"/>
          <w:lang w:val="zh-CN"/>
        </w:rPr>
      </w:r>
      <w:r>
        <w:rPr>
          <w:highlight w:val="none"/>
        </w:rPr>
      </w:r>
      <w:r/>
    </w:p>
    <w:p>
      <w:pPr>
        <w:pStyle w:val="1017"/>
        <w:rPr>
          <w:rFonts w:ascii="宋体" w:hAnsi="宋体"/>
          <w:highlight w:val="none"/>
        </w:rPr>
      </w:pPr>
      <w:r>
        <w:rPr>
          <w:rFonts w:ascii="宋体" w:hAnsi="宋体"/>
          <w:highlight w:val="none"/>
          <w:lang w:val="zh-CN"/>
        </w:rPr>
      </w:r>
      <w:r>
        <w:rPr>
          <w:highlight w:val="none"/>
        </w:rPr>
      </w:r>
      <w:r/>
    </w:p>
    <w:p>
      <w:pPr>
        <w:ind w:left="0"/>
        <w:jc w:val="left"/>
        <w:rPr>
          <w:rFonts w:ascii="宋体" w:hAnsi="宋体"/>
          <w:b/>
          <w:bCs/>
          <w:sz w:val="21"/>
          <w:szCs w:val="21"/>
          <w:highlight w:val="none"/>
        </w:rPr>
        <w:outlineLvl w:val="0"/>
      </w:pPr>
      <w:r>
        <w:rPr>
          <w:highlight w:val="none"/>
        </w:rPr>
      </w:r>
      <w:bookmarkStart w:id="59"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58"/>
      <w:r>
        <w:rPr>
          <w:highlight w:val="none"/>
        </w:rPr>
      </w:r>
      <w:bookmarkEnd w:id="59"/>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rPr>
          <w:highlight w:val="none"/>
        </w:rPr>
      </w:r>
      <w:r/>
    </w:p>
    <w:p>
      <w:pPr>
        <w:ind w:left="0"/>
        <w:spacing w:line="360" w:lineRule="auto"/>
        <w:rPr>
          <w:rFonts w:ascii="宋体" w:hAnsi="宋体"/>
          <w:sz w:val="21"/>
          <w:szCs w:val="21"/>
          <w:highlight w:val="none"/>
        </w:rPr>
      </w:pPr>
      <w:r>
        <w:rPr>
          <w:highlight w:val="none"/>
        </w:rPr>
      </w:r>
      <w:bookmarkStart w:id="60" w:name="_Toc32206"/>
      <w:r>
        <w:rPr>
          <w:highlight w:val="none"/>
        </w:rPr>
      </w:r>
      <w:bookmarkStart w:id="61" w:name="_Toc15378"/>
      <w:r>
        <w:rPr>
          <w:highlight w:val="none"/>
        </w:rPr>
      </w:r>
      <w:bookmarkStart w:id="62" w:name="_Toc3869"/>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60"/>
      <w:r>
        <w:rPr>
          <w:highlight w:val="none"/>
        </w:rPr>
      </w:r>
      <w:bookmarkEnd w:id="61"/>
      <w:r>
        <w:rPr>
          <w:highlight w:val="none"/>
        </w:rPr>
      </w:r>
      <w:bookmarkEnd w:id="62"/>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highlight w:val="none"/>
        </w:rPr>
      </w:r>
      <w:r/>
    </w:p>
    <w:p>
      <w:pPr>
        <w:pStyle w:val="1343"/>
        <w:spacing w:line="360" w:lineRule="auto"/>
        <w:rPr>
          <w:rFonts w:hAnsi="宋体"/>
          <w:sz w:val="21"/>
          <w:szCs w:val="21"/>
          <w:highlight w:val="none"/>
        </w:rPr>
      </w:pPr>
      <w:r>
        <w:rPr>
          <w:rFonts w:hAnsi="宋体"/>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spacing w:line="360" w:lineRule="auto"/>
        <w:rPr>
          <w:rFonts w:ascii="宋体" w:hAnsi="宋体"/>
          <w:sz w:val="21"/>
          <w:szCs w:val="21"/>
          <w:highlight w:val="none"/>
        </w:rPr>
      </w:pPr>
      <w:r>
        <w:rPr>
          <w:rFonts w:ascii="宋体" w:hAnsi="宋体"/>
          <w:sz w:val="21"/>
          <w:szCs w:val="21"/>
          <w:highlight w:val="none"/>
          <w:lang w:val="zh-CN"/>
        </w:rPr>
      </w:r>
      <w:r>
        <w:rPr>
          <w:highlight w:val="none"/>
        </w:rPr>
      </w:r>
      <w:r/>
    </w:p>
    <w:p>
      <w:pPr>
        <w:pStyle w:val="1051"/>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rPr>
          <w:highlight w:val="none"/>
        </w:rPr>
      </w:r>
      <w:r/>
    </w:p>
    <w:p>
      <w:pPr>
        <w:pStyle w:val="1051"/>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rPr>
          <w:highlight w:val="none"/>
        </w:rPr>
      </w:r>
      <w:r/>
    </w:p>
    <w:p>
      <w:pPr>
        <w:pStyle w:val="1051"/>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rPr>
          <w:highlight w:val="none"/>
        </w:rPr>
      </w:r>
      <w:r/>
    </w:p>
    <w:p>
      <w:pPr>
        <w:pStyle w:val="1051"/>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rPr>
          <w:highlight w:val="none"/>
        </w:rPr>
      </w:r>
      <w:r/>
    </w:p>
    <w:p>
      <w:pPr>
        <w:pStyle w:val="1051"/>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rPr>
          <w:highlight w:val="none"/>
        </w:rPr>
      </w:r>
      <w:r/>
    </w:p>
    <w:p>
      <w:pPr>
        <w:pStyle w:val="1051"/>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rPr>
          <w:highlight w:val="none"/>
        </w:rPr>
      </w:r>
      <w:r/>
    </w:p>
    <w:p>
      <w:pPr>
        <w:pStyle w:val="1051"/>
        <w:ind w:left="0" w:firstLine="400"/>
        <w:rPr>
          <w:rFonts w:ascii="宋体" w:hAnsi="宋体"/>
          <w:highlight w:val="none"/>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pStyle w:val="1051"/>
        <w:ind w:left="0" w:firstLine="402"/>
        <w:rPr>
          <w:rFonts w:ascii="宋体" w:hAnsi="宋体"/>
          <w:b/>
          <w:highlight w:val="none"/>
        </w:rPr>
      </w:pPr>
      <w:r>
        <w:rPr>
          <w:rFonts w:hint="eastAsia" w:ascii="宋体" w:hAnsi="宋体"/>
          <w:b/>
          <w:highlight w:val="none"/>
          <w:lang w:val="zh-CN"/>
        </w:rPr>
        <w:t xml:space="preserve">2.中标单位为残疾人福利性单位的，《残疾人福利性单位声明函》将随中标结果同时公告。</w:t>
      </w:r>
      <w:r>
        <w:rPr>
          <w:highlight w:val="none"/>
        </w:rPr>
      </w:r>
      <w:r/>
    </w:p>
    <w:p>
      <w:pPr>
        <w:pStyle w:val="1051"/>
        <w:ind w:left="0" w:firstLine="402"/>
        <w:rPr>
          <w:rFonts w:ascii="宋体" w:hAnsi="宋体"/>
          <w:b/>
          <w:highlight w:val="none"/>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rPr>
          <w:highlight w:val="none"/>
        </w:rPr>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63" w:name="_Toc71810487"/>
      <w:r>
        <w:rPr>
          <w:highlight w:val="none"/>
        </w:rPr>
      </w:r>
      <w:bookmarkStart w:id="64"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63"/>
      <w:r>
        <w:rPr>
          <w:rFonts w:hint="eastAsia" w:ascii="宋体" w:hAnsi="宋体"/>
          <w:highlight w:val="none"/>
        </w:rPr>
        <w:t xml:space="preserve"> </w:t>
      </w:r>
      <w:bookmarkEnd w:id="64"/>
      <w:r>
        <w:rPr>
          <w:rFonts w:hint="eastAsia" w:ascii="宋体" w:hAnsi="宋体"/>
          <w:b/>
          <w:sz w:val="21"/>
          <w:szCs w:val="21"/>
          <w:highlight w:val="none"/>
        </w:rPr>
        <w:t xml:space="preserve">投标货物和服务数量、品牌规格、性能、交货期说明表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highlight w:val="none"/>
        </w:rPr>
      </w:r>
      <w:bookmarkStart w:id="65" w:name="_Toc31973"/>
      <w:r>
        <w:rPr>
          <w:highlight w:val="none"/>
        </w:rPr>
      </w:r>
      <w:bookmarkStart w:id="66" w:name="_Toc27138"/>
      <w:r>
        <w:rPr>
          <w:rFonts w:hint="eastAsia" w:ascii="宋体" w:hAnsi="宋体"/>
          <w:b/>
          <w:sz w:val="21"/>
          <w:szCs w:val="21"/>
          <w:highlight w:val="none"/>
        </w:rPr>
        <w:t xml:space="preserve">投标货物和服务数量、品牌规格、性能、交货期说明表</w:t>
      </w:r>
      <w:r>
        <w:rPr>
          <w:highlight w:val="none"/>
        </w:rPr>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highlight w:val="none"/>
              </w:rPr>
            </w:pPr>
            <w:r>
              <w:rPr>
                <w:rFonts w:hint="eastAsia" w:ascii="宋体" w:hAnsi="宋体"/>
                <w:sz w:val="21"/>
                <w:szCs w:val="21"/>
                <w:highlight w:val="none"/>
              </w:rPr>
              <w:t xml:space="preserve">标的物名称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品牌、规格、性能</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交货期</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rPr>
                <w:highlight w:val="none"/>
              </w:rPr>
            </w:r>
            <w:r/>
          </w:p>
        </w:tc>
      </w:tr>
    </w:tbl>
    <w:p>
      <w:pPr>
        <w:ind w:left="0"/>
        <w:jc w:val="left"/>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 </w:t>
      </w:r>
      <w:r>
        <w:rPr>
          <w:highlight w:val="none"/>
        </w:rPr>
      </w:r>
      <w:r/>
    </w:p>
    <w:p>
      <w:pPr>
        <w:pStyle w:val="1017"/>
        <w:rPr>
          <w:rFonts w:ascii="宋体" w:hAnsi="宋体" w:cs="宋体"/>
          <w:sz w:val="21"/>
          <w:szCs w:val="21"/>
          <w:highlight w:val="none"/>
        </w:rPr>
      </w:pPr>
      <w:r>
        <w:rPr>
          <w:rFonts w:ascii="宋体" w:hAnsi="宋体" w:cs="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pStyle w:val="1017"/>
        <w:rPr>
          <w:rFonts w:ascii="宋体" w:hAnsi="宋体"/>
          <w:highlight w:val="none"/>
        </w:rPr>
      </w:pPr>
      <w:r>
        <w:rPr>
          <w:rFonts w:ascii="宋体" w:hAnsi="宋体"/>
          <w:highlight w:val="none"/>
        </w:rPr>
      </w:r>
      <w:r>
        <w:rPr>
          <w:highlight w:val="none"/>
        </w:rPr>
      </w:r>
      <w:r/>
    </w:p>
    <w:p>
      <w:pPr>
        <w:pStyle w:val="1009"/>
        <w:rPr>
          <w:rFonts w:ascii="宋体" w:hAnsi="宋体" w:cs="Times New Roman"/>
          <w:highlight w:val="none"/>
        </w:rPr>
      </w:pPr>
      <w:r>
        <w:rPr>
          <w:rFonts w:ascii="宋体" w:hAnsi="宋体" w:cs="Times New Roman"/>
          <w:highlight w:val="none"/>
        </w:rPr>
      </w:r>
      <w:r>
        <w:rPr>
          <w:highlight w:val="none"/>
        </w:rPr>
      </w:r>
      <w:r/>
    </w:p>
    <w:p>
      <w:pPr>
        <w:rPr>
          <w:rFonts w:ascii="宋体" w:hAnsi="宋体" w:cs="Times New Roman"/>
          <w:highlight w:val="none"/>
        </w:rPr>
      </w:pPr>
      <w:r>
        <w:rPr>
          <w:rFonts w:ascii="宋体" w:hAnsi="宋体" w:cs="Times New Roman"/>
          <w:highlight w:val="none"/>
        </w:rPr>
      </w:r>
      <w:r>
        <w:rPr>
          <w:highlight w:val="none"/>
        </w:rPr>
      </w:r>
      <w:r/>
    </w:p>
    <w:p>
      <w:pPr>
        <w:pStyle w:val="1017"/>
        <w:rPr>
          <w:rFonts w:ascii="宋体" w:hAnsi="宋体"/>
          <w:highlight w:val="none"/>
        </w:rPr>
      </w:pPr>
      <w:r>
        <w:rPr>
          <w:rFonts w:ascii="宋体" w:hAnsi="宋体"/>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7"/>
        <w:ind w:firstLine="0"/>
        <w:rPr>
          <w:rFonts w:ascii="宋体" w:hAnsi="宋体"/>
          <w:highlight w:val="none"/>
        </w:rPr>
      </w:pPr>
      <w:r>
        <w:rPr>
          <w:rFonts w:ascii="宋体" w:hAnsi="宋体"/>
          <w:highlight w:val="none"/>
        </w:rPr>
      </w:r>
      <w:r>
        <w:rPr>
          <w:highlight w:val="none"/>
        </w:rPr>
      </w:r>
      <w:r/>
    </w:p>
    <w:p>
      <w:pPr>
        <w:pStyle w:val="1009"/>
        <w:rPr>
          <w:rFonts w:ascii="宋体" w:hAnsi="宋体" w:cs="Times New Roman"/>
          <w:highlight w:val="none"/>
        </w:rPr>
      </w:pPr>
      <w:r>
        <w:rPr>
          <w:rFonts w:ascii="宋体" w:hAnsi="宋体" w:cs="Times New Roman"/>
          <w:highlight w:val="none"/>
        </w:rPr>
      </w:r>
      <w:r>
        <w:rPr>
          <w:highlight w:val="none"/>
        </w:rPr>
      </w:r>
      <w:r/>
    </w:p>
    <w:p>
      <w:pPr>
        <w:ind w:left="0"/>
        <w:jc w:val="left"/>
        <w:rPr>
          <w:rFonts w:ascii="宋体" w:hAnsi="宋体"/>
          <w:b/>
          <w:sz w:val="21"/>
          <w:szCs w:val="21"/>
          <w:highlight w:val="none"/>
        </w:rPr>
        <w:outlineLvl w:val="0"/>
      </w:pPr>
      <w:r>
        <w:rPr>
          <w:highlight w:val="none"/>
        </w:rPr>
      </w:r>
      <w:bookmarkStart w:id="67"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67"/>
      <w:r>
        <w:rPr>
          <w:rFonts w:hint="eastAsia"/>
          <w:highlight w:val="none"/>
        </w:rPr>
        <w:t xml:space="preserve"> </w:t>
      </w:r>
      <w:r>
        <w:rPr>
          <w:rFonts w:hint="eastAsia" w:ascii="宋体" w:hAnsi="宋体"/>
          <w:b/>
          <w:sz w:val="21"/>
          <w:szCs w:val="21"/>
          <w:highlight w:val="none"/>
        </w:rPr>
        <w:t xml:space="preserve">技术参数响应及偏离表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rPr>
          <w:highlight w:val="non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rPr>
                <w:highlight w:val="none"/>
              </w:rPr>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rPr>
          <w:highlight w:val="none"/>
        </w:rPr>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highlight w:val="none"/>
        </w:rPr>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rPr>
          <w:highlight w:val="non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rPr>
                <w:highlight w:val="none"/>
              </w:rPr>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rPr>
          <w:highlight w:val="none"/>
        </w:rPr>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highlight w:val="none"/>
        </w:rPr>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left="0"/>
        <w:jc w:val="left"/>
        <w:rPr>
          <w:rFonts w:ascii="宋体" w:hAnsi="宋体"/>
          <w:b/>
          <w:sz w:val="21"/>
          <w:szCs w:val="21"/>
          <w:highlight w:val="none"/>
        </w:rPr>
        <w:outlineLvl w:val="0"/>
      </w:pPr>
      <w:r>
        <w:rPr>
          <w:highlight w:val="none"/>
        </w:rPr>
      </w:r>
      <w:bookmarkStart w:id="68" w:name="_Toc71810489"/>
      <w:r>
        <w:rPr>
          <w:highlight w:val="none"/>
        </w:rPr>
      </w:r>
      <w:bookmarkStart w:id="69" w:name="_Toc105397787"/>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68"/>
      <w:r>
        <w:rPr>
          <w:highlight w:val="none"/>
        </w:rPr>
      </w:r>
      <w:bookmarkEnd w:id="69"/>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rPr>
          <w:highlight w:val="none"/>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rPr>
          <w:highlight w:val="none"/>
        </w:rPr>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rPr>
          <w:highlight w:val="none"/>
        </w:rPr>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pStyle w:val="1017"/>
        <w:rPr>
          <w:rFonts w:ascii="宋体" w:hAnsi="宋体"/>
          <w:highlight w:val="none"/>
        </w:rPr>
      </w:pPr>
      <w:r>
        <w:rPr>
          <w:rFonts w:ascii="宋体" w:hAnsi="宋体"/>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rPr>
          <w:highlight w:val="none"/>
        </w:rPr>
      </w:pPr>
      <w:r>
        <w:rPr>
          <w:highlight w:val="none"/>
        </w:rPr>
      </w:r>
      <w:r>
        <w:rPr>
          <w:highlight w:val="none"/>
        </w:rPr>
      </w:r>
      <w:r/>
    </w:p>
    <w:p>
      <w:pPr>
        <w:pStyle w:val="1018"/>
        <w:rPr>
          <w:highlight w:val="none"/>
        </w:rPr>
      </w:pPr>
      <w:r>
        <w:rPr>
          <w:highlight w:val="none"/>
        </w:rPr>
      </w:r>
      <w:r>
        <w:rPr>
          <w:highlight w:val="none"/>
        </w:rPr>
      </w:r>
      <w:r/>
    </w:p>
    <w:p>
      <w:pPr>
        <w:pStyle w:val="1018"/>
        <w:rPr>
          <w:highlight w:val="none"/>
        </w:rPr>
      </w:pPr>
      <w:r>
        <w:rPr>
          <w:highlight w:val="none"/>
        </w:rPr>
      </w:r>
      <w:r>
        <w:rPr>
          <w:highlight w:val="none"/>
        </w:rPr>
      </w:r>
      <w:r/>
    </w:p>
    <w:p>
      <w:pPr>
        <w:pStyle w:val="1009"/>
        <w:rPr>
          <w:rFonts w:ascii="宋体" w:hAnsi="宋体" w:cs="Times New Roman"/>
          <w:highlight w:val="none"/>
        </w:rPr>
      </w:pPr>
      <w:r>
        <w:rPr>
          <w:rFonts w:ascii="宋体" w:hAnsi="宋体" w:cs="Times New Roman"/>
          <w:highlight w:val="none"/>
        </w:rPr>
      </w:r>
      <w:r>
        <w:rPr>
          <w:highlight w:val="none"/>
        </w:rPr>
      </w:r>
      <w:r/>
    </w:p>
    <w:p>
      <w:pPr>
        <w:rPr>
          <w:rFonts w:ascii="宋体" w:hAnsi="宋体" w:cs="Times New Roman"/>
          <w:highlight w:val="none"/>
        </w:rPr>
      </w:pPr>
      <w:r>
        <w:rPr>
          <w:rFonts w:ascii="宋体" w:hAnsi="宋体" w:cs="Times New Roman"/>
          <w:highlight w:val="none"/>
        </w:rPr>
      </w:r>
      <w:r>
        <w:rPr>
          <w:highlight w:val="none"/>
        </w:rPr>
      </w:r>
      <w:r/>
    </w:p>
    <w:p>
      <w:pPr>
        <w:rPr>
          <w:rFonts w:ascii="宋体" w:hAnsi="宋体"/>
          <w:highlight w:val="none"/>
        </w:rPr>
      </w:pPr>
      <w:r>
        <w:rPr>
          <w:highlight w:val="none"/>
        </w:rPr>
      </w:r>
      <w:bookmarkStart w:id="70" w:name="_Toc71810490"/>
      <w:r>
        <w:rPr>
          <w:highlight w:val="none"/>
        </w:rPr>
      </w:r>
      <w:bookmarkEnd w:id="65"/>
      <w:r>
        <w:rPr>
          <w:highlight w:val="none"/>
        </w:rPr>
      </w:r>
      <w:bookmarkEnd w:id="66"/>
      <w:r>
        <w:rPr>
          <w:rFonts w:ascii="宋体" w:hAnsi="宋体"/>
          <w:highlight w:val="none"/>
        </w:rPr>
        <w:t xml:space="preserve"> </w:t>
      </w:r>
      <w:r>
        <w:rPr>
          <w:highlight w:val="none"/>
        </w:rPr>
      </w:r>
      <w:r/>
    </w:p>
    <w:p>
      <w:pPr>
        <w:pStyle w:val="1009"/>
        <w:rPr>
          <w:rFonts w:ascii="宋体" w:hAnsi="宋体" w:cs="Times New Roman"/>
          <w:highlight w:val="none"/>
        </w:rPr>
      </w:pPr>
      <w:r>
        <w:rPr>
          <w:rFonts w:ascii="宋体" w:hAnsi="宋体" w:cs="Times New Roman"/>
          <w:highlight w:val="none"/>
        </w:rPr>
      </w:r>
      <w:r>
        <w:rPr>
          <w:highlight w:val="none"/>
        </w:rPr>
      </w:r>
      <w:r/>
    </w:p>
    <w:p>
      <w:pPr>
        <w:ind w:left="0"/>
        <w:jc w:val="left"/>
        <w:rPr>
          <w:rFonts w:ascii="宋体" w:hAnsi="宋体"/>
          <w:b/>
          <w:sz w:val="21"/>
          <w:szCs w:val="21"/>
          <w:highlight w:val="none"/>
        </w:rPr>
        <w:outlineLvl w:val="0"/>
      </w:pPr>
      <w:r>
        <w:rPr>
          <w:highlight w:val="none"/>
        </w:rPr>
      </w:r>
      <w:bookmarkStart w:id="71"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70"/>
      <w:r>
        <w:rPr>
          <w:highlight w:val="none"/>
        </w:rPr>
      </w:r>
      <w:bookmarkEnd w:id="71"/>
      <w:r>
        <w:rPr>
          <w:highlight w:val="none"/>
        </w:rPr>
      </w:r>
      <w:r/>
    </w:p>
    <w:p>
      <w:pPr>
        <w:ind w:left="0" w:firstLine="420"/>
        <w:jc w:val="center"/>
        <w:rPr>
          <w:rFonts w:ascii="宋体" w:hAnsi="宋体"/>
          <w:b/>
          <w:sz w:val="21"/>
          <w:szCs w:val="21"/>
          <w:highlight w:val="none"/>
        </w:rPr>
      </w:pPr>
      <w:r>
        <w:rPr>
          <w:rFonts w:ascii="宋体" w:hAnsi="宋体"/>
          <w:b/>
          <w:sz w:val="21"/>
          <w:szCs w:val="21"/>
          <w:highlight w:val="none"/>
        </w:rPr>
      </w:r>
      <w:r>
        <w:rPr>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rPr>
          <w:highlight w:val="none"/>
        </w:rPr>
      </w:r>
      <w:r/>
    </w:p>
    <w:p>
      <w:pPr>
        <w:ind w:left="0" w:firstLine="420"/>
        <w:jc w:val="center"/>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rPr>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rPr>
          <w:highlight w:val="none"/>
        </w:rPr>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rPr>
          <w:highlight w:val="none"/>
        </w:rPr>
      </w:r>
      <w:r/>
    </w:p>
    <w:p>
      <w:pPr>
        <w:ind w:left="0"/>
        <w:jc w:val="center"/>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关于</w:t>
      </w:r>
      <w:r>
        <w:rPr>
          <w:rFonts w:hint="eastAsia" w:ascii="宋体" w:hAnsi="宋体"/>
          <w:b/>
          <w:color w:val="000000" w:themeColor="text1"/>
          <w:sz w:val="21"/>
          <w:szCs w:val="21"/>
          <w:highlight w:val="none"/>
        </w:rPr>
        <w:t xml:space="preserve">投标报价合理性</w:t>
      </w:r>
      <w:r>
        <w:rPr>
          <w:rFonts w:ascii="宋体" w:hAnsi="宋体"/>
          <w:b/>
          <w:color w:val="000000" w:themeColor="text1"/>
          <w:sz w:val="21"/>
          <w:szCs w:val="21"/>
          <w:highlight w:val="none"/>
        </w:rPr>
        <w:t xml:space="preserve">的</w:t>
      </w:r>
      <w:r>
        <w:rPr>
          <w:rFonts w:hint="eastAsia" w:ascii="宋体" w:hAnsi="宋体"/>
          <w:b/>
          <w:color w:val="000000" w:themeColor="text1"/>
          <w:sz w:val="21"/>
          <w:szCs w:val="21"/>
          <w:highlight w:val="none"/>
        </w:rPr>
        <w:t xml:space="preserve">澄清说明</w:t>
      </w:r>
      <w:r>
        <w:rPr>
          <w:highlight w:val="none"/>
        </w:rPr>
      </w:r>
      <w:r/>
    </w:p>
    <w:p>
      <w:pPr>
        <w:ind w:left="0"/>
        <w:jc w:val="left"/>
        <w:spacing w:line="360" w:lineRule="auto"/>
        <w:rPr>
          <w:rFonts w:ascii="宋体" w:hAnsi="宋体"/>
          <w:color w:val="000000" w:themeColor="text1"/>
          <w:sz w:val="21"/>
          <w:szCs w:val="21"/>
          <w:highlight w:val="none"/>
          <w:u w:val="single"/>
        </w:rPr>
      </w:pPr>
      <w:r>
        <w:rPr>
          <w:rFonts w:ascii="宋体" w:hAnsi="宋体"/>
          <w:color w:val="000000" w:themeColor="text1"/>
          <w:sz w:val="21"/>
          <w:szCs w:val="21"/>
          <w:highlight w:val="none"/>
          <w:u w:val="single"/>
        </w:rPr>
      </w:r>
      <w:r>
        <w:rPr>
          <w:highlight w:val="none"/>
        </w:rPr>
      </w:r>
      <w:r/>
    </w:p>
    <w:p>
      <w:pPr>
        <w:ind w:left="0"/>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u w:val="single"/>
        </w:rPr>
        <w:t xml:space="preserve">苏州市政府集中采购中心</w:t>
      </w:r>
      <w:r>
        <w:rPr>
          <w:rFonts w:ascii="宋体" w:hAnsi="宋体"/>
          <w:color w:val="000000" w:themeColor="text1"/>
          <w:sz w:val="21"/>
          <w:szCs w:val="21"/>
          <w:highlight w:val="none"/>
        </w:rPr>
        <w:t xml:space="preserve">：</w:t>
      </w:r>
      <w:r>
        <w:rPr>
          <w:highlight w:val="none"/>
        </w:rPr>
      </w:r>
      <w:r/>
    </w:p>
    <w:p>
      <w:pPr>
        <w:pStyle w:val="1018"/>
        <w:ind w:left="0" w:firstLine="420"/>
        <w:spacing w:line="360" w:lineRule="auto"/>
        <w:rPr>
          <w:rFonts w:ascii="宋体" w:hAnsi="宋体" w:cs="宋体"/>
          <w:color w:val="000000" w:themeColor="text1"/>
          <w:sz w:val="21"/>
          <w:szCs w:val="21"/>
          <w:highlight w:val="none"/>
        </w:rPr>
      </w:pPr>
      <w:r>
        <w:rPr>
          <w:rFonts w:ascii="宋体" w:hAnsi="宋体"/>
          <w:color w:val="000000" w:themeColor="text1"/>
          <w:sz w:val="21"/>
          <w:szCs w:val="21"/>
          <w:highlight w:val="none"/>
        </w:rPr>
        <w:t xml:space="preserve">本公司愿就由贵</w:t>
      </w:r>
      <w:r>
        <w:rPr>
          <w:rFonts w:hint="eastAsia" w:ascii="宋体" w:hAnsi="宋体"/>
          <w:color w:val="000000" w:themeColor="text1"/>
          <w:sz w:val="21"/>
          <w:szCs w:val="21"/>
          <w:highlight w:val="none"/>
        </w:rPr>
        <w:t xml:space="preserve">中心</w:t>
      </w:r>
      <w:r>
        <w:rPr>
          <w:rFonts w:ascii="宋体" w:hAnsi="宋体"/>
          <w:color w:val="000000" w:themeColor="text1"/>
          <w:sz w:val="21"/>
          <w:szCs w:val="21"/>
          <w:highlight w:val="none"/>
        </w:rPr>
        <w:t xml:space="preserve">组织实施的编号为</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号（</w:t>
      </w:r>
      <w:r>
        <w:rPr>
          <w:rFonts w:hint="eastAsia" w:ascii="宋体" w:hAnsi="宋体"/>
          <w:color w:val="000000" w:themeColor="text1"/>
          <w:sz w:val="21"/>
          <w:szCs w:val="21"/>
          <w:highlight w:val="none"/>
        </w:rPr>
        <w:t xml:space="preserve">项目</w:t>
      </w:r>
      <w:r>
        <w:rPr>
          <w:rFonts w:ascii="宋体" w:hAnsi="宋体"/>
          <w:color w:val="000000" w:themeColor="text1"/>
          <w:sz w:val="21"/>
          <w:szCs w:val="21"/>
          <w:highlight w:val="none"/>
        </w:rPr>
        <w:t xml:space="preserve">编号）的招标活动进行投标</w:t>
      </w:r>
      <w:r>
        <w:rPr>
          <w:rFonts w:hint="eastAsia" w:ascii="宋体" w:hAnsi="宋体"/>
          <w:color w:val="000000" w:themeColor="text1"/>
          <w:sz w:val="21"/>
          <w:szCs w:val="21"/>
          <w:highlight w:val="none"/>
        </w:rPr>
        <w:t xml:space="preserve">，对于本公司的投标报价合理性作出说明如下：</w:t>
      </w:r>
      <w:r>
        <w:rPr>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rPr>
                <w:highlight w:val="none"/>
              </w:rPr>
            </w:r>
            <w:r/>
          </w:p>
        </w:tc>
      </w:tr>
    </w:tbl>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highlight w:val="none"/>
        </w:rPr>
      </w: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highlight w:val="none"/>
        </w:rPr>
      </w: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highlight w:val="none"/>
        </w:rPr>
      </w: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highlight w:val="none"/>
        </w:rPr>
      </w: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highlight w:val="none"/>
        </w:rPr>
      </w:r>
      <w:r/>
    </w:p>
    <w:p>
      <w:pPr>
        <w:ind w:firstLine="4830"/>
        <w:jc w:val="left"/>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日期: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highlight w:val="none"/>
        </w:rPr>
      </w:r>
      <w:r/>
    </w:p>
    <w:p>
      <w:pPr>
        <w:ind w:left="0"/>
        <w:rPr>
          <w:rFonts w:ascii="Times New Roman" w:hAnsi="Times New Roman" w:cs="Times New Roman"/>
          <w:highlight w:val="none"/>
        </w:rPr>
      </w:pPr>
      <w:r>
        <w:rPr>
          <w:rFonts w:ascii="Times New Roman" w:hAnsi="Times New Roman" w:cs="Times New Roman"/>
          <w:highlight w:val="none"/>
          <w:lang w:val="zh-CN"/>
        </w:rPr>
      </w:r>
      <w:r>
        <w:rPr>
          <w:highlight w:val="none"/>
        </w:rPr>
      </w:r>
      <w:r/>
    </w:p>
    <w:p>
      <w:pPr>
        <w:pStyle w:val="1018"/>
        <w:rPr>
          <w:highlight w:val="none"/>
        </w:rPr>
      </w:pPr>
      <w:r>
        <w:rPr>
          <w:highlight w:val="none"/>
          <w:lang w:val="zh-CN"/>
        </w:rPr>
      </w:r>
      <w:r>
        <w:rPr>
          <w:highlight w:val="none"/>
        </w:rPr>
      </w:r>
      <w:r/>
    </w:p>
    <w:p>
      <w:pPr>
        <w:rPr>
          <w:highlight w:val="none"/>
        </w:rPr>
      </w:pPr>
      <w:r>
        <w:rPr>
          <w:highlight w:val="none"/>
          <w:lang w:val="zh-CN"/>
        </w:rPr>
      </w:r>
      <w:r>
        <w:rPr>
          <w:highlight w:val="none"/>
        </w:rPr>
      </w:r>
      <w:r/>
    </w:p>
    <w:p>
      <w:pPr>
        <w:pStyle w:val="1018"/>
        <w:rPr>
          <w:highlight w:val="none"/>
        </w:rPr>
      </w:pPr>
      <w:r>
        <w:rPr>
          <w:highlight w:val="none"/>
          <w:lang w:val="zh-CN"/>
        </w:rPr>
      </w:r>
      <w:r>
        <w:rPr>
          <w:highlight w:val="none"/>
        </w:rPr>
      </w:r>
      <w:r/>
    </w:p>
    <w:p>
      <w:pPr>
        <w:pStyle w:val="991"/>
        <w:ind w:left="0" w:firstLine="0"/>
        <w:jc w:val="center"/>
        <w:rPr>
          <w:rFonts w:ascii="宋体" w:hAnsi="宋体"/>
          <w:b/>
          <w:sz w:val="44"/>
          <w:szCs w:val="22"/>
          <w:highlight w:val="none"/>
        </w:rPr>
      </w:pPr>
      <w:r>
        <w:rPr>
          <w:highlight w:val="none"/>
        </w:rPr>
      </w:r>
      <w:bookmarkStart w:id="72" w:name="_Toc105397793"/>
      <w:r>
        <w:rPr>
          <w:highlight w:val="none"/>
        </w:rPr>
      </w:r>
      <w:bookmarkStart w:id="73" w:name="_Toc23660"/>
      <w:r>
        <w:rPr>
          <w:highlight w:val="none"/>
        </w:rPr>
      </w:r>
      <w:bookmarkStart w:id="74" w:name="_Toc4098"/>
      <w:r>
        <w:rPr>
          <w:rFonts w:hint="eastAsia" w:ascii="宋体" w:hAnsi="宋体"/>
          <w:b/>
          <w:sz w:val="44"/>
          <w:szCs w:val="22"/>
          <w:highlight w:val="none"/>
        </w:rPr>
        <w:t xml:space="preserve">第四章  </w:t>
      </w:r>
      <w:bookmarkStart w:id="75" w:name="招标书"/>
      <w:r>
        <w:rPr>
          <w:highlight w:val="none"/>
        </w:rPr>
      </w:r>
      <w:bookmarkEnd w:id="75"/>
      <w:r>
        <w:rPr>
          <w:rFonts w:hint="eastAsia" w:ascii="宋体" w:hAnsi="宋体"/>
          <w:b/>
          <w:sz w:val="44"/>
          <w:szCs w:val="22"/>
          <w:highlight w:val="none"/>
        </w:rPr>
        <w:t xml:space="preserve">招标书</w:t>
      </w:r>
      <w:bookmarkEnd w:id="72"/>
      <w:r>
        <w:rPr>
          <w:highlight w:val="none"/>
        </w:rPr>
      </w:r>
      <w:bookmarkEnd w:id="73"/>
      <w:r>
        <w:rPr>
          <w:highlight w:val="none"/>
        </w:rPr>
      </w:r>
      <w:bookmarkEnd w:id="74"/>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苏州市立医院本部 </w:t>
      </w:r>
      <w:r>
        <w:rPr>
          <w:rFonts w:ascii="宋体" w:hAnsi="宋体"/>
          <w:sz w:val="21"/>
          <w:highlight w:val="none"/>
        </w:rPr>
        <w:t xml:space="preserve">的委托，就</w:t>
      </w:r>
      <w:r>
        <w:rPr>
          <w:rFonts w:hint="eastAsia" w:ascii="宋体" w:hAnsi="宋体"/>
          <w:sz w:val="21"/>
          <w:highlight w:val="none"/>
          <w:u w:val="single"/>
        </w:rPr>
        <w:t xml:space="preserve"> 苏州市立医院台式计算机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w:t>
      </w:r>
      <w:r>
        <w:rPr>
          <w:rFonts w:hint="eastAsia" w:ascii="宋体" w:hAnsi="宋体" w:cs="Times New Roman"/>
          <w:sz w:val="21"/>
          <w:szCs w:val="21"/>
          <w:highlight w:val="none"/>
        </w:rPr>
        <w:t xml:space="preserve">JSZC-320500-JZCG-G2025-0224</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二、项目名称：苏州市立医院台式计算机</w:t>
      </w:r>
      <w:r>
        <w:rPr>
          <w:highlight w:val="none"/>
        </w:rPr>
      </w:r>
      <w:r/>
    </w:p>
    <w:p>
      <w:pPr>
        <w:pStyle w:val="1009"/>
        <w:ind w:left="0" w:firstLine="420"/>
        <w:spacing w:line="360" w:lineRule="auto"/>
        <w:rPr>
          <w:rFonts w:ascii="宋体" w:hAnsi="宋体"/>
          <w:sz w:val="21"/>
          <w:szCs w:val="21"/>
          <w:highlight w:val="none"/>
        </w:rPr>
      </w:pPr>
      <w:r>
        <w:rPr>
          <w:rFonts w:hint="eastAsia" w:ascii="宋体" w:hAnsi="宋体"/>
          <w:sz w:val="21"/>
          <w:highlight w:val="none"/>
        </w:rPr>
        <w:t xml:space="preserve">三、预算金额：</w:t>
      </w:r>
      <w:r>
        <w:rPr>
          <w:rFonts w:hint="eastAsia" w:ascii="宋体" w:hAnsi="宋体"/>
          <w:sz w:val="21"/>
          <w:szCs w:val="21"/>
          <w:highlight w:val="none"/>
        </w:rPr>
        <w:t xml:space="preserve">人民币壹佰伍拾万元整（￥1500000.00）</w:t>
      </w:r>
      <w:r>
        <w:rPr>
          <w:rFonts w:ascii="宋体" w:hAnsi="宋体"/>
          <w:sz w:val="21"/>
          <w:szCs w:val="21"/>
          <w:highlight w:val="none"/>
        </w:rPr>
        <w:t xml:space="preserve"> </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四、最高限价：</w:t>
      </w:r>
      <w:r>
        <w:rPr>
          <w:rFonts w:hint="eastAsia" w:ascii="宋体" w:hAnsi="宋体"/>
          <w:sz w:val="21"/>
          <w:szCs w:val="21"/>
          <w:highlight w:val="none"/>
        </w:rPr>
        <w:t xml:space="preserve">人民币壹佰伍拾万元整（￥1500000.00）</w:t>
      </w:r>
      <w:r>
        <w:rPr>
          <w:highlight w:val="none"/>
        </w:rPr>
      </w:r>
      <w:r/>
    </w:p>
    <w:p>
      <w:pPr>
        <w:pStyle w:val="1009"/>
        <w:ind w:left="0" w:firstLine="420"/>
        <w:spacing w:line="360" w:lineRule="auto"/>
        <w:rPr>
          <w:rFonts w:ascii="宋体" w:hAnsi="宋体"/>
          <w:color w:val="ff0000"/>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在合同生效后，供应商需在交付后7日内完成产品的软硬件安装与调试。产品交付并安装和调试后，由使用单位和供应商对产品（包括软硬件）共同验收。原厂质保，上门服务，质保期3年(含易损件)。 </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（一）采购清单</w:t>
      </w:r>
      <w:r>
        <w:rPr>
          <w:highlight w:val="none"/>
        </w:rPr>
      </w:r>
      <w:r/>
    </w:p>
    <w:tbl>
      <w:tblPr>
        <w:tblpPr w:horzAnchor="margin" w:tblpXSpec="center" w:vertAnchor="text" w:tblpY="184" w:leftFromText="180" w:topFromText="0" w:rightFromText="180" w:bottomFromText="0"/>
        <w:tblW w:w="9098" w:type="dxa"/>
        <w:tblLook w:val="04A0" w:firstRow="1" w:lastRow="0" w:firstColumn="1" w:lastColumn="0" w:noHBand="0" w:noVBand="1"/>
      </w:tblPr>
      <w:tblGrid>
        <w:gridCol w:w="2077"/>
        <w:gridCol w:w="2981"/>
        <w:gridCol w:w="1134"/>
        <w:gridCol w:w="851"/>
        <w:gridCol w:w="2055"/>
      </w:tblGrid>
      <w:tr>
        <w:trPr>
          <w:trHeight w:val="600"/>
        </w:trPr>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序号</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货物名称</w:t>
            </w:r>
            <w:r>
              <w:rPr>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数量</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单位</w:t>
            </w:r>
            <w:r>
              <w:rPr>
                <w:highlight w:val="none"/>
              </w:rPr>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ind w:left="0"/>
              <w:jc w:val="center"/>
              <w:widowControl w:val="off"/>
              <w:rPr>
                <w:rFonts w:ascii="宋体" w:hAnsi="宋体" w:cs="Times New Roman"/>
                <w:b/>
                <w:sz w:val="21"/>
                <w:szCs w:val="21"/>
                <w:highlight w:val="none"/>
              </w:rPr>
            </w:pPr>
            <w:r>
              <w:rPr>
                <w:rFonts w:hint="eastAsia" w:ascii="宋体" w:hAnsi="宋体" w:cs="Times New Roman"/>
                <w:b/>
                <w:sz w:val="21"/>
                <w:szCs w:val="21"/>
                <w:highlight w:val="none"/>
              </w:rPr>
              <w:t xml:space="preserve">单价最高限价（元）</w:t>
            </w:r>
            <w:r>
              <w:rPr>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分体式</w:t>
            </w:r>
            <w:bookmarkStart w:id="76" w:name="OLE_LINK2"/>
            <w:r>
              <w:rPr>
                <w:highlight w:val="none"/>
              </w:rPr>
            </w:r>
            <w:bookmarkStart w:id="77" w:name="OLE_LINK1"/>
            <w:r>
              <w:rPr>
                <w:rFonts w:hint="eastAsia" w:ascii="宋体" w:hAnsi="宋体" w:cs="Times New Roman"/>
                <w:sz w:val="21"/>
                <w:szCs w:val="21"/>
                <w:highlight w:val="none"/>
              </w:rPr>
              <w:t xml:space="preserve">台式计算机</w:t>
            </w:r>
            <w:bookmarkEnd w:id="76"/>
            <w:r>
              <w:rPr>
                <w:highlight w:val="none"/>
              </w:rPr>
            </w:r>
            <w:bookmarkEnd w:id="77"/>
            <w:r>
              <w:rPr>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300</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套</w:t>
            </w:r>
            <w:r>
              <w:rPr>
                <w:highlight w:val="none"/>
              </w:rPr>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5000</w:t>
            </w:r>
            <w:r>
              <w:rPr>
                <w:rFonts w:ascii="宋体" w:hAnsi="宋体" w:cs="Times New Roman"/>
                <w:sz w:val="21"/>
                <w:szCs w:val="21"/>
                <w:highlight w:val="none"/>
              </w:rPr>
              <w:t xml:space="preserve">.00</w:t>
            </w:r>
            <w:r>
              <w:rPr>
                <w:highlight w:val="none"/>
              </w:rPr>
            </w:r>
            <w:r/>
          </w:p>
        </w:tc>
      </w:tr>
    </w:tbl>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（二）详细参数</w:t>
      </w:r>
      <w:r>
        <w:rPr>
          <w:highlight w:val="none"/>
        </w:rPr>
      </w:r>
      <w:r/>
    </w:p>
    <w:tbl>
      <w:tblPr>
        <w:tblW w:w="9243" w:type="dxa"/>
        <w:jc w:val="center"/>
        <w:tblLayout w:type="fixed"/>
        <w:tblLook w:val="04A0" w:firstRow="1" w:lastRow="0" w:firstColumn="1" w:lastColumn="0" w:noHBand="0" w:noVBand="1"/>
      </w:tblPr>
      <w:tblGrid>
        <w:gridCol w:w="2377"/>
        <w:gridCol w:w="6866"/>
      </w:tblGrid>
      <w:tr>
        <w:trPr>
          <w:jc w:val="center"/>
          <w:trHeight w:val="270"/>
        </w:trPr>
        <w:tc>
          <w:tcPr>
            <w:tcBorders>
              <w:top w:val="single" w:color="000000" w:sz="4" w:space="0"/>
              <w:left w:val="single" w:color="000000" w:sz="4" w:space="0"/>
              <w:bottom w:val="none" w:color="000000" w:sz="4" w:space="0"/>
              <w:right w:val="single" w:color="000000" w:sz="4" w:space="0"/>
            </w:tcBorders>
            <w:tcW w:w="2377" w:type="dxa"/>
            <w:vAlign w:val="center"/>
            <w:textDirection w:val="lrTb"/>
            <w:noWrap w:val="false"/>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rPr>
              <w:t xml:space="preserve">指标项</w:t>
            </w:r>
            <w:r>
              <w:rPr>
                <w:highlight w:val="none"/>
              </w:rPr>
            </w:r>
            <w:r/>
          </w:p>
        </w:tc>
        <w:tc>
          <w:tcPr>
            <w:tcBorders>
              <w:top w:val="single" w:color="000000" w:sz="4" w:space="0"/>
              <w:left w:val="single" w:color="000000" w:sz="4" w:space="0"/>
              <w:bottom w:val="none" w:color="000000" w:sz="4" w:space="0"/>
              <w:right w:val="single" w:color="000000" w:sz="4" w:space="0"/>
            </w:tcBorders>
            <w:tcW w:w="6866" w:type="dxa"/>
            <w:vAlign w:val="center"/>
            <w:textDirection w:val="lrTb"/>
            <w:noWrap w:val="false"/>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rPr>
              <w:t xml:space="preserve">技术规格要求</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机箱</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为节省空间，选用塔式机箱，要求机箱尺寸：≤1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L；</w:t>
            </w:r>
            <w:r>
              <w:rPr>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处理器</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处理器采用板载设计，配置1</w:t>
            </w:r>
            <w:r>
              <w:rPr>
                <w:rFonts w:hint="eastAsia" w:ascii="宋体" w:hAnsi="宋体"/>
                <w:color w:val="000000"/>
                <w:sz w:val="21"/>
                <w:szCs w:val="21"/>
                <w:highlight w:val="none"/>
              </w:rPr>
              <w:t xml:space="preserve">颗国产CPU，每</w:t>
            </w:r>
            <w:r>
              <w:rPr>
                <w:rFonts w:hint="eastAsia" w:ascii="宋体" w:hAnsi="宋体"/>
                <w:color w:val="000000"/>
                <w:sz w:val="21"/>
                <w:szCs w:val="21"/>
                <w:highlight w:val="none"/>
              </w:rPr>
              <w:t xml:space="preserve">颗CPU物理核心数≥4核，每个物理核心主频≥3.0GHz，每颗CPU三级缓存≥8MB，支持超线程技术，线程数量≥8，TDP≤35W；</w:t>
            </w:r>
            <w:r>
              <w:rPr>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内存</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★实际配置8GB DDR4 3200MHz UDIMM*</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内存，板载配置≥4个内存插槽，最大支持单条64GB内存，最大可支持256GB内存容量；</w:t>
            </w:r>
            <w:r>
              <w:rPr>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硬盘</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widowControl w:val="off"/>
              <w:rPr>
                <w:rFonts w:ascii="宋体" w:hAnsi="宋体"/>
                <w:color w:val="000000"/>
                <w:sz w:val="21"/>
                <w:szCs w:val="21"/>
                <w:highlight w:val="none"/>
              </w:rPr>
            </w:pPr>
            <w:r>
              <w:rPr>
                <w:rFonts w:hint="eastAsia" w:ascii="宋体" w:hAnsi="宋体"/>
                <w:color w:val="000000"/>
                <w:sz w:val="21"/>
                <w:szCs w:val="21"/>
                <w:highlight w:val="none"/>
              </w:rPr>
              <w:t xml:space="preserve">实际配置1块256GB Nvme M.2 SSD硬盘+1块1TB HDD 7.2K机械硬盘；最大扩展1个2.5寸、1个3.5寸 硬盘、1个M.2 SSD；</w:t>
            </w:r>
            <w:r>
              <w:rPr>
                <w:rFonts w:hint="eastAsia" w:ascii="Times New Roman" w:hAnsi="Times New Roman" w:cs="Times New Roman"/>
                <w:sz w:val="21"/>
                <w:szCs w:val="22"/>
                <w:highlight w:val="none"/>
              </w:rPr>
              <w:t xml:space="preserve">主板集成</w:t>
            </w:r>
            <w:r>
              <w:rPr>
                <w:rFonts w:hint="eastAsia" w:ascii="Times New Roman" w:hAnsi="Times New Roman" w:cs="Times New Roman"/>
                <w:sz w:val="21"/>
                <w:szCs w:val="22"/>
                <w:highlight w:val="none"/>
              </w:rPr>
              <w:t xml:space="preserve">1</w:t>
            </w:r>
            <w:r>
              <w:rPr>
                <w:rFonts w:hint="eastAsia" w:ascii="Times New Roman" w:hAnsi="Times New Roman" w:cs="Times New Roman"/>
                <w:sz w:val="21"/>
                <w:szCs w:val="22"/>
                <w:highlight w:val="none"/>
              </w:rPr>
              <w:t xml:space="preserve">个</w:t>
            </w:r>
            <w:r>
              <w:rPr>
                <w:rFonts w:hint="eastAsia" w:ascii="宋体" w:hAnsi="宋体"/>
                <w:color w:val="000000"/>
                <w:sz w:val="21"/>
                <w:szCs w:val="21"/>
                <w:highlight w:val="none"/>
              </w:rPr>
              <w:t xml:space="preserve">PCIe/STATA M.2</w:t>
            </w:r>
            <w:r>
              <w:rPr>
                <w:rFonts w:hint="eastAsia" w:ascii="Times New Roman" w:hAnsi="Times New Roman" w:cs="Times New Roman"/>
                <w:sz w:val="21"/>
                <w:szCs w:val="22"/>
                <w:highlight w:val="none"/>
              </w:rPr>
              <w:t xml:space="preserve">接口；</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360"/>
              <w:rPr>
                <w:rFonts w:ascii="宋体" w:hAnsi="宋体"/>
                <w:color w:val="000000"/>
                <w:sz w:val="21"/>
                <w:szCs w:val="21"/>
                <w:highlight w:val="none"/>
              </w:rPr>
            </w:pPr>
            <w:r>
              <w:rPr>
                <w:rFonts w:hint="eastAsia" w:ascii="宋体" w:hAnsi="宋体"/>
                <w:color w:val="000000"/>
                <w:sz w:val="21"/>
                <w:szCs w:val="21"/>
                <w:highlight w:val="none"/>
              </w:rPr>
              <w:t xml:space="preserve">PCI-E扩展</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widowControl w:val="off"/>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Times New Roman" w:hAnsi="Times New Roman" w:cs="Times New Roman"/>
                <w:sz w:val="21"/>
                <w:szCs w:val="22"/>
                <w:highlight w:val="none"/>
              </w:rPr>
              <w:t xml:space="preserve">主板板载</w:t>
            </w:r>
            <w:r>
              <w:rPr>
                <w:rFonts w:hint="eastAsia" w:ascii="Times New Roman" w:hAnsi="Times New Roman" w:cs="Times New Roman"/>
                <w:sz w:val="21"/>
                <w:szCs w:val="22"/>
                <w:highlight w:val="none"/>
              </w:rPr>
              <w:t xml:space="preserve">4</w:t>
            </w:r>
            <w:r>
              <w:rPr>
                <w:rFonts w:hint="eastAsia" w:ascii="Times New Roman" w:hAnsi="Times New Roman" w:cs="Times New Roman"/>
                <w:sz w:val="21"/>
                <w:szCs w:val="22"/>
                <w:highlight w:val="none"/>
              </w:rPr>
              <w:t xml:space="preserve">个</w:t>
            </w:r>
            <w:r>
              <w:rPr>
                <w:rFonts w:hint="eastAsia" w:ascii="宋体" w:hAnsi="宋体"/>
                <w:color w:val="000000"/>
                <w:sz w:val="21"/>
                <w:szCs w:val="21"/>
                <w:highlight w:val="none"/>
              </w:rPr>
              <w:t xml:space="preserve">PCI-E</w:t>
            </w:r>
            <w:r>
              <w:rPr>
                <w:rFonts w:hint="eastAsia" w:ascii="Times New Roman" w:hAnsi="Times New Roman" w:cs="Times New Roman"/>
                <w:sz w:val="21"/>
                <w:szCs w:val="22"/>
                <w:highlight w:val="none"/>
              </w:rPr>
              <w:t xml:space="preserve">插槽（不少</w:t>
            </w:r>
            <w:r>
              <w:rPr>
                <w:rFonts w:hint="eastAsia" w:ascii="Times New Roman" w:hAnsi="Times New Roman" w:cs="Times New Roman"/>
                <w:sz w:val="21"/>
                <w:szCs w:val="22"/>
                <w:highlight w:val="none"/>
              </w:rPr>
              <w:t xml:space="preserve">2</w:t>
            </w:r>
            <w:r>
              <w:rPr>
                <w:rFonts w:hint="eastAsia" w:ascii="Times New Roman" w:hAnsi="Times New Roman" w:cs="Times New Roman"/>
                <w:sz w:val="21"/>
                <w:szCs w:val="22"/>
                <w:highlight w:val="none"/>
              </w:rPr>
              <w:t xml:space="preserve">个</w:t>
            </w:r>
            <w:r>
              <w:rPr>
                <w:rFonts w:hint="eastAsia" w:ascii="宋体" w:hAnsi="宋体"/>
                <w:color w:val="000000"/>
                <w:sz w:val="21"/>
                <w:szCs w:val="21"/>
                <w:highlight w:val="none"/>
              </w:rPr>
              <w:t xml:space="preserve">PCI-E3.0×16、1个PCI-E3.0×8、1个PCI-E3.0×1</w:t>
            </w:r>
            <w:r>
              <w:rPr>
                <w:rFonts w:hint="eastAsia" w:ascii="Times New Roman" w:hAnsi="Times New Roman" w:cs="Times New Roman"/>
                <w:sz w:val="21"/>
                <w:szCs w:val="22"/>
                <w:highlight w:val="none"/>
              </w:rPr>
              <w:t xml:space="preserve">）；</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显卡</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标配独立显卡，显存≥2GB；</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有线网卡</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板载单口千兆网卡，1000/100M/10M自适应；</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无线网卡</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板载1个M.2 WIFI接口，支持wifi6无线网卡选配；网卡支持内置天线；支持蓝牙模块；</w:t>
            </w:r>
            <w:r>
              <w:rPr>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接口</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widowControl w:val="off"/>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提供10个USB接口，6个USB3.0，4个USB2.0，1个串口，</w:t>
            </w:r>
            <w:r>
              <w:rPr>
                <w:rFonts w:hint="eastAsia" w:ascii="Times New Roman" w:hAnsi="Times New Roman" w:cs="Times New Roman"/>
                <w:sz w:val="21"/>
                <w:szCs w:val="22"/>
                <w:highlight w:val="none"/>
              </w:rPr>
              <w:t xml:space="preserve">1</w:t>
            </w:r>
            <w:r>
              <w:rPr>
                <w:rFonts w:hint="eastAsia" w:ascii="Times New Roman" w:hAnsi="Times New Roman" w:cs="Times New Roman"/>
                <w:sz w:val="21"/>
                <w:szCs w:val="22"/>
                <w:highlight w:val="none"/>
              </w:rPr>
              <w:t xml:space="preserve">组音频接口（其中不少于</w:t>
            </w:r>
            <w:r>
              <w:rPr>
                <w:rFonts w:hint="eastAsia" w:ascii="Times New Roman" w:hAnsi="Times New Roman" w:cs="Times New Roman"/>
                <w:sz w:val="21"/>
                <w:szCs w:val="22"/>
                <w:highlight w:val="none"/>
              </w:rPr>
              <w:t xml:space="preserve">1</w:t>
            </w:r>
            <w:r>
              <w:rPr>
                <w:rFonts w:hint="eastAsia" w:ascii="Times New Roman" w:hAnsi="Times New Roman" w:cs="Times New Roman"/>
                <w:sz w:val="21"/>
                <w:szCs w:val="22"/>
                <w:highlight w:val="none"/>
              </w:rPr>
              <w:t xml:space="preserve">个</w:t>
            </w:r>
            <w:r>
              <w:rPr>
                <w:rFonts w:hint="eastAsia" w:ascii="宋体" w:hAnsi="宋体"/>
                <w:color w:val="000000"/>
                <w:sz w:val="21"/>
                <w:szCs w:val="21"/>
                <w:highlight w:val="none"/>
              </w:rPr>
              <w:t xml:space="preserve">Type-C</w:t>
            </w:r>
            <w:r>
              <w:rPr>
                <w:rFonts w:hint="eastAsia" w:ascii="Times New Roman" w:hAnsi="Times New Roman" w:cs="Times New Roman"/>
                <w:sz w:val="21"/>
                <w:szCs w:val="22"/>
                <w:highlight w:val="none"/>
              </w:rPr>
              <w:t xml:space="preserve">接口）；</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节能静音</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响应绿色节能要求，配置≤200W静音电源；</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键盘鼠标</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配置USB原厂键盘鼠标；</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显示器</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配置23.8寸液晶IPS液晶显示器</w:t>
            </w:r>
            <w:r>
              <w:rPr>
                <w:rFonts w:hint="eastAsia" w:ascii="Times New Roman" w:hAnsi="Times New Roman" w:cs="Times New Roman"/>
                <w:sz w:val="21"/>
                <w:szCs w:val="22"/>
                <w:highlight w:val="none"/>
              </w:rPr>
              <w:t xml:space="preserve">，显示分辨率≥</w:t>
            </w:r>
            <w:r>
              <w:rPr>
                <w:rFonts w:hint="eastAsia" w:ascii="Times New Roman" w:hAnsi="Times New Roman" w:cs="Times New Roman"/>
                <w:sz w:val="21"/>
                <w:szCs w:val="22"/>
                <w:highlight w:val="none"/>
              </w:rPr>
              <w:t xml:space="preserve">1920</w:t>
            </w:r>
            <w:r>
              <w:rPr>
                <w:rFonts w:hint="eastAsia" w:ascii="Times New Roman" w:hAnsi="Times New Roman" w:cs="Times New Roman"/>
                <w:sz w:val="21"/>
                <w:szCs w:val="22"/>
                <w:highlight w:val="none"/>
              </w:rPr>
              <w:t xml:space="preserve">×</w:t>
            </w:r>
            <w:r>
              <w:rPr>
                <w:rFonts w:hint="eastAsia" w:ascii="Times New Roman" w:hAnsi="Times New Roman" w:cs="Times New Roman"/>
                <w:sz w:val="21"/>
                <w:szCs w:val="22"/>
                <w:highlight w:val="none"/>
              </w:rPr>
              <w:t xml:space="preserve">1080</w:t>
            </w:r>
            <w:r>
              <w:rPr>
                <w:rFonts w:hint="eastAsia" w:ascii="Times New Roman" w:hAnsi="Times New Roman" w:cs="Times New Roman"/>
                <w:sz w:val="21"/>
                <w:szCs w:val="22"/>
                <w:highlight w:val="none"/>
              </w:rPr>
              <w:t xml:space="preserve">，刷新率不小于</w:t>
            </w:r>
            <w:r>
              <w:rPr>
                <w:rFonts w:hint="eastAsia" w:ascii="宋体" w:hAnsi="宋体"/>
                <w:color w:val="000000"/>
                <w:sz w:val="21"/>
                <w:szCs w:val="21"/>
                <w:highlight w:val="none"/>
              </w:rPr>
              <w:t xml:space="preserve">100Hz</w:t>
            </w:r>
            <w:r>
              <w:rPr>
                <w:rFonts w:hint="eastAsia" w:ascii="Times New Roman" w:hAnsi="Times New Roman" w:cs="Times New Roman"/>
                <w:sz w:val="21"/>
                <w:szCs w:val="22"/>
                <w:highlight w:val="none"/>
              </w:rPr>
              <w:t xml:space="preserve">，显示器与主机要求同一品牌</w:t>
            </w:r>
            <w:r>
              <w:rPr>
                <w:rFonts w:hint="eastAsia" w:ascii="宋体" w:hAnsi="宋体"/>
                <w:sz w:val="21"/>
                <w:szCs w:val="21"/>
                <w:highlight w:val="none"/>
              </w:rPr>
              <w:t xml:space="preserve">；</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操作系统</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预装国产桌面操作系统，应符合《操作系统政府采购需求标准（2023年版）》，并通过安全可靠评测、在《安全可靠测评结果公告》名单内；</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vMerge w:val="restart"/>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主机自带或第三方硬盘保护系统还原功能软件要求</w:t>
            </w:r>
            <w:r>
              <w:rPr>
                <w:highlight w:val="none"/>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1、支持信创国产化操作系统的立即还原、每天还原、每周还原、每月还原等方式并支持还原点的创建；</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2、支持信创终端电脑MBR分区系统和GPT分区系统混合安装,可支持60个以上的不同操作系统；</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3、支持国产芯片终端电脑固态硬盘和机械硬盘双硬盘保护模式和同传；</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4、可分配用户权限，自主在现有安装好的信创国产化操作系统下面快速（3秒内）创建属于自己的专用虚拟系统，所安装的软件和保存的数据仅自己可以使用，其他用户无法查看、修改或删除；</w:t>
            </w:r>
            <w:r>
              <w:rPr>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237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5、可对多个操作系统自动分配不同网段的IP地址，用于不同的内外网使用环境或实验环境；</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olor w:val="000000"/>
                <w:sz w:val="21"/>
                <w:szCs w:val="21"/>
                <w:highlight w:val="none"/>
              </w:rPr>
              <w:t xml:space="preserve">6、针对系统或者频道创建多个状态的还原点，恢复还原点、删除还原点。系统维护时，新增软件，软件冲突等软件导致系统损坏，可快速恢复到上一次保存的状态；</w:t>
            </w:r>
            <w:r>
              <w:rPr>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37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jc w:val="left"/>
              <w:rPr>
                <w:rFonts w:ascii="宋体" w:hAnsi="宋体"/>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7、可在现有安装好的国产化操作系统下面快速（3秒内）复制出一个同样的频道系统，无需重新分区；该频道系统可以安装不同的应用软件，实现一机多用；</w:t>
            </w:r>
            <w:r>
              <w:rPr>
                <w:highlight w:val="none"/>
              </w:rPr>
            </w:r>
            <w:r/>
          </w:p>
        </w:tc>
      </w:tr>
    </w:tbl>
    <w:p>
      <w:pPr>
        <w:ind w:left="0" w:firstLine="420"/>
        <w:spacing w:line="360" w:lineRule="auto"/>
        <w:widowControl w:val="off"/>
        <w:tabs>
          <w:tab w:val="left" w:pos="0" w:leader="none"/>
        </w:tabs>
        <w:rPr>
          <w:rFonts w:ascii="宋体" w:hAnsi="宋体" w:cs="Times New Roman"/>
          <w:sz w:val="21"/>
          <w:szCs w:val="22"/>
          <w:highlight w:val="none"/>
        </w:rPr>
      </w:pPr>
      <w:r>
        <w:rPr>
          <w:rFonts w:ascii="宋体" w:hAnsi="宋体" w:cs="Times New Roman"/>
          <w:sz w:val="21"/>
          <w:szCs w:val="22"/>
          <w:highlight w:val="none"/>
        </w:rPr>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（三）项目实施要求</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1</w:t>
      </w:r>
      <w:r>
        <w:rPr>
          <w:rFonts w:hint="eastAsia" w:ascii="宋体" w:hAnsi="宋体"/>
          <w:color w:val="000000"/>
          <w:sz w:val="21"/>
          <w:szCs w:val="21"/>
          <w:highlight w:val="none"/>
        </w:rPr>
        <w:t xml:space="preserve">、</w:t>
      </w:r>
      <w:r>
        <w:rPr>
          <w:rFonts w:hint="eastAsia" w:ascii="宋体" w:hAnsi="宋体" w:cs="Times New Roman"/>
          <w:sz w:val="21"/>
          <w:szCs w:val="22"/>
          <w:highlight w:val="none"/>
        </w:rPr>
        <w:t xml:space="preserve">项目组人员组成：包含（但不限于）项目负责人1名、专业技术人员1名、安装调试及售后服务人员4名。</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2</w:t>
      </w:r>
      <w:r>
        <w:rPr>
          <w:rFonts w:hint="eastAsia" w:ascii="宋体" w:hAnsi="宋体"/>
          <w:color w:val="000000"/>
          <w:sz w:val="21"/>
          <w:szCs w:val="21"/>
          <w:highlight w:val="none"/>
        </w:rPr>
        <w:t xml:space="preserve">、</w:t>
      </w:r>
      <w:r>
        <w:rPr>
          <w:rFonts w:hint="eastAsia" w:ascii="宋体" w:hAnsi="宋体" w:cs="Times New Roman"/>
          <w:sz w:val="21"/>
          <w:szCs w:val="22"/>
          <w:highlight w:val="none"/>
        </w:rPr>
        <w:t xml:space="preserve">进度监控与应对措施：对可能出现的时序进度偏差达1天情况，要能及时发现并给出进度纠偏措施。</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3、制造、安装设计、运输要求：</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投标人须根据招标文件要求完成项目所需设备并提供以下工作服务但不仅限于以下：</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（1）制造、包装、运输：</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按采购人认可的方案和材料进行加工、制造、供货，负责设备运输至采购人建设工地。设备的各个部件须防火、耐压、耐用、漏电保护，易清洗及易维修，并符合有关规定。</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投标人在投标时须提供所供设备与材料的具体防护措施供采购人认可，并对此工作负责。机组及器材外表面应洁净，无褶皱和剥落等。不油漆且易腐蚀的零部件应涂上高熔点或防酸或其它保护功能的油脂以得到保护，并妥善包装后固定。机组及器材所有开口处应封闭保护起来，以防止在运输及搬运过程中异物进入。</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所有器材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w:t>
      </w:r>
      <w:r>
        <w:rPr>
          <w:rFonts w:hint="eastAsia" w:ascii="宋体" w:hAnsi="宋体" w:cs="Times New Roman"/>
          <w:sz w:val="21"/>
          <w:szCs w:val="22"/>
          <w:highlight w:val="none"/>
        </w:rPr>
        <w:t xml:space="preserve">文件资料。包装箱外面应注明数量、设备名称、编号及起吊位置、防潮、防震、防尘等警示标记及外形尺寸、毛重等。随包装携带的文件、资料应防潮密封，并放置在包装箱内明显地方。</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（2）安装深化设计要求：</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投标人在投标时根据招标文件要求提供项目具体安装深化设计资料，包括项目设计的修改，设计方案须经采购人认可。</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投标人对安装、调试、试运行等负责。对设备安装、调试要有质量监督检查的逐日记录表，对可能出现的质量问题有改进措施。</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（3）到货查验：</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供货人在所供设备到工地时应通知采购人到场进行到货查验。若发现任何损坏及质量问题，供货人应负责更换。并妥善处理直至甲方满意。此工作所发生的费用就由供货人自行承担。</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4、验收</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安装完成后，采购方根据国家和行业标准及招标文件、投标文件、合同等相关规定进行质量验收。当双方对验收标准有争议时，可委托双方一致认可的具有检测资质的检测中心进行检测。</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（1）产品保护</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安装完成后，中标人须负责全部产品的保护和清洁工作，直至验收合格并正常使用为止。在安装过程中，如由于中标方原因导致建筑结构或其它设备被损坏，中标人要负责修理或赔偿损失。</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（2）验收合格条件</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a．测试结果符合产品标准和技术规格书及合同要求。</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b．验收过程中发生的故障已被消除并得到采购人的认可。</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c．所有合同中规定的货物和材料都已提交。</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d．整套设备图纸及技术文件都已提交并得到接受。</w:t>
      </w:r>
      <w:r>
        <w:rPr>
          <w:highlight w:val="none"/>
        </w:rPr>
      </w:r>
      <w:r/>
    </w:p>
    <w:p>
      <w:pPr>
        <w:ind w:left="0"/>
        <w:rPr>
          <w:highlight w:val="none"/>
        </w:rPr>
      </w:pPr>
      <w:r>
        <w:rPr>
          <w:highlight w:val="none"/>
        </w:rPr>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（四） 售后服务</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（1）线下服务：软件硬件售后服务响应时间不超过两小时；软硬件修复时间不超过两小时；</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（2）线上服务：采购人正常工作时段，即时响应；</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（3）服务内容：包括中标人提供的全部硬件（含配件）的维修、更换，包括中标人提供的软件修复、升级，包括应用技术讲解、操作的示范等。</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（4）付费问题：质保期内免费上门服务，免费质保期后上门服务，配件及工时费等服务费用不得高于市场行情。</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（5）联系信息：需提供售后服务人员的联系方式，至少包含电话、微信、QQ、EMAIL等方式中的两种。</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ascii="宋体" w:hAnsi="宋体" w:cs="Times New Roman"/>
          <w:sz w:val="21"/>
          <w:szCs w:val="22"/>
          <w:highlight w:val="none"/>
        </w:rPr>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（五）培训要求</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（1）有明确的培训时间安排，要满足学院的要求，以及因客观原因导致的时间变更措施。</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（2）培训内容至少应包括硬件中的台式计算机的主要功能的使用。</w:t>
      </w:r>
      <w:r>
        <w:rPr>
          <w:highlight w:val="none"/>
        </w:rPr>
      </w:r>
      <w:r/>
    </w:p>
    <w:p>
      <w:pPr>
        <w:ind w:left="0" w:firstLine="420"/>
        <w:spacing w:line="360" w:lineRule="auto"/>
        <w:widowControl w:val="off"/>
        <w:tabs>
          <w:tab w:val="left" w:pos="0" w:leader="none"/>
        </w:tabs>
        <w:rPr>
          <w:rFonts w:ascii="宋体" w:hAnsi="宋体" w:cs="Times New Roman"/>
          <w:sz w:val="21"/>
          <w:szCs w:val="22"/>
          <w:highlight w:val="none"/>
        </w:rPr>
      </w:pPr>
      <w:r>
        <w:rPr>
          <w:rFonts w:hint="eastAsia" w:ascii="宋体" w:hAnsi="宋体" w:cs="Times New Roman"/>
          <w:sz w:val="21"/>
          <w:szCs w:val="22"/>
          <w:highlight w:val="none"/>
        </w:rPr>
        <w:t xml:space="preserve">（3）培训方式必需包括但不限于线下（实境）培训等。</w:t>
      </w:r>
      <w:r>
        <w:rPr>
          <w:highlight w:val="none"/>
        </w:rPr>
      </w:r>
      <w:r/>
    </w:p>
    <w:p>
      <w:pPr>
        <w:ind w:left="0" w:firstLine="420"/>
        <w:spacing w:line="360" w:lineRule="auto"/>
        <w:widowControl w:val="off"/>
        <w:tabs>
          <w:tab w:val="left" w:pos="0" w:leader="none"/>
        </w:tabs>
        <w:rPr>
          <w:highlight w:val="none"/>
        </w:rPr>
      </w:pPr>
      <w:r>
        <w:rPr>
          <w:rFonts w:hint="eastAsia" w:ascii="宋体" w:hAnsi="宋体" w:cs="Times New Roman"/>
          <w:sz w:val="21"/>
          <w:szCs w:val="22"/>
          <w:highlight w:val="none"/>
        </w:rPr>
        <w:t xml:space="preserve">（4）培训地点符合要求。</w:t>
      </w:r>
      <w:r>
        <w:rPr>
          <w:highlight w:val="none"/>
        </w:rPr>
      </w:r>
      <w:r/>
    </w:p>
    <w:p>
      <w:pPr>
        <w:pStyle w:val="1018"/>
        <w:rPr>
          <w:highlight w:val="none"/>
        </w:rPr>
      </w:pPr>
      <w:r>
        <w:rPr>
          <w:highlight w:val="none"/>
        </w:rPr>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rPr>
          <w:highlight w:val="none"/>
        </w:rPr>
      </w:r>
      <w:r/>
    </w:p>
    <w:p>
      <w:pPr>
        <w:ind w:left="0" w:firstLine="420"/>
        <w:spacing w:line="360" w:lineRule="auto"/>
        <w:tabs>
          <w:tab w:val="left" w:pos="0" w:leader="none"/>
        </w:tabs>
        <w:rPr>
          <w:rFonts w:ascii="宋体" w:hAnsi="宋体"/>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rPr>
          <w:highlight w:val="none"/>
        </w:rPr>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w:t>
      </w:r>
      <w:r>
        <w:rPr>
          <w:rFonts w:hint="eastAsia" w:ascii="Times New Roman" w:hAnsi="Times New Roman"/>
          <w:sz w:val="21"/>
          <w:highlight w:val="none"/>
        </w:rPr>
        <w:t xml:space="preserve">2020</w:t>
      </w:r>
      <w:r>
        <w:rPr>
          <w:rFonts w:hint="eastAsia" w:ascii="Times New Roman" w:hAnsi="Times New Roman"/>
          <w:sz w:val="21"/>
          <w:highlight w:val="none"/>
        </w:rPr>
        <w:t xml:space="preserve">〕</w:t>
      </w:r>
      <w:r>
        <w:rPr>
          <w:rFonts w:hint="eastAsia" w:ascii="Times New Roman" w:hAnsi="Times New Roman"/>
          <w:sz w:val="21"/>
          <w:highlight w:val="none"/>
        </w:rPr>
        <w:t xml:space="preserve">4</w:t>
      </w:r>
      <w:r>
        <w:rPr>
          <w:rFonts w:hint="eastAsia" w:ascii="Times New Roman" w:hAnsi="Times New Roman" w:cs="Times New Roman"/>
          <w:sz w:val="21"/>
          <w:highlight w:val="none"/>
        </w:rPr>
        <w:t xml:space="preserve">6</w:t>
      </w:r>
      <w:r>
        <w:rPr>
          <w:rFonts w:hint="eastAsia" w:ascii="Times New Roman" w:hAnsi="Times New Roman" w:cs="Times New Roman"/>
          <w:sz w:val="21"/>
          <w:highlight w:val="none"/>
        </w:rPr>
        <w:t xml:space="preserve">号）及《中小企业划型标准规定》（工信部联企业〔</w:t>
      </w:r>
      <w:r>
        <w:rPr>
          <w:rFonts w:hint="eastAsia" w:ascii="Times New Roman" w:hAnsi="Times New Roman" w:cs="Times New Roman"/>
          <w:sz w:val="21"/>
          <w:highlight w:val="none"/>
        </w:rPr>
        <w:t xml:space="preserve">2011</w:t>
      </w:r>
      <w:r>
        <w:rPr>
          <w:rFonts w:hint="eastAsia" w:ascii="Times New Roman" w:hAnsi="Times New Roman" w:cs="Times New Roman"/>
          <w:sz w:val="21"/>
          <w:highlight w:val="none"/>
        </w:rPr>
        <w:t xml:space="preserve">〕</w:t>
      </w:r>
      <w:r>
        <w:rPr>
          <w:rFonts w:hint="eastAsia" w:ascii="Times New Roman" w:hAnsi="Times New Roman" w:cs="Times New Roman"/>
          <w:sz w:val="21"/>
          <w:highlight w:val="none"/>
        </w:rPr>
        <w:t xml:space="preserve">300</w:t>
      </w:r>
      <w:r>
        <w:rPr>
          <w:rFonts w:hint="eastAsia" w:ascii="Times New Roman" w:hAnsi="Times New Roman" w:cs="Times New Roman"/>
          <w:sz w:val="21"/>
          <w:highlight w:val="none"/>
        </w:rPr>
        <w:t xml:space="preserve">号），</w:t>
      </w:r>
      <w:r>
        <w:rPr>
          <w:rFonts w:hint="eastAsia" w:ascii="Times New Roman" w:hAnsi="Times New Roman" w:cs="Times New Roman"/>
          <w:b/>
          <w:sz w:val="21"/>
          <w:highlight w:val="none"/>
        </w:rPr>
        <w:t xml:space="preserve">本采购标的对应的中小企业划分标准所属行业为：</w:t>
      </w:r>
      <w:r>
        <w:rPr>
          <w:rFonts w:hint="eastAsia" w:ascii="Times New Roman" w:hAnsi="Times New Roman" w:cs="Times New Roman"/>
          <w:b/>
          <w:sz w:val="21"/>
          <w:highlight w:val="none"/>
        </w:rPr>
        <w:t xml:space="preserve">工业</w:t>
      </w:r>
      <w:r>
        <w:rPr>
          <w:rFonts w:hint="eastAsia" w:ascii="Times New Roman" w:hAnsi="Times New Roman" w:cs="Times New Roman"/>
          <w:b/>
          <w:sz w:val="21"/>
          <w:highlight w:val="none"/>
        </w:rPr>
        <w:t xml:space="preserve">。</w:t>
      </w:r>
      <w:r>
        <w:rPr>
          <w:highlight w:val="none"/>
        </w:rPr>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rPr>
          <w:highlight w:val="none"/>
        </w:rPr>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（1）本次拟采购的产品中</w:t>
      </w:r>
      <w:r>
        <w:rPr>
          <w:rFonts w:hint="eastAsia" w:ascii="宋体" w:hAnsi="宋体"/>
          <w:b/>
          <w:color w:val="ff0000"/>
          <w:sz w:val="21"/>
          <w:highlight w:val="none"/>
        </w:rPr>
        <w:t xml:space="preserve">分体式台式计算机、23.8英寸液晶显示器</w:t>
      </w:r>
      <w:r>
        <w:rPr>
          <w:rFonts w:hint="eastAsia" w:ascii="宋体" w:hAnsi="宋体"/>
          <w:b/>
          <w:sz w:val="21"/>
          <w:highlight w:val="none"/>
        </w:rPr>
        <w:t xml:space="preserve">属于政府强制采购节能产品。</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rPr>
          <w:highlight w:val="none"/>
        </w:rPr>
      </w:r>
      <w:r/>
    </w:p>
    <w:p>
      <w:pPr>
        <w:ind w:left="0" w:firstLine="420"/>
        <w:spacing w:line="360" w:lineRule="auto"/>
        <w:tabs>
          <w:tab w:val="left" w:pos="567" w:leader="none"/>
        </w:tabs>
        <w:rPr>
          <w:rFonts w:ascii="宋体" w:hAnsi="宋体" w:cs="Times New Roman"/>
          <w:b/>
          <w:color w:val="000000" w:themeColor="text1"/>
          <w:sz w:val="21"/>
          <w:highlight w:val="none"/>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rPr>
        <w:t xml:space="preserve">登录</w:t>
      </w:r>
      <w:r>
        <w:rPr>
          <w:rFonts w:ascii="宋体" w:hAnsi="宋体"/>
          <w:color w:val="000000" w:themeColor="text1"/>
          <w:sz w:val="21"/>
          <w:szCs w:val="21"/>
          <w:highlight w:val="none"/>
        </w:rPr>
        <w:t xml:space="preserve">信用中国</w:t>
      </w:r>
      <w:r>
        <w:rPr>
          <w:rFonts w:hint="eastAsia" w:ascii="宋体" w:hAnsi="宋体"/>
          <w:color w:val="000000" w:themeColor="text1"/>
          <w:sz w:val="21"/>
          <w:szCs w:val="21"/>
          <w:highlight w:val="none"/>
        </w:rPr>
        <w:t xml:space="preserve">网站</w:t>
      </w:r>
      <w:r>
        <w:rPr>
          <w:rFonts w:ascii="宋体" w:hAnsi="宋体"/>
          <w:color w:val="000000" w:themeColor="text1"/>
          <w:sz w:val="21"/>
          <w:szCs w:val="21"/>
          <w:highlight w:val="none"/>
        </w:rPr>
        <w:t xml:space="preserve">（www.creditchina.gov.cn/）</w:t>
      </w:r>
      <w:r>
        <w:rPr>
          <w:rFonts w:hint="eastAsia" w:ascii="宋体" w:hAnsi="宋体"/>
          <w:color w:val="000000" w:themeColor="text1"/>
          <w:sz w:val="21"/>
          <w:szCs w:val="21"/>
          <w:highlight w:val="none"/>
        </w:rPr>
        <w:t xml:space="preserve">和中国政府采购网（</w:t>
      </w:r>
      <w:r>
        <w:rPr>
          <w:rFonts w:ascii="宋体" w:hAnsi="宋体"/>
          <w:color w:val="000000" w:themeColor="text1"/>
          <w:sz w:val="21"/>
          <w:szCs w:val="21"/>
          <w:highlight w:val="none"/>
        </w:rPr>
        <w:t xml:space="preserve">www.ccgp.gov.cn/</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查询供应商的信用记录，并将查询结果递交</w:t>
      </w:r>
      <w:r>
        <w:rPr>
          <w:rFonts w:hint="eastAsia" w:ascii="宋体" w:hAnsi="宋体"/>
          <w:color w:val="000000" w:themeColor="text1"/>
          <w:sz w:val="21"/>
          <w:szCs w:val="21"/>
          <w:highlight w:val="none"/>
        </w:rPr>
        <w:t xml:space="preserve">评标委员会</w:t>
      </w:r>
      <w:r>
        <w:rPr>
          <w:rFonts w:hint="eastAsia" w:ascii="宋体" w:hAnsi="宋体" w:cs="Times New Roman"/>
          <w:color w:val="000000" w:themeColor="text1"/>
          <w:sz w:val="21"/>
          <w:highlight w:val="none"/>
        </w:rPr>
        <w:t xml:space="preserve">。</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rPr>
          <w:highlight w:val="none"/>
        </w:rPr>
      </w:r>
      <w:r/>
    </w:p>
    <w:p>
      <w:pPr>
        <w:pStyle w:val="991"/>
        <w:ind w:left="0" w:firstLine="0"/>
        <w:jc w:val="center"/>
        <w:rPr>
          <w:rFonts w:ascii="宋体" w:hAnsi="宋体"/>
          <w:b/>
          <w:sz w:val="44"/>
          <w:szCs w:val="22"/>
          <w:highlight w:val="none"/>
        </w:rPr>
      </w:pPr>
      <w:r>
        <w:rPr>
          <w:highlight w:val="none"/>
        </w:rPr>
      </w:r>
      <w:bookmarkStart w:id="78" w:name="_Toc11789"/>
      <w:r>
        <w:rPr>
          <w:highlight w:val="none"/>
        </w:rPr>
      </w:r>
      <w:bookmarkStart w:id="79" w:name="_Toc5111"/>
      <w:r>
        <w:rPr>
          <w:highlight w:val="none"/>
        </w:rPr>
      </w:r>
      <w:bookmarkStart w:id="80" w:name="_Hlk55741158"/>
      <w:r>
        <w:rPr>
          <w:rFonts w:hint="eastAsia" w:ascii="宋体" w:hAnsi="宋体"/>
          <w:b/>
          <w:sz w:val="44"/>
          <w:szCs w:val="22"/>
          <w:highlight w:val="none"/>
        </w:rPr>
        <w:br w:type="page" w:clear="all"/>
      </w:r>
      <w:bookmarkStart w:id="81" w:name="_Toc105397794"/>
      <w:r>
        <w:rPr>
          <w:rFonts w:hint="eastAsia" w:ascii="宋体" w:hAnsi="宋体"/>
          <w:b/>
          <w:sz w:val="44"/>
          <w:szCs w:val="22"/>
          <w:highlight w:val="none"/>
        </w:rPr>
        <w:t xml:space="preserve">第五章 </w:t>
      </w:r>
      <w:bookmarkStart w:id="82" w:name="合同的特殊条款"/>
      <w:r>
        <w:rPr>
          <w:highlight w:val="none"/>
        </w:rPr>
      </w:r>
      <w:bookmarkEnd w:id="82"/>
      <w:r>
        <w:rPr>
          <w:rFonts w:hint="eastAsia" w:ascii="宋体" w:hAnsi="宋体"/>
          <w:b/>
          <w:sz w:val="44"/>
          <w:szCs w:val="22"/>
          <w:highlight w:val="none"/>
        </w:rPr>
        <w:t xml:space="preserve">合同及主要条款</w:t>
      </w:r>
      <w:bookmarkEnd w:id="78"/>
      <w:r>
        <w:rPr>
          <w:highlight w:val="none"/>
        </w:rPr>
      </w:r>
      <w:bookmarkEnd w:id="79"/>
      <w:r>
        <w:rPr>
          <w:highlight w:val="none"/>
        </w:rPr>
      </w:r>
      <w:bookmarkEnd w:id="81"/>
      <w:r>
        <w:rPr>
          <w:highlight w:val="none"/>
        </w:rPr>
      </w:r>
      <w:r/>
    </w:p>
    <w:p>
      <w:pPr>
        <w:ind w:left="0"/>
        <w:jc w:val="center"/>
        <w:rPr>
          <w:rFonts w:ascii="宋体" w:hAnsi="宋体"/>
          <w:b/>
          <w:sz w:val="32"/>
          <w:szCs w:val="32"/>
          <w:highlight w:val="none"/>
        </w:rPr>
      </w:pPr>
      <w:r>
        <w:rPr>
          <w:highlight w:val="none"/>
        </w:rPr>
      </w:r>
      <w:bookmarkStart w:id="83" w:name="_Toc27667"/>
      <w:r>
        <w:rPr>
          <w:highlight w:val="none"/>
        </w:rPr>
      </w:r>
      <w:bookmarkStart w:id="84" w:name="_Toc8564"/>
      <w:r>
        <w:rPr>
          <w:highlight w:val="none"/>
        </w:rPr>
      </w:r>
      <w:bookmarkStart w:id="85" w:name="_Toc57376410"/>
      <w:r>
        <w:rPr>
          <w:highlight w:val="none"/>
        </w:rPr>
      </w:r>
      <w:bookmarkEnd w:id="80"/>
      <w:r>
        <w:rPr>
          <w:rFonts w:hint="eastAsia" w:ascii="宋体" w:hAnsi="宋体"/>
          <w:b/>
          <w:sz w:val="32"/>
          <w:szCs w:val="32"/>
          <w:highlight w:val="none"/>
        </w:rPr>
        <w:t xml:space="preserve">政府采购合同</w:t>
      </w:r>
      <w:r>
        <w:rPr>
          <w:highlight w:val="none"/>
        </w:rPr>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项目名称：苏州市立医院台式计算机</w:t>
      </w:r>
      <w:r>
        <w:rPr>
          <w:highlight w:val="none"/>
        </w:rPr>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项目编号：JSZC-320500-JZCG-G2025-0224</w:t>
      </w:r>
      <w:r>
        <w:rPr>
          <w:highlight w:val="none"/>
        </w:rPr>
      </w:r>
      <w:r/>
    </w:p>
    <w:p>
      <w:pPr>
        <w:rPr>
          <w:rFonts w:ascii="宋体" w:hAnsi="宋体" w:cs="Times New Roman"/>
          <w:highlight w:val="none"/>
        </w:rPr>
      </w:pPr>
      <w:r>
        <w:rPr>
          <w:rFonts w:ascii="宋体" w:hAnsi="宋体" w:cs="Times New Roman"/>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highlight w:val="none"/>
        </w:rPr>
      </w:r>
      <w:r/>
    </w:p>
    <w:p>
      <w:pPr>
        <w:ind w:left="0" w:firstLine="422"/>
        <w:spacing w:line="360" w:lineRule="auto"/>
        <w:rPr>
          <w:rFonts w:ascii="宋体" w:hAnsi="宋体"/>
          <w:sz w:val="21"/>
          <w:szCs w:val="21"/>
          <w:highlight w:val="none"/>
          <w:u w:val="single"/>
        </w:rPr>
      </w:pPr>
      <w:r>
        <w:rPr>
          <w:rFonts w:hint="eastAsia" w:ascii="宋体" w:hAnsi="宋体"/>
          <w:b/>
          <w:sz w:val="21"/>
          <w:highlight w:val="none"/>
        </w:rPr>
        <w:t xml:space="preserve">一、定义：以下术语有特定的含义：</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合同价是指根据中标的投标文件和合同规定，乙方在正确地履行合同义务后甲方应支付给乙方的价款。</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甲方是指合同中明确规定的实际购买货物和接受服务的单位。</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乙方是指合同中规定的提供货物和提供服务的单位。</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rPr>
          <w:highlight w:val="none"/>
        </w:rPr>
      </w:r>
      <w:r/>
    </w:p>
    <w:p>
      <w:pPr>
        <w:ind w:left="0" w:firstLine="422"/>
        <w:spacing w:line="360" w:lineRule="auto"/>
        <w:rPr>
          <w:rFonts w:ascii="宋体" w:hAnsi="宋体"/>
          <w:b/>
          <w:sz w:val="21"/>
          <w:highlight w:val="none"/>
        </w:rPr>
      </w:pPr>
      <w:r>
        <w:rPr>
          <w:rFonts w:ascii="宋体" w:hAnsi="宋体"/>
          <w:b/>
          <w:sz w:val="21"/>
          <w:highlight w:val="none"/>
        </w:rPr>
      </w:r>
      <w:r>
        <w:rPr>
          <w:highlight w:val="none"/>
        </w:rPr>
      </w:r>
      <w:r/>
    </w:p>
    <w:p>
      <w:pPr>
        <w:ind w:left="0" w:firstLine="422"/>
        <w:spacing w:line="360" w:lineRule="auto"/>
        <w:rPr>
          <w:rFonts w:ascii="宋体" w:hAnsi="宋体"/>
          <w:b/>
          <w:sz w:val="21"/>
          <w:szCs w:val="21"/>
          <w:highlight w:val="none"/>
          <w:u w:val="single"/>
        </w:rPr>
      </w:pPr>
      <w:r>
        <w:rPr>
          <w:rFonts w:hint="eastAsia" w:ascii="宋体" w:hAnsi="宋体"/>
          <w:b/>
          <w:sz w:val="21"/>
          <w:highlight w:val="none"/>
        </w:rPr>
        <w:t xml:space="preserve">二、合同标的：</w:t>
      </w:r>
      <w:r>
        <w:rPr>
          <w:highlight w:val="non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序号</w:t>
            </w:r>
            <w:r>
              <w:rPr>
                <w:highlight w:val="none"/>
              </w:rPr>
            </w:r>
            <w:r/>
          </w:p>
        </w:tc>
        <w:tc>
          <w:tcPr>
            <w:tcW w:w="269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货物（服务）名称</w:t>
            </w:r>
            <w:r>
              <w:rPr>
                <w:highlight w:val="none"/>
              </w:rPr>
            </w:r>
            <w:r/>
          </w:p>
        </w:tc>
        <w:tc>
          <w:tcPr>
            <w:tcW w:w="1529"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品牌</w:t>
            </w:r>
            <w:r>
              <w:rPr>
                <w:highlight w:val="none"/>
              </w:rPr>
            </w:r>
            <w:r/>
          </w:p>
        </w:tc>
        <w:tc>
          <w:tcPr>
            <w:tcW w:w="1642"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数量</w:t>
            </w:r>
            <w:r>
              <w:rPr>
                <w:highlight w:val="none"/>
              </w:rPr>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交货期限</w:t>
            </w:r>
            <w:r>
              <w:rPr>
                <w:highlight w:val="none"/>
              </w:rPr>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小计金额(元)</w:t>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1</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2</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3</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ascii="宋体" w:hAnsi="宋体"/>
                <w:sz w:val="21"/>
                <w:highlight w:val="none"/>
              </w:rPr>
              <w:t xml:space="preserve">…</w:t>
            </w:r>
            <w:r>
              <w:rPr>
                <w:highlight w:val="none"/>
              </w:rPr>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rPr>
                <w:highlight w:val="none"/>
              </w:rPr>
            </w:r>
            <w:r/>
          </w:p>
        </w:tc>
      </w:tr>
    </w:tbl>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color w:val="000000"/>
          <w:sz w:val="21"/>
          <w:highlight w:val="none"/>
        </w:rPr>
        <w:t xml:space="preserve">四、交货地点、时间、方式：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1.交货地点：乙方交货至甲方指定地点，所发生的运输等费用及货物的损坏造成的损失由乙方承担。</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2.交货时间：</w:t>
      </w:r>
      <w:r>
        <w:rPr>
          <w:rFonts w:ascii="宋体" w:hAnsi="宋体"/>
          <w:sz w:val="21"/>
          <w:highlight w:val="none"/>
        </w:rPr>
        <w:t xml:space="preserve">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3.交货方式：乙方负责将货物安全完好运抵交货地点、安装调试并保证验收合格。</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color w:val="000000"/>
          <w:sz w:val="21"/>
          <w:highlight w:val="none"/>
        </w:rPr>
        <w:t xml:space="preserve">五、付款方式：</w:t>
      </w:r>
      <w:r>
        <w:rPr>
          <w:highlight w:val="none"/>
        </w:rPr>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Style w:val="1058"/>
          <w:rFonts w:hint="eastAsia"/>
          <w:highlight w:val="none"/>
        </w:rPr>
        <w:t xml:space="preserve">在采购合同签订生效后，预付合同</w:t>
      </w:r>
      <w:r>
        <w:rPr>
          <w:rStyle w:val="1058"/>
          <w:rFonts w:hint="eastAsia"/>
          <w:highlight w:val="none"/>
        </w:rPr>
        <w:t xml:space="preserve">30%</w:t>
      </w:r>
      <w:r>
        <w:rPr>
          <w:rStyle w:val="1058"/>
          <w:rFonts w:hint="eastAsia"/>
          <w:highlight w:val="none"/>
        </w:rPr>
        <w:t xml:space="preserve">预付款，待全部货物到达甲方指定地点，经验收合格后无质量问题，开票后</w:t>
      </w:r>
      <w:r>
        <w:rPr>
          <w:rStyle w:val="1058"/>
          <w:rFonts w:hint="eastAsia"/>
          <w:highlight w:val="none"/>
        </w:rPr>
        <w:t xml:space="preserve">10</w:t>
      </w:r>
      <w:r>
        <w:rPr>
          <w:rStyle w:val="1058"/>
          <w:rFonts w:hint="eastAsia"/>
          <w:highlight w:val="none"/>
        </w:rPr>
        <w:t xml:space="preserve">个工作日内由甲方向乙方一次性付清。</w:t>
      </w:r>
      <w:r>
        <w:rPr>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（2）按照《江苏省财政厅 国家金融监管总局江苏监</w:t>
      </w:r>
      <w:bookmarkStart w:id="86" w:name="_GoBack"/>
      <w:r>
        <w:rPr>
          <w:highlight w:val="none"/>
        </w:rPr>
      </w:r>
      <w:bookmarkEnd w:id="86"/>
      <w:r>
        <w:rPr>
          <w:rFonts w:hint="eastAsia" w:ascii="宋体" w:hAnsi="宋体"/>
          <w:b/>
          <w:sz w:val="21"/>
          <w:szCs w:val="21"/>
          <w:highlight w:val="none"/>
        </w:rPr>
        <w:t xml:space="preserve">管局 江苏省地方金融监督管理局关于在全省政府采购领域推行电子履约保函(保险)的通知》和相关法律法规规定，采购人如向中标(成交)供应商收取履约保</w:t>
      </w:r>
      <w:r>
        <w:rPr>
          <w:rFonts w:hint="eastAsia" w:ascii="宋体" w:hAnsi="宋体"/>
          <w:b/>
          <w:sz w:val="21"/>
          <w:szCs w:val="21"/>
          <w:highlight w:val="none"/>
        </w:rPr>
        <w:t xml:space="preserve">证金的，供应商可以以履约保函(保险)的形式代替提供履约保证金。</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 支付方式：银行汇票或转账支票。乙方账户信息如下：</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开户名称：</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开户银行：</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银行账号：</w:t>
      </w:r>
      <w:r>
        <w:rPr>
          <w:highlight w:val="none"/>
        </w:rPr>
      </w:r>
      <w:r/>
    </w:p>
    <w:p>
      <w:pPr>
        <w:pStyle w:val="1017"/>
        <w:rPr>
          <w:highlight w:val="none"/>
        </w:rPr>
      </w:pPr>
      <w:r>
        <w:rPr>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六、验收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1.乙方提交的货物由甲方负责验收。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七、保修期：</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本项目经甲方验收合格后，乙方将提供</w:t>
      </w:r>
      <w:r>
        <w:rPr>
          <w:rFonts w:ascii="宋体" w:hAnsi="宋体"/>
          <w:sz w:val="21"/>
          <w:highlight w:val="none"/>
          <w:u w:val="single"/>
        </w:rPr>
        <w:t xml:space="preserve"> </w:t>
      </w:r>
      <w:r>
        <w:rPr>
          <w:rFonts w:hint="eastAsia" w:ascii="宋体" w:hAnsi="宋体"/>
          <w:sz w:val="21"/>
          <w:highlight w:val="none"/>
          <w:u w:val="single"/>
        </w:rPr>
        <w:t xml:space="preserve"> </w:t>
      </w:r>
      <w:r>
        <w:rPr>
          <w:rFonts w:ascii="宋体" w:hAnsi="宋体"/>
          <w:sz w:val="21"/>
          <w:highlight w:val="none"/>
          <w:u w:val="single"/>
        </w:rPr>
        <w:t xml:space="preserve"> </w:t>
      </w:r>
      <w:r>
        <w:rPr>
          <w:rFonts w:hint="eastAsia" w:ascii="宋体" w:hAnsi="宋体"/>
          <w:sz w:val="21"/>
          <w:highlight w:val="none"/>
          <w:u w:val="single"/>
        </w:rPr>
        <w:t xml:space="preserve"> </w:t>
      </w:r>
      <w:r>
        <w:rPr>
          <w:rFonts w:hint="eastAsia" w:ascii="宋体" w:hAnsi="宋体"/>
          <w:sz w:val="21"/>
          <w:highlight w:val="none"/>
        </w:rPr>
        <w:t xml:space="preserve">年质量保证期。质量保证期内，乙方负责对其提供的货物实行免费维修。</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八、伴随服务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3.上述伴随服务的费用应包含在合同价中，不单独进行支付。</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4.货物的包装、储运、安装按国家有关规定执行。</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九、质量保证</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1.乙方应保证所提供的货物是原制造厂商制造的、经过合法销售渠道取得的、全新的、未使用过的，并完全符合合同规定的品牌、规格型号、技术性能、配置、质量、数量等要求。</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十、索赔</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十一、履约延误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1.乙方应按照合同规定的时间、地点交货和提供服务；甲方应按照合同规定的时间、地点接收货物和接受服务。</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2.如果乙方无正当理由拖延交货，将受到以下制裁：加收误期赔偿费、终止合同；如果甲方无正当理由拖延接收货物和接受服务，应承担相应责任。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highlight w:val="none"/>
        </w:rPr>
      </w:r>
      <w:r/>
    </w:p>
    <w:p>
      <w:pPr>
        <w:pStyle w:val="1017"/>
        <w:rPr>
          <w:highlight w:val="none"/>
        </w:rPr>
      </w:pPr>
      <w:r>
        <w:rPr>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十二、误期赔偿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2.误期赔偿费可从应付货款中扣除。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3.收取误期赔偿费不影响甲方采取合同规定的其他补救措施的权利。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十三、不可抗力</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十四、争端的解决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1.甲方和乙方应通过友好协商，解决在执行本合同过程中所发生的或与本合同有关的一切争端。如从协商开始十天内仍不能解决，可向有关合同管理部门提请调解。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2.如果调解不成，双方中的任何一方可向人民法院提起诉讼。诉讼由合同签订地人民法院管辖。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3.诉讼费由败诉方负担。</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4.因合同部分履行引发诉讼的，在诉讼期间，除正在进行诉讼的部分外，本合同的其它部分应继续执行。 </w:t>
      </w:r>
      <w:r>
        <w:rPr>
          <w:highlight w:val="none"/>
        </w:rPr>
      </w:r>
      <w:r/>
    </w:p>
    <w:p>
      <w:pPr>
        <w:ind w:left="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十五、违约终止合同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1.在甲方因乙方违约而按合同约定采取的任何补救措施不受影响的情况下，甲方可在下列情况下向乙方发出书面通知，提出终止部分或全部合同。 </w:t>
      </w:r>
      <w:r>
        <w:rPr>
          <w:highlight w:val="none"/>
        </w:rPr>
      </w:r>
      <w:r/>
    </w:p>
    <w:p>
      <w:pPr>
        <w:ind w:left="0" w:firstLine="200"/>
        <w:spacing w:line="360" w:lineRule="auto"/>
        <w:rPr>
          <w:rFonts w:ascii="宋体" w:hAnsi="宋体"/>
          <w:sz w:val="21"/>
          <w:highlight w:val="none"/>
        </w:rPr>
      </w:pPr>
      <w:r>
        <w:rPr>
          <w:rFonts w:hint="eastAsia" w:ascii="宋体" w:hAnsi="宋体"/>
          <w:sz w:val="21"/>
          <w:highlight w:val="none"/>
        </w:rPr>
        <w:t xml:space="preserve">（1）如果乙方未能在合同规定的限期或甲方同意延长的限期内提供部分或全部货物和服务。</w:t>
      </w:r>
      <w:r>
        <w:rPr>
          <w:highlight w:val="none"/>
        </w:rPr>
      </w:r>
      <w:r/>
    </w:p>
    <w:p>
      <w:pPr>
        <w:ind w:left="0" w:firstLine="200"/>
        <w:spacing w:line="360" w:lineRule="auto"/>
        <w:rPr>
          <w:rFonts w:ascii="宋体" w:hAnsi="宋体"/>
          <w:sz w:val="21"/>
          <w:highlight w:val="none"/>
        </w:rPr>
      </w:pPr>
      <w:r>
        <w:rPr>
          <w:rFonts w:hint="eastAsia" w:ascii="宋体" w:hAnsi="宋体"/>
          <w:sz w:val="21"/>
          <w:highlight w:val="none"/>
        </w:rPr>
        <w:t xml:space="preserve">（2）如果乙方未能履行合同规定的其它任何义务。 </w:t>
      </w:r>
      <w:r>
        <w:rPr>
          <w:highlight w:val="none"/>
        </w:rPr>
      </w:r>
      <w:r/>
    </w:p>
    <w:p>
      <w:pPr>
        <w:ind w:left="0" w:firstLine="200"/>
        <w:spacing w:line="360" w:lineRule="auto"/>
        <w:rPr>
          <w:rFonts w:ascii="宋体" w:hAnsi="宋体"/>
          <w:sz w:val="21"/>
          <w:highlight w:val="none"/>
        </w:rPr>
      </w:pPr>
      <w:r>
        <w:rPr>
          <w:rFonts w:hint="eastAsia" w:ascii="宋体" w:hAnsi="宋体"/>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3.如果甲方违约，应承担相应的违约责任。 </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十六、破产终止合同：</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highlight w:val="none"/>
        </w:rPr>
      </w:r>
      <w:r/>
    </w:p>
    <w:p>
      <w:pPr>
        <w:ind w:left="0" w:firstLine="422"/>
        <w:spacing w:line="360" w:lineRule="auto"/>
        <w:rPr>
          <w:rFonts w:ascii="宋体" w:hAnsi="宋体"/>
          <w:b/>
          <w:sz w:val="21"/>
          <w:highlight w:val="none"/>
        </w:rPr>
      </w:pPr>
      <w:r>
        <w:rPr>
          <w:rFonts w:ascii="宋体" w:hAnsi="宋体"/>
          <w:b/>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十八、合同转让和分包：</w:t>
      </w:r>
      <w:r>
        <w:rPr>
          <w:rFonts w:hint="eastAsia" w:ascii="宋体" w:hAnsi="宋体"/>
          <w:sz w:val="21"/>
          <w:highlight w:val="none"/>
        </w:rPr>
        <w:t xml:space="preserve">本项目不得转包、分包。</w:t>
      </w:r>
      <w:r>
        <w:rPr>
          <w:highlight w:val="none"/>
        </w:rPr>
      </w:r>
      <w:r/>
    </w:p>
    <w:p>
      <w:pPr>
        <w:ind w:left="0" w:firstLine="422"/>
        <w:spacing w:line="360" w:lineRule="auto"/>
        <w:rPr>
          <w:rFonts w:ascii="宋体" w:hAnsi="宋体"/>
          <w:b/>
          <w:sz w:val="21"/>
          <w:highlight w:val="none"/>
        </w:rPr>
      </w:pPr>
      <w:r>
        <w:rPr>
          <w:rFonts w:ascii="宋体" w:hAnsi="宋体"/>
          <w:b/>
          <w:sz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十九、需要补充的合同条款：</w:t>
      </w:r>
      <w:r>
        <w:rPr>
          <w:rFonts w:hint="eastAsia" w:ascii="宋体" w:hAnsi="宋体"/>
          <w:sz w:val="21"/>
          <w:highlight w:val="none"/>
        </w:rPr>
        <w:t xml:space="preserve">（根据评标过程中或者商务谈判时商定的条款和条件在订立合同时标明）。</w:t>
      </w:r>
      <w:r>
        <w:rPr>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二十、合同生效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1.双方签约人为各自法定代表人或被授权代表。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2.本合同系指本文件及其附件中的所有部分，招标文件、中标的投标文件、中标通知书、中标人在招标过程中的澄清和承诺等为本合同不可缺少的组成部分。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本合同自甲乙双方签字盖章之日起生效。</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.本合同应按照中华人民共和国的现行法律进行解释。</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6</w:t>
      </w:r>
      <w:r>
        <w:rPr>
          <w:rFonts w:hint="eastAsia" w:ascii="宋体" w:hAnsi="宋体"/>
          <w:sz w:val="21"/>
          <w:highlight w:val="none"/>
        </w:rPr>
        <w:t xml:space="preserve">.合同修改：除甲乙双方签署书面修改、补充协议，并成为本合同不可分割的一部分之外，本合同条件不得有任何变化或修改。</w:t>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甲方（公章）：                     </w:t>
      </w:r>
      <w:r>
        <w:rPr>
          <w:rFonts w:ascii="宋体" w:hAnsi="宋体"/>
          <w:sz w:val="21"/>
          <w:highlight w:val="none"/>
        </w:rPr>
        <w:t xml:space="preserve">  </w:t>
      </w:r>
      <w:r>
        <w:rPr>
          <w:rFonts w:hint="eastAsia" w:ascii="宋体" w:hAnsi="宋体"/>
          <w:sz w:val="21"/>
          <w:highlight w:val="none"/>
        </w:rPr>
        <w:t xml:space="preserve">                       乙方（公章）：</w:t>
      </w:r>
      <w:r>
        <w:rPr>
          <w:rFonts w:ascii="宋体" w:hAnsi="宋体"/>
          <w:sz w:val="21"/>
          <w:highlight w:val="none"/>
        </w:rPr>
        <w:t xml:space="preserve"> </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法定代表人（或授权代表）：    </w:t>
      </w:r>
      <w:r>
        <w:rPr>
          <w:rFonts w:ascii="宋体" w:hAnsi="宋体"/>
          <w:sz w:val="21"/>
          <w:highlight w:val="none"/>
        </w:rPr>
        <w:t xml:space="preserve">  </w:t>
      </w:r>
      <w:r>
        <w:rPr>
          <w:rFonts w:hint="eastAsia" w:ascii="宋体" w:hAnsi="宋体"/>
          <w:sz w:val="21"/>
          <w:highlight w:val="none"/>
        </w:rPr>
        <w:t xml:space="preserve">                            法定代表人（或授权代表）： </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签约日期：                  </w:t>
      </w:r>
      <w:r>
        <w:rPr>
          <w:rFonts w:ascii="宋体" w:hAnsi="宋体"/>
          <w:sz w:val="21"/>
          <w:highlight w:val="none"/>
        </w:rPr>
        <w:t xml:space="preserve">  </w:t>
      </w:r>
      <w:r>
        <w:rPr>
          <w:rFonts w:hint="eastAsia" w:ascii="宋体" w:hAnsi="宋体"/>
          <w:sz w:val="21"/>
          <w:highlight w:val="none"/>
        </w:rPr>
        <w:t xml:space="preserve">                              签约日期： </w:t>
      </w:r>
      <w:r>
        <w:rPr>
          <w:highlight w:val="none"/>
        </w:rPr>
      </w:r>
      <w:r/>
    </w:p>
    <w:p>
      <w:pPr>
        <w:pStyle w:val="1051"/>
        <w:ind w:left="400" w:firstLine="400"/>
        <w:rPr>
          <w:rFonts w:ascii="宋体" w:hAnsi="宋体"/>
          <w:highlight w:val="none"/>
        </w:rPr>
      </w:pPr>
      <w:r>
        <w:rPr>
          <w:rFonts w:ascii="宋体" w:hAnsi="宋体"/>
          <w:highlight w:val="none"/>
        </w:rPr>
      </w:r>
      <w:r>
        <w:rPr>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rPr>
          <w:highlight w:val="none"/>
        </w:rPr>
      </w:r>
      <w:r/>
    </w:p>
    <w:p>
      <w:pPr>
        <w:pStyle w:val="1051"/>
        <w:ind w:left="400" w:firstLine="883"/>
        <w:rPr>
          <w:rFonts w:ascii="宋体" w:hAnsi="宋体"/>
          <w:b/>
          <w:sz w:val="44"/>
          <w:szCs w:val="22"/>
          <w:highlight w:val="none"/>
        </w:rPr>
      </w:pPr>
      <w:r>
        <w:rPr>
          <w:rFonts w:hint="eastAsia" w:ascii="宋体" w:hAnsi="宋体"/>
          <w:b/>
          <w:sz w:val="44"/>
          <w:szCs w:val="22"/>
          <w:highlight w:val="none"/>
        </w:rPr>
        <w:t xml:space="preserve"> </w:t>
      </w:r>
      <w:r>
        <w:rPr>
          <w:highlight w:val="none"/>
        </w:rPr>
      </w:r>
      <w:r/>
    </w:p>
    <w:p>
      <w:pPr>
        <w:pStyle w:val="1051"/>
        <w:ind w:left="400" w:firstLine="883"/>
        <w:rPr>
          <w:rFonts w:ascii="宋体" w:hAnsi="宋体"/>
          <w:b/>
          <w:sz w:val="44"/>
          <w:szCs w:val="22"/>
          <w:highlight w:val="none"/>
        </w:rPr>
      </w:pPr>
      <w:r>
        <w:rPr>
          <w:rFonts w:hint="eastAsia" w:ascii="宋体" w:hAnsi="宋体"/>
          <w:b/>
          <w:sz w:val="44"/>
          <w:szCs w:val="22"/>
          <w:highlight w:val="none"/>
        </w:rPr>
        <w:br w:type="page" w:clear="all"/>
      </w:r>
      <w:r>
        <w:rPr>
          <w:highlight w:val="none"/>
        </w:rPr>
      </w:r>
      <w:r/>
    </w:p>
    <w:p>
      <w:pPr>
        <w:pStyle w:val="991"/>
        <w:ind w:left="0" w:firstLine="0"/>
        <w:jc w:val="center"/>
        <w:rPr>
          <w:rFonts w:ascii="宋体" w:hAnsi="宋体"/>
          <w:b/>
          <w:sz w:val="44"/>
          <w:szCs w:val="22"/>
          <w:highlight w:val="none"/>
        </w:rPr>
      </w:pPr>
      <w:r>
        <w:rPr>
          <w:highlight w:val="none"/>
        </w:rPr>
      </w:r>
      <w:bookmarkStart w:id="87" w:name="_Toc105397795"/>
      <w:r>
        <w:rPr>
          <w:rFonts w:hint="eastAsia" w:ascii="宋体" w:hAnsi="宋体"/>
          <w:b/>
          <w:sz w:val="44"/>
          <w:szCs w:val="22"/>
          <w:highlight w:val="none"/>
        </w:rPr>
        <w:t xml:space="preserve">第六章 </w:t>
      </w:r>
      <w:bookmarkStart w:id="88" w:name="评分要点"/>
      <w:r>
        <w:rPr>
          <w:highlight w:val="none"/>
        </w:rPr>
      </w:r>
      <w:bookmarkEnd w:id="88"/>
      <w:r>
        <w:rPr>
          <w:rFonts w:hint="eastAsia" w:ascii="宋体" w:hAnsi="宋体"/>
          <w:b/>
          <w:sz w:val="44"/>
          <w:szCs w:val="22"/>
          <w:highlight w:val="none"/>
        </w:rPr>
        <w:t xml:space="preserve">评标办法和评分标准</w:t>
      </w:r>
      <w:bookmarkEnd w:id="83"/>
      <w:r>
        <w:rPr>
          <w:highlight w:val="none"/>
        </w:rPr>
      </w:r>
      <w:bookmarkEnd w:id="84"/>
      <w:r>
        <w:rPr>
          <w:highlight w:val="none"/>
        </w:rPr>
      </w:r>
      <w:bookmarkEnd w:id="85"/>
      <w:r>
        <w:rPr>
          <w:highlight w:val="none"/>
        </w:rPr>
      </w:r>
      <w:bookmarkEnd w:id="87"/>
      <w:r>
        <w:rPr>
          <w:highlight w:val="none"/>
        </w:rPr>
      </w:r>
      <w:r/>
    </w:p>
    <w:p>
      <w:pPr>
        <w:ind w:left="0" w:firstLine="422"/>
        <w:spacing w:line="360" w:lineRule="auto"/>
        <w:rPr>
          <w:rFonts w:ascii="宋体" w:hAnsi="宋体"/>
          <w:b/>
          <w:sz w:val="21"/>
          <w:szCs w:val="21"/>
          <w:highlight w:val="none"/>
        </w:rPr>
      </w:pPr>
      <w:r>
        <w:rPr>
          <w:highlight w:val="none"/>
        </w:rPr>
      </w:r>
      <w:bookmarkStart w:id="89" w:name="_Toc17476"/>
      <w:r>
        <w:rPr>
          <w:highlight w:val="none"/>
        </w:rPr>
      </w:r>
      <w:bookmarkStart w:id="90" w:name="_Toc16264"/>
      <w:r>
        <w:rPr>
          <w:highlight w:val="none"/>
        </w:rPr>
      </w:r>
      <w:bookmarkStart w:id="91" w:name="_Toc698"/>
      <w:r>
        <w:rPr>
          <w:rFonts w:hint="eastAsia" w:ascii="宋体" w:hAnsi="宋体"/>
          <w:b/>
          <w:sz w:val="21"/>
          <w:szCs w:val="21"/>
          <w:highlight w:val="none"/>
        </w:rPr>
        <w:t xml:space="preserve">一、评标办法：</w:t>
      </w:r>
      <w:bookmarkEnd w:id="89"/>
      <w:r>
        <w:rPr>
          <w:highlight w:val="none"/>
        </w:rPr>
      </w:r>
      <w:bookmarkEnd w:id="90"/>
      <w:r>
        <w:rPr>
          <w:highlight w:val="none"/>
        </w:rPr>
      </w:r>
      <w:bookmarkEnd w:id="91"/>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highlight w:val="none"/>
        </w:rPr>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rPr>
        <w:t xml:space="preserve">2</w:t>
      </w:r>
      <w:r>
        <w:rPr>
          <w:rFonts w:hint="eastAsia" w:ascii="宋体" w:hAnsi="宋体"/>
          <w:b/>
          <w:sz w:val="21"/>
          <w:highlight w:val="non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rPr>
          <w:highlight w:val="none"/>
        </w:rPr>
      </w:r>
      <w:r/>
    </w:p>
    <w:p>
      <w:pPr>
        <w:ind w:left="0" w:firstLine="420"/>
        <w:spacing w:line="360" w:lineRule="auto"/>
        <w:rPr>
          <w:rFonts w:ascii="宋体" w:hAnsi="宋体"/>
          <w:b/>
          <w:sz w:val="21"/>
          <w:szCs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rPr>
          <w:highlight w:val="none"/>
        </w:rPr>
      </w:r>
      <w:r/>
    </w:p>
    <w:p>
      <w:pPr>
        <w:pStyle w:val="1009"/>
        <w:ind w:left="0" w:firstLine="0"/>
        <w:rPr>
          <w:rFonts w:ascii="宋体" w:hAnsi="宋体" w:cs="Times New Roman"/>
          <w:highlight w:val="none"/>
        </w:rPr>
      </w:pPr>
      <w:r>
        <w:rPr>
          <w:rFonts w:ascii="宋体" w:hAnsi="宋体" w:cs="Times New Roman"/>
          <w:highlight w:val="none"/>
        </w:rPr>
      </w:r>
      <w:r>
        <w:rPr>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rPr>
          <w:highlight w:val="none"/>
        </w:rPr>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(一）价格分：4</w:t>
      </w:r>
      <w:r>
        <w:rPr>
          <w:rFonts w:ascii="宋体" w:hAnsi="宋体"/>
          <w:b/>
          <w:bCs/>
          <w:sz w:val="21"/>
          <w:highlight w:val="none"/>
        </w:rPr>
        <w:t xml:space="preserve">0</w:t>
      </w:r>
      <w:r>
        <w:rPr>
          <w:rFonts w:hint="eastAsia" w:ascii="宋体" w:hAnsi="宋体"/>
          <w:b/>
          <w:bCs/>
          <w:sz w:val="21"/>
          <w:highlight w:val="none"/>
        </w:rPr>
        <w:t xml:space="preserve">分</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第一步：投标报价低于或等于财政预算价格（或最高限价）的，为有效投标报价。超财政预算（或最高限价）的投标报价为无效投标报价。</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投标报价得分＝（评标基准价/投标报价）×4</w:t>
      </w:r>
      <w:r>
        <w:rPr>
          <w:rFonts w:ascii="宋体" w:hAnsi="宋体"/>
          <w:sz w:val="21"/>
          <w:highlight w:val="none"/>
        </w:rPr>
        <w:t xml:space="preserve">0</w:t>
      </w:r>
      <w:r>
        <w:rPr>
          <w:rFonts w:hint="eastAsia" w:ascii="宋体" w:hAnsi="宋体"/>
          <w:sz w:val="21"/>
          <w:highlight w:val="none"/>
        </w:rPr>
        <w:t xml:space="preserve">％×100</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（二）技术参数及配置要求（24分）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打</w:t>
      </w:r>
      <w:bookmarkStart w:id="92" w:name="OLE_LINK3"/>
      <w:r>
        <w:rPr>
          <w:rFonts w:hint="eastAsia" w:ascii="宋体" w:hAnsi="宋体"/>
          <w:sz w:val="21"/>
          <w:highlight w:val="none"/>
        </w:rPr>
        <w:t xml:space="preserve">★</w:t>
      </w:r>
      <w:bookmarkEnd w:id="92"/>
      <w:r>
        <w:rPr>
          <w:rFonts w:hint="eastAsia" w:ascii="宋体" w:hAnsi="宋体"/>
          <w:sz w:val="21"/>
          <w:highlight w:val="none"/>
        </w:rPr>
        <w:t xml:space="preserve">项需提供要求的证明资料，不提供视为负偏离，每负偏离一项扣3分，共计24分；</w:t>
      </w: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（注：带</w:t>
      </w:r>
      <w:bookmarkStart w:id="93" w:name="OLE_LINK5"/>
      <w:r>
        <w:rPr>
          <w:rFonts w:hint="eastAsia" w:ascii="宋体" w:hAnsi="宋体"/>
          <w:b/>
          <w:sz w:val="21"/>
          <w:highlight w:val="none"/>
        </w:rPr>
        <w:t xml:space="preserve">★</w:t>
      </w:r>
      <w:bookmarkEnd w:id="93"/>
      <w:r>
        <w:rPr>
          <w:rFonts w:hint="eastAsia" w:ascii="宋体" w:hAnsi="宋体"/>
          <w:b/>
          <w:sz w:val="21"/>
          <w:highlight w:val="none"/>
        </w:rPr>
        <w:t xml:space="preserve">项技术参数需提供以下任意一种证明材料：1. 具有国家认可的第三方机构出具的检测报告复印件；2.功能截图；3.官网截图；4.技术参数彩页等。以上证明材料需加盖投标单位公章。）</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（三）技术方案（28分）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1、项目实施方案（8分）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（1）项目组人员安排</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（2）进度时序安排：供货及安装调试各节点的时间进度安排</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（3）进度监控与应对措施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（4）质量保证和控制措施</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上述每项应逐条叙述，内容完整，条理清晰，每项得2分；</w:t>
      </w:r>
      <w:r>
        <w:rPr>
          <w:rFonts w:hint="eastAsia" w:ascii="宋体" w:hAnsi="宋体" w:cs="Times New Roman"/>
          <w:sz w:val="21"/>
          <w:szCs w:val="21"/>
          <w:highlight w:val="none"/>
        </w:rPr>
        <w:t xml:space="preserve">内容基本完整，条理较为清晰的</w:t>
      </w:r>
      <w:r>
        <w:rPr>
          <w:rFonts w:hint="eastAsia" w:ascii="宋体" w:hAnsi="宋体"/>
          <w:sz w:val="21"/>
          <w:highlight w:val="none"/>
        </w:rPr>
        <w:t xml:space="preserve">得1分；</w:t>
      </w:r>
      <w:r>
        <w:rPr>
          <w:rFonts w:hint="eastAsia" w:ascii="宋体" w:hAnsi="宋体" w:cs="Times New Roman"/>
          <w:sz w:val="21"/>
          <w:szCs w:val="21"/>
          <w:highlight w:val="none"/>
        </w:rPr>
        <w:t xml:space="preserve">每项叙述内容完全脱离采购需求或未作完整叙述的不得分</w:t>
      </w:r>
      <w:r>
        <w:rPr>
          <w:rFonts w:hint="eastAsia" w:ascii="宋体" w:hAnsi="宋体"/>
          <w:sz w:val="21"/>
          <w:highlight w:val="none"/>
        </w:rPr>
        <w:t xml:space="preserve">；本项最高得8分。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2、售后服务方案（12分）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投标单位根据本项目特点，制定售后服务方案。</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（1）售后服务响应时间（包括线上服务和线下服务）</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（2）服务方式</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（3）服务内容</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（4）服务费用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（5）应急措施</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（6）重大活动保障</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上述每项应逐条叙述，内容完整，条理清晰，每项得2分；</w:t>
      </w:r>
      <w:r>
        <w:rPr>
          <w:rFonts w:hint="eastAsia" w:ascii="宋体" w:hAnsi="宋体" w:cs="Times New Roman"/>
          <w:sz w:val="21"/>
          <w:szCs w:val="21"/>
          <w:highlight w:val="none"/>
        </w:rPr>
        <w:t xml:space="preserve">内容基本完整，条理较为清晰的</w:t>
      </w:r>
      <w:r>
        <w:rPr>
          <w:rFonts w:hint="eastAsia" w:ascii="宋体" w:hAnsi="宋体"/>
          <w:sz w:val="21"/>
          <w:highlight w:val="none"/>
        </w:rPr>
        <w:t xml:space="preserve">得1分；</w:t>
      </w:r>
      <w:r>
        <w:rPr>
          <w:rFonts w:hint="eastAsia" w:ascii="宋体" w:hAnsi="宋体" w:cs="Times New Roman"/>
          <w:sz w:val="21"/>
          <w:szCs w:val="21"/>
          <w:highlight w:val="none"/>
        </w:rPr>
        <w:t xml:space="preserve">每项叙述内容完全脱离采购需求或未作完整叙述的不得分</w:t>
      </w:r>
      <w:r>
        <w:rPr>
          <w:rFonts w:hint="eastAsia" w:ascii="宋体" w:hAnsi="宋体"/>
          <w:sz w:val="21"/>
          <w:highlight w:val="none"/>
        </w:rPr>
        <w:t xml:space="preserve">；本项最高得12分。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3、培训方案要求（8分）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投标单位根据本项目特点，制定培训方案。</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（1）培训时间安排</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（2）培训内容安排</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（3）培训方式</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（4）培训人数计划</w:t>
      </w:r>
      <w:r>
        <w:rPr>
          <w:highlight w:val="none"/>
        </w:rPr>
      </w:r>
      <w:r/>
    </w:p>
    <w:p>
      <w:pPr>
        <w:ind w:left="0" w:firstLine="420"/>
        <w:spacing w:line="360" w:lineRule="auto"/>
        <w:widowControl w:val="off"/>
        <w:rPr>
          <w:rFonts w:ascii="宋体" w:hAnsi="宋体"/>
          <w:b/>
          <w:bCs/>
          <w:sz w:val="21"/>
          <w:szCs w:val="22"/>
          <w:highlight w:val="none"/>
        </w:rPr>
      </w:pPr>
      <w:r>
        <w:rPr>
          <w:rFonts w:hint="eastAsia" w:ascii="宋体" w:hAnsi="宋体"/>
          <w:sz w:val="21"/>
          <w:highlight w:val="none"/>
        </w:rPr>
        <w:t xml:space="preserve">上述每项应逐条叙述，内容完整，条理清晰，每项得2分；</w:t>
      </w:r>
      <w:r>
        <w:rPr>
          <w:rFonts w:hint="eastAsia" w:ascii="宋体" w:hAnsi="宋体" w:cs="Times New Roman"/>
          <w:sz w:val="21"/>
          <w:szCs w:val="21"/>
          <w:highlight w:val="none"/>
        </w:rPr>
        <w:t xml:space="preserve">内容基本完整，条理较为清晰的</w:t>
      </w:r>
      <w:r>
        <w:rPr>
          <w:rFonts w:hint="eastAsia" w:ascii="宋体" w:hAnsi="宋体"/>
          <w:sz w:val="21"/>
          <w:highlight w:val="none"/>
        </w:rPr>
        <w:t xml:space="preserve">得1分；</w:t>
      </w:r>
      <w:r>
        <w:rPr>
          <w:rFonts w:hint="eastAsia" w:ascii="宋体" w:hAnsi="宋体" w:cs="Times New Roman"/>
          <w:sz w:val="21"/>
          <w:szCs w:val="21"/>
          <w:highlight w:val="none"/>
        </w:rPr>
        <w:t xml:space="preserve">每项叙述内容完全脱离采购需求或未作完整叙述的不得分</w:t>
      </w:r>
      <w:r>
        <w:rPr>
          <w:rFonts w:hint="eastAsia" w:ascii="宋体" w:hAnsi="宋体"/>
          <w:sz w:val="21"/>
          <w:highlight w:val="none"/>
        </w:rPr>
        <w:t xml:space="preserve">；本项最高得8分。</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（四） 售后服务承诺（2分）</w:t>
      </w:r>
      <w:r>
        <w:rPr>
          <w:highlight w:val="none"/>
        </w:rPr>
      </w:r>
      <w:r/>
    </w:p>
    <w:p>
      <w:pPr>
        <w:ind w:left="0" w:firstLine="420"/>
        <w:spacing w:line="360" w:lineRule="auto"/>
        <w:widowControl w:val="off"/>
        <w:rPr>
          <w:rFonts w:ascii="宋体" w:hAnsi="宋体"/>
          <w:b/>
          <w:bCs/>
          <w:sz w:val="21"/>
          <w:szCs w:val="22"/>
          <w:highlight w:val="none"/>
        </w:rPr>
      </w:pPr>
      <w:r>
        <w:rPr>
          <w:rFonts w:hint="eastAsia" w:ascii="宋体" w:hAnsi="宋体"/>
          <w:sz w:val="21"/>
          <w:highlight w:val="none"/>
        </w:rPr>
        <w:t xml:space="preserve">投标单位承诺可以按照标段要求年限提供所投产品原厂免费质保期服务，在此基础上每增加一年免费质保期的得1分，最高得2分。（注:投标文件内须提供承诺函并加盖投标单位公章，未提供不得分。）</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（五）投标单位类似项目经验（6分）</w:t>
      </w:r>
      <w:r>
        <w:rPr>
          <w:highlight w:val="none"/>
        </w:rPr>
      </w:r>
      <w:r/>
    </w:p>
    <w:p>
      <w:pPr>
        <w:ind w:left="0" w:firstLine="420"/>
        <w:spacing w:line="360" w:lineRule="auto"/>
        <w:widowControl w:val="off"/>
        <w:rPr>
          <w:rFonts w:ascii="宋体" w:hAnsi="宋体"/>
          <w:sz w:val="21"/>
          <w:highlight w:val="none"/>
        </w:rPr>
      </w:pPr>
      <w:r>
        <w:rPr>
          <w:rFonts w:hint="eastAsia" w:ascii="宋体" w:hAnsi="宋体"/>
          <w:sz w:val="21"/>
          <w:highlight w:val="none"/>
        </w:rPr>
        <w:t xml:space="preserve">投标单位或投标产品的生产厂商提供2022年1月1日（以合同签订日期为准）以来，具有类似项目业绩的，每提供一份得2分,最高6分。</w:t>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highlight w:val="none"/>
        </w:rPr>
        <w:t xml:space="preserve">（注：投标文件中需提供合同复印件并加盖投标单位公章，不提供不得分。类似业绩日期认定：以签订合同日期为准）</w:t>
      </w:r>
      <w:r>
        <w:rPr>
          <w:highlight w:val="none"/>
        </w:rPr>
      </w:r>
      <w:r/>
    </w:p>
    <w:p>
      <w:pPr>
        <w:ind w:left="0" w:firstLine="420"/>
        <w:spacing w:line="360" w:lineRule="auto"/>
        <w:rPr>
          <w:rFonts w:ascii="宋体" w:hAnsi="宋体"/>
          <w:sz w:val="21"/>
          <w:highlight w:val="none"/>
        </w:rPr>
      </w:pPr>
      <w:r>
        <w:rPr>
          <w:rFonts w:ascii="宋体" w:hAnsi="宋体"/>
          <w:sz w:val="21"/>
          <w:highlight w:val="none"/>
        </w:rPr>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rPr>
          <w:highlight w:val="none"/>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8"/>
    <w:uiPriority w:val="11"/>
    <w:rPr>
      <w:sz w:val="24"/>
      <w:szCs w:val="24"/>
    </w:rPr>
  </w:style>
  <w:style w:type="character" w:styleId="855">
    <w:name w:val="Quote Char"/>
    <w:link w:val="1242"/>
    <w:uiPriority w:val="29"/>
    <w:rPr>
      <w:i/>
    </w:rPr>
  </w:style>
  <w:style w:type="character" w:styleId="856">
    <w:name w:val="Intense Quote Char"/>
    <w:link w:val="1368"/>
    <w:uiPriority w:val="30"/>
    <w:rPr>
      <w:i/>
    </w:rPr>
  </w:style>
  <w:style w:type="character" w:styleId="857">
    <w:name w:val="Header Char"/>
    <w:basedOn w:val="1000"/>
    <w:link w:val="1036"/>
    <w:uiPriority w:val="99"/>
  </w:style>
  <w:style w:type="character" w:styleId="858">
    <w:name w:val="Footer Char"/>
    <w:basedOn w:val="1000"/>
    <w:link w:val="1034"/>
    <w:uiPriority w:val="99"/>
  </w:style>
  <w:style w:type="character" w:styleId="859">
    <w:name w:val="Caption Char"/>
    <w:basedOn w:val="1010"/>
    <w:link w:val="1034"/>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1"/>
    <w:uiPriority w:val="99"/>
    <w:rPr>
      <w:sz w:val="18"/>
    </w:rPr>
  </w:style>
  <w:style w:type="character" w:styleId="986">
    <w:name w:val="Endnote Text Char"/>
    <w:link w:val="1031"/>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customStyle="1">
    <w:name w:val="正文1"/>
    <w:basedOn w:val="990"/>
    <w:next w:val="990"/>
    <w:qFormat/>
    <w:pPr>
      <w:spacing w:line="312" w:lineRule="atLeast"/>
    </w:pPr>
    <w:rPr>
      <w:rFonts w:ascii="楷体_GB2312" w:hAnsi="Times New Roman" w:eastAsia="楷体_GB2312" w:cs="Times New Roman"/>
      <w:sz w:val="24"/>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qFormat/>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60"/>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rPr>
  </w:style>
  <w:style w:type="paragraph" w:styleId="1014">
    <w:name w:val="annotation text"/>
    <w:basedOn w:val="991"/>
    <w:next w:val="990"/>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990"/>
    <w:qFormat/>
    <w:pPr>
      <w:ind w:left="0" w:firstLine="2560"/>
    </w:pPr>
    <w:rPr>
      <w:rFonts w:ascii="Times New Roman" w:hAnsi="Times New Roman" w:cs="Times New Roman"/>
    </w:rPr>
  </w:style>
  <w:style w:type="paragraph" w:styleId="1018">
    <w:name w:val="Body Text Indent"/>
    <w:basedOn w:val="990"/>
    <w:next w:val="990"/>
    <w:qFormat/>
    <w:pPr>
      <w:ind w:left="420" w:firstLine="1188"/>
      <w:spacing w:line="360" w:lineRule="exact"/>
    </w:pPr>
    <w:rPr>
      <w:rFonts w:ascii="Times New Roman" w:hAnsi="Times New Roman" w:cs="Times New Roman"/>
    </w:rPr>
  </w:style>
  <w:style w:type="paragraph" w:styleId="1019">
    <w:name w:val="List Number 3"/>
    <w:basedOn w:val="991"/>
    <w:next w:val="990"/>
    <w:qFormat/>
    <w:pPr>
      <w:ind w:left="420" w:firstLine="3584"/>
      <w:spacing w:before="0" w:after="0" w:line="240" w:lineRule="auto"/>
    </w:pPr>
    <w:rPr>
      <w:rFonts w:ascii="Times New Roman" w:hAnsi="Times New Roman" w:cs="Times New Roman"/>
    </w:rPr>
  </w:style>
  <w:style w:type="paragraph" w:styleId="1020">
    <w:name w:val="List 2"/>
    <w:basedOn w:val="991"/>
    <w:next w:val="1005"/>
    <w:qFormat/>
    <w:pPr>
      <w:ind w:left="100" w:firstLine="3640"/>
      <w:spacing w:before="0" w:after="0" w:line="240" w:lineRule="auto"/>
    </w:pPr>
    <w:rPr>
      <w:rFonts w:ascii="Times New Roman" w:hAnsi="Times New Roman" w:cs="Times New Roman"/>
    </w:rPr>
  </w:style>
  <w:style w:type="paragraph" w:styleId="1021">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2">
    <w:name w:val="toc 5"/>
    <w:basedOn w:val="991"/>
    <w:next w:val="990"/>
    <w:qFormat/>
    <w:pPr>
      <w:ind w:left="1160" w:firstLine="3784"/>
      <w:spacing w:before="0" w:after="0" w:line="360" w:lineRule="auto"/>
    </w:pPr>
    <w:rPr>
      <w:rFonts w:ascii="Times New Roman" w:hAnsi="Times New Roman" w:cs="Times New Roman"/>
    </w:rPr>
  </w:style>
  <w:style w:type="paragraph" w:styleId="1023">
    <w:name w:val="toc 3"/>
    <w:basedOn w:val="991"/>
    <w:next w:val="990"/>
    <w:qFormat/>
    <w:pPr>
      <w:ind w:left="0" w:firstLine="1024"/>
      <w:spacing w:before="0" w:after="0" w:line="360" w:lineRule="auto"/>
    </w:pPr>
    <w:rPr>
      <w:rFonts w:ascii="Times New Roman" w:hAnsi="Times New Roman" w:cs="Times New Roman"/>
    </w:rPr>
  </w:style>
  <w:style w:type="paragraph" w:styleId="1024">
    <w:name w:val="Plain Text"/>
    <w:basedOn w:val="991"/>
    <w:next w:val="1025"/>
    <w:qFormat/>
    <w:pPr>
      <w:ind w:left="0" w:firstLine="2048"/>
      <w:spacing w:before="0" w:after="0" w:line="240" w:lineRule="auto"/>
    </w:pPr>
    <w:rPr>
      <w:rFonts w:ascii="Times New Roman" w:hAnsi="Times New Roman" w:cs="Times New Roman"/>
    </w:rPr>
  </w:style>
  <w:style w:type="paragraph" w:styleId="1025">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6">
    <w:name w:val="List Bullet 5"/>
    <w:basedOn w:val="991"/>
    <w:next w:val="1027"/>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qFormat/>
    <w:pPr>
      <w:ind w:left="420" w:firstLine="2724"/>
      <w:spacing w:after="120" w:line="360" w:lineRule="auto"/>
    </w:pPr>
    <w:rPr>
      <w:rFonts w:ascii="Calibri" w:hAnsi="Calibri"/>
    </w:rPr>
  </w:style>
  <w:style w:type="paragraph" w:styleId="1028">
    <w:name w:val="toc 8"/>
    <w:basedOn w:val="991"/>
    <w:next w:val="990"/>
    <w:qFormat/>
    <w:pPr>
      <w:ind w:left="1880" w:firstLine="3784"/>
      <w:spacing w:before="0" w:after="0" w:line="360" w:lineRule="auto"/>
    </w:pPr>
    <w:rPr>
      <w:rFonts w:ascii="Times New Roman" w:hAnsi="Times New Roman" w:cs="Times New Roman"/>
    </w:rPr>
  </w:style>
  <w:style w:type="paragraph" w:styleId="1029">
    <w:name w:val="Date"/>
    <w:basedOn w:val="991"/>
    <w:next w:val="990"/>
    <w:qFormat/>
    <w:pPr>
      <w:ind w:left="0" w:firstLine="2560"/>
      <w:spacing w:before="0" w:after="0" w:line="240" w:lineRule="auto"/>
    </w:pPr>
    <w:rPr>
      <w:rFonts w:ascii="Times New Roman" w:hAnsi="Times New Roman" w:cs="Times New Roman"/>
    </w:rPr>
  </w:style>
  <w:style w:type="paragraph" w:styleId="1030">
    <w:name w:val="Body Text Indent 2"/>
    <w:basedOn w:val="991"/>
    <w:next w:val="1018"/>
    <w:qFormat/>
    <w:pPr>
      <w:ind w:left="481" w:firstLine="2784"/>
      <w:spacing w:before="0" w:after="0" w:line="400" w:lineRule="exact"/>
    </w:pPr>
    <w:rPr>
      <w:rFonts w:ascii="Times New Roman" w:hAnsi="Times New Roman" w:cs="Times New Roman"/>
    </w:rPr>
  </w:style>
  <w:style w:type="paragraph" w:styleId="1031">
    <w:name w:val="endnote text"/>
    <w:basedOn w:val="991"/>
    <w:next w:val="1032"/>
    <w:qFormat/>
    <w:pPr>
      <w:ind w:left="0" w:firstLine="2560"/>
      <w:spacing w:before="0" w:after="0" w:line="360" w:lineRule="auto"/>
    </w:pPr>
    <w:rPr>
      <w:rFonts w:ascii="Times New Roman" w:hAnsi="Times New Roman" w:cs="Times New Roman"/>
    </w:rPr>
  </w:style>
  <w:style w:type="paragraph" w:styleId="1032" w:customStyle="1">
    <w:name w:val="Char11"/>
    <w:basedOn w:val="991"/>
    <w:next w:val="990"/>
    <w:qFormat/>
    <w:pPr>
      <w:ind w:left="0" w:firstLine="3584"/>
      <w:spacing w:before="0" w:after="0" w:line="240" w:lineRule="auto"/>
    </w:pPr>
    <w:rPr>
      <w:rFonts w:ascii="Times New Roman" w:hAnsi="Times New Roman" w:cs="Times New Roman"/>
    </w:rPr>
  </w:style>
  <w:style w:type="paragraph" w:styleId="1033">
    <w:name w:val="Balloon Text"/>
    <w:basedOn w:val="991"/>
    <w:next w:val="1008"/>
    <w:qFormat/>
    <w:pPr>
      <w:ind w:left="0" w:firstLine="2048"/>
      <w:spacing w:before="0" w:after="0" w:line="240" w:lineRule="auto"/>
    </w:pPr>
    <w:rPr>
      <w:rFonts w:ascii="Times New Roman" w:hAnsi="Times New Roman" w:cs="Times New Roman"/>
    </w:rPr>
  </w:style>
  <w:style w:type="paragraph" w:styleId="1034">
    <w:name w:val="Footer"/>
    <w:basedOn w:val="990"/>
    <w:next w:val="1035"/>
    <w:link w:val="1061"/>
    <w:qFormat/>
    <w:pPr>
      <w:ind w:left="0" w:firstLine="3584"/>
    </w:pPr>
  </w:style>
  <w:style w:type="paragraph" w:styleId="1035"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6">
    <w:name w:val="Header"/>
    <w:basedOn w:val="991"/>
    <w:next w:val="1029"/>
    <w:link w:val="1062"/>
    <w:qFormat/>
    <w:pPr>
      <w:ind w:left="0" w:firstLine="3584"/>
      <w:jc w:val="center"/>
      <w:spacing w:before="0" w:after="0" w:line="240" w:lineRule="auto"/>
    </w:pPr>
  </w:style>
  <w:style w:type="paragraph" w:styleId="1037">
    <w:name w:val="toc 4"/>
    <w:basedOn w:val="991"/>
    <w:next w:val="990"/>
    <w:qFormat/>
    <w:pPr>
      <w:ind w:left="1260" w:firstLine="1024"/>
      <w:spacing w:before="0" w:after="0" w:line="240" w:lineRule="auto"/>
    </w:pPr>
    <w:rPr>
      <w:rFonts w:ascii="Times New Roman" w:hAnsi="Times New Roman" w:cs="Times New Roman"/>
    </w:rPr>
  </w:style>
  <w:style w:type="paragraph" w:styleId="1038">
    <w:name w:val="Subtitle"/>
    <w:next w:val="990"/>
    <w:qFormat/>
    <w:pPr>
      <w:ind w:left="1024"/>
      <w:jc w:val="center"/>
      <w:spacing w:after="60"/>
    </w:pPr>
    <w:rPr>
      <w:rFonts w:ascii="Calibri" w:hAnsi="Calibri"/>
    </w:rPr>
  </w:style>
  <w:style w:type="paragraph" w:styleId="1039">
    <w:name w:val="List"/>
    <w:basedOn w:val="991"/>
    <w:next w:val="1040"/>
    <w:qFormat/>
    <w:pPr>
      <w:ind w:left="200" w:firstLine="3640"/>
      <w:spacing w:before="0" w:after="0" w:line="240" w:lineRule="auto"/>
    </w:pPr>
    <w:rPr>
      <w:rFonts w:ascii="Times New Roman" w:hAnsi="Times New Roman" w:cs="Times New Roman"/>
    </w:rPr>
  </w:style>
  <w:style w:type="paragraph" w:styleId="1040">
    <w:name w:val="Body Text First Indent"/>
    <w:next w:val="990"/>
    <w:qFormat/>
    <w:pPr>
      <w:ind w:left="420" w:firstLine="3748"/>
      <w:spacing w:after="120"/>
    </w:pPr>
    <w:rPr>
      <w:rFonts w:ascii="Calibri" w:hAnsi="Calibri"/>
    </w:rPr>
  </w:style>
  <w:style w:type="paragraph" w:styleId="1041">
    <w:name w:val="footnote text"/>
    <w:basedOn w:val="991"/>
    <w:next w:val="1021"/>
    <w:qFormat/>
    <w:pPr>
      <w:ind w:left="0" w:firstLine="3584"/>
      <w:spacing w:before="0" w:after="0" w:line="360" w:lineRule="auto"/>
    </w:pPr>
    <w:rPr>
      <w:rFonts w:ascii="Times New Roman" w:hAnsi="Times New Roman" w:cs="Times New Roman"/>
    </w:rPr>
  </w:style>
  <w:style w:type="paragraph" w:styleId="1042">
    <w:name w:val="toc 6"/>
    <w:basedOn w:val="991"/>
    <w:next w:val="990"/>
    <w:qFormat/>
    <w:pPr>
      <w:ind w:left="1400" w:firstLine="3784"/>
      <w:spacing w:before="0" w:after="0" w:line="360" w:lineRule="auto"/>
    </w:pPr>
    <w:rPr>
      <w:rFonts w:ascii="Times New Roman" w:hAnsi="Times New Roman" w:cs="Times New Roman"/>
    </w:rPr>
  </w:style>
  <w:style w:type="paragraph" w:styleId="1043">
    <w:name w:val="List 5"/>
    <w:basedOn w:val="991"/>
    <w:next w:val="1017"/>
    <w:qFormat/>
    <w:pPr>
      <w:ind w:left="2100" w:firstLine="3676"/>
      <w:spacing w:before="0" w:after="0" w:line="240" w:lineRule="auto"/>
    </w:pPr>
    <w:rPr>
      <w:rFonts w:ascii="Times New Roman" w:hAnsi="Times New Roman" w:cs="Times New Roman"/>
    </w:rPr>
  </w:style>
  <w:style w:type="paragraph" w:styleId="1044">
    <w:name w:val="Body Text Indent 3"/>
    <w:basedOn w:val="991"/>
    <w:next w:val="1042"/>
    <w:qFormat/>
    <w:pPr>
      <w:ind w:left="480" w:firstLine="2784"/>
      <w:spacing w:before="0" w:after="0" w:line="400" w:lineRule="exact"/>
    </w:pPr>
    <w:rPr>
      <w:rFonts w:ascii="Times New Roman" w:hAnsi="Times New Roman" w:cs="Times New Roman"/>
    </w:rPr>
  </w:style>
  <w:style w:type="paragraph" w:styleId="1045">
    <w:name w:val="toc 2"/>
    <w:basedOn w:val="991"/>
    <w:next w:val="990"/>
    <w:qFormat/>
    <w:pPr>
      <w:ind w:left="0" w:firstLine="1024"/>
      <w:spacing w:before="0" w:after="0" w:line="360" w:lineRule="auto"/>
    </w:pPr>
    <w:rPr>
      <w:rFonts w:ascii="Times New Roman" w:hAnsi="Times New Roman" w:cs="Times New Roman"/>
    </w:rPr>
  </w:style>
  <w:style w:type="paragraph" w:styleId="1046">
    <w:name w:val="toc 9"/>
    <w:basedOn w:val="991"/>
    <w:next w:val="990"/>
    <w:qFormat/>
    <w:pPr>
      <w:ind w:left="2120" w:firstLine="3784"/>
      <w:spacing w:before="0" w:after="0" w:line="360" w:lineRule="auto"/>
    </w:pPr>
    <w:rPr>
      <w:rFonts w:ascii="Times New Roman" w:hAnsi="Times New Roman" w:cs="Times New Roman"/>
    </w:rPr>
  </w:style>
  <w:style w:type="paragraph" w:styleId="1047">
    <w:name w:val="Body Text 2"/>
    <w:basedOn w:val="991"/>
    <w:next w:val="1011"/>
    <w:qFormat/>
    <w:pPr>
      <w:ind w:left="0" w:firstLine="1024"/>
      <w:spacing w:before="0" w:after="120" w:line="480" w:lineRule="auto"/>
    </w:pPr>
    <w:rPr>
      <w:rFonts w:ascii="Times New Roman" w:hAnsi="Times New Roman" w:cs="Times New Roman"/>
    </w:rPr>
  </w:style>
  <w:style w:type="paragraph" w:styleId="1048">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9">
    <w:name w:val="Normal (Web)"/>
    <w:basedOn w:val="990"/>
    <w:next w:val="1020"/>
    <w:qFormat/>
    <w:pPr>
      <w:ind w:left="15" w:right="15" w:firstLine="4608"/>
      <w:spacing w:before="60" w:after="60" w:line="312" w:lineRule="auto"/>
    </w:pPr>
    <w:rPr>
      <w:rFonts w:ascii="Times New Roman" w:hAnsi="Times New Roman" w:cs="Times New Roman"/>
    </w:rPr>
  </w:style>
  <w:style w:type="paragraph" w:styleId="1050">
    <w:name w:val="index 1"/>
    <w:basedOn w:val="991"/>
    <w:next w:val="990"/>
    <w:qFormat/>
    <w:pPr>
      <w:ind w:left="0" w:firstLine="3584"/>
      <w:spacing w:before="0" w:after="0" w:line="240" w:lineRule="auto"/>
    </w:pPr>
    <w:rPr>
      <w:rFonts w:ascii="Times New Roman" w:hAnsi="Times New Roman" w:cs="Times New Roman"/>
    </w:rPr>
  </w:style>
  <w:style w:type="paragraph" w:styleId="1051">
    <w:name w:val="Body Text First Indent 2"/>
    <w:basedOn w:val="1018"/>
    <w:unhideWhenUsed/>
    <w:qFormat/>
    <w:pPr>
      <w:ind w:firstLine="420"/>
    </w:pPr>
  </w:style>
  <w:style w:type="table" w:styleId="105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qFormat/>
    <w:rPr>
      <w:rFonts w:ascii="Times New Roman" w:hAnsi="Times New Roman" w:eastAsia="宋体" w:cs="Times New Roman"/>
      <w:b/>
      <w:sz w:val="20"/>
    </w:rPr>
  </w:style>
  <w:style w:type="character" w:styleId="1054">
    <w:name w:val="page number"/>
    <w:qFormat/>
    <w:rPr>
      <w:rFonts w:ascii="Times New Roman" w:hAnsi="Times New Roman" w:eastAsia="宋体" w:cs="Times New Roman"/>
      <w:sz w:val="20"/>
    </w:rPr>
  </w:style>
  <w:style w:type="character" w:styleId="1055">
    <w:name w:val="FollowedHyperlink"/>
    <w:qFormat/>
    <w:rPr>
      <w:rFonts w:ascii="Times New Roman" w:hAnsi="Times New Roman" w:eastAsia="宋体" w:cs="Times New Roman"/>
      <w:color w:val="800080"/>
      <w:sz w:val="20"/>
      <w:u w:val="single"/>
    </w:rPr>
  </w:style>
  <w:style w:type="character" w:styleId="1056">
    <w:name w:val="Emphasis"/>
    <w:uiPriority w:val="2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qFormat/>
    <w:rPr>
      <w:rFonts w:ascii="Times New Roman" w:hAnsi="Times New Roman" w:eastAsia="宋体" w:cs="Times New Roman"/>
      <w:sz w:val="20"/>
    </w:rPr>
  </w:style>
  <w:style w:type="character" w:styleId="1059">
    <w:name w:val="footnote reference"/>
    <w:qFormat/>
    <w:rPr>
      <w:rFonts w:ascii="Times New Roman" w:hAnsi="Times New Roman" w:eastAsia="宋体" w:cs="Times New Roman"/>
      <w:vertAlign w:val="superscript"/>
    </w:rPr>
  </w:style>
  <w:style w:type="character" w:styleId="1060" w:customStyle="1">
    <w:name w:val="正文缩进 字符"/>
    <w:link w:val="1009"/>
    <w:qFormat/>
    <w:rPr>
      <w:rFonts w:ascii="Calibri" w:hAnsi="Calibri" w:eastAsia="宋体" w:cs="Times New Roman"/>
    </w:rPr>
  </w:style>
  <w:style w:type="character" w:styleId="1061" w:customStyle="1">
    <w:name w:val="页脚 字符"/>
    <w:link w:val="1034"/>
    <w:qFormat/>
    <w:rPr>
      <w:rFonts w:ascii="Calibri" w:hAnsi="Calibri" w:eastAsia="宋体" w:cs="Times New Roman"/>
    </w:rPr>
  </w:style>
  <w:style w:type="character" w:styleId="1062" w:customStyle="1">
    <w:name w:val="页眉 字符"/>
    <w:link w:val="1036"/>
    <w:qFormat/>
    <w:rPr>
      <w:rFonts w:ascii="Calibri" w:hAnsi="Calibri" w:eastAsia="宋体" w:cs="Times New Roman"/>
    </w:rPr>
  </w:style>
  <w:style w:type="character" w:styleId="1063" w:customStyle="1">
    <w:name w:val="日期 Char"/>
    <w:qFormat/>
    <w:rPr>
      <w:rFonts w:ascii="Times New Roman" w:hAnsi="Times New Roman" w:eastAsia="宋体" w:cs="Times New Roman"/>
      <w:sz w:val="20"/>
    </w:rPr>
  </w:style>
  <w:style w:type="character" w:styleId="1064" w:customStyle="1">
    <w:name w:val="批注引用1"/>
    <w:qFormat/>
    <w:rPr>
      <w:rFonts w:ascii="Times New Roman" w:hAnsi="Times New Roman" w:eastAsia="宋体" w:cs="Times New Roman"/>
      <w:sz w:val="20"/>
    </w:rPr>
  </w:style>
  <w:style w:type="character" w:styleId="1065" w:customStyle="1">
    <w:name w:val="应答文本 Char Char"/>
    <w:qFormat/>
    <w:rPr>
      <w:rFonts w:ascii="Times New Roman" w:hAnsi="Times New Roman" w:eastAsia="宋体" w:cs="Times New Roman"/>
      <w:sz w:val="20"/>
    </w:rPr>
  </w:style>
  <w:style w:type="character" w:styleId="1066" w:customStyle="1">
    <w:name w:val="图片0 Char Char"/>
    <w:qFormat/>
    <w:rPr>
      <w:rFonts w:ascii="Times New Roman" w:hAnsi="Times New Roman" w:eastAsia="宋体" w:cs="Times New Roman"/>
      <w:sz w:val="20"/>
    </w:rPr>
  </w:style>
  <w:style w:type="character" w:styleId="1067" w:customStyle="1">
    <w:name w:val="尾注文本 Char"/>
    <w:qFormat/>
    <w:rPr>
      <w:rFonts w:ascii="Times New Roman" w:hAnsi="Times New Roman" w:eastAsia="宋体" w:cs="Times New Roman"/>
      <w:sz w:val="20"/>
    </w:rPr>
  </w:style>
  <w:style w:type="character" w:styleId="1068" w:customStyle="1">
    <w:name w:val="文档结构图 字符"/>
    <w:qFormat/>
    <w:rPr>
      <w:rFonts w:ascii="Microsoft YaHei UI" w:hAnsi="Times New Roman" w:eastAsia="Microsoft YaHei UI" w:cs="Times New Roman"/>
      <w:sz w:val="18"/>
      <w:szCs w:val="18"/>
    </w:rPr>
  </w:style>
  <w:style w:type="character" w:styleId="1069" w:customStyle="1">
    <w:name w:val="_Style 337"/>
    <w:qFormat/>
    <w:rPr>
      <w:rFonts w:ascii="Times New Roman" w:hAnsi="Times New Roman" w:eastAsia="宋体" w:cs="Times New Roman"/>
      <w:color w:val="auto"/>
      <w:sz w:val="21"/>
    </w:rPr>
  </w:style>
  <w:style w:type="character" w:styleId="1070" w:customStyle="1">
    <w:name w:val="正文文本 字符"/>
    <w:qFormat/>
    <w:rPr>
      <w:rFonts w:ascii="Times New Roman" w:hAnsi="Times New Roman" w:eastAsia="宋体" w:cs="Times New Roman"/>
      <w:sz w:val="21"/>
    </w:rPr>
  </w:style>
  <w:style w:type="character" w:styleId="1071" w:customStyle="1">
    <w:name w:val="批注文字 字符"/>
    <w:qFormat/>
    <w:rPr>
      <w:rFonts w:ascii="Times New Roman" w:hAnsi="Times New Roman" w:eastAsia="宋体" w:cs="Times New Roman"/>
      <w:sz w:val="20"/>
    </w:rPr>
  </w:style>
  <w:style w:type="character" w:styleId="1072" w:customStyle="1">
    <w:name w:val="批注文字 Char1"/>
    <w:qFormat/>
    <w:rPr>
      <w:rFonts w:ascii="Times New Roman" w:hAnsi="Times New Roman" w:eastAsia="宋体" w:cs="Times New Roman"/>
      <w:sz w:val="20"/>
    </w:rPr>
  </w:style>
  <w:style w:type="character" w:styleId="1073" w:customStyle="1">
    <w:name w:val="txt"/>
    <w:qFormat/>
    <w:rPr>
      <w:rFonts w:ascii="Times New Roman" w:hAnsi="Times New Roman" w:eastAsia="宋体" w:cs="Times New Roman"/>
      <w:sz w:val="20"/>
    </w:rPr>
  </w:style>
  <w:style w:type="character" w:styleId="1074" w:customStyle="1">
    <w:name w:val="标书正文 Char"/>
    <w:qFormat/>
    <w:rPr>
      <w:rFonts w:ascii="Times New Roman" w:hAnsi="Times New Roman" w:eastAsia="宋体" w:cs="Times New Roman"/>
      <w:sz w:val="20"/>
    </w:rPr>
  </w:style>
  <w:style w:type="character" w:styleId="1075" w:customStyle="1">
    <w:name w:val="font21"/>
    <w:qFormat/>
    <w:rPr>
      <w:rFonts w:hint="eastAsia" w:ascii="宋体" w:hAnsi="宋体" w:eastAsia="宋体" w:cs="宋体"/>
      <w:color w:val="ff0000"/>
      <w:sz w:val="24"/>
      <w:szCs w:val="24"/>
      <w:u w:val="none"/>
    </w:rPr>
  </w:style>
  <w:style w:type="character" w:styleId="1076" w:customStyle="1">
    <w:name w:val="apple-converted-space"/>
    <w:qFormat/>
    <w:rPr>
      <w:rFonts w:ascii="Times New Roman" w:hAnsi="Times New Roman" w:eastAsia="宋体" w:cs="Times New Roman"/>
      <w:sz w:val="20"/>
    </w:rPr>
  </w:style>
  <w:style w:type="character" w:styleId="1077" w:customStyle="1">
    <w:name w:val="纯文本 Char1"/>
    <w:qFormat/>
    <w:rPr>
      <w:rFonts w:ascii="Times New Roman" w:hAnsi="Times New Roman" w:eastAsia="宋体" w:cs="Times New Roman"/>
      <w:sz w:val="20"/>
    </w:rPr>
  </w:style>
  <w:style w:type="character" w:styleId="1078" w:customStyle="1">
    <w:name w:val="para1"/>
    <w:qFormat/>
    <w:rPr>
      <w:rFonts w:ascii="Times New Roman" w:hAnsi="Times New Roman" w:eastAsia="宋体" w:cs="Times New Roman"/>
      <w:sz w:val="20"/>
    </w:rPr>
  </w:style>
  <w:style w:type="character" w:styleId="1079" w:customStyle="1">
    <w:name w:val="HTML 预设格式 Char1"/>
    <w:qFormat/>
    <w:rPr>
      <w:rFonts w:ascii="Times New Roman" w:hAnsi="Times New Roman" w:eastAsia="宋体" w:cs="Times New Roman"/>
      <w:sz w:val="20"/>
    </w:rPr>
  </w:style>
  <w:style w:type="character" w:styleId="1080" w:customStyle="1">
    <w:name w:val="批注文字 Char"/>
    <w:qFormat/>
    <w:rPr>
      <w:rFonts w:ascii="Times New Roman" w:hAnsi="Times New Roman" w:eastAsia="宋体" w:cs="Times New Roman"/>
      <w:sz w:val="20"/>
    </w:rPr>
  </w:style>
  <w:style w:type="character" w:styleId="1081" w:customStyle="1">
    <w:name w:val="文档结构图 Char"/>
    <w:qFormat/>
    <w:rPr>
      <w:rFonts w:ascii="Times New Roman" w:hAnsi="Times New Roman" w:eastAsia="宋体" w:cs="Times New Roman"/>
      <w:sz w:val="20"/>
    </w:rPr>
  </w:style>
  <w:style w:type="character" w:styleId="1082" w:customStyle="1">
    <w:name w:val="超级链接"/>
    <w:qFormat/>
    <w:rPr>
      <w:rFonts w:ascii="Times New Roman" w:hAnsi="Times New Roman" w:eastAsia="宋体" w:cs="Times New Roman"/>
      <w:color w:val="0000ff"/>
      <w:sz w:val="20"/>
      <w:u w:val="single"/>
    </w:rPr>
  </w:style>
  <w:style w:type="character" w:styleId="1083" w:customStyle="1">
    <w:name w:val="p141"/>
    <w:qFormat/>
    <w:rPr>
      <w:rFonts w:ascii="Times New Roman" w:hAnsi="Times New Roman" w:eastAsia="宋体" w:cs="Times New Roman"/>
      <w:color w:val="000000"/>
      <w:sz w:val="20"/>
      <w:u w:val="none"/>
    </w:rPr>
  </w:style>
  <w:style w:type="character" w:styleId="1084" w:customStyle="1">
    <w:name w:val="宏文本 Char"/>
    <w:qFormat/>
    <w:rPr>
      <w:rFonts w:ascii="Times New Roman" w:hAnsi="Times New Roman" w:eastAsia="宋体" w:cs="Times New Roman"/>
      <w:sz w:val="20"/>
    </w:rPr>
  </w:style>
  <w:style w:type="character" w:styleId="1085" w:customStyle="1">
    <w:name w:val="_Style 313"/>
    <w:qFormat/>
    <w:rPr>
      <w:rFonts w:ascii="Times New Roman" w:hAnsi="Times New Roman" w:eastAsia="宋体" w:cs="Times New Roman"/>
      <w:b/>
      <w:i/>
      <w:sz w:val="21"/>
    </w:rPr>
  </w:style>
  <w:style w:type="character" w:styleId="1086" w:customStyle="1">
    <w:name w:val="页脚 Char1"/>
    <w:qFormat/>
    <w:rPr>
      <w:rFonts w:ascii="Times New Roman" w:hAnsi="Times New Roman" w:eastAsia="宋体" w:cs="Times New Roman"/>
      <w:sz w:val="20"/>
    </w:rPr>
  </w:style>
  <w:style w:type="character" w:styleId="1087" w:customStyle="1">
    <w:name w:val="页眉 Char"/>
    <w:qFormat/>
    <w:rPr>
      <w:rFonts w:ascii="Times New Roman" w:hAnsi="Times New Roman" w:eastAsia="宋体" w:cs="Times New Roman"/>
      <w:sz w:val="20"/>
    </w:rPr>
  </w:style>
  <w:style w:type="character" w:styleId="1088" w:customStyle="1">
    <w:name w:val="标题 7 Char"/>
    <w:qFormat/>
    <w:rPr>
      <w:rFonts w:ascii="Times New Roman" w:hAnsi="Times New Roman" w:eastAsia="宋体" w:cs="Times New Roman"/>
      <w:b/>
      <w:sz w:val="20"/>
    </w:rPr>
  </w:style>
  <w:style w:type="character" w:styleId="1089" w:customStyle="1">
    <w:name w:val="Char Char12"/>
    <w:qFormat/>
    <w:rPr>
      <w:rFonts w:ascii="Times New Roman" w:hAnsi="Times New Roman" w:eastAsia="宋体" w:cs="Times New Roman"/>
      <w:sz w:val="20"/>
    </w:rPr>
  </w:style>
  <w:style w:type="character" w:styleId="1090" w:customStyle="1">
    <w:name w:val="标题 3 Char"/>
    <w:qFormat/>
    <w:rPr>
      <w:rFonts w:ascii="Times New Roman" w:hAnsi="Times New Roman" w:eastAsia="宋体" w:cs="Times New Roman"/>
      <w:b/>
      <w:sz w:val="20"/>
    </w:rPr>
  </w:style>
  <w:style w:type="character" w:styleId="1091" w:customStyle="1">
    <w:name w:val="正文（首行缩进 2 字符） Char Char"/>
    <w:qFormat/>
    <w:rPr>
      <w:rFonts w:ascii="Times New Roman" w:hAnsi="Times New Roman" w:eastAsia="宋体" w:cs="Times New Roman"/>
      <w:sz w:val="20"/>
    </w:rPr>
  </w:style>
  <w:style w:type="character" w:styleId="1092" w:customStyle="1">
    <w:name w:val="表格用 Char Char"/>
    <w:qFormat/>
    <w:rPr>
      <w:rFonts w:ascii="Times New Roman" w:hAnsi="Times New Roman" w:eastAsia="宋体" w:cs="Times New Roman"/>
      <w:sz w:val="20"/>
    </w:rPr>
  </w:style>
  <w:style w:type="character" w:styleId="1093" w:customStyle="1">
    <w:name w:val="正文文本缩进 3 Char1"/>
    <w:qFormat/>
    <w:rPr>
      <w:rFonts w:ascii="Times New Roman" w:hAnsi="Times New Roman" w:eastAsia="宋体" w:cs="Times New Roman"/>
      <w:sz w:val="20"/>
    </w:rPr>
  </w:style>
  <w:style w:type="character" w:styleId="1094" w:customStyle="1">
    <w:name w:val="正文缩进 Char"/>
    <w:qFormat/>
    <w:rPr>
      <w:rFonts w:ascii="Times New Roman" w:hAnsi="Times New Roman" w:eastAsia="宋体" w:cs="Times New Roman"/>
      <w:sz w:val="20"/>
    </w:rPr>
  </w:style>
  <w:style w:type="character" w:styleId="1095" w:customStyle="1">
    <w:name w:val="批注框文本 Char1"/>
    <w:qFormat/>
    <w:rPr>
      <w:rFonts w:ascii="Times New Roman" w:hAnsi="Times New Roman" w:eastAsia="宋体" w:cs="Times New Roman"/>
      <w:sz w:val="20"/>
    </w:rPr>
  </w:style>
  <w:style w:type="character" w:styleId="1096" w:customStyle="1">
    <w:name w:val="Char Char13"/>
    <w:qFormat/>
    <w:rPr>
      <w:rFonts w:ascii="Times New Roman" w:hAnsi="Times New Roman" w:eastAsia="宋体" w:cs="Times New Roman"/>
      <w:sz w:val="20"/>
    </w:rPr>
  </w:style>
  <w:style w:type="character" w:styleId="1097" w:customStyle="1">
    <w:name w:val="样式2 Char"/>
    <w:qFormat/>
    <w:rPr>
      <w:rFonts w:ascii="Times New Roman" w:hAnsi="Times New Roman" w:eastAsia="宋体" w:cs="Times New Roman"/>
      <w:b/>
      <w:sz w:val="20"/>
    </w:rPr>
  </w:style>
  <w:style w:type="character" w:styleId="1098" w:customStyle="1">
    <w:name w:val="页脚 Char"/>
    <w:qFormat/>
    <w:rPr>
      <w:rFonts w:ascii="Times New Roman" w:hAnsi="Times New Roman" w:eastAsia="宋体" w:cs="Times New Roman"/>
      <w:sz w:val="20"/>
    </w:rPr>
  </w:style>
  <w:style w:type="character" w:styleId="1099" w:customStyle="1">
    <w:name w:val="标准文本 Char"/>
    <w:qFormat/>
    <w:rPr>
      <w:rFonts w:ascii="Times New Roman" w:hAnsi="Times New Roman" w:eastAsia="宋体" w:cs="Times New Roman"/>
      <w:sz w:val="20"/>
    </w:rPr>
  </w:style>
  <w:style w:type="character" w:styleId="1100" w:customStyle="1">
    <w:name w:val="font01"/>
    <w:qFormat/>
    <w:rPr>
      <w:rFonts w:hint="eastAsia" w:ascii="宋体" w:hAnsi="宋体" w:eastAsia="宋体" w:cs="宋体"/>
      <w:color w:val="000000"/>
      <w:sz w:val="24"/>
      <w:szCs w:val="24"/>
      <w:u w:val="none"/>
    </w:rPr>
  </w:style>
  <w:style w:type="character" w:styleId="1101" w:customStyle="1">
    <w:name w:val="标题 3 Char1"/>
    <w:qFormat/>
    <w:rPr>
      <w:rFonts w:ascii="Times New Roman" w:hAnsi="Times New Roman" w:eastAsia="宋体" w:cs="Times New Roman"/>
      <w:b/>
      <w:sz w:val="20"/>
      <w:u w:val="single"/>
    </w:rPr>
  </w:style>
  <w:style w:type="character" w:styleId="1102" w:customStyle="1">
    <w:name w:val="表格 Char Char"/>
    <w:qFormat/>
    <w:rPr>
      <w:rFonts w:ascii="Times New Roman" w:hAnsi="Times New Roman" w:eastAsia="宋体" w:cs="Times New Roman"/>
      <w:sz w:val="20"/>
    </w:rPr>
  </w:style>
  <w:style w:type="character" w:styleId="1103" w:customStyle="1">
    <w:name w:val="正文首行缩进 Char"/>
    <w:qFormat/>
    <w:rPr>
      <w:rFonts w:ascii="Times New Roman" w:hAnsi="Times New Roman" w:eastAsia="宋体" w:cs="Times New Roman"/>
      <w:sz w:val="20"/>
    </w:rPr>
  </w:style>
  <w:style w:type="character" w:styleId="1104" w:customStyle="1">
    <w:name w:val="标题 9 Char"/>
    <w:qFormat/>
    <w:rPr>
      <w:rFonts w:ascii="Times New Roman" w:hAnsi="Times New Roman" w:eastAsia="宋体" w:cs="Times New Roman"/>
      <w:sz w:val="20"/>
    </w:rPr>
  </w:style>
  <w:style w:type="character" w:styleId="1105" w:customStyle="1">
    <w:name w:val="lh151"/>
    <w:qFormat/>
    <w:rPr>
      <w:rFonts w:ascii="Times New Roman" w:hAnsi="Times New Roman" w:eastAsia="宋体" w:cs="Times New Roman"/>
      <w:color w:val="666666"/>
      <w:sz w:val="20"/>
    </w:rPr>
  </w:style>
  <w:style w:type="character" w:styleId="1106" w:customStyle="1">
    <w:name w:val="日期 Char1"/>
    <w:qFormat/>
    <w:rPr>
      <w:rFonts w:ascii="Times New Roman" w:hAnsi="Times New Roman" w:eastAsia="宋体" w:cs="Times New Roman"/>
      <w:sz w:val="20"/>
    </w:rPr>
  </w:style>
  <w:style w:type="character" w:styleId="1107" w:customStyle="1">
    <w:name w:val="图片 Char Char"/>
    <w:qFormat/>
    <w:rPr>
      <w:rFonts w:ascii="Times New Roman" w:hAnsi="Times New Roman" w:eastAsia="宋体" w:cs="Times New Roman"/>
      <w:sz w:val="20"/>
    </w:rPr>
  </w:style>
  <w:style w:type="character" w:styleId="1108" w:customStyle="1">
    <w:name w:val="批注框文本 字符"/>
    <w:qFormat/>
    <w:rPr>
      <w:rFonts w:ascii="Times New Roman" w:hAnsi="Times New Roman" w:eastAsia="宋体" w:cs="Times New Roman"/>
      <w:sz w:val="20"/>
    </w:rPr>
  </w:style>
  <w:style w:type="character" w:styleId="1109" w:customStyle="1">
    <w:name w:val="HTML 预设格式 Char"/>
    <w:qFormat/>
    <w:rPr>
      <w:rFonts w:ascii="Times New Roman" w:hAnsi="Times New Roman" w:eastAsia="宋体" w:cs="Times New Roman"/>
      <w:sz w:val="20"/>
    </w:rPr>
  </w:style>
  <w:style w:type="character" w:styleId="1110" w:customStyle="1">
    <w:name w:val="列出段落 Char"/>
    <w:qFormat/>
    <w:rPr>
      <w:rFonts w:ascii="Times New Roman" w:hAnsi="Times New Roman" w:eastAsia="宋体" w:cs="Times New Roman"/>
      <w:sz w:val="20"/>
    </w:rPr>
  </w:style>
  <w:style w:type="character" w:styleId="1111" w:customStyle="1">
    <w:name w:val="标题 5 Char"/>
    <w:qFormat/>
    <w:rPr>
      <w:rFonts w:ascii="Times New Roman" w:hAnsi="Times New Roman" w:eastAsia="宋体" w:cs="Times New Roman"/>
      <w:b/>
      <w:sz w:val="20"/>
    </w:rPr>
  </w:style>
  <w:style w:type="character" w:styleId="1112" w:customStyle="1">
    <w:name w:val="链接"/>
    <w:qFormat/>
    <w:rPr>
      <w:rFonts w:ascii="Times New Roman" w:hAnsi="Times New Roman" w:eastAsia="宋体" w:cs="Times New Roman"/>
      <w:color w:val="0000ff"/>
      <w:sz w:val="20"/>
      <w:u w:val="single"/>
    </w:rPr>
  </w:style>
  <w:style w:type="character" w:styleId="1113" w:customStyle="1">
    <w:name w:val="18h1"/>
    <w:qFormat/>
    <w:rPr>
      <w:rFonts w:ascii="Times New Roman" w:hAnsi="Times New Roman" w:eastAsia="宋体" w:cs="Times New Roman"/>
      <w:color w:val="3b3b3b"/>
      <w:sz w:val="20"/>
    </w:rPr>
  </w:style>
  <w:style w:type="character" w:styleId="1114" w:customStyle="1">
    <w:name w:val="表格文字（两侧对齐） Char Char"/>
    <w:qFormat/>
    <w:rPr>
      <w:rFonts w:ascii="Times New Roman" w:hAnsi="Times New Roman" w:eastAsia="宋体" w:cs="Times New Roman"/>
      <w:sz w:val="20"/>
    </w:rPr>
  </w:style>
  <w:style w:type="character" w:styleId="1115" w:customStyle="1">
    <w:name w:val="正文文本缩进 2 Char"/>
    <w:qFormat/>
    <w:rPr>
      <w:rFonts w:ascii="Times New Roman" w:hAnsi="Times New Roman" w:eastAsia="宋体" w:cs="Times New Roman"/>
      <w:sz w:val="20"/>
    </w:rPr>
  </w:style>
  <w:style w:type="character" w:styleId="1116" w:customStyle="1">
    <w:name w:val="Char Char14"/>
    <w:qFormat/>
    <w:rPr>
      <w:rFonts w:ascii="Times New Roman" w:hAnsi="Times New Roman" w:eastAsia="宋体" w:cs="Times New Roman"/>
      <w:sz w:val="20"/>
    </w:rPr>
  </w:style>
  <w:style w:type="character" w:styleId="1117" w:customStyle="1">
    <w:name w:val="标题 1 Char1"/>
    <w:qFormat/>
    <w:rPr>
      <w:rFonts w:ascii="Times New Roman" w:hAnsi="Times New Roman" w:eastAsia="宋体" w:cs="Times New Roman"/>
      <w:b/>
      <w:sz w:val="20"/>
    </w:rPr>
  </w:style>
  <w:style w:type="character" w:styleId="1118" w:customStyle="1">
    <w:name w:val="批注框文本 Char"/>
    <w:qFormat/>
    <w:rPr>
      <w:rFonts w:ascii="Times New Roman" w:hAnsi="Times New Roman" w:eastAsia="宋体" w:cs="Times New Roman"/>
      <w:sz w:val="20"/>
    </w:rPr>
  </w:style>
  <w:style w:type="character" w:styleId="1119" w:customStyle="1">
    <w:name w:val="apple-style-span"/>
    <w:qFormat/>
    <w:rPr>
      <w:rFonts w:ascii="Times New Roman" w:hAnsi="Times New Roman" w:eastAsia="宋体" w:cs="Times New Roman"/>
      <w:sz w:val="20"/>
    </w:rPr>
  </w:style>
  <w:style w:type="character" w:styleId="1120" w:customStyle="1">
    <w:name w:val="插图 Char Char"/>
    <w:qFormat/>
    <w:rPr>
      <w:rFonts w:ascii="Times New Roman" w:hAnsi="Times New Roman" w:eastAsia="宋体" w:cs="Times New Roman"/>
      <w:sz w:val="20"/>
    </w:rPr>
  </w:style>
  <w:style w:type="character" w:styleId="1121" w:customStyle="1">
    <w:name w:val="标题 2 Char1"/>
    <w:qFormat/>
    <w:rPr>
      <w:rFonts w:ascii="Times New Roman" w:hAnsi="Times New Roman" w:eastAsia="宋体" w:cs="Times New Roman"/>
      <w:b/>
      <w:sz w:val="20"/>
    </w:rPr>
  </w:style>
  <w:style w:type="character" w:styleId="1122" w:customStyle="1">
    <w:name w:val="_Style 332"/>
    <w:qFormat/>
    <w:rPr>
      <w:rFonts w:ascii="Times New Roman" w:hAnsi="Times New Roman" w:eastAsia="宋体" w:cs="Times New Roman"/>
      <w:i/>
      <w:color w:val="auto"/>
      <w:sz w:val="21"/>
    </w:rPr>
  </w:style>
  <w:style w:type="character" w:styleId="1123" w:customStyle="1">
    <w:name w:val="正文文本 3 Char1"/>
    <w:qFormat/>
    <w:rPr>
      <w:rFonts w:ascii="Times New Roman" w:hAnsi="Times New Roman" w:eastAsia="宋体" w:cs="Times New Roman"/>
      <w:sz w:val="20"/>
    </w:rPr>
  </w:style>
  <w:style w:type="character" w:styleId="1124" w:customStyle="1">
    <w:name w:val="标题 5 Char1"/>
    <w:qFormat/>
    <w:rPr>
      <w:rFonts w:ascii="Times New Roman" w:hAnsi="Times New Roman" w:eastAsia="宋体" w:cs="Times New Roman"/>
      <w:b/>
      <w:sz w:val="20"/>
    </w:rPr>
  </w:style>
  <w:style w:type="character" w:styleId="1125" w:customStyle="1">
    <w:name w:val="批注主题 Char"/>
    <w:qFormat/>
    <w:rPr>
      <w:rFonts w:ascii="Times New Roman" w:hAnsi="Times New Roman" w:eastAsia="宋体" w:cs="Times New Roman"/>
      <w:b/>
      <w:sz w:val="20"/>
    </w:rPr>
  </w:style>
  <w:style w:type="character" w:styleId="1126" w:customStyle="1">
    <w:name w:val="标题 1 Char"/>
    <w:qFormat/>
    <w:rPr>
      <w:rFonts w:ascii="Times New Roman" w:hAnsi="Times New Roman" w:eastAsia="宋体" w:cs="Times New Roman"/>
      <w:b/>
      <w:sz w:val="20"/>
    </w:rPr>
  </w:style>
  <w:style w:type="character" w:styleId="1127" w:customStyle="1">
    <w:name w:val="正文文本 2 Char1"/>
    <w:qFormat/>
    <w:rPr>
      <w:rFonts w:ascii="Times New Roman" w:hAnsi="Times New Roman" w:eastAsia="宋体" w:cs="Times New Roman"/>
      <w:sz w:val="20"/>
    </w:rPr>
  </w:style>
  <w:style w:type="character" w:styleId="1128" w:customStyle="1">
    <w:name w:val="标题 4 Char1"/>
    <w:qFormat/>
    <w:rPr>
      <w:rFonts w:ascii="Times New Roman" w:hAnsi="Times New Roman" w:eastAsia="宋体" w:cs="Times New Roman"/>
      <w:b/>
      <w:sz w:val="20"/>
    </w:rPr>
  </w:style>
  <w:style w:type="character" w:styleId="1129" w:customStyle="1">
    <w:name w:val="正文文本 2 Char"/>
    <w:qFormat/>
    <w:rPr>
      <w:rFonts w:ascii="Times New Roman" w:hAnsi="Times New Roman" w:eastAsia="宋体" w:cs="Times New Roman"/>
      <w:sz w:val="20"/>
    </w:rPr>
  </w:style>
  <w:style w:type="character" w:styleId="1130" w:customStyle="1">
    <w:name w:val="_Style 376"/>
    <w:qFormat/>
    <w:rPr>
      <w:rFonts w:ascii="Times New Roman" w:hAnsi="Times New Roman" w:eastAsia="宋体" w:cs="Times New Roman"/>
      <w:b/>
      <w:color w:val="auto"/>
      <w:sz w:val="21"/>
    </w:rPr>
  </w:style>
  <w:style w:type="character" w:styleId="1131" w:customStyle="1">
    <w:name w:val="062"/>
    <w:qFormat/>
    <w:rPr>
      <w:rFonts w:ascii="Times New Roman" w:hAnsi="Times New Roman" w:eastAsia="宋体" w:cs="Times New Roman"/>
      <w:b/>
      <w:sz w:val="20"/>
    </w:rPr>
  </w:style>
  <w:style w:type="character" w:styleId="1132" w:customStyle="1">
    <w:name w:val="正文文本 Char1"/>
    <w:qFormat/>
    <w:rPr>
      <w:rFonts w:ascii="Times New Roman" w:hAnsi="Times New Roman" w:eastAsia="宋体" w:cs="Times New Roman"/>
      <w:sz w:val="20"/>
    </w:rPr>
  </w:style>
  <w:style w:type="character" w:styleId="1133" w:customStyle="1">
    <w:name w:val="题注 Char"/>
    <w:qFormat/>
    <w:rPr>
      <w:rFonts w:ascii="Times New Roman" w:hAnsi="Times New Roman" w:eastAsia="宋体" w:cs="Times New Roman"/>
      <w:sz w:val="20"/>
    </w:rPr>
  </w:style>
  <w:style w:type="character" w:styleId="1134" w:customStyle="1">
    <w:name w:val="脚注文本 Char"/>
    <w:qFormat/>
    <w:rPr>
      <w:rFonts w:ascii="Times New Roman" w:hAnsi="Times New Roman" w:eastAsia="宋体" w:cs="Times New Roman"/>
      <w:sz w:val="20"/>
    </w:rPr>
  </w:style>
  <w:style w:type="character" w:styleId="1135" w:customStyle="1">
    <w:name w:val="_Style 336"/>
    <w:qFormat/>
    <w:rPr>
      <w:rFonts w:ascii="Times New Roman" w:hAnsi="Times New Roman" w:eastAsia="宋体" w:cs="Times New Roman"/>
      <w:i/>
      <w:color w:val="auto"/>
      <w:sz w:val="21"/>
    </w:rPr>
  </w:style>
  <w:style w:type="character" w:styleId="1136" w:customStyle="1">
    <w:name w:val="表格 Char"/>
    <w:qFormat/>
    <w:rPr>
      <w:rFonts w:ascii="Times New Roman" w:hAnsi="Times New Roman" w:eastAsia="宋体" w:cs="Times New Roman"/>
      <w:color w:val="000000"/>
      <w:sz w:val="20"/>
    </w:rPr>
  </w:style>
  <w:style w:type="character" w:styleId="1137" w:customStyle="1">
    <w:name w:val="批注主题 字符"/>
    <w:qFormat/>
    <w:rPr>
      <w:rFonts w:ascii="Times New Roman" w:hAnsi="Times New Roman" w:eastAsia="宋体" w:cs="Times New Roman"/>
      <w:b/>
      <w:sz w:val="20"/>
    </w:rPr>
  </w:style>
  <w:style w:type="character" w:styleId="1138" w:customStyle="1">
    <w:name w:val="图注 Char Char"/>
    <w:qFormat/>
    <w:rPr>
      <w:rFonts w:ascii="Times New Roman" w:hAnsi="Times New Roman" w:eastAsia="宋体" w:cs="Times New Roman"/>
      <w:sz w:val="20"/>
    </w:rPr>
  </w:style>
  <w:style w:type="character" w:styleId="1139" w:customStyle="1">
    <w:name w:val="页码1"/>
    <w:qFormat/>
    <w:rPr>
      <w:rFonts w:ascii="Times New Roman" w:hAnsi="Times New Roman" w:eastAsia="宋体" w:cs="Times New Roman"/>
      <w:sz w:val="20"/>
    </w:rPr>
  </w:style>
  <w:style w:type="character" w:styleId="1140" w:customStyle="1">
    <w:name w:val="列表框1 Char Char"/>
    <w:qFormat/>
    <w:rPr>
      <w:rFonts w:ascii="Times New Roman" w:hAnsi="Times New Roman" w:eastAsia="宋体" w:cs="Times New Roman"/>
      <w:sz w:val="20"/>
    </w:rPr>
  </w:style>
  <w:style w:type="character" w:styleId="1141" w:customStyle="1">
    <w:name w:val="1ji Char"/>
    <w:qFormat/>
    <w:rPr>
      <w:rFonts w:ascii="Times New Roman" w:hAnsi="Times New Roman" w:eastAsia="宋体" w:cs="Times New Roman"/>
      <w:b/>
      <w:sz w:val="20"/>
    </w:rPr>
  </w:style>
  <w:style w:type="character" w:styleId="1142" w:customStyle="1">
    <w:name w:val="正文文本缩进 Char"/>
    <w:qFormat/>
    <w:rPr>
      <w:rFonts w:ascii="Times New Roman" w:hAnsi="Times New Roman" w:eastAsia="宋体" w:cs="Times New Roman"/>
      <w:sz w:val="20"/>
    </w:rPr>
  </w:style>
  <w:style w:type="character" w:styleId="1143" w:customStyle="1">
    <w:name w:val="标准文本 Char Char"/>
    <w:qFormat/>
    <w:rPr>
      <w:rFonts w:ascii="Times New Roman" w:hAnsi="Times New Roman" w:eastAsia="宋体" w:cs="Times New Roman"/>
      <w:sz w:val="20"/>
    </w:rPr>
  </w:style>
  <w:style w:type="character" w:styleId="1144" w:customStyle="1">
    <w:name w:val="表格用 Char"/>
    <w:qFormat/>
    <w:rPr>
      <w:rFonts w:ascii="Times New Roman" w:hAnsi="Times New Roman" w:eastAsia="宋体" w:cs="Times New Roman"/>
      <w:color w:val="000000"/>
      <w:sz w:val="20"/>
    </w:rPr>
  </w:style>
  <w:style w:type="character" w:styleId="1145" w:customStyle="1">
    <w:name w:val="标题 7 Char1"/>
    <w:qFormat/>
    <w:rPr>
      <w:rFonts w:ascii="Times New Roman" w:hAnsi="Times New Roman" w:eastAsia="宋体" w:cs="Times New Roman"/>
      <w:b/>
      <w:sz w:val="20"/>
    </w:rPr>
  </w:style>
  <w:style w:type="character" w:styleId="1146" w:customStyle="1">
    <w:name w:val="H 3 Char"/>
    <w:qFormat/>
    <w:rPr>
      <w:rFonts w:ascii="Times New Roman" w:hAnsi="Times New Roman" w:eastAsia="宋体" w:cs="Times New Roman"/>
      <w:b/>
      <w:sz w:val="20"/>
    </w:rPr>
  </w:style>
  <w:style w:type="character" w:styleId="1147" w:customStyle="1">
    <w:name w:val="正文文本缩进 3 字符"/>
    <w:qFormat/>
    <w:rPr>
      <w:rFonts w:ascii="Times New Roman" w:hAnsi="Times New Roman" w:eastAsia="宋体" w:cs="Times New Roman"/>
      <w:sz w:val="16"/>
      <w:szCs w:val="16"/>
    </w:rPr>
  </w:style>
  <w:style w:type="character" w:styleId="1148" w:customStyle="1">
    <w:name w:val="标题 Char"/>
    <w:qFormat/>
    <w:rPr>
      <w:rFonts w:ascii="Times New Roman" w:hAnsi="Times New Roman" w:eastAsia="宋体" w:cs="Times New Roman"/>
      <w:b/>
      <w:sz w:val="20"/>
    </w:rPr>
  </w:style>
  <w:style w:type="character" w:styleId="1149" w:customStyle="1">
    <w:name w:val="H 4 Char"/>
    <w:qFormat/>
    <w:rPr>
      <w:rFonts w:ascii="Times New Roman" w:hAnsi="Times New Roman" w:eastAsia="宋体" w:cs="Times New Roman"/>
      <w:b/>
      <w:sz w:val="20"/>
    </w:rPr>
  </w:style>
  <w:style w:type="character" w:styleId="1150" w:customStyle="1">
    <w:name w:val="批注主题 Char1"/>
    <w:qFormat/>
    <w:rPr>
      <w:rFonts w:ascii="Times New Roman" w:hAnsi="Times New Roman" w:eastAsia="宋体" w:cs="Times New Roman"/>
      <w:b/>
      <w:sz w:val="20"/>
    </w:rPr>
  </w:style>
  <w:style w:type="character" w:styleId="1151" w:customStyle="1">
    <w:name w:val="正文文本缩进 Char1"/>
    <w:qFormat/>
    <w:rPr>
      <w:rFonts w:ascii="Times New Roman" w:hAnsi="Times New Roman" w:eastAsia="宋体" w:cs="Times New Roman"/>
      <w:sz w:val="20"/>
    </w:rPr>
  </w:style>
  <w:style w:type="character" w:styleId="1152" w:customStyle="1">
    <w:name w:val="正文文本 3 Char"/>
    <w:qFormat/>
    <w:rPr>
      <w:rFonts w:ascii="Times New Roman" w:hAnsi="Times New Roman" w:eastAsia="宋体" w:cs="Times New Roman"/>
      <w:sz w:val="20"/>
    </w:rPr>
  </w:style>
  <w:style w:type="character" w:styleId="1153" w:customStyle="1">
    <w:name w:val="正文首行缩进 2 Char"/>
    <w:qFormat/>
    <w:rPr>
      <w:rFonts w:ascii="Times New Roman" w:hAnsi="Times New Roman" w:eastAsia="宋体" w:cs="Times New Roman"/>
      <w:sz w:val="20"/>
    </w:rPr>
  </w:style>
  <w:style w:type="character" w:styleId="1154" w:customStyle="1">
    <w:name w:val="页眉 Char1"/>
    <w:qFormat/>
    <w:rPr>
      <w:rFonts w:ascii="Times New Roman" w:hAnsi="Times New Roman" w:eastAsia="宋体" w:cs="Times New Roman"/>
      <w:sz w:val="20"/>
    </w:rPr>
  </w:style>
  <w:style w:type="character" w:styleId="1155" w:customStyle="1">
    <w:name w:val="Char Char2"/>
    <w:qFormat/>
    <w:rPr>
      <w:rFonts w:ascii="Times New Roman" w:hAnsi="Times New Roman" w:eastAsia="宋体" w:cs="Times New Roman"/>
      <w:sz w:val="20"/>
    </w:rPr>
  </w:style>
  <w:style w:type="character" w:styleId="1156" w:customStyle="1">
    <w:name w:val="样式 首行缩进:  2 字符 Char1"/>
    <w:qFormat/>
    <w:rPr>
      <w:rFonts w:ascii="Times New Roman" w:hAnsi="Times New Roman" w:eastAsia="宋体" w:cs="Times New Roman"/>
      <w:sz w:val="20"/>
    </w:rPr>
  </w:style>
  <w:style w:type="character" w:styleId="1157" w:customStyle="1">
    <w:name w:val="标题 2 Char"/>
    <w:qFormat/>
    <w:rPr>
      <w:rFonts w:ascii="Times New Roman" w:hAnsi="Times New Roman" w:eastAsia="宋体" w:cs="Times New Roman"/>
      <w:b/>
      <w:sz w:val="20"/>
    </w:rPr>
  </w:style>
  <w:style w:type="character" w:styleId="1158" w:customStyle="1">
    <w:name w:val="表格文字图表文字 Char Char"/>
    <w:qFormat/>
    <w:rPr>
      <w:rFonts w:ascii="Times New Roman" w:hAnsi="Times New Roman" w:eastAsia="宋体" w:cs="Times New Roman"/>
      <w:sz w:val="20"/>
    </w:rPr>
  </w:style>
  <w:style w:type="character" w:styleId="1159" w:customStyle="1">
    <w:name w:val="图片 Char"/>
    <w:qFormat/>
    <w:rPr>
      <w:rFonts w:ascii="Times New Roman" w:hAnsi="Times New Roman" w:eastAsia="宋体" w:cs="Times New Roman"/>
      <w:sz w:val="20"/>
    </w:rPr>
  </w:style>
  <w:style w:type="character" w:styleId="1160" w:customStyle="1">
    <w:name w:val="标题 6 Char"/>
    <w:qFormat/>
    <w:rPr>
      <w:rFonts w:ascii="Times New Roman" w:hAnsi="Times New Roman" w:eastAsia="宋体" w:cs="Times New Roman"/>
      <w:b/>
      <w:sz w:val="20"/>
    </w:rPr>
  </w:style>
  <w:style w:type="character" w:styleId="1161" w:customStyle="1">
    <w:name w:val="标题 4 Char"/>
    <w:qFormat/>
    <w:rPr>
      <w:rFonts w:ascii="Times New Roman" w:hAnsi="Times New Roman" w:eastAsia="宋体" w:cs="Times New Roman"/>
      <w:b/>
      <w:sz w:val="20"/>
    </w:rPr>
  </w:style>
  <w:style w:type="character" w:styleId="1162" w:customStyle="1">
    <w:name w:val="文档结构图 Char1"/>
    <w:qFormat/>
    <w:rPr>
      <w:rFonts w:ascii="Times New Roman" w:hAnsi="Times New Roman" w:eastAsia="宋体" w:cs="Times New Roman"/>
      <w:sz w:val="20"/>
    </w:rPr>
  </w:style>
  <w:style w:type="character" w:styleId="1163" w:customStyle="1">
    <w:name w:val="项目符0 Char"/>
    <w:qFormat/>
    <w:rPr>
      <w:rFonts w:ascii="Times New Roman" w:hAnsi="Times New Roman" w:eastAsia="宋体" w:cs="Times New Roman"/>
      <w:sz w:val="20"/>
    </w:rPr>
  </w:style>
  <w:style w:type="character" w:styleId="1164" w:customStyle="1">
    <w:name w:val="正文文本缩进 3 Char"/>
    <w:qFormat/>
    <w:rPr>
      <w:rFonts w:ascii="Times New Roman" w:hAnsi="Times New Roman" w:eastAsia="宋体" w:cs="Times New Roman"/>
      <w:sz w:val="20"/>
    </w:rPr>
  </w:style>
  <w:style w:type="character" w:styleId="1165" w:customStyle="1">
    <w:name w:val="Char Char3"/>
    <w:qFormat/>
    <w:rPr>
      <w:rFonts w:ascii="Times New Roman" w:hAnsi="Times New Roman" w:eastAsia="宋体" w:cs="Times New Roman"/>
      <w:sz w:val="20"/>
    </w:rPr>
  </w:style>
  <w:style w:type="character" w:styleId="1166" w:customStyle="1">
    <w:name w:val="纯文本 Char"/>
    <w:qFormat/>
    <w:rPr>
      <w:rFonts w:ascii="Times New Roman" w:hAnsi="Times New Roman" w:eastAsia="宋体" w:cs="Times New Roman"/>
      <w:sz w:val="20"/>
    </w:rPr>
  </w:style>
  <w:style w:type="character" w:styleId="1167" w:customStyle="1">
    <w:name w:val="正文文本缩进 2 Char1"/>
    <w:qFormat/>
    <w:rPr>
      <w:rFonts w:ascii="Times New Roman" w:hAnsi="Times New Roman" w:eastAsia="宋体" w:cs="Times New Roman"/>
      <w:sz w:val="20"/>
    </w:rPr>
  </w:style>
  <w:style w:type="character" w:styleId="1168" w:customStyle="1">
    <w:name w:val="标题 8 Char"/>
    <w:qFormat/>
    <w:rPr>
      <w:rFonts w:ascii="Times New Roman" w:hAnsi="Times New Roman" w:eastAsia="宋体" w:cs="Times New Roman"/>
      <w:sz w:val="20"/>
    </w:rPr>
  </w:style>
  <w:style w:type="character" w:styleId="1169" w:customStyle="1">
    <w:name w:val="标题 6 Char1"/>
    <w:qFormat/>
    <w:rPr>
      <w:rFonts w:ascii="Times New Roman" w:hAnsi="Times New Roman" w:eastAsia="宋体" w:cs="Times New Roman"/>
      <w:b/>
      <w:sz w:val="20"/>
    </w:rPr>
  </w:style>
  <w:style w:type="character" w:styleId="1170" w:customStyle="1">
    <w:name w:val="case31"/>
    <w:qFormat/>
    <w:rPr>
      <w:rFonts w:ascii="Times New Roman" w:hAnsi="Times New Roman" w:eastAsia="宋体" w:cs="Times New Roman"/>
      <w:sz w:val="20"/>
    </w:rPr>
  </w:style>
  <w:style w:type="character" w:styleId="1171" w:customStyle="1">
    <w:name w:val="正文文本 Char"/>
    <w:qFormat/>
    <w:rPr>
      <w:rFonts w:ascii="Times New Roman" w:hAnsi="Times New Roman" w:eastAsia="宋体" w:cs="Times New Roman"/>
      <w:sz w:val="20"/>
    </w:rPr>
  </w:style>
  <w:style w:type="paragraph" w:styleId="1172" w:customStyle="1">
    <w:name w:val="节标题"/>
    <w:basedOn w:val="991"/>
    <w:next w:val="1173"/>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7"/>
    <w:next w:val="990"/>
    <w:qFormat/>
    <w:pPr>
      <w:ind w:left="1134" w:firstLine="20"/>
      <w:spacing w:before="280" w:after="280" w:line="360" w:lineRule="auto"/>
      <w:outlineLvl w:val="5"/>
    </w:pPr>
  </w:style>
  <w:style w:type="paragraph" w:styleId="1174" w:customStyle="1">
    <w:name w:val="正文段"/>
    <w:basedOn w:val="991"/>
    <w:next w:val="1175"/>
    <w:qFormat/>
    <w:pPr>
      <w:ind w:left="454" w:firstLine="1222"/>
      <w:spacing w:before="0" w:after="240" w:line="240" w:lineRule="atLeast"/>
    </w:pPr>
    <w:rPr>
      <w:rFonts w:ascii="Times New Roman" w:hAnsi="Times New Roman" w:cs="Times New Roman"/>
    </w:rPr>
  </w:style>
  <w:style w:type="paragraph" w:styleId="1175" w:customStyle="1">
    <w:name w:val="批注主题1"/>
    <w:next w:val="990"/>
    <w:qFormat/>
    <w:pPr>
      <w:ind w:left="200" w:firstLine="4808"/>
      <w:spacing w:line="360" w:lineRule="auto"/>
    </w:pPr>
    <w:rPr>
      <w:rFonts w:ascii="Calibri" w:hAnsi="Calibri"/>
    </w:rPr>
  </w:style>
  <w:style w:type="paragraph" w:styleId="1176" w:customStyle="1">
    <w:name w:val="_Style 224"/>
    <w:next w:val="1177"/>
    <w:qFormat/>
    <w:pPr>
      <w:ind w:firstLine="3584"/>
    </w:pPr>
    <w:rPr>
      <w:rFonts w:ascii="Calibri" w:hAnsi="Calibri"/>
    </w:rPr>
  </w:style>
  <w:style w:type="paragraph" w:styleId="1177" w:customStyle="1">
    <w:name w:val="编号1"/>
    <w:basedOn w:val="991"/>
    <w:next w:val="1178"/>
    <w:qFormat/>
    <w:pPr>
      <w:ind w:left="360" w:right="210" w:firstLine="2200"/>
      <w:spacing w:before="0" w:after="0" w:line="240" w:lineRule="auto"/>
    </w:pPr>
    <w:rPr>
      <w:rFonts w:ascii="Times New Roman" w:hAnsi="Times New Roman" w:cs="Times New Roman"/>
    </w:rPr>
  </w:style>
  <w:style w:type="paragraph" w:styleId="1178" w:customStyle="1">
    <w:name w:val="图片"/>
    <w:basedOn w:val="991"/>
    <w:next w:val="1179"/>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qFormat/>
    <w:pPr>
      <w:ind w:left="400" w:firstLine="5120"/>
      <w:spacing w:line="360" w:lineRule="auto"/>
      <w:widowControl w:val="off"/>
    </w:pPr>
    <w:rPr>
      <w:rFonts w:ascii="Calibri" w:hAnsi="Calibri"/>
    </w:rPr>
  </w:style>
  <w:style w:type="paragraph" w:styleId="1180" w:customStyle="1">
    <w:name w:val="图注"/>
    <w:next w:val="1181"/>
    <w:qFormat/>
    <w:pPr>
      <w:ind w:left="360" w:firstLine="2152"/>
      <w:jc w:val="center"/>
    </w:pPr>
    <w:rPr>
      <w:rFonts w:ascii="Calibri" w:hAnsi="Calibri"/>
    </w:rPr>
  </w:style>
  <w:style w:type="paragraph" w:styleId="1181" w:customStyle="1">
    <w:name w:val="列表编号 41"/>
    <w:basedOn w:val="991"/>
    <w:next w:val="1182"/>
    <w:qFormat/>
    <w:pPr>
      <w:ind w:left="1620" w:firstLine="2712"/>
      <w:spacing w:before="0" w:after="0" w:line="360" w:lineRule="auto"/>
    </w:pPr>
    <w:rPr>
      <w:rFonts w:ascii="Times New Roman" w:hAnsi="Times New Roman" w:cs="Times New Roman"/>
    </w:rPr>
  </w:style>
  <w:style w:type="paragraph" w:styleId="1182" w:customStyle="1">
    <w:name w:val="项目符0"/>
    <w:basedOn w:val="991"/>
    <w:next w:val="1183"/>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qFormat/>
    <w:pPr>
      <w:ind w:firstLine="5632"/>
      <w:widowControl w:val="off"/>
    </w:pPr>
    <w:rPr>
      <w:rFonts w:ascii="Calibri" w:hAnsi="Calibri"/>
    </w:rPr>
  </w:style>
  <w:style w:type="paragraph" w:styleId="1184" w:customStyle="1">
    <w:name w:val="Item Step in Table"/>
    <w:next w:val="1185"/>
    <w:qFormat/>
    <w:pPr>
      <w:ind w:left="397" w:firstLine="3699"/>
      <w:jc w:val="both"/>
      <w:spacing w:before="40" w:after="40"/>
    </w:pPr>
    <w:rPr>
      <w:rFonts w:ascii="Calibri" w:hAnsi="Calibri"/>
    </w:rPr>
  </w:style>
  <w:style w:type="paragraph" w:styleId="1185" w:customStyle="1">
    <w:name w:val="Char Char Char Char Char Char1 Char Char Char Char Char Char"/>
    <w:basedOn w:val="991"/>
    <w:next w:val="1186"/>
    <w:qFormat/>
    <w:pPr>
      <w:ind w:left="0" w:firstLine="2560"/>
      <w:spacing w:before="0" w:after="0" w:line="240" w:lineRule="auto"/>
    </w:pPr>
    <w:rPr>
      <w:rFonts w:ascii="Times New Roman" w:hAnsi="Times New Roman" w:cs="Times New Roman"/>
    </w:rPr>
  </w:style>
  <w:style w:type="paragraph" w:styleId="1186" w:customStyle="1">
    <w:name w:val="Char Char1"/>
    <w:basedOn w:val="991"/>
    <w:next w:val="1187"/>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4"/>
    <w:next w:val="1050"/>
    <w:qFormat/>
    <w:pPr>
      <w:ind w:left="200" w:firstLine="18"/>
      <w:spacing w:before="0" w:after="0" w:line="360" w:lineRule="auto"/>
      <w:outlineLvl w:val="2"/>
    </w:pPr>
  </w:style>
  <w:style w:type="paragraph" w:styleId="1188" w:customStyle="1">
    <w:name w:val="xl76"/>
    <w:basedOn w:val="991"/>
    <w:next w:val="1047"/>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1"/>
    <w:next w:val="1030"/>
    <w:qFormat/>
    <w:pPr>
      <w:ind w:left="0" w:firstLine="2560"/>
      <w:spacing w:before="0" w:after="0" w:line="240" w:lineRule="auto"/>
    </w:pPr>
    <w:rPr>
      <w:rFonts w:ascii="Times New Roman" w:hAnsi="Times New Roman" w:cs="Times New Roman"/>
    </w:rPr>
  </w:style>
  <w:style w:type="paragraph" w:styleId="1191" w:customStyle="1">
    <w:name w:val="纯文本2"/>
    <w:basedOn w:val="991"/>
    <w:next w:val="1192"/>
    <w:qFormat/>
    <w:pPr>
      <w:ind w:left="0" w:firstLine="3584"/>
      <w:spacing w:before="0" w:after="0" w:line="240" w:lineRule="auto"/>
    </w:pPr>
    <w:rPr>
      <w:rFonts w:ascii="Times New Roman" w:hAnsi="Times New Roman" w:cs="Times New Roman"/>
    </w:rPr>
  </w:style>
  <w:style w:type="paragraph" w:styleId="1192" w:customStyle="1">
    <w:name w:val="xl69"/>
    <w:basedOn w:val="991"/>
    <w:next w:val="1193"/>
    <w:qFormat/>
    <w:pPr>
      <w:ind w:left="0" w:firstLine="3584"/>
      <w:spacing w:before="280" w:after="280" w:line="240" w:lineRule="auto"/>
    </w:pPr>
    <w:rPr>
      <w:rFonts w:ascii="Times New Roman" w:hAnsi="Times New Roman" w:cs="Times New Roman"/>
    </w:rPr>
  </w:style>
  <w:style w:type="paragraph" w:styleId="1193" w:customStyle="1">
    <w:name w:val="Char Char Char"/>
    <w:basedOn w:val="991"/>
    <w:next w:val="1194"/>
    <w:qFormat/>
    <w:pPr>
      <w:ind w:left="0" w:firstLine="2560"/>
      <w:spacing w:before="0" w:after="0" w:line="240" w:lineRule="auto"/>
    </w:pPr>
    <w:rPr>
      <w:rFonts w:ascii="Times New Roman" w:hAnsi="Times New Roman" w:cs="Times New Roman"/>
    </w:rPr>
  </w:style>
  <w:style w:type="paragraph" w:styleId="1194" w:customStyle="1">
    <w:name w:val="表格"/>
    <w:basedOn w:val="991"/>
    <w:next w:val="1189"/>
    <w:qFormat/>
    <w:pPr>
      <w:ind w:left="0" w:firstLine="2560"/>
      <w:spacing w:before="0" w:after="0" w:line="360" w:lineRule="auto"/>
    </w:pPr>
    <w:rPr>
      <w:rFonts w:ascii="Times New Roman" w:hAnsi="Times New Roman" w:cs="Times New Roman"/>
    </w:rPr>
  </w:style>
  <w:style w:type="paragraph" w:styleId="1195" w:customStyle="1">
    <w:name w:val="xl68"/>
    <w:basedOn w:val="991"/>
    <w:next w:val="1196"/>
    <w:qFormat/>
    <w:pPr>
      <w:ind w:left="100" w:firstLine="5220"/>
      <w:spacing w:before="280" w:after="280" w:line="240" w:lineRule="auto"/>
    </w:pPr>
    <w:rPr>
      <w:rFonts w:ascii="Times New Roman" w:hAnsi="Times New Roman" w:cs="Times New Roman"/>
    </w:rPr>
  </w:style>
  <w:style w:type="paragraph" w:styleId="1196" w:customStyle="1">
    <w:name w:val="Char1"/>
    <w:basedOn w:val="991"/>
    <w:next w:val="1197"/>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1"/>
    <w:next w:val="1198"/>
    <w:qFormat/>
    <w:pPr>
      <w:ind w:left="437" w:firstLine="2741"/>
      <w:spacing w:before="0" w:after="0" w:line="360" w:lineRule="auto"/>
    </w:pPr>
    <w:rPr>
      <w:rFonts w:ascii="Times New Roman" w:hAnsi="Times New Roman" w:cs="Times New Roman"/>
    </w:rPr>
  </w:style>
  <w:style w:type="paragraph" w:styleId="1198" w:customStyle="1">
    <w:name w:val="xl74"/>
    <w:basedOn w:val="991"/>
    <w:next w:val="1199"/>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1"/>
    <w:next w:val="1200"/>
    <w:qFormat/>
    <w:pPr>
      <w:ind w:left="0" w:firstLine="5120"/>
      <w:spacing w:before="280" w:after="280" w:line="240" w:lineRule="auto"/>
    </w:pPr>
    <w:rPr>
      <w:rFonts w:ascii="Times New Roman" w:hAnsi="Times New Roman" w:cs="Times New Roman"/>
    </w:rPr>
  </w:style>
  <w:style w:type="paragraph" w:styleId="1200" w:customStyle="1">
    <w:name w:val="xl70"/>
    <w:basedOn w:val="991"/>
    <w:next w:val="1046"/>
    <w:qFormat/>
    <w:pPr>
      <w:ind w:left="0" w:firstLine="1024"/>
      <w:spacing w:before="280" w:after="280" w:line="240" w:lineRule="auto"/>
    </w:pPr>
    <w:rPr>
      <w:rFonts w:ascii="Times New Roman" w:hAnsi="Times New Roman" w:cs="Times New Roman"/>
    </w:rPr>
  </w:style>
  <w:style w:type="paragraph" w:styleId="1201" w:customStyle="1">
    <w:name w:val="文档标题5"/>
    <w:basedOn w:val="996"/>
    <w:next w:val="990"/>
    <w:qFormat/>
    <w:pPr>
      <w:ind w:left="992" w:firstLine="18"/>
      <w:spacing w:before="280" w:after="280" w:line="360" w:lineRule="auto"/>
      <w:outlineLvl w:val="4"/>
    </w:pPr>
  </w:style>
  <w:style w:type="paragraph" w:styleId="1202" w:customStyle="1">
    <w:name w:val="样式 加粗 居中"/>
    <w:basedOn w:val="991"/>
    <w:next w:val="1203"/>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qFormat/>
    <w:pPr>
      <w:ind w:firstLine="14"/>
      <w:spacing w:line="360" w:lineRule="auto"/>
      <w:shd w:val="clear" w:color="000000" w:fill="000080"/>
    </w:pPr>
    <w:rPr>
      <w:rFonts w:ascii="Calibri" w:hAnsi="Calibri"/>
    </w:rPr>
  </w:style>
  <w:style w:type="paragraph" w:styleId="1204" w:customStyle="1">
    <w:name w:val="正文文本缩进1"/>
    <w:basedOn w:val="991"/>
    <w:next w:val="1205"/>
    <w:qFormat/>
    <w:pPr>
      <w:ind w:left="420" w:firstLine="3584"/>
      <w:spacing w:before="0" w:after="120" w:line="240" w:lineRule="auto"/>
    </w:pPr>
    <w:rPr>
      <w:rFonts w:ascii="Times New Roman" w:hAnsi="Times New Roman" w:cs="Times New Roman"/>
    </w:rPr>
  </w:style>
  <w:style w:type="paragraph" w:styleId="1205" w:customStyle="1">
    <w:name w:val="列表编号 31"/>
    <w:basedOn w:val="991"/>
    <w:next w:val="1048"/>
    <w:qFormat/>
    <w:pPr>
      <w:ind w:left="1200" w:firstLine="2712"/>
      <w:spacing w:before="0" w:after="0" w:line="360" w:lineRule="auto"/>
    </w:pPr>
    <w:rPr>
      <w:rFonts w:ascii="Times New Roman" w:hAnsi="Times New Roman" w:cs="Times New Roman"/>
    </w:rPr>
  </w:style>
  <w:style w:type="paragraph" w:styleId="1206" w:customStyle="1">
    <w:name w:val="三号 居中"/>
    <w:basedOn w:val="991"/>
    <w:next w:val="1207"/>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1"/>
    <w:next w:val="1208"/>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1"/>
    <w:next w:val="1210"/>
    <w:qFormat/>
    <w:pPr>
      <w:ind w:left="0" w:firstLine="2560"/>
      <w:spacing w:before="0" w:after="0" w:line="240" w:lineRule="auto"/>
    </w:pPr>
    <w:rPr>
      <w:rFonts w:ascii="Times New Roman" w:hAnsi="Times New Roman" w:cs="Times New Roman"/>
    </w:rPr>
  </w:style>
  <w:style w:type="paragraph" w:styleId="1210" w:customStyle="1">
    <w:name w:val="正文符号4"/>
    <w:basedOn w:val="991"/>
    <w:next w:val="1202"/>
    <w:qFormat/>
    <w:pPr>
      <w:ind w:left="0" w:firstLine="5632"/>
      <w:spacing w:before="0" w:after="0" w:line="240" w:lineRule="auto"/>
    </w:pPr>
    <w:rPr>
      <w:rFonts w:ascii="Times New Roman" w:hAnsi="Times New Roman" w:cs="Times New Roman"/>
    </w:rPr>
  </w:style>
  <w:style w:type="paragraph" w:styleId="1211" w:customStyle="1">
    <w:name w:val="加粗（居中）"/>
    <w:next w:val="1212"/>
    <w:qFormat/>
    <w:pPr>
      <w:ind w:firstLine="2560"/>
    </w:pPr>
    <w:rPr>
      <w:rFonts w:ascii="Calibri" w:hAnsi="Calibri"/>
    </w:rPr>
  </w:style>
  <w:style w:type="paragraph" w:styleId="1212" w:customStyle="1">
    <w:name w:val="xl65"/>
    <w:basedOn w:val="991"/>
    <w:next w:val="1172"/>
    <w:qFormat/>
    <w:pPr>
      <w:ind w:left="0" w:firstLine="5120"/>
      <w:spacing w:before="280" w:after="280" w:line="240" w:lineRule="auto"/>
    </w:pPr>
    <w:rPr>
      <w:rFonts w:ascii="Times New Roman" w:hAnsi="Times New Roman" w:cs="Times New Roman"/>
    </w:rPr>
  </w:style>
  <w:style w:type="paragraph" w:styleId="1213" w:customStyle="1">
    <w:name w:val="WPSOffice手动目录 3"/>
    <w:qFormat/>
    <w:pPr>
      <w:ind w:left="400"/>
    </w:pPr>
  </w:style>
  <w:style w:type="paragraph" w:styleId="1214" w:customStyle="1">
    <w:name w:val="xl77"/>
    <w:basedOn w:val="991"/>
    <w:next w:val="1215"/>
    <w:qFormat/>
    <w:pPr>
      <w:ind w:left="0" w:firstLine="3584"/>
      <w:spacing w:before="280" w:after="280" w:line="240" w:lineRule="auto"/>
    </w:pPr>
    <w:rPr>
      <w:rFonts w:ascii="Times New Roman" w:hAnsi="Times New Roman" w:cs="Times New Roman"/>
    </w:rPr>
  </w:style>
  <w:style w:type="paragraph" w:styleId="1215" w:customStyle="1">
    <w:name w:val="Char Char Char1"/>
    <w:basedOn w:val="991"/>
    <w:next w:val="1216"/>
    <w:qFormat/>
    <w:pPr>
      <w:ind w:left="900" w:firstLine="2096"/>
      <w:spacing w:before="0" w:after="0" w:line="240" w:lineRule="auto"/>
    </w:pPr>
    <w:rPr>
      <w:rFonts w:ascii="Times New Roman" w:hAnsi="Times New Roman" w:cs="Times New Roman"/>
    </w:rPr>
  </w:style>
  <w:style w:type="paragraph" w:styleId="1216"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qFormat/>
    <w:pPr>
      <w:ind w:left="480" w:firstLine="2784"/>
      <w:jc w:val="center"/>
      <w:spacing w:line="300" w:lineRule="auto"/>
    </w:pPr>
    <w:rPr>
      <w:rFonts w:ascii="Calibri" w:hAnsi="Calibri"/>
    </w:rPr>
  </w:style>
  <w:style w:type="paragraph" w:styleId="1218" w:customStyle="1">
    <w:name w:val="xl28"/>
    <w:basedOn w:val="991"/>
    <w:next w:val="1219"/>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1"/>
    <w:next w:val="122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1" w:customStyle="1">
    <w:name w:val="Default"/>
    <w:next w:val="1026"/>
    <w:qFormat/>
    <w:pPr>
      <w:ind w:firstLine="5120"/>
      <w:widowControl w:val="off"/>
    </w:pPr>
    <w:rPr>
      <w:rFonts w:ascii="Calibri" w:hAnsi="Calibri"/>
    </w:rPr>
  </w:style>
  <w:style w:type="paragraph" w:styleId="1222" w:customStyle="1">
    <w:name w:val="xl84"/>
    <w:basedOn w:val="991"/>
    <w:next w:val="1223"/>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3"/>
    <w:next w:val="1224"/>
    <w:qFormat/>
    <w:pPr>
      <w:ind w:left="0" w:firstLine="24"/>
      <w:jc w:val="center"/>
      <w:spacing w:before="0" w:after="0" w:line="360" w:lineRule="auto"/>
      <w:outlineLvl w:val="1"/>
    </w:pPr>
  </w:style>
  <w:style w:type="paragraph" w:styleId="1224" w:customStyle="1">
    <w:name w:val="应答文本"/>
    <w:basedOn w:val="991"/>
    <w:next w:val="1225"/>
    <w:qFormat/>
    <w:pPr>
      <w:ind w:left="1296" w:firstLine="2112"/>
      <w:spacing w:before="0" w:after="0" w:line="460" w:lineRule="exact"/>
    </w:pPr>
    <w:rPr>
      <w:rFonts w:ascii="Times New Roman" w:hAnsi="Times New Roman" w:cs="Times New Roman"/>
    </w:rPr>
  </w:style>
  <w:style w:type="paragraph" w:styleId="1225"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0"/>
    <w:qFormat/>
    <w:pPr>
      <w:ind w:firstLine="480"/>
    </w:pPr>
    <w:rPr>
      <w:rFonts w:ascii="Times New Roman" w:hAnsi="Times New Roman" w:cs="Times New Roman"/>
      <w:lang w:val="zh-CN"/>
    </w:rPr>
  </w:style>
  <w:style w:type="paragraph" w:styleId="1227" w:customStyle="1">
    <w:name w:val="font9"/>
    <w:basedOn w:val="991"/>
    <w:next w:val="1228"/>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4"/>
    <w:next w:val="1229"/>
    <w:qFormat/>
    <w:pPr>
      <w:ind w:left="0"/>
      <w:spacing w:before="0" w:after="0" w:line="400" w:lineRule="exact"/>
      <w:outlineLvl w:val="2"/>
    </w:pPr>
  </w:style>
  <w:style w:type="paragraph" w:styleId="1229" w:customStyle="1">
    <w:name w:val="标书正文"/>
    <w:basedOn w:val="991"/>
    <w:next w:val="1230"/>
    <w:qFormat/>
    <w:pPr>
      <w:ind w:left="440" w:right="100" w:firstLine="2760"/>
      <w:spacing w:before="0" w:after="0" w:line="360" w:lineRule="auto"/>
    </w:pPr>
    <w:rPr>
      <w:rFonts w:ascii="Times New Roman" w:hAnsi="Times New Roman" w:cs="Times New Roman"/>
    </w:rPr>
  </w:style>
  <w:style w:type="paragraph" w:styleId="1230" w:customStyle="1">
    <w:name w:val="xl67"/>
    <w:basedOn w:val="991"/>
    <w:next w:val="1231"/>
    <w:qFormat/>
    <w:pPr>
      <w:ind w:left="0" w:firstLine="5120"/>
      <w:spacing w:before="280" w:after="280" w:line="240" w:lineRule="auto"/>
    </w:pPr>
    <w:rPr>
      <w:rFonts w:ascii="Times New Roman" w:hAnsi="Times New Roman" w:cs="Times New Roman"/>
    </w:rPr>
  </w:style>
  <w:style w:type="paragraph" w:styleId="1231"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3" w:customStyle="1">
    <w:name w:val="xl90"/>
    <w:basedOn w:val="991"/>
    <w:next w:val="1234"/>
    <w:qFormat/>
    <w:pPr>
      <w:ind w:left="0" w:firstLine="3584"/>
      <w:spacing w:before="280" w:after="280" w:line="240" w:lineRule="auto"/>
    </w:pPr>
    <w:rPr>
      <w:rFonts w:ascii="Times New Roman" w:hAnsi="Times New Roman" w:cs="Times New Roman"/>
    </w:rPr>
  </w:style>
  <w:style w:type="paragraph" w:styleId="1234" w:customStyle="1">
    <w:name w:val="列表框1"/>
    <w:next w:val="1225"/>
    <w:qFormat/>
    <w:pPr>
      <w:ind w:firstLine="2048"/>
      <w:spacing w:line="460" w:lineRule="exact"/>
    </w:pPr>
    <w:rPr>
      <w:rFonts w:ascii="Calibri" w:hAnsi="Calibri"/>
    </w:rPr>
  </w:style>
  <w:style w:type="paragraph" w:styleId="1235" w:customStyle="1">
    <w:name w:val="1ji"/>
    <w:basedOn w:val="992"/>
    <w:next w:val="1214"/>
    <w:qFormat/>
    <w:pPr>
      <w:ind w:left="0" w:firstLine="18"/>
      <w:jc w:val="center"/>
      <w:spacing w:before="0" w:after="0" w:line="240" w:lineRule="auto"/>
      <w:outlineLvl w:val="0"/>
    </w:pPr>
  </w:style>
  <w:style w:type="paragraph" w:styleId="1236"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Char Char Char Char Char Char"/>
    <w:basedOn w:val="991"/>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1"/>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1"/>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1"/>
    <w:next w:val="991"/>
    <w:qFormat/>
    <w:pPr>
      <w:ind w:left="0" w:firstLine="5120"/>
      <w:jc w:val="center"/>
      <w:spacing w:before="187" w:after="175" w:line="374" w:lineRule="atLeast"/>
    </w:pPr>
    <w:rPr>
      <w:rFonts w:ascii="Times New Roman" w:hAnsi="Times New Roman" w:cs="Times New Roman"/>
    </w:rPr>
  </w:style>
  <w:style w:type="paragraph" w:styleId="1242">
    <w:name w:val="Quote"/>
    <w:next w:val="990"/>
    <w:qFormat/>
    <w:pPr>
      <w:ind w:left="3680" w:right="864"/>
      <w:jc w:val="center"/>
      <w:spacing w:before="200" w:after="160"/>
    </w:pPr>
    <w:rPr>
      <w:rFonts w:ascii="Calibri" w:hAnsi="Calibri"/>
      <w:i/>
    </w:rPr>
  </w:style>
  <w:style w:type="paragraph" w:styleId="1243" w:customStyle="1">
    <w:name w:val="Default Paragraph Font Para Char Char Char Char Char Char"/>
    <w:basedOn w:val="991"/>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1"/>
    <w:next w:val="1028"/>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1"/>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3"/>
    <w:next w:val="1247"/>
    <w:qFormat/>
    <w:pPr>
      <w:ind w:left="0" w:firstLine="24"/>
      <w:jc w:val="center"/>
      <w:spacing w:line="412" w:lineRule="auto"/>
      <w:outlineLvl w:val="1"/>
    </w:pPr>
  </w:style>
  <w:style w:type="paragraph" w:styleId="1247" w:customStyle="1">
    <w:name w:val="页脚 Char Char"/>
    <w:basedOn w:val="991"/>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2"/>
    <w:next w:val="1249"/>
    <w:qFormat/>
    <w:pPr>
      <w:ind w:left="0" w:firstLine="18"/>
      <w:jc w:val="center"/>
      <w:spacing w:before="120" w:after="0" w:line="360" w:lineRule="auto"/>
      <w:outlineLvl w:val="0"/>
    </w:pPr>
  </w:style>
  <w:style w:type="paragraph" w:styleId="1249" w:customStyle="1">
    <w:name w:val="Char1 Char Char Char Char Char Char"/>
    <w:basedOn w:val="991"/>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5"/>
    <w:next w:val="990"/>
    <w:qFormat/>
    <w:pPr>
      <w:ind w:left="851" w:firstLine="30"/>
      <w:spacing w:after="280" w:line="360" w:lineRule="auto"/>
      <w:outlineLvl w:val="3"/>
    </w:pPr>
  </w:style>
  <w:style w:type="paragraph" w:styleId="1251" w:customStyle="1">
    <w:name w:val="font0"/>
    <w:basedOn w:val="991"/>
    <w:next w:val="1227"/>
    <w:qFormat/>
    <w:pPr>
      <w:ind w:left="0" w:firstLine="1024"/>
      <w:spacing w:before="280" w:after="280" w:line="240" w:lineRule="auto"/>
    </w:pPr>
    <w:rPr>
      <w:rFonts w:ascii="Times New Roman" w:hAnsi="Times New Roman" w:cs="Times New Roman"/>
    </w:rPr>
  </w:style>
  <w:style w:type="paragraph" w:styleId="1252"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3" w:customStyle="1">
    <w:name w:val="Pa0"/>
    <w:basedOn w:val="991"/>
    <w:next w:val="990"/>
    <w:qFormat/>
    <w:pPr>
      <w:ind w:left="0" w:firstLine="4608"/>
      <w:spacing w:before="0" w:after="0" w:line="241" w:lineRule="atLeast"/>
    </w:pPr>
    <w:rPr>
      <w:rFonts w:ascii="Times New Roman" w:hAnsi="Times New Roman" w:cs="Times New Roman"/>
    </w:rPr>
  </w:style>
  <w:style w:type="paragraph" w:styleId="1254" w:customStyle="1">
    <w:name w:val="招标文件》"/>
    <w:basedOn w:val="991"/>
    <w:next w:val="1191"/>
    <w:qFormat/>
    <w:pPr>
      <w:ind w:left="420" w:firstLine="2140"/>
      <w:spacing w:before="120" w:after="120" w:line="300" w:lineRule="auto"/>
    </w:pPr>
    <w:rPr>
      <w:rFonts w:ascii="Times New Roman" w:hAnsi="Times New Roman" w:cs="Times New Roman"/>
    </w:rPr>
  </w:style>
  <w:style w:type="paragraph" w:styleId="1255" w:customStyle="1">
    <w:name w:val="段"/>
    <w:next w:val="990"/>
    <w:qFormat/>
    <w:pPr>
      <w:ind w:firstLine="200"/>
      <w:jc w:val="both"/>
      <w:spacing w:line="360" w:lineRule="auto"/>
    </w:pPr>
    <w:rPr>
      <w:sz w:val="24"/>
      <w:szCs w:val="22"/>
    </w:rPr>
  </w:style>
  <w:style w:type="paragraph" w:styleId="1256" w:customStyle="1">
    <w:name w:val="标书_正文"/>
    <w:basedOn w:val="991"/>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3"/>
    <w:next w:val="1206"/>
    <w:qFormat/>
    <w:pPr>
      <w:ind w:left="0" w:firstLine="24"/>
      <w:spacing w:before="100" w:after="0" w:line="400" w:lineRule="exact"/>
      <w:outlineLvl w:val="1"/>
    </w:pPr>
  </w:style>
  <w:style w:type="paragraph" w:styleId="1258" w:customStyle="1">
    <w:name w:val="图片0"/>
    <w:basedOn w:val="991"/>
    <w:next w:val="1039"/>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1"/>
    <w:next w:val="1232"/>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1"/>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1"/>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1"/>
    <w:next w:val="99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1"/>
    <w:next w:val="1265"/>
    <w:qFormat/>
    <w:pPr>
      <w:ind w:left="200" w:firstLine="2248"/>
      <w:spacing w:before="0" w:after="0" w:line="360" w:lineRule="auto"/>
    </w:pPr>
    <w:rPr>
      <w:rFonts w:ascii="Times New Roman" w:hAnsi="Times New Roman" w:cs="Times New Roman"/>
    </w:rPr>
  </w:style>
  <w:style w:type="paragraph" w:styleId="1265" w:customStyle="1">
    <w:name w:val="2ji"/>
    <w:basedOn w:val="993"/>
    <w:next w:val="1034"/>
    <w:qFormat/>
    <w:pPr>
      <w:ind w:left="0" w:firstLine="24"/>
      <w:spacing w:before="0" w:after="0" w:line="360" w:lineRule="auto"/>
      <w:outlineLvl w:val="1"/>
    </w:pPr>
  </w:style>
  <w:style w:type="paragraph" w:styleId="1266" w:customStyle="1">
    <w:name w:val="xl91"/>
    <w:basedOn w:val="991"/>
    <w:next w:val="1188"/>
    <w:qFormat/>
    <w:pPr>
      <w:ind w:left="0" w:firstLine="3584"/>
      <w:spacing w:before="280" w:after="280" w:line="240" w:lineRule="auto"/>
    </w:pPr>
    <w:rPr>
      <w:rFonts w:ascii="Times New Roman" w:hAnsi="Times New Roman" w:cs="Times New Roman"/>
    </w:rPr>
  </w:style>
  <w:style w:type="paragraph" w:styleId="1267" w:customStyle="1">
    <w:name w:val="Text Body"/>
    <w:basedOn w:val="991"/>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1"/>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4"/>
    <w:next w:val="1271"/>
    <w:qFormat/>
    <w:pPr>
      <w:ind w:left="1429" w:firstLine="18"/>
      <w:spacing w:before="100" w:after="100" w:line="360" w:lineRule="auto"/>
      <w:outlineLvl w:val="2"/>
    </w:pPr>
  </w:style>
  <w:style w:type="paragraph" w:styleId="1271" w:customStyle="1">
    <w:name w:val="xl22"/>
    <w:basedOn w:val="991"/>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1"/>
    <w:next w:val="990"/>
    <w:qFormat/>
    <w:pPr>
      <w:ind w:left="0"/>
      <w:spacing w:before="0" w:after="0" w:line="360" w:lineRule="auto"/>
    </w:pPr>
    <w:rPr>
      <w:rFonts w:ascii="Times New Roman" w:hAnsi="Times New Roman" w:cs="Times New Roman"/>
    </w:rPr>
  </w:style>
  <w:style w:type="paragraph" w:styleId="1273" w:customStyle="1">
    <w:name w:val="xl78"/>
    <w:basedOn w:val="991"/>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7"/>
    <w:qFormat/>
    <w:pPr>
      <w:ind w:firstLine="4608"/>
      <w:jc w:val="center"/>
      <w:spacing w:line="360" w:lineRule="auto"/>
    </w:pPr>
    <w:rPr>
      <w:rFonts w:ascii="Calibri" w:hAnsi="Calibri"/>
    </w:rPr>
  </w:style>
  <w:style w:type="paragraph" w:styleId="1275" w:customStyle="1">
    <w:name w:val="_Style 169"/>
    <w:next w:val="990"/>
    <w:qFormat/>
    <w:pPr>
      <w:ind w:left="2560"/>
    </w:pPr>
    <w:rPr>
      <w:rFonts w:ascii="Calibri" w:hAnsi="Calibri"/>
    </w:rPr>
  </w:style>
  <w:style w:type="paragraph" w:styleId="1276" w:customStyle="1">
    <w:name w:val="样式 小四 行距: 1.5 倍行距 首行缩进:  2 字符"/>
    <w:basedOn w:val="991"/>
    <w:next w:val="1222"/>
    <w:qFormat/>
    <w:pPr>
      <w:ind w:left="480" w:firstLine="2784"/>
      <w:spacing w:before="0" w:after="0" w:line="360" w:lineRule="auto"/>
    </w:pPr>
    <w:rPr>
      <w:rFonts w:ascii="Times New Roman" w:hAnsi="Times New Roman" w:cs="Times New Roman"/>
    </w:rPr>
  </w:style>
  <w:style w:type="paragraph" w:styleId="1277" w:customStyle="1">
    <w:name w:val="小节标题"/>
    <w:basedOn w:val="991"/>
    <w:next w:val="990"/>
    <w:qFormat/>
    <w:pPr>
      <w:ind w:left="0" w:firstLine="7168"/>
      <w:spacing w:before="175" w:after="102" w:line="351" w:lineRule="atLeast"/>
    </w:pPr>
    <w:rPr>
      <w:rFonts w:ascii="Times New Roman" w:hAnsi="Times New Roman" w:cs="Times New Roman"/>
    </w:rPr>
  </w:style>
  <w:style w:type="paragraph" w:styleId="1278" w:customStyle="1">
    <w:name w:val="TOC 标题2"/>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1"/>
    <w:next w:val="1280"/>
    <w:qFormat/>
    <w:pPr>
      <w:ind w:left="0" w:firstLine="3584"/>
      <w:spacing w:before="0" w:after="0" w:line="240" w:lineRule="auto"/>
    </w:pPr>
    <w:rPr>
      <w:rFonts w:ascii="Times New Roman" w:hAnsi="Times New Roman" w:cs="Times New Roman"/>
    </w:rPr>
  </w:style>
  <w:style w:type="paragraph" w:styleId="1280" w:customStyle="1">
    <w:name w:val="Char"/>
    <w:basedOn w:val="991"/>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1"/>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1"/>
    <w:next w:val="1018"/>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1"/>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1"/>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1"/>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1"/>
    <w:next w:val="99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0" w:customStyle="1">
    <w:name w:val="p15"/>
    <w:basedOn w:val="990"/>
    <w:qFormat/>
    <w:pPr>
      <w:ind w:left="0"/>
    </w:pPr>
    <w:rPr>
      <w:rFonts w:ascii="宋体" w:hAnsi="宋体"/>
      <w:sz w:val="28"/>
      <w:szCs w:val="28"/>
    </w:rPr>
  </w:style>
  <w:style w:type="paragraph" w:styleId="1291" w:customStyle="1">
    <w:name w:val="四号 居中"/>
    <w:basedOn w:val="991"/>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90"/>
    <w:qFormat/>
    <w:pPr>
      <w:ind w:firstLine="2048"/>
      <w:spacing w:line="360" w:lineRule="auto"/>
    </w:pPr>
    <w:rPr>
      <w:rFonts w:ascii="Calibri" w:hAnsi="Calibri"/>
    </w:rPr>
  </w:style>
  <w:style w:type="paragraph" w:styleId="1293" w:customStyle="1">
    <w:name w:val="列表编号 21"/>
    <w:basedOn w:val="991"/>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1"/>
    <w:next w:val="1176"/>
    <w:qFormat/>
    <w:pPr>
      <w:ind w:left="0" w:firstLine="2560"/>
      <w:jc w:val="center"/>
      <w:spacing w:before="0" w:after="120" w:line="480" w:lineRule="auto"/>
    </w:pPr>
    <w:rPr>
      <w:rFonts w:ascii="Times New Roman" w:hAnsi="Times New Roman" w:cs="Times New Roman"/>
    </w:rPr>
  </w:style>
  <w:style w:type="paragraph" w:styleId="1295" w:customStyle="1">
    <w:name w:val="a2"/>
    <w:basedOn w:val="991"/>
    <w:next w:val="1031"/>
    <w:qFormat/>
    <w:pPr>
      <w:ind w:left="0" w:firstLine="1024"/>
      <w:spacing w:before="280" w:after="280" w:line="240" w:lineRule="auto"/>
    </w:pPr>
    <w:rPr>
      <w:rFonts w:ascii="Times New Roman" w:hAnsi="Times New Roman" w:cs="Times New Roman"/>
    </w:rPr>
  </w:style>
  <w:style w:type="paragraph" w:styleId="1296" w:customStyle="1">
    <w:name w:val="font8"/>
    <w:basedOn w:val="991"/>
    <w:next w:val="1221"/>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1"/>
    <w:next w:val="1298"/>
    <w:qFormat/>
    <w:pPr>
      <w:ind w:left="0" w:firstLine="2560"/>
      <w:spacing w:before="0" w:after="0" w:line="240" w:lineRule="auto"/>
    </w:pPr>
    <w:rPr>
      <w:rFonts w:ascii="Times New Roman" w:hAnsi="Times New Roman" w:cs="Times New Roman"/>
    </w:rPr>
  </w:style>
  <w:style w:type="paragraph" w:styleId="1298" w:customStyle="1">
    <w:name w:val="xl87"/>
    <w:basedOn w:val="991"/>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1"/>
    <w:next w:val="1012"/>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1"/>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1"/>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1"/>
    <w:next w:val="1024"/>
    <w:qFormat/>
    <w:pPr>
      <w:ind w:left="0" w:firstLine="3584"/>
      <w:spacing w:before="280" w:after="280" w:line="240" w:lineRule="auto"/>
    </w:pPr>
    <w:rPr>
      <w:rFonts w:ascii="Times New Roman" w:hAnsi="Times New Roman" w:cs="Times New Roman"/>
    </w:rPr>
  </w:style>
  <w:style w:type="paragraph" w:styleId="1305" w:customStyle="1">
    <w:name w:val="纯文本1"/>
    <w:basedOn w:val="991"/>
    <w:next w:val="1036"/>
    <w:qFormat/>
    <w:pPr>
      <w:ind w:left="0" w:firstLine="3584"/>
      <w:spacing w:before="0" w:after="0" w:line="240" w:lineRule="auto"/>
    </w:pPr>
    <w:rPr>
      <w:rFonts w:ascii="Times New Roman" w:hAnsi="Times New Roman" w:cs="Times New Roman"/>
    </w:rPr>
  </w:style>
  <w:style w:type="paragraph" w:styleId="1306" w:customStyle="1">
    <w:name w:val="索引 91"/>
    <w:basedOn w:val="991"/>
    <w:next w:val="99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1"/>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1"/>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1"/>
    <w:next w:val="1037"/>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1"/>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1"/>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1"/>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1"/>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5"/>
    <w:next w:val="1316"/>
    <w:qFormat/>
    <w:pPr>
      <w:ind w:left="426" w:firstLine="24"/>
      <w:spacing w:before="0" w:after="0" w:line="360" w:lineRule="auto"/>
      <w:outlineLvl w:val="3"/>
    </w:pPr>
  </w:style>
  <w:style w:type="paragraph" w:styleId="1316" w:customStyle="1">
    <w:name w:val="xl82"/>
    <w:basedOn w:val="991"/>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1"/>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1"/>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1"/>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1"/>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1"/>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1"/>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1"/>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9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1"/>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1"/>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2"/>
    <w:next w:val="1334"/>
    <w:qFormat/>
    <w:pPr>
      <w:ind w:left="432" w:firstLine="18"/>
      <w:spacing w:before="40" w:after="40" w:line="360" w:lineRule="auto"/>
      <w:outlineLvl w:val="0"/>
    </w:pPr>
  </w:style>
  <w:style w:type="paragraph" w:styleId="1334" w:customStyle="1">
    <w:name w:val="表格用"/>
    <w:basedOn w:val="991"/>
    <w:next w:val="1291"/>
    <w:qFormat/>
    <w:pPr>
      <w:ind w:left="0" w:firstLine="1024"/>
      <w:spacing w:before="0" w:after="0" w:line="360" w:lineRule="auto"/>
    </w:pPr>
    <w:rPr>
      <w:rFonts w:ascii="Times New Roman" w:hAnsi="Times New Roman" w:cs="Times New Roman"/>
    </w:rPr>
  </w:style>
  <w:style w:type="paragraph" w:styleId="1335" w:customStyle="1">
    <w:name w:val="xl71"/>
    <w:basedOn w:val="991"/>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1"/>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1"/>
    <w:next w:val="1273"/>
    <w:qFormat/>
    <w:pPr>
      <w:ind w:left="420" w:firstLine="3748"/>
      <w:spacing w:before="0" w:after="0" w:line="240" w:lineRule="auto"/>
    </w:pPr>
    <w:rPr>
      <w:rFonts w:ascii="Times New Roman" w:hAnsi="Times New Roman" w:cs="Times New Roman"/>
    </w:rPr>
  </w:style>
  <w:style w:type="paragraph" w:styleId="1338" w:customStyle="1">
    <w:name w:val="修订1"/>
    <w:qFormat/>
    <w:rPr>
      <w:rFonts w:ascii="Calibri" w:hAnsi="Calibri"/>
    </w:rPr>
  </w:style>
  <w:style w:type="paragraph" w:styleId="1339" w:customStyle="1">
    <w:name w:val="正文文本缩进 21"/>
    <w:basedOn w:val="991"/>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1"/>
    <w:next w:val="1289"/>
    <w:qFormat/>
    <w:pPr>
      <w:ind w:left="0" w:firstLine="2560"/>
      <w:spacing w:before="0" w:after="0" w:line="240" w:lineRule="auto"/>
    </w:pPr>
    <w:rPr>
      <w:rFonts w:ascii="Times New Roman" w:hAnsi="Times New Roman" w:cs="Times New Roman"/>
    </w:rPr>
  </w:style>
  <w:style w:type="paragraph" w:styleId="1341" w:customStyle="1">
    <w:name w:val="样式"/>
    <w:next w:val="990"/>
    <w:qFormat/>
    <w:pPr>
      <w:ind w:firstLine="3584"/>
      <w:widowControl w:val="off"/>
    </w:pPr>
    <w:rPr>
      <w:rFonts w:ascii="Calibri" w:hAnsi="Calibri"/>
    </w:rPr>
  </w:style>
  <w:style w:type="paragraph" w:styleId="1342" w:customStyle="1">
    <w:name w:val="TOC 标题1"/>
    <w:basedOn w:val="992"/>
    <w:next w:val="990"/>
    <w:qFormat/>
    <w:pPr>
      <w:ind w:left="0" w:firstLine="6144"/>
      <w:spacing w:before="480" w:after="0" w:line="276" w:lineRule="auto"/>
    </w:pPr>
    <w:rPr>
      <w:b/>
      <w:sz w:val="30"/>
    </w:rPr>
  </w:style>
  <w:style w:type="paragraph" w:styleId="1343" w:customStyle="1">
    <w:name w:val="纯文本3"/>
    <w:basedOn w:val="990"/>
    <w:qFormat/>
    <w:rPr>
      <w:rFonts w:ascii="宋体" w:hAnsi="Courier New" w:cs="Times New Roman"/>
    </w:rPr>
  </w:style>
  <w:style w:type="paragraph" w:styleId="1344" w:customStyle="1">
    <w:name w:val="afont"/>
    <w:basedOn w:val="991"/>
    <w:next w:val="1016"/>
    <w:qFormat/>
    <w:pPr>
      <w:ind w:left="0" w:firstLine="2048"/>
      <w:spacing w:before="100" w:after="100" w:line="285" w:lineRule="atLeast"/>
    </w:pPr>
    <w:rPr>
      <w:rFonts w:ascii="Times New Roman" w:hAnsi="Times New Roman" w:cs="Times New Roman"/>
    </w:rPr>
  </w:style>
  <w:style w:type="paragraph" w:styleId="1345" w:customStyle="1">
    <w:name w:val="xl85"/>
    <w:basedOn w:val="991"/>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1"/>
    <w:next w:val="1347"/>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1"/>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1"/>
    <w:next w:val="990"/>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90"/>
    <w:qFormat/>
    <w:pPr>
      <w:ind w:left="0"/>
      <w:jc w:val="left"/>
    </w:pPr>
    <w:rPr>
      <w:rFonts w:ascii="宋体" w:hAnsi="宋体" w:eastAsia="楷体_GB2312" w:cs="Courier New"/>
      <w:sz w:val="26"/>
      <w:lang w:val="zh-CN"/>
    </w:rPr>
  </w:style>
  <w:style w:type="paragraph" w:styleId="1350" w:customStyle="1">
    <w:name w:val="样式 加粗 居中2"/>
    <w:basedOn w:val="991"/>
    <w:next w:val="1203"/>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1"/>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1"/>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1"/>
    <w:next w:val="1233"/>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1"/>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1"/>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1"/>
    <w:next w:val="990"/>
    <w:qFormat/>
    <w:pPr>
      <w:ind w:left="209" w:firstLine="5329"/>
      <w:spacing w:before="0" w:after="0" w:line="317" w:lineRule="atLeast"/>
    </w:pPr>
    <w:rPr>
      <w:rFonts w:ascii="Times New Roman" w:hAnsi="Times New Roman" w:cs="Times New Roman"/>
    </w:rPr>
  </w:style>
  <w:style w:type="paragraph" w:styleId="1357" w:customStyle="1">
    <w:name w:val="图表目录1"/>
    <w:basedOn w:val="991"/>
    <w:next w:val="99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1"/>
    <w:next w:val="1308"/>
    <w:qFormat/>
    <w:pPr>
      <w:ind w:left="0" w:firstLine="5120"/>
      <w:spacing w:before="280" w:after="280" w:line="240" w:lineRule="auto"/>
    </w:pPr>
    <w:rPr>
      <w:rFonts w:ascii="Times New Roman" w:hAnsi="Times New Roman" w:cs="Times New Roman"/>
    </w:rPr>
  </w:style>
  <w:style w:type="paragraph" w:styleId="1359">
    <w:name w:val="List Paragraph"/>
    <w:basedOn w:val="990"/>
    <w:next w:val="1266"/>
    <w:qFormat/>
    <w:pPr>
      <w:ind w:left="420" w:firstLine="3748"/>
    </w:pPr>
    <w:rPr>
      <w:rFonts w:ascii="Times New Roman" w:hAnsi="Times New Roman" w:cs="Times New Roman"/>
    </w:rPr>
  </w:style>
  <w:style w:type="paragraph" w:styleId="1360" w:customStyle="1">
    <w:name w:val="xl73"/>
    <w:basedOn w:val="991"/>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1"/>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6"/>
    <w:next w:val="1363"/>
    <w:qFormat/>
    <w:pPr>
      <w:ind w:left="1134" w:firstLine="18"/>
      <w:spacing w:before="0" w:after="0" w:line="360" w:lineRule="auto"/>
      <w:outlineLvl w:val="4"/>
    </w:pPr>
  </w:style>
  <w:style w:type="paragraph" w:styleId="1363" w:customStyle="1">
    <w:name w:val="日期1"/>
    <w:basedOn w:val="991"/>
    <w:next w:val="990"/>
    <w:qFormat/>
    <w:pPr>
      <w:ind w:left="100" w:firstLine="6144"/>
      <w:spacing w:before="0" w:after="0" w:line="240" w:lineRule="auto"/>
    </w:pPr>
    <w:rPr>
      <w:rFonts w:ascii="Times New Roman" w:hAnsi="Times New Roman" w:cs="Times New Roman"/>
    </w:rPr>
  </w:style>
  <w:style w:type="paragraph" w:styleId="1364" w:customStyle="1">
    <w:name w:val="图1"/>
    <w:basedOn w:val="991"/>
    <w:next w:val="99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1"/>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1"/>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1"/>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90"/>
    <w:qFormat/>
    <w:pPr>
      <w:ind w:left="3766" w:right="950"/>
      <w:jc w:val="center"/>
      <w:spacing w:before="360" w:after="360"/>
    </w:pPr>
    <w:rPr>
      <w:rFonts w:ascii="Calibri" w:hAnsi="Calibri"/>
      <w:i/>
    </w:rPr>
  </w:style>
  <w:style w:type="paragraph" w:styleId="1369" w:customStyle="1">
    <w:name w:val="索引 51"/>
    <w:basedOn w:val="991"/>
    <w:next w:val="99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1"/>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1"/>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2"/>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1"/>
    <w:next w:val="1376"/>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18"/>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1"/>
    <w:qFormat/>
    <w:pPr>
      <w:ind w:firstLine="3584"/>
      <w:jc w:val="both"/>
      <w:widowControl w:val="off"/>
    </w:pPr>
    <w:rPr>
      <w:rFonts w:ascii="Calibri" w:hAnsi="Calibri"/>
    </w:rPr>
  </w:style>
  <w:style w:type="paragraph" w:styleId="1379" w:customStyle="1">
    <w:name w:val="font7"/>
    <w:basedOn w:val="991"/>
    <w:next w:val="138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1"/>
    <w:next w:val="1381"/>
    <w:qFormat/>
    <w:pPr>
      <w:ind w:left="0" w:firstLine="2560"/>
      <w:spacing w:before="0" w:after="0" w:line="240" w:lineRule="auto"/>
    </w:pPr>
    <w:rPr>
      <w:rFonts w:ascii="Times New Roman" w:hAnsi="Times New Roman" w:cs="Times New Roman"/>
    </w:rPr>
  </w:style>
  <w:style w:type="paragraph" w:styleId="1381" w:customStyle="1">
    <w:name w:val="xl64"/>
    <w:basedOn w:val="991"/>
    <w:next w:val="1348"/>
    <w:qFormat/>
    <w:pPr>
      <w:ind w:left="0" w:firstLine="3584"/>
      <w:spacing w:before="280" w:after="280" w:line="240" w:lineRule="auto"/>
    </w:pPr>
    <w:rPr>
      <w:rFonts w:ascii="Times New Roman" w:hAnsi="Times New Roman" w:cs="Times New Roman"/>
    </w:rPr>
  </w:style>
  <w:style w:type="paragraph" w:styleId="1382" w:customStyle="1">
    <w:name w:val="style16"/>
    <w:basedOn w:val="991"/>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1"/>
    <w:next w:val="990"/>
    <w:qFormat/>
    <w:pPr>
      <w:ind w:left="0" w:firstLine="3584"/>
      <w:spacing w:before="0" w:after="0" w:line="240" w:lineRule="auto"/>
    </w:pPr>
    <w:rPr>
      <w:rFonts w:ascii="Times New Roman" w:hAnsi="Times New Roman" w:cs="Times New Roman"/>
    </w:rPr>
  </w:style>
  <w:style w:type="paragraph" w:styleId="1384" w:customStyle="1">
    <w:name w:val="H 3"/>
    <w:basedOn w:val="994"/>
    <w:next w:val="1385"/>
    <w:qFormat/>
    <w:pPr>
      <w:ind w:left="1429" w:firstLine="18"/>
      <w:spacing w:before="0" w:after="0" w:line="360" w:lineRule="auto"/>
      <w:outlineLvl w:val="2"/>
    </w:pPr>
  </w:style>
  <w:style w:type="paragraph" w:styleId="1385" w:customStyle="1">
    <w:name w:val="xl83"/>
    <w:basedOn w:val="991"/>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1"/>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1"/>
    <w:next w:val="1369"/>
    <w:qFormat/>
    <w:pPr>
      <w:ind w:left="200" w:firstLine="3784"/>
      <w:spacing w:before="0" w:after="0" w:line="360" w:lineRule="auto"/>
    </w:pPr>
    <w:rPr>
      <w:rFonts w:ascii="Times New Roman" w:hAnsi="Times New Roman" w:cs="Times New Roman"/>
    </w:rPr>
  </w:style>
  <w:style w:type="paragraph" w:styleId="1388" w:customStyle="1">
    <w:name w:val="1"/>
    <w:basedOn w:val="991"/>
    <w:next w:val="1025"/>
    <w:qFormat/>
    <w:pPr>
      <w:ind w:left="0" w:firstLine="2048"/>
      <w:spacing w:before="0" w:after="0" w:line="240" w:lineRule="auto"/>
    </w:pPr>
    <w:rPr>
      <w:rFonts w:ascii="Times New Roman" w:hAnsi="Times New Roman" w:cs="Times New Roman"/>
    </w:rPr>
  </w:style>
  <w:style w:type="paragraph" w:styleId="1389"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0"/>
    <w:uiPriority w:val="1"/>
    <w:qFormat/>
    <w:rPr>
      <w:rFonts w:ascii="宋体" w:hAnsi="宋体"/>
      <w:lang w:val="zh-CN" w:bidi="zh-CN"/>
    </w:rPr>
  </w:style>
  <w:style w:type="paragraph" w:styleId="1391" w:customStyle="1">
    <w:name w:val="_Style 400"/>
    <w:qFormat/>
    <w:rPr>
      <w:rFonts w:ascii="Calibri" w:hAnsi="Calibri"/>
    </w:rPr>
  </w:style>
  <w:style w:type="paragraph" w:styleId="1392"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1"/>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1"/>
    <w:next w:val="1395"/>
    <w:qFormat/>
    <w:pPr>
      <w:ind w:left="0" w:firstLine="2560"/>
      <w:spacing w:before="0" w:after="0" w:line="240" w:lineRule="auto"/>
    </w:pPr>
    <w:rPr>
      <w:rFonts w:ascii="Times New Roman" w:hAnsi="Times New Roman" w:cs="Times New Roman"/>
    </w:rPr>
  </w:style>
  <w:style w:type="paragraph" w:styleId="1395" w:customStyle="1">
    <w:name w:val="xl24"/>
    <w:basedOn w:val="991"/>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1"/>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90"/>
    <w:qFormat/>
    <w:pPr>
      <w:ind w:firstLine="4608"/>
      <w:jc w:val="center"/>
    </w:pPr>
    <w:rPr>
      <w:rFonts w:ascii="Calibri" w:hAnsi="Calibri"/>
    </w:rPr>
  </w:style>
  <w:style w:type="paragraph" w:styleId="1399" w:customStyle="1">
    <w:name w:val="列出段落3"/>
    <w:basedOn w:val="991"/>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1"/>
    <w:next w:val="99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1"/>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1"/>
    <w:next w:val="1033"/>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1"/>
    <w:next w:val="1386"/>
    <w:qFormat/>
    <w:pPr>
      <w:ind w:left="0" w:firstLine="3584"/>
      <w:spacing w:before="280" w:after="280" w:line="240" w:lineRule="auto"/>
    </w:pPr>
    <w:rPr>
      <w:rFonts w:ascii="Times New Roman" w:hAnsi="Times New Roman" w:cs="Times New Roman"/>
    </w:rPr>
  </w:style>
  <w:style w:type="paragraph" w:styleId="1405" w:customStyle="1">
    <w:name w:val="*正文"/>
    <w:basedOn w:val="99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1"/>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B917E72-96AB-4287-BFEC-F65BFA855B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29</cp:revision>
  <dcterms:created xsi:type="dcterms:W3CDTF">2025-05-21T08:30:00Z</dcterms:created>
  <dcterms:modified xsi:type="dcterms:W3CDTF">2025-05-30T02:51:20Z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3208C53534EB4E0FBD2BB36A7987A441_13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