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44"/>
          <w:szCs w:val="44"/>
        </w:rPr>
      </w:pPr>
      <w:r>
        <w:rPr>
          <w:rFonts w:hint="eastAsia" w:ascii="宋体" w:hAnsi="宋体"/>
          <w:b/>
          <w:sz w:val="84"/>
        </w:rPr>
        <w:t xml:space="preserve">招 标 文 件</w:t>
      </w:r>
      <w:r/>
    </w:p>
    <w:p>
      <w:pPr>
        <w:rPr>
          <w:rFonts w:ascii="宋体" w:hAnsi="宋体"/>
          <w:b/>
          <w:sz w:val="32"/>
        </w:rPr>
      </w:pPr>
      <w:r>
        <w:rPr>
          <w:rFonts w:ascii="宋体" w:hAnsi="宋体"/>
          <w:b/>
          <w:sz w:val="32"/>
        </w:rPr>
      </w:r>
      <w:r/>
    </w:p>
    <w:p>
      <w:pPr>
        <w:jc w:val="center"/>
        <w:rPr>
          <w:rFonts w:ascii="宋体" w:hAnsi="宋体"/>
          <w:b/>
          <w:sz w:val="32"/>
        </w:rPr>
      </w:pPr>
      <w:r>
        <w:rPr>
          <w:rFonts w:ascii="宋体" w:hAnsi="宋体"/>
          <w:b/>
          <w:sz w:val="32"/>
        </w:rPr>
      </w:r>
      <w:r/>
    </w:p>
    <w:p>
      <w:pPr>
        <w:jc w:val="center"/>
        <w:rPr>
          <w:rFonts w:ascii="宋体" w:hAnsi="宋体"/>
          <w:b/>
          <w:sz w:val="32"/>
        </w:rPr>
      </w:pPr>
      <w:r>
        <w:rPr>
          <w:rFonts w:ascii="宋体" w:hAnsi="宋体"/>
          <w:b/>
          <w:sz w:val="32"/>
        </w:rPr>
      </w:r>
      <w:r/>
    </w:p>
    <w:p>
      <w:pPr>
        <w:pStyle w:val="1112"/>
      </w:pPr>
      <w:r/>
      <w:r/>
    </w:p>
    <w:p>
      <w:pPr>
        <w:pStyle w:val="1112"/>
      </w:pPr>
      <w:r/>
      <w:r/>
    </w:p>
    <w:p>
      <w:pPr>
        <w:jc w:val="center"/>
        <w:rPr>
          <w:rFonts w:ascii="宋体" w:hAnsi="宋体"/>
          <w:b/>
          <w:sz w:val="32"/>
        </w:rPr>
      </w:pPr>
      <w:r>
        <w:rPr>
          <w:rFonts w:ascii="宋体" w:hAnsi="宋体"/>
          <w:b/>
          <w:sz w:val="32"/>
        </w:rPr>
      </w:r>
      <w:r/>
    </w:p>
    <w:p>
      <w:pPr>
        <w:rPr>
          <w:rFonts w:ascii="宋体" w:hAnsi="宋体"/>
          <w:b/>
          <w:bCs/>
          <w:sz w:val="44"/>
          <w:szCs w:val="44"/>
        </w:rPr>
      </w:pPr>
      <w:r>
        <w:rPr>
          <w:rFonts w:hint="eastAsia" w:ascii="宋体" w:hAnsi="宋体"/>
          <w:b/>
          <w:bCs/>
          <w:sz w:val="44"/>
          <w:szCs w:val="44"/>
        </w:rPr>
        <w:t xml:space="preserve">项目编号：JSZC-320922-YTGC-G2024-0015</w:t>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spacing w:line="300" w:lineRule="auto"/>
        <w:rPr>
          <w:rFonts w:ascii="宋体" w:hAnsi="宋体"/>
          <w:b/>
          <w:bCs/>
          <w:sz w:val="44"/>
          <w:szCs w:val="44"/>
        </w:rPr>
      </w:pPr>
      <w:r>
        <w:rPr>
          <w:rFonts w:hint="eastAsia" w:ascii="宋体" w:hAnsi="宋体"/>
          <w:b/>
          <w:bCs/>
          <w:sz w:val="44"/>
          <w:szCs w:val="44"/>
        </w:rPr>
        <w:t xml:space="preserve">项目名称：滨海县公安局为民办实事农村道路</w:t>
      </w:r>
      <w:r/>
    </w:p>
    <w:p>
      <w:pPr>
        <w:jc w:val="center"/>
        <w:spacing w:line="300" w:lineRule="auto"/>
        <w:rPr>
          <w:rFonts w:hint="eastAsia" w:ascii="宋体" w:hAnsi="宋体" w:eastAsia="宋体"/>
          <w:b/>
          <w:sz w:val="32"/>
          <w:lang w:eastAsia="zh-CN"/>
        </w:rPr>
      </w:pPr>
      <w:r>
        <w:rPr>
          <w:rFonts w:hint="eastAsia" w:ascii="宋体" w:hAnsi="宋体"/>
          <w:b/>
          <w:bCs/>
          <w:sz w:val="44"/>
          <w:szCs w:val="44"/>
        </w:rPr>
        <w:t xml:space="preserve">交通安全提升项目</w:t>
      </w:r>
      <w:r>
        <w:rPr>
          <w:rFonts w:hint="eastAsia" w:ascii="宋体" w:hAnsi="宋体"/>
          <w:b/>
          <w:bCs/>
          <w:sz w:val="44"/>
          <w:szCs w:val="44"/>
          <w:lang w:eastAsia="zh-CN"/>
        </w:rPr>
        <w:t xml:space="preserve">（</w:t>
      </w:r>
      <w:r>
        <w:rPr>
          <w:rFonts w:hint="eastAsia" w:ascii="宋体" w:hAnsi="宋体"/>
          <w:b/>
          <w:bCs/>
          <w:sz w:val="44"/>
          <w:szCs w:val="44"/>
          <w:lang w:val="en-US" w:eastAsia="zh-CN"/>
        </w:rPr>
        <w:t xml:space="preserve">二次</w:t>
      </w:r>
      <w:r>
        <w:rPr>
          <w:rFonts w:hint="eastAsia" w:ascii="宋体" w:hAnsi="宋体"/>
          <w:b/>
          <w:bCs/>
          <w:sz w:val="44"/>
          <w:szCs w:val="44"/>
          <w:lang w:eastAsia="zh-CN"/>
        </w:rPr>
        <w:t xml:space="preserve">）</w:t>
      </w:r>
      <w:r/>
    </w:p>
    <w:p>
      <w:pPr>
        <w:jc w:val="left"/>
        <w:widowControl/>
      </w:pPr>
      <w:r/>
      <w:r/>
    </w:p>
    <w:p>
      <w:pPr>
        <w:jc w:val="left"/>
        <w:widowControl/>
      </w:pPr>
      <w:r/>
      <w:r/>
    </w:p>
    <w:p>
      <w:pPr>
        <w:jc w:val="center"/>
        <w:rPr>
          <w:rFonts w:ascii="宋体" w:hAnsi="宋体"/>
          <w:b/>
          <w:sz w:val="32"/>
        </w:rPr>
      </w:pPr>
      <w:r>
        <w:rPr>
          <w:rFonts w:ascii="宋体" w:hAnsi="宋体"/>
          <w:b/>
          <w:sz w:val="32"/>
        </w:rPr>
      </w:r>
      <w:r/>
    </w:p>
    <w:p>
      <w:pPr>
        <w:jc w:val="center"/>
        <w:spacing w:before="120" w:after="120" w:line="360" w:lineRule="auto"/>
        <w:rPr>
          <w:rFonts w:ascii="宋体" w:hAnsi="宋体"/>
          <w:b/>
          <w:sz w:val="44"/>
        </w:rPr>
      </w:pPr>
      <w:r>
        <w:rPr>
          <w:rFonts w:ascii="宋体" w:hAnsi="宋体"/>
          <w:b/>
          <w:sz w:val="44"/>
        </w:rPr>
      </w:r>
      <w:r/>
    </w:p>
    <w:p>
      <w:pPr>
        <w:pStyle w:val="1098"/>
        <w:ind w:left="1960" w:right="1960"/>
        <w:rPr>
          <w:rFonts w:hint="default"/>
        </w:rPr>
      </w:pPr>
      <w:r>
        <w:rPr>
          <w:rFonts w:hint="default"/>
        </w:rPr>
      </w:r>
      <w:r/>
    </w:p>
    <w:p>
      <w:pPr>
        <w:pStyle w:val="1112"/>
      </w:pPr>
      <w:r/>
      <w:r/>
    </w:p>
    <w:p>
      <w:pPr>
        <w:jc w:val="center"/>
        <w:rPr>
          <w:rFonts w:ascii="宋体" w:hAnsi="宋体"/>
          <w:b/>
          <w:sz w:val="44"/>
        </w:rPr>
      </w:pPr>
      <w:r>
        <w:rPr>
          <w:rFonts w:hint="eastAsia" w:ascii="宋体" w:hAnsi="宋体"/>
          <w:b/>
          <w:sz w:val="44"/>
        </w:rPr>
        <w:t xml:space="preserve">滨海县公安局</w:t>
      </w:r>
      <w:r/>
    </w:p>
    <w:p>
      <w:pPr>
        <w:jc w:val="center"/>
        <w:rPr>
          <w:rFonts w:ascii="宋体" w:hAnsi="宋体"/>
          <w:b/>
          <w:sz w:val="44"/>
        </w:rPr>
      </w:pPr>
      <w:r>
        <w:rPr>
          <w:rFonts w:ascii="宋体" w:hAnsi="宋体"/>
          <w:b/>
          <w:sz w:val="44"/>
        </w:rPr>
      </w:r>
      <w:r/>
    </w:p>
    <w:p>
      <w:pPr>
        <w:jc w:val="center"/>
        <w:rPr>
          <w:rFonts w:ascii="宋体" w:hAnsi="宋体"/>
          <w:b/>
          <w:sz w:val="44"/>
        </w:rPr>
      </w:pPr>
      <w:r>
        <w:rPr>
          <w:rFonts w:hint="eastAsia" w:ascii="宋体" w:hAnsi="宋体"/>
          <w:b/>
          <w:sz w:val="44"/>
        </w:rPr>
        <w:t xml:space="preserve">2024</w:t>
      </w:r>
      <w:r>
        <w:rPr>
          <w:rFonts w:ascii="宋体" w:hAnsi="宋体"/>
          <w:b/>
          <w:sz w:val="44"/>
        </w:rPr>
        <w:t xml:space="preserve">年</w:t>
      </w:r>
      <w:r>
        <w:rPr>
          <w:rFonts w:hint="eastAsia" w:ascii="宋体" w:hAnsi="宋体"/>
          <w:b/>
          <w:sz w:val="44"/>
        </w:rPr>
        <w:t xml:space="preserve">6</w:t>
      </w:r>
      <w:r>
        <w:rPr>
          <w:rFonts w:ascii="宋体" w:hAnsi="宋体"/>
          <w:b/>
          <w:sz w:val="44"/>
        </w:rPr>
        <w:t xml:space="preserve">月</w:t>
      </w:r>
      <w:r/>
    </w:p>
    <w:p>
      <w:pPr>
        <w:jc w:val="center"/>
        <w:spacing w:before="120" w:after="120"/>
        <w:rPr>
          <w:rFonts w:ascii="宋体" w:hAnsi="宋体"/>
          <w:b/>
          <w:sz w:val="44"/>
        </w:rPr>
      </w:pPr>
      <w:r>
        <w:rPr>
          <w:rFonts w:ascii="宋体" w:hAnsi="宋体"/>
          <w:sz w:val="44"/>
        </w:rPr>
        <w:br w:type="page" w:clear="all"/>
      </w:r>
      <w:r>
        <w:rPr>
          <w:rFonts w:hint="eastAsia" w:ascii="宋体" w:hAnsi="宋体"/>
          <w:b/>
          <w:sz w:val="44"/>
        </w:rPr>
        <w:t xml:space="preserve">总  目  录</w:t>
      </w:r>
      <w:r/>
    </w:p>
    <w:p>
      <w:pPr>
        <w:pStyle w:val="1130"/>
        <w:spacing w:line="360" w:lineRule="auto"/>
        <w:tabs>
          <w:tab w:val="right" w:pos="8949" w:leader="dot"/>
        </w:tabs>
        <w:rPr>
          <w:rFonts w:ascii="宋体" w:hAnsi="宋体"/>
          <w:b w:val="0"/>
          <w:bCs w:val="0"/>
          <w:caps w:val="0"/>
          <w:sz w:val="44"/>
        </w:rPr>
      </w:pPr>
      <w:r>
        <w:rPr>
          <w:rFonts w:ascii="宋体" w:hAnsi="宋体"/>
          <w:b w:val="0"/>
          <w:bCs w:val="0"/>
          <w:caps w:val="0"/>
          <w:sz w:val="44"/>
        </w:rPr>
      </w:r>
      <w:r/>
    </w:p>
    <w:p>
      <w:pPr>
        <w:pStyle w:val="1130"/>
        <w:spacing w:line="360" w:lineRule="auto"/>
        <w:tabs>
          <w:tab w:val="right" w:pos="8949" w:leader="dot"/>
        </w:tabs>
        <w:rPr>
          <w:rFonts w:ascii="宋体" w:hAnsi="宋体"/>
          <w:b w:val="0"/>
          <w:bCs w:val="0"/>
          <w:caps w:val="0"/>
          <w:sz w:val="21"/>
          <w:szCs w:val="22"/>
        </w:rPr>
      </w:pPr>
      <w:r>
        <w:rPr>
          <w:rFonts w:ascii="宋体" w:hAnsi="宋体"/>
          <w:b w:val="0"/>
          <w:bCs w:val="0"/>
          <w:caps w:val="0"/>
          <w:sz w:val="44"/>
        </w:rPr>
        <w:fldChar w:fldCharType="begin"/>
      </w:r>
      <w:r>
        <w:rPr>
          <w:rFonts w:ascii="宋体" w:hAnsi="宋体"/>
          <w:b w:val="0"/>
          <w:bCs w:val="0"/>
          <w:caps w:val="0"/>
          <w:sz w:val="44"/>
        </w:rPr>
        <w:instrText xml:space="preserve"> TOC \o "1-3" \h \z \u </w:instrText>
      </w:r>
      <w:r>
        <w:rPr>
          <w:rFonts w:ascii="宋体" w:hAnsi="宋体"/>
          <w:b w:val="0"/>
          <w:bCs w:val="0"/>
          <w:caps w:val="0"/>
          <w:sz w:val="44"/>
        </w:rPr>
        <w:fldChar w:fldCharType="separate"/>
      </w:r>
      <w:r>
        <w:fldChar w:fldCharType="begin"/>
      </w:r>
      <w:r>
        <w:instrText xml:space="preserve"> HYPERLINK \l "_Toc59797302" </w:instrText>
      </w:r>
      <w:r>
        <w:fldChar w:fldCharType="separate"/>
      </w:r>
      <w:r>
        <w:rPr>
          <w:rFonts w:hint="eastAsia" w:ascii="宋体" w:hAnsi="宋体"/>
          <w:b w:val="0"/>
          <w:bCs w:val="0"/>
        </w:rPr>
        <w:t xml:space="preserve">第一部分</w:t>
      </w:r>
      <w:r>
        <w:rPr>
          <w:rFonts w:ascii="宋体" w:hAnsi="宋体"/>
          <w:b w:val="0"/>
          <w:bCs w:val="0"/>
        </w:rPr>
        <w:t xml:space="preserve">  </w:t>
      </w:r>
      <w:r>
        <w:rPr>
          <w:rFonts w:hint="eastAsia" w:ascii="宋体" w:hAnsi="宋体"/>
          <w:b w:val="0"/>
          <w:bCs w:val="0"/>
        </w:rPr>
        <w:t xml:space="preserve">招标公告</w:t>
      </w:r>
      <w:r>
        <w:rPr>
          <w:rFonts w:ascii="宋体" w:hAnsi="宋体"/>
          <w:b w:val="0"/>
          <w:bCs w:val="0"/>
        </w:rPr>
        <w:tab/>
      </w:r>
      <w:r>
        <w:rPr>
          <w:rFonts w:hint="eastAsia" w:ascii="宋体" w:hAnsi="宋体"/>
          <w:b w:val="0"/>
          <w:bCs w:val="0"/>
        </w:rPr>
        <w:t xml:space="preserve">1</w:t>
      </w:r>
      <w:r>
        <w:rPr>
          <w:rFonts w:hint="eastAsia" w:ascii="宋体" w:hAnsi="宋体"/>
          <w:b w:val="0"/>
          <w:bCs w:val="0"/>
        </w:rPr>
        <w:fldChar w:fldCharType="end"/>
      </w:r>
      <w:r/>
    </w:p>
    <w:p>
      <w:pPr>
        <w:pStyle w:val="1130"/>
        <w:spacing w:line="360" w:lineRule="auto"/>
        <w:tabs>
          <w:tab w:val="right" w:pos="8949" w:leader="dot"/>
        </w:tabs>
        <w:rPr>
          <w:rFonts w:ascii="宋体" w:hAnsi="宋体"/>
          <w:b w:val="0"/>
          <w:bCs w:val="0"/>
          <w:caps w:val="0"/>
          <w:sz w:val="21"/>
          <w:szCs w:val="22"/>
        </w:rPr>
      </w:pPr>
      <w:r>
        <w:fldChar w:fldCharType="begin"/>
      </w:r>
      <w:r>
        <w:instrText xml:space="preserve"> HYPERLINK \l "_Toc59797303" </w:instrText>
      </w:r>
      <w:r>
        <w:fldChar w:fldCharType="separate"/>
      </w:r>
      <w:r>
        <w:rPr>
          <w:rFonts w:hint="eastAsia" w:ascii="宋体" w:hAnsi="宋体"/>
          <w:b w:val="0"/>
          <w:bCs w:val="0"/>
        </w:rPr>
        <w:t xml:space="preserve">第二部分</w:t>
      </w:r>
      <w:r>
        <w:rPr>
          <w:rFonts w:ascii="宋体" w:hAnsi="宋体"/>
          <w:b w:val="0"/>
          <w:bCs w:val="0"/>
        </w:rPr>
        <w:t xml:space="preserve">  </w:t>
      </w:r>
      <w:r>
        <w:rPr>
          <w:rFonts w:hint="eastAsia" w:ascii="宋体" w:hAnsi="宋体"/>
          <w:b w:val="0"/>
          <w:bCs w:val="0"/>
        </w:rPr>
        <w:t xml:space="preserve">投标人</w:t>
      </w:r>
      <w:bookmarkStart w:id="0" w:name="_Hlt79763678"/>
      <w:r/>
      <w:bookmarkStart w:id="1" w:name="_Hlt79763679"/>
      <w:r>
        <w:rPr>
          <w:rFonts w:hint="eastAsia" w:ascii="宋体" w:hAnsi="宋体"/>
          <w:b w:val="0"/>
          <w:bCs w:val="0"/>
        </w:rPr>
        <w:t xml:space="preserve">须</w:t>
      </w:r>
      <w:bookmarkEnd w:id="0"/>
      <w:r/>
      <w:bookmarkEnd w:id="1"/>
      <w:r>
        <w:rPr>
          <w:rFonts w:hint="eastAsia" w:ascii="宋体" w:hAnsi="宋体"/>
          <w:b w:val="0"/>
          <w:bCs w:val="0"/>
        </w:rPr>
        <w:t xml:space="preserve">知</w:t>
      </w:r>
      <w:r>
        <w:rPr>
          <w:rFonts w:ascii="宋体" w:hAnsi="宋体"/>
          <w:b w:val="0"/>
          <w:bCs w:val="0"/>
        </w:rPr>
        <w:tab/>
      </w:r>
      <w:r>
        <w:rPr>
          <w:rFonts w:hint="eastAsia" w:ascii="宋体" w:hAnsi="宋体"/>
          <w:b w:val="0"/>
          <w:bCs w:val="0"/>
        </w:rPr>
        <w:t xml:space="preserve">5</w:t>
      </w:r>
      <w:r>
        <w:rPr>
          <w:rFonts w:hint="eastAsia" w:ascii="宋体" w:hAnsi="宋体"/>
          <w:b w:val="0"/>
          <w:bCs w:val="0"/>
        </w:rPr>
        <w:fldChar w:fldCharType="end"/>
      </w:r>
      <w:r/>
    </w:p>
    <w:p>
      <w:pPr>
        <w:pStyle w:val="1130"/>
        <w:spacing w:line="360" w:lineRule="auto"/>
        <w:tabs>
          <w:tab w:val="right" w:pos="8949" w:leader="dot"/>
        </w:tabs>
        <w:rPr>
          <w:rFonts w:ascii="宋体" w:hAnsi="宋体"/>
          <w:b w:val="0"/>
          <w:bCs w:val="0"/>
          <w:caps w:val="0"/>
          <w:sz w:val="21"/>
          <w:szCs w:val="22"/>
        </w:rPr>
      </w:pPr>
      <w:r>
        <w:fldChar w:fldCharType="begin"/>
      </w:r>
      <w:r>
        <w:instrText xml:space="preserve"> HYPERLINK \l "_Toc59797304" </w:instrText>
      </w:r>
      <w:r>
        <w:fldChar w:fldCharType="separate"/>
      </w:r>
      <w:r>
        <w:rPr>
          <w:rFonts w:hint="eastAsia" w:ascii="宋体" w:hAnsi="宋体"/>
          <w:b w:val="0"/>
          <w:bCs w:val="0"/>
        </w:rPr>
        <w:t xml:space="preserve">第三部分</w:t>
      </w:r>
      <w:r>
        <w:rPr>
          <w:rFonts w:ascii="宋体" w:hAnsi="宋体"/>
          <w:b w:val="0"/>
          <w:bCs w:val="0"/>
        </w:rPr>
        <w:t xml:space="preserve">  </w:t>
      </w:r>
      <w:r>
        <w:rPr>
          <w:rFonts w:hint="eastAsia" w:ascii="宋体" w:hAnsi="宋体"/>
          <w:b w:val="0"/>
          <w:bCs w:val="0"/>
        </w:rPr>
        <w:t xml:space="preserve">技术参数</w:t>
      </w:r>
      <w:r>
        <w:rPr>
          <w:rFonts w:ascii="宋体" w:hAnsi="宋体"/>
          <w:b w:val="0"/>
          <w:bCs w:val="0"/>
        </w:rPr>
        <w:tab/>
      </w:r>
      <w:r>
        <w:rPr>
          <w:rFonts w:hint="eastAsia" w:ascii="宋体" w:hAnsi="宋体"/>
          <w:b w:val="0"/>
          <w:bCs w:val="0"/>
        </w:rPr>
        <w:t xml:space="preserve">1</w:t>
      </w:r>
      <w:r>
        <w:rPr>
          <w:rFonts w:hint="eastAsia" w:ascii="宋体" w:hAnsi="宋体"/>
          <w:b w:val="0"/>
          <w:bCs w:val="0"/>
        </w:rPr>
        <w:fldChar w:fldCharType="end"/>
      </w:r>
      <w:r>
        <w:rPr>
          <w:rFonts w:hint="eastAsia" w:ascii="宋体" w:hAnsi="宋体"/>
          <w:b w:val="0"/>
          <w:bCs w:val="0"/>
        </w:rPr>
        <w:t xml:space="preserve">8</w:t>
      </w:r>
      <w:r/>
    </w:p>
    <w:p>
      <w:pPr>
        <w:pStyle w:val="1130"/>
        <w:spacing w:line="360" w:lineRule="auto"/>
        <w:tabs>
          <w:tab w:val="right" w:pos="8949" w:leader="dot"/>
        </w:tabs>
        <w:rPr>
          <w:rFonts w:ascii="宋体" w:hAnsi="宋体"/>
          <w:b w:val="0"/>
          <w:bCs w:val="0"/>
          <w:caps w:val="0"/>
          <w:sz w:val="21"/>
          <w:szCs w:val="22"/>
        </w:rPr>
      </w:pPr>
      <w:r>
        <w:fldChar w:fldCharType="begin"/>
      </w:r>
      <w:r>
        <w:instrText xml:space="preserve"> HYPERLINK \l "_Toc59797305" </w:instrText>
      </w:r>
      <w:r>
        <w:fldChar w:fldCharType="separate"/>
      </w:r>
      <w:r>
        <w:rPr>
          <w:rFonts w:hint="eastAsia" w:ascii="宋体" w:hAnsi="宋体"/>
          <w:b w:val="0"/>
          <w:bCs w:val="0"/>
        </w:rPr>
        <w:t xml:space="preserve">第四部分</w:t>
      </w:r>
      <w:r>
        <w:rPr>
          <w:rFonts w:ascii="宋体" w:hAnsi="宋体"/>
          <w:b w:val="0"/>
          <w:bCs w:val="0"/>
        </w:rPr>
        <w:t xml:space="preserve">  </w:t>
      </w:r>
      <w:r>
        <w:rPr>
          <w:rFonts w:hint="eastAsia" w:ascii="宋体" w:hAnsi="宋体"/>
          <w:b w:val="0"/>
          <w:bCs w:val="0"/>
        </w:rPr>
        <w:t xml:space="preserve">评标方法与</w:t>
      </w:r>
      <w:bookmarkStart w:id="2" w:name="_Hlt108279701"/>
      <w:r/>
      <w:bookmarkStart w:id="3" w:name="_Hlt108279702"/>
      <w:r>
        <w:rPr>
          <w:rFonts w:hint="eastAsia" w:ascii="宋体" w:hAnsi="宋体"/>
          <w:b w:val="0"/>
          <w:bCs w:val="0"/>
        </w:rPr>
        <w:t xml:space="preserve">评</w:t>
      </w:r>
      <w:bookmarkEnd w:id="2"/>
      <w:r/>
      <w:bookmarkEnd w:id="3"/>
      <w:r>
        <w:rPr>
          <w:rFonts w:hint="eastAsia" w:ascii="宋体" w:hAnsi="宋体"/>
          <w:b w:val="0"/>
          <w:bCs w:val="0"/>
        </w:rPr>
        <w:t xml:space="preserve">标标准</w:t>
      </w:r>
      <w:r>
        <w:rPr>
          <w:rFonts w:ascii="宋体" w:hAnsi="宋体"/>
          <w:b w:val="0"/>
          <w:bCs w:val="0"/>
        </w:rPr>
        <w:tab/>
      </w:r>
      <w:r>
        <w:rPr>
          <w:rFonts w:hint="eastAsia" w:ascii="宋体" w:hAnsi="宋体"/>
          <w:b w:val="0"/>
          <w:bCs w:val="0"/>
        </w:rPr>
        <w:t xml:space="preserve">1</w:t>
      </w:r>
      <w:r>
        <w:rPr>
          <w:rFonts w:hint="eastAsia" w:ascii="宋体" w:hAnsi="宋体"/>
          <w:b w:val="0"/>
          <w:bCs w:val="0"/>
        </w:rPr>
        <w:fldChar w:fldCharType="end"/>
      </w:r>
      <w:r>
        <w:rPr>
          <w:rFonts w:hint="eastAsia" w:ascii="宋体" w:hAnsi="宋体"/>
          <w:b w:val="0"/>
          <w:bCs w:val="0"/>
        </w:rPr>
        <w:t xml:space="preserve">07</w:t>
      </w:r>
      <w:r/>
    </w:p>
    <w:p>
      <w:pPr>
        <w:pStyle w:val="1130"/>
        <w:spacing w:line="360" w:lineRule="auto"/>
        <w:tabs>
          <w:tab w:val="right" w:pos="8949" w:leader="dot"/>
        </w:tabs>
        <w:rPr>
          <w:rFonts w:ascii="宋体" w:hAnsi="宋体"/>
          <w:b w:val="0"/>
          <w:bCs w:val="0"/>
          <w:smallCaps/>
          <w:sz w:val="21"/>
          <w:szCs w:val="22"/>
        </w:rPr>
      </w:pPr>
      <w:r>
        <w:fldChar w:fldCharType="begin"/>
      </w:r>
      <w:r>
        <w:instrText xml:space="preserve"> HYPERLINK \l "_Toc59797306" </w:instrText>
      </w:r>
      <w:r>
        <w:fldChar w:fldCharType="separate"/>
      </w:r>
      <w:r>
        <w:rPr>
          <w:rFonts w:hint="eastAsia" w:ascii="宋体" w:hAnsi="宋体"/>
          <w:b w:val="0"/>
          <w:bCs w:val="0"/>
        </w:rPr>
        <w:t xml:space="preserve">第五部分</w:t>
      </w:r>
      <w:r>
        <w:rPr>
          <w:rFonts w:ascii="宋体" w:hAnsi="宋体"/>
          <w:b w:val="0"/>
          <w:bCs w:val="0"/>
        </w:rPr>
        <w:t xml:space="preserve">  </w:t>
      </w:r>
      <w:r>
        <w:rPr>
          <w:rFonts w:hint="eastAsia" w:ascii="宋体" w:hAnsi="宋体"/>
          <w:b w:val="0"/>
          <w:bCs w:val="0"/>
        </w:rPr>
        <w:t xml:space="preserve">投标文件的组成及格式</w:t>
      </w:r>
      <w:r>
        <w:rPr>
          <w:rFonts w:ascii="宋体" w:hAnsi="宋体"/>
          <w:b w:val="0"/>
          <w:bCs w:val="0"/>
        </w:rPr>
        <w:tab/>
      </w:r>
      <w:r>
        <w:rPr>
          <w:rFonts w:hint="eastAsia" w:ascii="宋体" w:hAnsi="宋体"/>
          <w:b w:val="0"/>
          <w:bCs w:val="0"/>
        </w:rPr>
        <w:t xml:space="preserve">1</w:t>
      </w:r>
      <w:r>
        <w:rPr>
          <w:rFonts w:hint="eastAsia" w:ascii="宋体" w:hAnsi="宋体"/>
          <w:b w:val="0"/>
          <w:bCs w:val="0"/>
        </w:rPr>
        <w:fldChar w:fldCharType="end"/>
      </w:r>
      <w:r>
        <w:rPr>
          <w:rFonts w:hint="eastAsia" w:ascii="宋体" w:hAnsi="宋体"/>
          <w:b w:val="0"/>
          <w:bCs w:val="0"/>
        </w:rPr>
        <w:t xml:space="preserve">11</w:t>
      </w:r>
      <w:r/>
    </w:p>
    <w:p>
      <w:pPr>
        <w:pStyle w:val="1130"/>
        <w:spacing w:line="360" w:lineRule="auto"/>
        <w:tabs>
          <w:tab w:val="right" w:pos="8949" w:leader="dot"/>
        </w:tabs>
        <w:rPr>
          <w:rFonts w:ascii="宋体" w:hAnsi="宋体"/>
          <w:b w:val="0"/>
          <w:bCs w:val="0"/>
          <w:caps w:val="0"/>
          <w:sz w:val="21"/>
          <w:szCs w:val="22"/>
        </w:rPr>
      </w:pPr>
      <w:r>
        <w:fldChar w:fldCharType="begin"/>
      </w:r>
      <w:r>
        <w:instrText xml:space="preserve"> HYPERLINK \l "_Toc59797316" </w:instrText>
      </w:r>
      <w:r>
        <w:fldChar w:fldCharType="separate"/>
      </w:r>
      <w:r>
        <w:rPr>
          <w:rFonts w:hint="eastAsia" w:ascii="宋体" w:hAnsi="宋体"/>
          <w:b w:val="0"/>
          <w:bCs w:val="0"/>
        </w:rPr>
        <w:t xml:space="preserve">第六部分</w:t>
      </w:r>
      <w:r>
        <w:rPr>
          <w:rFonts w:ascii="宋体" w:hAnsi="宋体"/>
          <w:b w:val="0"/>
          <w:bCs w:val="0"/>
        </w:rPr>
        <w:t xml:space="preserve">  </w:t>
      </w:r>
      <w:r>
        <w:rPr>
          <w:rFonts w:hint="eastAsia" w:ascii="宋体" w:hAnsi="宋体"/>
          <w:b w:val="0"/>
          <w:bCs w:val="0"/>
        </w:rPr>
        <w:t xml:space="preserve">主要合同</w:t>
      </w:r>
      <w:bookmarkStart w:id="4" w:name="_Hlt101283088"/>
      <w:r/>
      <w:bookmarkStart w:id="5" w:name="_Hlt101283089"/>
      <w:r>
        <w:rPr>
          <w:rFonts w:hint="eastAsia" w:ascii="宋体" w:hAnsi="宋体"/>
          <w:b w:val="0"/>
          <w:bCs w:val="0"/>
        </w:rPr>
        <w:t xml:space="preserve">条</w:t>
      </w:r>
      <w:bookmarkEnd w:id="4"/>
      <w:r/>
      <w:bookmarkEnd w:id="5"/>
      <w:r>
        <w:rPr>
          <w:rFonts w:hint="eastAsia" w:ascii="宋体" w:hAnsi="宋体"/>
          <w:b w:val="0"/>
          <w:bCs w:val="0"/>
        </w:rPr>
        <w:t xml:space="preserve">款</w:t>
      </w:r>
      <w:r>
        <w:rPr>
          <w:rFonts w:ascii="宋体" w:hAnsi="宋体"/>
          <w:b w:val="0"/>
          <w:bCs w:val="0"/>
        </w:rPr>
        <w:tab/>
      </w:r>
      <w:r>
        <w:rPr>
          <w:rFonts w:hint="eastAsia" w:ascii="宋体" w:hAnsi="宋体"/>
          <w:b w:val="0"/>
          <w:bCs w:val="0"/>
        </w:rPr>
        <w:t xml:space="preserve">1</w:t>
      </w:r>
      <w:r>
        <w:rPr>
          <w:rFonts w:hint="eastAsia" w:ascii="宋体" w:hAnsi="宋体"/>
          <w:b w:val="0"/>
          <w:bCs w:val="0"/>
        </w:rPr>
        <w:fldChar w:fldCharType="end"/>
      </w:r>
      <w:r>
        <w:rPr>
          <w:rFonts w:hint="eastAsia" w:ascii="宋体" w:hAnsi="宋体"/>
          <w:b w:val="0"/>
          <w:bCs w:val="0"/>
        </w:rPr>
        <w:t xml:space="preserve">44</w:t>
      </w:r>
      <w:r/>
    </w:p>
    <w:p>
      <w:pPr>
        <w:jc w:val="center"/>
        <w:spacing w:line="360" w:lineRule="auto"/>
        <w:rPr>
          <w:rFonts w:ascii="宋体" w:hAnsi="宋体"/>
          <w:b/>
          <w:sz w:val="44"/>
        </w:rPr>
      </w:pPr>
      <w:r>
        <w:rPr>
          <w:rFonts w:ascii="宋体" w:hAnsi="宋体"/>
          <w:caps/>
          <w:sz w:val="44"/>
        </w:rPr>
        <w:fldChar w:fldCharType="end"/>
      </w:r>
      <w:r/>
    </w:p>
    <w:p>
      <w:pPr>
        <w:jc w:val="center"/>
        <w:spacing w:line="360" w:lineRule="auto"/>
        <w:rPr>
          <w:rFonts w:ascii="宋体" w:hAnsi="宋体"/>
          <w:b/>
          <w:sz w:val="44"/>
        </w:rPr>
      </w:pPr>
      <w:r>
        <w:rPr>
          <w:rFonts w:ascii="宋体" w:hAnsi="宋体"/>
          <w:b/>
          <w:sz w:val="44"/>
        </w:rPr>
      </w:r>
      <w:r/>
    </w:p>
    <w:p>
      <w:pPr>
        <w:jc w:val="center"/>
        <w:spacing w:line="360" w:lineRule="auto"/>
        <w:rPr>
          <w:rFonts w:ascii="宋体" w:hAnsi="宋体"/>
          <w:b/>
          <w:sz w:val="44"/>
        </w:rPr>
      </w:pPr>
      <w:r>
        <w:rPr>
          <w:rFonts w:ascii="宋体" w:hAnsi="宋体"/>
          <w:b/>
          <w:sz w:val="44"/>
        </w:rPr>
      </w:r>
      <w:r/>
    </w:p>
    <w:p>
      <w:pPr>
        <w:jc w:val="center"/>
        <w:spacing w:before="120" w:after="120" w:line="360" w:lineRule="auto"/>
        <w:rPr>
          <w:rFonts w:ascii="宋体" w:hAnsi="宋体"/>
          <w:b/>
          <w:sz w:val="36"/>
          <w:szCs w:val="36"/>
        </w:rPr>
        <w:sectPr>
          <w:footnotePr/>
          <w:endnotePr/>
          <w:type w:val="nextPage"/>
          <w:pgSz w:w="11907" w:h="16840" w:orient="portrait"/>
          <w:pgMar w:top="1134" w:right="1474" w:bottom="1134" w:left="1474" w:header="624" w:footer="992" w:gutter="0"/>
          <w:cols w:num="1" w:sep="0" w:space="720" w:equalWidth="1"/>
          <w:docGrid w:linePitch="360"/>
          <w:titlePg/>
        </w:sectPr>
        <w:outlineLvl w:val="0"/>
      </w:pPr>
      <w:r/>
      <w:bookmarkStart w:id="6" w:name="_Toc59797302"/>
      <w:r/>
      <w:r/>
    </w:p>
    <w:p>
      <w:pPr>
        <w:jc w:val="center"/>
        <w:spacing w:before="120" w:after="120" w:line="360" w:lineRule="auto"/>
        <w:rPr>
          <w:rFonts w:ascii="宋体" w:hAnsi="宋体"/>
          <w:b/>
          <w:sz w:val="36"/>
          <w:szCs w:val="36"/>
        </w:rPr>
        <w:outlineLvl w:val="0"/>
      </w:pPr>
      <w:r>
        <w:rPr>
          <w:rFonts w:hint="eastAsia" w:ascii="宋体" w:hAnsi="宋体"/>
          <w:b/>
          <w:sz w:val="36"/>
          <w:szCs w:val="36"/>
        </w:rPr>
        <w:t xml:space="preserve">第一部分  招标公告</w:t>
      </w:r>
      <w:bookmarkEnd w:id="6"/>
      <w:r>
        <w:rPr>
          <w:rFonts w:hint="eastAsia" w:ascii="宋体" w:hAnsi="宋体"/>
          <w:b/>
          <w:sz w:val="36"/>
          <w:szCs w:val="36"/>
        </w:rPr>
        <w:t xml:space="preserve"> </w:t>
      </w:r>
      <w:r/>
    </w:p>
    <w:p>
      <w:pPr>
        <w:ind w:firstLine="560"/>
        <w:spacing w:line="360" w:lineRule="auto"/>
        <w:rPr>
          <w:rFonts w:hint="eastAsia" w:ascii="宋体" w:hAnsi="宋体" w:eastAsia="宋体"/>
          <w:szCs w:val="28"/>
          <w:lang w:eastAsia="zh-CN"/>
        </w:rPr>
        <w:pBdr>
          <w:top w:val="single" w:color="000000" w:sz="4" w:space="1"/>
          <w:left w:val="single" w:color="000000" w:sz="4" w:space="4"/>
          <w:bottom w:val="single" w:color="000000" w:sz="4" w:space="1"/>
          <w:right w:val="single" w:color="000000" w:sz="4" w:space="4"/>
        </w:pBdr>
      </w:pPr>
      <w:r>
        <w:rPr>
          <w:rFonts w:hint="eastAsia" w:ascii="宋体" w:hAnsi="宋体"/>
          <w:szCs w:val="28"/>
        </w:rPr>
        <w:t xml:space="preserve">项目概况</w:t>
      </w:r>
      <w:r>
        <w:rPr>
          <w:rFonts w:hint="eastAsia" w:ascii="宋体" w:hAnsi="宋体"/>
          <w:szCs w:val="28"/>
          <w:lang w:eastAsia="zh-CN"/>
        </w:rPr>
        <w:t xml:space="preserve">：</w:t>
      </w:r>
      <w:r/>
    </w:p>
    <w:p>
      <w:pPr>
        <w:ind w:firstLine="560"/>
        <w:spacing w:line="360" w:lineRule="auto"/>
        <w:rPr>
          <w:rFonts w:ascii="宋体" w:hAnsi="宋体"/>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szCs w:val="28"/>
          <w:u w:val="single"/>
        </w:rPr>
        <w:t xml:space="preserve">滨海县公安局为民办实事农村道路交通安全提升项目</w:t>
      </w:r>
      <w:r>
        <w:rPr>
          <w:rFonts w:hint="eastAsia" w:ascii="宋体" w:hAnsi="宋体"/>
          <w:szCs w:val="28"/>
          <w:u w:val="single"/>
          <w:lang w:eastAsia="zh-CN"/>
        </w:rPr>
        <w:t xml:space="preserve">（</w:t>
      </w:r>
      <w:r>
        <w:rPr>
          <w:rFonts w:hint="eastAsia" w:ascii="宋体" w:hAnsi="宋体"/>
          <w:szCs w:val="28"/>
          <w:u w:val="single"/>
          <w:lang w:val="en-US" w:eastAsia="zh-CN"/>
        </w:rPr>
        <w:t xml:space="preserve">二次</w:t>
      </w:r>
      <w:r>
        <w:rPr>
          <w:rFonts w:hint="eastAsia" w:ascii="宋体" w:hAnsi="宋体"/>
          <w:szCs w:val="28"/>
          <w:u w:val="single"/>
          <w:lang w:eastAsia="zh-CN"/>
        </w:rPr>
        <w:t xml:space="preserve">）</w:t>
      </w:r>
      <w:r>
        <w:rPr>
          <w:rFonts w:hint="eastAsia" w:ascii="宋体" w:hAnsi="宋体"/>
          <w:szCs w:val="28"/>
        </w:rPr>
        <w:t xml:space="preserve">的潜在投标人应在</w:t>
      </w:r>
      <w:r>
        <w:rPr>
          <w:rFonts w:hint="eastAsia" w:ascii="宋体" w:hAnsi="宋体"/>
          <w:szCs w:val="28"/>
          <w:u w:val="single"/>
        </w:rPr>
        <w:t xml:space="preserve">中国政府采购网、江苏政府采购网、盐城市政府采购</w:t>
      </w:r>
      <w:r>
        <w:rPr>
          <w:rFonts w:hint="eastAsia" w:ascii="宋体" w:hAnsi="宋体"/>
          <w:szCs w:val="28"/>
          <w:highlight w:val="none"/>
          <w:u w:val="single"/>
        </w:rPr>
        <w:t xml:space="preserve">网、滨海县人民政府网</w:t>
      </w:r>
      <w:r>
        <w:rPr>
          <w:rFonts w:hint="eastAsia" w:ascii="宋体" w:hAnsi="宋体"/>
          <w:szCs w:val="28"/>
          <w:highlight w:val="none"/>
        </w:rPr>
        <w:t xml:space="preserve">获取招标公告并按招标公告中要求获取招标文件，并于</w:t>
      </w:r>
      <w:r>
        <w:rPr>
          <w:rFonts w:hint="eastAsia" w:ascii="宋体" w:hAnsi="宋体"/>
          <w:szCs w:val="28"/>
          <w:highlight w:val="none"/>
          <w:u w:val="single"/>
        </w:rPr>
        <w:t xml:space="preserve">2024</w:t>
      </w:r>
      <w:r>
        <w:rPr>
          <w:rFonts w:hint="eastAsia" w:ascii="宋体" w:hAnsi="宋体"/>
          <w:bCs/>
          <w:szCs w:val="28"/>
          <w:highlight w:val="none"/>
          <w:u w:val="single"/>
        </w:rPr>
        <w:t xml:space="preserve">年7月</w:t>
      </w:r>
      <w:r>
        <w:rPr>
          <w:rFonts w:hint="eastAsia" w:ascii="宋体" w:hAnsi="宋体"/>
          <w:bCs/>
          <w:szCs w:val="28"/>
          <w:highlight w:val="none"/>
          <w:u w:val="single"/>
          <w:lang w:val="en-US" w:eastAsia="zh-CN"/>
        </w:rPr>
        <w:t xml:space="preserve">9</w:t>
      </w:r>
      <w:r>
        <w:rPr>
          <w:rFonts w:hint="eastAsia" w:ascii="宋体" w:hAnsi="宋体"/>
          <w:bCs/>
          <w:szCs w:val="28"/>
          <w:highlight w:val="none"/>
          <w:u w:val="single"/>
        </w:rPr>
        <w:t xml:space="preserve">日9点00分00秒（</w:t>
      </w:r>
      <w:r>
        <w:rPr>
          <w:rFonts w:hint="eastAsia" w:ascii="宋体" w:hAnsi="宋体"/>
          <w:bCs/>
          <w:szCs w:val="28"/>
          <w:highlight w:val="none"/>
        </w:rPr>
        <w:t xml:space="preserve">北京时间）前递交投标</w:t>
      </w:r>
      <w:r>
        <w:rPr>
          <w:rFonts w:ascii="宋体" w:hAnsi="宋体"/>
          <w:bCs/>
          <w:szCs w:val="28"/>
          <w:highlight w:val="none"/>
        </w:rPr>
        <w:t xml:space="preserve">文件</w:t>
      </w:r>
      <w:r>
        <w:rPr>
          <w:rFonts w:hint="eastAsia" w:ascii="宋体" w:hAnsi="宋体"/>
          <w:szCs w:val="28"/>
          <w:highlight w:val="none"/>
        </w:rPr>
        <w:t xml:space="preserve">。</w:t>
      </w:r>
      <w:r/>
    </w:p>
    <w:p>
      <w:pPr>
        <w:ind w:firstLine="562"/>
        <w:spacing w:line="360" w:lineRule="auto"/>
        <w:rPr>
          <w:rFonts w:ascii="宋体" w:hAnsi="宋体"/>
          <w:b/>
          <w:szCs w:val="28"/>
        </w:rPr>
      </w:pPr>
      <w:r/>
      <w:bookmarkStart w:id="7" w:name="_Toc35393621"/>
      <w:r/>
      <w:bookmarkStart w:id="8" w:name="_Toc35393790"/>
      <w:r/>
      <w:bookmarkStart w:id="9" w:name="_Toc28359002"/>
      <w:r/>
      <w:bookmarkStart w:id="10" w:name="_Toc28359079"/>
      <w:r/>
      <w:bookmarkStart w:id="11" w:name="_Hlk24379207"/>
      <w:r/>
      <w:r/>
    </w:p>
    <w:p>
      <w:pPr>
        <w:ind w:firstLine="562"/>
        <w:spacing w:line="360" w:lineRule="auto"/>
        <w:rPr>
          <w:rFonts w:ascii="宋体" w:hAnsi="宋体"/>
          <w:b/>
          <w:szCs w:val="28"/>
        </w:rPr>
      </w:pPr>
      <w:r>
        <w:rPr>
          <w:rFonts w:hint="eastAsia" w:ascii="宋体" w:hAnsi="宋体"/>
          <w:b/>
          <w:szCs w:val="28"/>
        </w:rPr>
        <w:t xml:space="preserve">一、项目基本情况</w:t>
      </w:r>
      <w:bookmarkEnd w:id="7"/>
      <w:r/>
      <w:bookmarkEnd w:id="8"/>
      <w:r/>
      <w:bookmarkEnd w:id="9"/>
      <w:r/>
      <w:bookmarkEnd w:id="10"/>
      <w:r/>
      <w:r/>
    </w:p>
    <w:p>
      <w:pPr>
        <w:ind w:firstLine="560"/>
        <w:rPr>
          <w:rFonts w:ascii="宋体" w:hAnsi="宋体"/>
          <w:color w:val="ff0000"/>
          <w:szCs w:val="28"/>
        </w:rPr>
      </w:pPr>
      <w:r>
        <w:rPr>
          <w:rFonts w:hint="eastAsia" w:ascii="宋体" w:hAnsi="宋体"/>
          <w:szCs w:val="28"/>
        </w:rPr>
        <w:t xml:space="preserve">1.项目编号：JSZC-320922-YTGC-G2024-0015</w:t>
      </w:r>
      <w:r/>
    </w:p>
    <w:p>
      <w:pPr>
        <w:ind w:firstLine="560"/>
        <w:rPr>
          <w:rFonts w:hint="eastAsia" w:ascii="宋体" w:hAnsi="宋体"/>
          <w:szCs w:val="28"/>
        </w:rPr>
      </w:pPr>
      <w:r>
        <w:rPr>
          <w:rFonts w:hint="eastAsia" w:ascii="宋体" w:hAnsi="宋体"/>
          <w:szCs w:val="28"/>
        </w:rPr>
        <w:t xml:space="preserve">2.项目名称：滨海县公安局为民办实事农村道路交通安全提升项目</w:t>
      </w:r>
      <w:r>
        <w:rPr>
          <w:rFonts w:hint="eastAsia" w:ascii="宋体" w:hAnsi="宋体"/>
          <w:szCs w:val="28"/>
          <w:lang w:eastAsia="zh-CN"/>
        </w:rPr>
        <w:t xml:space="preserve">（</w:t>
      </w:r>
      <w:r>
        <w:rPr>
          <w:rFonts w:hint="eastAsia" w:ascii="宋体" w:hAnsi="宋体"/>
          <w:szCs w:val="28"/>
          <w:lang w:val="en-US" w:eastAsia="zh-CN"/>
        </w:rPr>
        <w:t xml:space="preserve">二次</w:t>
      </w:r>
      <w:r>
        <w:rPr>
          <w:rFonts w:hint="eastAsia" w:ascii="宋体" w:hAnsi="宋体"/>
          <w:szCs w:val="28"/>
          <w:lang w:eastAsia="zh-CN"/>
        </w:rPr>
        <w:t xml:space="preserve">）</w:t>
      </w:r>
      <w:bookmarkEnd w:id="11"/>
      <w:r/>
      <w:r/>
    </w:p>
    <w:p>
      <w:pPr>
        <w:ind w:firstLine="560"/>
        <w:rPr>
          <w:rFonts w:ascii="宋体" w:hAnsi="宋体"/>
          <w:szCs w:val="28"/>
        </w:rPr>
      </w:pPr>
      <w:r>
        <w:rPr>
          <w:rFonts w:hint="eastAsia" w:ascii="宋体" w:hAnsi="宋体"/>
          <w:szCs w:val="28"/>
        </w:rPr>
        <w:t xml:space="preserve">3.预算金额：人民币1966.73万元</w:t>
      </w:r>
      <w:r/>
    </w:p>
    <w:p>
      <w:pPr>
        <w:ind w:firstLine="560"/>
        <w:rPr>
          <w:rFonts w:ascii="宋体" w:hAnsi="宋体"/>
          <w:szCs w:val="28"/>
        </w:rPr>
      </w:pPr>
      <w:r>
        <w:rPr>
          <w:rFonts w:hint="eastAsia" w:ascii="宋体" w:hAnsi="宋体"/>
          <w:szCs w:val="28"/>
        </w:rPr>
        <w:t xml:space="preserve">4.最高限价：人民币1900.00万元 </w:t>
      </w:r>
      <w:r/>
    </w:p>
    <w:p>
      <w:pPr>
        <w:ind w:firstLine="560"/>
        <w:rPr>
          <w:rFonts w:ascii="宋体" w:hAnsi="宋体"/>
          <w:szCs w:val="28"/>
          <w:highlight w:val="none"/>
        </w:rPr>
      </w:pPr>
      <w:r>
        <w:rPr>
          <w:rFonts w:hint="eastAsia" w:ascii="宋体" w:hAnsi="宋体"/>
          <w:szCs w:val="28"/>
        </w:rPr>
        <w:t xml:space="preserve">5.采购需求：1、道路交通安全设施项目:建设行人过街”声光电“预警提示系统、农村违法劝导提醒系统、货车右转未停车让行抓拍设施、机动车超速监测记录系统、不系安全带和接打电话违法抓拍系统、非机动车逆行和在机动车道行驶违法抓拍系统、电子警察抓拍系统等</w:t>
      </w:r>
      <w:r>
        <w:rPr>
          <w:rFonts w:hint="eastAsia" w:ascii="宋体" w:hAnsi="宋体"/>
          <w:szCs w:val="28"/>
          <w:lang w:val="en-US" w:eastAsia="zh-CN"/>
        </w:rPr>
        <w:t xml:space="preserve">；</w:t>
      </w:r>
      <w:r>
        <w:rPr>
          <w:rFonts w:hint="eastAsia" w:ascii="宋体" w:hAnsi="宋体"/>
          <w:szCs w:val="28"/>
        </w:rPr>
        <w:t xml:space="preserve">2、警保合作劝导站项目:采购活</w:t>
      </w:r>
      <w:r>
        <w:rPr>
          <w:rFonts w:hint="eastAsia" w:ascii="宋体" w:hAnsi="宋体"/>
          <w:szCs w:val="28"/>
          <w:highlight w:val="none"/>
        </w:rPr>
        <w:t xml:space="preserve">动房及配套监控、宣传屏、办公电脑、办公桌椅、执勤装备、服务设施等</w:t>
      </w:r>
      <w:r>
        <w:rPr>
          <w:rFonts w:hint="eastAsia" w:ascii="宋体" w:hAnsi="宋体"/>
          <w:szCs w:val="28"/>
          <w:highlight w:val="none"/>
          <w:lang w:val="en-US" w:eastAsia="zh-CN"/>
        </w:rPr>
        <w:t xml:space="preserve">；</w:t>
      </w:r>
      <w:r>
        <w:rPr>
          <w:rFonts w:hint="eastAsia" w:ascii="宋体" w:hAnsi="宋体"/>
          <w:szCs w:val="28"/>
          <w:highlight w:val="none"/>
        </w:rPr>
        <w:t xml:space="preserve">3、宣传阵地项目:建设交警大队交通指挥中心、融媒体中心等</w:t>
      </w:r>
      <w:r>
        <w:rPr>
          <w:rFonts w:hint="eastAsia" w:ascii="宋体" w:hAnsi="宋体"/>
          <w:szCs w:val="28"/>
          <w:highlight w:val="none"/>
          <w:lang w:val="en-US" w:eastAsia="zh-CN"/>
        </w:rPr>
        <w:t xml:space="preserve">；</w:t>
      </w:r>
      <w:r>
        <w:rPr>
          <w:rFonts w:hint="eastAsia" w:ascii="宋体" w:hAnsi="宋体"/>
          <w:szCs w:val="28"/>
          <w:highlight w:val="none"/>
        </w:rPr>
        <w:t xml:space="preserve">4、电动车专项整治项目：镇区电动摩托车登记服务点建设</w:t>
      </w:r>
      <w:r>
        <w:rPr>
          <w:rFonts w:hint="eastAsia" w:ascii="宋体" w:hAnsi="宋体"/>
          <w:szCs w:val="28"/>
          <w:highlight w:val="none"/>
          <w:lang w:eastAsia="zh-CN"/>
        </w:rPr>
        <w:t xml:space="preserve">，</w:t>
      </w:r>
      <w:r>
        <w:rPr>
          <w:rFonts w:hint="eastAsia" w:ascii="宋体" w:hAnsi="宋体"/>
          <w:szCs w:val="28"/>
          <w:highlight w:val="none"/>
          <w:lang w:val="en-US" w:eastAsia="zh-CN"/>
        </w:rPr>
        <w:t xml:space="preserve">包括电脑、打印机、摄像机、专用设备等</w:t>
      </w:r>
      <w:r>
        <w:rPr>
          <w:rFonts w:hint="eastAsia" w:ascii="宋体" w:hAnsi="宋体"/>
          <w:szCs w:val="28"/>
          <w:highlight w:val="none"/>
        </w:rPr>
        <w:t xml:space="preserve">；5、存量</w:t>
      </w:r>
      <w:r>
        <w:rPr>
          <w:rFonts w:hint="eastAsia" w:ascii="宋体" w:hAnsi="宋体"/>
          <w:szCs w:val="28"/>
          <w:highlight w:val="none"/>
          <w:lang w:val="en-US" w:eastAsia="zh-CN"/>
        </w:rPr>
        <w:t xml:space="preserve">交通技术</w:t>
      </w:r>
      <w:r>
        <w:rPr>
          <w:rFonts w:hint="eastAsia" w:ascii="宋体" w:hAnsi="宋体"/>
          <w:szCs w:val="28"/>
          <w:highlight w:val="none"/>
        </w:rPr>
        <w:t xml:space="preserve">监控配套标志标线规范项目:在存量电子警察、违法停车、机动车不礼让行人、机动车实线变道机动车超速等抓拍设备点位配套建设标志标线等。具体要求详见招标文件第三部分技术参数。</w:t>
      </w:r>
      <w:r/>
    </w:p>
    <w:p>
      <w:pPr>
        <w:pStyle w:val="1112"/>
        <w:ind w:firstLine="560"/>
        <w:spacing w:after="0"/>
        <w:rPr>
          <w:rFonts w:ascii="宋体" w:hAnsi="宋体"/>
          <w:sz w:val="28"/>
          <w:szCs w:val="28"/>
          <w:highlight w:val="none"/>
        </w:rPr>
      </w:pPr>
      <w:r>
        <w:rPr>
          <w:rFonts w:hint="eastAsia" w:ascii="宋体" w:hAnsi="宋体"/>
          <w:sz w:val="28"/>
          <w:szCs w:val="28"/>
          <w:highlight w:val="none"/>
        </w:rPr>
        <w:t xml:space="preserve">6.合同履行期限：90日历天</w:t>
      </w:r>
      <w:r/>
    </w:p>
    <w:p>
      <w:pPr>
        <w:pStyle w:val="1112"/>
        <w:ind w:firstLine="560"/>
        <w:spacing w:after="0"/>
        <w:rPr>
          <w:rFonts w:ascii="宋体" w:hAnsi="宋体"/>
          <w:sz w:val="28"/>
          <w:szCs w:val="28"/>
          <w:highlight w:val="none"/>
        </w:rPr>
      </w:pPr>
      <w:r>
        <w:rPr>
          <w:rFonts w:hint="eastAsia" w:ascii="宋体" w:hAnsi="宋体"/>
          <w:sz w:val="28"/>
          <w:szCs w:val="28"/>
          <w:highlight w:val="none"/>
        </w:rPr>
        <w:t xml:space="preserve">7.免费质量保修期: 无人机项目为3年、其它项目为5年。</w:t>
      </w:r>
      <w:r/>
    </w:p>
    <w:p>
      <w:pPr>
        <w:pStyle w:val="1112"/>
        <w:ind w:firstLine="560"/>
        <w:spacing w:after="0"/>
        <w:rPr>
          <w:rFonts w:ascii="宋体" w:hAnsi="宋体"/>
          <w:sz w:val="28"/>
          <w:szCs w:val="28"/>
          <w:highlight w:val="none"/>
        </w:rPr>
      </w:pPr>
      <w:r>
        <w:rPr>
          <w:rFonts w:hint="eastAsia" w:ascii="宋体" w:hAnsi="宋体"/>
          <w:sz w:val="28"/>
          <w:szCs w:val="28"/>
          <w:highlight w:val="none"/>
        </w:rPr>
        <w:t xml:space="preserve">8.项目地点：滨海县境内（采购人指定地点）。</w:t>
      </w:r>
      <w:r/>
    </w:p>
    <w:p>
      <w:pPr>
        <w:pStyle w:val="1112"/>
        <w:ind w:firstLine="560"/>
        <w:spacing w:after="0"/>
        <w:rPr>
          <w:rFonts w:ascii="宋体" w:hAnsi="宋体"/>
          <w:sz w:val="28"/>
          <w:szCs w:val="28"/>
          <w:highlight w:val="none"/>
        </w:rPr>
      </w:pPr>
      <w:r>
        <w:rPr>
          <w:rFonts w:hint="eastAsia" w:ascii="宋体" w:hAnsi="宋体"/>
          <w:sz w:val="28"/>
          <w:szCs w:val="28"/>
          <w:highlight w:val="none"/>
        </w:rPr>
        <w:t xml:space="preserve">9.质量标准：合格。</w:t>
      </w:r>
      <w:r/>
    </w:p>
    <w:p>
      <w:pPr>
        <w:ind w:firstLine="560"/>
        <w:spacing w:line="360" w:lineRule="auto"/>
        <w:rPr>
          <w:rFonts w:ascii="宋体" w:hAnsi="宋体"/>
          <w:szCs w:val="28"/>
        </w:rPr>
      </w:pPr>
      <w:r/>
      <w:bookmarkStart w:id="12" w:name="_Toc28359003"/>
      <w:r/>
      <w:bookmarkStart w:id="13" w:name="_Toc28359080"/>
      <w:r/>
      <w:bookmarkStart w:id="14" w:name="_Toc35393622"/>
      <w:r/>
      <w:bookmarkStart w:id="15" w:name="_Toc35393791"/>
      <w:r>
        <w:rPr>
          <w:rFonts w:hint="eastAsia" w:ascii="宋体" w:hAnsi="宋体"/>
          <w:szCs w:val="28"/>
        </w:rPr>
        <w:t xml:space="preserve">10.核心产品：室内全彩屏。</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二、申请人的资格要求</w:t>
      </w:r>
      <w:bookmarkEnd w:id="12"/>
      <w:r/>
      <w:bookmarkEnd w:id="13"/>
      <w:r/>
      <w:bookmarkEnd w:id="14"/>
      <w:r/>
      <w:bookmarkEnd w:id="15"/>
      <w:r/>
      <w:r/>
    </w:p>
    <w:p>
      <w:pPr>
        <w:ind w:firstLine="560"/>
        <w:rPr>
          <w:rFonts w:ascii="宋体" w:hAnsi="宋体"/>
          <w:szCs w:val="28"/>
        </w:rPr>
      </w:pPr>
      <w:r>
        <w:rPr>
          <w:rFonts w:hint="eastAsia" w:ascii="宋体" w:hAnsi="宋体"/>
          <w:szCs w:val="28"/>
        </w:rPr>
        <w:t xml:space="preserve">1.满足《中华人民共和国政府采购法》第二十二条规定并提供以下材料；</w:t>
      </w:r>
      <w:r/>
    </w:p>
    <w:p>
      <w:pPr>
        <w:ind w:firstLine="560"/>
        <w:rPr>
          <w:rFonts w:ascii="宋体" w:hAnsi="宋体"/>
          <w:szCs w:val="28"/>
        </w:rPr>
      </w:pPr>
      <w:r>
        <w:rPr>
          <w:rFonts w:hint="eastAsia" w:ascii="宋体" w:hAnsi="宋体"/>
          <w:szCs w:val="28"/>
        </w:rPr>
        <w:t xml:space="preserve">①法人或者其他组织的营业执照等证明文件，自然人的身份证明；</w:t>
      </w:r>
      <w:r/>
    </w:p>
    <w:p>
      <w:pPr>
        <w:ind w:firstLine="560"/>
        <w:rPr>
          <w:rFonts w:hint="eastAsia" w:ascii="宋体" w:hAnsi="宋体"/>
          <w:szCs w:val="28"/>
        </w:rPr>
      </w:pPr>
      <w:r>
        <w:rPr>
          <w:rFonts w:hint="eastAsia" w:ascii="宋体" w:hAnsi="宋体"/>
          <w:szCs w:val="28"/>
        </w:rPr>
        <w:t xml:space="preserve">②上一年度的财务状况报表（成立不满一年无需提供）；</w:t>
      </w:r>
      <w:r/>
    </w:p>
    <w:p>
      <w:pPr>
        <w:ind w:firstLine="560"/>
        <w:rPr>
          <w:rFonts w:ascii="宋体" w:hAnsi="宋体"/>
          <w:szCs w:val="28"/>
        </w:rPr>
      </w:pPr>
      <w:r>
        <w:rPr>
          <w:rFonts w:hint="eastAsia" w:ascii="宋体" w:hAnsi="宋体"/>
          <w:szCs w:val="28"/>
        </w:rPr>
        <w:t xml:space="preserve">③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560"/>
        <w:rPr>
          <w:rFonts w:ascii="宋体" w:hAnsi="宋体"/>
          <w:szCs w:val="28"/>
          <w:highlight w:val="none"/>
        </w:rPr>
      </w:pPr>
      <w:r>
        <w:rPr>
          <w:rFonts w:hint="eastAsia" w:ascii="宋体" w:hAnsi="宋体"/>
          <w:szCs w:val="28"/>
        </w:rPr>
        <w:t xml:space="preserve">④具备履行合同所必需的设备和专业技术能力</w:t>
      </w:r>
      <w:r>
        <w:rPr>
          <w:rFonts w:hint="eastAsia" w:ascii="宋体" w:hAnsi="宋体"/>
          <w:szCs w:val="28"/>
          <w:highlight w:val="none"/>
        </w:rPr>
        <w:t xml:space="preserve">的书面声明；</w:t>
      </w:r>
      <w:r/>
    </w:p>
    <w:p>
      <w:pPr>
        <w:ind w:firstLine="560"/>
        <w:rPr>
          <w:rFonts w:ascii="宋体" w:hAnsi="宋体"/>
          <w:szCs w:val="28"/>
        </w:rPr>
      </w:pPr>
      <w:r>
        <w:rPr>
          <w:rFonts w:hint="eastAsia" w:ascii="宋体" w:hAnsi="宋体"/>
          <w:szCs w:val="28"/>
        </w:rPr>
        <w:t xml:space="preserve">⑤参加政府采购活动前3年内在经营活动中没有重大违法记录的书面声明；</w:t>
      </w:r>
      <w:r/>
    </w:p>
    <w:p>
      <w:pPr>
        <w:ind w:firstLine="560"/>
        <w:rPr>
          <w:rFonts w:ascii="宋体" w:hAnsi="宋体"/>
          <w:szCs w:val="28"/>
        </w:rPr>
      </w:pPr>
      <w:r>
        <w:rPr>
          <w:rFonts w:hint="eastAsia" w:ascii="宋体" w:hAnsi="宋体"/>
          <w:szCs w:val="28"/>
        </w:rPr>
        <w:t xml:space="preserve">⑥具备法律、行政法规规定的其他条件的证明材料。</w:t>
      </w:r>
      <w:r/>
    </w:p>
    <w:p>
      <w:pPr>
        <w:ind w:firstLine="560"/>
        <w:rPr>
          <w:rFonts w:ascii="宋体" w:hAnsi="宋体"/>
          <w:szCs w:val="28"/>
        </w:rPr>
      </w:pPr>
      <w:r/>
      <w:bookmarkStart w:id="16" w:name="_Toc28359004"/>
      <w:r/>
      <w:bookmarkStart w:id="17" w:name="_Toc28359081"/>
      <w:r>
        <w:rPr>
          <w:rFonts w:ascii="宋体" w:hAnsi="宋体"/>
          <w:szCs w:val="28"/>
        </w:rPr>
        <w:t xml:space="preserve">2</w:t>
      </w:r>
      <w:r>
        <w:rPr>
          <w:rFonts w:hint="eastAsia" w:ascii="宋体" w:hAnsi="宋体"/>
          <w:szCs w:val="28"/>
        </w:rPr>
        <w:t xml:space="preserve">.本项目（是/否）属于专门面向中小企业采购的项目：</w:t>
      </w:r>
      <w:r>
        <w:rPr>
          <w:rFonts w:hint="eastAsia" w:ascii="宋体" w:hAnsi="宋体"/>
          <w:szCs w:val="28"/>
          <w:u w:val="single"/>
        </w:rPr>
        <w:t xml:space="preserve">否</w:t>
      </w:r>
      <w:r>
        <w:rPr>
          <w:rFonts w:hint="eastAsia" w:ascii="宋体" w:hAnsi="宋体"/>
          <w:szCs w:val="28"/>
        </w:rPr>
        <w:t xml:space="preserve">。</w:t>
      </w:r>
      <w:r/>
    </w:p>
    <w:p>
      <w:pPr>
        <w:ind w:firstLine="560"/>
        <w:rPr>
          <w:rFonts w:ascii="宋体" w:hAnsi="宋体"/>
          <w:szCs w:val="28"/>
        </w:rPr>
      </w:pPr>
      <w:r>
        <w:rPr>
          <w:rFonts w:hint="eastAsia" w:ascii="宋体" w:hAnsi="宋体"/>
          <w:szCs w:val="28"/>
        </w:rPr>
        <w:t xml:space="preserve">（注：如属于专门面向中小企业采购的项目,供应商应为中小微企业、监狱企业、残疾人福利性单位)</w:t>
      </w:r>
      <w:r/>
    </w:p>
    <w:p>
      <w:pPr>
        <w:ind w:firstLine="560"/>
        <w:rPr>
          <w:rFonts w:ascii="宋体" w:hAnsi="宋体"/>
          <w:szCs w:val="28"/>
        </w:rPr>
      </w:pPr>
      <w:r>
        <w:rPr>
          <w:rFonts w:hint="eastAsia" w:ascii="宋体" w:hAnsi="宋体"/>
          <w:szCs w:val="28"/>
        </w:rPr>
        <w:t xml:space="preserve">3.本项目的特定资格要求：</w:t>
      </w:r>
      <w:r/>
    </w:p>
    <w:p>
      <w:pPr>
        <w:ind w:firstLine="560"/>
        <w:rPr>
          <w:rFonts w:ascii="宋体" w:hAnsi="宋体"/>
          <w:szCs w:val="28"/>
        </w:rPr>
      </w:pPr>
      <w:r>
        <w:rPr>
          <w:rFonts w:hint="eastAsia" w:ascii="宋体" w:hAnsi="宋体"/>
          <w:szCs w:val="28"/>
        </w:rPr>
        <w:t xml:space="preserve">①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560"/>
        <w:rPr>
          <w:rFonts w:ascii="宋体" w:hAnsi="宋体"/>
          <w:szCs w:val="28"/>
        </w:rPr>
      </w:pPr>
      <w:r>
        <w:rPr>
          <w:rFonts w:hint="eastAsia" w:ascii="宋体" w:hAnsi="宋体"/>
          <w:szCs w:val="28"/>
        </w:rPr>
        <w:t xml:space="preserve">②投标人必须为未被列入“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rPr>
          <w:rFonts w:ascii="宋体" w:hAnsi="宋体"/>
          <w:b/>
          <w:szCs w:val="28"/>
        </w:rPr>
      </w:pPr>
      <w:r/>
      <w:bookmarkStart w:id="18" w:name="_Toc35393623"/>
      <w:r/>
      <w:bookmarkStart w:id="19" w:name="_Toc35393792"/>
      <w:r>
        <w:rPr>
          <w:rFonts w:hint="eastAsia" w:ascii="宋体" w:hAnsi="宋体"/>
          <w:szCs w:val="28"/>
        </w:rPr>
        <w:t xml:space="preserve">③投标人须具有建设行政主管部门核发的电子与智能化工程专业承包壹级资质和具有建设行政主管部门核发的建筑装饰装修工程专业承包贰级及以上资质，且取得安全生产许可证。</w:t>
      </w:r>
      <w:r/>
    </w:p>
    <w:p>
      <w:pPr>
        <w:ind w:firstLine="560"/>
        <w:spacing w:after="120"/>
        <w:rPr>
          <w:rFonts w:ascii="宋体" w:hAnsi="宋体"/>
          <w:b/>
          <w:szCs w:val="28"/>
        </w:rPr>
      </w:pPr>
      <w:r>
        <w:rPr>
          <w:rFonts w:hint="eastAsia" w:ascii="宋体" w:hAnsi="宋体"/>
          <w:szCs w:val="28"/>
        </w:rPr>
        <w:t xml:space="preserve">④本项目</w:t>
      </w:r>
      <w:r>
        <w:rPr>
          <w:rFonts w:hint="eastAsia" w:ascii="宋体" w:hAnsi="宋体"/>
          <w:b/>
          <w:bCs/>
          <w:szCs w:val="28"/>
          <w:u w:val="single"/>
        </w:rPr>
        <w:t xml:space="preserve">接受</w:t>
      </w:r>
      <w:r>
        <w:rPr>
          <w:rFonts w:hint="eastAsia" w:ascii="宋体" w:hAnsi="宋体"/>
          <w:szCs w:val="28"/>
        </w:rPr>
        <w:t xml:space="preserve">联合体投标（以联合体形式进行政府采购的，</w:t>
      </w:r>
      <w:r>
        <w:rPr>
          <w:rFonts w:hint="eastAsia" w:ascii="宋体" w:hAnsi="宋体"/>
          <w:b/>
          <w:bCs/>
          <w:szCs w:val="28"/>
          <w:u w:val="single"/>
        </w:rPr>
        <w:t xml:space="preserve">联合体成员不超过两家</w:t>
      </w:r>
      <w:r>
        <w:rPr>
          <w:rFonts w:hint="eastAsia" w:ascii="宋体" w:hAnsi="宋体"/>
          <w:szCs w:val="28"/>
        </w:rPr>
        <w:t xml:space="preserve">，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三、获取招标文件</w:t>
      </w:r>
      <w:bookmarkEnd w:id="16"/>
      <w:r/>
      <w:bookmarkEnd w:id="17"/>
      <w:r/>
      <w:bookmarkEnd w:id="18"/>
      <w:r/>
      <w:bookmarkEnd w:id="19"/>
      <w:r/>
      <w:r/>
    </w:p>
    <w:p>
      <w:pPr>
        <w:ind w:firstLine="560"/>
        <w:rPr>
          <w:rFonts w:ascii="宋体" w:hAnsi="宋体" w:cs="宋体"/>
          <w:szCs w:val="28"/>
        </w:rPr>
      </w:pPr>
      <w:r>
        <w:rPr>
          <w:rFonts w:hint="eastAsia" w:ascii="宋体" w:hAnsi="宋体" w:cs="宋体"/>
          <w:szCs w:val="28"/>
        </w:rPr>
        <w:t xml:space="preserve">时间：2024年6月</w:t>
      </w:r>
      <w:r>
        <w:rPr>
          <w:rFonts w:hint="eastAsia" w:ascii="宋体" w:hAnsi="宋体" w:cs="宋体"/>
          <w:szCs w:val="28"/>
          <w:lang w:val="en-US" w:eastAsia="zh-CN"/>
        </w:rPr>
        <w:t xml:space="preserve">17</w:t>
      </w:r>
      <w:r>
        <w:rPr>
          <w:rFonts w:hint="eastAsia" w:ascii="宋体" w:hAnsi="宋体" w:cs="宋体"/>
          <w:szCs w:val="28"/>
        </w:rPr>
        <w:t xml:space="preserve">日至2024年6月</w:t>
      </w:r>
      <w:r>
        <w:rPr>
          <w:rFonts w:hint="eastAsia" w:ascii="宋体" w:hAnsi="宋体" w:cs="宋体"/>
          <w:szCs w:val="28"/>
          <w:lang w:val="en-US" w:eastAsia="zh-CN"/>
        </w:rPr>
        <w:t xml:space="preserve">24</w:t>
      </w:r>
      <w:r>
        <w:rPr>
          <w:rFonts w:hint="eastAsia" w:ascii="宋体" w:hAnsi="宋体" w:cs="宋体"/>
          <w:szCs w:val="28"/>
        </w:rPr>
        <w:t xml:space="preserve">日</w:t>
      </w:r>
      <w:r>
        <w:rPr>
          <w:rFonts w:hint="eastAsia" w:ascii="宋体" w:hAnsi="宋体" w:cs="宋体"/>
          <w:szCs w:val="28"/>
          <w:highlight w:val="none"/>
        </w:rPr>
        <w:t xml:space="preserve">1</w:t>
      </w:r>
      <w:r>
        <w:rPr>
          <w:rFonts w:ascii="宋体" w:hAnsi="宋体" w:cs="宋体"/>
          <w:szCs w:val="28"/>
          <w:highlight w:val="none"/>
        </w:rPr>
        <w:t xml:space="preserve">8时</w:t>
      </w:r>
      <w:r>
        <w:rPr>
          <w:rFonts w:hint="eastAsia" w:ascii="宋体" w:hAnsi="宋体" w:cs="宋体"/>
          <w:szCs w:val="28"/>
          <w:highlight w:val="none"/>
        </w:rPr>
        <w:t xml:space="preserve">0</w:t>
      </w:r>
      <w:r>
        <w:rPr>
          <w:rFonts w:ascii="宋体" w:hAnsi="宋体" w:cs="宋体"/>
          <w:szCs w:val="28"/>
          <w:highlight w:val="none"/>
        </w:rPr>
        <w:t xml:space="preserve">0分</w:t>
      </w:r>
      <w:r>
        <w:rPr>
          <w:rFonts w:hint="eastAsia" w:ascii="宋体" w:hAnsi="宋体" w:cs="宋体"/>
          <w:szCs w:val="28"/>
          <w:highlight w:val="none"/>
        </w:rPr>
        <w:t xml:space="preserve">0</w:t>
      </w:r>
      <w:r>
        <w:rPr>
          <w:rFonts w:ascii="宋体" w:hAnsi="宋体" w:cs="宋体"/>
          <w:szCs w:val="28"/>
          <w:highlight w:val="none"/>
        </w:rPr>
        <w:t xml:space="preserve">0秒</w:t>
      </w:r>
      <w:r>
        <w:rPr>
          <w:rFonts w:hint="eastAsia" w:ascii="宋体" w:hAnsi="宋体" w:cs="宋体"/>
          <w:szCs w:val="28"/>
          <w:highlight w:val="none"/>
        </w:rPr>
        <w:t xml:space="preserve">（</w:t>
      </w:r>
      <w:r>
        <w:rPr>
          <w:rFonts w:hint="eastAsia" w:ascii="宋体" w:hAnsi="宋体" w:cs="宋体"/>
          <w:szCs w:val="28"/>
        </w:rPr>
        <w:t xml:space="preserve">北京时间，法定节假日除外）。</w:t>
      </w:r>
      <w:r/>
    </w:p>
    <w:p>
      <w:pPr>
        <w:ind w:firstLine="560"/>
        <w:rPr>
          <w:rFonts w:ascii="宋体" w:hAnsi="宋体" w:cs="宋体"/>
          <w:szCs w:val="28"/>
        </w:rPr>
      </w:pPr>
      <w:r>
        <w:rPr>
          <w:rFonts w:hint="eastAsia" w:ascii="宋体" w:hAnsi="宋体" w:cs="宋体"/>
          <w:szCs w:val="28"/>
        </w:rPr>
        <w:t xml:space="preserve">地点：本项目为网上获取，不接受现场获取、传真获取等其它方式。</w:t>
      </w:r>
      <w:r/>
    </w:p>
    <w:p>
      <w:pPr>
        <w:ind w:firstLine="560"/>
        <w:rPr>
          <w:rFonts w:ascii="宋体" w:hAnsi="宋体" w:cs="宋体"/>
          <w:color w:val="auto"/>
          <w:szCs w:val="28"/>
        </w:rPr>
      </w:pPr>
      <w:r/>
      <w:bookmarkStart w:id="20" w:name="_Toc28359082"/>
      <w:r/>
      <w:bookmarkStart w:id="21" w:name="_Toc28359005"/>
      <w:r/>
      <w:bookmarkStart w:id="22" w:name="_Toc35393793"/>
      <w:r/>
      <w:bookmarkStart w:id="23" w:name="_Toc35393624"/>
      <w:r>
        <w:rPr>
          <w:rFonts w:hint="eastAsia" w:ascii="宋体" w:hAnsi="宋体" w:cs="宋体"/>
          <w:szCs w:val="28"/>
        </w:rPr>
        <w:t xml:space="preserve">方式：供应商须在本招标文件获取时间内，供应商的法定代表人（或授权委托人）凭单位介绍信(或授权委托书)【须加盖单位公章且注明项目名称 、法定代表人或授权委托人姓名、手机号码、电子邮箱、营业执照、法定代表人（或授权委托人）身份证的电子扫描（或截图件）,发送至代理公司电子邮</w:t>
      </w:r>
      <w:r>
        <w:rPr>
          <w:rFonts w:hint="eastAsia" w:ascii="宋体" w:hAnsi="宋体" w:cs="宋体"/>
          <w:color w:val="auto"/>
          <w:szCs w:val="28"/>
        </w:rPr>
        <w:t xml:space="preserve">箱</w:t>
      </w:r>
      <w:r>
        <w:rPr>
          <w:rFonts w:hint="eastAsia" w:ascii="宋体" w:hAnsi="宋体" w:cs="宋体"/>
          <w:color w:val="auto"/>
          <w:szCs w:val="28"/>
          <w:u w:val="single"/>
        </w:rPr>
        <w:t xml:space="preserve">404605597</w:t>
      </w:r>
      <w:r>
        <w:rPr>
          <w:rFonts w:ascii="宋体" w:hAnsi="宋体" w:cs="宋体"/>
          <w:color w:val="auto"/>
          <w:szCs w:val="28"/>
          <w:u w:val="single"/>
        </w:rPr>
        <w:t xml:space="preserve">@qq.com</w:t>
      </w:r>
      <w:r>
        <w:rPr>
          <w:rFonts w:hint="eastAsia" w:ascii="宋体" w:hAnsi="宋体" w:cs="宋体"/>
          <w:color w:val="auto"/>
          <w:szCs w:val="28"/>
        </w:rPr>
        <w:t xml:space="preserve">中。</w:t>
      </w:r>
      <w:r/>
    </w:p>
    <w:p>
      <w:pPr>
        <w:ind w:firstLine="560"/>
        <w:rPr>
          <w:rFonts w:ascii="宋体" w:hAnsi="宋体" w:cs="宋体"/>
          <w:szCs w:val="28"/>
        </w:rPr>
      </w:pPr>
      <w:r>
        <w:rPr>
          <w:rFonts w:hint="eastAsia" w:ascii="宋体" w:hAnsi="宋体" w:cs="宋体"/>
          <w:color w:val="auto"/>
          <w:szCs w:val="28"/>
        </w:rPr>
        <w:t xml:space="preserve">上述材料递交成功后,招标文件将以电子</w:t>
      </w:r>
      <w:r>
        <w:rPr>
          <w:rFonts w:hint="eastAsia" w:ascii="宋体" w:hAnsi="宋体" w:cs="宋体"/>
          <w:szCs w:val="28"/>
        </w:rPr>
        <w:t xml:space="preserve">版形式向法定代表人（或授权委托人）的上述预留电子邮箱发出。获取招标文件时如有问题须及时与代理公司联系</w:t>
      </w:r>
      <w:r>
        <w:rPr>
          <w:rFonts w:hint="eastAsia" w:ascii="宋体" w:hAnsi="宋体" w:cs="宋体"/>
          <w:szCs w:val="28"/>
          <w:highlight w:val="none"/>
        </w:rPr>
        <w:t xml:space="preserve">（联系人：王女士、手机号码：13914632376）。因法定</w:t>
      </w:r>
      <w:r>
        <w:rPr>
          <w:rFonts w:hint="eastAsia" w:ascii="宋体" w:hAnsi="宋体" w:cs="宋体"/>
          <w:szCs w:val="28"/>
        </w:rPr>
        <w:t xml:space="preserve">代表人（或授权委托人）未及时查看预留电子邮箱或预留电子邮箱错误等供应商自身原因导致的后果由供应商自行承担。</w:t>
      </w:r>
      <w:r/>
    </w:p>
    <w:p>
      <w:pPr>
        <w:ind w:firstLine="560"/>
        <w:rPr>
          <w:rFonts w:ascii="宋体" w:hAnsi="宋体" w:cs="宋体"/>
          <w:szCs w:val="28"/>
        </w:rPr>
      </w:pPr>
      <w:r>
        <w:rPr>
          <w:rFonts w:hint="eastAsia" w:ascii="宋体" w:hAnsi="宋体" w:cs="宋体"/>
          <w:szCs w:val="28"/>
        </w:rPr>
        <w:t xml:space="preserve">招标文件售价：</w:t>
      </w:r>
      <w:r>
        <w:rPr>
          <w:rFonts w:hint="eastAsia" w:ascii="宋体" w:hAnsi="宋体" w:cs="宋体"/>
          <w:szCs w:val="28"/>
          <w:u w:val="single"/>
        </w:rPr>
        <w:t xml:space="preserve">免费</w:t>
      </w:r>
      <w:r>
        <w:rPr>
          <w:rFonts w:hint="eastAsia" w:ascii="宋体" w:hAnsi="宋体" w:cs="宋体"/>
          <w:szCs w:val="28"/>
        </w:rPr>
        <w:t xml:space="preserve">。</w:t>
      </w:r>
      <w:r/>
    </w:p>
    <w:p>
      <w:pPr>
        <w:ind w:firstLine="560"/>
        <w:rPr>
          <w:rFonts w:ascii="宋体" w:hAnsi="宋体" w:cs="宋体"/>
          <w:szCs w:val="28"/>
        </w:rPr>
      </w:pPr>
      <w:r>
        <w:rPr>
          <w:rFonts w:hint="eastAsia" w:ascii="宋体" w:hAnsi="宋体" w:cs="宋体"/>
          <w:szCs w:val="28"/>
        </w:rPr>
        <w:t xml:space="preserve">其他有关事项：</w:t>
      </w:r>
      <w:r/>
    </w:p>
    <w:p>
      <w:pPr>
        <w:ind w:firstLine="560"/>
        <w:rPr>
          <w:rFonts w:ascii="宋体" w:hAnsi="宋体" w:cs="宋体"/>
          <w:szCs w:val="28"/>
        </w:rPr>
      </w:pPr>
      <w:r>
        <w:rPr>
          <w:rFonts w:hint="eastAsia" w:ascii="宋体" w:hAnsi="宋体" w:cs="宋体"/>
          <w:szCs w:val="28"/>
        </w:rPr>
        <w:t xml:space="preserve">请获取招标文件的供应商及时查看电子邮箱，了解有关事宜；未获取由江苏雨田工程咨询集团有限公司发出的电子版招标文件的潜在供应商将被拒绝。</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四、提交投标文件</w:t>
      </w:r>
      <w:bookmarkEnd w:id="20"/>
      <w:r/>
      <w:bookmarkEnd w:id="21"/>
      <w:r>
        <w:rPr>
          <w:rFonts w:hint="eastAsia" w:ascii="宋体" w:hAnsi="宋体"/>
          <w:b/>
          <w:szCs w:val="28"/>
        </w:rPr>
        <w:t xml:space="preserve">截止时间、开标时间和地点</w:t>
      </w:r>
      <w:bookmarkEnd w:id="22"/>
      <w:r/>
      <w:bookmarkEnd w:id="23"/>
      <w:r/>
      <w:r/>
    </w:p>
    <w:p>
      <w:pPr>
        <w:ind w:firstLine="560"/>
        <w:rPr>
          <w:rFonts w:hint="eastAsia" w:ascii="宋体" w:hAnsi="宋体" w:cs="宋体"/>
          <w:szCs w:val="28"/>
          <w:u w:val="single"/>
        </w:rPr>
      </w:pPr>
      <w:r>
        <w:rPr>
          <w:rFonts w:hint="eastAsia" w:ascii="宋体" w:hAnsi="宋体" w:cs="宋体"/>
          <w:szCs w:val="28"/>
        </w:rPr>
        <w:t xml:space="preserve">提交投标文件截止时间：</w:t>
      </w:r>
      <w:r>
        <w:rPr>
          <w:rFonts w:hint="eastAsia" w:ascii="宋体" w:hAnsi="宋体" w:cs="宋体"/>
          <w:szCs w:val="28"/>
          <w:u w:val="single"/>
        </w:rPr>
        <w:t xml:space="preserve">2024年7月</w:t>
      </w:r>
      <w:r>
        <w:rPr>
          <w:rFonts w:hint="eastAsia" w:ascii="宋体" w:hAnsi="宋体" w:cs="宋体"/>
          <w:szCs w:val="28"/>
          <w:u w:val="single"/>
          <w:lang w:val="en-US" w:eastAsia="zh-CN"/>
        </w:rPr>
        <w:t xml:space="preserve">9</w:t>
      </w:r>
      <w:r>
        <w:rPr>
          <w:rFonts w:hint="eastAsia" w:ascii="宋体" w:hAnsi="宋体" w:cs="宋体"/>
          <w:szCs w:val="28"/>
          <w:u w:val="single"/>
        </w:rPr>
        <w:t xml:space="preserve">日9点00分00秒（北京时间）</w:t>
      </w:r>
      <w:r/>
    </w:p>
    <w:p>
      <w:pPr>
        <w:ind w:firstLine="560"/>
        <w:rPr>
          <w:rFonts w:hint="eastAsia" w:ascii="宋体" w:hAnsi="宋体" w:cs="宋体"/>
          <w:szCs w:val="28"/>
          <w:u w:val="single"/>
        </w:rPr>
      </w:pPr>
      <w:r>
        <w:rPr>
          <w:rFonts w:hint="eastAsia" w:ascii="宋体" w:hAnsi="宋体" w:cs="宋体"/>
          <w:szCs w:val="28"/>
        </w:rPr>
        <w:t xml:space="preserve">开标时间：</w:t>
      </w:r>
      <w:r>
        <w:rPr>
          <w:rFonts w:hint="eastAsia" w:ascii="宋体" w:hAnsi="宋体" w:cs="宋体"/>
          <w:szCs w:val="28"/>
          <w:u w:val="single"/>
        </w:rPr>
        <w:t xml:space="preserve">2024年7月</w:t>
      </w:r>
      <w:r>
        <w:rPr>
          <w:rFonts w:hint="eastAsia" w:ascii="宋体" w:hAnsi="宋体" w:cs="宋体"/>
          <w:szCs w:val="28"/>
          <w:u w:val="single"/>
          <w:lang w:val="en-US" w:eastAsia="zh-CN"/>
        </w:rPr>
        <w:t xml:space="preserve">9</w:t>
      </w:r>
      <w:r>
        <w:rPr>
          <w:rFonts w:hint="eastAsia" w:ascii="宋体" w:hAnsi="宋体" w:cs="宋体"/>
          <w:szCs w:val="28"/>
          <w:u w:val="single"/>
        </w:rPr>
        <w:t xml:space="preserve">日9点00分00秒（北京时间）</w:t>
      </w:r>
      <w:r/>
    </w:p>
    <w:p>
      <w:pPr>
        <w:ind w:firstLine="560"/>
        <w:rPr>
          <w:rFonts w:hint="eastAsia" w:ascii="宋体" w:hAnsi="宋体" w:eastAsia="宋体" w:cs="宋体"/>
          <w:szCs w:val="28"/>
          <w:u w:val="single"/>
          <w:lang w:eastAsia="zh-CN"/>
        </w:rPr>
      </w:pPr>
      <w:r>
        <w:rPr>
          <w:rFonts w:hint="eastAsia" w:ascii="宋体" w:hAnsi="宋体" w:cs="宋体"/>
          <w:szCs w:val="28"/>
        </w:rPr>
        <w:t xml:space="preserve">开标地点：</w:t>
      </w:r>
      <w:r>
        <w:rPr>
          <w:rFonts w:hint="eastAsia" w:ascii="宋体" w:hAnsi="宋体" w:cs="宋体"/>
          <w:szCs w:val="28"/>
          <w:u w:val="single"/>
        </w:rPr>
        <w:t xml:space="preserve">滨海县县城育才路166号滨海县政务服务中心3层东北角开标二室</w:t>
      </w:r>
      <w:r>
        <w:rPr>
          <w:rFonts w:hint="eastAsia" w:ascii="宋体" w:hAnsi="宋体" w:cs="宋体"/>
          <w:szCs w:val="28"/>
          <w:u w:val="single"/>
          <w:lang w:eastAsia="zh-CN"/>
        </w:rPr>
        <w:t xml:space="preserve">。</w:t>
      </w:r>
      <w:r/>
    </w:p>
    <w:p>
      <w:pPr>
        <w:ind w:firstLine="561"/>
        <w:keepLines w:val="0"/>
        <w:keepNext w:val="0"/>
        <w:pageBreakBefore w:val="0"/>
        <w:spacing w:before="181" w:after="181" w:line="240" w:lineRule="auto"/>
        <w:widowControl w:val="off"/>
        <w:rPr>
          <w:rFonts w:hint="eastAsia" w:ascii="宋体" w:hAnsi="宋体"/>
          <w:b/>
          <w:szCs w:val="28"/>
        </w:rPr>
        <w:outlineLvl w:val="2"/>
      </w:pPr>
      <w:r/>
      <w:bookmarkStart w:id="24" w:name="_Toc35393794"/>
      <w:r/>
      <w:bookmarkStart w:id="25" w:name="_Toc35393625"/>
      <w:r/>
      <w:bookmarkStart w:id="26" w:name="_Toc28359084"/>
      <w:r/>
      <w:bookmarkStart w:id="27" w:name="_Toc28359007"/>
      <w:r>
        <w:rPr>
          <w:rFonts w:hint="eastAsia" w:ascii="宋体" w:hAnsi="宋体"/>
          <w:b/>
          <w:szCs w:val="28"/>
        </w:rPr>
        <w:t xml:space="preserve">五、公告期限</w:t>
      </w:r>
      <w:bookmarkEnd w:id="24"/>
      <w:r/>
      <w:bookmarkEnd w:id="25"/>
      <w:r/>
      <w:bookmarkEnd w:id="26"/>
      <w:r/>
      <w:bookmarkEnd w:id="27"/>
      <w:r/>
      <w:r/>
    </w:p>
    <w:p>
      <w:pPr>
        <w:ind w:firstLine="560"/>
        <w:spacing w:line="360" w:lineRule="auto"/>
        <w:rPr>
          <w:rFonts w:ascii="宋体" w:hAnsi="宋体" w:cs="宋体"/>
          <w:szCs w:val="28"/>
        </w:rPr>
      </w:pPr>
      <w:r>
        <w:rPr>
          <w:rFonts w:hint="eastAsia" w:ascii="宋体" w:hAnsi="宋体" w:cs="宋体"/>
          <w:szCs w:val="28"/>
        </w:rPr>
        <w:t xml:space="preserve">自本公告发布之日起不少于5个工作日。</w:t>
      </w:r>
      <w:r/>
    </w:p>
    <w:p>
      <w:pPr>
        <w:ind w:firstLine="561"/>
        <w:keepLines w:val="0"/>
        <w:keepNext w:val="0"/>
        <w:pageBreakBefore w:val="0"/>
        <w:spacing w:before="181" w:after="181" w:line="240" w:lineRule="auto"/>
        <w:widowControl w:val="off"/>
        <w:rPr>
          <w:rFonts w:hint="eastAsia" w:ascii="宋体" w:hAnsi="宋体"/>
          <w:b/>
          <w:szCs w:val="28"/>
        </w:rPr>
        <w:outlineLvl w:val="2"/>
      </w:pPr>
      <w:r/>
      <w:bookmarkStart w:id="28" w:name="_Toc35393626"/>
      <w:r/>
      <w:bookmarkStart w:id="29" w:name="_Toc35393795"/>
      <w:r>
        <w:rPr>
          <w:rFonts w:hint="eastAsia" w:ascii="宋体" w:hAnsi="宋体"/>
          <w:b/>
          <w:szCs w:val="28"/>
        </w:rPr>
        <w:t xml:space="preserve">六、付款方式</w:t>
      </w:r>
      <w:r/>
    </w:p>
    <w:p>
      <w:pPr>
        <w:ind w:firstLine="560"/>
        <w:rPr>
          <w:rFonts w:ascii="宋体" w:hAnsi="宋体" w:cs="宋体"/>
          <w:szCs w:val="28"/>
        </w:rPr>
      </w:pPr>
      <w:r>
        <w:rPr>
          <w:rFonts w:hint="eastAsia" w:ascii="宋体" w:hAnsi="宋体" w:cs="宋体"/>
          <w:szCs w:val="28"/>
        </w:rPr>
        <w:t xml:space="preserve">合同签订后支付合同总额的10%作为预付款（中标人须提供合同总价10%的银行保函）；工程竣工、备案成功、经验收合格后，支付至合同总额的50%（扣除违约金，如有）；剩余款项在验收合格之日起的前四年中每满一年支付合同总额的10%（扣除违约金，如有），在验收合格之日起满五年按审计价付清（扣除违约金，如有）。</w:t>
      </w:r>
      <w:r/>
    </w:p>
    <w:p>
      <w:pPr>
        <w:ind w:firstLine="560"/>
        <w:spacing w:line="360" w:lineRule="auto"/>
        <w:rPr>
          <w:rFonts w:ascii="宋体" w:hAnsi="宋体"/>
          <w:b/>
          <w:szCs w:val="28"/>
        </w:rPr>
      </w:pPr>
      <w:r>
        <w:rPr>
          <w:rFonts w:hint="eastAsia" w:ascii="宋体" w:hAnsi="宋体"/>
          <w:bCs/>
          <w:szCs w:val="28"/>
        </w:rPr>
        <w:t xml:space="preserve">注：原则上收到发票后10个工作日内支付。</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七、其他补充事宜</w:t>
      </w:r>
      <w:bookmarkEnd w:id="28"/>
      <w:r/>
      <w:bookmarkEnd w:id="29"/>
      <w:r/>
      <w:r/>
    </w:p>
    <w:p>
      <w:pPr>
        <w:ind w:firstLine="560"/>
        <w:rPr>
          <w:rFonts w:ascii="宋体" w:hAnsi="宋体" w:cs="宋体"/>
          <w:szCs w:val="28"/>
        </w:rPr>
      </w:pPr>
      <w:r/>
      <w:bookmarkStart w:id="30" w:name="_Toc28359085"/>
      <w:r/>
      <w:bookmarkStart w:id="31" w:name="_Toc35393796"/>
      <w:r/>
      <w:bookmarkStart w:id="32" w:name="_Toc28359008"/>
      <w:r/>
      <w:bookmarkStart w:id="33" w:name="_Toc35393627"/>
      <w:r>
        <w:rPr>
          <w:rFonts w:hint="eastAsia" w:ascii="宋体" w:hAnsi="宋体" w:cs="宋体"/>
          <w:szCs w:val="28"/>
        </w:rPr>
        <w:t xml:space="preserve">1.电子投标文件一份(通过电子邮箱提交)；纸质投标文件正本一份，副本二份（评审结束后由中标人送至江苏雨田工程咨询集团有限公司，未中标单位不需要提供）。</w:t>
      </w:r>
      <w:r/>
    </w:p>
    <w:p>
      <w:pPr>
        <w:ind w:firstLine="560"/>
        <w:rPr>
          <w:rFonts w:ascii="宋体" w:hAnsi="宋体" w:cs="宋体"/>
          <w:szCs w:val="28"/>
        </w:rPr>
      </w:pPr>
      <w:r>
        <w:rPr>
          <w:rFonts w:hint="eastAsia" w:ascii="宋体" w:hAnsi="宋体" w:cs="宋体"/>
          <w:szCs w:val="28"/>
        </w:rPr>
        <w:t xml:space="preserve">2.本项目开标方式为不见面开标。开标当日，投标人无需到达开标现场，仅需在任意地点通过 PC端或移动端的“腾讯会议”及相应的配套硬件设备参加开标会议，各投标人进入会议后自行将名称修改为公司名称+授权委托人姓名。如因视频设备问题造成无法核实身份的，作无效标处理，参加开标会议的方法详见招标文件；</w:t>
      </w:r>
      <w:r/>
    </w:p>
    <w:p>
      <w:pPr>
        <w:ind w:firstLine="560"/>
        <w:rPr>
          <w:rFonts w:ascii="宋体" w:hAnsi="宋体"/>
          <w:szCs w:val="28"/>
          <w:highlight w:val="none"/>
          <w:u w:val="single"/>
        </w:rPr>
      </w:pPr>
      <w:r>
        <w:rPr>
          <w:rFonts w:hint="eastAsia" w:ascii="宋体" w:hAnsi="宋体" w:cs="宋体"/>
          <w:szCs w:val="28"/>
        </w:rPr>
        <w:t xml:space="preserve">3.各投标人在投标截止时间前应当每天都上网查询，以便获取更新的澄清、修改、补充内容。凡涉及到该项目的补充说明和修改，均以</w:t>
      </w:r>
      <w:r>
        <w:rPr>
          <w:rFonts w:hint="eastAsia" w:ascii="宋体" w:hAnsi="宋体" w:cs="宋体"/>
          <w:szCs w:val="28"/>
          <w:highlight w:val="none"/>
        </w:rPr>
        <w:t xml:space="preserve">“</w:t>
      </w:r>
      <w:r>
        <w:rPr>
          <w:rFonts w:hint="eastAsia" w:ascii="宋体" w:hAnsi="宋体"/>
          <w:szCs w:val="28"/>
          <w:highlight w:val="none"/>
        </w:rPr>
        <w:t xml:space="preserve">中国政府采购网</w:t>
      </w:r>
      <w:r>
        <w:rPr>
          <w:rFonts w:hint="eastAsia" w:ascii="宋体" w:hAnsi="宋体" w:cs="宋体"/>
          <w:szCs w:val="28"/>
          <w:highlight w:val="none"/>
        </w:rPr>
        <w:t xml:space="preserve">”</w:t>
      </w:r>
      <w:r>
        <w:rPr>
          <w:rFonts w:hint="eastAsia" w:ascii="宋体" w:hAnsi="宋体"/>
          <w:szCs w:val="28"/>
          <w:highlight w:val="none"/>
        </w:rPr>
        <w:t xml:space="preserve">、</w:t>
      </w:r>
      <w:r>
        <w:rPr>
          <w:rFonts w:hint="eastAsia" w:ascii="宋体" w:hAnsi="宋体" w:cs="宋体"/>
          <w:szCs w:val="28"/>
          <w:highlight w:val="none"/>
        </w:rPr>
        <w:t xml:space="preserve">“江苏政府采购网”、“盐城市政府采购网”</w:t>
      </w:r>
      <w:r>
        <w:rPr>
          <w:rFonts w:hint="eastAsia" w:ascii="宋体" w:hAnsi="宋体"/>
          <w:szCs w:val="28"/>
          <w:highlight w:val="none"/>
        </w:rPr>
        <w:t xml:space="preserve"> 、“滨海县人民政府网”</w:t>
      </w:r>
      <w:r>
        <w:rPr>
          <w:rFonts w:hint="eastAsia" w:ascii="宋体" w:hAnsi="宋体" w:cs="宋体"/>
          <w:szCs w:val="28"/>
          <w:highlight w:val="none"/>
        </w:rPr>
        <w:t xml:space="preserve">上的更正或补充通知为准；</w:t>
      </w:r>
      <w:r/>
    </w:p>
    <w:p>
      <w:pPr>
        <w:ind w:firstLine="560"/>
        <w:rPr>
          <w:rFonts w:ascii="宋体" w:hAnsi="宋体" w:cs="宋体"/>
          <w:szCs w:val="28"/>
        </w:rPr>
      </w:pPr>
      <w:r>
        <w:rPr>
          <w:rFonts w:hint="eastAsia" w:ascii="宋体" w:hAnsi="宋体" w:cs="宋体"/>
          <w:szCs w:val="28"/>
        </w:rPr>
        <w:t xml:space="preserve">4.投标人如在投标过程中存在以下行为，将被列入不良行为记录名单。</w:t>
      </w:r>
      <w:r/>
    </w:p>
    <w:p>
      <w:pPr>
        <w:ind w:firstLine="560"/>
        <w:rPr>
          <w:rFonts w:ascii="宋体" w:hAnsi="宋体" w:cs="宋体"/>
          <w:szCs w:val="28"/>
        </w:rPr>
      </w:pPr>
      <w:r>
        <w:rPr>
          <w:rFonts w:hint="eastAsia" w:ascii="宋体" w:hAnsi="宋体" w:cs="宋体"/>
          <w:szCs w:val="28"/>
        </w:rPr>
        <w:t xml:space="preserve">4.1提供虚假材料谋取中标成交的或采取不正当手段诋毁、排挤其他供应商的；</w:t>
      </w:r>
      <w:r/>
    </w:p>
    <w:p>
      <w:pPr>
        <w:ind w:firstLine="560"/>
        <w:rPr>
          <w:rFonts w:ascii="宋体" w:hAnsi="宋体" w:cs="宋体"/>
          <w:szCs w:val="28"/>
        </w:rPr>
      </w:pPr>
      <w:r>
        <w:rPr>
          <w:rFonts w:hint="eastAsia" w:ascii="宋体" w:hAnsi="宋体" w:cs="宋体"/>
          <w:szCs w:val="28"/>
        </w:rPr>
        <w:t xml:space="preserve">4.2投标人递交无竞争力投标文件的。</w:t>
      </w:r>
      <w:r/>
    </w:p>
    <w:p>
      <w:pPr>
        <w:pStyle w:val="941"/>
        <w:ind w:firstLine="560"/>
        <w:rPr>
          <w:rFonts w:ascii="宋体" w:hAnsi="宋体" w:cs="Times New Roman"/>
          <w:bCs/>
          <w:color w:val="auto"/>
          <w:sz w:val="28"/>
          <w:szCs w:val="28"/>
        </w:rPr>
      </w:pPr>
      <w:r>
        <w:rPr>
          <w:rFonts w:hint="eastAsia" w:ascii="宋体" w:hAnsi="宋体" w:cs="Times New Roman"/>
          <w:bCs/>
          <w:color w:val="auto"/>
          <w:sz w:val="28"/>
          <w:szCs w:val="28"/>
        </w:rPr>
        <w:t xml:space="preserve">5.本项目为不见面交易项目，投标人通过‘腾讯视频会议’直播APP加入会议，</w:t>
      </w:r>
      <w:r>
        <w:rPr>
          <w:rFonts w:hint="eastAsia" w:ascii="宋体" w:hAnsi="宋体" w:cs="Times New Roman"/>
          <w:b/>
          <w:color w:val="auto"/>
          <w:sz w:val="28"/>
          <w:szCs w:val="28"/>
          <w:highlight w:val="yellow"/>
        </w:rPr>
        <w:t xml:space="preserve">腾讯会议号</w:t>
      </w:r>
      <w:r>
        <w:rPr>
          <w:rFonts w:hint="eastAsia" w:ascii="宋体" w:hAnsi="宋体" w:cs="Times New Roman"/>
          <w:bCs/>
          <w:color w:val="auto"/>
          <w:sz w:val="28"/>
          <w:szCs w:val="28"/>
          <w:highlight w:val="yellow"/>
        </w:rPr>
        <w:t xml:space="preserve">：956-655-988；</w:t>
      </w:r>
      <w:r/>
    </w:p>
    <w:p>
      <w:pPr>
        <w:pStyle w:val="941"/>
        <w:ind w:firstLine="560"/>
        <w:rPr>
          <w:rFonts w:ascii="宋体" w:hAnsi="宋体" w:cs="Times New Roman"/>
          <w:bCs/>
          <w:color w:val="auto"/>
          <w:sz w:val="28"/>
          <w:szCs w:val="28"/>
        </w:rPr>
      </w:pPr>
      <w:r>
        <w:rPr>
          <w:rFonts w:hint="eastAsia" w:ascii="宋体" w:hAnsi="宋体" w:cs="Times New Roman"/>
          <w:bCs/>
          <w:color w:val="auto"/>
          <w:sz w:val="28"/>
          <w:szCs w:val="28"/>
        </w:rPr>
        <w:t xml:space="preserve">6.投标人存在串通投标、以他人名义投标、弄虚作假等违法违规行为，或者无正当理由放弃投标、中标资格，造成项目招标失败的，不得参加该项目重新招标的投标。</w:t>
      </w:r>
      <w:r/>
    </w:p>
    <w:p>
      <w:pPr>
        <w:ind w:firstLine="560"/>
        <w:spacing w:line="360" w:lineRule="auto"/>
        <w:rPr>
          <w:rFonts w:ascii="宋体" w:hAnsi="宋体"/>
          <w:szCs w:val="28"/>
        </w:rPr>
      </w:pPr>
      <w:r>
        <w:rPr>
          <w:rFonts w:hint="eastAsia" w:ascii="宋体" w:hAnsi="宋体"/>
          <w:bCs/>
          <w:szCs w:val="28"/>
        </w:rPr>
        <w:t xml:space="preserve">7.本项目不收取投标保证金，不收取</w:t>
      </w:r>
      <w:bookmarkStart w:id="84" w:name="_GoBack"/>
      <w:r/>
      <w:bookmarkEnd w:id="84"/>
      <w:r>
        <w:rPr>
          <w:rFonts w:hint="eastAsia" w:ascii="宋体" w:hAnsi="宋体"/>
          <w:bCs/>
          <w:szCs w:val="28"/>
        </w:rPr>
        <w:t xml:space="preserve">质量保证金。</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八、对本次招标提出询问，请按以下方式联系</w:t>
      </w:r>
      <w:bookmarkEnd w:id="30"/>
      <w:r/>
      <w:bookmarkEnd w:id="31"/>
      <w:r/>
      <w:bookmarkEnd w:id="32"/>
      <w:r/>
      <w:bookmarkEnd w:id="33"/>
      <w:r/>
      <w:r/>
    </w:p>
    <w:p>
      <w:pPr>
        <w:ind w:firstLine="560"/>
        <w:keepLines w:val="0"/>
        <w:keepNext w:val="0"/>
        <w:pageBreakBefore w:val="0"/>
        <w:spacing w:line="240" w:lineRule="auto"/>
        <w:shd w:val="clear" w:color="auto" w:fill="ffffff"/>
        <w:widowControl/>
        <w:rPr>
          <w:szCs w:val="24"/>
          <w:shd w:val="clear" w:color="auto" w:fill="ffffff"/>
        </w:rPr>
      </w:pPr>
      <w:r>
        <w:rPr>
          <w:rFonts w:hint="eastAsia"/>
          <w:szCs w:val="24"/>
          <w:shd w:val="clear" w:color="auto" w:fill="ffffff"/>
        </w:rPr>
        <w:t xml:space="preserve">1、采购人信息</w:t>
      </w:r>
      <w:r/>
    </w:p>
    <w:p>
      <w:pPr>
        <w:ind w:firstLine="560"/>
        <w:keepLines w:val="0"/>
        <w:keepNext w:val="0"/>
        <w:pageBreakBefore w:val="0"/>
        <w:spacing w:line="240" w:lineRule="auto"/>
        <w:shd w:val="clear" w:color="auto" w:fill="ffffff"/>
        <w:widowControl/>
        <w:rPr>
          <w:szCs w:val="24"/>
          <w:shd w:val="clear" w:color="auto" w:fill="ffffff"/>
        </w:rPr>
      </w:pPr>
      <w:r>
        <w:rPr>
          <w:rFonts w:hint="eastAsia"/>
          <w:szCs w:val="24"/>
          <w:shd w:val="clear" w:color="auto" w:fill="ffffff"/>
        </w:rPr>
        <w:t xml:space="preserve">名    称：滨海县公安局</w:t>
      </w:r>
      <w:r/>
    </w:p>
    <w:p>
      <w:pPr>
        <w:ind w:firstLine="560"/>
        <w:keepLines w:val="0"/>
        <w:keepNext w:val="0"/>
        <w:pageBreakBefore w:val="0"/>
        <w:spacing w:line="240" w:lineRule="auto"/>
        <w:shd w:val="clear" w:color="auto" w:fill="ffffff"/>
        <w:widowControl/>
        <w:rPr>
          <w:szCs w:val="24"/>
          <w:shd w:val="clear" w:color="auto" w:fill="ffffff"/>
        </w:rPr>
      </w:pPr>
      <w:r>
        <w:rPr>
          <w:rFonts w:hint="eastAsia"/>
          <w:szCs w:val="24"/>
          <w:shd w:val="clear" w:color="auto" w:fill="ffffff"/>
        </w:rPr>
        <w:t xml:space="preserve">地    址：滨海县城迎宾西路1号</w:t>
      </w:r>
      <w:r/>
    </w:p>
    <w:p>
      <w:pPr>
        <w:ind w:firstLine="560"/>
        <w:keepLines w:val="0"/>
        <w:keepNext w:val="0"/>
        <w:pageBreakBefore w:val="0"/>
        <w:spacing w:line="240" w:lineRule="auto"/>
        <w:shd w:val="clear" w:color="auto" w:fill="ffffff"/>
        <w:widowControl/>
        <w:rPr>
          <w:szCs w:val="24"/>
          <w:shd w:val="clear" w:color="auto" w:fill="ffffff"/>
        </w:rPr>
      </w:pPr>
      <w:r>
        <w:rPr>
          <w:rFonts w:hint="eastAsia"/>
          <w:szCs w:val="24"/>
          <w:shd w:val="clear" w:color="auto" w:fill="ffffff"/>
        </w:rPr>
        <w:t xml:space="preserve">联 系 人：皮先生</w:t>
      </w:r>
      <w:r/>
    </w:p>
    <w:p>
      <w:pPr>
        <w:ind w:firstLine="560"/>
        <w:keepLines w:val="0"/>
        <w:keepNext w:val="0"/>
        <w:pageBreakBefore w:val="0"/>
        <w:spacing w:line="240" w:lineRule="auto"/>
        <w:shd w:val="clear" w:color="auto" w:fill="ffffff"/>
        <w:widowControl/>
        <w:rPr>
          <w:szCs w:val="24"/>
          <w:shd w:val="clear" w:color="auto" w:fill="ffffff"/>
        </w:rPr>
      </w:pPr>
      <w:r>
        <w:rPr>
          <w:rFonts w:hint="eastAsia"/>
          <w:szCs w:val="24"/>
          <w:shd w:val="clear" w:color="auto" w:fill="ffffff"/>
        </w:rPr>
        <w:t xml:space="preserve">联系电话：15851111976</w:t>
      </w:r>
      <w:r/>
    </w:p>
    <w:p>
      <w:pPr>
        <w:ind w:firstLine="560"/>
        <w:keepLines w:val="0"/>
        <w:keepNext w:val="0"/>
        <w:pageBreakBefore w:val="0"/>
        <w:spacing w:before="181" w:line="240" w:lineRule="auto"/>
        <w:shd w:val="clear" w:color="auto" w:fill="ffffff"/>
        <w:widowControl/>
        <w:rPr>
          <w:szCs w:val="24"/>
          <w:highlight w:val="none"/>
          <w:shd w:val="clear" w:color="auto" w:fill="ffffff"/>
        </w:rPr>
      </w:pPr>
      <w:r>
        <w:rPr>
          <w:rFonts w:hint="eastAsia"/>
          <w:szCs w:val="24"/>
          <w:highlight w:val="none"/>
          <w:shd w:val="clear" w:color="auto" w:fill="ffffff"/>
        </w:rPr>
        <w:t xml:space="preserve">2、采购代理机构信息</w:t>
      </w:r>
      <w:r/>
    </w:p>
    <w:p>
      <w:pPr>
        <w:ind w:firstLine="560"/>
        <w:keepLines w:val="0"/>
        <w:keepNext w:val="0"/>
        <w:pageBreakBefore w:val="0"/>
        <w:spacing w:line="240" w:lineRule="auto"/>
        <w:shd w:val="clear" w:color="auto" w:fill="ffffff"/>
        <w:widowControl/>
        <w:rPr>
          <w:szCs w:val="24"/>
          <w:highlight w:val="none"/>
          <w:shd w:val="clear" w:color="auto" w:fill="ffffff"/>
        </w:rPr>
      </w:pPr>
      <w:r>
        <w:rPr>
          <w:rFonts w:hint="eastAsia"/>
          <w:szCs w:val="24"/>
          <w:highlight w:val="none"/>
          <w:shd w:val="clear" w:color="auto" w:fill="ffffff"/>
        </w:rPr>
        <w:t xml:space="preserve">名    称：江苏雨田工程咨询集团有限公司</w:t>
      </w:r>
      <w:r/>
    </w:p>
    <w:p>
      <w:pPr>
        <w:ind w:firstLine="560"/>
        <w:keepLines w:val="0"/>
        <w:keepNext w:val="0"/>
        <w:pageBreakBefore w:val="0"/>
        <w:spacing w:line="240" w:lineRule="auto"/>
        <w:shd w:val="clear" w:color="auto" w:fill="ffffff"/>
        <w:widowControl/>
        <w:rPr>
          <w:szCs w:val="24"/>
          <w:highlight w:val="none"/>
          <w:shd w:val="clear" w:color="auto" w:fill="ffffff"/>
        </w:rPr>
      </w:pPr>
      <w:r>
        <w:rPr>
          <w:rFonts w:hint="eastAsia"/>
          <w:szCs w:val="24"/>
          <w:highlight w:val="none"/>
          <w:shd w:val="clear" w:color="auto" w:fill="ffffff"/>
        </w:rPr>
        <w:t xml:space="preserve">地    址：盐城市滨海县大学生创业园电谷A226室</w:t>
      </w:r>
      <w:r/>
    </w:p>
    <w:p>
      <w:pPr>
        <w:ind w:firstLine="560"/>
        <w:keepLines w:val="0"/>
        <w:keepNext w:val="0"/>
        <w:pageBreakBefore w:val="0"/>
        <w:spacing w:line="240" w:lineRule="auto"/>
        <w:shd w:val="clear" w:color="auto" w:fill="ffffff"/>
        <w:widowControl/>
        <w:rPr>
          <w:szCs w:val="24"/>
          <w:highlight w:val="none"/>
          <w:shd w:val="clear" w:color="auto" w:fill="ffffff"/>
        </w:rPr>
      </w:pPr>
      <w:r>
        <w:rPr>
          <w:rFonts w:hint="eastAsia"/>
          <w:szCs w:val="24"/>
          <w:highlight w:val="none"/>
          <w:shd w:val="clear" w:color="auto" w:fill="ffffff"/>
        </w:rPr>
        <w:t xml:space="preserve">联系人：王女士</w:t>
      </w:r>
      <w:r/>
    </w:p>
    <w:p>
      <w:pPr>
        <w:ind w:firstLine="560"/>
        <w:keepLines w:val="0"/>
        <w:keepNext w:val="0"/>
        <w:pageBreakBefore w:val="0"/>
        <w:spacing w:line="240" w:lineRule="auto"/>
        <w:shd w:val="clear" w:color="auto" w:fill="ffffff"/>
        <w:widowControl/>
        <w:rPr>
          <w:szCs w:val="24"/>
          <w:highlight w:val="none"/>
          <w:shd w:val="clear" w:color="auto" w:fill="ffffff"/>
        </w:rPr>
      </w:pPr>
      <w:r>
        <w:rPr>
          <w:rFonts w:hint="eastAsia"/>
          <w:szCs w:val="24"/>
          <w:highlight w:val="none"/>
          <w:shd w:val="clear" w:color="auto" w:fill="ffffff"/>
        </w:rPr>
        <w:t xml:space="preserve">联系方式：13914632376</w:t>
      </w:r>
      <w:r/>
    </w:p>
    <w:p>
      <w:pPr>
        <w:ind w:firstLine="560"/>
        <w:keepLines w:val="0"/>
        <w:keepNext w:val="0"/>
        <w:pageBreakBefore w:val="0"/>
        <w:spacing w:before="181" w:line="240" w:lineRule="auto"/>
        <w:shd w:val="clear" w:color="auto" w:fill="ffffff"/>
        <w:widowControl/>
        <w:rPr>
          <w:szCs w:val="24"/>
          <w:highlight w:val="none"/>
          <w:shd w:val="clear" w:color="auto" w:fill="ffffff"/>
        </w:rPr>
      </w:pPr>
      <w:r>
        <w:rPr>
          <w:rFonts w:hint="eastAsia"/>
          <w:szCs w:val="24"/>
          <w:highlight w:val="none"/>
          <w:shd w:val="clear" w:color="auto" w:fill="ffffff"/>
        </w:rPr>
        <w:t xml:space="preserve">3、项目联系方式</w:t>
      </w:r>
      <w:r/>
    </w:p>
    <w:p>
      <w:pPr>
        <w:ind w:firstLine="560"/>
        <w:keepLines w:val="0"/>
        <w:keepNext w:val="0"/>
        <w:pageBreakBefore w:val="0"/>
        <w:spacing w:line="240" w:lineRule="auto"/>
        <w:shd w:val="clear" w:color="auto" w:fill="ffffff"/>
        <w:widowControl/>
        <w:rPr>
          <w:szCs w:val="24"/>
          <w:highlight w:val="none"/>
          <w:shd w:val="clear" w:color="auto" w:fill="ffffff"/>
        </w:rPr>
      </w:pPr>
      <w:r>
        <w:rPr>
          <w:rFonts w:hint="eastAsia"/>
          <w:szCs w:val="24"/>
          <w:highlight w:val="none"/>
          <w:shd w:val="clear" w:color="auto" w:fill="ffffff"/>
        </w:rPr>
        <w:t xml:space="preserve">联 系 人：皮先生、王女士 </w:t>
      </w:r>
      <w:r/>
    </w:p>
    <w:p>
      <w:pPr>
        <w:ind w:firstLine="560"/>
        <w:keepLines w:val="0"/>
        <w:keepNext w:val="0"/>
        <w:pageBreakBefore w:val="0"/>
        <w:spacing w:line="240" w:lineRule="auto"/>
        <w:shd w:val="clear" w:color="auto" w:fill="ffffff"/>
        <w:widowControl/>
        <w:rPr>
          <w:rFonts w:hint="eastAsia"/>
          <w:szCs w:val="24"/>
          <w:highlight w:val="none"/>
          <w:shd w:val="clear" w:color="auto" w:fill="ffffff"/>
        </w:rPr>
      </w:pPr>
      <w:r>
        <w:rPr>
          <w:rFonts w:hint="eastAsia"/>
          <w:szCs w:val="24"/>
          <w:highlight w:val="none"/>
          <w:shd w:val="clear" w:color="auto" w:fill="ffffff"/>
        </w:rPr>
        <w:t xml:space="preserve">电    话：15851111976、13914632376 </w:t>
      </w:r>
      <w:r/>
    </w:p>
    <w:p>
      <w:pPr>
        <w:ind w:firstLine="560"/>
        <w:spacing w:line="360" w:lineRule="auto"/>
        <w:shd w:val="clear" w:color="auto" w:fill="ffffff"/>
        <w:widowControl/>
        <w:rPr>
          <w:rFonts w:hint="eastAsia"/>
          <w:szCs w:val="24"/>
          <w:highlight w:val="none"/>
          <w:shd w:val="clear" w:color="auto" w:fill="ffffff"/>
        </w:rPr>
      </w:pPr>
      <w:r>
        <w:rPr>
          <w:rFonts w:hint="eastAsia"/>
          <w:szCs w:val="24"/>
          <w:highlight w:val="none"/>
          <w:shd w:val="clear" w:color="auto" w:fill="ffffff"/>
        </w:rPr>
      </w:r>
      <w:r/>
    </w:p>
    <w:p>
      <w:pPr>
        <w:ind w:left="0" w:firstLine="5040"/>
        <w:spacing w:line="360" w:lineRule="auto"/>
        <w:shd w:val="clear" w:color="auto" w:fill="ffffff"/>
        <w:widowControl/>
        <w:rPr>
          <w:rFonts w:hint="eastAsia"/>
          <w:szCs w:val="24"/>
          <w:highlight w:val="none"/>
          <w:shd w:val="clear" w:color="auto" w:fill="ffffff"/>
          <w:lang w:val="en-US" w:eastAsia="zh-CN"/>
        </w:rPr>
      </w:pPr>
      <w:r>
        <w:rPr>
          <w:rFonts w:hint="eastAsia"/>
          <w:szCs w:val="24"/>
          <w:highlight w:val="none"/>
          <w:shd w:val="clear" w:color="auto" w:fill="ffffff"/>
          <w:lang w:val="en-US" w:eastAsia="zh-CN"/>
        </w:rPr>
      </w:r>
      <w:r/>
    </w:p>
    <w:p>
      <w:pPr>
        <w:ind w:left="0" w:firstLine="5040"/>
        <w:spacing w:line="360" w:lineRule="auto"/>
        <w:shd w:val="clear" w:color="auto" w:fill="ffffff"/>
        <w:widowControl/>
        <w:rPr>
          <w:rFonts w:hint="eastAsia"/>
          <w:szCs w:val="24"/>
          <w:highlight w:val="none"/>
          <w:shd w:val="clear" w:color="auto" w:fill="ffffff"/>
          <w:lang w:val="en-US" w:eastAsia="zh-CN"/>
        </w:rPr>
      </w:pPr>
      <w:r>
        <w:rPr>
          <w:rFonts w:hint="eastAsia"/>
          <w:szCs w:val="24"/>
          <w:highlight w:val="none"/>
          <w:shd w:val="clear" w:color="auto" w:fill="ffffff"/>
          <w:lang w:val="en-US" w:eastAsia="zh-CN"/>
        </w:rPr>
      </w:r>
      <w:r/>
    </w:p>
    <w:p>
      <w:pPr>
        <w:ind w:left="0" w:firstLine="5040"/>
        <w:spacing w:line="360" w:lineRule="auto"/>
        <w:shd w:val="clear" w:color="auto" w:fill="ffffff"/>
        <w:widowControl/>
        <w:rPr>
          <w:rFonts w:hint="eastAsia"/>
          <w:szCs w:val="24"/>
          <w:highlight w:val="none"/>
          <w:shd w:val="clear" w:color="auto" w:fill="ffffff"/>
          <w:lang w:val="en-US" w:eastAsia="zh-CN"/>
        </w:rPr>
      </w:pPr>
      <w:r>
        <w:rPr>
          <w:rFonts w:hint="eastAsia"/>
          <w:szCs w:val="24"/>
          <w:highlight w:val="none"/>
          <w:shd w:val="clear" w:color="auto" w:fill="ffffff"/>
          <w:lang w:val="en-US" w:eastAsia="zh-CN"/>
        </w:rPr>
        <w:t xml:space="preserve">滨海县公安局</w:t>
      </w:r>
      <w:r/>
    </w:p>
    <w:p>
      <w:pPr>
        <w:ind w:left="0" w:firstLine="4760"/>
        <w:spacing w:line="360" w:lineRule="auto"/>
        <w:shd w:val="clear" w:color="auto" w:fill="ffffff"/>
        <w:widowControl/>
        <w:rPr>
          <w:rFonts w:hint="default"/>
          <w:szCs w:val="24"/>
          <w:highlight w:val="none"/>
          <w:shd w:val="clear" w:color="auto" w:fill="ffffff"/>
          <w:lang w:val="en-US" w:eastAsia="zh-CN"/>
        </w:rPr>
      </w:pPr>
      <w:r>
        <w:rPr>
          <w:rFonts w:hint="eastAsia"/>
          <w:szCs w:val="24"/>
          <w:highlight w:val="none"/>
          <w:shd w:val="clear" w:color="auto" w:fill="ffffff"/>
          <w:lang w:val="en-US" w:eastAsia="zh-CN"/>
        </w:rPr>
        <w:t xml:space="preserve"> 2024年6月17日</w:t>
      </w:r>
      <w:r/>
    </w:p>
    <w:p>
      <w:pPr>
        <w:jc w:val="center"/>
        <w:spacing w:before="120" w:after="120" w:line="360" w:lineRule="auto"/>
        <w:rPr>
          <w:rFonts w:ascii="宋体" w:hAnsi="宋体" w:cs="宋体"/>
          <w:color w:val="000000"/>
          <w:szCs w:val="28"/>
        </w:rPr>
        <w:outlineLvl w:val="0"/>
      </w:pPr>
      <w:r>
        <w:rPr>
          <w:rFonts w:ascii="宋体" w:hAnsi="宋体" w:cs="宋体"/>
          <w:color w:val="000000"/>
          <w:szCs w:val="28"/>
        </w:rPr>
      </w:r>
      <w:r/>
    </w:p>
    <w:p>
      <w:pPr>
        <w:ind w:right="280"/>
        <w:jc w:val="left"/>
        <w:spacing w:before="120" w:after="120" w:line="360" w:lineRule="auto"/>
        <w:rPr>
          <w:rFonts w:ascii="宋体" w:hAnsi="宋体"/>
          <w:b/>
          <w:sz w:val="36"/>
          <w:szCs w:val="36"/>
        </w:rPr>
        <w:outlineLvl w:val="0"/>
      </w:pPr>
      <w:r/>
      <w:bookmarkStart w:id="34" w:name="_Toc59797303"/>
      <w:r>
        <w:rPr>
          <w:rFonts w:hint="eastAsia" w:ascii="宋体" w:hAnsi="宋体"/>
          <w:b/>
          <w:sz w:val="36"/>
          <w:szCs w:val="36"/>
        </w:rPr>
        <w:t xml:space="preserve">             第二部分  投标人须知</w:t>
      </w:r>
      <w:bookmarkEnd w:id="34"/>
      <w:r/>
      <w:r/>
    </w:p>
    <w:p>
      <w:pPr>
        <w:jc w:val="center"/>
        <w:keepLines w:val="0"/>
        <w:keepNext w:val="0"/>
        <w:pageBreakBefore w:val="0"/>
        <w:spacing w:before="181" w:after="181" w:line="240" w:lineRule="auto"/>
        <w:widowControl w:val="off"/>
        <w:rPr>
          <w:rFonts w:ascii="宋体" w:hAnsi="宋体"/>
          <w:b/>
          <w:szCs w:val="28"/>
        </w:rPr>
        <w:outlineLvl w:val="1"/>
      </w:pPr>
      <w:r>
        <w:rPr>
          <w:rFonts w:hint="eastAsia" w:ascii="宋体" w:hAnsi="宋体"/>
          <w:b/>
          <w:szCs w:val="28"/>
        </w:rPr>
        <w:t xml:space="preserve">一、总 则</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1.适用法律</w:t>
      </w:r>
      <w:r/>
    </w:p>
    <w:p>
      <w:pPr>
        <w:ind w:firstLine="560"/>
        <w:rPr>
          <w:rFonts w:hint="eastAsia" w:ascii="宋体" w:hAnsi="宋体"/>
          <w:bCs/>
          <w:szCs w:val="28"/>
        </w:rPr>
      </w:pPr>
      <w:r>
        <w:rPr>
          <w:rFonts w:hint="eastAsia" w:ascii="宋体" w:hAnsi="宋体"/>
          <w:bCs/>
          <w:szCs w:val="28"/>
        </w:rPr>
        <w:t xml:space="preserve">《中华人民共和国政府采购法》、《中华人民共和国政府采购法实施条例》、《政府采购货物和服务招标投标管理办法》等有关法律、规章和规定等。</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 定义</w:t>
      </w:r>
      <w:r/>
    </w:p>
    <w:p>
      <w:pPr>
        <w:ind w:firstLine="560"/>
        <w:rPr>
          <w:rFonts w:hint="eastAsia" w:ascii="宋体" w:hAnsi="宋体"/>
          <w:bCs/>
          <w:szCs w:val="28"/>
        </w:rPr>
      </w:pPr>
      <w:r>
        <w:rPr>
          <w:rFonts w:hint="eastAsia" w:ascii="宋体" w:hAnsi="宋体"/>
          <w:bCs/>
          <w:szCs w:val="28"/>
        </w:rPr>
        <w:t xml:space="preserve">2.1 “投标人、供应商”是指参加投标竞争，并符合招标文件规定资格条件的法人、其他组织或者自然人。</w:t>
      </w:r>
      <w:r/>
    </w:p>
    <w:p>
      <w:pPr>
        <w:ind w:firstLine="560"/>
        <w:rPr>
          <w:rFonts w:hint="eastAsia" w:ascii="宋体" w:hAnsi="宋体"/>
          <w:bCs/>
          <w:szCs w:val="28"/>
        </w:rPr>
      </w:pPr>
      <w:r>
        <w:rPr>
          <w:rFonts w:hint="eastAsia" w:ascii="宋体" w:hAnsi="宋体"/>
          <w:bCs/>
          <w:szCs w:val="28"/>
        </w:rPr>
        <w:t xml:space="preserve">2.2 “产品”指本招标文件中所述产品及相关服务。</w:t>
      </w:r>
      <w:r/>
    </w:p>
    <w:p>
      <w:pPr>
        <w:ind w:firstLine="560"/>
        <w:rPr>
          <w:rFonts w:ascii="宋体" w:hAnsi="宋体"/>
          <w:szCs w:val="28"/>
        </w:rPr>
      </w:pPr>
      <w:r>
        <w:rPr>
          <w:rFonts w:hint="eastAsia" w:ascii="宋体" w:hAnsi="宋体"/>
          <w:bCs/>
          <w:szCs w:val="28"/>
        </w:rPr>
        <w:t xml:space="preserve">2.3 “用户或使用单位或采购人”是指使用货物、服务的单位</w:t>
      </w:r>
      <w:r>
        <w:rPr>
          <w:rFonts w:hint="eastAsia" w:ascii="宋体" w:hAnsi="宋体"/>
          <w:szCs w:val="28"/>
        </w:rPr>
        <w:t xml:space="preserve">。</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3.采购项目需满足的政府采购政策目标和具体支持对象</w:t>
      </w:r>
      <w:r/>
    </w:p>
    <w:p>
      <w:pPr>
        <w:ind w:firstLine="560"/>
        <w:rPr>
          <w:rFonts w:hint="eastAsia" w:ascii="宋体" w:hAnsi="宋体"/>
          <w:bCs/>
          <w:szCs w:val="28"/>
        </w:rPr>
      </w:pPr>
      <w:r>
        <w:rPr>
          <w:rFonts w:hint="eastAsia" w:ascii="宋体" w:hAnsi="宋体"/>
          <w:bCs/>
          <w:szCs w:val="28"/>
        </w:rPr>
        <w:t xml:space="preserve">3.1 政府采购促进中小企业发展，参加投标企业提供《中小企业声明函》（“中小企业划型标准”详见《关于印发中小企业划型标准规定的通知》(工信部联企业〔2011〕300号) 、</w:t>
      </w:r>
      <w:r>
        <w:rPr>
          <w:rFonts w:hint="eastAsia" w:ascii="宋体" w:hAnsi="宋体"/>
          <w:bCs/>
          <w:szCs w:val="28"/>
        </w:rPr>
        <w:fldChar w:fldCharType="begin"/>
      </w:r>
      <w:r>
        <w:rPr>
          <w:rFonts w:hint="eastAsia" w:ascii="宋体" w:hAnsi="宋体"/>
          <w:bCs/>
          <w:szCs w:val="28"/>
        </w:rPr>
        <w:instrText xml:space="preserve"> HYPERLINK "http://www.stats.gov.cn/tjgz/tzgb/201801/t20180103_1569254.html" </w:instrText>
      </w:r>
      <w:r>
        <w:rPr>
          <w:rFonts w:hint="eastAsia" w:ascii="宋体" w:hAnsi="宋体"/>
          <w:bCs/>
          <w:szCs w:val="28"/>
        </w:rPr>
        <w:fldChar w:fldCharType="separate"/>
      </w:r>
      <w:r>
        <w:rPr>
          <w:rFonts w:hint="eastAsia" w:ascii="宋体" w:hAnsi="宋体"/>
          <w:bCs/>
          <w:szCs w:val="28"/>
        </w:rPr>
        <w:t xml:space="preserve">国家统计局关于印发《统计上大中小微型企业划分办法（2017）》的通知(国统字〔2017〕213号)</w:t>
      </w:r>
      <w:r>
        <w:rPr>
          <w:rFonts w:hint="eastAsia" w:ascii="宋体" w:hAnsi="宋体"/>
          <w:bCs/>
          <w:szCs w:val="28"/>
        </w:rPr>
        <w:fldChar w:fldCharType="end"/>
      </w:r>
      <w:r>
        <w:rPr>
          <w:rFonts w:hint="eastAsia" w:ascii="宋体" w:hAnsi="宋体"/>
          <w:bCs/>
          <w:szCs w:val="28"/>
        </w:rPr>
        <w:t xml:space="preserve">。</w:t>
      </w:r>
      <w:r/>
    </w:p>
    <w:p>
      <w:pPr>
        <w:ind w:firstLine="560"/>
        <w:rPr>
          <w:rFonts w:hint="eastAsia" w:ascii="宋体" w:hAnsi="宋体"/>
          <w:bCs/>
          <w:szCs w:val="28"/>
        </w:rPr>
      </w:pPr>
      <w:r>
        <w:rPr>
          <w:rFonts w:hint="eastAsia" w:ascii="宋体" w:hAnsi="宋体"/>
          <w:bCs/>
          <w:szCs w:val="28"/>
        </w:rPr>
        <w:t xml:space="preserve">3.2 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560"/>
        <w:rPr>
          <w:rFonts w:hint="eastAsia" w:ascii="宋体" w:hAnsi="宋体"/>
          <w:bCs/>
          <w:szCs w:val="28"/>
        </w:rPr>
      </w:pPr>
      <w:r>
        <w:rPr>
          <w:rFonts w:hint="eastAsia" w:ascii="宋体" w:hAnsi="宋体"/>
          <w:bCs/>
          <w:szCs w:val="28"/>
        </w:rPr>
        <w:t xml:space="preserve">3.3 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560"/>
        <w:rPr>
          <w:rFonts w:hint="eastAsia" w:ascii="宋体" w:hAnsi="宋体"/>
          <w:bCs/>
          <w:szCs w:val="28"/>
        </w:rPr>
      </w:pPr>
      <w:r>
        <w:rPr>
          <w:rFonts w:hint="eastAsia" w:ascii="宋体" w:hAnsi="宋体"/>
          <w:bCs/>
          <w:szCs w:val="28"/>
        </w:rPr>
        <w:t xml:space="preserve">3.4 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560"/>
        <w:rPr>
          <w:rFonts w:hint="eastAsia" w:ascii="宋体" w:hAnsi="宋体"/>
          <w:bCs/>
          <w:szCs w:val="28"/>
        </w:rPr>
      </w:pPr>
      <w:r>
        <w:rPr>
          <w:rFonts w:hint="eastAsia" w:ascii="宋体" w:hAnsi="宋体"/>
          <w:bCs/>
          <w:szCs w:val="28"/>
        </w:rPr>
        <w:t xml:space="preserve">3.5 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560"/>
        <w:rPr>
          <w:rFonts w:hint="eastAsia" w:ascii="宋体" w:hAnsi="宋体"/>
          <w:bCs/>
          <w:szCs w:val="28"/>
        </w:rPr>
      </w:pPr>
      <w:r>
        <w:rPr>
          <w:rFonts w:hint="eastAsia" w:ascii="宋体" w:hAnsi="宋体"/>
          <w:bCs/>
          <w:szCs w:val="28"/>
        </w:rPr>
        <w:t xml:space="preserve">3.6 政府采购落实“政采贷”政策，依据《关于深入推进政府采购线上合同信用融资工作的通知》（苏财购﹝2021﹞82号）。</w:t>
      </w:r>
      <w:r/>
    </w:p>
    <w:p>
      <w:pPr>
        <w:ind w:firstLine="560"/>
        <w:rPr>
          <w:rFonts w:hint="eastAsia" w:ascii="宋体" w:hAnsi="宋体"/>
          <w:bCs/>
          <w:szCs w:val="28"/>
        </w:rPr>
      </w:pPr>
      <w:r>
        <w:rPr>
          <w:rFonts w:hint="eastAsia" w:ascii="宋体" w:hAnsi="宋体"/>
          <w:bCs/>
          <w:szCs w:val="28"/>
        </w:rPr>
        <w:t xml:space="preserve">3.7 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560"/>
        <w:rPr>
          <w:rFonts w:hint="eastAsia" w:ascii="宋体" w:hAnsi="宋体"/>
          <w:bCs/>
          <w:szCs w:val="28"/>
        </w:rPr>
      </w:pPr>
      <w:r>
        <w:rPr>
          <w:rFonts w:hint="eastAsia" w:ascii="宋体" w:hAnsi="宋体"/>
          <w:bCs/>
          <w:szCs w:val="28"/>
        </w:rPr>
        <w:t xml:space="preserve">3.8 政府采购落实（苏财购﹝2022﹞51号）。</w:t>
      </w:r>
      <w:r/>
    </w:p>
    <w:p>
      <w:pPr>
        <w:ind w:firstLine="560"/>
        <w:rPr>
          <w:rFonts w:ascii="宋体" w:hAnsi="宋体"/>
          <w:szCs w:val="28"/>
        </w:rPr>
      </w:pPr>
      <w:r>
        <w:rPr>
          <w:rFonts w:hint="eastAsia" w:ascii="宋体" w:hAnsi="宋体"/>
          <w:bCs/>
          <w:szCs w:val="28"/>
        </w:rPr>
        <w:t xml:space="preserve">3.9 政府采购</w:t>
      </w:r>
      <w:r>
        <w:rPr>
          <w:rFonts w:hint="eastAsia" w:ascii="宋体" w:hAnsi="宋体"/>
          <w:szCs w:val="28"/>
        </w:rPr>
        <w:t xml:space="preserve">落实《关于进一步优化政府采购营商环境的通知》。</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4.招标文件的约束力</w:t>
      </w:r>
      <w:r/>
    </w:p>
    <w:p>
      <w:pPr>
        <w:ind w:firstLine="560"/>
        <w:spacing w:after="120"/>
        <w:rPr>
          <w:rFonts w:ascii="宋体" w:hAnsi="宋体"/>
          <w:position w:val="2"/>
          <w:szCs w:val="28"/>
        </w:rPr>
      </w:pPr>
      <w:r>
        <w:rPr>
          <w:rFonts w:hint="eastAsia" w:ascii="宋体" w:hAnsi="宋体"/>
          <w:bCs/>
          <w:szCs w:val="28"/>
        </w:rPr>
        <w:t xml:space="preserve">投标人一旦下载或领取了本招标文件并决定参加投标，即被认为接受了本招标文件的规定和约束，并视为自招标公告发布之日起已经知道或应当知道自身权益是否受到了损害</w:t>
      </w:r>
      <w:r>
        <w:rPr>
          <w:rFonts w:hint="eastAsia" w:ascii="宋体" w:hAnsi="宋体"/>
          <w:position w:val="2"/>
          <w:szCs w:val="28"/>
        </w:rPr>
        <w:t xml:space="preserve">。</w:t>
      </w:r>
      <w:r/>
    </w:p>
    <w:p>
      <w:pPr>
        <w:jc w:val="center"/>
        <w:keepLines w:val="0"/>
        <w:keepNext w:val="0"/>
        <w:pageBreakBefore w:val="0"/>
        <w:spacing w:before="181" w:after="181" w:line="240" w:lineRule="auto"/>
        <w:widowControl w:val="off"/>
        <w:rPr>
          <w:rFonts w:hint="eastAsia" w:ascii="宋体" w:hAnsi="宋体"/>
          <w:b/>
          <w:szCs w:val="28"/>
        </w:rPr>
        <w:outlineLvl w:val="1"/>
      </w:pPr>
      <w:r>
        <w:rPr>
          <w:rFonts w:hint="eastAsia" w:ascii="宋体" w:hAnsi="宋体"/>
          <w:b/>
          <w:szCs w:val="28"/>
        </w:rPr>
        <w:t xml:space="preserve">二、招标文件</w:t>
      </w:r>
      <w:bookmarkStart w:id="35" w:name="_Toc16938526"/>
      <w:r/>
      <w:bookmarkStart w:id="36" w:name="_Toc513029210"/>
      <w:r/>
      <w:bookmarkStart w:id="37" w:name="_Toc20823282"/>
      <w:r/>
      <w:bookmarkEnd w:id="35"/>
      <w:r/>
      <w:bookmarkEnd w:id="36"/>
      <w:r/>
      <w:bookmarkEnd w:id="37"/>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5.招标文件构成</w:t>
      </w:r>
      <w:r/>
    </w:p>
    <w:p>
      <w:pPr>
        <w:ind w:firstLine="560"/>
        <w:rPr>
          <w:rFonts w:hint="eastAsia" w:ascii="宋体" w:hAnsi="宋体"/>
          <w:bCs/>
          <w:szCs w:val="28"/>
        </w:rPr>
      </w:pPr>
      <w:r>
        <w:rPr>
          <w:rFonts w:hint="eastAsia" w:ascii="宋体" w:hAnsi="宋体"/>
          <w:bCs/>
          <w:szCs w:val="28"/>
        </w:rPr>
        <w:t xml:space="preserve">5.1 招标文件有以下部分组成：</w:t>
      </w:r>
      <w:r/>
    </w:p>
    <w:p>
      <w:pPr>
        <w:ind w:firstLine="560"/>
        <w:rPr>
          <w:rFonts w:hint="eastAsia" w:ascii="宋体" w:hAnsi="宋体"/>
          <w:bCs/>
          <w:szCs w:val="28"/>
        </w:rPr>
      </w:pPr>
      <w:r>
        <w:rPr>
          <w:rFonts w:hint="eastAsia" w:ascii="宋体" w:hAnsi="宋体"/>
          <w:bCs/>
          <w:szCs w:val="28"/>
        </w:rPr>
        <w:t xml:space="preserve">（1）招标公告（2）投标人须知（3）项目需求（4）评标标准（5）投标文件的组成及格式（6）主要合同条款及格式</w:t>
      </w:r>
      <w:r/>
    </w:p>
    <w:p>
      <w:pPr>
        <w:ind w:firstLine="560"/>
        <w:rPr>
          <w:rFonts w:hint="eastAsia" w:ascii="宋体" w:hAnsi="宋体"/>
          <w:bCs/>
          <w:szCs w:val="28"/>
        </w:rPr>
      </w:pPr>
      <w:r>
        <w:rPr>
          <w:rFonts w:hint="eastAsia" w:ascii="宋体" w:hAnsi="宋体"/>
          <w:bCs/>
          <w:szCs w:val="28"/>
        </w:rPr>
        <w:t xml:space="preserve">请投标人仔细检查招标文件是否齐全，如有缺漏请立即与采购代理机构联系解决。</w:t>
      </w:r>
      <w:r/>
    </w:p>
    <w:p>
      <w:pPr>
        <w:ind w:firstLine="560"/>
        <w:rPr>
          <w:rFonts w:hint="eastAsia" w:ascii="宋体" w:hAnsi="宋体"/>
          <w:bCs/>
          <w:szCs w:val="28"/>
        </w:rPr>
      </w:pPr>
      <w:r>
        <w:rPr>
          <w:rFonts w:hint="eastAsia" w:ascii="宋体" w:hAnsi="宋体"/>
          <w:bCs/>
          <w:szCs w:val="28"/>
        </w:rPr>
        <w:t xml:space="preserve">5.2 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6.招标文件澄清与修改</w:t>
      </w:r>
      <w:r/>
    </w:p>
    <w:p>
      <w:pPr>
        <w:ind w:firstLine="560"/>
        <w:rPr>
          <w:rFonts w:hint="eastAsia" w:ascii="宋体" w:hAnsi="宋体"/>
          <w:bCs/>
          <w:szCs w:val="28"/>
        </w:rPr>
      </w:pPr>
      <w:r>
        <w:rPr>
          <w:rFonts w:hint="eastAsia" w:ascii="宋体" w:hAnsi="宋体"/>
          <w:bCs/>
          <w:szCs w:val="28"/>
        </w:rPr>
        <w:t xml:space="preserve">6.1采购代理机构对已发出的招标文件可以进行澄清或者修改，澄清或者修改的内容影响投标文件的编制的，将在招标文件要求提交投标文件截止时间十五日前，在原招标公告媒体发布更正公告，该澄清或者修改的内容为招标文件的组成部分。</w:t>
      </w:r>
      <w:r/>
    </w:p>
    <w:p>
      <w:pPr>
        <w:ind w:firstLine="560"/>
        <w:rPr>
          <w:rFonts w:hint="eastAsia" w:ascii="宋体" w:hAnsi="宋体"/>
          <w:bCs/>
          <w:szCs w:val="28"/>
        </w:rPr>
      </w:pPr>
      <w:r>
        <w:rPr>
          <w:rFonts w:hint="eastAsia" w:ascii="宋体" w:hAnsi="宋体"/>
          <w:bCs/>
          <w:szCs w:val="28"/>
        </w:rPr>
        <w:t xml:space="preserve">6.2采购代理机构在招标文件要求提交投标文件截止时间前，有权决定延长投标截止时间和开标时间，并在原招标公告媒体上发布变更公告。</w:t>
      </w:r>
      <w:r/>
    </w:p>
    <w:p>
      <w:pPr>
        <w:ind w:firstLine="560"/>
        <w:rPr>
          <w:rFonts w:ascii="宋体" w:hAnsi="宋体"/>
          <w:szCs w:val="28"/>
        </w:rPr>
      </w:pPr>
      <w:r>
        <w:rPr>
          <w:rFonts w:hint="eastAsia" w:ascii="宋体" w:hAnsi="宋体"/>
          <w:bCs/>
          <w:szCs w:val="28"/>
        </w:rPr>
        <w:t xml:space="preserve">6.3投标人应在投标截止时间前关注原招标公告媒体上有关本招标项目有无变更公</w:t>
      </w:r>
      <w:r>
        <w:rPr>
          <w:rFonts w:hint="eastAsia" w:ascii="宋体" w:hAnsi="宋体"/>
          <w:szCs w:val="28"/>
        </w:rPr>
        <w:t xml:space="preserve">告。</w:t>
      </w:r>
      <w:r/>
    </w:p>
    <w:p>
      <w:pPr>
        <w:jc w:val="center"/>
        <w:keepLines w:val="0"/>
        <w:keepNext w:val="0"/>
        <w:pageBreakBefore w:val="0"/>
        <w:spacing w:before="181" w:after="181" w:line="240" w:lineRule="auto"/>
        <w:widowControl w:val="off"/>
        <w:rPr>
          <w:rFonts w:hint="eastAsia" w:ascii="宋体" w:hAnsi="宋体"/>
          <w:b/>
          <w:szCs w:val="28"/>
        </w:rPr>
        <w:outlineLvl w:val="1"/>
      </w:pPr>
      <w:r>
        <w:rPr>
          <w:rFonts w:hint="eastAsia" w:ascii="宋体" w:hAnsi="宋体"/>
          <w:b/>
          <w:szCs w:val="28"/>
        </w:rPr>
        <w:t xml:space="preserve">三、投标文件编制</w:t>
      </w:r>
      <w:bookmarkStart w:id="38" w:name="_Toc462564073"/>
      <w:r/>
      <w:bookmarkStart w:id="39" w:name="_Toc20823286"/>
      <w:r/>
      <w:bookmarkStart w:id="40" w:name="_Toc16938530"/>
      <w:r/>
      <w:bookmarkStart w:id="41" w:name="_Toc513029214"/>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7.投标文件的语言、计量单位</w:t>
      </w:r>
      <w:bookmarkEnd w:id="38"/>
      <w:r/>
      <w:bookmarkEnd w:id="39"/>
      <w:r/>
      <w:bookmarkEnd w:id="40"/>
      <w:r/>
      <w:bookmarkEnd w:id="41"/>
      <w:r>
        <w:rPr>
          <w:rFonts w:hint="eastAsia" w:ascii="宋体" w:hAnsi="宋体"/>
          <w:b/>
          <w:szCs w:val="28"/>
        </w:rPr>
        <w:t xml:space="preserve">及货币</w:t>
      </w:r>
      <w:r/>
    </w:p>
    <w:p>
      <w:pPr>
        <w:ind w:firstLine="560"/>
        <w:rPr>
          <w:rFonts w:hint="eastAsia" w:ascii="宋体" w:hAnsi="宋体"/>
          <w:bCs/>
          <w:szCs w:val="28"/>
        </w:rPr>
      </w:pPr>
      <w:r>
        <w:rPr>
          <w:rFonts w:hint="eastAsia" w:ascii="宋体" w:hAnsi="宋体"/>
          <w:bCs/>
          <w:szCs w:val="28"/>
        </w:rPr>
        <w:t xml:space="preserve">7.1投标人提交的投标文件以及投标人与招标代理公司就有关投标的所有来往通知、函件和文件均应使用简体中文。</w:t>
      </w:r>
      <w:r/>
    </w:p>
    <w:p>
      <w:pPr>
        <w:ind w:firstLine="560"/>
        <w:rPr>
          <w:rFonts w:hint="eastAsia" w:ascii="宋体" w:hAnsi="宋体"/>
          <w:bCs/>
          <w:szCs w:val="28"/>
        </w:rPr>
      </w:pPr>
      <w:r>
        <w:rPr>
          <w:rFonts w:hint="eastAsia" w:ascii="宋体" w:hAnsi="宋体"/>
          <w:bCs/>
          <w:szCs w:val="28"/>
        </w:rPr>
        <w:t xml:space="preserve">7.2投标人所使用的计量单位应为国家法定计量单位。</w:t>
      </w:r>
      <w:r/>
    </w:p>
    <w:p>
      <w:pPr>
        <w:ind w:firstLine="560"/>
        <w:rPr>
          <w:rFonts w:hint="eastAsia" w:ascii="宋体" w:hAnsi="宋体"/>
          <w:bCs/>
          <w:szCs w:val="28"/>
        </w:rPr>
      </w:pPr>
      <w:r>
        <w:rPr>
          <w:rFonts w:hint="eastAsia" w:ascii="宋体" w:hAnsi="宋体"/>
          <w:bCs/>
          <w:szCs w:val="28"/>
        </w:rPr>
        <w:t xml:space="preserve">7.3投标人应用人民币报价。</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8.投标文件的构成   </w:t>
      </w:r>
      <w:r/>
    </w:p>
    <w:p>
      <w:pPr>
        <w:ind w:firstLine="560"/>
        <w:rPr>
          <w:rFonts w:hint="eastAsia" w:ascii="宋体" w:hAnsi="宋体"/>
          <w:bCs/>
          <w:szCs w:val="28"/>
          <w:highlight w:val="none"/>
        </w:rPr>
      </w:pPr>
      <w:r>
        <w:rPr>
          <w:rFonts w:hint="eastAsia" w:ascii="宋体" w:hAnsi="宋体"/>
          <w:bCs/>
          <w:szCs w:val="28"/>
          <w:highlight w:val="none"/>
        </w:rPr>
        <w:t xml:space="preserve">投标文件至少应提交以下投标材料：</w:t>
      </w:r>
      <w:r/>
    </w:p>
    <w:p>
      <w:pPr>
        <w:ind w:firstLine="560"/>
        <w:rPr>
          <w:rFonts w:hint="eastAsia" w:ascii="宋体" w:hAnsi="宋体"/>
          <w:bCs/>
          <w:szCs w:val="28"/>
        </w:rPr>
      </w:pPr>
      <w:r>
        <w:rPr>
          <w:rFonts w:hint="eastAsia" w:ascii="宋体" w:hAnsi="宋体"/>
          <w:bCs/>
          <w:szCs w:val="28"/>
          <w:highlight w:val="none"/>
        </w:rPr>
        <w:t xml:space="preserve">投标函、法定代表人授权书、投标人资格声明、技术参数</w:t>
      </w:r>
      <w:r>
        <w:rPr>
          <w:rFonts w:hint="eastAsia" w:ascii="宋体" w:hAnsi="宋体"/>
          <w:bCs/>
          <w:szCs w:val="28"/>
        </w:rPr>
        <w:t xml:space="preserve">响应及偏离表、开标一览表、联合体协议（如有）、中小企业声明函（如有）、盐城市政府采购事前信用承诺书、投标产品品牌型号及分项报价表、资信证明文件（详见11条）、综合评分法要求提供供评委打分材料（详见综合评分表中）。</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9.投标文件的编制</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9.1投标文件所有材料中有盖章要求的须加盖相应单位公章（印），有签字要求的须由相应人员签字。</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9.2投标文件所有材料须制作成PDF格式文档。</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9.3评标时，评标委员会只评审投标文件中PDF格式文档的内容，其它格式文档的内容不予认可。</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9.4PDF格式文档内容须清晰可辨，如因内容不清晰导致评标委员会无法确定内容的，评标委员会将做出不利于投标人的判断。</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9.5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r/>
    </w:p>
    <w:p>
      <w:pPr>
        <w:pStyle w:val="1167"/>
        <w:ind w:firstLine="560"/>
        <w:keepLines w:val="0"/>
        <w:keepNext w:val="0"/>
        <w:pageBreakBefore w:val="0"/>
        <w:spacing w:before="0" w:after="181" w:line="240" w:lineRule="auto"/>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bCs/>
          <w:sz w:val="28"/>
          <w:szCs w:val="28"/>
          <w:lang w:val="en-US" w:eastAsia="zh-CN" w:bidi="ar-SA"/>
        </w:rPr>
        <w:t xml:space="preserve">9.6中标单位在领取中标通知书时打印纸质投标文件正本1份、副本2份送至江苏雨田工程咨询集团有限公司。提供的投标文件须与中标供应商提交的投标文件PDF文档一致</w:t>
      </w:r>
      <w:r>
        <w:rPr>
          <w:rFonts w:hint="eastAsia" w:ascii="宋体" w:hAnsi="宋体" w:eastAsia="宋体" w:cs="Times New Roman"/>
          <w:sz w:val="28"/>
          <w:szCs w:val="28"/>
          <w:highlight w:val="none"/>
          <w:lang w:val="en-US" w:eastAsia="zh-CN" w:bidi="ar-SA"/>
        </w:rPr>
        <w:t xml:space="preserve">。</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10.投标报价</w:t>
      </w:r>
      <w:r/>
    </w:p>
    <w:p>
      <w:pPr>
        <w:ind w:firstLine="560"/>
        <w:rPr>
          <w:rFonts w:hint="eastAsia" w:ascii="宋体" w:hAnsi="宋体"/>
          <w:bCs/>
          <w:szCs w:val="28"/>
        </w:rPr>
      </w:pPr>
      <w:r>
        <w:rPr>
          <w:rFonts w:hint="eastAsia" w:ascii="宋体" w:hAnsi="宋体"/>
          <w:bCs/>
          <w:szCs w:val="28"/>
        </w:rPr>
        <w:t xml:space="preserve">10.1招标报价采用总承包方式，投标人的报价应包括所投产品费用、包装费、运输费、装卸费、上下力资、电子化标签费、验收费、检测费、售前和售后服务费、</w:t>
      </w:r>
      <w:r>
        <w:rPr>
          <w:rFonts w:hint="eastAsia" w:ascii="宋体" w:hAnsi="宋体"/>
          <w:bCs/>
          <w:szCs w:val="28"/>
          <w:lang w:val="en-US" w:eastAsia="zh-CN"/>
        </w:rPr>
        <w:t xml:space="preserve">招标</w:t>
      </w:r>
      <w:r>
        <w:rPr>
          <w:rFonts w:hint="eastAsia" w:ascii="宋体" w:hAnsi="宋体"/>
          <w:bCs/>
          <w:szCs w:val="28"/>
        </w:rPr>
        <w:t xml:space="preserve">代理服务费、投标费用、税金、各类风险费、管理费、利润、保险费及其他有关的为完成本项目发生的所有费用，招标文件中另有规定的除外。</w:t>
      </w:r>
      <w:r/>
    </w:p>
    <w:p>
      <w:pPr>
        <w:ind w:firstLine="560"/>
      </w:pPr>
      <w:r>
        <w:rPr>
          <w:rFonts w:hint="eastAsia" w:ascii="宋体" w:hAnsi="宋体"/>
          <w:bCs/>
          <w:szCs w:val="28"/>
        </w:rPr>
        <w:t xml:space="preserve">10.2投标人的任何错漏、优惠、竞争性报价不得作为减轻责任、减少服务、增加收费、降低质量的理由</w:t>
      </w:r>
      <w:r>
        <w:rPr>
          <w:rFonts w:hint="eastAsia" w:ascii="宋体" w:hAnsi="宋体"/>
          <w:szCs w:val="28"/>
        </w:rPr>
        <w:t xml:space="preserve">。</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11.投标人的资格证明文件</w:t>
      </w:r>
      <w:r/>
    </w:p>
    <w:p>
      <w:pPr>
        <w:ind w:firstLine="560"/>
        <w:rPr>
          <w:rFonts w:hint="eastAsia" w:ascii="宋体" w:hAnsi="宋体"/>
          <w:bCs/>
          <w:szCs w:val="28"/>
        </w:rPr>
      </w:pPr>
      <w:r>
        <w:rPr>
          <w:rFonts w:hint="eastAsia" w:ascii="宋体" w:hAnsi="宋体"/>
          <w:bCs/>
          <w:szCs w:val="28"/>
        </w:rPr>
        <w:t xml:space="preserve">投标人必须按照招标文件的要求提供有关资格证明文件材料，作为投标文件的一部分，以证明其有资格进行投标和有能力履行合同。投标人应当提交的资格证明文件。主要包括：</w:t>
      </w:r>
      <w:r/>
    </w:p>
    <w:p>
      <w:pPr>
        <w:ind w:firstLine="560"/>
        <w:rPr>
          <w:rFonts w:hint="eastAsia" w:ascii="宋体" w:hAnsi="宋体"/>
          <w:bCs/>
          <w:szCs w:val="28"/>
          <w:lang w:val="en-US" w:eastAsia="zh-CN"/>
        </w:rPr>
      </w:pPr>
      <w:r>
        <w:rPr>
          <w:rFonts w:hint="eastAsia" w:ascii="宋体" w:hAnsi="宋体"/>
          <w:bCs/>
          <w:szCs w:val="28"/>
          <w:lang w:val="en-US" w:eastAsia="zh-CN"/>
        </w:rPr>
        <w:t xml:space="preserve">①法人或者其他组织的营业执照等证明文件,自然人的身份证明；</w:t>
      </w:r>
      <w:r/>
    </w:p>
    <w:p>
      <w:pPr>
        <w:ind w:firstLine="560"/>
        <w:rPr>
          <w:rFonts w:hint="eastAsia" w:ascii="宋体" w:hAnsi="宋体"/>
          <w:bCs/>
          <w:szCs w:val="28"/>
          <w:lang w:val="en-US" w:eastAsia="zh-CN"/>
        </w:rPr>
      </w:pPr>
      <w:r>
        <w:rPr>
          <w:rFonts w:hint="eastAsia" w:ascii="宋体" w:hAnsi="宋体"/>
          <w:bCs/>
          <w:szCs w:val="28"/>
          <w:lang w:val="en-US" w:eastAsia="zh-CN"/>
        </w:rPr>
        <w:t xml:space="preserve">②上一年度的财务状况报表（成立不满一年无需提供）；</w:t>
      </w:r>
      <w:r/>
    </w:p>
    <w:p>
      <w:pPr>
        <w:ind w:firstLine="560"/>
        <w:rPr>
          <w:rFonts w:hint="eastAsia" w:ascii="宋体" w:hAnsi="宋体"/>
          <w:bCs/>
          <w:szCs w:val="28"/>
        </w:rPr>
      </w:pPr>
      <w:r>
        <w:rPr>
          <w:rFonts w:hint="eastAsia" w:ascii="宋体" w:hAnsi="宋体"/>
          <w:bCs/>
          <w:szCs w:val="28"/>
          <w:lang w:val="en-US" w:eastAsia="zh-CN"/>
        </w:rPr>
        <w:t xml:space="preserve">③</w:t>
      </w:r>
      <w:r>
        <w:rPr>
          <w:rFonts w:hint="eastAsia" w:ascii="宋体" w:hAnsi="宋体"/>
          <w:bCs/>
          <w:szCs w:val="28"/>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560"/>
        <w:rPr>
          <w:rFonts w:hint="eastAsia" w:ascii="宋体" w:hAnsi="宋体"/>
          <w:bCs/>
          <w:szCs w:val="28"/>
          <w:lang w:val="en-US" w:eastAsia="zh-CN"/>
        </w:rPr>
      </w:pPr>
      <w:r>
        <w:rPr>
          <w:rFonts w:hint="eastAsia" w:ascii="宋体" w:hAnsi="宋体"/>
          <w:bCs/>
          <w:szCs w:val="28"/>
          <w:lang w:val="en-US" w:eastAsia="zh-CN"/>
        </w:rPr>
        <w:t xml:space="preserve">④具备履行合同所必需的设备和专业技术能力的书面声明（格式附后）；</w:t>
      </w:r>
      <w:r/>
    </w:p>
    <w:p>
      <w:pPr>
        <w:ind w:firstLine="560"/>
        <w:rPr>
          <w:rFonts w:hint="eastAsia" w:ascii="宋体" w:hAnsi="宋体"/>
          <w:bCs/>
          <w:szCs w:val="28"/>
          <w:lang w:val="en-US" w:eastAsia="zh-CN"/>
        </w:rPr>
      </w:pPr>
      <w:r>
        <w:rPr>
          <w:rFonts w:hint="eastAsia" w:ascii="宋体" w:hAnsi="宋体"/>
          <w:bCs/>
          <w:szCs w:val="28"/>
          <w:lang w:val="en-US" w:eastAsia="zh-CN"/>
        </w:rPr>
        <w:t xml:space="preserve">⑤参加政府采购活动前3年内在经营活动中没有重大违法记录的书面声明（格式附后）；</w:t>
      </w:r>
      <w:r/>
    </w:p>
    <w:p>
      <w:pPr>
        <w:ind w:firstLine="560"/>
        <w:rPr>
          <w:rFonts w:hint="eastAsia" w:ascii="宋体" w:hAnsi="宋体"/>
          <w:bCs/>
          <w:szCs w:val="28"/>
          <w:lang w:val="en-US" w:eastAsia="zh-CN"/>
        </w:rPr>
      </w:pPr>
      <w:r>
        <w:rPr>
          <w:rFonts w:hint="eastAsia" w:ascii="宋体" w:hAnsi="宋体"/>
          <w:bCs/>
          <w:szCs w:val="28"/>
          <w:lang w:val="en-US" w:eastAsia="zh-CN"/>
        </w:rPr>
        <w:t xml:space="preserve">⑥投标人须具有建设行政主管部门核发的电子与智能化工程专业承包壹级资质和具有建设行政主管部门核发的建筑装饰装修工程专业承包贰级及以上资质，且取得安全生产许可证。</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12. 投标费用</w:t>
      </w:r>
      <w:r/>
    </w:p>
    <w:p>
      <w:pPr>
        <w:ind w:firstLine="560"/>
        <w:rPr>
          <w:rFonts w:hint="eastAsia" w:ascii="宋体" w:hAnsi="宋体"/>
          <w:bCs/>
          <w:szCs w:val="28"/>
        </w:rPr>
      </w:pPr>
      <w:r>
        <w:rPr>
          <w:rFonts w:hint="eastAsia" w:ascii="宋体" w:hAnsi="宋体"/>
          <w:bCs/>
          <w:szCs w:val="28"/>
        </w:rPr>
        <w:t xml:space="preserve">投标人应自行承担所有与参加投标有关的费用。无论投标过程中的做法和结果如何，采购人在任何情况下均无义务和责任承担这些费用。</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13.投标有效期</w:t>
      </w:r>
      <w:r/>
    </w:p>
    <w:p>
      <w:pPr>
        <w:ind w:firstLine="560"/>
        <w:rPr>
          <w:rFonts w:hint="eastAsia" w:ascii="宋体" w:hAnsi="宋体"/>
          <w:bCs/>
          <w:szCs w:val="28"/>
        </w:rPr>
      </w:pPr>
      <w:r>
        <w:rPr>
          <w:rFonts w:hint="eastAsia" w:ascii="宋体" w:hAnsi="宋体"/>
          <w:bCs/>
          <w:szCs w:val="28"/>
        </w:rPr>
        <w:t xml:space="preserve">13.1投标有效期为采购人规定的开标之日后九十（90）日历天。 </w:t>
      </w:r>
      <w:r/>
    </w:p>
    <w:p>
      <w:pPr>
        <w:ind w:firstLine="560"/>
        <w:rPr>
          <w:rFonts w:ascii="宋体" w:hAnsi="宋体"/>
          <w:szCs w:val="28"/>
        </w:rPr>
      </w:pPr>
      <w:r>
        <w:rPr>
          <w:rFonts w:hint="eastAsia" w:ascii="宋体" w:hAnsi="宋体"/>
          <w:bCs/>
          <w:szCs w:val="28"/>
        </w:rPr>
        <w:t xml:space="preserve">13.2在特殊情况下,采购人于原投标有效期满之前,可向投标人提出延长投标有效期的要求，这种要求与答复均应采用书面形式。投标人可以拒绝采购人的这一要求而放弃投标。同意延长的投标人既不能要求也不允许修改其投标文件，招标文件中的所有规定在延长期内继续有效</w:t>
      </w:r>
      <w:r>
        <w:rPr>
          <w:rFonts w:hint="eastAsia" w:ascii="宋体" w:hAnsi="宋体"/>
          <w:szCs w:val="28"/>
        </w:rPr>
        <w:t xml:space="preserve">。</w:t>
      </w:r>
      <w:r/>
    </w:p>
    <w:p>
      <w:pPr>
        <w:jc w:val="center"/>
        <w:keepLines w:val="0"/>
        <w:keepNext w:val="0"/>
        <w:pageBreakBefore w:val="0"/>
        <w:spacing w:before="181" w:after="181" w:line="240" w:lineRule="auto"/>
        <w:widowControl w:val="off"/>
        <w:rPr>
          <w:rFonts w:hint="eastAsia" w:ascii="宋体" w:hAnsi="宋体"/>
          <w:b/>
          <w:szCs w:val="28"/>
        </w:rPr>
        <w:outlineLvl w:val="1"/>
      </w:pPr>
      <w:r>
        <w:rPr>
          <w:rFonts w:hint="eastAsia" w:ascii="宋体" w:hAnsi="宋体"/>
          <w:b/>
          <w:szCs w:val="28"/>
        </w:rPr>
        <w:t xml:space="preserve">四、投标文件递交</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14</w:t>
      </w:r>
      <w:r>
        <w:rPr>
          <w:rFonts w:hint="eastAsia" w:ascii="宋体" w:hAnsi="宋体"/>
          <w:b/>
          <w:szCs w:val="28"/>
          <w:lang w:val="en-US" w:eastAsia="zh-CN"/>
        </w:rPr>
        <w:t xml:space="preserve">.</w:t>
      </w:r>
      <w:r>
        <w:rPr>
          <w:rFonts w:hint="eastAsia" w:ascii="宋体" w:hAnsi="宋体"/>
          <w:b/>
          <w:szCs w:val="28"/>
        </w:rPr>
        <w:t xml:space="preserve">投标文件的加密（密封）、递交、解密</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14.1投标文件所有材料必须使用压缩工具（例：360压缩、WinRAR等）打包加密在同一个压缩包中。该压缩包须通过电子邮件方式在本项目投标文件递交截止时间前递交且到达招标人指定的邮箱404605597@qq.com（投标人</w:t>
      </w:r>
      <w:r>
        <w:rPr>
          <w:rFonts w:hint="eastAsia" w:ascii="宋体" w:hAnsi="宋体"/>
          <w:b w:val="0"/>
          <w:bCs w:val="0"/>
          <w:color w:val="auto"/>
          <w:sz w:val="28"/>
          <w:szCs w:val="28"/>
          <w:highlight w:val="none"/>
          <w:u w:val="none"/>
        </w:rPr>
        <w:t xml:space="preserve">的递交时间以到达招标人指定邮箱的时间为准）。招标人所收</w:t>
      </w:r>
      <w:r>
        <w:rPr>
          <w:rFonts w:hint="eastAsia" w:ascii="宋体" w:hAnsi="宋体" w:eastAsia="宋体" w:cs="Times New Roman"/>
          <w:bCs/>
          <w:sz w:val="28"/>
          <w:szCs w:val="28"/>
          <w:lang w:val="en-US" w:eastAsia="zh-CN" w:bidi="ar-SA"/>
        </w:rPr>
        <w:t xml:space="preserve">到的邮件中有且只能有一个附件（即，上述已加密的压缩包文件）。投标文件不符合上述规定的将被拒绝接收。</w:t>
      </w:r>
      <w:r/>
    </w:p>
    <w:p>
      <w:pPr>
        <w:ind w:firstLine="560"/>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14.2邮件中建议标明手机联系号码，便于代理公司及时联系投标人。邮件中建议标明投标人名称、所投项目名称。</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14.3投标人应合理安排投标文件制作时间，提前递交投标文件，以确保投标文件在投标截止时间前递交且到达招标人指定的邮箱。</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14.4同一投标人在本次招标项目中只能使用同一个电子信箱地址递交投标文件。若多个邮箱地址递交同一投标文件的，则以首次递交投标文件的邮箱地址为准。投标人确需使用其它电子信箱地址的，必须在投标截止时间向招标人或代理公司作出书面说明，得到招标人或代理公司允许后，方可更换电子信箱地址。</w:t>
      </w:r>
      <w:r/>
    </w:p>
    <w:p>
      <w:pPr>
        <w:ind w:firstLine="560"/>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14.5到投标截止时间止，招标人收到的投标文件少于3个的，招标人将依法重新组织招标。</w:t>
      </w:r>
      <w:r/>
    </w:p>
    <w:p>
      <w:pPr>
        <w:ind w:firstLine="560"/>
        <w:jc w:val="left"/>
        <w:rPr>
          <w:rFonts w:hint="eastAsia" w:ascii="宋体" w:hAnsi="宋体"/>
          <w:b w:val="0"/>
          <w:bCs w:val="0"/>
          <w:color w:val="auto"/>
          <w:szCs w:val="28"/>
          <w:highlight w:val="none"/>
        </w:rPr>
      </w:pPr>
      <w:r>
        <w:rPr>
          <w:rFonts w:hint="eastAsia" w:ascii="宋体" w:hAnsi="宋体" w:eastAsia="宋体" w:cs="Times New Roman"/>
          <w:bCs/>
          <w:sz w:val="28"/>
          <w:szCs w:val="28"/>
          <w:lang w:val="en-US" w:eastAsia="zh-CN" w:bidi="ar-SA"/>
        </w:rPr>
        <w:t xml:space="preserve">投标文件解密密码的发</w:t>
      </w:r>
      <w:r>
        <w:rPr>
          <w:rFonts w:hint="eastAsia" w:ascii="宋体" w:hAnsi="宋体"/>
          <w:b w:val="0"/>
          <w:bCs w:val="0"/>
          <w:color w:val="auto"/>
          <w:szCs w:val="28"/>
          <w:highlight w:val="none"/>
        </w:rPr>
        <w:t xml:space="preserve">送要求</w:t>
      </w:r>
      <w:r/>
    </w:p>
    <w:p>
      <w:pPr>
        <w:pStyle w:val="1167"/>
        <w:ind w:firstLine="560"/>
        <w:spacing w:before="0" w:after="0" w:line="240" w:lineRule="auto"/>
        <w:rPr>
          <w:rFonts w:hint="eastAsia" w:ascii="宋体" w:hAnsi="宋体"/>
          <w:b w:val="0"/>
          <w:bCs w:val="0"/>
          <w:color w:val="auto"/>
          <w:sz w:val="28"/>
          <w:szCs w:val="28"/>
          <w:highlight w:val="none"/>
          <w:u w:val="single"/>
        </w:rPr>
      </w:pPr>
      <w:r>
        <w:rPr>
          <w:rFonts w:hint="eastAsia" w:ascii="宋体" w:hAnsi="宋体"/>
          <w:b w:val="0"/>
          <w:bCs w:val="0"/>
          <w:color w:val="auto"/>
          <w:sz w:val="28"/>
          <w:szCs w:val="28"/>
          <w:highlight w:val="none"/>
          <w:u w:val="single"/>
        </w:rPr>
        <w:t xml:space="preserve">投标人必须在投标文件提交截止时间后30分钟内使用发送投标文件的邮箱将投标文件的解密密码发送至招标人指定的邮箱（例如：投标文件提交截止时间为2024年7月</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日</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点00分00秒</w:t>
      </w:r>
      <w:r>
        <w:rPr>
          <w:rFonts w:hint="eastAsia" w:ascii="宋体" w:hAnsi="宋体"/>
          <w:b w:val="0"/>
          <w:bCs w:val="0"/>
          <w:color w:val="auto"/>
          <w:sz w:val="28"/>
          <w:szCs w:val="28"/>
          <w:highlight w:val="none"/>
          <w:u w:val="single"/>
        </w:rPr>
        <w:t xml:space="preserve">，上述30分钟内是指：2024年7月</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日</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点00分00秒起至202</w:t>
      </w:r>
      <w:r>
        <w:rPr>
          <w:rFonts w:hint="eastAsia" w:ascii="宋体" w:hAnsi="宋体"/>
          <w:b w:val="0"/>
          <w:bCs w:val="0"/>
          <w:color w:val="auto"/>
          <w:sz w:val="28"/>
          <w:szCs w:val="28"/>
          <w:highlight w:val="none"/>
          <w:u w:val="single"/>
          <w:lang w:val="en-US" w:eastAsia="zh-CN"/>
        </w:rPr>
        <w:t xml:space="preserve">4</w:t>
      </w:r>
      <w:r>
        <w:rPr>
          <w:rFonts w:hint="eastAsia" w:ascii="宋体" w:hAnsi="宋体"/>
          <w:b w:val="0"/>
          <w:bCs w:val="0"/>
          <w:color w:val="auto"/>
          <w:sz w:val="28"/>
          <w:szCs w:val="28"/>
          <w:highlight w:val="none"/>
          <w:u w:val="single"/>
        </w:rPr>
        <w:t xml:space="preserve">年7月</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日</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点30分00秒止。投标人的递交时间以到达招标人指定邮箱的时间为准）。</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只有在上述时间段内且以规定方式发送的解密密码才能被用于解密投标文件。招标人不接受投标人在其它时间或以其它方式发送的解密密码。</w:t>
      </w:r>
      <w:r/>
    </w:p>
    <w:p>
      <w:pPr>
        <w:pStyle w:val="1167"/>
        <w:ind w:firstLine="560"/>
        <w:keepLines w:val="0"/>
        <w:keepNext w:val="0"/>
        <w:pageBreakBefore w:val="0"/>
        <w:spacing w:before="0" w:after="181" w:line="240" w:lineRule="auto"/>
        <w:widowControl w:val="off"/>
        <w:rPr>
          <w:rFonts w:ascii="宋体" w:hAnsi="宋体"/>
          <w:color w:val="auto"/>
          <w:sz w:val="28"/>
          <w:szCs w:val="28"/>
          <w:highlight w:val="none"/>
        </w:rPr>
      </w:pPr>
      <w:r>
        <w:rPr>
          <w:rFonts w:hint="eastAsia" w:ascii="宋体" w:hAnsi="宋体" w:eastAsia="宋体" w:cs="Times New Roman"/>
          <w:bCs/>
          <w:sz w:val="28"/>
          <w:szCs w:val="28"/>
          <w:lang w:val="en-US" w:eastAsia="zh-CN" w:bidi="ar-SA"/>
        </w:rPr>
        <w:t xml:space="preserve">投标文件解密密码的发送不符合以上要求的或无法解密的，其投标文件作无效投标文件处理，不进入后续环节</w:t>
      </w:r>
      <w:r>
        <w:rPr>
          <w:rFonts w:hint="eastAsia" w:ascii="宋体" w:hAnsi="宋体"/>
          <w:color w:val="auto"/>
          <w:sz w:val="28"/>
          <w:szCs w:val="28"/>
          <w:highlight w:val="none"/>
        </w:rPr>
        <w:t xml:space="preserve">。</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15. 投标文件修改和撤回 </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color w:val="auto"/>
          <w:sz w:val="28"/>
          <w:szCs w:val="28"/>
          <w:highlight w:val="none"/>
          <w:lang w:val="en-US" w:eastAsia="zh-CN"/>
        </w:rPr>
        <w:t xml:space="preserve">15.1</w:t>
      </w:r>
      <w:r>
        <w:rPr>
          <w:rFonts w:hint="eastAsia" w:ascii="宋体" w:hAnsi="宋体"/>
          <w:color w:val="auto"/>
          <w:sz w:val="28"/>
          <w:szCs w:val="28"/>
          <w:highlight w:val="none"/>
        </w:rPr>
        <w:t xml:space="preserve">投标截止时间</w:t>
      </w:r>
      <w:r>
        <w:rPr>
          <w:rFonts w:hint="eastAsia" w:ascii="宋体" w:hAnsi="宋体" w:eastAsia="宋体" w:cs="Times New Roman"/>
          <w:bCs/>
          <w:sz w:val="28"/>
          <w:szCs w:val="28"/>
          <w:lang w:val="en-US" w:eastAsia="zh-CN" w:bidi="ar-SA"/>
        </w:rPr>
        <w:t xml:space="preserve">之前，投标人可对所递交的投标文件进行修改或撤回。投标人须按照招标文件的规定重新编制投标文件并且重新加密（密封）递交。</w:t>
      </w:r>
      <w:r/>
    </w:p>
    <w:p>
      <w:pPr>
        <w:pStyle w:val="1167"/>
        <w:ind w:firstLine="560"/>
        <w:spacing w:before="0" w:after="0" w:line="240" w:lineRule="auto"/>
        <w:rPr>
          <w:rFonts w:hint="eastAsia"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15.2投标截止时间之后，投标人不得修改或撤回投标文件。</w:t>
      </w:r>
      <w:r/>
    </w:p>
    <w:p>
      <w:pPr>
        <w:pStyle w:val="1167"/>
        <w:ind w:firstLine="560"/>
        <w:keepLines w:val="0"/>
        <w:keepNext w:val="0"/>
        <w:pageBreakBefore w:val="0"/>
        <w:spacing w:before="0" w:after="181" w:line="240" w:lineRule="auto"/>
        <w:widowControl w:val="off"/>
        <w:rPr>
          <w:rFonts w:hint="eastAsia" w:ascii="宋体" w:hAnsi="宋体"/>
          <w:color w:val="auto"/>
          <w:sz w:val="28"/>
          <w:szCs w:val="28"/>
          <w:highlight w:val="none"/>
        </w:rPr>
      </w:pPr>
      <w:r>
        <w:rPr>
          <w:rFonts w:hint="eastAsia" w:ascii="宋体" w:hAnsi="宋体" w:eastAsia="宋体" w:cs="Times New Roman"/>
          <w:bCs/>
          <w:sz w:val="28"/>
          <w:szCs w:val="28"/>
          <w:lang w:val="en-US" w:eastAsia="zh-CN" w:bidi="ar-SA"/>
        </w:rPr>
        <w:t xml:space="preserve">15.3招标人在投标截止时间之前接收到由同一电子信箱地址递交的两份或多份投标文件时，则以最迟接收到的投标</w:t>
      </w:r>
      <w:r>
        <w:rPr>
          <w:rFonts w:hint="eastAsia" w:ascii="宋体" w:hAnsi="宋体"/>
          <w:color w:val="auto"/>
          <w:sz w:val="28"/>
          <w:szCs w:val="28"/>
          <w:highlight w:val="none"/>
        </w:rPr>
        <w:t xml:space="preserve">文件为准。</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16.投标截止时间</w:t>
      </w:r>
      <w:r/>
    </w:p>
    <w:p>
      <w:pPr>
        <w:ind w:firstLine="560"/>
        <w:rPr>
          <w:rFonts w:hint="eastAsia" w:ascii="宋体" w:hAnsi="宋体"/>
          <w:bCs/>
          <w:szCs w:val="28"/>
        </w:rPr>
      </w:pPr>
      <w:r>
        <w:rPr>
          <w:rFonts w:hint="eastAsia" w:ascii="宋体" w:hAnsi="宋体"/>
          <w:bCs/>
          <w:szCs w:val="28"/>
        </w:rPr>
        <w:t xml:space="preserve">16.1投标截止时间为招标公告中规定的截止时间。</w:t>
      </w:r>
      <w:r/>
    </w:p>
    <w:p>
      <w:pPr>
        <w:ind w:firstLine="560"/>
        <w:rPr>
          <w:rFonts w:hint="eastAsia" w:ascii="宋体" w:hAnsi="宋体"/>
          <w:bCs/>
          <w:szCs w:val="28"/>
        </w:rPr>
      </w:pPr>
      <w:r>
        <w:rPr>
          <w:rFonts w:hint="eastAsia" w:ascii="宋体" w:hAnsi="宋体"/>
          <w:bCs/>
          <w:szCs w:val="28"/>
        </w:rPr>
        <w:t xml:space="preserve">16.2采购人可以按照规定，通过修改招标文件有权酌情延长投标截止日期，在此情况下，投标人的所有权利和义务以及投标人受制的截止日期均应以延长后新的截止日期为准。</w:t>
      </w:r>
      <w:r/>
    </w:p>
    <w:p>
      <w:pPr>
        <w:ind w:firstLine="560"/>
        <w:rPr>
          <w:rFonts w:hint="eastAsia" w:ascii="宋体" w:hAnsi="宋体"/>
          <w:bCs/>
          <w:szCs w:val="28"/>
        </w:rPr>
      </w:pPr>
      <w:r>
        <w:rPr>
          <w:rFonts w:hint="eastAsia" w:ascii="宋体" w:hAnsi="宋体"/>
          <w:bCs/>
          <w:szCs w:val="28"/>
        </w:rPr>
        <w:t xml:space="preserve">17.迟交的投标文件：</w:t>
      </w:r>
      <w:r/>
    </w:p>
    <w:p>
      <w:pPr>
        <w:ind w:firstLine="560"/>
        <w:rPr>
          <w:rFonts w:hint="eastAsia" w:ascii="宋体" w:hAnsi="宋体"/>
          <w:bCs/>
          <w:szCs w:val="28"/>
        </w:rPr>
      </w:pPr>
      <w:r>
        <w:rPr>
          <w:rFonts w:hint="eastAsia" w:ascii="宋体" w:hAnsi="宋体"/>
          <w:bCs/>
          <w:szCs w:val="28"/>
        </w:rPr>
        <w:t xml:space="preserve">17.1采购人拒绝接收在其规定的投标截止时间后发送的任何投标文件。</w:t>
      </w:r>
      <w:r/>
    </w:p>
    <w:p>
      <w:pPr>
        <w:jc w:val="center"/>
        <w:keepLines w:val="0"/>
        <w:keepNext w:val="0"/>
        <w:pageBreakBefore w:val="0"/>
        <w:spacing w:before="181" w:after="181" w:line="240" w:lineRule="auto"/>
        <w:widowControl w:val="off"/>
        <w:rPr>
          <w:rFonts w:hint="eastAsia" w:ascii="宋体" w:hAnsi="宋体"/>
          <w:b/>
          <w:szCs w:val="28"/>
        </w:rPr>
        <w:outlineLvl w:val="1"/>
      </w:pPr>
      <w:r>
        <w:rPr>
          <w:rFonts w:hint="eastAsia" w:ascii="宋体" w:hAnsi="宋体"/>
          <w:b/>
          <w:szCs w:val="28"/>
        </w:rPr>
        <w:t xml:space="preserve">五、开标与评标</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18.开标</w:t>
      </w:r>
      <w:r/>
    </w:p>
    <w:p>
      <w:pPr>
        <w:ind w:firstLine="560"/>
        <w:rPr>
          <w:rFonts w:hint="eastAsia" w:ascii="宋体" w:hAnsi="宋体"/>
          <w:bCs/>
          <w:szCs w:val="28"/>
        </w:rPr>
      </w:pPr>
      <w:r>
        <w:rPr>
          <w:rFonts w:hint="eastAsia" w:ascii="宋体" w:hAnsi="宋体"/>
          <w:bCs/>
          <w:szCs w:val="28"/>
          <w:lang w:val="en-US" w:eastAsia="zh-CN"/>
        </w:rPr>
        <w:t xml:space="preserve">18.</w:t>
      </w:r>
      <w:r>
        <w:rPr>
          <w:rFonts w:hint="eastAsia" w:ascii="宋体" w:hAnsi="宋体"/>
          <w:bCs/>
          <w:szCs w:val="28"/>
        </w:rPr>
        <w:t xml:space="preserve">1开标按招标文件规定的时间、地点举行。</w:t>
      </w:r>
      <w:r/>
    </w:p>
    <w:p>
      <w:pPr>
        <w:ind w:firstLine="560"/>
        <w:rPr>
          <w:rFonts w:ascii="宋体" w:hAnsi="宋体" w:cs="宋体"/>
          <w:bCs/>
          <w:color w:val="auto"/>
          <w:szCs w:val="28"/>
          <w:highlight w:val="none"/>
        </w:rPr>
      </w:pPr>
      <w:r>
        <w:rPr>
          <w:rFonts w:hint="eastAsia" w:ascii="宋体" w:hAnsi="宋体"/>
          <w:bCs/>
          <w:szCs w:val="28"/>
          <w:lang w:val="en-US" w:eastAsia="zh-CN"/>
        </w:rPr>
        <w:t xml:space="preserve">18.2</w:t>
      </w:r>
      <w:r>
        <w:rPr>
          <w:rFonts w:hint="eastAsia" w:ascii="宋体" w:hAnsi="宋体"/>
          <w:bCs/>
          <w:szCs w:val="28"/>
        </w:rPr>
        <w:t xml:space="preserve">各投标人不必抵达招标文件载明的开标会议地点参加开标会议。投标人</w:t>
      </w:r>
      <w:r>
        <w:rPr>
          <w:rFonts w:hint="eastAsia" w:ascii="宋体" w:hAnsi="宋体" w:cs="宋体"/>
          <w:bCs/>
          <w:szCs w:val="28"/>
          <w:highlight w:val="none"/>
        </w:rPr>
        <w:t xml:space="preserve">的投标文件必须在投标文件递交截止时间前递交且到达招标人指定的邮箱</w:t>
      </w:r>
      <w:r>
        <w:rPr>
          <w:rFonts w:hint="eastAsia" w:ascii="宋体" w:hAnsi="宋体" w:cs="宋体"/>
          <w:bCs/>
          <w:color w:val="auto"/>
          <w:szCs w:val="28"/>
          <w:highlight w:val="none"/>
        </w:rPr>
        <w:t xml:space="preserve">（</w:t>
      </w:r>
      <w:r>
        <w:rPr>
          <w:color w:val="auto"/>
          <w:highlight w:val="none"/>
        </w:rPr>
        <w:fldChar w:fldCharType="begin"/>
      </w:r>
      <w:r>
        <w:rPr>
          <w:color w:val="auto"/>
          <w:highlight w:val="none"/>
        </w:rPr>
        <w:instrText xml:space="preserve"> HYPERLINK "mailto:404605597@qq.com" </w:instrText>
      </w:r>
      <w:r>
        <w:rPr>
          <w:color w:val="auto"/>
          <w:highlight w:val="none"/>
        </w:rPr>
        <w:fldChar w:fldCharType="separate"/>
      </w:r>
      <w:r>
        <w:rPr>
          <w:rStyle w:val="945"/>
          <w:rFonts w:hint="eastAsia" w:ascii="宋体" w:hAnsi="宋体"/>
          <w:color w:val="auto"/>
          <w:szCs w:val="28"/>
          <w:highlight w:val="none"/>
        </w:rPr>
        <w:t xml:space="preserve">404605597@qq.com</w:t>
      </w:r>
      <w:r>
        <w:rPr>
          <w:rStyle w:val="945"/>
          <w:rFonts w:hint="eastAsia" w:ascii="宋体" w:hAnsi="宋体"/>
          <w:color w:val="auto"/>
          <w:szCs w:val="28"/>
          <w:highlight w:val="none"/>
        </w:rPr>
        <w:fldChar w:fldCharType="end"/>
      </w:r>
      <w:r>
        <w:rPr>
          <w:rFonts w:hint="eastAsia" w:ascii="宋体" w:hAnsi="宋体" w:cs="宋体"/>
          <w:bCs/>
          <w:color w:val="auto"/>
          <w:szCs w:val="28"/>
          <w:highlight w:val="none"/>
        </w:rPr>
        <w:t xml:space="preserve">）。</w:t>
      </w:r>
      <w:r/>
    </w:p>
    <w:p>
      <w:pPr>
        <w:pStyle w:val="1167"/>
        <w:ind w:firstLine="560"/>
        <w:spacing w:before="0" w:after="0" w:line="240" w:lineRule="auto"/>
        <w:rPr>
          <w:rFonts w:hint="eastAsia" w:ascii="宋体" w:hAnsi="宋体"/>
          <w:b w:val="0"/>
          <w:bCs w:val="0"/>
          <w:color w:val="auto"/>
          <w:sz w:val="28"/>
          <w:szCs w:val="28"/>
          <w:highlight w:val="none"/>
          <w:u w:val="single"/>
        </w:rPr>
      </w:pPr>
      <w:r>
        <w:rPr>
          <w:rFonts w:hint="eastAsia" w:ascii="宋体" w:hAnsi="宋体"/>
          <w:b w:val="0"/>
          <w:bCs w:val="0"/>
          <w:color w:val="auto"/>
          <w:sz w:val="28"/>
          <w:szCs w:val="28"/>
          <w:highlight w:val="none"/>
          <w:u w:val="single"/>
          <w:lang w:val="en-US" w:eastAsia="zh-CN"/>
        </w:rPr>
        <w:t xml:space="preserve">18.3</w:t>
      </w:r>
      <w:r>
        <w:rPr>
          <w:rFonts w:hint="eastAsia" w:ascii="宋体" w:hAnsi="宋体"/>
          <w:b w:val="0"/>
          <w:bCs w:val="0"/>
          <w:color w:val="auto"/>
          <w:sz w:val="28"/>
          <w:szCs w:val="28"/>
          <w:highlight w:val="none"/>
          <w:u w:val="single"/>
        </w:rPr>
        <w:t xml:space="preserve">投标人必须在投标文件提交截止时间后30分钟内使用发送投标文件的邮箱将投标文件的解密密码发送至招标人指定的邮箱（例如：投标文件提交截止时间为2024年7月</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日</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点00分00秒</w:t>
      </w:r>
      <w:r>
        <w:rPr>
          <w:rFonts w:hint="eastAsia" w:ascii="宋体" w:hAnsi="宋体"/>
          <w:b w:val="0"/>
          <w:bCs w:val="0"/>
          <w:color w:val="auto"/>
          <w:sz w:val="28"/>
          <w:szCs w:val="28"/>
          <w:highlight w:val="none"/>
          <w:u w:val="single"/>
        </w:rPr>
        <w:t xml:space="preserve">，上述30分钟内是指：2024年7月</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日</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点00分00秒起至202</w:t>
      </w:r>
      <w:r>
        <w:rPr>
          <w:rFonts w:hint="eastAsia" w:ascii="宋体" w:hAnsi="宋体"/>
          <w:b w:val="0"/>
          <w:bCs w:val="0"/>
          <w:color w:val="auto"/>
          <w:sz w:val="28"/>
          <w:szCs w:val="28"/>
          <w:highlight w:val="none"/>
          <w:u w:val="single"/>
          <w:lang w:val="en-US" w:eastAsia="zh-CN"/>
        </w:rPr>
        <w:t xml:space="preserve">4</w:t>
      </w:r>
      <w:r>
        <w:rPr>
          <w:rFonts w:hint="eastAsia" w:ascii="宋体" w:hAnsi="宋体"/>
          <w:b w:val="0"/>
          <w:bCs w:val="0"/>
          <w:color w:val="auto"/>
          <w:sz w:val="28"/>
          <w:szCs w:val="28"/>
          <w:highlight w:val="none"/>
          <w:u w:val="single"/>
        </w:rPr>
        <w:t xml:space="preserve">年7月</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日</w:t>
      </w:r>
      <w:r>
        <w:rPr>
          <w:rFonts w:hint="eastAsia" w:ascii="宋体" w:hAnsi="宋体"/>
          <w:b w:val="0"/>
          <w:bCs w:val="0"/>
          <w:color w:val="auto"/>
          <w:sz w:val="28"/>
          <w:szCs w:val="28"/>
          <w:highlight w:val="none"/>
          <w:u w:val="single"/>
          <w:lang w:val="en-US" w:eastAsia="zh-CN"/>
        </w:rPr>
        <w:t xml:space="preserve">9</w:t>
      </w:r>
      <w:r>
        <w:rPr>
          <w:rFonts w:hint="eastAsia" w:ascii="宋体" w:hAnsi="宋体"/>
          <w:b w:val="0"/>
          <w:bCs w:val="0"/>
          <w:color w:val="auto"/>
          <w:sz w:val="28"/>
          <w:szCs w:val="28"/>
          <w:highlight w:val="none"/>
          <w:u w:val="single"/>
        </w:rPr>
        <w:t xml:space="preserve">点30分00秒止。投标人的递交时间以到达招标人指定邮箱的时间为准）。</w:t>
      </w:r>
      <w:r>
        <w:rPr>
          <w:rFonts w:hint="eastAsia" w:ascii="宋体" w:hAnsi="宋体"/>
          <w:b w:val="0"/>
          <w:bCs w:val="0"/>
          <w:color w:val="auto"/>
          <w:sz w:val="28"/>
          <w:szCs w:val="28"/>
          <w:highlight w:val="none"/>
        </w:rPr>
        <w:t xml:space="preserve">只有在上述</w:t>
      </w:r>
      <w:r>
        <w:rPr>
          <w:rFonts w:hint="eastAsia" w:ascii="宋体" w:hAnsi="宋体" w:eastAsia="宋体" w:cs="Times New Roman"/>
          <w:bCs/>
          <w:sz w:val="28"/>
          <w:szCs w:val="28"/>
          <w:lang w:val="en-US" w:eastAsia="zh-CN" w:bidi="ar-SA"/>
        </w:rPr>
        <w:t xml:space="preserve">时间段内且以规定方式发送的解密密码才能被用于解密投标文件。招标人不接受投标人在其它时间或以其它方式发送的解密密码。投标文件解密密码的发送不符合以上要求的或无法解密的，其投标文件作无效投标</w:t>
      </w:r>
      <w:r>
        <w:rPr>
          <w:rFonts w:hint="eastAsia" w:ascii="宋体" w:hAnsi="宋体"/>
          <w:b w:val="0"/>
          <w:bCs w:val="0"/>
          <w:color w:val="auto"/>
          <w:sz w:val="28"/>
          <w:szCs w:val="28"/>
          <w:highlight w:val="none"/>
        </w:rPr>
        <w:t xml:space="preserve">文件处理，不进入后续环节。</w:t>
      </w:r>
      <w:r/>
    </w:p>
    <w:p>
      <w:pPr>
        <w:ind w:firstLine="560"/>
        <w:rPr>
          <w:rFonts w:hint="eastAsia" w:ascii="宋体" w:hAnsi="宋体"/>
          <w:bCs/>
          <w:szCs w:val="28"/>
        </w:rPr>
      </w:pPr>
      <w:r>
        <w:rPr>
          <w:rFonts w:hint="eastAsia" w:ascii="宋体" w:hAnsi="宋体" w:cs="宋体"/>
          <w:bCs/>
          <w:szCs w:val="28"/>
          <w:highlight w:val="none"/>
          <w:lang w:val="en-US" w:eastAsia="zh-CN"/>
        </w:rPr>
        <w:t xml:space="preserve">18.4</w:t>
      </w:r>
      <w:r>
        <w:rPr>
          <w:rFonts w:hint="eastAsia" w:ascii="宋体" w:hAnsi="宋体" w:cs="宋体"/>
          <w:bCs/>
          <w:szCs w:val="28"/>
          <w:highlight w:val="none"/>
        </w:rPr>
        <w:t xml:space="preserve">各投标人需在开标前提前下载“腾讯会议”直播APP，加入会议，会议号</w:t>
      </w:r>
      <w:r>
        <w:rPr>
          <w:rFonts w:hint="eastAsia" w:ascii="宋体" w:hAnsi="宋体" w:cs="宋体"/>
          <w:bCs/>
          <w:szCs w:val="28"/>
          <w:highlight w:val="none"/>
        </w:rPr>
        <w:t xml:space="preserve">：</w:t>
      </w:r>
      <w:r>
        <w:rPr>
          <w:rFonts w:hint="eastAsia" w:ascii="宋体" w:hAnsi="宋体" w:cs="Times New Roman"/>
          <w:bCs/>
          <w:color w:val="auto"/>
          <w:sz w:val="28"/>
          <w:szCs w:val="28"/>
          <w:highlight w:val="none"/>
        </w:rPr>
        <w:t xml:space="preserve">956-655-988</w:t>
      </w:r>
      <w:r>
        <w:rPr>
          <w:rFonts w:hint="eastAsia" w:ascii="宋体" w:hAnsi="宋体" w:cs="宋体"/>
          <w:bCs/>
          <w:szCs w:val="28"/>
          <w:highlight w:val="none"/>
        </w:rPr>
        <w:t xml:space="preserve">，直接观看直播和在线交流。各供应商自行准备相关软硬件</w:t>
      </w:r>
      <w:r>
        <w:rPr>
          <w:rFonts w:hint="eastAsia" w:ascii="宋体" w:hAnsi="宋体"/>
          <w:bCs/>
          <w:szCs w:val="28"/>
        </w:rPr>
        <w:t xml:space="preserve">设备，确保网络畅通，音响保持正常使用状态。开标会议开始后，投标人收听观看实时音视频交互效果并及时在会议中反馈，未按时加入开标会议的或未能在开标会议内全程参与交互的，视为放弃交互和放弃对开标全过程提疑的权利，并承担由此导致的一切后果。投标人不得因未能观看到视频直播对开标会议提出质疑。</w:t>
      </w:r>
      <w:r/>
    </w:p>
    <w:p>
      <w:pPr>
        <w:ind w:firstLine="560"/>
        <w:rPr>
          <w:rFonts w:hint="eastAsia" w:ascii="宋体" w:hAnsi="宋体"/>
          <w:bCs/>
          <w:szCs w:val="28"/>
        </w:rPr>
      </w:pPr>
      <w:r>
        <w:rPr>
          <w:rFonts w:hint="eastAsia" w:ascii="宋体" w:hAnsi="宋体"/>
          <w:bCs/>
          <w:szCs w:val="28"/>
          <w:lang w:val="en-US" w:eastAsia="zh-CN"/>
        </w:rPr>
        <w:t xml:space="preserve">18.5</w:t>
      </w:r>
      <w:r>
        <w:rPr>
          <w:rFonts w:hint="eastAsia" w:ascii="宋体" w:hAnsi="宋体"/>
          <w:bCs/>
          <w:szCs w:val="28"/>
        </w:rPr>
        <w:t xml:space="preserve">因招标人原因或直播平台发生故障，导致无法观看开标会议直播的，招标人可根据实际情况调整开、评标时间。但投标人仍必须在招标文件规定的时间段内，以招标文件规定的方式提供投标文件解密密码。</w:t>
      </w:r>
      <w:r/>
    </w:p>
    <w:p>
      <w:pPr>
        <w:ind w:firstLine="560"/>
        <w:rPr>
          <w:rFonts w:hint="eastAsia" w:ascii="宋体" w:hAnsi="宋体"/>
          <w:bCs/>
          <w:szCs w:val="28"/>
        </w:rPr>
      </w:pPr>
      <w:r>
        <w:rPr>
          <w:rFonts w:hint="eastAsia" w:ascii="宋体" w:hAnsi="宋体"/>
          <w:bCs/>
          <w:szCs w:val="28"/>
          <w:lang w:val="en-US" w:eastAsia="zh-CN"/>
        </w:rPr>
        <w:t xml:space="preserve">18.6</w:t>
      </w:r>
      <w:r>
        <w:rPr>
          <w:rFonts w:hint="eastAsia" w:ascii="宋体" w:hAnsi="宋体"/>
          <w:bCs/>
          <w:szCs w:val="28"/>
        </w:rPr>
        <w:t xml:space="preserve">开标会议开始后，由招标人、招标代理机构、公证处、行政监管、政府采购中心等相关部门的工作人员于开标现场进行开标。</w:t>
      </w:r>
      <w:r/>
    </w:p>
    <w:p>
      <w:pPr>
        <w:ind w:firstLine="560"/>
        <w:rPr>
          <w:rFonts w:hint="eastAsia" w:ascii="宋体" w:hAnsi="宋体"/>
          <w:bCs/>
          <w:szCs w:val="28"/>
        </w:rPr>
      </w:pPr>
      <w:r>
        <w:rPr>
          <w:rFonts w:hint="eastAsia" w:ascii="宋体" w:hAnsi="宋体"/>
          <w:bCs/>
          <w:szCs w:val="28"/>
          <w:lang w:val="en-US" w:eastAsia="zh-CN"/>
        </w:rPr>
        <w:t xml:space="preserve">18.7</w:t>
      </w:r>
      <w:r>
        <w:rPr>
          <w:rFonts w:hint="eastAsia" w:ascii="宋体" w:hAnsi="宋体"/>
          <w:bCs/>
          <w:szCs w:val="28"/>
        </w:rPr>
        <w:t xml:space="preserve">投标文件有下列情形之一的，将被拒绝接收</w:t>
      </w:r>
      <w:r/>
    </w:p>
    <w:p>
      <w:pPr>
        <w:ind w:firstLine="560"/>
        <w:rPr>
          <w:rFonts w:hint="eastAsia" w:ascii="宋体" w:hAnsi="宋体"/>
          <w:bCs/>
          <w:szCs w:val="28"/>
        </w:rPr>
      </w:pPr>
      <w:r>
        <w:rPr>
          <w:rFonts w:hint="eastAsia" w:ascii="宋体" w:hAnsi="宋体"/>
          <w:bCs/>
          <w:szCs w:val="28"/>
        </w:rPr>
        <w:t xml:space="preserve">（1）投标文件未在本项目投标截止时间前递交且到达招标人指定邮箱的；</w:t>
      </w:r>
      <w:r/>
    </w:p>
    <w:p>
      <w:pPr>
        <w:ind w:firstLine="560"/>
        <w:rPr>
          <w:rFonts w:hint="eastAsia" w:ascii="宋体" w:hAnsi="宋体"/>
          <w:bCs/>
          <w:szCs w:val="28"/>
        </w:rPr>
      </w:pPr>
      <w:r>
        <w:rPr>
          <w:rFonts w:hint="eastAsia" w:ascii="宋体" w:hAnsi="宋体"/>
          <w:bCs/>
          <w:szCs w:val="28"/>
        </w:rPr>
        <w:t xml:space="preserve">（2）投标文件未使用压缩工具打包压缩的；</w:t>
      </w:r>
      <w:r/>
    </w:p>
    <w:p>
      <w:pPr>
        <w:ind w:firstLine="560"/>
        <w:rPr>
          <w:rFonts w:hint="eastAsia" w:ascii="宋体" w:hAnsi="宋体"/>
          <w:bCs/>
          <w:szCs w:val="28"/>
        </w:rPr>
      </w:pPr>
      <w:r>
        <w:rPr>
          <w:rFonts w:hint="eastAsia" w:ascii="宋体" w:hAnsi="宋体"/>
          <w:bCs/>
          <w:szCs w:val="28"/>
        </w:rPr>
        <w:t xml:space="preserve">（3）投标文件未加密的；</w:t>
      </w:r>
      <w:r/>
    </w:p>
    <w:p>
      <w:pPr>
        <w:ind w:firstLine="560"/>
        <w:rPr>
          <w:rFonts w:hint="eastAsia" w:ascii="宋体" w:hAnsi="宋体"/>
          <w:bCs/>
          <w:szCs w:val="28"/>
        </w:rPr>
      </w:pPr>
      <w:r>
        <w:rPr>
          <w:rFonts w:hint="eastAsia" w:ascii="宋体" w:hAnsi="宋体"/>
          <w:bCs/>
          <w:szCs w:val="28"/>
        </w:rPr>
        <w:t xml:space="preserve">（4）投标人递交的邮件中有两个或以上附件的；</w:t>
      </w:r>
      <w:r/>
    </w:p>
    <w:p>
      <w:pPr>
        <w:ind w:firstLine="560"/>
        <w:rPr>
          <w:rFonts w:hint="eastAsia" w:ascii="宋体" w:hAnsi="宋体" w:cs="宋体"/>
          <w:bCs/>
          <w:szCs w:val="28"/>
          <w:highlight w:val="none"/>
        </w:rPr>
      </w:pPr>
      <w:r>
        <w:rPr>
          <w:rFonts w:hint="eastAsia" w:ascii="宋体" w:hAnsi="宋体"/>
          <w:bCs/>
          <w:szCs w:val="28"/>
        </w:rPr>
        <w:t xml:space="preserve">（5）投标人未</w:t>
      </w:r>
      <w:r>
        <w:rPr>
          <w:rFonts w:hint="eastAsia" w:ascii="宋体" w:hAnsi="宋体" w:cs="宋体"/>
          <w:bCs/>
          <w:szCs w:val="28"/>
          <w:highlight w:val="none"/>
        </w:rPr>
        <w:t xml:space="preserve">在招标文件规定的时间段内发送投标文件解密密码的；</w:t>
      </w:r>
      <w:r/>
    </w:p>
    <w:p>
      <w:pPr>
        <w:ind w:firstLine="560"/>
        <w:rPr>
          <w:rFonts w:hint="eastAsia" w:ascii="宋体" w:hAnsi="宋体"/>
          <w:bCs/>
          <w:szCs w:val="28"/>
        </w:rPr>
      </w:pPr>
      <w:r>
        <w:rPr>
          <w:rFonts w:hint="eastAsia" w:ascii="宋体" w:hAnsi="宋体" w:cs="宋体"/>
          <w:bCs/>
          <w:szCs w:val="28"/>
          <w:highlight w:val="none"/>
        </w:rPr>
        <w:t xml:space="preserve">（6）投标人未通过招标文</w:t>
      </w:r>
      <w:r>
        <w:rPr>
          <w:rFonts w:hint="eastAsia" w:ascii="宋体" w:hAnsi="宋体"/>
          <w:bCs/>
          <w:szCs w:val="28"/>
        </w:rPr>
        <w:t xml:space="preserve">件规定的方式发送投标文件解密密码的；</w:t>
      </w:r>
      <w:r/>
    </w:p>
    <w:p>
      <w:pPr>
        <w:ind w:firstLine="560"/>
        <w:rPr>
          <w:rFonts w:hint="eastAsia" w:ascii="宋体" w:hAnsi="宋体"/>
          <w:bCs/>
          <w:szCs w:val="28"/>
        </w:rPr>
      </w:pPr>
      <w:r>
        <w:rPr>
          <w:rFonts w:hint="eastAsia" w:ascii="宋体" w:hAnsi="宋体"/>
          <w:bCs/>
          <w:szCs w:val="28"/>
        </w:rPr>
        <w:t xml:space="preserve">（7）投标文件解密密码无法解密的。</w:t>
      </w:r>
      <w:r/>
    </w:p>
    <w:p>
      <w:pPr>
        <w:ind w:firstLine="560"/>
        <w:rPr>
          <w:rFonts w:hint="eastAsia" w:ascii="宋体" w:hAnsi="宋体"/>
          <w:bCs/>
          <w:szCs w:val="28"/>
        </w:rPr>
      </w:pPr>
      <w:r>
        <w:rPr>
          <w:rFonts w:hint="eastAsia" w:ascii="宋体" w:hAnsi="宋体"/>
          <w:bCs/>
          <w:szCs w:val="28"/>
          <w:lang w:val="en-US" w:eastAsia="zh-CN"/>
        </w:rPr>
        <w:t xml:space="preserve">18.8</w:t>
      </w:r>
      <w:r>
        <w:rPr>
          <w:rFonts w:hint="eastAsia" w:ascii="宋体" w:hAnsi="宋体"/>
          <w:bCs/>
          <w:szCs w:val="28"/>
        </w:rPr>
        <w:t xml:space="preserve">开标程序</w:t>
      </w:r>
      <w:r/>
    </w:p>
    <w:p>
      <w:pPr>
        <w:ind w:firstLine="560"/>
        <w:rPr>
          <w:rFonts w:hint="eastAsia" w:ascii="宋体" w:hAnsi="宋体"/>
          <w:bCs/>
          <w:szCs w:val="28"/>
        </w:rPr>
      </w:pPr>
      <w:r>
        <w:rPr>
          <w:rFonts w:hint="eastAsia" w:ascii="宋体" w:hAnsi="宋体"/>
          <w:bCs/>
          <w:szCs w:val="28"/>
        </w:rPr>
        <w:t xml:space="preserve">（1）工作人员进入指定邮箱下载各投标人的投标文件；</w:t>
      </w:r>
      <w:r/>
    </w:p>
    <w:p>
      <w:pPr>
        <w:ind w:firstLine="560"/>
        <w:rPr>
          <w:rFonts w:hint="eastAsia" w:ascii="宋体" w:hAnsi="宋体"/>
          <w:bCs/>
          <w:szCs w:val="28"/>
        </w:rPr>
      </w:pPr>
      <w:r>
        <w:rPr>
          <w:rFonts w:hint="eastAsia" w:ascii="宋体" w:hAnsi="宋体"/>
          <w:bCs/>
          <w:szCs w:val="28"/>
        </w:rPr>
        <w:t xml:space="preserve">（2）工作人员统计并解密投标文件；</w:t>
      </w:r>
      <w:r/>
    </w:p>
    <w:p>
      <w:pPr>
        <w:ind w:firstLine="560"/>
        <w:rPr>
          <w:rFonts w:hint="eastAsia" w:ascii="宋体" w:hAnsi="宋体"/>
          <w:bCs/>
          <w:szCs w:val="28"/>
        </w:rPr>
      </w:pPr>
      <w:r>
        <w:rPr>
          <w:rFonts w:hint="eastAsia" w:ascii="宋体" w:hAnsi="宋体"/>
          <w:bCs/>
          <w:szCs w:val="28"/>
        </w:rPr>
        <w:t xml:space="preserve">（3）工作人员宣布投标人名称、投标价格等主要内容。</w:t>
      </w:r>
      <w:r/>
    </w:p>
    <w:p>
      <w:pPr>
        <w:ind w:firstLine="560"/>
        <w:rPr>
          <w:rFonts w:hint="eastAsia" w:ascii="宋体" w:hAnsi="宋体"/>
          <w:bCs/>
          <w:szCs w:val="28"/>
        </w:rPr>
      </w:pPr>
      <w:r>
        <w:rPr>
          <w:rFonts w:hint="eastAsia" w:ascii="宋体" w:hAnsi="宋体"/>
          <w:bCs/>
          <w:szCs w:val="28"/>
        </w:rPr>
        <w:t xml:space="preserve">注：投标人对开标有异议的，应当在开标时提出。</w:t>
      </w:r>
      <w:r/>
    </w:p>
    <w:p>
      <w:pPr>
        <w:ind w:firstLine="560"/>
        <w:rPr>
          <w:rFonts w:ascii="宋体" w:hAnsi="宋体"/>
          <w:szCs w:val="28"/>
          <w:highlight w:val="none"/>
        </w:rPr>
      </w:pPr>
      <w:r>
        <w:rPr>
          <w:rFonts w:hint="eastAsia" w:ascii="宋体" w:hAnsi="宋体"/>
          <w:bCs/>
          <w:szCs w:val="28"/>
        </w:rPr>
        <w:t xml:space="preserve">对投标文件的初审</w:t>
      </w:r>
      <w:r>
        <w:rPr>
          <w:rFonts w:hint="eastAsia" w:ascii="宋体" w:hAnsi="宋体"/>
          <w:bCs/>
          <w:szCs w:val="28"/>
          <w:lang w:eastAsia="zh-CN"/>
        </w:rPr>
        <w:t xml:space="preserve">：</w:t>
      </w:r>
      <w:r>
        <w:rPr>
          <w:rFonts w:hint="eastAsia" w:ascii="宋体" w:hAnsi="宋体"/>
          <w:bCs/>
          <w:szCs w:val="28"/>
        </w:rPr>
        <w:t xml:space="preserve">投标文件初审分为资</w:t>
      </w:r>
      <w:r>
        <w:rPr>
          <w:rFonts w:hint="eastAsia" w:ascii="宋体" w:hAnsi="宋体" w:cs="Times New Roman"/>
          <w:color w:val="auto"/>
          <w:sz w:val="28"/>
          <w:szCs w:val="28"/>
          <w:highlight w:val="none"/>
        </w:rPr>
        <w:t xml:space="preserve">格审查和符合性审查。</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19.资格审查</w:t>
      </w:r>
      <w:r/>
    </w:p>
    <w:p>
      <w:pPr>
        <w:ind w:firstLine="560"/>
        <w:rPr>
          <w:rFonts w:hint="eastAsia" w:ascii="宋体" w:hAnsi="宋体"/>
          <w:bCs/>
          <w:szCs w:val="28"/>
        </w:rPr>
      </w:pPr>
      <w:r>
        <w:rPr>
          <w:rFonts w:hint="eastAsia" w:ascii="宋体" w:hAnsi="宋体"/>
          <w:szCs w:val="28"/>
        </w:rPr>
        <w:t xml:space="preserve">19.1</w:t>
      </w:r>
      <w:r>
        <w:rPr>
          <w:rFonts w:hint="eastAsia" w:ascii="宋体" w:hAnsi="宋体"/>
          <w:bCs/>
          <w:szCs w:val="28"/>
        </w:rPr>
        <w:t xml:space="preserve">开标结束后，依据法规政策和招标文件的规定，在对投标文件详细评审之前，采购人或采购代理机构将依据投标人提交的投标文件按招标公告第三项所述的资格标准对投标人进行资格审查,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560"/>
        <w:rPr>
          <w:rFonts w:hint="eastAsia" w:ascii="宋体" w:hAnsi="宋体"/>
          <w:bCs/>
          <w:szCs w:val="28"/>
        </w:rPr>
      </w:pPr>
      <w:r>
        <w:rPr>
          <w:rFonts w:hint="eastAsia" w:ascii="宋体" w:hAnsi="宋体"/>
          <w:bCs/>
          <w:szCs w:val="28"/>
        </w:rPr>
        <w:t xml:space="preserve">采购人在进行资格性审查的同时，将在“信用中国”网站（www.creditchina.gov.cn）查询投标人的信用记录，以确定投标人是否具备投标资格,查询结果留存并归档。</w:t>
      </w:r>
      <w:r/>
    </w:p>
    <w:p>
      <w:pPr>
        <w:ind w:firstLine="560"/>
        <w:rPr>
          <w:rFonts w:hint="eastAsia" w:ascii="宋体" w:hAnsi="宋体"/>
          <w:bCs/>
          <w:szCs w:val="28"/>
        </w:rPr>
      </w:pPr>
      <w:r>
        <w:rPr>
          <w:rFonts w:hint="eastAsia" w:ascii="宋体" w:hAnsi="宋体"/>
          <w:bCs/>
          <w:szCs w:val="28"/>
        </w:rPr>
        <w:t xml:space="preserve">19.2接受联合体的项目，两个以上的自然人、法人或者其他组织组成一个联合体，以一个供应商的身份共同参加政府采购活动的,联合体成员存在不良信用记录的，视同联合体存在不良应用记录。</w:t>
      </w:r>
      <w:r/>
    </w:p>
    <w:p>
      <w:pPr>
        <w:ind w:firstLine="560"/>
        <w:rPr>
          <w:rFonts w:hint="eastAsia" w:ascii="宋体" w:hAnsi="宋体"/>
          <w:bCs/>
          <w:szCs w:val="28"/>
        </w:rPr>
      </w:pPr>
      <w:r>
        <w:rPr>
          <w:rFonts w:hint="eastAsia" w:ascii="宋体" w:hAnsi="宋体"/>
          <w:bCs/>
          <w:szCs w:val="28"/>
        </w:rPr>
        <w:t xml:space="preserve">19.3合格投标人不足3家的，不得评标。</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20. 符合性审查</w:t>
      </w:r>
      <w:r/>
    </w:p>
    <w:p>
      <w:pPr>
        <w:ind w:firstLine="560"/>
        <w:rPr>
          <w:rFonts w:hint="eastAsia" w:ascii="宋体" w:hAnsi="宋体"/>
          <w:bCs/>
          <w:szCs w:val="28"/>
        </w:rPr>
      </w:pPr>
      <w:r>
        <w:rPr>
          <w:rFonts w:hint="eastAsia" w:ascii="宋体" w:hAnsi="宋体"/>
          <w:bCs/>
          <w:szCs w:val="28"/>
        </w:rPr>
        <w:t xml:space="preserve">20.1符合性审查。评标委员会应当对符合资格的投标人的投标文件进行符合性审查，以确定其是否满足招标文件的实质性要求。</w:t>
      </w:r>
      <w:r/>
    </w:p>
    <w:p>
      <w:pPr>
        <w:ind w:firstLine="560"/>
        <w:rPr>
          <w:rFonts w:hint="eastAsia" w:ascii="宋体" w:hAnsi="宋体"/>
          <w:bCs/>
          <w:szCs w:val="28"/>
        </w:rPr>
      </w:pPr>
      <w:r>
        <w:rPr>
          <w:rFonts w:hint="eastAsia" w:ascii="宋体" w:hAnsi="宋体"/>
          <w:bCs/>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bCs/>
          <w:szCs w:val="28"/>
        </w:rPr>
      </w:pPr>
      <w:r>
        <w:rPr>
          <w:rFonts w:hint="eastAsia" w:ascii="宋体" w:hAnsi="宋体"/>
          <w:bCs/>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p>
    <w:p>
      <w:pPr>
        <w:ind w:firstLine="560"/>
        <w:rPr>
          <w:rFonts w:hint="eastAsia" w:ascii="宋体" w:hAnsi="宋体"/>
          <w:bCs/>
          <w:szCs w:val="28"/>
        </w:rPr>
      </w:pPr>
      <w:r>
        <w:rPr>
          <w:rFonts w:hint="eastAsia" w:ascii="宋体" w:hAnsi="宋体"/>
          <w:bCs/>
          <w:szCs w:val="28"/>
        </w:rPr>
        <w:t xml:space="preserve">评委决定投标文件的响应性只根据投标文件本身的内容，而不寻求外部的证据。</w:t>
      </w:r>
      <w:r/>
    </w:p>
    <w:p>
      <w:pPr>
        <w:pStyle w:val="941"/>
        <w:ind w:firstLine="480"/>
        <w:jc w:val="both"/>
        <w:spacing w:line="0" w:lineRule="atLeast"/>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如</w:t>
      </w:r>
      <w:r>
        <w:rPr>
          <w:rFonts w:hint="eastAsia" w:ascii="宋体" w:hAnsi="宋体" w:eastAsia="宋体" w:cs="Times New Roman"/>
          <w:bCs/>
          <w:color w:val="auto"/>
          <w:sz w:val="28"/>
          <w:szCs w:val="28"/>
          <w:lang w:val="en-US" w:eastAsia="zh-CN" w:bidi="ar-SA"/>
        </w:rPr>
        <w:t xml:space="preserve">果投标文件实质上没有响应招标文件的要求，评委会将予以拒绝，投标人不得通过修改或撤销不合要求的偏离或保留而使其投标成为实质性响应的投标。</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20.2 核心产品审查</w:t>
      </w:r>
      <w:r/>
    </w:p>
    <w:p>
      <w:pPr>
        <w:ind w:firstLine="560"/>
        <w:rPr>
          <w:rFonts w:hint="eastAsia" w:ascii="宋体" w:hAnsi="宋体"/>
          <w:bCs/>
          <w:szCs w:val="28"/>
          <w:lang w:eastAsia="zh-CN"/>
        </w:rPr>
      </w:pPr>
      <w:r>
        <w:rPr>
          <w:rFonts w:hint="eastAsia" w:ascii="宋体" w:hAnsi="宋体"/>
          <w:bCs/>
          <w:szCs w:val="28"/>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rPr>
          <w:rFonts w:hint="eastAsia" w:ascii="宋体" w:hAnsi="宋体"/>
          <w:bCs/>
          <w:szCs w:val="28"/>
          <w:lang w:eastAsia="zh-CN"/>
        </w:rPr>
      </w:pPr>
      <w:r>
        <w:rPr>
          <w:rFonts w:hint="eastAsia" w:ascii="宋体" w:hAnsi="宋体"/>
          <w:bCs/>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560"/>
        <w:rPr>
          <w:rFonts w:hint="eastAsia" w:ascii="宋体" w:hAnsi="宋体"/>
          <w:bCs/>
          <w:szCs w:val="28"/>
        </w:rPr>
      </w:pPr>
      <w:r>
        <w:rPr>
          <w:rFonts w:hint="eastAsia" w:ascii="宋体" w:hAnsi="宋体"/>
          <w:bCs/>
          <w:szCs w:val="28"/>
        </w:rPr>
        <w:t xml:space="preserve">非单一产品采购项目，采购人应当根据采购项目技术构成、产品价格比重等合理确定核心产品，并在招标文件中载明为室内全彩屏。多家投标人提供的核心产品品牌相同的，按前两款规定处理(87号令第31条)。</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21.评标</w:t>
      </w:r>
      <w:r/>
    </w:p>
    <w:p>
      <w:pPr>
        <w:ind w:firstLine="560"/>
        <w:rPr>
          <w:rFonts w:hint="eastAsia" w:ascii="宋体" w:hAnsi="宋体"/>
          <w:bCs/>
          <w:szCs w:val="28"/>
        </w:rPr>
      </w:pPr>
      <w:r/>
      <w:bookmarkStart w:id="42" w:name="_Toc20823303"/>
      <w:r/>
      <w:bookmarkStart w:id="43" w:name="_Toc16938547"/>
      <w:r/>
      <w:bookmarkStart w:id="44" w:name="_Toc513029231"/>
      <w:r>
        <w:rPr>
          <w:rFonts w:hint="eastAsia" w:ascii="宋体" w:hAnsi="宋体"/>
          <w:bCs/>
          <w:szCs w:val="28"/>
        </w:rPr>
        <w:t xml:space="preserve">21.1采购代理机构负责组织评标工作，具体评标事务由评标委员会负责并独立履行下列职责：</w:t>
      </w:r>
      <w:r/>
    </w:p>
    <w:p>
      <w:pPr>
        <w:ind w:firstLine="560"/>
        <w:rPr>
          <w:rFonts w:hint="eastAsia" w:ascii="宋体" w:hAnsi="宋体"/>
          <w:bCs/>
          <w:szCs w:val="28"/>
        </w:rPr>
      </w:pPr>
      <w:r>
        <w:rPr>
          <w:rFonts w:hint="eastAsia" w:ascii="宋体" w:hAnsi="宋体"/>
          <w:bCs/>
          <w:szCs w:val="28"/>
        </w:rPr>
        <w:t xml:space="preserve">（1）审查、评价投标文件是否符合招标文件的商务、技术等实质性要求；</w:t>
      </w:r>
      <w:r/>
    </w:p>
    <w:p>
      <w:pPr>
        <w:ind w:firstLine="560"/>
        <w:rPr>
          <w:rFonts w:hint="eastAsia" w:ascii="宋体" w:hAnsi="宋体"/>
          <w:bCs/>
          <w:szCs w:val="28"/>
        </w:rPr>
      </w:pPr>
      <w:r>
        <w:rPr>
          <w:rFonts w:hint="eastAsia" w:ascii="宋体" w:hAnsi="宋体"/>
          <w:bCs/>
          <w:szCs w:val="28"/>
        </w:rPr>
        <w:t xml:space="preserve">（2）要求投标人对投标文件有关事项作出澄清或者说明；</w:t>
      </w:r>
      <w:r/>
    </w:p>
    <w:p>
      <w:pPr>
        <w:ind w:firstLine="560"/>
        <w:rPr>
          <w:rFonts w:hint="eastAsia" w:ascii="宋体" w:hAnsi="宋体"/>
          <w:bCs/>
          <w:szCs w:val="28"/>
        </w:rPr>
      </w:pPr>
      <w:r>
        <w:rPr>
          <w:rFonts w:hint="eastAsia" w:ascii="宋体" w:hAnsi="宋体"/>
          <w:bCs/>
          <w:szCs w:val="28"/>
        </w:rPr>
        <w:t xml:space="preserve">（3）对投标文件进行比较和评价；</w:t>
      </w:r>
      <w:r/>
    </w:p>
    <w:p>
      <w:pPr>
        <w:ind w:firstLine="560"/>
        <w:rPr>
          <w:rFonts w:hint="eastAsia" w:ascii="宋体" w:hAnsi="宋体"/>
          <w:bCs/>
          <w:szCs w:val="28"/>
        </w:rPr>
      </w:pPr>
      <w:r>
        <w:rPr>
          <w:rFonts w:hint="eastAsia" w:ascii="宋体" w:hAnsi="宋体"/>
          <w:bCs/>
          <w:szCs w:val="28"/>
        </w:rPr>
        <w:t xml:space="preserve">（4）确定中标候选人名单，以及根据采购人委托直接确定中标人；</w:t>
      </w:r>
      <w:r/>
    </w:p>
    <w:p>
      <w:pPr>
        <w:ind w:firstLine="560"/>
        <w:rPr>
          <w:rFonts w:hint="eastAsia" w:ascii="宋体" w:hAnsi="宋体"/>
          <w:bCs/>
          <w:szCs w:val="28"/>
        </w:rPr>
      </w:pPr>
      <w:r>
        <w:rPr>
          <w:rFonts w:hint="eastAsia" w:ascii="宋体" w:hAnsi="宋体"/>
          <w:bCs/>
          <w:szCs w:val="28"/>
        </w:rPr>
        <w:t xml:space="preserve">（5）向采购人、采购代理机构或者有关部门报告评标中发现的违法行为。</w:t>
      </w:r>
      <w:r/>
    </w:p>
    <w:p>
      <w:pPr>
        <w:ind w:firstLine="560"/>
        <w:rPr>
          <w:rFonts w:hint="eastAsia" w:ascii="宋体" w:hAnsi="宋体"/>
          <w:bCs/>
          <w:szCs w:val="28"/>
        </w:rPr>
      </w:pPr>
      <w:r>
        <w:rPr>
          <w:rFonts w:hint="eastAsia" w:ascii="宋体" w:hAnsi="宋体"/>
          <w:bCs/>
          <w:szCs w:val="28"/>
        </w:rPr>
        <w:t xml:space="preserve">21.2 评标委员会由采购人代表和评审专家组成。</w:t>
      </w:r>
      <w:r/>
    </w:p>
    <w:p>
      <w:pPr>
        <w:ind w:firstLine="560"/>
        <w:rPr>
          <w:rFonts w:ascii="宋体" w:hAnsi="宋体"/>
          <w:bCs/>
          <w:szCs w:val="28"/>
        </w:rPr>
      </w:pPr>
      <w:r>
        <w:rPr>
          <w:rFonts w:hint="eastAsia" w:ascii="宋体" w:hAnsi="宋体"/>
          <w:bCs/>
          <w:szCs w:val="28"/>
        </w:rPr>
        <w:t xml:space="preserve">21.3采购人可以在评标前说明项目背景和采购需求，说明内容不得含有歧视性、倾向性意见，不得超出招标文件所述范围。说明应当提交书面材料，并随采购文件一并存档。</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22. 澄清或者说明</w:t>
      </w:r>
      <w:r/>
    </w:p>
    <w:p>
      <w:pPr>
        <w:ind w:firstLine="560"/>
        <w:rPr>
          <w:rFonts w:hint="eastAsia" w:ascii="宋体" w:hAnsi="宋体"/>
          <w:bCs/>
          <w:szCs w:val="28"/>
        </w:rPr>
      </w:pPr>
      <w:r>
        <w:rPr>
          <w:rFonts w:hint="eastAsia" w:ascii="宋体" w:hAnsi="宋体"/>
          <w:bCs/>
          <w:szCs w:val="28"/>
        </w:rPr>
        <w:t xml:space="preserve">22.1 对于投标文件中含义不明确、同类问题表述不一致或者有明显文字和计算错误的内容，评标委员会应当要求投标人作出必要的澄清、说明或者补正。</w:t>
      </w:r>
      <w:r/>
    </w:p>
    <w:p>
      <w:pPr>
        <w:ind w:firstLine="560"/>
        <w:rPr>
          <w:rFonts w:ascii="宋体" w:hAnsi="宋体"/>
          <w:bCs/>
          <w:szCs w:val="28"/>
        </w:rPr>
      </w:pPr>
      <w:r>
        <w:rPr>
          <w:rFonts w:hint="eastAsia" w:ascii="宋体" w:hAnsi="宋体"/>
          <w:bCs/>
          <w:szCs w:val="28"/>
        </w:rPr>
        <w:t xml:space="preserve">22.2投标人的澄清、说明或者补正应当采用书面形式，并加盖公章，或者由法定代表人或其授权的代表签字。投标人的澄清、说明或者补正不得超出投标文件的范围或者改变投标文件的实质性内容。</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23. 综合比较与评价</w:t>
      </w:r>
      <w:r/>
    </w:p>
    <w:p>
      <w:pPr>
        <w:ind w:firstLine="560"/>
        <w:rPr>
          <w:rFonts w:hint="eastAsia" w:ascii="宋体" w:hAnsi="宋体"/>
          <w:bCs/>
          <w:szCs w:val="28"/>
        </w:rPr>
      </w:pPr>
      <w:r>
        <w:rPr>
          <w:rFonts w:hint="eastAsia" w:ascii="宋体" w:hAnsi="宋体"/>
          <w:bCs/>
          <w:szCs w:val="28"/>
        </w:rPr>
        <w:t xml:space="preserve">23.1评标委员会应当按照招标文件中规定的评标方法和标准，对符合性审查合格的投标文件进行商务和技术评估，综合比较与评价。</w:t>
      </w:r>
      <w:r/>
    </w:p>
    <w:p>
      <w:pPr>
        <w:ind w:firstLine="560"/>
        <w:rPr>
          <w:rFonts w:hint="eastAsia" w:ascii="宋体" w:hAnsi="宋体"/>
          <w:bCs/>
          <w:szCs w:val="28"/>
        </w:rPr>
      </w:pPr>
      <w:r>
        <w:rPr>
          <w:rFonts w:hint="eastAsia" w:ascii="宋体" w:hAnsi="宋体"/>
          <w:bCs/>
          <w:szCs w:val="28"/>
        </w:rPr>
        <w:t xml:space="preserve">23.2 评标委员会成员对需要共同认定的事项存在争议的，应当按照少数服从多数的原则作出结论。持不同意见的评标委员会成员应当在评标报告上签署不同意见及理由，否则视为同意评标报告。</w:t>
      </w:r>
      <w:r/>
    </w:p>
    <w:p>
      <w:pPr>
        <w:ind w:firstLine="560"/>
        <w:rPr>
          <w:rFonts w:ascii="宋体" w:hAnsi="宋体"/>
          <w:szCs w:val="28"/>
        </w:rPr>
      </w:pPr>
      <w:r>
        <w:rPr>
          <w:rFonts w:hint="eastAsia" w:ascii="宋体" w:hAnsi="宋体"/>
          <w:bCs/>
          <w:szCs w:val="28"/>
        </w:rPr>
        <w:t xml:space="preserve">23.3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ascii="宋体" w:hAnsi="宋体"/>
          <w:szCs w:val="28"/>
        </w:rPr>
        <w:t xml:space="preserve">。</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24.评标方法与标准</w:t>
      </w:r>
      <w:r/>
    </w:p>
    <w:p>
      <w:pPr>
        <w:ind w:firstLine="560"/>
        <w:rPr>
          <w:rFonts w:hint="eastAsia" w:ascii="宋体" w:hAnsi="宋体"/>
          <w:bCs/>
          <w:szCs w:val="28"/>
        </w:rPr>
      </w:pPr>
      <w:r>
        <w:rPr>
          <w:rFonts w:hint="eastAsia" w:ascii="宋体" w:hAnsi="宋体"/>
          <w:bCs/>
          <w:szCs w:val="28"/>
        </w:rPr>
        <w:t xml:space="preserve">24.1采用综合评分法。综合评分法，是指投标文件满足招标文件全部实质性要求，且按照评审因素的量化指标评审得分最高的投标人为中标候选人的评标方法。</w:t>
      </w:r>
      <w:r/>
    </w:p>
    <w:p>
      <w:pPr>
        <w:ind w:firstLine="560"/>
        <w:rPr>
          <w:rFonts w:hint="eastAsia" w:ascii="宋体" w:hAnsi="宋体"/>
          <w:bCs/>
          <w:szCs w:val="28"/>
        </w:rPr>
      </w:pPr>
      <w:r>
        <w:rPr>
          <w:rFonts w:hint="eastAsia" w:ascii="宋体" w:hAnsi="宋体"/>
          <w:bCs/>
          <w:szCs w:val="28"/>
        </w:rPr>
        <w:t xml:space="preserve">24.2 评审因素是：价格、技术或者服务水平、履约能力、售后服务等。</w:t>
      </w:r>
      <w:r/>
    </w:p>
    <w:p>
      <w:pPr>
        <w:ind w:firstLine="560"/>
        <w:rPr>
          <w:rFonts w:ascii="宋体" w:hAnsi="宋体"/>
          <w:bCs/>
        </w:rPr>
      </w:pPr>
      <w:r>
        <w:rPr>
          <w:rFonts w:hint="eastAsia" w:ascii="宋体" w:hAnsi="宋体"/>
          <w:bCs/>
          <w:szCs w:val="28"/>
        </w:rPr>
        <w:t xml:space="preserve">24.3 评标标准详见招标文件第四部分</w:t>
      </w:r>
      <w:r>
        <w:rPr>
          <w:rFonts w:hint="eastAsia" w:ascii="宋体" w:hAnsi="宋体"/>
          <w:bCs/>
        </w:rPr>
        <w:t xml:space="preserve">。</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25.报价修正和最低报价处理</w:t>
      </w:r>
      <w:r/>
    </w:p>
    <w:p>
      <w:pPr>
        <w:ind w:firstLine="560"/>
        <w:rPr>
          <w:rFonts w:hint="eastAsia" w:ascii="宋体" w:hAnsi="宋体"/>
          <w:bCs/>
          <w:szCs w:val="28"/>
        </w:rPr>
      </w:pPr>
      <w:r>
        <w:rPr>
          <w:rFonts w:hint="eastAsia" w:ascii="宋体" w:hAnsi="宋体"/>
          <w:bCs/>
          <w:szCs w:val="28"/>
        </w:rPr>
        <w:t xml:space="preserve">25.1投标文件报价出现前后不一致的，除招标文件另有规定外，按照下列规定修正：</w:t>
      </w:r>
      <w:r/>
    </w:p>
    <w:p>
      <w:pPr>
        <w:ind w:firstLine="560"/>
        <w:rPr>
          <w:rFonts w:hint="eastAsia" w:ascii="宋体" w:hAnsi="宋体"/>
          <w:bCs/>
          <w:szCs w:val="28"/>
        </w:rPr>
      </w:pPr>
      <w:r>
        <w:rPr>
          <w:rFonts w:hint="eastAsia" w:ascii="宋体" w:hAnsi="宋体"/>
          <w:bCs/>
          <w:szCs w:val="28"/>
        </w:rPr>
        <w:t xml:space="preserve">　(1)投标文件中开标一览表(报价表)内容与投标文件中相应内容不一致的，以开标一览表(报价表)为准；</w:t>
      </w:r>
      <w:r/>
    </w:p>
    <w:p>
      <w:pPr>
        <w:ind w:firstLine="560"/>
        <w:rPr>
          <w:rFonts w:hint="eastAsia" w:ascii="宋体" w:hAnsi="宋体"/>
          <w:bCs/>
          <w:szCs w:val="28"/>
        </w:rPr>
      </w:pPr>
      <w:r>
        <w:rPr>
          <w:rFonts w:hint="eastAsia" w:ascii="宋体" w:hAnsi="宋体"/>
          <w:bCs/>
          <w:szCs w:val="28"/>
        </w:rPr>
        <w:t xml:space="preserve">　(2)大写金额和小写金额不一致的，以大写金额为准；</w:t>
      </w:r>
      <w:r/>
    </w:p>
    <w:p>
      <w:pPr>
        <w:ind w:firstLine="560"/>
        <w:rPr>
          <w:rFonts w:hint="eastAsia" w:ascii="宋体" w:hAnsi="宋体"/>
          <w:bCs/>
          <w:szCs w:val="28"/>
        </w:rPr>
      </w:pPr>
      <w:r>
        <w:rPr>
          <w:rFonts w:hint="eastAsia" w:ascii="宋体" w:hAnsi="宋体"/>
          <w:bCs/>
          <w:szCs w:val="28"/>
        </w:rPr>
        <w:t xml:space="preserve">　(3)单价金额小数点或者百分比有明显错位的，以开标一览表的总价为准，并修改单价；</w:t>
      </w:r>
      <w:r/>
    </w:p>
    <w:p>
      <w:pPr>
        <w:ind w:firstLine="560"/>
        <w:rPr>
          <w:rFonts w:hint="eastAsia" w:ascii="宋体" w:hAnsi="宋体"/>
          <w:bCs/>
          <w:szCs w:val="28"/>
        </w:rPr>
      </w:pPr>
      <w:r>
        <w:rPr>
          <w:rFonts w:hint="eastAsia" w:ascii="宋体" w:hAnsi="宋体"/>
          <w:bCs/>
          <w:szCs w:val="28"/>
        </w:rPr>
        <w:t xml:space="preserve">　(4)总价金额与按单价汇总金额不一致的，以单价金额计算结果为准。</w:t>
      </w:r>
      <w:r/>
    </w:p>
    <w:p>
      <w:pPr>
        <w:ind w:firstLine="560"/>
        <w:rPr>
          <w:rFonts w:hint="eastAsia" w:ascii="宋体" w:hAnsi="宋体"/>
          <w:bCs/>
          <w:szCs w:val="28"/>
        </w:rPr>
      </w:pPr>
      <w:r>
        <w:rPr>
          <w:rFonts w:hint="eastAsia" w:ascii="宋体" w:hAnsi="宋体"/>
          <w:bCs/>
          <w:szCs w:val="28"/>
        </w:rPr>
        <w:t xml:space="preserve">同时出现两种以上不一致的，按照前款规定的顺序修正。修正后的报价按照财政部《政府采购货物和服务招标投标管理办法》（财政部令第87号）第五十一条第二款的规定经投标人确认后产生约束力，投标人不确认的，其投标无效。</w:t>
      </w:r>
      <w:r/>
    </w:p>
    <w:p>
      <w:pPr>
        <w:ind w:firstLine="560"/>
        <w:rPr>
          <w:rFonts w:ascii="宋体" w:hAnsi="宋体"/>
          <w:szCs w:val="28"/>
        </w:rPr>
      </w:pPr>
      <w:r>
        <w:rPr>
          <w:rFonts w:hint="eastAsia" w:ascii="宋体" w:hAnsi="宋体"/>
          <w:bCs/>
          <w:szCs w:val="28"/>
        </w:rPr>
        <w:t xml:space="preserve">25.2评标委员会认为投标人的报价明显低于其他通过符合性审查投标人的报价，有可能影响产品质量或者不能诚信履约的，应当要求其在评标合理的时间内提供书面说明，必要时提交相关证明材料；投标人不能证明其报价合理性的，评标委员会应</w:t>
      </w:r>
      <w:r>
        <w:rPr>
          <w:rFonts w:hint="eastAsia" w:ascii="宋体" w:hAnsi="宋体"/>
          <w:bCs/>
          <w:szCs w:val="21"/>
        </w:rPr>
        <w:t xml:space="preserve">当将其</w:t>
      </w:r>
      <w:r>
        <w:rPr>
          <w:rFonts w:hint="eastAsia" w:ascii="宋体" w:hAnsi="宋体"/>
          <w:szCs w:val="21"/>
        </w:rPr>
        <w:t xml:space="preserve">作为无效投标处理。</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26.评标过程的保密</w:t>
      </w:r>
      <w:bookmarkEnd w:id="42"/>
      <w:r/>
      <w:bookmarkEnd w:id="43"/>
      <w:r/>
      <w:bookmarkEnd w:id="44"/>
      <w:r>
        <w:rPr>
          <w:rFonts w:hint="eastAsia" w:ascii="宋体" w:hAnsi="宋体"/>
          <w:b/>
          <w:szCs w:val="28"/>
        </w:rPr>
        <w:t xml:space="preserve">与公正</w:t>
      </w:r>
      <w:r/>
    </w:p>
    <w:p>
      <w:pPr>
        <w:ind w:firstLine="560"/>
        <w:rPr>
          <w:rFonts w:hint="eastAsia" w:ascii="宋体" w:hAnsi="宋体"/>
          <w:bCs/>
          <w:szCs w:val="28"/>
        </w:rPr>
      </w:pPr>
      <w:r>
        <w:rPr>
          <w:rFonts w:hint="eastAsia" w:ascii="宋体" w:hAnsi="宋体"/>
          <w:bCs/>
          <w:szCs w:val="28"/>
        </w:rPr>
        <w:t xml:space="preserve">26.1采购代理机构将采取必要措施，保证评标在严格保密的情况下进行。</w:t>
      </w:r>
      <w:r/>
    </w:p>
    <w:p>
      <w:pPr>
        <w:ind w:firstLine="560"/>
        <w:rPr>
          <w:rFonts w:ascii="宋体" w:hAnsi="宋体"/>
          <w:szCs w:val="28"/>
        </w:rPr>
      </w:pPr>
      <w:r>
        <w:rPr>
          <w:rFonts w:hint="eastAsia" w:ascii="宋体" w:hAnsi="宋体"/>
          <w:bCs/>
          <w:szCs w:val="28"/>
        </w:rPr>
        <w:t xml:space="preserve">26.2有关人员对评标情况以及在评标过程中获悉的国家秘密、商业秘密负有保密</w:t>
      </w:r>
      <w:r>
        <w:rPr>
          <w:rFonts w:hint="eastAsia" w:ascii="宋体" w:hAnsi="宋体"/>
          <w:szCs w:val="28"/>
        </w:rPr>
        <w:t xml:space="preserve">责任。</w:t>
      </w:r>
      <w:bookmarkStart w:id="45" w:name="_Toc513029232"/>
      <w:r/>
      <w:bookmarkStart w:id="46" w:name="_Toc16938548"/>
      <w:r/>
      <w:bookmarkStart w:id="47" w:name="_Toc20823304"/>
      <w:r/>
      <w:bookmarkEnd w:id="45"/>
      <w:r/>
      <w:bookmarkEnd w:id="46"/>
      <w:r/>
      <w:bookmarkEnd w:id="47"/>
      <w:r/>
      <w:r/>
    </w:p>
    <w:p>
      <w:pPr>
        <w:ind w:firstLine="561"/>
        <w:keepLines w:val="0"/>
        <w:keepNext w:val="0"/>
        <w:pageBreakBefore w:val="0"/>
        <w:spacing w:before="181" w:after="181" w:line="240" w:lineRule="auto"/>
        <w:widowControl w:val="off"/>
        <w:rPr>
          <w:rFonts w:hint="eastAsia" w:ascii="宋体" w:hAnsi="宋体"/>
          <w:b/>
          <w:szCs w:val="28"/>
        </w:rPr>
        <w:outlineLvl w:val="2"/>
      </w:pPr>
      <w:r/>
      <w:bookmarkStart w:id="48" w:name="_Toc513029235"/>
      <w:r/>
      <w:bookmarkStart w:id="49" w:name="_Toc20823307"/>
      <w:r/>
      <w:bookmarkStart w:id="50" w:name="_Toc16938551"/>
      <w:r/>
      <w:bookmarkStart w:id="51" w:name="_Toc120614219"/>
      <w:r>
        <w:rPr>
          <w:rFonts w:hint="eastAsia" w:ascii="宋体" w:hAnsi="宋体"/>
          <w:b/>
          <w:szCs w:val="28"/>
        </w:rPr>
        <w:t xml:space="preserve">27、无效投标、串标、废标</w:t>
      </w:r>
      <w:r/>
    </w:p>
    <w:p>
      <w:pPr>
        <w:ind w:firstLine="562"/>
        <w:rPr>
          <w:rFonts w:ascii="宋体" w:hAnsi="宋体"/>
          <w:szCs w:val="28"/>
        </w:rPr>
      </w:pPr>
      <w:r>
        <w:rPr>
          <w:rFonts w:hint="eastAsia" w:ascii="宋体" w:hAnsi="宋体"/>
          <w:b/>
          <w:szCs w:val="28"/>
        </w:rPr>
        <w:t xml:space="preserve">27.1投标文件有下列情形的属于无效投标：</w:t>
      </w:r>
      <w:r/>
    </w:p>
    <w:p>
      <w:pPr>
        <w:ind w:firstLine="560"/>
        <w:rPr>
          <w:rFonts w:hint="eastAsia" w:ascii="宋体" w:hAnsi="宋体"/>
          <w:bCs/>
          <w:szCs w:val="28"/>
        </w:rPr>
      </w:pPr>
      <w:r>
        <w:rPr>
          <w:rFonts w:hint="eastAsia" w:ascii="宋体" w:hAnsi="宋体"/>
          <w:bCs/>
          <w:szCs w:val="28"/>
        </w:rPr>
        <w:t xml:space="preserve">（1）未按照招标文件规定要求密封、递交、签署、盖章的；</w:t>
      </w:r>
      <w:r/>
    </w:p>
    <w:p>
      <w:pPr>
        <w:ind w:firstLine="560"/>
        <w:rPr>
          <w:rFonts w:hint="eastAsia" w:ascii="宋体" w:hAnsi="宋体"/>
          <w:bCs/>
          <w:szCs w:val="28"/>
        </w:rPr>
      </w:pPr>
      <w:r>
        <w:rPr>
          <w:rFonts w:hint="eastAsia" w:ascii="宋体" w:hAnsi="宋体"/>
          <w:bCs/>
          <w:szCs w:val="28"/>
        </w:rPr>
        <w:t xml:space="preserve">（2）投标人在报价时采用选择性报价；</w:t>
      </w:r>
      <w:r/>
    </w:p>
    <w:p>
      <w:pPr>
        <w:ind w:firstLine="560"/>
        <w:rPr>
          <w:rFonts w:hint="eastAsia" w:ascii="宋体" w:hAnsi="宋体"/>
          <w:bCs/>
          <w:szCs w:val="28"/>
        </w:rPr>
      </w:pPr>
      <w:r>
        <w:rPr>
          <w:rFonts w:hint="eastAsia" w:ascii="宋体" w:hAnsi="宋体"/>
          <w:bCs/>
          <w:szCs w:val="28"/>
        </w:rPr>
        <w:t xml:space="preserve">（3）投标人不具备招标文件中规定资格要求的；</w:t>
      </w:r>
      <w:r/>
    </w:p>
    <w:p>
      <w:pPr>
        <w:ind w:firstLine="560"/>
        <w:rPr>
          <w:rFonts w:hint="eastAsia" w:ascii="宋体" w:hAnsi="宋体"/>
          <w:bCs/>
          <w:szCs w:val="28"/>
        </w:rPr>
      </w:pPr>
      <w:r>
        <w:rPr>
          <w:rFonts w:hint="eastAsia" w:ascii="宋体" w:hAnsi="宋体"/>
          <w:bCs/>
          <w:szCs w:val="28"/>
        </w:rPr>
        <w:t xml:space="preserve">（4）投标人的报价超过了采购预算或最高限价的；</w:t>
      </w:r>
      <w:r/>
    </w:p>
    <w:p>
      <w:pPr>
        <w:ind w:firstLine="560"/>
        <w:rPr>
          <w:rFonts w:hint="eastAsia" w:ascii="宋体" w:hAnsi="宋体"/>
          <w:bCs/>
          <w:szCs w:val="28"/>
        </w:rPr>
      </w:pPr>
      <w:r>
        <w:rPr>
          <w:rFonts w:hint="eastAsia" w:ascii="宋体" w:hAnsi="宋体"/>
          <w:bCs/>
          <w:szCs w:val="28"/>
        </w:rPr>
        <w:t xml:space="preserve">（5）投标人不具备招标文件中规定资格要求的；</w:t>
      </w:r>
      <w:r/>
    </w:p>
    <w:p>
      <w:pPr>
        <w:ind w:firstLine="560"/>
        <w:rPr>
          <w:rFonts w:hint="eastAsia" w:ascii="宋体" w:hAnsi="宋体"/>
          <w:bCs/>
          <w:szCs w:val="28"/>
        </w:rPr>
      </w:pPr>
      <w:r>
        <w:rPr>
          <w:rFonts w:hint="eastAsia" w:ascii="宋体" w:hAnsi="宋体"/>
          <w:bCs/>
          <w:szCs w:val="28"/>
        </w:rPr>
        <w:t xml:space="preserve">（6）投标文件含有采购人不能接受的附加条件的；</w:t>
      </w:r>
      <w:r/>
    </w:p>
    <w:p>
      <w:pPr>
        <w:ind w:firstLine="560"/>
        <w:rPr>
          <w:rFonts w:hint="eastAsia" w:ascii="宋体" w:hAnsi="宋体"/>
          <w:bCs/>
          <w:szCs w:val="28"/>
        </w:rPr>
      </w:pPr>
      <w:r>
        <w:rPr>
          <w:rFonts w:hint="eastAsia" w:ascii="宋体" w:hAnsi="宋体"/>
          <w:bCs/>
          <w:szCs w:val="28"/>
        </w:rPr>
        <w:t xml:space="preserve">（7）未通过符合性检查的；</w:t>
      </w:r>
      <w:r/>
    </w:p>
    <w:p>
      <w:pPr>
        <w:ind w:firstLine="560"/>
        <w:rPr>
          <w:rFonts w:hint="eastAsia" w:ascii="宋体" w:hAnsi="宋体"/>
          <w:bCs/>
          <w:szCs w:val="28"/>
        </w:rPr>
      </w:pPr>
      <w:r>
        <w:rPr>
          <w:rFonts w:hint="eastAsia" w:ascii="宋体" w:hAnsi="宋体"/>
          <w:bCs/>
          <w:szCs w:val="28"/>
        </w:rPr>
        <w:t xml:space="preserve">（8）投标人串通投标；</w:t>
      </w:r>
      <w:r/>
    </w:p>
    <w:p>
      <w:pPr>
        <w:ind w:firstLine="560"/>
        <w:rPr>
          <w:rFonts w:hint="eastAsia" w:ascii="宋体" w:hAnsi="宋体"/>
          <w:bCs/>
          <w:szCs w:val="28"/>
        </w:rPr>
      </w:pPr>
      <w:r>
        <w:rPr>
          <w:rFonts w:hint="eastAsia" w:ascii="宋体" w:hAnsi="宋体"/>
          <w:bCs/>
          <w:szCs w:val="28"/>
        </w:rPr>
        <w:t xml:space="preserve">（9）评标委员会认为投标人的报价明显低于其他通过符合性审查投标人的报价，有可能影响产品质量或者不能诚信履约的，应当要求其在评标合理的时间内提供书面说明，必要时提交相关证明材料；投标人不能证明其报价合理性的，评标委员会应当将其作为无效投标处理；</w:t>
      </w:r>
      <w:r/>
    </w:p>
    <w:p>
      <w:pPr>
        <w:ind w:firstLine="560"/>
        <w:rPr>
          <w:rFonts w:ascii="宋体" w:hAnsi="宋体"/>
          <w:szCs w:val="28"/>
        </w:rPr>
      </w:pPr>
      <w:r>
        <w:rPr>
          <w:rFonts w:hint="eastAsia" w:ascii="宋体" w:hAnsi="宋体"/>
          <w:bCs/>
          <w:szCs w:val="28"/>
        </w:rPr>
        <w:t xml:space="preserve">（10）</w:t>
      </w:r>
      <w:r>
        <w:rPr>
          <w:rFonts w:hint="eastAsia" w:ascii="宋体" w:hAnsi="宋体"/>
          <w:szCs w:val="28"/>
        </w:rPr>
        <w:t xml:space="preserve">其他法律、法规及本招标文件规定的属无效投标的情形。</w:t>
      </w:r>
      <w:r/>
    </w:p>
    <w:p>
      <w:pPr>
        <w:ind w:firstLine="562"/>
        <w:tabs>
          <w:tab w:val="left" w:pos="4580" w:leader="none"/>
        </w:tabs>
        <w:rPr>
          <w:rFonts w:ascii="宋体" w:hAnsi="宋体"/>
          <w:b/>
          <w:szCs w:val="28"/>
          <w:highlight w:val="yellow"/>
        </w:rPr>
      </w:pPr>
      <w:r>
        <w:rPr>
          <w:rFonts w:hint="eastAsia" w:ascii="宋体" w:hAnsi="宋体"/>
          <w:b/>
          <w:szCs w:val="28"/>
          <w:highlight w:val="yellow"/>
        </w:rPr>
        <w:t xml:space="preserve">（11）改变甲方直接采购4项固定报价共230560元的。</w:t>
      </w:r>
      <w:r/>
    </w:p>
    <w:p>
      <w:pPr>
        <w:ind w:firstLine="562"/>
        <w:tabs>
          <w:tab w:val="left" w:pos="4580" w:leader="none"/>
        </w:tabs>
        <w:rPr>
          <w:rFonts w:ascii="宋体" w:hAnsi="宋体"/>
          <w:szCs w:val="28"/>
        </w:rPr>
      </w:pPr>
      <w:r>
        <w:rPr>
          <w:rFonts w:hint="eastAsia" w:ascii="宋体" w:hAnsi="宋体"/>
          <w:b/>
          <w:szCs w:val="28"/>
        </w:rPr>
        <w:t xml:space="preserve">27.2投标文件有下列情形的属于串通投标：</w:t>
      </w:r>
      <w:r/>
    </w:p>
    <w:p>
      <w:pPr>
        <w:ind w:firstLine="560"/>
        <w:rPr>
          <w:rFonts w:hint="eastAsia" w:ascii="宋体" w:hAnsi="宋体"/>
          <w:bCs/>
          <w:szCs w:val="28"/>
          <w:lang w:eastAsia="zh-CN"/>
        </w:rPr>
      </w:pPr>
      <w:r>
        <w:rPr>
          <w:rFonts w:hint="eastAsia" w:ascii="宋体" w:hAnsi="宋体"/>
          <w:position w:val="2"/>
          <w:szCs w:val="28"/>
        </w:rPr>
        <w:t xml:space="preserve">（1）</w:t>
      </w:r>
      <w:r>
        <w:rPr>
          <w:rFonts w:hint="eastAsia" w:ascii="宋体" w:hAnsi="宋体"/>
          <w:szCs w:val="28"/>
        </w:rPr>
        <w:t xml:space="preserve">不同投标人的</w:t>
      </w:r>
      <w:r>
        <w:rPr>
          <w:rFonts w:hint="eastAsia" w:ascii="宋体" w:hAnsi="宋体"/>
          <w:bCs/>
          <w:szCs w:val="28"/>
        </w:rPr>
        <w:t xml:space="preserve">投标文件由同一单位或者个人编制；</w:t>
      </w:r>
      <w:r/>
    </w:p>
    <w:p>
      <w:pPr>
        <w:ind w:firstLine="560"/>
        <w:rPr>
          <w:rFonts w:hint="eastAsia" w:ascii="宋体" w:hAnsi="宋体"/>
          <w:bCs/>
          <w:szCs w:val="28"/>
          <w:lang w:eastAsia="zh-CN"/>
        </w:rPr>
      </w:pPr>
      <w:r>
        <w:rPr>
          <w:rFonts w:hint="eastAsia" w:ascii="宋体" w:hAnsi="宋体"/>
          <w:bCs/>
          <w:szCs w:val="28"/>
        </w:rPr>
        <w:t xml:space="preserve">（2）不同投标人委托同一单位或者个人办理投标事宜；</w:t>
      </w:r>
      <w:r/>
    </w:p>
    <w:p>
      <w:pPr>
        <w:ind w:firstLine="560"/>
        <w:rPr>
          <w:rFonts w:hint="eastAsia" w:ascii="宋体" w:hAnsi="宋体"/>
          <w:bCs/>
          <w:szCs w:val="28"/>
          <w:lang w:eastAsia="zh-CN"/>
        </w:rPr>
      </w:pPr>
      <w:r>
        <w:rPr>
          <w:rFonts w:hint="eastAsia" w:ascii="宋体" w:hAnsi="宋体"/>
          <w:bCs/>
          <w:szCs w:val="28"/>
        </w:rPr>
        <w:t xml:space="preserve">（3）不同投标人的投标文件载明的项目管理成员或者联系人员为同一人；</w:t>
      </w:r>
      <w:r/>
    </w:p>
    <w:p>
      <w:pPr>
        <w:ind w:firstLine="560"/>
        <w:rPr>
          <w:rFonts w:hint="eastAsia" w:ascii="宋体" w:hAnsi="宋体"/>
          <w:bCs/>
          <w:szCs w:val="28"/>
          <w:lang w:eastAsia="zh-CN"/>
        </w:rPr>
      </w:pPr>
      <w:r>
        <w:rPr>
          <w:rFonts w:hint="eastAsia" w:ascii="宋体" w:hAnsi="宋体"/>
          <w:bCs/>
          <w:szCs w:val="28"/>
        </w:rPr>
        <w:t xml:space="preserve">（4）不同投标人的投标文件异常一致或者投标报价呈规律性差异；</w:t>
      </w:r>
      <w:r/>
    </w:p>
    <w:p>
      <w:pPr>
        <w:ind w:firstLine="560"/>
        <w:rPr>
          <w:rFonts w:ascii="宋体" w:hAnsi="宋体"/>
          <w:szCs w:val="28"/>
        </w:rPr>
      </w:pPr>
      <w:r>
        <w:rPr>
          <w:rFonts w:hint="eastAsia" w:ascii="宋体" w:hAnsi="宋体"/>
          <w:bCs/>
          <w:szCs w:val="28"/>
        </w:rPr>
        <w:t xml:space="preserve">（5）不同投标人的</w:t>
      </w:r>
      <w:r>
        <w:rPr>
          <w:rFonts w:hint="eastAsia" w:ascii="宋体" w:hAnsi="宋体"/>
          <w:szCs w:val="28"/>
        </w:rPr>
        <w:t xml:space="preserve">投标文件相互混装。　　</w:t>
      </w:r>
      <w:r/>
    </w:p>
    <w:p>
      <w:pPr>
        <w:ind w:firstLine="562"/>
        <w:tabs>
          <w:tab w:val="left" w:pos="4580" w:leader="none"/>
        </w:tabs>
        <w:rPr>
          <w:rFonts w:ascii="宋体" w:hAnsi="宋体"/>
          <w:b/>
          <w:szCs w:val="28"/>
        </w:rPr>
      </w:pPr>
      <w:r>
        <w:rPr>
          <w:rFonts w:hint="eastAsia" w:ascii="宋体" w:hAnsi="宋体"/>
          <w:b/>
          <w:szCs w:val="28"/>
        </w:rPr>
        <w:t xml:space="preserve">27.3有下列情形之一的予以废标，同时将废标理由通知所有投标人：</w:t>
      </w:r>
      <w:r/>
    </w:p>
    <w:p>
      <w:pPr>
        <w:ind w:firstLine="560"/>
        <w:rPr>
          <w:rFonts w:hint="eastAsia" w:ascii="宋体" w:hAnsi="宋体"/>
          <w:bCs/>
          <w:szCs w:val="28"/>
        </w:rPr>
      </w:pPr>
      <w:r>
        <w:rPr>
          <w:rFonts w:hint="eastAsia" w:ascii="宋体" w:hAnsi="宋体"/>
          <w:position w:val="2"/>
          <w:szCs w:val="28"/>
        </w:rPr>
        <w:t xml:space="preserve">（1）符合专业</w:t>
      </w:r>
      <w:r>
        <w:rPr>
          <w:rFonts w:hint="eastAsia" w:ascii="宋体" w:hAnsi="宋体"/>
          <w:bCs/>
          <w:szCs w:val="28"/>
        </w:rPr>
        <w:t xml:space="preserve">条件的投标人或者对招标文件作实质响应的投标人不足三家的；</w:t>
      </w:r>
      <w:r/>
    </w:p>
    <w:p>
      <w:pPr>
        <w:ind w:firstLine="560"/>
        <w:rPr>
          <w:rFonts w:hint="eastAsia" w:ascii="宋体" w:hAnsi="宋体"/>
          <w:bCs/>
          <w:szCs w:val="28"/>
        </w:rPr>
      </w:pPr>
      <w:r>
        <w:rPr>
          <w:rFonts w:hint="eastAsia" w:ascii="宋体" w:hAnsi="宋体"/>
          <w:bCs/>
          <w:szCs w:val="28"/>
        </w:rPr>
        <w:t xml:space="preserve">（2）出现影响采购公正的违法、违规行为的；</w:t>
      </w:r>
      <w:r/>
    </w:p>
    <w:p>
      <w:pPr>
        <w:ind w:firstLine="560"/>
        <w:rPr>
          <w:rFonts w:hint="eastAsia" w:ascii="宋体" w:hAnsi="宋体"/>
          <w:bCs/>
          <w:szCs w:val="28"/>
        </w:rPr>
      </w:pPr>
      <w:r>
        <w:rPr>
          <w:rFonts w:hint="eastAsia" w:ascii="宋体" w:hAnsi="宋体"/>
          <w:bCs/>
          <w:szCs w:val="28"/>
        </w:rPr>
        <w:t xml:space="preserve">（3）投标人的报价均超过了采购预算，采购人不能支付的；</w:t>
      </w:r>
      <w:r/>
    </w:p>
    <w:p>
      <w:pPr>
        <w:ind w:firstLine="560"/>
        <w:rPr>
          <w:rFonts w:hint="eastAsia" w:ascii="宋体" w:hAnsi="宋体"/>
          <w:bCs/>
          <w:szCs w:val="28"/>
        </w:rPr>
      </w:pPr>
      <w:r>
        <w:rPr>
          <w:rFonts w:hint="eastAsia" w:ascii="宋体" w:hAnsi="宋体"/>
          <w:bCs/>
          <w:szCs w:val="28"/>
        </w:rPr>
        <w:t xml:space="preserve">（4）因重大变故，采购任务取消的。</w:t>
      </w:r>
      <w:bookmarkEnd w:id="48"/>
      <w:r/>
      <w:bookmarkEnd w:id="49"/>
      <w:r/>
      <w:bookmarkEnd w:id="50"/>
      <w:r/>
      <w:bookmarkEnd w:id="51"/>
      <w:r/>
      <w:r/>
    </w:p>
    <w:p>
      <w:pPr>
        <w:ind w:firstLine="560"/>
        <w:rPr>
          <w:rFonts w:ascii="宋体" w:hAnsi="宋体"/>
          <w:bCs/>
          <w:szCs w:val="28"/>
        </w:rPr>
      </w:pPr>
      <w:r>
        <w:rPr>
          <w:rFonts w:hint="eastAsia" w:ascii="宋体" w:hAnsi="宋体"/>
          <w:bCs/>
          <w:szCs w:val="28"/>
        </w:rPr>
        <w:t xml:space="preserve">（5）评标委员会认定招标文件存在歧义、重大缺陷导致评审工作无法进行。</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28.确定中标人</w:t>
      </w:r>
      <w:r/>
    </w:p>
    <w:p>
      <w:pPr>
        <w:ind w:firstLine="560"/>
        <w:rPr>
          <w:rFonts w:hint="eastAsia" w:ascii="宋体" w:hAnsi="宋体"/>
          <w:bCs/>
          <w:szCs w:val="28"/>
        </w:rPr>
      </w:pPr>
      <w:r>
        <w:rPr>
          <w:rFonts w:hint="eastAsia" w:ascii="宋体" w:hAnsi="宋体"/>
          <w:bCs/>
          <w:szCs w:val="28"/>
        </w:rPr>
        <w:t xml:space="preserve">28.1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由采购人或者采购人委托评标委员会按照招标文件规定的方式确定中标人；招标文件未规定的，采取随机抽取的方式确定。</w:t>
      </w:r>
      <w:r/>
    </w:p>
    <w:p>
      <w:pPr>
        <w:ind w:firstLine="560"/>
        <w:rPr>
          <w:rFonts w:hint="eastAsia" w:ascii="宋体" w:hAnsi="宋体"/>
          <w:bCs/>
          <w:szCs w:val="28"/>
        </w:rPr>
      </w:pPr>
      <w:r>
        <w:rPr>
          <w:rFonts w:hint="eastAsia" w:ascii="宋体" w:hAnsi="宋体"/>
          <w:bCs/>
          <w:szCs w:val="28"/>
        </w:rPr>
        <w:t xml:space="preserve">28.2评标委员会根据全体评标成员签字的原始评标记录和评标结果编写评标报告。</w:t>
      </w:r>
      <w:r/>
    </w:p>
    <w:p>
      <w:pPr>
        <w:ind w:firstLine="560"/>
        <w:rPr>
          <w:rFonts w:hint="eastAsia" w:ascii="宋体" w:hAnsi="宋体"/>
          <w:bCs/>
          <w:szCs w:val="28"/>
        </w:rPr>
      </w:pPr>
      <w:r>
        <w:rPr>
          <w:rFonts w:hint="eastAsia" w:ascii="宋体" w:hAnsi="宋体"/>
          <w:bCs/>
          <w:szCs w:val="28"/>
        </w:rPr>
        <w:t xml:space="preserve">28.3 持不同意见的评标委员会成员应当在评标报告上签署不同意见及理由，否则视为同意评标报告。</w:t>
      </w:r>
      <w:r/>
    </w:p>
    <w:p>
      <w:pPr>
        <w:ind w:firstLine="560"/>
        <w:rPr>
          <w:rFonts w:hint="eastAsia" w:ascii="宋体" w:hAnsi="宋体"/>
          <w:bCs/>
          <w:szCs w:val="28"/>
        </w:rPr>
      </w:pPr>
      <w:r>
        <w:rPr>
          <w:rFonts w:hint="eastAsia" w:ascii="宋体" w:hAnsi="宋体"/>
          <w:bCs/>
          <w:szCs w:val="28"/>
        </w:rPr>
        <w:t xml:space="preserve">28.4采购代理机构在评标结束后2个工作日内将评标报告送采购人。</w:t>
      </w:r>
      <w:r/>
    </w:p>
    <w:p>
      <w:pPr>
        <w:ind w:firstLine="560"/>
        <w:rPr>
          <w:rFonts w:hint="eastAsia" w:ascii="宋体" w:hAnsi="宋体"/>
          <w:bCs/>
          <w:szCs w:val="28"/>
        </w:rPr>
      </w:pPr>
      <w:r>
        <w:rPr>
          <w:rFonts w:hint="eastAsia" w:ascii="宋体" w:hAnsi="宋体"/>
          <w:bCs/>
          <w:szCs w:val="28"/>
        </w:rPr>
        <w:t xml:space="preserve">28.</w:t>
      </w:r>
      <w:bookmarkStart w:id="52" w:name="_Toc200451960"/>
      <w:r>
        <w:rPr>
          <w:rFonts w:hint="eastAsia" w:ascii="宋体" w:hAnsi="宋体"/>
          <w:bCs/>
          <w:szCs w:val="28"/>
        </w:rPr>
        <w:t xml:space="preserve">5采购人自收到评标报告之日起5个工作日内，在评标报告确定的中标候选人名单中按顺序确定中标人。</w:t>
      </w:r>
      <w:r/>
    </w:p>
    <w:p>
      <w:pPr>
        <w:ind w:firstLine="560"/>
        <w:rPr>
          <w:rFonts w:hint="eastAsia" w:ascii="宋体" w:hAnsi="宋体"/>
          <w:bCs/>
          <w:szCs w:val="28"/>
        </w:rPr>
      </w:pPr>
      <w:r>
        <w:rPr>
          <w:rFonts w:hint="eastAsia" w:ascii="宋体" w:hAnsi="宋体"/>
          <w:bCs/>
          <w:szCs w:val="28"/>
        </w:rPr>
        <w:t xml:space="preserve">28.6采购人或者采购代理机构自中标人确定之日起2个工作日内，在省级以上财政部门指定的媒体上公告中标结果。并同时发出中标通知书，中标人应及时到采购代理机构领取《中标通知书》。</w:t>
      </w:r>
      <w:r/>
    </w:p>
    <w:p>
      <w:pPr>
        <w:ind w:firstLine="560"/>
        <w:rPr>
          <w:rFonts w:hint="eastAsia" w:ascii="宋体" w:hAnsi="宋体"/>
          <w:bCs/>
          <w:szCs w:val="28"/>
        </w:rPr>
      </w:pPr>
      <w:r>
        <w:rPr>
          <w:rFonts w:hint="eastAsia" w:ascii="宋体" w:hAnsi="宋体"/>
          <w:bCs/>
          <w:szCs w:val="28"/>
        </w:rPr>
        <w:t xml:space="preserve">28.7中标通知书对采购人和中标人具有同等法律效力。</w:t>
      </w:r>
      <w:r/>
    </w:p>
    <w:p>
      <w:pPr>
        <w:ind w:firstLine="560"/>
        <w:rPr>
          <w:rFonts w:hint="eastAsia" w:ascii="宋体" w:hAnsi="宋体"/>
          <w:bCs/>
          <w:szCs w:val="28"/>
        </w:rPr>
      </w:pPr>
      <w:r>
        <w:rPr>
          <w:rFonts w:hint="eastAsia" w:ascii="宋体" w:hAnsi="宋体"/>
          <w:bCs/>
          <w:szCs w:val="28"/>
        </w:rPr>
        <w:t xml:space="preserve">28.8中标公告期限为1个工作日。</w:t>
      </w:r>
      <w:r/>
    </w:p>
    <w:p>
      <w:pPr>
        <w:ind w:firstLine="560"/>
        <w:rPr>
          <w:rFonts w:hint="eastAsia" w:ascii="宋体" w:hAnsi="宋体"/>
          <w:bCs/>
          <w:szCs w:val="28"/>
        </w:rPr>
      </w:pPr>
      <w:r>
        <w:rPr>
          <w:rFonts w:hint="eastAsia" w:ascii="宋体" w:hAnsi="宋体"/>
          <w:bCs/>
          <w:szCs w:val="28"/>
        </w:rPr>
        <w:t xml:space="preserve">28.9中标人拒绝与采购人签订合同的，采购人可以按照评审报告推荐的中标候选人名单排序，确定下一候选人为中标人，也可以重新开展政府采购活动。</w:t>
      </w:r>
      <w:r/>
    </w:p>
    <w:p>
      <w:pPr>
        <w:ind w:firstLine="560"/>
        <w:rPr>
          <w:rFonts w:hint="eastAsia" w:ascii="宋体" w:hAnsi="宋体"/>
          <w:bCs/>
          <w:szCs w:val="28"/>
        </w:rPr>
      </w:pPr>
      <w:r>
        <w:rPr>
          <w:rFonts w:hint="eastAsia" w:ascii="宋体" w:hAnsi="宋体"/>
          <w:bCs/>
          <w:szCs w:val="28"/>
        </w:rPr>
        <w:t xml:space="preserve">28.10对未通过资格审查的投标人，将告知其未通过的原因；采用综合评分法评审的，将告知未中标人本人的评审得分与排序。</w:t>
      </w:r>
      <w:r/>
    </w:p>
    <w:p>
      <w:pPr>
        <w:ind w:firstLine="560"/>
        <w:rPr>
          <w:rFonts w:hint="eastAsia" w:ascii="宋体" w:hAnsi="宋体"/>
          <w:bCs/>
          <w:szCs w:val="28"/>
        </w:rPr>
      </w:pPr>
      <w:r>
        <w:rPr>
          <w:rFonts w:hint="eastAsia" w:ascii="宋体" w:hAnsi="宋体"/>
          <w:bCs/>
          <w:szCs w:val="28"/>
        </w:rPr>
        <w:t xml:space="preserve">28.11所有投标文件都将作为档案保存，不论中标与否，采购代理机构均不退回。</w:t>
      </w:r>
      <w:r/>
    </w:p>
    <w:p>
      <w:pPr>
        <w:ind w:firstLine="560"/>
        <w:rPr>
          <w:rFonts w:ascii="宋体" w:hAnsi="宋体"/>
          <w:szCs w:val="28"/>
        </w:rPr>
      </w:pPr>
      <w:r>
        <w:rPr>
          <w:rFonts w:hint="eastAsia" w:ascii="宋体" w:hAnsi="宋体"/>
          <w:bCs/>
          <w:szCs w:val="28"/>
        </w:rPr>
        <w:t xml:space="preserve">28.12政府采购合同签订之日起2个工作日内，将政府采购合同在省级以上人民政府财政部门指定的媒体上公告，但政府采购合同中涉及国家秘密、商业秘密的内容除外</w:t>
      </w:r>
      <w:r>
        <w:rPr>
          <w:rFonts w:hint="eastAsia" w:ascii="宋体" w:hAnsi="宋体"/>
          <w:szCs w:val="28"/>
        </w:rPr>
        <w:t xml:space="preserve">。</w:t>
      </w:r>
      <w:bookmarkEnd w:id="52"/>
      <w:r/>
      <w:r/>
    </w:p>
    <w:p>
      <w:pPr>
        <w:jc w:val="center"/>
        <w:keepLines w:val="0"/>
        <w:keepNext w:val="0"/>
        <w:pageBreakBefore w:val="0"/>
        <w:spacing w:before="181" w:after="181" w:line="240" w:lineRule="auto"/>
        <w:widowControl w:val="off"/>
        <w:rPr>
          <w:rFonts w:hint="eastAsia" w:ascii="宋体" w:hAnsi="宋体"/>
          <w:b/>
          <w:szCs w:val="28"/>
        </w:rPr>
        <w:outlineLvl w:val="1"/>
      </w:pPr>
      <w:r>
        <w:rPr>
          <w:rFonts w:hint="eastAsia" w:ascii="宋体" w:hAnsi="宋体"/>
          <w:b/>
          <w:szCs w:val="28"/>
        </w:rPr>
        <w:t xml:space="preserve">六、签订合同</w:t>
      </w:r>
      <w:r/>
    </w:p>
    <w:p>
      <w:pPr>
        <w:spacing w:after="120"/>
      </w:pPr>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29. 招标代理服务费</w:t>
      </w:r>
      <w:r/>
    </w:p>
    <w:p>
      <w:pPr>
        <w:ind w:firstLine="560"/>
        <w:keepLines w:val="0"/>
        <w:keepNext w:val="0"/>
        <w:pageBreakBefore w:val="0"/>
        <w:widowControl w:val="off"/>
        <w:rPr>
          <w:rFonts w:ascii="宋体" w:hAnsi="宋体"/>
          <w:szCs w:val="28"/>
        </w:rPr>
      </w:pPr>
      <w:r>
        <w:rPr>
          <w:rFonts w:hint="eastAsia" w:ascii="宋体" w:hAnsi="宋体"/>
          <w:szCs w:val="28"/>
        </w:rPr>
        <w:t xml:space="preserve">29.l招标代理服务费由中标</w:t>
      </w:r>
      <w:r>
        <w:rPr>
          <w:rFonts w:hint="eastAsia" w:ascii="宋体" w:hAnsi="宋体"/>
          <w:szCs w:val="28"/>
          <w:highlight w:val="none"/>
        </w:rPr>
        <w:t xml:space="preserve">人代为支付</w:t>
      </w:r>
      <w:r>
        <w:rPr>
          <w:rFonts w:hint="eastAsia" w:ascii="宋体" w:hAnsi="宋体"/>
          <w:szCs w:val="28"/>
        </w:rPr>
        <w:t xml:space="preserve">，中标人向采购代理机构支付招标代理服务费后到采购代理机构领取《中标通知书》。</w:t>
      </w:r>
      <w:r/>
    </w:p>
    <w:p>
      <w:pPr>
        <w:ind w:firstLine="560"/>
        <w:keepLines w:val="0"/>
        <w:keepNext w:val="0"/>
        <w:pageBreakBefore w:val="0"/>
        <w:widowControl w:val="off"/>
        <w:rPr>
          <w:rFonts w:ascii="宋体" w:hAnsi="宋体"/>
          <w:szCs w:val="28"/>
        </w:rPr>
      </w:pPr>
      <w:r>
        <w:rPr>
          <w:rFonts w:hint="eastAsia" w:ascii="宋体" w:hAnsi="宋体"/>
          <w:szCs w:val="28"/>
        </w:rPr>
        <w:t xml:space="preserve">29.2本次招标代理服务费按苏招协[2022]002号文件规定</w:t>
      </w:r>
      <w:r>
        <w:rPr>
          <w:rFonts w:hint="eastAsia" w:ascii="宋体" w:hAnsi="宋体"/>
          <w:szCs w:val="28"/>
        </w:rPr>
        <w:t xml:space="preserve">打折</w:t>
      </w:r>
      <w:r>
        <w:rPr>
          <w:rFonts w:hint="eastAsia" w:ascii="宋体" w:hAnsi="宋体"/>
          <w:szCs w:val="28"/>
        </w:rPr>
        <w:t xml:space="preserve">收取，招标代理服务费为46000元整。</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30.履约保证金</w:t>
      </w:r>
      <w:r/>
    </w:p>
    <w:p>
      <w:pPr>
        <w:ind w:firstLine="560"/>
        <w:rPr>
          <w:rFonts w:hint="eastAsia" w:ascii="宋体" w:hAnsi="宋体"/>
          <w:bCs/>
          <w:szCs w:val="28"/>
        </w:rPr>
      </w:pPr>
      <w:r>
        <w:rPr>
          <w:rFonts w:hint="eastAsia" w:ascii="宋体" w:hAnsi="宋体"/>
          <w:bCs/>
          <w:szCs w:val="28"/>
        </w:rPr>
        <w:t xml:space="preserve">30.1在签订合同时，中标供应商须向招标人交纳履约保证金（履约保证金的数额为合同金额的10%，以支票、汇票、本票或者金融机构、担保机构出具的保函等形式提交）。</w:t>
      </w:r>
      <w:r/>
    </w:p>
    <w:p>
      <w:pPr>
        <w:ind w:firstLine="560"/>
        <w:rPr>
          <w:rFonts w:hint="eastAsia" w:ascii="宋体" w:hAnsi="宋体"/>
          <w:bCs/>
          <w:szCs w:val="28"/>
        </w:rPr>
      </w:pPr>
      <w:r>
        <w:rPr>
          <w:rFonts w:hint="eastAsia" w:ascii="宋体" w:hAnsi="宋体"/>
          <w:bCs/>
          <w:szCs w:val="28"/>
        </w:rPr>
        <w:t xml:space="preserve">30.2中标供应商若在签订采购合同前向招标人提交本单位有效期内的第三方信用报告，且信用评级在AA级及以上的，中标供应商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firstLine="560"/>
        <w:rPr>
          <w:rFonts w:hint="eastAsia" w:ascii="宋体" w:hAnsi="宋体"/>
          <w:bCs/>
          <w:szCs w:val="28"/>
        </w:rPr>
      </w:pPr>
      <w:r>
        <w:rPr>
          <w:rFonts w:hint="eastAsia" w:ascii="宋体" w:hAnsi="宋体"/>
          <w:bCs/>
          <w:szCs w:val="28"/>
        </w:rPr>
        <w:t xml:space="preserve">30.3履约保证金用以约束中标供应商在合同履行中的行为，弥补合同执行中由于中标供应商自身行为可能给招标人带来的各种损失。中标供应商履行合同违约时，招标人按合同约定扣除全部或部分履约保证金。如违约给招标人造成的损失超过履约保证金的，还应当依法赔偿超过部分的损失。</w:t>
      </w:r>
      <w:r/>
    </w:p>
    <w:p>
      <w:pPr>
        <w:ind w:firstLine="560"/>
        <w:rPr>
          <w:rFonts w:hint="eastAsia" w:ascii="宋体" w:hAnsi="宋体"/>
          <w:bCs/>
          <w:szCs w:val="28"/>
        </w:rPr>
      </w:pPr>
      <w:r>
        <w:rPr>
          <w:rFonts w:hint="eastAsia" w:ascii="宋体" w:hAnsi="宋体"/>
          <w:bCs/>
          <w:szCs w:val="28"/>
        </w:rPr>
        <w:t xml:space="preserve">30.4履约保证金的退还：</w:t>
      </w:r>
      <w:r/>
    </w:p>
    <w:p>
      <w:pPr>
        <w:ind w:firstLine="560"/>
        <w:rPr>
          <w:rFonts w:hint="eastAsia" w:ascii="宋体" w:hAnsi="宋体"/>
          <w:bCs/>
          <w:szCs w:val="28"/>
        </w:rPr>
      </w:pPr>
      <w:r>
        <w:rPr>
          <w:rFonts w:hint="eastAsia" w:ascii="宋体" w:hAnsi="宋体"/>
          <w:bCs/>
          <w:szCs w:val="28"/>
        </w:rPr>
        <w:t xml:space="preserve">30.4.1方式：退还至投标人缴纳履约保证金的账户。如为保函，在到期时自行失效。</w:t>
      </w:r>
      <w:r/>
    </w:p>
    <w:p>
      <w:pPr>
        <w:ind w:firstLine="560"/>
        <w:rPr>
          <w:rFonts w:hint="eastAsia" w:ascii="宋体" w:hAnsi="宋体"/>
          <w:bCs/>
          <w:szCs w:val="28"/>
        </w:rPr>
      </w:pPr>
      <w:r>
        <w:rPr>
          <w:rFonts w:hint="eastAsia" w:ascii="宋体" w:hAnsi="宋体"/>
          <w:bCs/>
          <w:szCs w:val="28"/>
        </w:rPr>
        <w:t xml:space="preserve">30.4.2时间：验收合格且招标人收到发票后10个工作日。</w:t>
      </w:r>
      <w:r/>
    </w:p>
    <w:p>
      <w:pPr>
        <w:ind w:firstLine="560"/>
        <w:rPr>
          <w:rFonts w:hint="eastAsia" w:ascii="宋体" w:hAnsi="宋体"/>
          <w:bCs/>
          <w:szCs w:val="28"/>
        </w:rPr>
      </w:pPr>
      <w:r>
        <w:rPr>
          <w:rFonts w:hint="eastAsia" w:ascii="宋体" w:hAnsi="宋体"/>
          <w:bCs/>
          <w:szCs w:val="28"/>
        </w:rPr>
        <w:t xml:space="preserve">30.4.3条件：按合同要求全部履约完成并经招标人验收合格，且招标人收到中标人出具的发票。</w:t>
      </w:r>
      <w:r/>
    </w:p>
    <w:p>
      <w:pPr>
        <w:ind w:firstLine="560"/>
        <w:rPr>
          <w:rFonts w:hint="eastAsia" w:ascii="宋体" w:hAnsi="宋体"/>
          <w:bCs/>
          <w:szCs w:val="28"/>
        </w:rPr>
      </w:pPr>
      <w:r>
        <w:rPr>
          <w:rFonts w:hint="eastAsia" w:ascii="宋体" w:hAnsi="宋体"/>
          <w:bCs/>
          <w:szCs w:val="28"/>
        </w:rPr>
        <w:t xml:space="preserve">30.4.4不予退还情形：</w:t>
      </w:r>
      <w:r/>
    </w:p>
    <w:p>
      <w:pPr>
        <w:ind w:firstLine="560"/>
        <w:rPr>
          <w:rFonts w:hint="eastAsia" w:ascii="宋体" w:hAnsi="宋体"/>
          <w:bCs/>
          <w:szCs w:val="28"/>
        </w:rPr>
      </w:pPr>
      <w:r>
        <w:rPr>
          <w:rFonts w:hint="eastAsia" w:ascii="宋体" w:hAnsi="宋体"/>
          <w:bCs/>
          <w:szCs w:val="28"/>
        </w:rPr>
        <w:t xml:space="preserve">除不可抗力情况外，投标人出现下列情形之一的，其履约保证金，招标人将视情节决定不予退还或部分不予退还。</w:t>
      </w:r>
      <w:r/>
    </w:p>
    <w:p>
      <w:pPr>
        <w:ind w:firstLine="560"/>
        <w:rPr>
          <w:rFonts w:hint="eastAsia" w:ascii="宋体" w:hAnsi="宋体"/>
          <w:bCs/>
          <w:szCs w:val="28"/>
        </w:rPr>
      </w:pPr>
      <w:r>
        <w:rPr>
          <w:rFonts w:hint="eastAsia" w:ascii="宋体" w:hAnsi="宋体"/>
          <w:bCs/>
          <w:szCs w:val="28"/>
        </w:rPr>
        <w:t xml:space="preserve">（1）中标人无正当理由拒绝签订合同的，或者在签订合同时向招标人提出附加条件或者更改合同实质性内容要求的；</w:t>
      </w:r>
      <w:r/>
    </w:p>
    <w:p>
      <w:pPr>
        <w:ind w:firstLine="560"/>
        <w:rPr>
          <w:rFonts w:hint="eastAsia" w:ascii="宋体" w:hAnsi="宋体"/>
          <w:bCs/>
          <w:szCs w:val="28"/>
        </w:rPr>
      </w:pPr>
      <w:r>
        <w:rPr>
          <w:rFonts w:hint="eastAsia" w:ascii="宋体" w:hAnsi="宋体"/>
          <w:bCs/>
          <w:szCs w:val="28"/>
        </w:rPr>
        <w:t xml:space="preserve">（2）中标人不履行与招标人订立的合同的；</w:t>
      </w:r>
      <w:r/>
    </w:p>
    <w:p>
      <w:pPr>
        <w:ind w:firstLine="560"/>
        <w:rPr>
          <w:rFonts w:hint="eastAsia" w:ascii="宋体" w:hAnsi="宋体"/>
          <w:bCs/>
          <w:szCs w:val="28"/>
        </w:rPr>
      </w:pPr>
      <w:r>
        <w:rPr>
          <w:rFonts w:hint="eastAsia" w:ascii="宋体" w:hAnsi="宋体"/>
          <w:bCs/>
          <w:szCs w:val="28"/>
        </w:rPr>
        <w:t xml:space="preserve">（3）中标人所供货物或服务不符合招标文件规定要求的；</w:t>
      </w:r>
      <w:r/>
    </w:p>
    <w:p>
      <w:pPr>
        <w:ind w:firstLine="560"/>
        <w:rPr>
          <w:rFonts w:hint="eastAsia" w:ascii="宋体" w:hAnsi="宋体"/>
          <w:bCs/>
          <w:szCs w:val="28"/>
        </w:rPr>
      </w:pPr>
      <w:r>
        <w:rPr>
          <w:rFonts w:hint="eastAsia" w:ascii="宋体" w:hAnsi="宋体"/>
          <w:bCs/>
          <w:szCs w:val="28"/>
        </w:rPr>
        <w:t xml:space="preserve">（4）中标人采取欺骗、弄虚作假方式投标的或与其它投标人串通投标的；</w:t>
      </w:r>
      <w:r/>
    </w:p>
    <w:p>
      <w:pPr>
        <w:ind w:firstLine="560"/>
        <w:rPr>
          <w:rFonts w:hint="eastAsia" w:ascii="宋体" w:hAnsi="宋体"/>
          <w:bCs/>
          <w:szCs w:val="28"/>
        </w:rPr>
      </w:pPr>
      <w:r>
        <w:rPr>
          <w:rFonts w:hint="eastAsia" w:ascii="宋体" w:hAnsi="宋体"/>
          <w:bCs/>
          <w:szCs w:val="28"/>
        </w:rPr>
        <w:t xml:space="preserve">（5）中标人将合同内容转包、违法分包的；</w:t>
      </w:r>
      <w:r/>
    </w:p>
    <w:p>
      <w:pPr>
        <w:ind w:firstLine="560"/>
        <w:rPr>
          <w:rFonts w:hint="eastAsia" w:ascii="宋体" w:hAnsi="宋体"/>
          <w:bCs/>
          <w:szCs w:val="28"/>
        </w:rPr>
      </w:pPr>
      <w:r>
        <w:rPr>
          <w:rFonts w:hint="eastAsia" w:ascii="宋体" w:hAnsi="宋体"/>
          <w:bCs/>
          <w:szCs w:val="28"/>
        </w:rPr>
        <w:t xml:space="preserve">（6）中标人故意捏造事实或伪造证明材料，进行虚假恶意投诉或反映的。</w:t>
      </w:r>
      <w:r/>
    </w:p>
    <w:p>
      <w:pPr>
        <w:ind w:firstLine="560"/>
        <w:rPr>
          <w:rFonts w:ascii="宋体" w:hAnsi="宋体"/>
          <w:bCs/>
          <w:szCs w:val="28"/>
        </w:rPr>
      </w:pPr>
      <w:r>
        <w:rPr>
          <w:rFonts w:hint="eastAsia" w:ascii="宋体" w:hAnsi="宋体"/>
          <w:bCs/>
          <w:szCs w:val="28"/>
        </w:rPr>
        <w:t xml:space="preserve">30.4.5逾期退还的违约责任：招标人逾期无故未退还履约保证金的，按中国人民银行同期贷款基准利率上浮20%后的利率支付超期资金占用费，但因供应商自身原因导致无法及时退还的除外。   </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31.签订合同</w:t>
      </w:r>
      <w:r/>
    </w:p>
    <w:p>
      <w:pPr>
        <w:ind w:firstLine="560"/>
        <w:rPr>
          <w:rFonts w:hint="eastAsia" w:ascii="宋体" w:hAnsi="宋体"/>
          <w:bCs/>
          <w:szCs w:val="28"/>
        </w:rPr>
      </w:pPr>
      <w:r>
        <w:rPr>
          <w:rFonts w:hint="eastAsia" w:ascii="宋体" w:hAnsi="宋体"/>
          <w:bCs/>
          <w:szCs w:val="28"/>
        </w:rPr>
        <w:t xml:space="preserve">31.1采购人应当自中标通知书发出之日起</w:t>
      </w:r>
      <w:r>
        <w:rPr>
          <w:rFonts w:hint="eastAsia" w:ascii="宋体" w:hAnsi="宋体"/>
          <w:bCs/>
          <w:szCs w:val="28"/>
          <w:lang w:val="en-US" w:eastAsia="zh-CN"/>
        </w:rPr>
        <w:t xml:space="preserve">三十</w:t>
      </w:r>
      <w:r>
        <w:rPr>
          <w:rFonts w:hint="eastAsia" w:ascii="宋体" w:hAnsi="宋体"/>
          <w:bCs/>
          <w:szCs w:val="28"/>
        </w:rPr>
        <w:t xml:space="preserve">日内，按照招标文件和中标人投标文件的规定与中标人签订书面合同。所签订的合同不得对招标文件确定事项和中标人投标文件作实质性修改。</w:t>
      </w:r>
      <w:r/>
    </w:p>
    <w:p>
      <w:pPr>
        <w:ind w:firstLine="560"/>
        <w:rPr>
          <w:rFonts w:hint="eastAsia" w:ascii="宋体" w:hAnsi="宋体"/>
          <w:bCs/>
          <w:szCs w:val="28"/>
        </w:rPr>
      </w:pPr>
      <w:r>
        <w:rPr>
          <w:rFonts w:hint="eastAsia" w:ascii="宋体" w:hAnsi="宋体"/>
          <w:bCs/>
          <w:szCs w:val="28"/>
        </w:rPr>
        <w:t xml:space="preserve">31.2 采购人不得向中标人提出任何不合理的要求作为签订合同的条件。</w:t>
      </w:r>
      <w:r/>
    </w:p>
    <w:p>
      <w:pPr>
        <w:ind w:firstLine="560"/>
        <w:rPr>
          <w:rFonts w:hint="eastAsia" w:ascii="宋体" w:hAnsi="宋体"/>
          <w:bCs/>
          <w:szCs w:val="28"/>
        </w:rPr>
      </w:pPr>
      <w:r>
        <w:rPr>
          <w:rFonts w:hint="eastAsia" w:ascii="宋体" w:hAnsi="宋体"/>
          <w:bCs/>
          <w:szCs w:val="28"/>
        </w:rPr>
        <w:t xml:space="preserve">31.3政府采购合同签订之日起2个工作日内，将政府采购合同在省级以上人民政府财政部门指定的媒体上公告，但政府采购合同中涉及国家秘密、商业秘密的内容除外。</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32.货物、工程或者服务的追加</w:t>
      </w:r>
      <w:r/>
    </w:p>
    <w:p>
      <w:pPr>
        <w:ind w:firstLine="560"/>
        <w:rPr>
          <w:rFonts w:hint="eastAsia" w:ascii="宋体" w:hAnsi="宋体"/>
          <w:bCs/>
          <w:szCs w:val="28"/>
        </w:rPr>
      </w:pPr>
      <w:r>
        <w:rPr>
          <w:rFonts w:hint="eastAsia" w:ascii="宋体" w:hAnsi="宋体"/>
          <w:bCs/>
          <w:szCs w:val="28"/>
        </w:rPr>
        <w:t xml:space="preserve">政府采购合同履行中，需追加与合同标的相同的货物、工程或者服务的，在不改变合同其他条款的前提下，采购人可以与中标人协商签订补充合同，但所有补充合同的采购金额不得超过原合同采购金额的10%。</w:t>
      </w:r>
      <w:r/>
    </w:p>
    <w:p>
      <w:pPr>
        <w:jc w:val="left"/>
        <w:widowControl/>
      </w:pPr>
      <w:r/>
      <w:r/>
    </w:p>
    <w:p>
      <w:pPr>
        <w:jc w:val="center"/>
        <w:keepLines w:val="0"/>
        <w:keepNext w:val="0"/>
        <w:pageBreakBefore w:val="0"/>
        <w:spacing w:before="181" w:after="181" w:line="240" w:lineRule="auto"/>
        <w:widowControl w:val="off"/>
        <w:rPr>
          <w:rFonts w:hint="eastAsia" w:ascii="宋体" w:hAnsi="宋体"/>
          <w:b/>
          <w:szCs w:val="28"/>
        </w:rPr>
        <w:outlineLvl w:val="1"/>
      </w:pPr>
      <w:r>
        <w:rPr>
          <w:rFonts w:hint="eastAsia" w:ascii="宋体" w:hAnsi="宋体"/>
          <w:b/>
          <w:szCs w:val="28"/>
        </w:rPr>
        <w:t xml:space="preserve">七、询问、质疑和投诉</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33. 询问</w:t>
      </w:r>
      <w:r/>
    </w:p>
    <w:p>
      <w:pPr>
        <w:ind w:firstLine="560"/>
        <w:rPr>
          <w:rFonts w:hint="eastAsia" w:ascii="宋体" w:hAnsi="宋体"/>
          <w:bCs/>
          <w:szCs w:val="28"/>
        </w:rPr>
      </w:pPr>
      <w:r>
        <w:rPr>
          <w:rFonts w:hint="eastAsia" w:ascii="宋体" w:hAnsi="宋体"/>
          <w:bCs/>
          <w:szCs w:val="28"/>
        </w:rPr>
        <w:t xml:space="preserve">投标人对招标活动事项有疑问的，可以向采购代理机构或采购人提出询问，采购代理机构或采购人将在三个工作日内作出答复，但答复的内容不涉及商业秘密。</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34. 质疑</w:t>
      </w:r>
      <w:r/>
    </w:p>
    <w:p>
      <w:pPr>
        <w:ind w:firstLine="560"/>
        <w:rPr>
          <w:rFonts w:hint="eastAsia" w:ascii="宋体" w:hAnsi="宋体"/>
          <w:bCs/>
          <w:szCs w:val="28"/>
        </w:rPr>
      </w:pPr>
      <w:r>
        <w:rPr>
          <w:rFonts w:hint="eastAsia" w:ascii="宋体" w:hAnsi="宋体"/>
          <w:bCs/>
          <w:szCs w:val="28"/>
        </w:rPr>
        <w:t xml:space="preserve">34.1 投标人认为采购文件、采购过程和中标结果使自己的合法权益受到损害的，可以在知道或者应当知道其权益受到损害之日起七个工作日内，将质疑文件原件以书面形式送达采购代理机构。</w:t>
      </w:r>
      <w:r/>
    </w:p>
    <w:p>
      <w:pPr>
        <w:ind w:firstLine="560"/>
        <w:rPr>
          <w:rFonts w:hint="eastAsia" w:ascii="宋体" w:hAnsi="宋体"/>
          <w:bCs/>
          <w:szCs w:val="28"/>
        </w:rPr>
      </w:pPr>
      <w:r>
        <w:rPr>
          <w:rFonts w:hint="eastAsia" w:ascii="宋体" w:hAnsi="宋体"/>
          <w:bCs/>
          <w:szCs w:val="28"/>
        </w:rPr>
        <w:t xml:space="preserve">34.2 提出质疑的投标人应当是参与所质疑项目采购活动的投标人。</w:t>
      </w:r>
      <w:r/>
    </w:p>
    <w:p>
      <w:pPr>
        <w:ind w:firstLine="560"/>
        <w:rPr>
          <w:rFonts w:hint="eastAsia" w:ascii="宋体" w:hAnsi="宋体"/>
          <w:bCs/>
          <w:szCs w:val="28"/>
        </w:rPr>
      </w:pPr>
      <w:r>
        <w:rPr>
          <w:rFonts w:hint="eastAsia" w:ascii="宋体" w:hAnsi="宋体"/>
          <w:bCs/>
          <w:szCs w:val="28"/>
        </w:rPr>
        <w:t xml:space="preserve">34.3 质疑必须以参加投标人法定代表人或授权委托人原件送达的方式提交。否则，采购代理机构有权不予受理。</w:t>
      </w:r>
      <w:r/>
    </w:p>
    <w:p>
      <w:pPr>
        <w:ind w:firstLine="560"/>
        <w:rPr>
          <w:rFonts w:hint="eastAsia" w:ascii="宋体" w:hAnsi="宋体"/>
          <w:bCs/>
          <w:szCs w:val="28"/>
        </w:rPr>
      </w:pPr>
      <w:r>
        <w:rPr>
          <w:rFonts w:hint="eastAsia" w:ascii="宋体" w:hAnsi="宋体"/>
          <w:bCs/>
          <w:szCs w:val="28"/>
        </w:rPr>
        <w:t xml:space="preserve">34.4上述应知其权益受到损害之日是指：</w:t>
      </w:r>
      <w:r/>
    </w:p>
    <w:p>
      <w:pPr>
        <w:ind w:firstLine="560"/>
        <w:rPr>
          <w:rFonts w:hint="eastAsia" w:ascii="宋体" w:hAnsi="宋体"/>
          <w:bCs/>
          <w:szCs w:val="28"/>
        </w:rPr>
      </w:pPr>
      <w:r>
        <w:rPr>
          <w:rFonts w:hint="eastAsia" w:ascii="宋体" w:hAnsi="宋体"/>
          <w:bCs/>
          <w:szCs w:val="28"/>
        </w:rPr>
        <w:t xml:space="preserve">（1）对可以质疑的招标文件提出质疑的，为收到招标文件之日或者招标文件公告期限届满之日；</w:t>
      </w:r>
      <w:r/>
    </w:p>
    <w:p>
      <w:pPr>
        <w:ind w:firstLine="560"/>
        <w:rPr>
          <w:rFonts w:hint="eastAsia" w:ascii="宋体" w:hAnsi="宋体"/>
          <w:bCs/>
          <w:szCs w:val="28"/>
        </w:rPr>
      </w:pPr>
      <w:r>
        <w:rPr>
          <w:rFonts w:hint="eastAsia" w:ascii="宋体" w:hAnsi="宋体"/>
          <w:bCs/>
          <w:szCs w:val="28"/>
        </w:rPr>
        <w:t xml:space="preserve">（2）对招标过程提出质疑的，为各招标程序环节结束之日；</w:t>
      </w:r>
      <w:r/>
    </w:p>
    <w:p>
      <w:pPr>
        <w:ind w:firstLine="560"/>
        <w:rPr>
          <w:rFonts w:hint="eastAsia" w:ascii="宋体" w:hAnsi="宋体"/>
          <w:bCs/>
          <w:szCs w:val="28"/>
        </w:rPr>
      </w:pPr>
      <w:r>
        <w:rPr>
          <w:rFonts w:hint="eastAsia" w:ascii="宋体" w:hAnsi="宋体"/>
          <w:bCs/>
          <w:szCs w:val="28"/>
        </w:rPr>
        <w:t xml:space="preserve">（3）对中标结果提出质疑的，为中标结果公告期限届满之日。</w:t>
      </w:r>
      <w:r/>
    </w:p>
    <w:p>
      <w:pPr>
        <w:ind w:firstLine="560"/>
        <w:rPr>
          <w:rFonts w:hint="eastAsia" w:ascii="宋体" w:hAnsi="宋体"/>
          <w:bCs/>
          <w:szCs w:val="28"/>
        </w:rPr>
      </w:pPr>
      <w:r>
        <w:rPr>
          <w:rFonts w:hint="eastAsia" w:ascii="宋体" w:hAnsi="宋体"/>
          <w:bCs/>
          <w:szCs w:val="28"/>
        </w:rPr>
        <w:t xml:space="preserve">34.5投标人认为招标文件、招标过程、中标结果使自己的权益受到损害的，应当在法定质疑期内一次性提出针对同一招标程序环节的质疑。两次或多次对同一招标程序环节提出的质疑，招标人、招标代理机构将拒收。</w:t>
      </w:r>
      <w:r/>
    </w:p>
    <w:p>
      <w:pPr>
        <w:ind w:firstLine="560"/>
        <w:rPr>
          <w:rFonts w:hint="eastAsia" w:ascii="宋体" w:hAnsi="宋体"/>
          <w:bCs/>
          <w:szCs w:val="28"/>
        </w:rPr>
      </w:pPr>
      <w:r>
        <w:rPr>
          <w:rFonts w:hint="eastAsia" w:ascii="宋体" w:hAnsi="宋体"/>
          <w:bCs/>
          <w:szCs w:val="28"/>
        </w:rPr>
        <w:t xml:space="preserve">    34.6投标人提出质疑应当提交质疑函和必要的证明材料。根据财政部规定，质疑函格式须在财政部门户网站和中国政府采购网下载,须为财政部规定的统一格式，否则将拒收。质疑函应当包括下列内容：</w:t>
      </w:r>
      <w:r/>
    </w:p>
    <w:p>
      <w:pPr>
        <w:ind w:firstLine="560"/>
        <w:rPr>
          <w:rFonts w:hint="eastAsia" w:ascii="宋体" w:hAnsi="宋体"/>
          <w:bCs/>
          <w:szCs w:val="28"/>
        </w:rPr>
      </w:pPr>
      <w:r>
        <w:rPr>
          <w:rFonts w:hint="eastAsia" w:ascii="宋体" w:hAnsi="宋体"/>
          <w:bCs/>
          <w:szCs w:val="28"/>
        </w:rPr>
        <w:t xml:space="preserve">（1）投标人的姓名或者名称、地址、邮编、联系人及联系电话；</w:t>
      </w:r>
      <w:r/>
    </w:p>
    <w:p>
      <w:pPr>
        <w:ind w:firstLine="560"/>
        <w:rPr>
          <w:rFonts w:hint="eastAsia" w:ascii="宋体" w:hAnsi="宋体"/>
          <w:bCs/>
          <w:szCs w:val="28"/>
        </w:rPr>
      </w:pPr>
      <w:r>
        <w:rPr>
          <w:rFonts w:hint="eastAsia" w:ascii="宋体" w:hAnsi="宋体"/>
          <w:bCs/>
          <w:szCs w:val="28"/>
        </w:rPr>
        <w:t xml:space="preserve">（2）质疑项目的名称、编号；</w:t>
      </w:r>
      <w:r/>
    </w:p>
    <w:p>
      <w:pPr>
        <w:ind w:firstLine="560"/>
        <w:rPr>
          <w:rFonts w:hint="eastAsia" w:ascii="宋体" w:hAnsi="宋体"/>
          <w:bCs/>
          <w:szCs w:val="28"/>
        </w:rPr>
      </w:pPr>
      <w:r>
        <w:rPr>
          <w:rFonts w:hint="eastAsia" w:ascii="宋体" w:hAnsi="宋体"/>
          <w:bCs/>
          <w:szCs w:val="28"/>
        </w:rPr>
        <w:t xml:space="preserve">（3）具体、明确的质疑事项和与质疑事项相关的请求；</w:t>
      </w:r>
      <w:r/>
    </w:p>
    <w:p>
      <w:pPr>
        <w:ind w:firstLine="560"/>
        <w:rPr>
          <w:rFonts w:hint="eastAsia" w:ascii="宋体" w:hAnsi="宋体"/>
          <w:bCs/>
          <w:szCs w:val="28"/>
        </w:rPr>
      </w:pPr>
      <w:r>
        <w:rPr>
          <w:rFonts w:hint="eastAsia" w:ascii="宋体" w:hAnsi="宋体"/>
          <w:bCs/>
          <w:szCs w:val="28"/>
        </w:rPr>
        <w:t xml:space="preserve">（4）事实依据；</w:t>
      </w:r>
      <w:r/>
    </w:p>
    <w:p>
      <w:pPr>
        <w:ind w:firstLine="560"/>
        <w:rPr>
          <w:rFonts w:hint="eastAsia" w:ascii="宋体" w:hAnsi="宋体"/>
          <w:bCs/>
          <w:szCs w:val="28"/>
        </w:rPr>
      </w:pPr>
      <w:r>
        <w:rPr>
          <w:rFonts w:hint="eastAsia" w:ascii="宋体" w:hAnsi="宋体"/>
          <w:bCs/>
          <w:szCs w:val="28"/>
        </w:rPr>
        <w:t xml:space="preserve">（5）必要的法律依据；</w:t>
      </w:r>
      <w:r/>
    </w:p>
    <w:p>
      <w:pPr>
        <w:ind w:firstLine="560"/>
        <w:rPr>
          <w:rFonts w:hint="eastAsia" w:ascii="宋体" w:hAnsi="宋体"/>
          <w:bCs/>
          <w:szCs w:val="28"/>
        </w:rPr>
      </w:pPr>
      <w:r>
        <w:rPr>
          <w:rFonts w:hint="eastAsia" w:ascii="宋体" w:hAnsi="宋体"/>
          <w:bCs/>
          <w:szCs w:val="28"/>
        </w:rPr>
        <w:t xml:space="preserve">（6）提出质疑的日期。</w:t>
      </w:r>
      <w:r/>
    </w:p>
    <w:p>
      <w:pPr>
        <w:ind w:firstLine="560"/>
        <w:rPr>
          <w:rFonts w:hint="eastAsia" w:ascii="宋体" w:hAnsi="宋体"/>
          <w:bCs/>
          <w:szCs w:val="28"/>
        </w:rPr>
      </w:pPr>
      <w:r>
        <w:rPr>
          <w:rFonts w:hint="eastAsia" w:ascii="宋体" w:hAnsi="宋体"/>
          <w:bCs/>
          <w:szCs w:val="28"/>
        </w:rPr>
        <w:t xml:space="preserve">34.7投标人为自然人的，应当由本人签字；投标人为法人或者其他组织的，应当由法定代表人、主要负责人，或者其授权代表签字或者盖章，并加盖公章。</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35.投诉</w:t>
      </w:r>
      <w:r/>
    </w:p>
    <w:p>
      <w:pPr>
        <w:ind w:firstLine="560"/>
        <w:rPr>
          <w:rFonts w:hint="eastAsia" w:ascii="宋体" w:hAnsi="宋体"/>
          <w:bCs/>
          <w:szCs w:val="28"/>
        </w:rPr>
      </w:pPr>
      <w:r>
        <w:rPr>
          <w:rFonts w:hint="eastAsia" w:ascii="宋体" w:hAnsi="宋体"/>
          <w:bCs/>
          <w:szCs w:val="28"/>
        </w:rPr>
        <w:t xml:space="preserve">质疑投标人对采购代理机构的答复不满意，或采购代理机构未在规定的时间内作出答复的，可以在答复期满后十五个工作日内向采购人同级财政部门投诉。</w:t>
      </w:r>
      <w:r/>
    </w:p>
    <w:p>
      <w:pPr>
        <w:ind w:firstLine="561"/>
        <w:keepLines w:val="0"/>
        <w:keepNext w:val="0"/>
        <w:pageBreakBefore w:val="0"/>
        <w:spacing w:before="181" w:after="181" w:line="240" w:lineRule="auto"/>
        <w:widowControl w:val="off"/>
        <w:rPr>
          <w:rFonts w:hint="eastAsia" w:ascii="宋体" w:hAnsi="宋体"/>
          <w:b/>
          <w:szCs w:val="28"/>
        </w:rPr>
        <w:outlineLvl w:val="2"/>
      </w:pPr>
      <w:r>
        <w:rPr>
          <w:rFonts w:hint="eastAsia" w:ascii="宋体" w:hAnsi="宋体"/>
          <w:b/>
          <w:szCs w:val="28"/>
        </w:rPr>
        <w:t xml:space="preserve">36. 踏勘</w:t>
      </w:r>
      <w:r/>
    </w:p>
    <w:p>
      <w:pPr>
        <w:ind w:firstLine="560"/>
        <w:rPr>
          <w:rFonts w:hint="eastAsia" w:ascii="宋体" w:hAnsi="宋体"/>
          <w:bCs/>
          <w:szCs w:val="28"/>
        </w:rPr>
      </w:pPr>
      <w:r>
        <w:rPr>
          <w:rFonts w:hint="eastAsia" w:ascii="宋体" w:hAnsi="宋体"/>
          <w:bCs/>
          <w:szCs w:val="28"/>
        </w:rPr>
        <w:t xml:space="preserve">36.1投标人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ind w:firstLine="560"/>
        <w:rPr>
          <w:rFonts w:hint="eastAsia" w:ascii="宋体" w:hAnsi="宋体"/>
          <w:bCs/>
          <w:szCs w:val="28"/>
        </w:rPr>
      </w:pPr>
      <w:r>
        <w:rPr>
          <w:rFonts w:hint="eastAsia" w:ascii="宋体" w:hAnsi="宋体"/>
          <w:bCs/>
          <w:szCs w:val="28"/>
        </w:rPr>
        <w:t xml:space="preserve">36.2采购人在踏勘现场中介绍的项目情况，投标人在编制投标文件时参考，采购人不对投标人据此作出的判断和决策负责。</w:t>
      </w:r>
      <w:r/>
    </w:p>
    <w:p>
      <w:pPr>
        <w:ind w:firstLine="560"/>
        <w:rPr>
          <w:rFonts w:hint="eastAsia" w:ascii="宋体" w:hAnsi="宋体"/>
          <w:bCs/>
          <w:szCs w:val="28"/>
        </w:rPr>
      </w:pPr>
      <w:r>
        <w:rPr>
          <w:rFonts w:hint="eastAsia" w:ascii="宋体" w:hAnsi="宋体"/>
          <w:bCs/>
          <w:szCs w:val="28"/>
        </w:rPr>
        <w:t xml:space="preserve">36.3投标人承担踏勘现场所发生的自身费用。</w:t>
      </w:r>
      <w:r/>
    </w:p>
    <w:p>
      <w:pPr>
        <w:pStyle w:val="1164"/>
        <w:ind w:firstLine="560"/>
        <w:jc w:val="left"/>
        <w:spacing w:line="360" w:lineRule="auto"/>
        <w:rPr>
          <w:rFonts w:ascii="宋体" w:hAnsi="宋体"/>
          <w:sz w:val="28"/>
          <w:szCs w:val="21"/>
        </w:rPr>
      </w:pPr>
      <w:r>
        <w:rPr>
          <w:rFonts w:ascii="宋体" w:hAnsi="宋体"/>
          <w:sz w:val="28"/>
          <w:szCs w:val="21"/>
        </w:rPr>
      </w:r>
      <w:r/>
    </w:p>
    <w:p>
      <w:pPr>
        <w:pStyle w:val="1164"/>
        <w:ind w:firstLine="560"/>
        <w:jc w:val="left"/>
        <w:spacing w:line="360" w:lineRule="auto"/>
        <w:rPr>
          <w:rFonts w:ascii="宋体" w:hAnsi="宋体"/>
          <w:sz w:val="28"/>
          <w:szCs w:val="21"/>
        </w:rPr>
      </w:pPr>
      <w:r>
        <w:rPr>
          <w:rFonts w:ascii="宋体" w:hAnsi="宋体"/>
          <w:sz w:val="28"/>
          <w:szCs w:val="21"/>
        </w:rPr>
      </w:r>
      <w:r/>
    </w:p>
    <w:p>
      <w:pPr>
        <w:pStyle w:val="1164"/>
        <w:ind w:firstLine="723"/>
        <w:jc w:val="center"/>
        <w:spacing w:line="360" w:lineRule="auto"/>
        <w:rPr>
          <w:rFonts w:ascii="宋体" w:hAnsi="宋体"/>
          <w:b/>
          <w:sz w:val="36"/>
          <w:szCs w:val="36"/>
        </w:rPr>
        <w:sectPr>
          <w:footerReference w:type="default" r:id="rId10"/>
          <w:footerReference w:type="first" r:id="rId11"/>
          <w:footnotePr/>
          <w:endnotePr/>
          <w:type w:val="nextPage"/>
          <w:pgSz w:w="11907" w:h="16840" w:orient="portrait"/>
          <w:pgMar w:top="1134" w:right="1474" w:bottom="1134" w:left="1474" w:header="624" w:footer="992" w:gutter="0"/>
          <w:pgNumType w:start="1"/>
          <w:cols w:num="1" w:sep="0" w:space="720" w:equalWidth="1"/>
          <w:docGrid w:linePitch="360"/>
          <w:titlePg/>
        </w:sectPr>
      </w:pPr>
      <w:r/>
      <w:bookmarkStart w:id="53" w:name="_Toc59797304"/>
      <w:r/>
      <w:r/>
    </w:p>
    <w:p>
      <w:pPr>
        <w:pStyle w:val="1164"/>
        <w:ind w:firstLine="0"/>
        <w:jc w:val="center"/>
        <w:spacing w:line="360" w:lineRule="auto"/>
        <w:rPr>
          <w:rFonts w:ascii="宋体" w:hAnsi="宋体"/>
          <w:b/>
          <w:sz w:val="36"/>
          <w:szCs w:val="36"/>
        </w:rPr>
      </w:pPr>
      <w:r>
        <w:rPr>
          <w:rFonts w:hint="eastAsia" w:ascii="宋体" w:hAnsi="宋体"/>
          <w:b/>
          <w:sz w:val="36"/>
          <w:szCs w:val="36"/>
        </w:rPr>
        <w:t xml:space="preserve">第三部分 技术参数</w:t>
      </w:r>
      <w:r/>
    </w:p>
    <w:tbl>
      <w:tblPr>
        <w:tblStyle w:val="923"/>
        <w:tblW w:w="14181" w:type="dxa"/>
        <w:tblInd w:w="-17"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83"/>
        <w:gridCol w:w="1858"/>
        <w:gridCol w:w="9905"/>
        <w:gridCol w:w="880"/>
        <w:gridCol w:w="837"/>
        <w:gridCol w:w="18"/>
      </w:tblGrid>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一、科技提升项目</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1、行人过街“声光电”预警提示系统</w:t>
            </w:r>
            <w:r/>
          </w:p>
        </w:tc>
      </w:tr>
      <w:tr>
        <w:trPr>
          <w:trHeight w:val="40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视频雷达预警一体柱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 道路安全预警一体机，采用高精度毫米波雷达&amp;200万低照度摄像机，支持车辆检测；2. 有目标经过时红蓝爆闪灯可闪烁警示；3. 内置大功率音柱；4. 灯珠屏用于警示信息发布；5. 音视频输入网络视频输入：SDK，ISAPI雷达速度分辨率：1km/h 性能特点：具备空间分辨率、穿透能力，支持全天候环境下工作  角分辨率：10° 水平角：-35°~+35°调制波形：FMCW 作用距离：10~100m俯仰角：-10°~+10°；6. 接口串口：1个RS-485接口；7. 抓</w:t>
            </w:r>
            <w:r>
              <w:rPr>
                <w:rFonts w:hint="eastAsia" w:ascii="宋体" w:hAnsi="宋体" w:cs="宋体"/>
                <w:sz w:val="18"/>
                <w:szCs w:val="18"/>
              </w:rPr>
              <w:t xml:space="preserve">拍功能图片分辨率：1920*1080图片格式：JPEG；8. 外部接口网络接口：1个RJ45 100M以太网口；9. 最小照度：彩色0.01Lux@(F1.2，AGC ON)黑白0.001Lux@(F1.2，AGC ON)快门：1/25s至1/100，000s；10. 图像设置：饱和度，亮度，对比度，白平衡，增益通过软件可调，通用功能：心跳，密码保护，NTP校时；11. 视频压缩标准：H.264；H.265；MJPEG帧率：25fps(1920*1080)视频分辨率：1920*1080焦距：6mm；12. </w:t>
            </w:r>
            <w:r>
              <w:rPr>
                <w:rFonts w:hint="eastAsia" w:ascii="宋体" w:hAnsi="宋体" w:cs="宋体"/>
                <w:sz w:val="18"/>
                <w:szCs w:val="18"/>
                <w:lang w:bidi="ar"/>
              </w:rPr>
              <w:t xml:space="preserve">距离地面适当高度有反光警示标识，外观有“滨海公安交警”标识</w:t>
            </w:r>
            <w:r>
              <w:rPr>
                <w:rFonts w:hint="eastAsia" w:ascii="宋体" w:hAnsi="宋体" w:cs="宋体"/>
                <w:sz w:val="18"/>
                <w:szCs w:val="1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31</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400万雷达视频预警单元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1. 支持检测的机动车车道数量≥12个，支持区分距离≤0.5m的相邻交通目标，支持对≥400个交通目标进行检测，可对交通目标进行轨迹跟踪监测，雷达检测到的车流量与实际过车样本数误差小于1%（</w:t>
            </w:r>
            <w:r>
              <w:rPr>
                <w:rFonts w:hint="eastAsia" w:ascii="宋体" w:hAnsi="宋体" w:cs="宋体"/>
                <w:color w:val="ff0000"/>
                <w:sz w:val="18"/>
                <w:szCs w:val="18"/>
              </w:rPr>
              <w:t xml:space="preserve">投标时提供符合要求的公安部检验报告并加盖产品制造商原厂公章的扫描件</w:t>
            </w:r>
            <w:r>
              <w:rPr>
                <w:rFonts w:hint="eastAsia" w:ascii="宋体" w:hAnsi="宋体" w:cs="宋体"/>
                <w:sz w:val="18"/>
                <w:szCs w:val="18"/>
              </w:rPr>
              <w:t xml:space="preserve">）；</w:t>
            </w:r>
            <w:r/>
          </w:p>
          <w:p>
            <w:pPr>
              <w:widowControl/>
              <w:rPr>
                <w:rFonts w:ascii="宋体" w:hAnsi="宋体" w:cs="宋体"/>
                <w:sz w:val="18"/>
                <w:szCs w:val="18"/>
              </w:rPr>
            </w:pPr>
            <w:r>
              <w:rPr>
                <w:rFonts w:hint="eastAsia" w:ascii="宋体" w:hAnsi="宋体" w:cs="宋体"/>
                <w:sz w:val="18"/>
                <w:szCs w:val="18"/>
              </w:rPr>
              <w:t xml:space="preserve">2. 产品为一体化机构，内含雷达、视频摄像机、补光灯；3. 视频和抓拍图片分辨率支持（3840*2160）像素，雷达检测范围可自</w:t>
            </w:r>
            <w:r>
              <w:rPr>
                <w:rFonts w:hint="eastAsia" w:ascii="宋体" w:hAnsi="宋体" w:cs="宋体"/>
                <w:sz w:val="18"/>
                <w:szCs w:val="18"/>
              </w:rPr>
              <w:t xml:space="preserve">动适配覆盖视频监控检测范围；支持在视频预览画面实时显示雷达检测目标的速度信息，并可叠加到视频预览画面中的目标的位置支持雷达检测和视频检测结果坐标融合，支持手动标定，自动标定；4. 支持实时显示目标的相对位置坐标输出、车道号、速度、航向角；5. 支持实时输出检测目标的经纬度信息；6. 支持对雷达参数进行设置，包括检测速度、原点坐标、车道数、车道宽度、方向、架设高度、距离修正参数、角度修正参数；7. 支持目标轨迹跟踪和显示，可在web端展示目标轨迹；8. 支持实时输出目标的结构化信息，结构化信息包括车牌号、车牌</w:t>
            </w:r>
            <w:r>
              <w:rPr>
                <w:rFonts w:hint="eastAsia" w:ascii="宋体" w:hAnsi="宋体" w:cs="宋体"/>
                <w:sz w:val="18"/>
                <w:szCs w:val="18"/>
              </w:rPr>
              <w:t xml:space="preserve">颜色、车辆类型、车辆颜色、速度、车道号等；9. 支持对单车道的平均速度进行统计，在（-3km/h）的误差范围内，经过检测区域的平均速度统计准确率≥99%；10. 在夜间环境照度较低的情况下，通过雷达视频融合检测车辆目标，抓拍率≥99%，应能检测来向行驶和去向行驶的车辆目标；11. 支持交通信号评价数据输出，包括周期停车次数、排队长度等，支持区域状态数据输出，包括秒级排队长度、车辆数、队首/尾车辆信息、车道车辆分布信息等，防护等级，IP66；12. 距离地面适当高度有反光警示标识，外观有“滨海公安交警”标识。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29</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LED预警发布屏</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P16诱导屏，显示尺寸2240mm*640mm，具体根据项目定制；2. 灯管驱动方式：恒流；3. 温度范围-40~60℃；4. 亮度均匀性≥97%；5. 视距：动态距离210m；</w:t>
            </w:r>
            <w:r>
              <w:rPr>
                <w:rFonts w:hint="eastAsia" w:ascii="宋体" w:hAnsi="宋体" w:cs="宋体"/>
                <w:sz w:val="18"/>
                <w:szCs w:val="18"/>
                <w:lang w:bidi="ar"/>
              </w:rPr>
              <w:t xml:space="preserve">静态距离250m；6. 盲点率：1/10000；7. 控制方式：异步；8. 平整度≤1mm；9. 衰减率(工作3年) ≤20%；10. 使用寿命≥10万小时；11. 平均故障时间≥1万小时；12. 整机老化≥48小时；13. 显示尺寸根据项目定制；14. 机箱要求：冷轧钢板，机箱为内外两层，内箱体为全封闭、全天候、防风雨型，符合IP65防护等级；15. 抗风等级：40m/s；16. 防护等级：IP65；17. 像素结构：1红1绿1蓝（全彩）；18. 像素间距：16mm；19. 白平衡亮度：≥5500cd/m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；20. 刷新率：≥4000 Hz；21. 峰值功耗：280W/㎡；22. 平均功耗：90W/㎡；23. 工作温度：-40℃~65℃；24. 外壳材料：冷轧钢板机箱，双层门设计，含遮光罩，防风雨型；25. 具备远程控制功能和自动重启功能，建设后能接入滨海县公安局智慧交管平台控制；26. 背面外观有“滨海公安交警”标识。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29</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红蓝爆闪灯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声压≥108分贝；2. 12V 0.25A；3. 红蓝双色；4. 电气性能；5. 功耗：≤2.2W；6. 电源：DC12V。</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29</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400万球型网络摄像机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1. 全景摄像机靶面尺寸为1/1.8英寸，细节摄像机靶面尺寸为1/2.8英寸，支持雷达探测，可探测正前方距离50m的目标，可显示多个移动目标的位置、速度、轨迹等信息，轨迹可指示目标移动方向，雷达速度精度显示可达到小数点后1位，采用DC36V供电（</w:t>
            </w:r>
            <w:r>
              <w:rPr>
                <w:rFonts w:hint="eastAsia" w:ascii="宋体" w:hAnsi="宋体" w:cs="宋体"/>
                <w:color w:val="ff0000"/>
                <w:sz w:val="18"/>
                <w:szCs w:val="18"/>
              </w:rPr>
              <w:t xml:space="preserve">投标时提供符合要求的公安部检验报告并加盖产品制造商原厂公章的扫描件</w:t>
            </w:r>
            <w:r>
              <w:rPr>
                <w:rFonts w:hint="eastAsia" w:ascii="宋体" w:hAnsi="宋体" w:cs="宋体"/>
                <w:sz w:val="18"/>
                <w:szCs w:val="18"/>
              </w:rPr>
              <w:t xml:space="preserve">）；</w:t>
            </w:r>
            <w:r/>
          </w:p>
          <w:p>
            <w:pPr>
              <w:jc w:val="left"/>
              <w:widowControl/>
              <w:rPr>
                <w:rFonts w:ascii="宋体" w:hAnsi="宋体" w:cs="宋体"/>
                <w:sz w:val="18"/>
                <w:szCs w:val="18"/>
              </w:rPr>
            </w:pPr>
            <w:r>
              <w:rPr>
                <w:rFonts w:hint="eastAsia" w:ascii="宋体" w:hAnsi="宋体" w:cs="宋体"/>
                <w:sz w:val="18"/>
                <w:szCs w:val="18"/>
              </w:rPr>
              <w:t xml:space="preserve">2. 主码流支持全景通道2560*1440@25fps，细节通道2560*1440@25fps；3. 由1个全景摄像机和1个细节摄像机组成；4. 全景摄像机最低照度彩色不大于0.0005lx，黑白不大于0.0001lx；5. 支持不小于32倍光学变倍；6. 支持水平旋转范围360°连续旋转，垂直旋转范围-15°~90°；7. 支持300个预置位，可按照所设置的预置位完成8条巡航路径。支持预置位视频冻结功能；8. 支持H.264、H.265视频编码格式，且具有High Profile编码能力；9. 同一</w:t>
            </w:r>
            <w:r>
              <w:rPr>
                <w:rFonts w:hint="eastAsia" w:ascii="宋体" w:hAnsi="宋体" w:cs="宋体"/>
                <w:sz w:val="18"/>
                <w:szCs w:val="18"/>
              </w:rPr>
              <w:t xml:space="preserve">静止场景相同图像质量下，设备在H.265编码方式时，开启智能编码功能和不开启智能编码相比，码率节约90%；10. 支持智能分析抗干扰功能，当小狗、篮球、树叶等非人或车辆目标经过检测区域时，不会触发报警；11. 可对经过设定区域的行人进行人脸检测和人脸跟踪，当检测到人脸后，可抓拍人脸图片全景摄像机白光补光距离可达到30m；细节摄像机白光补光距离可达到30m，红外补光距离可达到150m；12. 具有1个RJ45网络接口，2路报警输入，1路音频输入；13. 支持IP67防尘防水，工作温湿度：-30°C~65°C。</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color w:val="ff0000"/>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1. 18个10M/100M/1000M自适应RJ45接口(其中P1~P16与G1处于同一网段、G2处于另一网段)、2个1000M SFP光端接口(分别与G1、G2处于同一网段)，支持IP地址过滤、SSH开关自定义、ARP防攻击、视频水印等安全防护功能，具备强密码管理功能。支持WEB回话Session ID、数据传输加密、固件完整性等安全检验（</w:t>
            </w:r>
            <w:r>
              <w:rPr>
                <w:rFonts w:hint="eastAsia" w:ascii="宋体" w:hAnsi="宋体" w:cs="宋体"/>
                <w:color w:val="ff0000"/>
                <w:sz w:val="18"/>
                <w:szCs w:val="18"/>
              </w:rPr>
              <w:t xml:space="preserve">投标时提供符合要求的公安部检验报告并加盖产品制造商原厂公章的扫描件</w:t>
            </w:r>
            <w:r>
              <w:rPr>
                <w:rFonts w:hint="eastAsia" w:ascii="宋体" w:hAnsi="宋体" w:cs="宋体"/>
                <w:sz w:val="18"/>
                <w:szCs w:val="18"/>
              </w:rPr>
              <w:t xml:space="preserve">）；</w:t>
            </w:r>
            <w:r/>
          </w:p>
          <w:p>
            <w:pPr>
              <w:widowControl/>
              <w:rPr>
                <w:rFonts w:ascii="宋体" w:hAnsi="宋体" w:cs="宋体"/>
                <w:sz w:val="18"/>
                <w:szCs w:val="18"/>
              </w:rPr>
            </w:pPr>
            <w:r>
              <w:rPr>
                <w:rFonts w:hint="eastAsia" w:ascii="宋体" w:hAnsi="宋体" w:cs="宋体"/>
                <w:sz w:val="18"/>
                <w:szCs w:val="18"/>
              </w:rPr>
              <w:t xml:space="preserve">2. 支持12路H.265、H.264编码混合自适应接入；3. 支持SDK、RTSP、ONVIF和GB28181添加相机通道；4. 支持图片存储展示，包括车辆卡口、违法、人脸、人体以及其他事件结构化图片数据；5. 支持视频预览、录像和回放，可配置录像计划，录像和图片存储空间可配置；6. 支持本地浏览器查询数据，可设置多种筛选条件；查询结果可关联对应事件短录像；7. 支持新国标电警应用，有反向卡口需要图片六合一时，最大支持6个电警相机六合一；8. 支持双网隔离应用，可向两个</w:t>
            </w:r>
            <w:r>
              <w:rPr>
                <w:rFonts w:hint="eastAsia" w:ascii="宋体" w:hAnsi="宋体" w:cs="宋体"/>
                <w:sz w:val="18"/>
                <w:szCs w:val="18"/>
              </w:rPr>
              <w:t xml:space="preserve">隔离网络分别上传图片和视频数据；9. 支持LED屏（默认交通诱导屏和出入口LED显示屏），音柱对接发布，发布条件和内容可自定义；10. 运行功耗：≤50W；11. 支持IP地址过滤、SSH开关自定义、ARP防攻击、视频水印等安全防护功能，具备强密码管理功能。支持WEB回话Session ID、数据传输加密、固件完整性等安全检验；12. 支持内置北斗模块，实现北斗校时、定位功能，同时支持将经纬度信息叠加在图片或者视频上，定位校时模块可插拔更换，支持内置4G/5G通信模块，实现无线通信功能，通信模块可插拔更换。</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1个千兆单模单纤SC/ST/FC口，4个10/100/1000M电口，含1个光模块。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8口工业级交换机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2个千兆单模单纤SC/ST/FC口，8个10/100/1000M电口，含1个光模块。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箱体尺寸不低于：400mm*500mm*150mm，镀锌钢板厚度1.0</w:t>
            </w:r>
            <w:r>
              <w:rPr>
                <w:rFonts w:hint="eastAsia" w:ascii="宋体" w:hAnsi="宋体" w:cs="宋体"/>
                <w:sz w:val="20"/>
                <w:lang w:bidi="ar"/>
              </w:rPr>
              <w:t xml:space="preserve">mm</w:t>
            </w:r>
            <w:r>
              <w:rPr>
                <w:rFonts w:hint="eastAsia" w:ascii="宋体" w:hAnsi="宋体" w:cs="宋体"/>
                <w:sz w:val="18"/>
                <w:szCs w:val="18"/>
                <w:lang w:bidi="ar"/>
              </w:rPr>
              <w:t xml:space="preserve">、喷塑处理，防护等级不低于IP55；含空开、防雷、电源板、插线板等配件；外观有“滨海公安交警监控”标识。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29</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落地机箱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箱体尺寸不低于：600mm*600mm*1000mm，镀锌钢板厚度1.2mm、喷塑处理，防护等级不低于IP55；含空开、防雷、电源板、插线板等配件；外观有“滨海公安交警监控”标识。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杆件规格：6.5m（与所在道路比净高度）*7m，八角圆锥杆，含地笼，主杆口径为220-320mm，壁厚6mm；2. 横臂口径为100-220mm，壁厚5mm；3. 整体热浸镀锌，外观为镀锌本色，距离地面1-2m处有反光警示标识。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29</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监控及显示设备杆件基础</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采用C25混凝土，包含：杆件基坑开挖、地笼二次运输、土方开挖及外运、放置地笼、预留管道(含基础内部走线双管道约5米50PE)、混凝土浇筑、基础收光及养护、模板制作根据现场需求；2.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97.48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Style w:val="1221"/>
                <w:rFonts w:hint="default"/>
                <w:sz w:val="18"/>
                <w:szCs w:val="18"/>
                <w:lang w:bidi="ar"/>
              </w:rPr>
              <w:t xml:space="preserve">防雷接地5*5*2500mm，包含镀锌角钢接地制作及其安装、扁钢焊接、电阻测试，电阻值≤10</w:t>
            </w:r>
            <w:r>
              <w:rPr>
                <w:rStyle w:val="1224"/>
                <w:rFonts w:hint="default"/>
                <w:color w:val="000000"/>
                <w:sz w:val="18"/>
                <w:szCs w:val="18"/>
                <w:lang w:bidi="ar"/>
              </w:rPr>
              <w:t xml:space="preserve">Ω</w:t>
            </w:r>
            <w:r>
              <w:rPr>
                <w:rStyle w:val="1221"/>
                <w:rFonts w:hint="default"/>
                <w:sz w:val="18"/>
                <w:szCs w:val="18"/>
                <w:lang w:bidi="ar"/>
              </w:rPr>
              <w:t xml:space="preserve">。焊接、接头需做好防锈防腐蚀措施。</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60</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手孔井尺寸：400*500*400mm（含井盖）；砖砌体采用M10水泥砂浆砌筑MU15混凝土标准砖，内部采用20厚1：2水泥砂浆粉刷；带铁包边的加强型井盖、井圈；外观有“滨海公安交警”标识。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105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CAT-6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2063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国标纯铜RVV2*1.5mm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2063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国标纯铜RVV3*4mm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1512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光缆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单模4芯</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2025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机械拖拉管及恢复，采用PE50管</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958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绿化带管道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采用PE50管，含绿化带路面开挖及恢复，净深度≥50cm。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1179</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路面管道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采用PE50管，含路面开挖及恢复，净深度≥50cm。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737</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220V市电接入，含供电开户费用、电力接入线缆管道施工及敷设费用、电力线缆架空施工费用等。</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路口</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5年运营商光纤链路租赁，符合公安网要求的裸纤。</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2、农村违法劝导提醒系统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数量</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非机动车一体化抓拍单元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1. 支持对监控画面中非机动车车牌进行检测和识别。在天气晴朗无雾，号牌无遮挡、无污损，白天环境光照度不低于200lx的条件下进行测试，非机动车车辆捕获率≥99%，非机动车车牌（含无车牌类型）识别准确率≥99%，支持非机动车闯红灯、逆行、载人、占用机动车道、未戴头盔等多种违法检测功能。在天气晴朗无雾，号牌无遮挡、无污损，白天环境光照度不低于200lx的条件下进行测试，非机动车违法捕获率≥99%，非机动车违法识别准确率≥99%（</w:t>
            </w:r>
            <w:r>
              <w:rPr>
                <w:rFonts w:hint="eastAsia" w:ascii="宋体" w:hAnsi="宋体" w:cs="宋体"/>
                <w:color w:val="ff0000"/>
                <w:sz w:val="18"/>
                <w:szCs w:val="18"/>
              </w:rPr>
              <w:t xml:space="preserve">投标时提供符合要求的公安部检验报告并加盖产品制造商原厂公章的扫描件</w:t>
            </w:r>
            <w:r>
              <w:rPr>
                <w:rFonts w:hint="eastAsia" w:ascii="宋体" w:hAnsi="宋体" w:cs="宋体"/>
                <w:sz w:val="18"/>
                <w:szCs w:val="18"/>
              </w:rPr>
              <w:t xml:space="preserve">）；</w:t>
            </w:r>
            <w:r/>
          </w:p>
          <w:p>
            <w:pPr>
              <w:jc w:val="left"/>
              <w:widowControl/>
              <w:rPr>
                <w:rFonts w:ascii="宋体" w:hAnsi="宋体" w:cs="宋体"/>
                <w:sz w:val="18"/>
                <w:szCs w:val="18"/>
              </w:rPr>
            </w:pPr>
            <w:r>
              <w:rPr>
                <w:rFonts w:hint="eastAsia" w:ascii="宋体" w:hAnsi="宋体" w:cs="宋体"/>
                <w:sz w:val="18"/>
                <w:szCs w:val="18"/>
              </w:rPr>
              <w:t xml:space="preserve">2. 采用1英</w:t>
            </w:r>
            <w:r>
              <w:rPr>
                <w:rFonts w:hint="eastAsia" w:ascii="宋体" w:hAnsi="宋体" w:cs="宋体"/>
                <w:sz w:val="18"/>
                <w:szCs w:val="18"/>
              </w:rPr>
              <w:t xml:space="preserve">寸1200万像素高帧率彩色全局曝光CMOS高清智能摄像机，最大分辨率可达4480*2688，帧率25帧；输出图片格式：JPEG；3. 支持LED频闪灯同步补光，防护罩内置LED车牌补光灯；红绿灯信号检测方式支持：红绿灯检测器，视频检测；4. 支持机动车车型、车身颜色等信息识别功能；5. 支持机动车车牌识别；6. 支持非机动车车牌定制识别；7. 支持机动车违章：压线、逆行、闯红灯、不按导向行驶、违法变道、路口停止、绿灯停止、斑马线掉头、左转不让直行、右转不让直行、掉头不让直行、大弯小转、机占非、闯禁令（禁左、</w:t>
            </w:r>
            <w:r>
              <w:rPr>
                <w:rFonts w:hint="eastAsia" w:ascii="宋体" w:hAnsi="宋体" w:cs="宋体"/>
                <w:sz w:val="18"/>
                <w:szCs w:val="18"/>
              </w:rPr>
              <w:t xml:space="preserve">禁右、禁止大车、公交专用道）、不礼让行人、闯绿灯；8. 支持非机动车违章：非占机、载人、未戴头盔、逆行、闯红灯；9. 支持多种类车牌识别：支持识别符合GA 36《中华人民共和国机动车号牌》标准的车牌类型；10. 支持机动车9种常见颜色（白、灰、黄、红、紫、绿、蓝、棕、黑）识别；11. 支持机动车多种车型识别：大客车、小客车、大货车、小货车、面包车、皮卡、轿车及SUV/MPV；12. 支持远程数据上传，可将抓拍的图片上传给终端服务器、FTP服务器或者后端平台等，具有防尘、防水、网络防雷、防浪涌等功能；13. </w:t>
            </w:r>
            <w:r>
              <w:rPr>
                <w:rFonts w:hint="eastAsia" w:ascii="宋体" w:hAnsi="宋体" w:cs="宋体"/>
                <w:sz w:val="18"/>
                <w:szCs w:val="18"/>
                <w:lang w:bidi="ar"/>
              </w:rPr>
              <w:t xml:space="preserve">距离地面适当高度有反光警示标识，外观有“滨海公安交警”标识</w:t>
            </w:r>
            <w:r>
              <w:rPr>
                <w:rFonts w:hint="eastAsia" w:ascii="宋体" w:hAnsi="宋体" w:cs="宋体"/>
                <w:sz w:val="18"/>
                <w:szCs w:val="1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22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频闪灯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光源类型：16颗优质大功率LED；2. 发光角度10°；3. 覆盖范围：单车道环境补光灯；4. 最佳补光范围16m～25m；5. 触发方式： 4V~6V电平量触发（高电平有效）（可选配开关量触发）；6. 触发信号：频率15~250HZ，占空比1%~39%，响应时间小于20US；7. 外壳材质金属铝：一般规范；8. 工作温度：温度-30℃~70℃；9. 电源：220VAC±10%；</w:t>
            </w:r>
            <w:r/>
          </w:p>
          <w:p>
            <w:pPr>
              <w:jc w:val="left"/>
              <w:widowControl/>
              <w:rPr>
                <w:rFonts w:ascii="宋体" w:hAnsi="宋体" w:cs="宋体"/>
                <w:sz w:val="18"/>
                <w:szCs w:val="18"/>
              </w:rPr>
            </w:pPr>
            <w:r>
              <w:rPr>
                <w:rFonts w:hint="eastAsia" w:ascii="宋体" w:hAnsi="宋体" w:cs="宋体"/>
                <w:sz w:val="18"/>
                <w:szCs w:val="18"/>
                <w:lang w:bidi="ar"/>
              </w:rPr>
              <w:t xml:space="preserve">10. 工作湿度：湿度5%~95%@40℃，无凝结；11. 功耗：35W MAX；12. 防护等级：IP66。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1. 18个10M/100M/1000M自适应RJ45接口(其中P1~P16与G1处于同一网段、G2处于另一网段)、2个1000M SFP光端接口(分别与G1、G2处于同一网段)，支持IP地址过滤、SSH开关自定义、ARP防攻击、视频水印等安全防护功能，具备强密码管理功能。支持WEB回话Session ID、</w:t>
            </w:r>
            <w:r>
              <w:rPr>
                <w:rFonts w:hint="eastAsia" w:ascii="宋体" w:hAnsi="宋体" w:cs="宋体"/>
                <w:sz w:val="18"/>
                <w:szCs w:val="18"/>
              </w:rPr>
              <w:t xml:space="preserve">数据传输加密、固件完整性等安全检验；2. 支持12路H.265、H.264编码混合自适应接入；3. 支持SDK、RTSP、ONVIF和GB28181添加相机通道；4. 支持图片存储展示，包括车辆卡口、违法、人脸、人体以及其他事件结构化图片数据；5. 支持视频预览、录像和回放，可配置录像计划，录像和图片存储空间可配置；6. 支持本地浏览器查询数据，可设置多种筛选条件；查询结果可关联对应事件短录像；7. 支持新国标电警应用，有反向卡口需要图片六合一时，最大支持6个电警相机六合一；8. 支持双网隔离应用，可向两个</w:t>
            </w:r>
            <w:r>
              <w:rPr>
                <w:rFonts w:hint="eastAsia" w:ascii="宋体" w:hAnsi="宋体" w:cs="宋体"/>
                <w:sz w:val="18"/>
                <w:szCs w:val="18"/>
              </w:rPr>
              <w:t xml:space="preserve">隔离网络分别上传图片和视频数据；9. 支持LED屏（默认交通诱导屏和出入口LED显示屏），音柱对接发布，发布条件和内容可自定义；10. 运行功耗：≤50W；11. 支持IP地址过滤、SSH开关自定义、ARP防攻击、视频水印等安全防护功能，具备强密码管理功能。支持WEB回话Session ID、数据传输加密、固件完整性等安全检验；12. 支持内置北斗模块，实现北斗校时、定位功能，同时支持将经纬度信息叠加在图片或者视频上，定位校时模块可插拔更换，支持内置4G/5G通信模块，实现无线通信功能，通信模块可插拔更换。</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扩音音柱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音柱，485信号播放音柱内置音频文件，功率20w，音频信息自定义，音量大小可调节，外观有“滨海公安交警”标识。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17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1个千兆单模单纤SC/ST/FC口，4个10/100/1000M电口，含1个光模块。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箱体尺寸不低于：400mm*500mm*150mm，镀锌钢板厚度1.0、喷塑处理，防护等级不低于IP55；含空开、防雷、电源板、插线板等配件，外观有“滨海公安交警监控”标识。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杆件规格：6.5m（与所在道路比净高度）*7m，八角圆锥杆，主杆口径为220-320，壁厚6mm；2. 横臂口径为100-220，壁厚5mm；3. 整体热浸镀锌，外观为镀锌本色，距离地面1-2m处有反光警示标识。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监控及显示设备杆件基础</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采用C25混凝土，包含：杆件基坑开挖、地笼二次运输、土方开挖及外运、放置地笼、预留管道(含基础内部走线双管道约5米50PE)、混凝土浇筑、基础收光及养护、模板制作根据现场需求；2.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18.66 </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Style w:val="1221"/>
                <w:rFonts w:hint="default"/>
                <w:sz w:val="18"/>
                <w:szCs w:val="18"/>
                <w:lang w:bidi="ar"/>
              </w:rPr>
              <w:t xml:space="preserve">防雷接地5*5*2500mm，包含镀锌角钢接地制作及其安装、扁钢焊接、电阻测试，电阻值≤10</w:t>
            </w:r>
            <w:r>
              <w:rPr>
                <w:rStyle w:val="1245"/>
                <w:rFonts w:hint="eastAsia" w:ascii="宋体" w:hAnsi="宋体" w:cs="宋体"/>
                <w:sz w:val="18"/>
                <w:szCs w:val="18"/>
                <w:lang w:bidi="ar"/>
              </w:rPr>
              <w:t xml:space="preserve">Ω</w:t>
            </w:r>
            <w:r>
              <w:rPr>
                <w:rStyle w:val="1221"/>
                <w:rFonts w:hint="default"/>
                <w:sz w:val="18"/>
                <w:szCs w:val="18"/>
                <w:lang w:bidi="ar"/>
              </w:rPr>
              <w:t xml:space="preserve">。焊接、接头需做好防锈防腐蚀措施。</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手孔井尺寸：400*500*400mm（含井盖）；砖砌体采用M10水泥砂浆砌筑MU15混凝土标准砖，内部采用20厚1：2水泥砂浆粉刷；带铁包边的加强型井盖、井圈；外观有“滨海公安交警”标识。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CAT-6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120</w:t>
            </w:r>
            <w:r/>
          </w:p>
        </w:tc>
      </w:tr>
      <w:tr>
        <w:trPr>
          <w:trHeight w:val="9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国标纯铜RVV2*1.5mm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国标纯铜RVV4*1.0mm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国标纯铜RVV3*4mm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787</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机械拖拉管及恢复，采用PE50管</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采用PE50管，含绿化带、路面开挖及恢复，净深度≥50cm。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220V市电接入，含供电开户费用、电力接入线缆管道施工及敷设费用、电力线缆架空施工费用等。</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路口</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3、货车右转未停车让行抓拍设施</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数量</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货车雷达视频抓拍单元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 设备由毫米波雷达、900万全局曝光CMOS低照度摄像机和补光灯组成；2. 具有2个RJ45网口，3个RS-485接口，1个RS-232接口，7路电平量报警输出接口，1个TF卡接口，1个USB接口，1个reset接口；3. 具有2个RJ45网口，2个网口之间具备物理隔离，2个网口具有独立的MAC，2个网口具有独立的IP地址和网段，不同网段可同时访问设备内置存储卡进行信息读取和下载；4.</w:t>
            </w:r>
            <w:r>
              <w:rPr>
                <w:rFonts w:hint="eastAsia" w:ascii="宋体" w:hAnsi="宋体" w:cs="宋体"/>
                <w:sz w:val="18"/>
                <w:szCs w:val="18"/>
              </w:rPr>
              <w:t xml:space="preserve"> 支持操作系统文件备份，当操作系统文件损坏或异常时，通电重启后仍可正常运行；5. 雷达数据列表可显示目标的编号（ID）、位置坐标、车道号、速度、航向角、经纬度、角度等，可设置某个ID的信息置顶显示；6. 雷达和视频可同时检测到目标，通过雷达坐标标定，实现雷达检测数据和视频检测数据的融合；通过“雷达视频深度融合技术展示”界面可以观察到雷达检测目标、视频检测目标，以及同一个目标ID关联的雷达检测速度、位置和视频检测的车牌车型、车身颜色等信息，跟踪目标数量应≥512个；7. 支持输出检测目标的北斗定位信息（经纬度</w:t>
            </w:r>
            <w:r>
              <w:rPr>
                <w:rFonts w:hint="eastAsia" w:ascii="宋体" w:hAnsi="宋体" w:cs="宋体"/>
                <w:sz w:val="18"/>
                <w:szCs w:val="18"/>
              </w:rPr>
              <w:t xml:space="preserve">坐标）；8. 支持检测的机动车车道数量≥12个；9. 支持区分距离≤0.5m的相邻交通目标；10. 支持对距离样机≥100米处的行人进行检测；11. 支持车辆信息上报功能检查：支持上报车型、车牌号、车头坐标/车尾坐标、车辆坐标、车牌颜色、车身颜色、车辆品牌等道路数字化信息，上报频率≥12.5Hz，延时≤200ms；12. 支持虚拟线圈触发数据实时上报，支持雷达扫描并上报车辆轨迹数据，上报频率支持20Hz；13. 支持H.264、H.265和MJPEG编码，可设置视频压缩码率范围：32kbps～64Mbps；</w:t>
            </w:r>
            <w:r/>
          </w:p>
          <w:p>
            <w:pPr>
              <w:jc w:val="left"/>
              <w:widowControl/>
              <w:rPr>
                <w:rFonts w:ascii="宋体" w:hAnsi="宋体" w:cs="宋体"/>
                <w:sz w:val="18"/>
                <w:szCs w:val="18"/>
              </w:rPr>
            </w:pPr>
            <w:r>
              <w:rPr>
                <w:rFonts w:hint="eastAsia" w:ascii="宋体" w:hAnsi="宋体" w:cs="宋体"/>
                <w:sz w:val="18"/>
                <w:szCs w:val="18"/>
              </w:rPr>
              <w:t xml:space="preserve">14.支持五码流并发输出：主码流最高可配置分辨率4096*2160、码率为6Mbps、帧率为25fps；子码流、第三码流、第四码流、第五码流最大支持分辨率为1920*1080、码率为2Mbps、帧率为25fps在天气晴朗无雾，号牌无遮挡、无污损，白天环境光照度不低于200lx，夜晚辅助光照度不高于30lx的条件进行测试：白天号牌识别准确率≥99.9%；晚上号牌识别准确率≥99.9%，在天气晴朗无雾，号牌无遮挡、无污损，白天环境光</w:t>
            </w:r>
            <w:r>
              <w:rPr>
                <w:rFonts w:hint="eastAsia" w:ascii="宋体" w:hAnsi="宋体" w:cs="宋体"/>
                <w:sz w:val="18"/>
                <w:szCs w:val="18"/>
              </w:rPr>
              <w:t xml:space="preserve">照度不低于200lx，夜晚辅助光照度不高于30lx的条件进行测试：白天车辆图像捕获率≥99.9%；晚上车辆图像捕获率≥99.9%，在天气晴朗无雾，号牌无遮挡、无污损的条件进行测试：违法停车事件检出率≥99.9%；15. 具有禁行抓拍功能，支持对闯禁令的货车（包括大小货车、土方车、挂车、混凝土搅拌车）和大型客车禁行抓拍，包括黄牌和蓝牌。在天气晴朗无雾，号牌无遮挡、无污损，白天环境光照度不低于200lx，夜晚辅助光照度不高于30lx的条件进行测试：白天车辆图像捕获率≥99.9%；晚上车辆图像捕获率≥99.9%；</w:t>
            </w:r>
            <w:r/>
          </w:p>
          <w:p>
            <w:pPr>
              <w:jc w:val="left"/>
              <w:widowControl/>
              <w:rPr>
                <w:rFonts w:ascii="宋体" w:hAnsi="宋体" w:cs="宋体"/>
                <w:sz w:val="18"/>
                <w:szCs w:val="18"/>
              </w:rPr>
            </w:pPr>
            <w:r>
              <w:rPr>
                <w:rFonts w:hint="eastAsia" w:ascii="宋体" w:hAnsi="宋体" w:cs="宋体"/>
                <w:sz w:val="18"/>
                <w:szCs w:val="18"/>
              </w:rPr>
              <w:t xml:space="preserve">16. 支持按车道和车辆行驶方向（左、直、右）进行车辆流量、平均速度、车辆类型、车道空间占有率、车头间距、车头时距、平均排队长度、拥堵状态等交通数据的采集和统计，可生成Excel。在天气晴朗无雾，号牌无遮挡、无污损的条件进行测试：车流量统计准确率≥99.9%；17. 外壳防护等级IP67。</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频闪灯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光源类型：16颗优质大功率LED；2. 发光角度10°；3. 覆盖范围：单车道环境补光灯；4. 最佳补光范围16m～25m；5. 触发方式： 4V~6V电平量触发（高电平有效）（可选配开关量触发）；6. 触发信号：频率15~250HZ，占空比1%~39%；7. 响应时间小于20US；8. 外壳材质金属铝：一般规范；9. 工作温度：温度-30℃~70℃；10. 电源：220VAC±10%；11. 工作湿度：湿度5%~95%@40℃，无凝结；12. 功耗：35W MAX；13. 防护等级：IP66。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numPr>
                <w:ilvl w:val="0"/>
                <w:numId w:val="3"/>
              </w:numPr>
              <w:widowControl/>
              <w:rPr>
                <w:rFonts w:ascii="宋体" w:hAnsi="宋体" w:cs="宋体"/>
                <w:sz w:val="18"/>
                <w:szCs w:val="18"/>
              </w:rPr>
            </w:pPr>
            <w:r>
              <w:rPr>
                <w:rFonts w:hint="eastAsia" w:ascii="宋体" w:hAnsi="宋体" w:cs="宋体"/>
                <w:sz w:val="18"/>
                <w:szCs w:val="18"/>
              </w:rPr>
              <w:t xml:space="preserve">18个10M/100M/1000M自适应RJ45接口(其中P1~P16与G1处于同一网段、G2处于另一网段)、2个1000M SFP光端接口(分别与G1、G2处于同一网段)，支持IP地址过滤、SSH开关自定义、ARP防攻击、视频水印等安全防护功能，具备强密码管理功能。支持WEB回话Session ID、</w:t>
            </w:r>
            <w:r>
              <w:rPr>
                <w:rFonts w:hint="eastAsia" w:ascii="宋体" w:hAnsi="宋体" w:cs="宋体"/>
                <w:sz w:val="18"/>
                <w:szCs w:val="18"/>
              </w:rPr>
              <w:t xml:space="preserve">数据传输加密、固件完整性等安全检验；2. 支持12路H.265、H.264编码混合自适应接入；3. 支持SDK、RTSP、ONVIF和GB28181添加相机通道；4. 支持图片存储展示，包括车辆卡口、违法、人脸、人体以及其他事件结构化图片数据；5. 支持视频预览、录像和回放，可配置录像计划，录像和图片存储空间可配置；6. 支持本地浏览器查询数据，可设置多种筛选条件；查询结果可关联对应事件短录像；7. 支持新国标电警应用，有反向卡口需要图片六合一时，最大支持6个电警相机六合一；8. 支持双网隔离应用，可向两个</w:t>
            </w:r>
            <w:r>
              <w:rPr>
                <w:rFonts w:hint="eastAsia" w:ascii="宋体" w:hAnsi="宋体" w:cs="宋体"/>
                <w:sz w:val="18"/>
                <w:szCs w:val="18"/>
              </w:rPr>
              <w:t xml:space="preserve">隔离网络分别上传图片和视频数据；9. 支持LED屏（默认交通诱导屏和出入口LED显示屏），音柱对接发布，发布条件和内容可自定义；10. 运行功耗：≤50W；11. 支持IP地址过滤、SSH开关自定义、ARP防攻击、视频水印等安全防护功能，具备强密码管理功能。支持WEB回话Session ID、数据传输加密、固件完整性等安全检验；12. 支持内置北斗模块，实现北斗校时、定位功能，同时支持将经纬度信息叠加在图片或者视频上，定位校时模块可插拔更换，支持内置4G/5G通信模块，实现无线通信功能，通信模块可插拔更换。</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LED信息发布屏</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P16诱导屏，显示尺寸1920mm*800mm，具体根据实际情况确定；2. 灯管驱动方式：恒流；3. 温度范围-40~60℃；</w:t>
            </w:r>
            <w:r/>
          </w:p>
          <w:p>
            <w:pPr>
              <w:jc w:val="left"/>
              <w:widowControl/>
              <w:rPr>
                <w:rFonts w:ascii="宋体" w:hAnsi="宋体" w:cs="宋体"/>
                <w:sz w:val="18"/>
                <w:szCs w:val="18"/>
                <w:lang w:bidi="ar"/>
              </w:rPr>
            </w:pPr>
            <w:r>
              <w:rPr>
                <w:rFonts w:hint="eastAsia" w:ascii="宋体" w:hAnsi="宋体" w:cs="宋体"/>
                <w:sz w:val="18"/>
                <w:szCs w:val="18"/>
                <w:lang w:bidi="ar"/>
              </w:rPr>
              <w:t xml:space="preserve">4. 亮度均匀性≥97%；5. 视距：动态距离210m；静态距离250m；6. 盲点率：1/10000；7. 控制方式：异步；</w:t>
            </w:r>
            <w:r/>
          </w:p>
          <w:p>
            <w:pPr>
              <w:jc w:val="left"/>
              <w:widowControl/>
              <w:rPr>
                <w:rFonts w:ascii="宋体" w:hAnsi="宋体" w:cs="宋体"/>
                <w:sz w:val="18"/>
                <w:szCs w:val="18"/>
                <w:lang w:bidi="ar"/>
              </w:rPr>
            </w:pPr>
            <w:r>
              <w:rPr>
                <w:rFonts w:hint="eastAsia" w:ascii="宋体" w:hAnsi="宋体" w:cs="宋体"/>
                <w:sz w:val="18"/>
                <w:szCs w:val="18"/>
                <w:lang w:bidi="ar"/>
              </w:rPr>
              <w:t xml:space="preserve">8. 平整度≤1mm；9. 衰减率(工作3年) ≤20%；10. 使用寿命≥10 万小时；11. 平均故障时间≥1万小时；</w:t>
            </w:r>
            <w:r/>
          </w:p>
          <w:p>
            <w:pPr>
              <w:jc w:val="left"/>
              <w:widowControl/>
              <w:rPr>
                <w:rFonts w:ascii="宋体" w:hAnsi="宋体" w:cs="宋体"/>
                <w:sz w:val="18"/>
                <w:szCs w:val="18"/>
                <w:lang w:bidi="ar"/>
              </w:rPr>
            </w:pPr>
            <w:r>
              <w:rPr>
                <w:rFonts w:hint="eastAsia" w:ascii="宋体" w:hAnsi="宋体" w:cs="宋体"/>
                <w:sz w:val="18"/>
                <w:szCs w:val="18"/>
                <w:lang w:bidi="ar"/>
              </w:rPr>
              <w:t xml:space="preserve">12. 整机老化≥48小时；13. 显示尺寸根据项目定制；14. 机箱要求：冷轧钢板，机箱为内外两层，内箱体为全封闭、全天候、防风雨型，符合IP65防护等级；15. 抗风等级：40m/s；16. 防护等级：IP65；17. 像素结构：1红1绿1蓝（全彩）；18. 像素间距：16mm；19. 白平衡亮度：≥5500cd/m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；20. 刷新率：≥4000Hz；21. 峰值功耗：280W/㎡；</w:t>
            </w:r>
            <w:r/>
          </w:p>
          <w:p>
            <w:pPr>
              <w:jc w:val="left"/>
              <w:widowControl/>
              <w:rPr>
                <w:rFonts w:ascii="宋体" w:hAnsi="宋体" w:cs="宋体"/>
                <w:sz w:val="18"/>
                <w:szCs w:val="18"/>
                <w:lang w:bidi="ar"/>
              </w:rPr>
            </w:pPr>
            <w:r>
              <w:rPr>
                <w:rFonts w:hint="eastAsia" w:ascii="宋体" w:hAnsi="宋体" w:cs="宋体"/>
                <w:sz w:val="18"/>
                <w:szCs w:val="18"/>
                <w:lang w:bidi="ar"/>
              </w:rPr>
              <w:t xml:space="preserve">22. 平均功耗：90W/㎡；23. 工作温度：-40℃~65℃；24. 外壳材料：冷轧钢板机箱，双层门设计，防风雨型；</w:t>
            </w:r>
            <w:r/>
          </w:p>
          <w:p>
            <w:pPr>
              <w:jc w:val="left"/>
              <w:widowControl/>
              <w:rPr>
                <w:rFonts w:ascii="宋体" w:hAnsi="宋体" w:cs="宋体"/>
                <w:sz w:val="18"/>
                <w:szCs w:val="18"/>
                <w:lang w:bidi="ar"/>
              </w:rPr>
            </w:pPr>
            <w:r>
              <w:rPr>
                <w:rFonts w:hint="eastAsia" w:ascii="宋体" w:hAnsi="宋体" w:cs="宋体"/>
                <w:sz w:val="18"/>
                <w:szCs w:val="18"/>
                <w:lang w:bidi="ar"/>
              </w:rPr>
              <w:t xml:space="preserve">25. 具备远程控制功能和自动重启功能，建设后能接入滨海县公安局智慧交管平台控制；</w:t>
            </w:r>
            <w:r/>
          </w:p>
          <w:p>
            <w:pPr>
              <w:jc w:val="left"/>
              <w:widowControl/>
              <w:rPr>
                <w:rFonts w:ascii="宋体" w:hAnsi="宋体" w:cs="宋体"/>
                <w:sz w:val="18"/>
                <w:szCs w:val="18"/>
                <w:lang w:bidi="ar"/>
              </w:rPr>
            </w:pPr>
            <w:r>
              <w:rPr>
                <w:rFonts w:hint="eastAsia" w:ascii="宋体" w:hAnsi="宋体" w:cs="宋体"/>
                <w:sz w:val="18"/>
                <w:szCs w:val="18"/>
                <w:lang w:bidi="ar"/>
              </w:rPr>
              <w:t xml:space="preserve">26. 背面外观有“滨海公安交警”标识。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1个千兆单模单纤SC/ST/FC口，4个10/100/1000M电口，含1个光模块。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箱体尺寸不低于：400mm*500mm*150mm，镀锌钢板厚度1.0</w:t>
            </w:r>
            <w:r>
              <w:rPr>
                <w:rFonts w:hint="eastAsia" w:ascii="宋体" w:hAnsi="宋体" w:cs="宋体"/>
                <w:sz w:val="20"/>
                <w:lang w:bidi="ar"/>
              </w:rPr>
              <w:t xml:space="preserve">mm</w:t>
            </w:r>
            <w:r>
              <w:rPr>
                <w:rFonts w:hint="eastAsia" w:ascii="宋体" w:hAnsi="宋体" w:cs="宋体"/>
                <w:sz w:val="18"/>
                <w:szCs w:val="18"/>
                <w:lang w:bidi="ar"/>
              </w:rPr>
              <w:t xml:space="preserve">、喷塑处理，防护等级不低于IP55。含空开、防雷、电源板、插线板等配件，外观有“滨海公安交警”标识。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LED信息发布屏杆件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F型悬臂杆，杆件规格：7m（与所在道路比净高度）*4m，八角圆锥杆，含地笼，主杆口径为220-320</w:t>
            </w:r>
            <w:r>
              <w:rPr>
                <w:rFonts w:hint="eastAsia" w:ascii="宋体" w:hAnsi="宋体" w:cs="宋体"/>
                <w:sz w:val="20"/>
                <w:lang w:bidi="ar"/>
              </w:rPr>
              <w:t xml:space="preserve">mm</w:t>
            </w:r>
            <w:r>
              <w:rPr>
                <w:rFonts w:hint="eastAsia" w:ascii="宋体" w:hAnsi="宋体" w:cs="宋体"/>
                <w:sz w:val="18"/>
                <w:szCs w:val="18"/>
                <w:lang w:bidi="ar"/>
              </w:rPr>
              <w:t xml:space="preserve">，壁厚6mm；2. 横臂口径为100-220mm，壁厚5mm；3. 整体热浸镀锌，外观为镀锌本色，距离地面1-2m处有反光警示标识。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监控及显示设备杆件基础</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采用C25混凝土，包含：杆件基坑开挖、地笼二次运输、土方开挖及外运、放置地笼、预留管道(含基础内部走线双管道约5米50PE)、混凝土浇筑、基础收光及养护、模板制作根据现场需求；2.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60.48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Style w:val="1221"/>
                <w:rFonts w:hint="default"/>
                <w:sz w:val="18"/>
                <w:szCs w:val="18"/>
                <w:lang w:bidi="ar"/>
              </w:rPr>
              <w:t xml:space="preserve">防雷接地5*5*2500mm，包含镀锌角钢接地制作及其安装、扁钢焊接、电阻测试，电阻值≤10</w:t>
            </w:r>
            <w:r>
              <w:rPr>
                <w:rStyle w:val="1245"/>
                <w:rFonts w:hint="eastAsia" w:ascii="宋体" w:hAnsi="宋体" w:cs="宋体"/>
                <w:sz w:val="18"/>
                <w:szCs w:val="18"/>
                <w:lang w:bidi="ar"/>
              </w:rPr>
              <w:t xml:space="preserve">Ω</w:t>
            </w:r>
            <w:r>
              <w:rPr>
                <w:rStyle w:val="1221"/>
                <w:rFonts w:hint="default"/>
                <w:sz w:val="18"/>
                <w:szCs w:val="18"/>
                <w:lang w:bidi="ar"/>
              </w:rPr>
              <w:t xml:space="preserve">。焊接、接头需做好防锈防腐蚀措施。</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手孔井尺寸：400*500*400mm（含井盖）；砖砌体采用M10水泥砂浆砌筑MU15混凝土标准砖，内部采用20厚1：2水泥砂浆粉刷；带铁包边的加强型井盖、井圈；外观有“滨海公安交警”标识。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CAT-6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1440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国标纯铜RVV2*1.5mm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1440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国标纯铜RVV4*1.0mm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240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国标纯铜RVV3*4mm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采用PE50管，含绿化带、路面开挖及恢复，净深度≥50cm。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800</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4、机动车超速监测记录系统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900万环保卡口抓拍单元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1. 设备的镜头和两个sensor一体化设计，具有独立三角分光棱镜分光结构装置，分别接收可见光和</w:t>
            </w:r>
            <w:r>
              <w:rPr>
                <w:rFonts w:hint="eastAsia" w:ascii="宋体" w:hAnsi="宋体" w:cs="宋体"/>
                <w:sz w:val="18"/>
                <w:szCs w:val="18"/>
              </w:rPr>
              <w:t xml:space="preserve">红外光。抓拍支持输出三张同时刻目标图片，包括可见光路图片（全彩），红外路图片（黑白）和融合图片（全彩），三张图片抓拍时间为同一时刻，抓拍运动目标，三张图片中目标位置相同无位移。支持同时预览两路sensor视频，设备场景中放置红外LED常亮灯，朝向摄像机镜头，可见光路视频图像中补光灯灯珠完全无光，同时红外路视频图像补光灯可清晰看到灯珠亮光；支持驾驶人脸部特征信息大于50*50个像素点、夜间环境照度在10lx~30lx范围的情况下，配合LED补光与红外爆闪补光，输出高清人脸抠图。具有车灯去红光设置选项，开启后可</w:t>
            </w:r>
            <w:r>
              <w:rPr>
                <w:rFonts w:hint="eastAsia" w:ascii="宋体" w:hAnsi="宋体" w:cs="宋体"/>
                <w:sz w:val="18"/>
                <w:szCs w:val="18"/>
              </w:rPr>
              <w:t xml:space="preserve">去除车灯附近产生的红光。支持识别并显示不低于50种车辆类型；配合爆闪灯，样机可穿透车窗遮光条显示驾驶员头部画面。支持识别改装牛眼灯的大货车的车牌。支持识别车标类型≥460种；在天气晴朗无雾，车辆无遮挡，白天环境光照度不低于200lx，夜晚辅助光照度不高于30lx的情况下进行测试；白天车标识别准确率≥99%；晚上车标识别准确率≥99%； 支持对机动车、非机动车、行人等混合目标进行检测。能同时检测不少于140个混合的静态目标并对这些目标进行绿框跟踪；可同时对至少140个混合的静态目标进行优选、抓拍及属性分析；（</w:t>
            </w:r>
            <w:r>
              <w:rPr>
                <w:rFonts w:hint="eastAsia" w:ascii="宋体" w:hAnsi="宋体" w:cs="宋体"/>
                <w:color w:val="ff0000"/>
                <w:sz w:val="18"/>
                <w:szCs w:val="18"/>
              </w:rPr>
              <w:t xml:space="preserve">投标时提供符合要求的公安部检验报告并加盖产品制造商原厂公章的扫描件</w:t>
            </w:r>
            <w:r>
              <w:rPr>
                <w:rFonts w:hint="eastAsia" w:ascii="宋体" w:hAnsi="宋体" w:cs="宋体"/>
                <w:sz w:val="18"/>
                <w:szCs w:val="18"/>
              </w:rPr>
              <w:t xml:space="preserve">）；</w:t>
            </w:r>
            <w:r/>
          </w:p>
          <w:p>
            <w:pPr>
              <w:jc w:val="left"/>
              <w:widowControl/>
              <w:rPr>
                <w:rFonts w:ascii="宋体" w:hAnsi="宋体" w:cs="宋体"/>
                <w:sz w:val="18"/>
                <w:szCs w:val="18"/>
              </w:rPr>
            </w:pPr>
            <w:r>
              <w:rPr>
                <w:rFonts w:hint="eastAsia" w:ascii="宋体" w:hAnsi="宋体" w:cs="宋体"/>
                <w:sz w:val="18"/>
                <w:szCs w:val="18"/>
              </w:rPr>
              <w:t xml:space="preserve">2. 包含高清一体化嵌入式摄像机、高清镜头、室外防护罩、电源适配器等；3. 设备应采用深度学习芯片；4. 支持主码流同时输出不少于30路4096*2160、2Mbps的25帧/s图像以提供客户端浏览；5. 最大图像尺寸：≥4096*2160像素；字符叠加时最大可支持4096*2800；6. 视频帧率：在1～25fps可调；7. 支持在25%丢包率的网络环境下，正常显示监控画面；8.</w:t>
            </w:r>
            <w:r>
              <w:rPr>
                <w:rFonts w:hint="eastAsia" w:ascii="宋体" w:hAnsi="宋体" w:cs="宋体"/>
                <w:sz w:val="18"/>
                <w:szCs w:val="18"/>
              </w:rPr>
              <w:t xml:space="preserve"> 护罩玻璃透光率≥99%；9. 视频压缩支持H.265、H.264、M-JPEG；10. 支持机动车、二轮车（摩托车、自行车、电动二轮车）、三轮车和行人分类检测；11. 支持车前窗挂坠、年检标识、抽烟、驾驶员人脸识别、驾驶室人脸抠图、遮阳板识别等检测功能；12. 外壳防护等级应不低于IP66；13. 未叠加字符信息抓图分辨率：4096像素*2160像素；叠加字符信息抓图分辨率：4096像素*4312像素；14. 具有抓拍黄牌车、蓝牌车、绿牌车、渐变绿牌车、黑牌车、白牌车、黄绿双拼牌车和不启用抓拍八个设置选项</w:t>
            </w:r>
            <w:r>
              <w:rPr>
                <w:rFonts w:hint="eastAsia" w:ascii="宋体" w:hAnsi="宋体" w:cs="宋体"/>
                <w:sz w:val="18"/>
                <w:szCs w:val="18"/>
              </w:rPr>
              <w:t xml:space="preserve">。可对蓝色、黄色、绿色、渐变绿色、黑色、白色、黄绿双拼色以及其他不同颜色车牌的车辆进行选择抓拍；15. 具有去鬼影设置选项，开启后可消除画面中的鬼影现象；16. 具有光晕消除设置选项，开启后可消除交通灯周边的光晕效果；17. 支持车牌黑/白名单设置，最大可设置90万条黑/白名单；在车辆结构化属性清晰、无遮挡的情况下，客户端设备与受检设备直连进行测试，从抓拍图片到输出车牌信息的时间＜18ms；18. 支持检测并跟踪指定区域内不少于230个目标，目标包括机动车、非机动车以及行人等；19. 正常违章行为优先级抓拍</w:t>
            </w:r>
            <w:r>
              <w:rPr>
                <w:rFonts w:hint="eastAsia" w:ascii="宋体" w:hAnsi="宋体" w:cs="宋体"/>
                <w:sz w:val="18"/>
                <w:szCs w:val="18"/>
              </w:rPr>
              <w:t xml:space="preserve">功能，支持根据现场违章抓拍需求通过web界面设置事件优先度，事件优先度1-18可设，设置后可按事件优先度进行违章抓拍及图片存储；20. 抓拍图片具备智能压缩技术，可以保证在主体目标清晰的情况下压缩图片整体大小，平均压缩率可达到原图大小的30%；21. 支持分别对11种车型（大货车、中货车、小货车、客车、小轿车、中客车、危险品运输车、校车、面包车、环卫车其他车型等）进行不同超速比设置，可设置12个超速比区间。在相同道路上，设备支持根据不同的超速比设置对不同车型进行超速抓拍，并输出不同的超速抓拍结果及违法代码。</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测速雷达</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单车道测速雷达：1. 测速距离：单车道18～28m(可调整)；2. 测速范围：10km/h～250km/h；3. WIFI功能：可通过雷达WIFI进行雷达各项参数设置，调试简单快捷；4. 工作电压：9-12V DC；5. 工作功耗：≤2W。</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多功能补光灯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 铝合金灯体，鳍片式散热结构，面罩采用特殊工艺的耐高温的PC材料，透光效果好；2. 采用24颗优质高亮度LED芯片，寿命长，稳定性好，发光效率高；3. 带LED格栅，有效减少周边光污染；4. 气体灯管采用优质高性能氙气灯管，质量可靠，寿命长；5. 经专业光学设计，发光均匀，目标光斑显明，有效减少光污；6. 采用步进电机功能，实现红外滤片的切换</w:t>
            </w:r>
            <w:r>
              <w:rPr>
                <w:rFonts w:hint="eastAsia" w:ascii="宋体" w:hAnsi="宋体" w:cs="宋体"/>
                <w:sz w:val="18"/>
                <w:szCs w:val="18"/>
                <w:lang w:bidi="ar"/>
              </w:rPr>
              <w:t xml:space="preserve">；</w:t>
            </w:r>
            <w:r>
              <w:rPr>
                <w:rFonts w:hint="eastAsia" w:ascii="宋体" w:hAnsi="宋体" w:cs="宋体"/>
                <w:sz w:val="18"/>
                <w:szCs w:val="18"/>
              </w:rPr>
              <w:t xml:space="preserve">LED控制采用先进的恒流驱动技术，电流控制准确、稳定，产品稳定性好、可靠性高，有效减少光衰；7. 气体光源回电时间小于67ms，支持超速连拍；8. 气体补光控制具有峰值抑制功能； 9. 支持LED灯频闪、白光气体爆闪，红外气体爆闪；10. 支持相机误触发保护功能，触发信号输入异常时自动保护、且自动恢复；11. 灯体具有专利设，计新颖别致、适应性强，安装简单，调节方便。</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numPr>
                <w:ilvl w:val="0"/>
                <w:numId w:val="4"/>
              </w:numPr>
              <w:widowControl/>
              <w:rPr>
                <w:rFonts w:ascii="宋体" w:hAnsi="宋体" w:cs="宋体"/>
                <w:sz w:val="18"/>
                <w:szCs w:val="18"/>
              </w:rPr>
            </w:pPr>
            <w:r>
              <w:rPr>
                <w:rFonts w:hint="eastAsia" w:ascii="宋体" w:hAnsi="宋体" w:cs="宋体"/>
                <w:sz w:val="18"/>
                <w:szCs w:val="18"/>
              </w:rPr>
              <w:t xml:space="preserve">18个10M/100M/1000M自适应RJ45接口(其中P1~P16与G1处于同一网段、G2处于另一网段)、2个1000M SFP光端接口(分别与G1、G2处于同一网段)，支持IP地址过滤、SSH开关自定义、ARP防攻击、视频水印等安全防护功能，具备强密码管理功能。支持WEB回话Session ID、</w:t>
            </w:r>
            <w:r>
              <w:rPr>
                <w:rFonts w:hint="eastAsia" w:ascii="宋体" w:hAnsi="宋体" w:cs="宋体"/>
                <w:sz w:val="18"/>
                <w:szCs w:val="18"/>
              </w:rPr>
              <w:t xml:space="preserve">数据传输加密、固件完整性等安全检验；2. 支持12路H.265、H.264编码混合自适应接入；3. 支持SDK、RTSP、ONVIF和GB28181添加相机通道；4. 支持图片存储展示，包括车辆卡口、违法、人脸、人体以及其他事件结构化图片数据；5. 支持视频预览、录像和回放，可配置录像计划，录像和图片存储空间可配置；6. 支持本地浏览器查询数据，可设置多种筛选条件；查询结果可关联对应事件短录像；7. 支持新国标电警应用，有反向卡口需要图片六合一时，最大支持6个电警相机六合一；8. 支持双网隔离应用，可向两个</w:t>
            </w:r>
            <w:r>
              <w:rPr>
                <w:rFonts w:hint="eastAsia" w:ascii="宋体" w:hAnsi="宋体" w:cs="宋体"/>
                <w:sz w:val="18"/>
                <w:szCs w:val="18"/>
              </w:rPr>
              <w:t xml:space="preserve">隔离网络分别上传图片和视频数据；9. 支持LED屏（默认交通诱导屏和出入口LED显示屏），音柱对接发布，发布条件和内容可自定义；10. 运行功耗：≤50W；11. 支持IP地址过滤、SSH开关自定义、ARP防攻击、视频水印等安全防护功能，具备强密码管理功能。支持WEB回话Session ID、数据传输加密、固件完整性等安全检验；12. 支持内置北斗模块，实现北斗校时、定位功能，同时支持将经纬度信息叠加在图片或者视频上，定位校时模块可插拔更换，支持内置4G/5G通信模块，实现无线通信功能，通信模块可插拔更换。</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1个千兆单模单纤SC/ST/FC口，4个10/100/1000M电口，含1个光模块。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箱体尺寸不低于：400mm*500mm*150mm，镀锌钢板厚度1.0</w:t>
            </w:r>
            <w:r>
              <w:rPr>
                <w:rFonts w:hint="eastAsia" w:ascii="宋体" w:hAnsi="宋体" w:cs="宋体"/>
                <w:sz w:val="20"/>
                <w:lang w:bidi="ar"/>
              </w:rPr>
              <w:t xml:space="preserve">mm</w:t>
            </w:r>
            <w:r>
              <w:rPr>
                <w:rFonts w:hint="eastAsia" w:ascii="宋体" w:hAnsi="宋体" w:cs="宋体"/>
                <w:sz w:val="18"/>
                <w:szCs w:val="18"/>
                <w:lang w:bidi="ar"/>
              </w:rPr>
              <w:t xml:space="preserve">、喷塑处理，防护等级不低于IP55。含空开、防雷、电源板、插线板等配件，外观有“滨海公安交警”标识。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落地机箱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箱体尺寸不低于：600mm*600mm*1000mm，镀锌钢板厚度1.2mm、喷塑处理，防护等级不低于IP55。含空开、防雷、电源板、插线板等配件，外观有“滨海公安交警”标识。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杆件规格：6.5m（与所在道路比净高度）*7m，八角圆锥杆，主杆口径为220-320</w:t>
            </w:r>
            <w:r>
              <w:rPr>
                <w:rFonts w:hint="eastAsia" w:ascii="宋体" w:hAnsi="宋体" w:cs="宋体"/>
                <w:sz w:val="20"/>
                <w:lang w:bidi="ar"/>
              </w:rPr>
              <w:t xml:space="preserve">mm</w:t>
            </w:r>
            <w:r>
              <w:rPr>
                <w:rFonts w:hint="eastAsia" w:ascii="宋体" w:hAnsi="宋体" w:cs="宋体"/>
                <w:sz w:val="18"/>
                <w:szCs w:val="18"/>
                <w:lang w:bidi="ar"/>
              </w:rPr>
              <w:t xml:space="preserve">，壁厚6mm；2. 横臂口径为100-220</w:t>
            </w:r>
            <w:r>
              <w:rPr>
                <w:rFonts w:hint="eastAsia" w:ascii="宋体" w:hAnsi="宋体" w:cs="宋体"/>
                <w:sz w:val="20"/>
                <w:lang w:bidi="ar"/>
              </w:rPr>
              <w:t xml:space="preserve">mm</w:t>
            </w:r>
            <w:r>
              <w:rPr>
                <w:rFonts w:hint="eastAsia" w:ascii="宋体" w:hAnsi="宋体" w:cs="宋体"/>
                <w:sz w:val="18"/>
                <w:szCs w:val="18"/>
                <w:lang w:bidi="ar"/>
              </w:rPr>
              <w:t xml:space="preserve">，壁厚5mm；3. 整体热浸镀锌，外观为镀锌本色，距离地面1-2m处有反光警示标识。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监控杆件基础</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采用C25混凝土，包含：杆件基坑开挖、地笼二次运输、土方开挖及外运、放置地笼、预留管道(含基础内部走线双管道约5米50PE)、混凝土浇筑、基础收光及养护、模板制作根据现场需求；2.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34.56</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Style w:val="1221"/>
                <w:rFonts w:hint="default"/>
                <w:sz w:val="18"/>
                <w:szCs w:val="18"/>
                <w:lang w:bidi="ar"/>
              </w:rPr>
              <w:t xml:space="preserve">防雷接地5</w:t>
            </w:r>
            <w:r>
              <w:rPr>
                <w:rFonts w:hint="eastAsia" w:ascii="宋体" w:hAnsi="宋体" w:cs="宋体"/>
                <w:sz w:val="20"/>
                <w:lang w:bidi="ar"/>
              </w:rPr>
              <w:t xml:space="preserve">mm</w:t>
            </w:r>
            <w:r>
              <w:rPr>
                <w:rStyle w:val="1221"/>
                <w:rFonts w:hint="default"/>
                <w:sz w:val="18"/>
                <w:szCs w:val="18"/>
                <w:lang w:bidi="ar"/>
              </w:rPr>
              <w:t xml:space="preserve">*5</w:t>
            </w:r>
            <w:r>
              <w:rPr>
                <w:rFonts w:hint="eastAsia" w:ascii="宋体" w:hAnsi="宋体" w:cs="宋体"/>
                <w:sz w:val="20"/>
                <w:lang w:bidi="ar"/>
              </w:rPr>
              <w:t xml:space="preserve">mm</w:t>
            </w:r>
            <w:r>
              <w:rPr>
                <w:rStyle w:val="1221"/>
                <w:rFonts w:hint="default"/>
                <w:sz w:val="18"/>
                <w:szCs w:val="18"/>
                <w:lang w:bidi="ar"/>
              </w:rPr>
              <w:t xml:space="preserve">*2500mm，包含镀锌角钢接地制作及其安装、扁钢焊接、电阻测试，电阻值≤10</w:t>
            </w:r>
            <w:r>
              <w:rPr>
                <w:rStyle w:val="1245"/>
                <w:rFonts w:hint="eastAsia" w:ascii="宋体" w:hAnsi="宋体" w:cs="宋体"/>
                <w:sz w:val="18"/>
                <w:szCs w:val="18"/>
                <w:lang w:bidi="ar"/>
              </w:rPr>
              <w:t xml:space="preserve">Ω</w:t>
            </w:r>
            <w:r>
              <w:rPr>
                <w:rStyle w:val="1221"/>
                <w:rFonts w:hint="default"/>
                <w:sz w:val="18"/>
                <w:szCs w:val="18"/>
                <w:lang w:bidi="ar"/>
              </w:rPr>
              <w:t xml:space="preserve">。焊接、接头需做好防锈防腐蚀措施。</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手孔井尺寸：400</w:t>
            </w:r>
            <w:r>
              <w:rPr>
                <w:rFonts w:hint="eastAsia" w:ascii="宋体" w:hAnsi="宋体" w:cs="宋体"/>
                <w:sz w:val="20"/>
                <w:lang w:bidi="ar"/>
              </w:rPr>
              <w:t xml:space="preserve">mm</w:t>
            </w:r>
            <w:r>
              <w:rPr>
                <w:rFonts w:hint="eastAsia" w:ascii="宋体" w:hAnsi="宋体" w:cs="宋体"/>
                <w:sz w:val="18"/>
                <w:szCs w:val="18"/>
                <w:lang w:bidi="ar"/>
              </w:rPr>
              <w:t xml:space="preserve">*500</w:t>
            </w:r>
            <w:r>
              <w:rPr>
                <w:rFonts w:hint="eastAsia" w:ascii="宋体" w:hAnsi="宋体" w:cs="宋体"/>
                <w:sz w:val="20"/>
                <w:lang w:bidi="ar"/>
              </w:rPr>
              <w:t xml:space="preserve">mm</w:t>
            </w:r>
            <w:r>
              <w:rPr>
                <w:rFonts w:hint="eastAsia" w:ascii="宋体" w:hAnsi="宋体" w:cs="宋体"/>
                <w:sz w:val="18"/>
                <w:szCs w:val="18"/>
                <w:lang w:bidi="ar"/>
              </w:rPr>
              <w:t xml:space="preserve">*400mm（含井盖）；砖砌体采用M10水泥砂浆砌筑MU15混凝土标准砖，内部采用20厚1：2水泥砂浆粉刷；带铁包边的加强型井盖、井圈；外观有“滨海公安交警”标识。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24</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CAT-6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720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国标纯铜RVV2*1.5mm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320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国标纯铜RVV4*1.0mm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300</w:t>
            </w:r>
            <w:r/>
          </w:p>
        </w:tc>
      </w:tr>
      <w:tr>
        <w:trPr>
          <w:trHeight w:val="1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国标纯铜RVV3*4mm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光缆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单模4芯</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1150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机械拖拉管及恢复，采用PE50管。</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606</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采用PE50管，含绿化带、路面开挖及恢复，净深度≥50cm。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220V市电接入，含供电开户费用、电力接入线缆管道施工及敷设费用、电力线缆架空施工费用等。</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5年运营商光纤链路租赁，符合公安网要求的裸纤。</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5、不系安全带/接打电话违法抓拍类系统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900万环保卡口抓拍单元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1. 包含高清一体化嵌入式摄像机、高清镜头、室外防护罩、电源适配器等；2. 设备的镜头和两个sensor一体化设计，具有独立三角分光棱镜分光结构装置，分别接收可见光和红外光。抓拍支持输出三张同时刻目标图片，包括可见光路图片（全彩），红外路图片（黑白）和融合图片（全彩），三张图片抓拍时间为同一时刻，</w:t>
            </w:r>
            <w:r>
              <w:rPr>
                <w:rFonts w:hint="eastAsia" w:ascii="宋体" w:hAnsi="宋体" w:cs="宋体"/>
                <w:sz w:val="18"/>
                <w:szCs w:val="18"/>
              </w:rPr>
              <w:t xml:space="preserve">抓拍运动目标，三张图片中目标位置相同无位移。支持同时预览两路sensor视频，设备场景中放置红外LED常亮灯，朝向摄像机镜头，可见光路视频图像中补光灯灯珠完全无光，同时红外路视频图像补光灯可清晰看到灯珠亮光；3. 设备应采用深度学习芯片；4. 支持主码流同时输出不少于30路4096*2160、2Mbps的25帧/s图像以提供客户端浏览；5. 最大图像尺寸：≥4096*2160像素；字符叠加时最大可支持4096*2800，视频帧率：在1～25fps可调；6. 支持在25%丢包率的网络环境下，正常显示监控画面；</w:t>
            </w:r>
            <w:r/>
          </w:p>
          <w:p>
            <w:pPr>
              <w:widowControl/>
              <w:rPr>
                <w:rFonts w:ascii="宋体" w:hAnsi="宋体" w:cs="宋体"/>
                <w:sz w:val="18"/>
                <w:szCs w:val="18"/>
              </w:rPr>
            </w:pPr>
            <w:r>
              <w:rPr>
                <w:rFonts w:hint="eastAsia" w:ascii="宋体" w:hAnsi="宋体" w:cs="宋体"/>
                <w:sz w:val="18"/>
                <w:szCs w:val="18"/>
              </w:rPr>
              <w:t xml:space="preserve">7. 护罩玻璃透光率≥99%；8. 视频压缩支持H.265、H.264、M-JPEG；9. 支持机动车、二轮车（摩托车、自行车、电动二轮车）、三轮车和行人分类检测；10. 支持车前窗挂坠</w:t>
            </w:r>
            <w:r>
              <w:rPr>
                <w:rFonts w:hint="eastAsia" w:ascii="宋体" w:hAnsi="宋体" w:cs="宋体"/>
                <w:sz w:val="18"/>
                <w:szCs w:val="18"/>
              </w:rPr>
              <w:t xml:space="preserve">、年检标识、抽烟、驾驶员人脸识别、驾驶室人脸抠图、遮阳板识别等检测功能；11. 外壳防护等级应不低于IP66；12. 未叠加字符信息抓图分辨率：4096像素*2160像素；叠加字符信息抓图分辨率：4096像素*4312像素；13. 具有抓拍黄牌车、蓝牌车、绿牌车、渐变绿牌车、黑牌车、白牌车、黄绿双拼牌车和不启用抓拍八个设置选项。可对蓝色、黄色、绿色、渐变绿色、黑色、白色、黄绿双拼色以及其他不同颜色车牌的车辆进行选择抓拍；14. 支持驾驶人脸部特征信息大于50*50个像素点、夜间环境照度在10lx~30lx范</w:t>
            </w:r>
            <w:r>
              <w:rPr>
                <w:rFonts w:hint="eastAsia" w:ascii="宋体" w:hAnsi="宋体" w:cs="宋体"/>
                <w:sz w:val="18"/>
                <w:szCs w:val="18"/>
              </w:rPr>
              <w:t xml:space="preserve">围的情况下，配合LED补光与红外爆闪补光，输出高清人脸抠图。具有车灯去红光设置选项，开启后可去除车灯附近产生的红光。支持识别并显示不低于50种车辆类型；15. 具有去鬼影设置选项，开启后可消除画面中的鬼影现象；16. 具有光晕消除设置选项，开启后可消除交通灯周边的光晕效果；17. 配合爆闪灯，样机可穿透车窗遮光条显示驾驶员头部画面。支持识别改装牛眼灯的大货车的车牌。支持识别车标类型≥460种；在天气晴朗无雾，车辆无遮挡，白天环境光照度不低于200lx，夜晚辅助光照度不高于30lx的情况下进行测试；白天车标识</w:t>
            </w:r>
            <w:r>
              <w:rPr>
                <w:rFonts w:hint="eastAsia" w:ascii="宋体" w:hAnsi="宋体" w:cs="宋体"/>
                <w:sz w:val="18"/>
                <w:szCs w:val="18"/>
              </w:rPr>
              <w:t xml:space="preserve">别准确率≥99%；晚上车标识别准确率≥99%；18. 支持车牌黑/白名单设置，最大可设置90万条黑/白名单；19. 在车辆结构化属性清晰、无遮挡的情况下，客户端设备与受检设备直连进行测试，从抓拍图片到输出车牌信息的时间＜18ms；20. 支持对机动车、非机动车、行人等混合目标进行检测。能同时检测不少于140个混合的静态目标并对这些目标进行绿框跟踪；可同时对至少140个混合的静态目标进行优选、抓拍及属性分析，支持检测并跟踪指定区域内不少于230个目标，目标包括机动车、非机动车以及行人等；21. 正常违章行为优</w:t>
            </w:r>
            <w:r>
              <w:rPr>
                <w:rFonts w:hint="eastAsia" w:ascii="宋体" w:hAnsi="宋体" w:cs="宋体"/>
                <w:sz w:val="18"/>
                <w:szCs w:val="18"/>
              </w:rPr>
              <w:t xml:space="preserve">先级抓拍功能，支持根据现场违章抓拍需求通过web界面设置事件优先度，事件优先度1-18可设，设置后可按事件优先度进行违章抓拍及图片存储，抓拍图片具备智能压缩技术，可以保证在主体目标清晰的情况下压缩图片整体大小，平均压缩率可达到原图大小的30%；22. 支持分别对11种车型（大货车、中货车、小货车、客车、小轿车、中客车、危险品运输车、校车、面包车、环卫车其他车型等）进行不同超速比设置，可设置12个超速比区间。在相同道路上，设备支持根据不同的超速比设置对不同车型进行超速抓拍，并输出不同的超速抓拍结果及违法代码。</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多功能补光灯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 铝合金灯体，鳍片式散热结构，面罩为耐高温材料，透光效果好；2. 采用24颗优质高亮度LED芯片，寿命长，稳定性好，发光效率高；3. 带LED格栅，能有效减少周边光污染；4. 气体灯管采用优质高性能氙气灯管，质量可靠，寿命长；</w:t>
            </w:r>
            <w:r/>
          </w:p>
          <w:p>
            <w:pPr>
              <w:jc w:val="left"/>
              <w:widowControl/>
              <w:rPr>
                <w:rFonts w:ascii="宋体" w:hAnsi="宋体" w:cs="宋体"/>
                <w:sz w:val="18"/>
                <w:szCs w:val="18"/>
              </w:rPr>
            </w:pPr>
            <w:r>
              <w:rPr>
                <w:rFonts w:hint="eastAsia" w:ascii="宋体" w:hAnsi="宋体" w:cs="宋体"/>
                <w:sz w:val="18"/>
                <w:szCs w:val="18"/>
              </w:rPr>
              <w:t xml:space="preserve">5. 发光均匀，目标光斑显明，有效减少光污；6. 采用步进电机功能，实现红外滤片的切换，LED控制采用先进的恒流驱动技术，电流控制准确、稳定，产品稳定性好、可靠性高，有效减少光衰；7. 气体光源回电时间小于67ms，支持超速连拍；</w:t>
            </w:r>
            <w:r/>
          </w:p>
          <w:p>
            <w:pPr>
              <w:jc w:val="left"/>
              <w:widowControl/>
              <w:rPr>
                <w:rFonts w:ascii="宋体" w:hAnsi="宋体" w:cs="宋体"/>
                <w:sz w:val="18"/>
                <w:szCs w:val="18"/>
              </w:rPr>
            </w:pPr>
            <w:r>
              <w:rPr>
                <w:rFonts w:hint="eastAsia" w:ascii="宋体" w:hAnsi="宋体" w:cs="宋体"/>
                <w:sz w:val="18"/>
                <w:szCs w:val="18"/>
              </w:rPr>
              <w:t xml:space="preserve">8. 气体补光控制具有峰值抑制功能； 9. 支持LED灯频闪、白光气体爆闪，红外气体爆闪；10. 支持相机误触发保护功能，触发信号输入异常时自动保护、且自动恢复；11. 灯体具有专利设，计新颖别致、适应性强，安装简单，调节方便。</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33</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numPr>
                <w:ilvl w:val="0"/>
                <w:numId w:val="5"/>
              </w:numPr>
              <w:widowControl/>
              <w:rPr>
                <w:rFonts w:ascii="宋体" w:hAnsi="宋体" w:cs="宋体"/>
                <w:sz w:val="18"/>
                <w:szCs w:val="18"/>
              </w:rPr>
            </w:pPr>
            <w:r>
              <w:rPr>
                <w:rFonts w:hint="eastAsia" w:ascii="宋体" w:hAnsi="宋体" w:cs="宋体"/>
                <w:sz w:val="18"/>
                <w:szCs w:val="18"/>
              </w:rPr>
              <w:t xml:space="preserve">18个10M/100M/1000M自适应RJ45接口(其中P1~P16与G1处于同一网段、G2处于另一网段)、2个1000M SFP光端接口(分别与G1、G2处于同一网段)，支持IP地址过滤、SSH开关自定义、ARP防攻击、视频水印等安全防护功能，具备强密码管理功能。支持WEB回话Session ID、</w:t>
            </w:r>
            <w:r>
              <w:rPr>
                <w:rFonts w:hint="eastAsia" w:ascii="宋体" w:hAnsi="宋体" w:cs="宋体"/>
                <w:sz w:val="18"/>
                <w:szCs w:val="18"/>
              </w:rPr>
              <w:t xml:space="preserve">数据传输加密、固件完整性等安全检验；2. 支持12路H.265、H.264编码混合自适应接入；3. 支持SDK、RTSP、ONVIF和GB28181添加相机通道；4. 支持图片存储展示，包括车辆卡口、违法、人脸、人体以及其他事件结构化图片数据；5. 支持视频预览、录像和回放，可配置录像计划，录像和图片存储空间可配置；6. 支持本地浏览器查询数据，可设置多种筛选条件；查询结果可关联对应事件短录像；7. 支持新国标电警应用，有反向卡口需要图片六合一时，最大支持6个电警相机六合一；8. 支持双网隔离应用，可向两个</w:t>
            </w:r>
            <w:r>
              <w:rPr>
                <w:rFonts w:hint="eastAsia" w:ascii="宋体" w:hAnsi="宋体" w:cs="宋体"/>
                <w:sz w:val="18"/>
                <w:szCs w:val="18"/>
              </w:rPr>
              <w:t xml:space="preserve">隔离网络分别上传图片和视频数据；9. 支持LED屏（默认交通诱导屏和出入口LED显示屏），音柱对接发布，发布条件和内容可自定义；10. 运行功耗：≤50W；11. 支持IP地址过滤、SSH开关自定义、ARP防攻击、视频水印等安全防护功能，具备强密码管理功能。支持WEB回话Session ID、数据传输加密、固件完整性等安全检验；12. 支持内置北斗模块，实现北斗校时、定位功能，同时支持将经纬度信息叠加在图片或者视频上，定位校时模块可插拔更换，支持内置4G/5G通信模块，实现无线通信功能，通信模块可插拔更换。</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1个千兆单模单纤SC/ST/FC口，4个10/100/1000M电口，含1个光模块。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11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8口工业级交换机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2个千兆单模单纤SC/ST/FC口，8个10/100/1000M电口，含1个光模块。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箱体尺寸不低于：400mm*500mm*150mm，镀锌钢板厚度1.0</w:t>
            </w:r>
            <w:r>
              <w:rPr>
                <w:rFonts w:hint="eastAsia" w:ascii="宋体" w:hAnsi="宋体" w:cs="宋体"/>
                <w:sz w:val="20"/>
                <w:lang w:bidi="ar"/>
              </w:rPr>
              <w:t xml:space="preserve">mm</w:t>
            </w:r>
            <w:r>
              <w:rPr>
                <w:rFonts w:hint="eastAsia" w:ascii="宋体" w:hAnsi="宋体" w:cs="宋体"/>
                <w:sz w:val="18"/>
                <w:szCs w:val="18"/>
                <w:lang w:bidi="ar"/>
              </w:rPr>
              <w:t xml:space="preserve">、喷塑处理，防护等级不低于IP55。含空开、防雷、电源板、插线板等配件，外观有“滨海公安交警”标识。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CAT-6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270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国标纯铜RVV2*1.5mm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270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国标纯铜RVV4*1.0mm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330</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6、非机动车逆行/在机动车道行驶违法抓拍类系统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非机动车一体化抓拍单元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 采用1英寸1200万像素高帧率彩色全局曝光CMOS高清智能摄像机，最大分辨率可达4480*2688，帧率25帧；2. 输出图片格式：JPEG；3. 支持LED频闪灯同步补光，防护罩内置LED车牌补光灯；4. 红绿灯信号检测方式支持：红绿灯检测器，视频检测；5. 支持机动车车型、车身颜色等信息识别功能；6. 支持机动车车牌识别；7. 支持非机动车车牌定制识别；8. 支持机动车违章：压线、逆行、闯红灯、不按导向行驶、违法变道、路口停止、绿灯停止</w:t>
            </w:r>
            <w:r>
              <w:rPr>
                <w:rFonts w:hint="eastAsia" w:ascii="宋体" w:hAnsi="宋体" w:cs="宋体"/>
                <w:sz w:val="18"/>
                <w:szCs w:val="18"/>
              </w:rPr>
              <w:t xml:space="preserve">、斑马线掉头、左转不让直行、右转不让直行、掉头不让直行、大弯小转、机占非、闯禁令（禁左、禁右、禁止大车、公交专用道）、不礼让行人、闯绿灯；9. 支持非机动车违章：非占机、载人、未戴头盔、逆行、闯红灯；10. 支持多种类车牌识别：支持识别符合GA 36《中华人民共和国机动车号牌》标准的车牌类型；11. 支持机动车9种常见颜色（白、灰、黄、红、紫、绿、蓝、棕、黑）识别；12. 支持机动车多种车型识别：大客车、小客车、大货车、小货车、面包车、皮卡、轿车及SUV/MPV；13. 支持远程数据上传，可将抓拍的图片上传</w:t>
            </w:r>
            <w:r>
              <w:rPr>
                <w:rFonts w:hint="eastAsia" w:ascii="宋体" w:hAnsi="宋体" w:cs="宋体"/>
                <w:sz w:val="18"/>
                <w:szCs w:val="18"/>
              </w:rPr>
              <w:t xml:space="preserve">给终端服务器、FTP服务器或者后端平台等，具有防尘、防水、网络防雷、防浪涌等功能；14. 支持对监控画面中非机动车车牌进行检测和识别。在天气晴朗无雾，号牌无遮挡、无污损，白天环境光照度不低于200lx的条件下进行测试，非机动车车辆捕获率≥99%，非机动车车牌（含无车牌类型）识别准确率≥99%，支持非机动车闯红灯、逆行、载人、占用机动车道、未戴头盔等多种违法检测功能。在天气晴朗无雾，号牌无遮挡、无污损，白天环境光照度不低于200lx的条件下进行测试，非机动车违法捕获率≥99%，非机动车违法识别准确率≥99%；</w:t>
            </w:r>
            <w:r/>
          </w:p>
          <w:p>
            <w:pPr>
              <w:widowControl/>
              <w:rPr>
                <w:rFonts w:ascii="宋体" w:hAnsi="宋体" w:cs="宋体"/>
                <w:sz w:val="18"/>
                <w:szCs w:val="18"/>
              </w:rPr>
            </w:pPr>
            <w:r>
              <w:rPr>
                <w:rFonts w:hint="eastAsia" w:ascii="宋体" w:hAnsi="宋体" w:cs="宋体"/>
                <w:sz w:val="18"/>
                <w:szCs w:val="18"/>
              </w:rPr>
              <w:t xml:space="preserve">15. 距离地面适当高度有反光警示标识，外观有“滨海公安交警”标识。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频闪灯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光源类型：16颗优质大功率LED；2. 发光角度10°；3. 覆盖范围：单车道环境补光灯；4. 最佳补光范围16m～25m；5. 触发方式： 4V~6V电平量触发（高电平有效）（可选配开关量触发）；6. 触发信号：频率15~250HZ，占空比1%~39%，响应时间小于20US；7. 外壳材质金属铝：一般规范；8. 工作温度：温度-30℃~70℃；9. 电源：220VAC±10%；10. 工作湿度：湿度5%~95%@40℃，无凝结；11. 功耗：35W MAX；12. 防护等级：IP66。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numPr>
                <w:ilvl w:val="0"/>
                <w:numId w:val="6"/>
              </w:numPr>
              <w:widowControl/>
              <w:rPr>
                <w:rFonts w:ascii="宋体" w:hAnsi="宋体" w:cs="宋体"/>
                <w:sz w:val="18"/>
                <w:szCs w:val="18"/>
              </w:rPr>
            </w:pPr>
            <w:r>
              <w:rPr>
                <w:rFonts w:hint="eastAsia" w:ascii="宋体" w:hAnsi="宋体" w:cs="宋体"/>
                <w:sz w:val="18"/>
                <w:szCs w:val="18"/>
              </w:rPr>
              <w:t xml:space="preserve">18个10M/100M/1000M自适应RJ45接口(其中P1~P16与G1处于同一网段、G2处于另一网段)、2个1000M SFP光端接口(分别与G1、G2处于同一网段)，支持IP地址过滤、SSH开关自定义、ARP防攻击、视频水印等安全防护功能，具备强密码管理功能。支持WEB回话Session ID、</w:t>
            </w:r>
            <w:r>
              <w:rPr>
                <w:rFonts w:hint="eastAsia" w:ascii="宋体" w:hAnsi="宋体" w:cs="宋体"/>
                <w:sz w:val="18"/>
                <w:szCs w:val="18"/>
              </w:rPr>
              <w:t xml:space="preserve">数据传输加密、固件完整性等安全检验；2. 支持12路H.265、H.264编码混合自适应接入；3. 支持SDK、RTSP、ONVIF和GB28181添加相机通道；4. 支持图片存储展示，包括车辆卡口、违法、人脸、人体以及其他事件结构化图片数据；5. 支持视频预览、录像和回放，可配置录像计划，录像和图片存储空间可配置；6. 支持本地浏览器查询数据，可设置多种筛选条件；查询结果可关联对应事件短录像；7. 支持新国标电警应用，有反向卡口需要图片六合一时，最大支持6个电警相机六合一；8. 支持双网隔离应用，可向两个</w:t>
            </w:r>
            <w:r>
              <w:rPr>
                <w:rFonts w:hint="eastAsia" w:ascii="宋体" w:hAnsi="宋体" w:cs="宋体"/>
                <w:sz w:val="18"/>
                <w:szCs w:val="18"/>
              </w:rPr>
              <w:t xml:space="preserve">隔离网络分别上传图片和视频数据；9. 支持LED屏（默认交通诱导屏和出入口LED显示屏），音柱对接发布，发布条件和内容可自定义；10. 运行功耗：≤50W；11. 支持IP地址过滤、SSH开关自定义、ARP防攻击、视频水印等安全防护功能，具备强密码管理功能。支持WEB回话Session ID、数据传输加密、固件完整性等安全检验；12. 支持内置北斗模块，实现北斗校时、定位功能，同时支持将经纬度信息叠加在图片或者视频上，定位校时模块可插拔更换，支持内置4G/5G通信模块，实现无线通信功能，通信模块可插拔更换。</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22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1个千兆单模单纤SC/ST/FC口，4个10/100/1000M电口，含1个光模块。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箱体尺寸不低于：400mm*500mm*150mm，镀锌钢板厚度1.0</w:t>
            </w:r>
            <w:r>
              <w:rPr>
                <w:rFonts w:hint="eastAsia" w:ascii="宋体" w:hAnsi="宋体" w:cs="宋体"/>
                <w:sz w:val="20"/>
                <w:lang w:bidi="ar"/>
              </w:rPr>
              <w:t xml:space="preserve">mm</w:t>
            </w:r>
            <w:r>
              <w:rPr>
                <w:rFonts w:hint="eastAsia" w:ascii="宋体" w:hAnsi="宋体" w:cs="宋体"/>
                <w:sz w:val="18"/>
                <w:szCs w:val="18"/>
                <w:lang w:bidi="ar"/>
              </w:rPr>
              <w:t xml:space="preserve">、喷塑处理，防护等级不低于IP55。含空开、防雷、电源板、插线板等配件，外观有“滨海公安交警”标识。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落地机箱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箱体尺寸不低于：600mm*600mm*1000mm，镀锌钢板厚度1.2mm、喷塑处理，防护等级不低于IP55。含空开、防雷、电源板、插线板等配件，外观有“滨海公安交警”标识。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杆件规格：6.5m（与所在道路比净高度）*7m，八角圆锥杆，主杆口径为220-320mm，壁厚6mm；2. 横臂口径为100-220mm，壁厚5mm；3. 整体热浸镀锌，外观为镀锌本色，距离地面1-2m处有反光警示标识。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监控杆件基础</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采用C25混凝土，包含：杆件基坑开挖、地笼二次运输、土方开挖及外运、放置地笼、预留管道(含基础内部走线双管道约5米50PE)、混凝土浇筑、基础收光及养护、模板制作根据现场需求；2.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32.29</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Style w:val="1221"/>
                <w:rFonts w:hint="default"/>
                <w:sz w:val="18"/>
                <w:szCs w:val="18"/>
                <w:lang w:bidi="ar"/>
              </w:rPr>
              <w:t xml:space="preserve">防雷接地5</w:t>
            </w:r>
            <w:r>
              <w:rPr>
                <w:rFonts w:hint="eastAsia" w:ascii="宋体" w:hAnsi="宋体" w:cs="宋体"/>
                <w:sz w:val="20"/>
                <w:lang w:bidi="ar"/>
              </w:rPr>
              <w:t xml:space="preserve">mm</w:t>
            </w:r>
            <w:r>
              <w:rPr>
                <w:rStyle w:val="1221"/>
                <w:rFonts w:hint="default"/>
                <w:sz w:val="18"/>
                <w:szCs w:val="18"/>
                <w:lang w:bidi="ar"/>
              </w:rPr>
              <w:t xml:space="preserve">*5</w:t>
            </w:r>
            <w:r>
              <w:rPr>
                <w:rFonts w:hint="eastAsia" w:ascii="宋体" w:hAnsi="宋体" w:cs="宋体"/>
                <w:sz w:val="20"/>
                <w:lang w:bidi="ar"/>
              </w:rPr>
              <w:t xml:space="preserve">mm</w:t>
            </w:r>
            <w:r>
              <w:rPr>
                <w:rStyle w:val="1221"/>
                <w:rFonts w:hint="default"/>
                <w:sz w:val="18"/>
                <w:szCs w:val="18"/>
                <w:lang w:bidi="ar"/>
              </w:rPr>
              <w:t xml:space="preserve">*2500mm，包含镀锌角钢接地制作及其安装、扁钢焊接、电阻测试，电阻值≤10</w:t>
            </w:r>
            <w:r>
              <w:rPr>
                <w:rStyle w:val="1245"/>
                <w:rFonts w:hint="eastAsia" w:ascii="宋体" w:hAnsi="宋体" w:cs="宋体"/>
                <w:sz w:val="18"/>
                <w:szCs w:val="18"/>
                <w:lang w:bidi="ar"/>
              </w:rPr>
              <w:t xml:space="preserve">Ω</w:t>
            </w:r>
            <w:r>
              <w:rPr>
                <w:rStyle w:val="1221"/>
                <w:rFonts w:hint="default"/>
                <w:sz w:val="18"/>
                <w:szCs w:val="18"/>
                <w:lang w:bidi="ar"/>
              </w:rPr>
              <w:t xml:space="preserve">。焊接、接头需做好防锈防腐蚀措施。</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手孔井尺寸：400</w:t>
            </w:r>
            <w:r>
              <w:rPr>
                <w:rFonts w:hint="eastAsia" w:ascii="宋体" w:hAnsi="宋体" w:cs="宋体"/>
                <w:sz w:val="20"/>
                <w:lang w:bidi="ar"/>
              </w:rPr>
              <w:t xml:space="preserve">mm</w:t>
            </w:r>
            <w:r>
              <w:rPr>
                <w:rFonts w:hint="eastAsia" w:ascii="宋体" w:hAnsi="宋体" w:cs="宋体"/>
                <w:sz w:val="18"/>
                <w:szCs w:val="18"/>
                <w:lang w:bidi="ar"/>
              </w:rPr>
              <w:t xml:space="preserve">*500</w:t>
            </w:r>
            <w:r>
              <w:rPr>
                <w:rFonts w:hint="eastAsia" w:ascii="宋体" w:hAnsi="宋体" w:cs="宋体"/>
                <w:sz w:val="20"/>
                <w:lang w:bidi="ar"/>
              </w:rPr>
              <w:t xml:space="preserve">mm</w:t>
            </w:r>
            <w:r>
              <w:rPr>
                <w:rFonts w:hint="eastAsia" w:ascii="宋体" w:hAnsi="宋体" w:cs="宋体"/>
                <w:sz w:val="18"/>
                <w:szCs w:val="18"/>
                <w:lang w:bidi="ar"/>
              </w:rPr>
              <w:t xml:space="preserve">*400mm（含井盖）；砖砌体采用M10水泥砂浆砌筑MU15混凝土标准砖，内部采用20厚1：2水泥砂浆粉刷；带铁包边的加强型井盖、井圈；外观有“滨海公安交警”标识。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CAT-6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420</w:t>
            </w:r>
            <w:r/>
          </w:p>
        </w:tc>
      </w:tr>
      <w:tr>
        <w:trPr>
          <w:trHeight w:val="133"/>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国标纯铜RVV2*1.5mm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420</w:t>
            </w:r>
            <w:r/>
          </w:p>
        </w:tc>
      </w:tr>
      <w:tr>
        <w:trPr>
          <w:trHeight w:val="13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国标纯铜RVV4*1.0mm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280</w:t>
            </w:r>
            <w:r/>
          </w:p>
        </w:tc>
      </w:tr>
      <w:tr>
        <w:trPr>
          <w:trHeight w:val="11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国标纯铜RVV3*4mm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640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光缆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单模4芯</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机械拖拉管及恢复，采用PE50管</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452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采用PE50管，含绿化带、路面开挖及恢复，净深度≥50cm。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220V市电接入，含供电开户费用、电力接入线缆管道施工及敷设费用、电力线缆架空施工费用等。</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5年运营商光纤链路租赁，符合公安网要求的裸纤。</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7、机动车闯红灯抓拍系统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20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900万电子警察抓拍单元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电警抓拍单元由防护罩组件及高清智能摄像机组成，抓拍单元防护罩前面板具有防尘、防水功能，单元内置LED暖光灯，单元支持网络防雷、防浪涌，宽温宽压等；2. 图像传感器：采用1英寸GMOS；3. 支持主码流同时输出不少于30路4096*2160、2Mbps的25帧/s图像以提供客</w:t>
            </w:r>
            <w:r>
              <w:rPr>
                <w:rFonts w:hint="eastAsia" w:ascii="宋体" w:hAnsi="宋体" w:cs="宋体"/>
                <w:sz w:val="18"/>
                <w:szCs w:val="18"/>
                <w:lang w:bidi="ar"/>
              </w:rPr>
              <w:t xml:space="preserve">户端浏览最大图像尺寸：≥4096*2160像素；字符叠加时最大可支持4096*2800；4. 视频帧率：在1～25fps可调；视频压缩支持H.265、H.264、M-JPEG；5. 外壳防护等级应不低于IP66；6. 支持机动车、二轮车（摩托车、自行车、电动二轮车）、三轮车和行人分类检测；7. 支持车辆捕获抓拍功能，在天气晴朗无雾，号牌无遮挡、无污损，白天环境光照度不低于200lx，晚上辅助光照度不高于30lx的条件下测试，白天和晚上的捕获率均≥99%；8. 支持车牌识别功能，在天气晴朗无雾，号牌无遮挡、无</w:t>
            </w:r>
            <w:r>
              <w:rPr>
                <w:rFonts w:hint="eastAsia" w:ascii="宋体" w:hAnsi="宋体" w:cs="宋体"/>
                <w:sz w:val="18"/>
                <w:szCs w:val="18"/>
                <w:lang w:bidi="ar"/>
              </w:rPr>
              <w:t xml:space="preserve">污损，白天环境光照度不低于200lx，晚上辅助光照度不高于30lx的条件下测试，白天和晚上的识别准确率均≥99%；9. 支持异常车牌检测功能，可对故意遮挡及污损车牌进行判断和识别；10. 支持对不按导向行驶的车辆进行违法检测抓拍，在天气晴朗无雾，号牌无遮挡、无污损，白天环境光照度不低于200lx，晚上辅助光照度不高于30lx的条件下测试，白天和晚上的捕获率准确均≥98%，白天和晚上的识别准确率均≥98%；11. 支持闯红灯抓拍功能，在天气晴朗无雾，号牌无遮挡、无污损，白天环境光照度不低于200lx，晚上辅助</w:t>
            </w:r>
            <w:r>
              <w:rPr>
                <w:rFonts w:hint="eastAsia" w:ascii="宋体" w:hAnsi="宋体" w:cs="宋体"/>
                <w:sz w:val="18"/>
                <w:szCs w:val="18"/>
                <w:lang w:bidi="ar"/>
              </w:rPr>
              <w:t xml:space="preserve">光照度不高于30lx的条件下测试，白天和晚上闯红灯的捕获率均≥99%；12. 宽动态功能有开启、关闭、自动三种设置，当设置为自动时，样品可根据环境照度自动开启或关闭宽动态功能；13. 可识别通过监视画面中的机动车车牌号码，包括大型汽车号牌、挂车号牌、大型新能源汽车号牌、小型汽车号牌、小型新能源汽车号牌、武警车牌、军牌、港澳入出境车号牌、使馆汽车号牌、教练汽车号牌、民航车牌。样机可识别并抓拍垂直倾斜角度≤55°、水平倾斜角度≤35°、俯仰角度≤35°的机动车车牌号码。样机可对80*25至1200*380像素的</w:t>
            </w:r>
            <w:r>
              <w:rPr>
                <w:rFonts w:hint="eastAsia" w:ascii="宋体" w:hAnsi="宋体" w:cs="宋体"/>
                <w:sz w:val="18"/>
                <w:szCs w:val="18"/>
                <w:lang w:bidi="ar"/>
              </w:rPr>
              <w:t xml:space="preserve">机动车车牌进行抓拍并识别号码；14. 可在左右45°范围内识别机动车车辆特征，包括车牌号码、车身颜色、车辆类型。可通过IE浏览器显示监视画面中鼠标所选区域水平及垂直方向的像素数；15. 可通过IE浏览器设置室内、室外、白天、夜晚、普通、背光、顺光、低照度、高速运动、高度、超级夜景、自定义1-8场景模式的参数；16. 网络直连情况下，在只输出主码流、分辨率设置为1920*1080、帧率设置为25fps，码率设置为1Mbps，网络协议为UDP、最短延时、智能分析关闭时，视频图像传输至客户端的延时时间≤70ms。</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900万环保卡口抓拍单元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1. 包含高清一体化嵌入式摄像机、高清镜头、室外防护罩、电源适配器等</w:t>
            </w:r>
            <w:r>
              <w:rPr>
                <w:rFonts w:hint="eastAsia" w:ascii="宋体" w:hAnsi="宋体" w:cs="宋体"/>
                <w:sz w:val="18"/>
                <w:szCs w:val="18"/>
                <w:lang w:bidi="ar"/>
              </w:rPr>
              <w:t xml:space="preserve">；</w:t>
            </w:r>
            <w:r>
              <w:rPr>
                <w:rFonts w:hint="eastAsia" w:ascii="宋体" w:hAnsi="宋体" w:cs="宋体"/>
                <w:sz w:val="18"/>
                <w:szCs w:val="18"/>
              </w:rPr>
              <w:t xml:space="preserve">2. 设备的镜头和两个sensor一体化设计，具有独立三角分光棱镜分光结构装置，分别接收可见光和红外光。抓拍支持输出三张同时刻目标图片，包括可见光路图片（全彩），红外路图片（黑白）和融合图片（全彩），三张图片抓拍时间为同一时刻，抓拍运动目标，三张图片中目标位置相同无位移。支持同时预览两路sensor视频，设备场景中放置红外LED常亮灯，朝向摄像机镜头，可见光路视频图像中补光灯灯珠完全无光，同时红外路视频图像补光灯可清晰看到灯珠亮光</w:t>
            </w:r>
            <w:r>
              <w:rPr>
                <w:rFonts w:hint="eastAsia" w:ascii="宋体" w:hAnsi="宋体" w:cs="宋体"/>
                <w:sz w:val="18"/>
                <w:szCs w:val="18"/>
                <w:lang w:bidi="ar"/>
              </w:rPr>
              <w:t xml:space="preserve">；</w:t>
            </w:r>
            <w:r>
              <w:rPr>
                <w:rFonts w:hint="eastAsia" w:ascii="宋体" w:hAnsi="宋体" w:cs="宋体"/>
                <w:sz w:val="18"/>
                <w:szCs w:val="18"/>
              </w:rPr>
              <w:t xml:space="preserve">3. 设备应采用深度学习芯片</w:t>
            </w:r>
            <w:r>
              <w:rPr>
                <w:rFonts w:hint="eastAsia" w:ascii="宋体" w:hAnsi="宋体" w:cs="宋体"/>
                <w:sz w:val="18"/>
                <w:szCs w:val="18"/>
                <w:lang w:bidi="ar"/>
              </w:rPr>
              <w:t xml:space="preserve">；</w:t>
            </w:r>
            <w:r>
              <w:rPr>
                <w:rFonts w:hint="eastAsia" w:ascii="宋体" w:hAnsi="宋体" w:cs="宋体"/>
                <w:sz w:val="18"/>
                <w:szCs w:val="18"/>
              </w:rPr>
              <w:t xml:space="preserve">4. 支持主码流同时输出不少于30路4096*2160、2Mbps的25帧/s图像以提供客户端浏览</w:t>
            </w:r>
            <w:r>
              <w:rPr>
                <w:rFonts w:hint="eastAsia" w:ascii="宋体" w:hAnsi="宋体" w:cs="宋体"/>
                <w:sz w:val="18"/>
                <w:szCs w:val="18"/>
                <w:lang w:bidi="ar"/>
              </w:rPr>
              <w:t xml:space="preserve">；</w:t>
            </w:r>
            <w:r>
              <w:rPr>
                <w:rFonts w:hint="eastAsia" w:ascii="宋体" w:hAnsi="宋体" w:cs="宋体"/>
                <w:sz w:val="18"/>
                <w:szCs w:val="18"/>
              </w:rPr>
              <w:t xml:space="preserve">5. 最大图像尺寸：≥4096*2160像素；字符叠加时最大可支持4096*2800，视频帧率：在1～25fps可调</w:t>
            </w:r>
            <w:r>
              <w:rPr>
                <w:rFonts w:hint="eastAsia" w:ascii="宋体" w:hAnsi="宋体" w:cs="宋体"/>
                <w:sz w:val="18"/>
                <w:szCs w:val="18"/>
                <w:lang w:bidi="ar"/>
              </w:rPr>
              <w:t xml:space="preserve">；</w:t>
            </w:r>
            <w:r>
              <w:rPr>
                <w:rFonts w:hint="eastAsia" w:ascii="宋体" w:hAnsi="宋体" w:cs="宋体"/>
                <w:sz w:val="18"/>
                <w:szCs w:val="18"/>
              </w:rPr>
              <w:t xml:space="preserve">6. 支持在25%丢包率的网络环境下，正常显示监控画面</w:t>
            </w:r>
            <w:r>
              <w:rPr>
                <w:rFonts w:hint="eastAsia" w:ascii="宋体" w:hAnsi="宋体" w:cs="宋体"/>
                <w:sz w:val="18"/>
                <w:szCs w:val="18"/>
                <w:lang w:bidi="ar"/>
              </w:rPr>
              <w:t xml:space="preserve">；</w:t>
            </w:r>
            <w:r/>
          </w:p>
          <w:p>
            <w:pPr>
              <w:widowControl/>
              <w:rPr>
                <w:rFonts w:ascii="宋体" w:hAnsi="宋体" w:cs="宋体"/>
                <w:sz w:val="18"/>
                <w:szCs w:val="18"/>
              </w:rPr>
            </w:pPr>
            <w:r>
              <w:rPr>
                <w:rFonts w:hint="eastAsia" w:ascii="宋体" w:hAnsi="宋体" w:cs="宋体"/>
                <w:sz w:val="18"/>
                <w:szCs w:val="18"/>
              </w:rPr>
              <w:t xml:space="preserve">7. 护罩玻璃透光率≥99%</w:t>
            </w:r>
            <w:r>
              <w:rPr>
                <w:rFonts w:hint="eastAsia" w:ascii="宋体" w:hAnsi="宋体" w:cs="宋体"/>
                <w:sz w:val="18"/>
                <w:szCs w:val="18"/>
                <w:lang w:bidi="ar"/>
              </w:rPr>
              <w:t xml:space="preserve">；</w:t>
            </w:r>
            <w:r>
              <w:rPr>
                <w:rFonts w:hint="eastAsia" w:ascii="宋体" w:hAnsi="宋体" w:cs="宋体"/>
                <w:sz w:val="18"/>
                <w:szCs w:val="18"/>
              </w:rPr>
              <w:t xml:space="preserve">8. 视频压缩支持H.265、H.264、M-JPEG</w:t>
            </w:r>
            <w:r>
              <w:rPr>
                <w:rFonts w:hint="eastAsia" w:ascii="宋体" w:hAnsi="宋体" w:cs="宋体"/>
                <w:sz w:val="18"/>
                <w:szCs w:val="18"/>
                <w:lang w:bidi="ar"/>
              </w:rPr>
              <w:t xml:space="preserve">；</w:t>
            </w:r>
            <w:r>
              <w:rPr>
                <w:rFonts w:hint="eastAsia" w:ascii="宋体" w:hAnsi="宋体" w:cs="宋体"/>
                <w:sz w:val="18"/>
                <w:szCs w:val="18"/>
              </w:rPr>
              <w:t xml:space="preserve">9. 支持机动车、二轮车（摩托车、自行车、电动二轮车）、三轮车和行人分类检测</w:t>
            </w:r>
            <w:r>
              <w:rPr>
                <w:rFonts w:hint="eastAsia" w:ascii="宋体" w:hAnsi="宋体" w:cs="宋体"/>
                <w:sz w:val="18"/>
                <w:szCs w:val="18"/>
                <w:lang w:bidi="ar"/>
              </w:rPr>
              <w:t xml:space="preserve">；</w:t>
            </w:r>
            <w:r>
              <w:rPr>
                <w:rFonts w:hint="eastAsia" w:ascii="宋体" w:hAnsi="宋体" w:cs="宋体"/>
                <w:sz w:val="18"/>
                <w:szCs w:val="18"/>
              </w:rPr>
              <w:t xml:space="preserve">10. 支持车前窗挂坠、年检标识、抽烟、驾驶员人脸识别、驾驶室人脸抠图、遮阳板识别等检测功能</w:t>
            </w:r>
            <w:r>
              <w:rPr>
                <w:rFonts w:hint="eastAsia" w:ascii="宋体" w:hAnsi="宋体" w:cs="宋体"/>
                <w:sz w:val="18"/>
                <w:szCs w:val="18"/>
                <w:lang w:bidi="ar"/>
              </w:rPr>
              <w:t xml:space="preserve">；</w:t>
            </w:r>
            <w:r>
              <w:rPr>
                <w:rFonts w:hint="eastAsia" w:ascii="宋体" w:hAnsi="宋体" w:cs="宋体"/>
                <w:sz w:val="18"/>
                <w:szCs w:val="18"/>
              </w:rPr>
              <w:t xml:space="preserve">11. 外壳防护等级应不低于IP66</w:t>
            </w:r>
            <w:r>
              <w:rPr>
                <w:rFonts w:hint="eastAsia" w:ascii="宋体" w:hAnsi="宋体" w:cs="宋体"/>
                <w:sz w:val="18"/>
                <w:szCs w:val="18"/>
                <w:lang w:bidi="ar"/>
              </w:rPr>
              <w:t xml:space="preserve">；</w:t>
            </w:r>
            <w:r>
              <w:rPr>
                <w:rFonts w:hint="eastAsia" w:ascii="宋体" w:hAnsi="宋体" w:cs="宋体"/>
                <w:sz w:val="18"/>
                <w:szCs w:val="18"/>
              </w:rPr>
              <w:t xml:space="preserve">12. 未叠加字符信息抓图分辨率：4096像素*2160像素；叠加字符信息抓图分辨率：4096像素*4312像素</w:t>
            </w:r>
            <w:r>
              <w:rPr>
                <w:rFonts w:hint="eastAsia" w:ascii="宋体" w:hAnsi="宋体" w:cs="宋体"/>
                <w:sz w:val="18"/>
                <w:szCs w:val="18"/>
                <w:lang w:bidi="ar"/>
              </w:rPr>
              <w:t xml:space="preserve">；</w:t>
            </w:r>
            <w:r>
              <w:rPr>
                <w:rFonts w:hint="eastAsia" w:ascii="宋体" w:hAnsi="宋体" w:cs="宋体"/>
                <w:sz w:val="18"/>
                <w:szCs w:val="18"/>
              </w:rPr>
              <w:t xml:space="preserve">13. 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ascii="宋体" w:hAnsi="宋体" w:cs="宋体"/>
                <w:sz w:val="18"/>
                <w:szCs w:val="18"/>
                <w:lang w:bidi="ar"/>
              </w:rPr>
              <w:t xml:space="preserve">；</w:t>
            </w:r>
            <w:r>
              <w:rPr>
                <w:rFonts w:hint="eastAsia" w:ascii="宋体" w:hAnsi="宋体" w:cs="宋体"/>
                <w:sz w:val="18"/>
                <w:szCs w:val="18"/>
              </w:rPr>
              <w:t xml:space="preserve">14. 支持驾驶人脸部特征信息大于50*50个像素点、夜间环境照度在10lx~30lx范围的情况下，配合LED补光与红外爆闪补光，输出高清人脸抠图。具有车灯去红光设置选项，开启后可去除车灯附近产生的红光。支持识别并显示不低于50种车辆类型</w:t>
            </w:r>
            <w:r>
              <w:rPr>
                <w:rFonts w:hint="eastAsia" w:ascii="宋体" w:hAnsi="宋体" w:cs="宋体"/>
                <w:sz w:val="18"/>
                <w:szCs w:val="18"/>
                <w:lang w:bidi="ar"/>
              </w:rPr>
              <w:t xml:space="preserve">；</w:t>
            </w:r>
            <w:r>
              <w:rPr>
                <w:rFonts w:hint="eastAsia" w:ascii="宋体" w:hAnsi="宋体" w:cs="宋体"/>
                <w:sz w:val="18"/>
                <w:szCs w:val="18"/>
              </w:rPr>
              <w:t xml:space="preserve">15. 具有去鬼影设置选项，开启后可消除画面中的鬼影现象</w:t>
            </w:r>
            <w:r>
              <w:rPr>
                <w:rFonts w:hint="eastAsia" w:ascii="宋体" w:hAnsi="宋体" w:cs="宋体"/>
                <w:sz w:val="18"/>
                <w:szCs w:val="18"/>
                <w:lang w:bidi="ar"/>
              </w:rPr>
              <w:t xml:space="preserve">；</w:t>
            </w:r>
            <w:r>
              <w:rPr>
                <w:rFonts w:hint="eastAsia" w:ascii="宋体" w:hAnsi="宋体" w:cs="宋体"/>
                <w:sz w:val="18"/>
                <w:szCs w:val="18"/>
              </w:rPr>
              <w:t xml:space="preserve">16. 具有光晕消除设置选项，开启后可消除交通灯周边的光晕效果</w:t>
            </w:r>
            <w:r>
              <w:rPr>
                <w:rFonts w:hint="eastAsia" w:ascii="宋体" w:hAnsi="宋体" w:cs="宋体"/>
                <w:sz w:val="18"/>
                <w:szCs w:val="18"/>
                <w:lang w:bidi="ar"/>
              </w:rPr>
              <w:t xml:space="preserve">；</w:t>
            </w:r>
            <w:r>
              <w:rPr>
                <w:rFonts w:hint="eastAsia" w:ascii="宋体" w:hAnsi="宋体" w:cs="宋体"/>
                <w:sz w:val="18"/>
                <w:szCs w:val="18"/>
              </w:rPr>
              <w:t xml:space="preserve">17. 配合爆闪灯，样机可穿透车窗遮光条显示驾驶员头部画面。支持识别改装牛眼灯的大货车的车牌。支持识别车标类型≥460种；在天气晴朗无雾，车辆无遮挡，白天环境光照度不低于200lx，夜晚辅助光照度不高于30lx的情况下进行测试；白天车标识别准确率≥99%；晚上车标识别准确率≥99%</w:t>
            </w:r>
            <w:r>
              <w:rPr>
                <w:rFonts w:hint="eastAsia" w:ascii="宋体" w:hAnsi="宋体" w:cs="宋体"/>
                <w:sz w:val="18"/>
                <w:szCs w:val="18"/>
                <w:lang w:bidi="ar"/>
              </w:rPr>
              <w:t xml:space="preserve">；</w:t>
            </w:r>
            <w:r>
              <w:rPr>
                <w:rFonts w:hint="eastAsia" w:ascii="宋体" w:hAnsi="宋体" w:cs="宋体"/>
                <w:sz w:val="18"/>
                <w:szCs w:val="18"/>
              </w:rPr>
              <w:t xml:space="preserve">18. 支持车牌黑/白名单设置，最大可设置90万条黑/白名单</w:t>
            </w:r>
            <w:r>
              <w:rPr>
                <w:rFonts w:hint="eastAsia" w:ascii="宋体" w:hAnsi="宋体" w:cs="宋体"/>
                <w:sz w:val="18"/>
                <w:szCs w:val="18"/>
                <w:lang w:bidi="ar"/>
              </w:rPr>
              <w:t xml:space="preserve">；</w:t>
            </w:r>
            <w:r>
              <w:rPr>
                <w:rFonts w:hint="eastAsia" w:ascii="宋体" w:hAnsi="宋体" w:cs="宋体"/>
                <w:sz w:val="18"/>
                <w:szCs w:val="18"/>
              </w:rPr>
              <w:t xml:space="preserve">19. 在车辆结构化属性清晰、无遮挡的情况下，客户端设备与受检设备直连进行测试，从抓拍图片到输出车牌信息的时间＜18ms</w:t>
            </w:r>
            <w:r>
              <w:rPr>
                <w:rFonts w:hint="eastAsia" w:ascii="宋体" w:hAnsi="宋体" w:cs="宋体"/>
                <w:sz w:val="18"/>
                <w:szCs w:val="18"/>
                <w:lang w:bidi="ar"/>
              </w:rPr>
              <w:t xml:space="preserve">；</w:t>
            </w:r>
            <w:r>
              <w:rPr>
                <w:rFonts w:hint="eastAsia" w:ascii="宋体" w:hAnsi="宋体" w:cs="宋体"/>
                <w:sz w:val="18"/>
                <w:szCs w:val="18"/>
              </w:rPr>
              <w:t xml:space="preserve">20. 支持对机动车、非机动车、行人等混合目标进行检测。能同时检测不少于140个混合的静态目标并对这些目标进行绿框跟踪；可同时对至少140个混合的静态目标进行优选、抓拍及属性分析，支持检测并跟踪指定区域内不少于230个目标，目标包括机动车、非机动车以及行人等</w:t>
            </w:r>
            <w:r>
              <w:rPr>
                <w:rFonts w:hint="eastAsia" w:ascii="宋体" w:hAnsi="宋体" w:cs="宋体"/>
                <w:sz w:val="18"/>
                <w:szCs w:val="18"/>
                <w:lang w:bidi="ar"/>
              </w:rPr>
              <w:t xml:space="preserve">；</w:t>
            </w:r>
            <w:r>
              <w:rPr>
                <w:rFonts w:hint="eastAsia" w:ascii="宋体" w:hAnsi="宋体" w:cs="宋体"/>
                <w:sz w:val="18"/>
                <w:szCs w:val="18"/>
              </w:rPr>
              <w:t xml:space="preserve">21. 正常违章行为优先级抓拍功能，支持根据现场违章抓拍需求通过web界面设置事件优先度，事件优先度1-18可设，设置后可按事件优先度进行违章抓拍及图片存储</w:t>
            </w:r>
            <w:r>
              <w:rPr>
                <w:rFonts w:hint="eastAsia" w:ascii="宋体" w:hAnsi="宋体" w:cs="宋体"/>
                <w:sz w:val="18"/>
                <w:szCs w:val="18"/>
                <w:lang w:bidi="ar"/>
              </w:rPr>
              <w:t xml:space="preserve">；</w:t>
            </w:r>
            <w:r>
              <w:rPr>
                <w:rFonts w:hint="eastAsia" w:ascii="宋体" w:hAnsi="宋体" w:cs="宋体"/>
                <w:sz w:val="18"/>
                <w:szCs w:val="18"/>
              </w:rPr>
              <w:t xml:space="preserve">抓拍图片具备智能压缩技术，可以保证在主体目标清晰的情况下压缩图片整体大小，平均压缩率可达到原图大小的30%</w:t>
            </w:r>
            <w:r>
              <w:rPr>
                <w:rFonts w:hint="eastAsia" w:ascii="宋体" w:hAnsi="宋体" w:cs="宋体"/>
                <w:sz w:val="18"/>
                <w:szCs w:val="18"/>
                <w:lang w:bidi="ar"/>
              </w:rPr>
              <w:t xml:space="preserve">；</w:t>
            </w:r>
            <w:r>
              <w:rPr>
                <w:rFonts w:hint="eastAsia" w:ascii="宋体" w:hAnsi="宋体" w:cs="宋体"/>
                <w:sz w:val="18"/>
                <w:szCs w:val="18"/>
              </w:rPr>
              <w:t xml:space="preserve">22. 支持分别对11种车型（大货车、中货车、小货车、客车、小轿车、中客车、危险品运输车、校车、面包车、环卫车其他车型等）进行不同超速比设置，可设置12个超速比区间。在相同道路上，设备支持根据不同的超速比设置对不同车型进行超速抓拍，并输出不同的超速抓拍结果及违法代码。</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400万球型网络摄像机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1. 可输出全景和细节两路视频图像，其中全景通道分辨率不小于3632*1632，细节分辨率不小于2560*1440，全景通道水平视场角不小于190°，垂直视场角不小于80°，全景通道可对设定区域进行布防，当检测到目标时联动细节摄像机可对目标进行跟踪和报警（</w:t>
            </w:r>
            <w:r>
              <w:rPr>
                <w:rFonts w:hint="eastAsia" w:ascii="宋体" w:hAnsi="宋体" w:cs="宋体"/>
                <w:color w:val="ff0000"/>
                <w:sz w:val="18"/>
                <w:szCs w:val="18"/>
              </w:rPr>
              <w:t xml:space="preserve">投标时提供符合要求的公安部检验报告并加盖产品制造商原厂公章的扫描件</w:t>
            </w:r>
            <w:r>
              <w:rPr>
                <w:rFonts w:hint="eastAsia" w:ascii="宋体" w:hAnsi="宋体" w:cs="宋体"/>
                <w:sz w:val="18"/>
                <w:szCs w:val="18"/>
              </w:rPr>
              <w:t xml:space="preserve">）</w:t>
            </w:r>
            <w:r>
              <w:rPr>
                <w:rFonts w:hint="eastAsia" w:ascii="宋体" w:hAnsi="宋体" w:cs="宋体"/>
                <w:sz w:val="18"/>
                <w:szCs w:val="18"/>
                <w:lang w:bidi="ar"/>
              </w:rPr>
              <w:t xml:space="preserve">；</w:t>
            </w:r>
            <w:r/>
          </w:p>
          <w:p>
            <w:pPr>
              <w:widowControl/>
              <w:rPr>
                <w:rFonts w:ascii="宋体" w:hAnsi="宋体" w:cs="宋体"/>
                <w:sz w:val="18"/>
                <w:szCs w:val="18"/>
              </w:rPr>
            </w:pPr>
            <w:r>
              <w:rPr>
                <w:rFonts w:hint="eastAsia" w:ascii="宋体" w:hAnsi="宋体" w:cs="宋体"/>
                <w:sz w:val="18"/>
                <w:szCs w:val="18"/>
              </w:rPr>
              <w:t xml:space="preserve">2. 在彩色模式下，当照度降低至一定值时，样机可自动开启白光灯补光，在白天、夜晚均可输出彩色视频图像</w:t>
            </w:r>
            <w:r>
              <w:rPr>
                <w:rFonts w:hint="eastAsia" w:ascii="宋体" w:hAnsi="宋体" w:cs="宋体"/>
                <w:sz w:val="18"/>
                <w:szCs w:val="18"/>
                <w:lang w:bidi="ar"/>
              </w:rPr>
              <w:t xml:space="preserve">；</w:t>
            </w:r>
            <w:r>
              <w:rPr>
                <w:rFonts w:hint="eastAsia" w:ascii="宋体" w:hAnsi="宋体" w:cs="宋体"/>
                <w:sz w:val="18"/>
                <w:szCs w:val="18"/>
              </w:rPr>
              <w:t xml:space="preserve">3. 细节镜头不低于32倍光学变倍，最大焦距不小于188mm</w:t>
            </w:r>
            <w:r>
              <w:rPr>
                <w:rFonts w:hint="eastAsia" w:ascii="宋体" w:hAnsi="宋体" w:cs="宋体"/>
                <w:sz w:val="18"/>
                <w:szCs w:val="18"/>
                <w:lang w:bidi="ar"/>
              </w:rPr>
              <w:t xml:space="preserve">；</w:t>
            </w:r>
            <w:r>
              <w:rPr>
                <w:rFonts w:hint="eastAsia" w:ascii="宋体" w:hAnsi="宋体" w:cs="宋体"/>
                <w:sz w:val="18"/>
                <w:szCs w:val="18"/>
              </w:rPr>
              <w:t xml:space="preserve">4. 支持最低照度可达彩色0.0002Lux，黑白0.0001Lux</w:t>
            </w:r>
            <w:r>
              <w:rPr>
                <w:rFonts w:hint="eastAsia" w:ascii="宋体" w:hAnsi="宋体" w:cs="宋体"/>
                <w:sz w:val="18"/>
                <w:szCs w:val="18"/>
                <w:lang w:bidi="ar"/>
              </w:rPr>
              <w:t xml:space="preserve">；</w:t>
            </w:r>
            <w:r>
              <w:rPr>
                <w:rFonts w:hint="eastAsia" w:ascii="宋体" w:hAnsi="宋体" w:cs="宋体"/>
                <w:sz w:val="18"/>
                <w:szCs w:val="18"/>
              </w:rPr>
              <w:t xml:space="preserve">5. 全景、细节白光补光距离可达30m，细节红外补光距离可达150m</w:t>
            </w:r>
            <w:r>
              <w:rPr>
                <w:rFonts w:hint="eastAsia" w:ascii="宋体" w:hAnsi="宋体" w:cs="宋体"/>
                <w:sz w:val="18"/>
                <w:szCs w:val="18"/>
                <w:lang w:bidi="ar"/>
              </w:rPr>
              <w:t xml:space="preserve">；</w:t>
            </w:r>
            <w:r>
              <w:rPr>
                <w:rFonts w:hint="eastAsia" w:ascii="宋体" w:hAnsi="宋体" w:cs="宋体"/>
                <w:sz w:val="18"/>
                <w:szCs w:val="18"/>
              </w:rPr>
              <w:t xml:space="preserve">6. 可用自动拼接工具进行全景拼接效果调整，并且可以调整拼接距离</w:t>
            </w:r>
            <w:r>
              <w:rPr>
                <w:rFonts w:hint="eastAsia" w:ascii="宋体" w:hAnsi="宋体" w:cs="宋体"/>
                <w:sz w:val="18"/>
                <w:szCs w:val="18"/>
                <w:lang w:bidi="ar"/>
              </w:rPr>
              <w:t xml:space="preserve">；</w:t>
            </w:r>
            <w:r>
              <w:rPr>
                <w:rFonts w:hint="eastAsia" w:ascii="宋体" w:hAnsi="宋体" w:cs="宋体"/>
                <w:sz w:val="18"/>
                <w:szCs w:val="18"/>
              </w:rPr>
              <w:t xml:space="preserve">7. 全景通道支持两个画面的偏色、曝光同步，可以通过产线矫正和现场矫正两种方式进行</w:t>
            </w:r>
            <w:r>
              <w:rPr>
                <w:rFonts w:hint="eastAsia" w:ascii="宋体" w:hAnsi="宋体" w:cs="宋体"/>
                <w:sz w:val="18"/>
                <w:szCs w:val="18"/>
                <w:lang w:bidi="ar"/>
              </w:rPr>
              <w:t xml:space="preserve">；</w:t>
            </w:r>
            <w:r>
              <w:rPr>
                <w:rFonts w:hint="eastAsia" w:ascii="宋体" w:hAnsi="宋体" w:cs="宋体"/>
                <w:sz w:val="18"/>
                <w:szCs w:val="18"/>
              </w:rPr>
              <w:t xml:space="preserve">8. 支持水平手控速度不小于160°/S，垂直速度不小于60°/S，云台定位精度为±0.1°</w:t>
            </w:r>
            <w:r>
              <w:rPr>
                <w:rFonts w:hint="eastAsia" w:ascii="宋体" w:hAnsi="宋体" w:cs="宋体"/>
                <w:sz w:val="18"/>
                <w:szCs w:val="18"/>
                <w:lang w:bidi="ar"/>
              </w:rPr>
              <w:t xml:space="preserve">；</w:t>
            </w:r>
            <w:r>
              <w:rPr>
                <w:rFonts w:hint="eastAsia" w:ascii="宋体" w:hAnsi="宋体" w:cs="宋体"/>
                <w:sz w:val="18"/>
                <w:szCs w:val="18"/>
              </w:rPr>
              <w:t xml:space="preserve">9. 水平旋转范围为360°连续旋转，垂直旋转范围不小于-15°~90°；需具备智能分析抗干扰功能，当篮球、小狗、树叶等非人或车辆目标经过检测区域时，不会触发报警</w:t>
            </w:r>
            <w:r>
              <w:rPr>
                <w:rFonts w:hint="eastAsia" w:ascii="宋体" w:hAnsi="宋体" w:cs="宋体"/>
                <w:sz w:val="18"/>
                <w:szCs w:val="18"/>
                <w:lang w:bidi="ar"/>
              </w:rPr>
              <w:t xml:space="preserve">；</w:t>
            </w:r>
            <w:r/>
          </w:p>
          <w:p>
            <w:pPr>
              <w:widowControl/>
              <w:rPr>
                <w:rFonts w:ascii="宋体" w:hAnsi="宋体" w:cs="宋体"/>
                <w:sz w:val="18"/>
                <w:szCs w:val="18"/>
              </w:rPr>
            </w:pPr>
            <w:r>
              <w:rPr>
                <w:rFonts w:hint="eastAsia" w:ascii="宋体" w:hAnsi="宋体" w:cs="宋体"/>
                <w:sz w:val="18"/>
                <w:szCs w:val="18"/>
              </w:rPr>
              <w:t xml:space="preserve">10. 支持定位联动功能，在全景视频图像中点击或者框选任意区域后，细节视频图像可将该区域处于视频图像中央，标定点数量不小于6个，且标定用时不大于1s</w:t>
            </w:r>
            <w:r>
              <w:rPr>
                <w:rFonts w:hint="eastAsia" w:ascii="宋体" w:hAnsi="宋体" w:cs="宋体"/>
                <w:sz w:val="18"/>
                <w:szCs w:val="18"/>
                <w:lang w:bidi="ar"/>
              </w:rPr>
              <w:t xml:space="preserve">；</w:t>
            </w:r>
            <w:r>
              <w:rPr>
                <w:rFonts w:hint="eastAsia" w:ascii="宋体" w:hAnsi="宋体" w:cs="宋体"/>
                <w:sz w:val="18"/>
                <w:szCs w:val="18"/>
              </w:rPr>
              <w:t xml:space="preserve">11. 支持快捷配置功能，可在预览画面开启/关闭“快捷配置”页面，对曝光参数、OSD、智能资源分配模式等参数进行配置，并可一键恢复为默认设置</w:t>
            </w:r>
            <w:r>
              <w:rPr>
                <w:rFonts w:hint="eastAsia" w:ascii="宋体" w:hAnsi="宋体" w:cs="宋体"/>
                <w:sz w:val="18"/>
                <w:szCs w:val="18"/>
                <w:lang w:bidi="ar"/>
              </w:rPr>
              <w:t xml:space="preserve">；</w:t>
            </w:r>
            <w:r>
              <w:rPr>
                <w:rFonts w:hint="eastAsia" w:ascii="宋体" w:hAnsi="宋体" w:cs="宋体"/>
                <w:sz w:val="18"/>
                <w:szCs w:val="18"/>
              </w:rPr>
              <w:t xml:space="preserve">12. 支持对镜头前盖玻璃加热</w:t>
            </w:r>
            <w:r>
              <w:rPr>
                <w:rFonts w:hint="eastAsia" w:ascii="宋体" w:hAnsi="宋体" w:cs="宋体"/>
                <w:sz w:val="18"/>
                <w:szCs w:val="18"/>
                <w:lang w:bidi="ar"/>
              </w:rPr>
              <w:t xml:space="preserve">；</w:t>
            </w:r>
            <w:r>
              <w:rPr>
                <w:rFonts w:hint="eastAsia" w:ascii="宋体" w:hAnsi="宋体" w:cs="宋体"/>
                <w:sz w:val="18"/>
                <w:szCs w:val="18"/>
              </w:rPr>
              <w:t xml:space="preserve">13. 具备较好的防护性能环境适应性，工作温度范围可达-30℃-65℃，支持IP66，支持6kV防浪涌</w:t>
            </w:r>
            <w:r>
              <w:rPr>
                <w:rFonts w:hint="eastAsia" w:ascii="宋体" w:hAnsi="宋体" w:cs="宋体"/>
                <w:sz w:val="18"/>
                <w:szCs w:val="18"/>
                <w:lang w:bidi="ar"/>
              </w:rPr>
              <w:t xml:space="preserve">；</w:t>
            </w:r>
            <w:r>
              <w:rPr>
                <w:rFonts w:hint="eastAsia" w:ascii="宋体" w:hAnsi="宋体" w:cs="宋体"/>
                <w:sz w:val="18"/>
                <w:szCs w:val="18"/>
              </w:rPr>
              <w:t xml:space="preserve">14. 具备较好的电源适应性，电压在DC36V±30%范围内变化时，设备可正常工作。</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numPr>
                <w:ilvl w:val="0"/>
                <w:numId w:val="7"/>
              </w:numPr>
              <w:widowControl/>
              <w:rPr>
                <w:rFonts w:ascii="宋体" w:hAnsi="宋体" w:cs="宋体"/>
                <w:sz w:val="18"/>
                <w:szCs w:val="18"/>
              </w:rPr>
            </w:pPr>
            <w:r>
              <w:rPr>
                <w:rFonts w:hint="eastAsia" w:ascii="宋体" w:hAnsi="宋体" w:cs="宋体"/>
                <w:sz w:val="18"/>
                <w:szCs w:val="18"/>
              </w:rPr>
              <w:t xml:space="preserve">18个10M/100M/1000M自适应RJ45接口(其中P1~P16与G1处于同一网段、G2处于另一网段)、2个1000M SFP光端接口(分别与G1、G2处于同一网段)，支持IP地址过滤、SSH开关自定义、ARP防攻击、视频水印等安全防护功能，具备强密码管理功能。支持WEB回话Session ID、</w:t>
            </w:r>
            <w:r>
              <w:rPr>
                <w:rFonts w:hint="eastAsia" w:ascii="宋体" w:hAnsi="宋体" w:cs="宋体"/>
                <w:sz w:val="18"/>
                <w:szCs w:val="18"/>
              </w:rPr>
              <w:t xml:space="preserve">数据传输加密、固件完整性等安全检验；2. 支持16路H.265、H.264编码混合自适应接入；3. 支持SDK、RTSP、ONVIF和GB28181添加相机通道；4. 支持图片存储展示，包括车辆卡口、违法、人脸、人体以及其他事件结构化图片数据；5. 支持视频预览、录像和回放，可配置录像计划，录像和图片存储空间可配置；6. 支持本地浏览器查询数据，可设置多种筛选条件；查询结果可关联对应事件短录像；7. 支持新国标电警应用，有反向卡口需要图片六合一时，最大支持6个电警相机六合一；8. 支持双网隔离应用，可向两个</w:t>
            </w:r>
            <w:r>
              <w:rPr>
                <w:rFonts w:hint="eastAsia" w:ascii="宋体" w:hAnsi="宋体" w:cs="宋体"/>
                <w:sz w:val="18"/>
                <w:szCs w:val="18"/>
              </w:rPr>
              <w:t xml:space="preserve">隔离网络分别上传图片和视频数据；9. 支持LED屏（默认交通诱导屏和出入口LED显示屏），音柱对接发布，发布条件和内容可自定义；10. 运行功耗：≤50W；11. 支持IP地址过滤、SSH开关自定义、ARP防攻击、视频水印等安全防护功能，具备强密码管理功能。支持WEB回话Session ID、数据传输加密、固件完整性等安全检验；12. 支持内置北斗模块，实现北斗校时、定位功能，同时支持将经纬度信息叠加在图片或者视频上，定位校时模块可插拔更换，支持内置4G/5G通信模块，实现无线通信功能，通信模块可插拔更换。</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红灯信号检测器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交通灯信号检测器，支持16路AC220V信号接入；2. 6路RS485接口；3. 一个5位拨码开关，用于设置设备地址、数据上传模式及波特率；4. 一个电源开关，AC220V供电。</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17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频闪灯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光源类型：16颗优质大功率LED；2. 发光角度10°；3. 覆盖范围：单车道环境补光灯；4. 最佳补光范围16m～25m；5. 触发方式： 4V~6V电平量触发（高电平有效）（可选配开关量触发）；6. 触发信号：频率15~250HZ，占空比1%~39%；7. 响应时间小于20US；8. 外壳材质金属铝：一般规范；9. 工作温度：温度-30℃~70℃；10. 电源：220VAC±10%；11. 工作湿度：湿度5%~95%@40℃，无凝结；12. 功耗：35W MAX；13. 防护等级：IP66。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28</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多功能补光灯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铝合金灯体，鳍片式散热结构，面罩采用特殊工艺的耐高温的PC材料，透光效果好；2. 采用24颗优质高亮度LED芯片，寿命长，稳定性好，发光效率高；3. 带LED格栅，有效减少周边光污染；4. 气体灯管采用优质</w:t>
            </w:r>
            <w:r>
              <w:rPr>
                <w:rFonts w:hint="eastAsia" w:ascii="宋体" w:hAnsi="宋体" w:cs="宋体"/>
                <w:sz w:val="18"/>
                <w:szCs w:val="18"/>
                <w:lang w:bidi="ar"/>
              </w:rPr>
              <w:t xml:space="preserve">高性能氙气灯管，质量可靠，寿命长；5. 经专业光学设计，发光均匀，目标光斑显明，有效减少光污；6. 采用步进电机功能，实现红外滤片的切换； LED控制采用先进的恒流驱动技术，电流控制准确、稳定，产品稳定性好、可靠性高，有效减少光衰；7. 气体光源回电时间小于67ms，支持超速连拍； 8. 气体补光控制具有峰值抑制功能； 9. 支持LED灯频闪、白光气体爆闪，红外气体爆闪；10. 支持相机误触发保护功能，触发信号输入异常时自动保护、且自动恢复；11. 灯体具有专利设，计新颖别致、适应性强，安装简单，调节方便。</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28</w:t>
            </w:r>
            <w:r/>
          </w:p>
        </w:tc>
      </w:tr>
      <w:tr>
        <w:trPr>
          <w:trHeight w:val="22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8口工业级交换机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2个千兆单模单纤SC/ST/FC口，8个10/100/1000M电口，含1个光模块。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r>
      <w:tr>
        <w:trPr>
          <w:trHeight w:val="20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4个千兆单模单纤SC/ST/FC口，16个10/100/1000M电口，含4个光模块。</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箱体尺寸不低于：400mm*500mm*150mm，镀锌钢板厚度1.0、喷塑处理，防护等级不低于IP55。含空开、防雷、电源板、插线板等配件，外观有“滨海公安交警”标识。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落地机箱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箱体尺寸不低于：600mm*600mm*1000mm，镀锌钢板厚度1.2mm、喷塑处理，防护等级不低于IP55。含空开、防雷、电源板、插线板等配件，外观有“滨海公安交警”标识。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14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Style w:val="1225"/>
                <w:rFonts w:hint="default"/>
                <w:sz w:val="18"/>
                <w:szCs w:val="18"/>
                <w:lang w:bidi="ar"/>
              </w:rPr>
            </w:pPr>
            <w:r>
              <w:rPr>
                <w:rStyle w:val="1225"/>
                <w:rFonts w:hint="default"/>
                <w:sz w:val="18"/>
                <w:szCs w:val="18"/>
                <w:lang w:bidi="ar"/>
              </w:rPr>
              <w:t xml:space="preserve">杆件规格：6.5m（与所在道路比净高度）*12m，具体根据现场情况确认。</w:t>
            </w:r>
            <w:r/>
          </w:p>
          <w:p>
            <w:pPr>
              <w:jc w:val="left"/>
              <w:widowControl/>
              <w:rPr>
                <w:rFonts w:ascii="宋体" w:hAnsi="宋体" w:cs="宋体"/>
                <w:sz w:val="18"/>
                <w:szCs w:val="18"/>
              </w:rPr>
            </w:pPr>
            <w:r>
              <w:rPr>
                <w:rStyle w:val="1225"/>
                <w:rFonts w:hint="default"/>
                <w:sz w:val="18"/>
                <w:szCs w:val="18"/>
                <w:lang w:bidi="ar"/>
              </w:rPr>
              <w:t xml:space="preserve">1. 钢结构采用的钢材符合GB/T 700-1988国家标准要求；满足《钢结构工程施工质量验收规范》（GB50205-2001）及《钢结构工程质量检验评定标准》（GB50221-95）的规定；2. 钢结构焊接采用的焊条、焊丝、焊剂等均符合国家相关规定标准；3. 杆件能满足设备安装；4. 整体采用热浸镀锌、喷塑处理，镀锌层厚度≥86</w:t>
            </w:r>
            <w:r>
              <w:rPr>
                <w:rStyle w:val="1246"/>
                <w:rFonts w:hint="eastAsia" w:ascii="宋体" w:hAnsi="宋体" w:cs="宋体"/>
                <w:sz w:val="18"/>
                <w:szCs w:val="18"/>
                <w:lang w:bidi="ar"/>
              </w:rPr>
              <w:t xml:space="preserve">μ</w:t>
            </w:r>
            <w:r>
              <w:rPr>
                <w:rStyle w:val="1225"/>
                <w:rFonts w:hint="default"/>
                <w:sz w:val="18"/>
                <w:szCs w:val="18"/>
                <w:lang w:bidi="ar"/>
              </w:rPr>
              <w:t xml:space="preserve">m</w:t>
            </w:r>
            <w:r>
              <w:rPr>
                <w:rFonts w:hint="eastAsia" w:ascii="宋体" w:hAnsi="宋体" w:cs="宋体"/>
                <w:sz w:val="18"/>
                <w:szCs w:val="18"/>
                <w:lang w:bidi="ar"/>
              </w:rPr>
              <w:t xml:space="preserve">，外观为镀锌本色，距离地面1-2m处有反光警示标识。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Style w:val="1225"/>
                <w:rFonts w:hint="default"/>
                <w:sz w:val="18"/>
                <w:szCs w:val="18"/>
                <w:lang w:bidi="ar"/>
              </w:rPr>
            </w:pPr>
            <w:r>
              <w:rPr>
                <w:rStyle w:val="1225"/>
                <w:rFonts w:hint="default"/>
                <w:sz w:val="18"/>
                <w:szCs w:val="18"/>
                <w:lang w:bidi="ar"/>
              </w:rPr>
              <w:t xml:space="preserve">杆件规格：6.5m（与所在道路比净高度）*14m，具体根据现场情况确认。</w:t>
            </w:r>
            <w:r/>
          </w:p>
          <w:p>
            <w:pPr>
              <w:jc w:val="left"/>
              <w:widowControl/>
              <w:rPr>
                <w:rFonts w:ascii="宋体" w:hAnsi="宋体" w:cs="宋体"/>
                <w:sz w:val="18"/>
                <w:szCs w:val="18"/>
              </w:rPr>
            </w:pPr>
            <w:r>
              <w:rPr>
                <w:rStyle w:val="1225"/>
                <w:rFonts w:hint="default"/>
                <w:sz w:val="18"/>
                <w:szCs w:val="18"/>
                <w:lang w:bidi="ar"/>
              </w:rPr>
              <w:t xml:space="preserve">1. 钢结构采用的钢材符合GB/T 700-1988国家标准要求；满足《钢结构工程施工质量验收规范》（GB50205-2001）及《钢结构工程质量检验评定标准》（GB50221-95）的规定；2. 钢结构焊接采用的焊条、焊丝、焊剂等均符合国家相关规定标准；3. 杆件能满足设备安装；4. 整体采用热浸镀锌、喷塑处理，镀锌层厚度≥86</w:t>
            </w:r>
            <w:r>
              <w:rPr>
                <w:rStyle w:val="1246"/>
                <w:rFonts w:hint="eastAsia" w:ascii="宋体" w:hAnsi="宋体" w:cs="宋体"/>
                <w:sz w:val="18"/>
                <w:szCs w:val="18"/>
                <w:lang w:bidi="ar"/>
              </w:rPr>
              <w:t xml:space="preserve">μ</w:t>
            </w:r>
            <w:r>
              <w:rPr>
                <w:rStyle w:val="1225"/>
                <w:rFonts w:hint="default"/>
                <w:sz w:val="18"/>
                <w:szCs w:val="18"/>
                <w:lang w:bidi="ar"/>
              </w:rPr>
              <w:t xml:space="preserve">m</w:t>
            </w:r>
            <w:r>
              <w:rPr>
                <w:rFonts w:hint="eastAsia" w:ascii="宋体" w:hAnsi="宋体" w:cs="宋体"/>
                <w:sz w:val="18"/>
                <w:szCs w:val="18"/>
                <w:lang w:bidi="ar"/>
              </w:rPr>
              <w:t xml:space="preserve">，外观为镀锌本色，距离地面1-2m处有反光警示标识。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监控及显示设备杆件基础</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采用C25混凝土，包含：杆件基坑开挖、地笼二次运输、土方开挖及外运、放置地笼、预留管道(含基础内部走线双管道约5米50PE)、混凝土浇筑、基础收光及养护、模板制作根据现场需求；2.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28.86</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Style w:val="1225"/>
                <w:rFonts w:hint="default"/>
                <w:sz w:val="18"/>
                <w:szCs w:val="18"/>
                <w:lang w:bidi="ar"/>
              </w:rPr>
              <w:t xml:space="preserve">防雷接地5</w:t>
            </w:r>
            <w:r>
              <w:rPr>
                <w:rFonts w:hint="eastAsia" w:ascii="宋体" w:hAnsi="宋体" w:cs="宋体"/>
                <w:sz w:val="20"/>
                <w:lang w:bidi="ar"/>
              </w:rPr>
              <w:t xml:space="preserve">mm</w:t>
            </w:r>
            <w:r>
              <w:rPr>
                <w:rStyle w:val="1225"/>
                <w:rFonts w:hint="default"/>
                <w:sz w:val="18"/>
                <w:szCs w:val="18"/>
                <w:lang w:bidi="ar"/>
              </w:rPr>
              <w:t xml:space="preserve">*5</w:t>
            </w:r>
            <w:r>
              <w:rPr>
                <w:rFonts w:hint="eastAsia" w:ascii="宋体" w:hAnsi="宋体" w:cs="宋体"/>
                <w:sz w:val="20"/>
                <w:lang w:bidi="ar"/>
              </w:rPr>
              <w:t xml:space="preserve">mm</w:t>
            </w:r>
            <w:r>
              <w:rPr>
                <w:rStyle w:val="1225"/>
                <w:rFonts w:hint="default"/>
                <w:sz w:val="18"/>
                <w:szCs w:val="18"/>
                <w:lang w:bidi="ar"/>
              </w:rPr>
              <w:t xml:space="preserve">*2500mm，包含镀锌角钢接地制作及其安装、扁钢焊接、电阻测试，电阻值≤10</w:t>
            </w:r>
            <w:r>
              <w:rPr>
                <w:rStyle w:val="1247"/>
                <w:rFonts w:hint="eastAsia" w:ascii="宋体" w:hAnsi="宋体" w:cs="宋体"/>
                <w:sz w:val="18"/>
                <w:szCs w:val="18"/>
                <w:lang w:bidi="ar"/>
              </w:rPr>
              <w:t xml:space="preserve">Ω</w:t>
            </w:r>
            <w:r>
              <w:rPr>
                <w:rStyle w:val="1225"/>
                <w:rFonts w:hint="default"/>
                <w:sz w:val="18"/>
                <w:szCs w:val="18"/>
                <w:lang w:bidi="ar"/>
              </w:rPr>
              <w:t xml:space="preserve">。焊接、接头需做好防锈防腐蚀措施。</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手孔井尺寸：400mm*500mm*400mm（含井盖）；砖砌体采用M10水泥砂浆砌筑MU15混凝土标准砖，内部采用20厚1：2水泥砂浆粉刷；带铁包边的加强型井盖、井圈；外观有“滨海公安交警”标识。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CAT-6</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650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国标纯铜RVV2*1.5mm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2650</w:t>
            </w:r>
            <w:r/>
          </w:p>
        </w:tc>
      </w:tr>
      <w:tr>
        <w:trPr>
          <w:trHeight w:val="11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国标纯铜RVSP3*1.0mm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1350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国标纯铜RVV3*4mm</w:t>
            </w:r>
            <w:r>
              <w:rPr>
                <w:rFonts w:hint="eastAsia" w:ascii="宋体" w:hAnsi="宋体" w:cs="宋体"/>
                <w:sz w:val="18"/>
                <w:szCs w:val="18"/>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光缆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单模4芯</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1350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机械拖拉管及恢复，采用PE50管</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510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采用PE50管，含绿化带、路面开挖及恢复，净深度≥50cm。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20"/>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5年运营商光纤链路租赁，符合公安网要求的裸纤。</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8、后端管理平台</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color w:val="ff0000"/>
                <w:sz w:val="22"/>
                <w:szCs w:val="22"/>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视频云存储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color w:val="ff0000"/>
                <w:sz w:val="18"/>
                <w:szCs w:val="18"/>
              </w:rPr>
            </w:pPr>
            <w:r>
              <w:rPr>
                <w:rFonts w:hint="eastAsia" w:ascii="宋体" w:hAnsi="宋体" w:cs="宋体"/>
                <w:sz w:val="18"/>
                <w:szCs w:val="18"/>
              </w:rPr>
              <w:t xml:space="preserve">1. 必须支持指定本地视频和图片数据备份到公有云，用户可在图形化页面直接配置公有云地址，数据可按对象方式自动复制到公有云，且支持配置本地删除操作不同步到公有云，无须单独配置备份软件；</w:t>
            </w:r>
            <w:r/>
          </w:p>
          <w:p>
            <w:pPr>
              <w:widowControl/>
              <w:rPr>
                <w:rFonts w:ascii="宋体" w:hAnsi="宋体" w:cs="宋体"/>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2. 单集群支持多CPU架构(X86架构、ARM架构)存储设备混合组网、部署，可同时支持CentOS操作系统、麒麟操作系统、OpenEuler操作系统、自研存储操作系统的混合部署、扩容、调度；支持将不同CPU架构的存储资源虚拟化成统一存储资源池，读</w:t>
            </w:r>
            <w:r>
              <w:rPr>
                <w:rFonts w:hint="eastAsia" w:ascii="宋体" w:hAnsi="宋体" w:cs="宋体"/>
                <w:sz w:val="18"/>
                <w:szCs w:val="18"/>
              </w:rPr>
              <w:t xml:space="preserve">写业务在多CPU架构存储节点间动态负载均衡；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系统支持手动、自动对智能事件关联的多个录像片段设置录像标签。支持标签与其关联的录像片段同生命周期管理；支持通过按标签内容查询、回放、下载录像片段数据；支持对标签关联的录像片段进行锁定、备份（</w:t>
            </w:r>
            <w:r>
              <w:rPr>
                <w:rFonts w:hint="eastAsia" w:ascii="宋体" w:hAnsi="宋体" w:cs="宋体"/>
                <w:color w:val="ff0000"/>
                <w:sz w:val="18"/>
                <w:szCs w:val="18"/>
              </w:rPr>
              <w:t xml:space="preserve">投标时提供符合要求的公安部检验报告并加盖产品制造商原厂公章的扫描件</w:t>
            </w:r>
            <w:r>
              <w:rPr>
                <w:rFonts w:hint="eastAsia" w:ascii="宋体" w:hAnsi="宋体" w:cs="宋体"/>
                <w:sz w:val="18"/>
                <w:szCs w:val="18"/>
              </w:rPr>
              <w:t xml:space="preserve">）；</w:t>
            </w:r>
            <w:r/>
          </w:p>
          <w:p>
            <w:pPr>
              <w:widowControl/>
              <w:rPr>
                <w:rFonts w:ascii="宋体" w:hAnsi="宋体" w:cs="宋体"/>
                <w:sz w:val="18"/>
                <w:szCs w:val="18"/>
              </w:rPr>
            </w:pPr>
            <w:r>
              <w:rPr>
                <w:rFonts w:hint="eastAsia" w:ascii="宋体" w:hAnsi="宋体" w:cs="宋体"/>
                <w:sz w:val="18"/>
                <w:szCs w:val="18"/>
              </w:rPr>
              <w:t xml:space="preserve">3. 服务器配置：≥2颗64位多核处理器，≥8GB内存</w:t>
            </w:r>
            <w:r>
              <w:rPr>
                <w:rFonts w:hint="eastAsia" w:ascii="宋体" w:hAnsi="宋体" w:cs="宋体"/>
                <w:sz w:val="18"/>
                <w:szCs w:val="18"/>
              </w:rPr>
              <w:t xml:space="preserve">，内存支持扩展到≥256GB，内置SSD固态硬盘，配置≥6个风扇，支持风扇热插拔冗余温控调速风扇。单台设备内置不低于384T企业级硬盘；4. 云存储对外提供登陆、认证接口，保证系统安全性；云平台须配置云存储的用户名和密码之后才能接入到云存储系统，接入云存储的设备和用户，都需要进行必要的接入认证，以保证接入的安全性；支持创建不同权限的用户，且不同的用户对云存储系统分配不同的读写权限；支持多用户ACL访问权限控制，支持只读，或者可读可写；支持对云存储系统内交互过程中的所有信令做摘要验证；5. 支持对云系统运行中</w:t>
            </w:r>
            <w:r>
              <w:rPr>
                <w:rFonts w:hint="eastAsia" w:ascii="宋体" w:hAnsi="宋体" w:cs="宋体"/>
                <w:sz w:val="18"/>
                <w:szCs w:val="18"/>
              </w:rPr>
              <w:t xml:space="preserve">压力进行统计分析，包括：异常情况、告警情况、容量使用情况；支持对云系统运行中状态进行统计分析，包括：服务器状态、磁盘运行状态、存储使用空间、RAID组运行状态、监控点在线/离线数量和在线/离线比例等；6. 支持按照存储节点、存储卷的可用剩余容量进行业务均衡；支持云内所有节点根据负载情况自动负载均衡，系统定期进行均衡负载，自动进行系统资源分配；支持双层负载均衡，支持存储节点级和硬盘级均按照负载和容量进行均衡；7. 云系统支持虚拟化存储空间，可以按需分配，分配的存储空间支持在线扩大和缩小；系统支持资源池空间弹性</w:t>
            </w:r>
            <w:r>
              <w:rPr>
                <w:rFonts w:hint="eastAsia" w:ascii="宋体" w:hAnsi="宋体" w:cs="宋体"/>
                <w:sz w:val="18"/>
                <w:szCs w:val="18"/>
              </w:rPr>
              <w:t xml:space="preserve">伸缩，不影响读写业务；系统支持周期在线动态扩大或缩小，存储周期内的业务数据不丢失，业务不受影响；支持在线扩大或缩小存储容量时，同时调整存储周期，业务不受影响；8. 支持硬盘在节点间的漫游，将正常或异常状态的存储节点上的正常磁盘插入其他数据节点中，数据仍可继续使用；9. 支持底层数据块Erasure Code技术容错，数据恢复以数据块为单位，无需全硬盘恢复；具备数据自愈功能；当硬盘损坏后，系统自动进行数据恢复，保证数据不丢失，业务不中断；支持一个文件有多种N+M:K容错机制，能自适应调整N+M:K，系统根据当</w:t>
            </w:r>
            <w:r>
              <w:rPr>
                <w:rFonts w:hint="eastAsia" w:ascii="宋体" w:hAnsi="宋体" w:cs="宋体"/>
                <w:sz w:val="18"/>
                <w:szCs w:val="18"/>
              </w:rPr>
              <w:t xml:space="preserve">前节点情况自动配置使用哪种容错算法以达到最可靠的容错，以实现最大化节点容错能力； 10. 按需弹性扩容，仅需添加新增存储节点IP地址，无需配置RAID，扩容过程无需RAID，LVM等配置，在60秒之内完成，节点扩容后，无须任何配置，新写入数据便可自动被分配到新节点上，节点扩容，无需数据迁移，容量变可用，系统支持横向扩展，可提供EB级容量空间；11. 云存储集群节点之间高可靠负载均衡(节点容量TB级及以上)，各个节点之间的容量波动差距比例在千分之一以内。容量波动差距=（最大剩余容量-最小剩余容量）/最小容量。</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设备接入授权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前端道路交通监控设备接入视频综合管理平台授权</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云存储授权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云存储设备接入云存储管理平台授权</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运维管理服务器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处理器:配置≥1颗处理器，核数≥8核，主频≥1.9GHz；2. 内存:≥16GB DDR4，支持≥24个内存插槽，最大可支持6TB内存容量；3. 硬盘:配置≥2块2T硬盘;支持≥12个3.5寸或24个2.5寸热插拔硬盘，可支持SAS/SATA硬盘、SSD混插。板载支持2个PCIe M.2，支持2个SATA M.2，组硬RAI</w:t>
            </w:r>
            <w:r>
              <w:rPr>
                <w:rFonts w:hint="eastAsia" w:ascii="宋体" w:hAnsi="宋体" w:cs="宋体"/>
                <w:sz w:val="18"/>
                <w:szCs w:val="18"/>
                <w:lang w:bidi="ar"/>
              </w:rPr>
              <w:t xml:space="preserve">D；4. 网卡:提供板载双口千兆网口；支持选配10GbE、25GbE SFP+等多种网络接口；支持6个PCIE扩展插槽；5. 电源:≥550W电源模块*2； 6. raid：配置SAS卡，支持RAID 0/1/10；7. 批量管理软件：支持服务器品牌原厂批量管理软件，管理软件支持批量信息查看、BIOS/BMC固件更新、RAID配置、远程控制、远程修改BIOS选项、日志收集等功能；8. 故障诊断：支持离线光诊断功能，可断电环境下诊断主板关键信息故障；黑匣子日志、故障截屏、开机自检代码，有效判断分析软硬件故障。</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机房配套设施</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机房配套设施工程</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val="false"/>
          </w:tcPr>
          <w:p>
            <w:pPr>
              <w:widowControl/>
              <w:rPr>
                <w:rFonts w:ascii="宋体" w:hAnsi="宋体" w:cs="宋体"/>
                <w:b/>
                <w:bCs/>
                <w:sz w:val="21"/>
                <w:szCs w:val="21"/>
              </w:rPr>
            </w:pPr>
            <w:r>
              <w:rPr>
                <w:rFonts w:hint="eastAsia" w:ascii="宋体" w:hAnsi="宋体" w:cs="宋体"/>
                <w:b/>
                <w:bCs/>
                <w:sz w:val="21"/>
                <w:szCs w:val="21"/>
                <w:lang w:bidi="ar"/>
              </w:rPr>
              <w:t xml:space="preserve">二、警保劝导站</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lang w:bidi="ar"/>
              </w:rPr>
              <w:t xml:space="preserve">1、土建部分</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12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劝导站房屋</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rPr>
                <w:rFonts w:ascii="宋体" w:hAnsi="宋体" w:cs="宋体"/>
                <w:sz w:val="18"/>
                <w:szCs w:val="18"/>
              </w:rPr>
            </w:pPr>
            <w:r>
              <w:rPr>
                <w:rFonts w:hint="eastAsia" w:ascii="宋体" w:hAnsi="宋体" w:cs="宋体"/>
                <w:sz w:val="18"/>
                <w:szCs w:val="18"/>
              </w:rPr>
              <w:t xml:space="preserve">（一）室外保温墙体：</w:t>
            </w:r>
            <w:r/>
          </w:p>
          <w:p>
            <w:pPr>
              <w:rPr>
                <w:rFonts w:ascii="宋体" w:hAnsi="宋体" w:cs="宋体"/>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1. 要求铝单板表面采用氟碳喷涂，平均漆膜厚度≥40um，最小局部厚度≥34um，符合GB/T23443-2009（</w:t>
            </w:r>
            <w:r>
              <w:rPr>
                <w:rFonts w:hint="eastAsia" w:ascii="宋体" w:hAnsi="宋体" w:cs="宋体"/>
                <w:color w:val="ff0000"/>
                <w:sz w:val="18"/>
                <w:szCs w:val="18"/>
              </w:rPr>
              <w:t xml:space="preserve">投标时提供有效期内符合要求的CMA或CAL或ilac-MRA标识的第三方有资质的机构出具的检测报告并加盖制造商原厂公章的扫描件</w:t>
            </w:r>
            <w:r>
              <w:rPr>
                <w:rFonts w:hint="eastAsia" w:ascii="宋体" w:hAnsi="宋体" w:cs="宋体"/>
                <w:sz w:val="18"/>
                <w:szCs w:val="18"/>
              </w:rPr>
              <w:t xml:space="preserve">）；</w:t>
            </w:r>
            <w:r/>
          </w:p>
          <w:p>
            <w:pPr>
              <w:rPr>
                <w:rFonts w:ascii="宋体" w:hAnsi="宋体" w:cs="宋体"/>
                <w:sz w:val="18"/>
                <w:szCs w:val="18"/>
              </w:rPr>
            </w:pPr>
            <w:r>
              <w:rPr>
                <w:rFonts w:hint="eastAsia" w:ascii="宋体" w:hAnsi="宋体" w:cs="宋体"/>
                <w:sz w:val="18"/>
                <w:szCs w:val="18"/>
              </w:rPr>
              <w:t xml:space="preserve">2. 墙面装饰板： 蓝白拼色铝单板，材料厚度要求≥2.5mm；3. 钢龙骨：镀锌矩形钢管80mm*80mm*2.5mm，60mm*</w:t>
            </w:r>
            <w:r>
              <w:rPr>
                <w:rFonts w:hint="eastAsia" w:ascii="宋体" w:hAnsi="宋体" w:cs="宋体"/>
                <w:sz w:val="18"/>
                <w:szCs w:val="18"/>
              </w:rPr>
              <w:t xml:space="preserve">40mm*1.5mm等，国标；4. 保温材料：黄色、岩棉，厚度50mm，A级耐火等级，导热系数≤0.043W/(m·K)；5. 构造龙骨： 镀锌矩形钢管40mm*20mm*1.2mm，国标；6. 保温材料：白色、硬质保温纤维板，厚度50mm，要求符合GB8624-2012《建筑材料及制品燃烧性能分级》检验，燃烧性能达到GB8624A(A1)级；7. 装饰基板：白色竹木纤维板，厚度8mm，覆膜材质，防火、防水、抗污染，环保无甲醛。要求符合GB 18580-2017 竹木纤维板甲醛释放量&lt;0.005mg/m³。</w:t>
            </w:r>
            <w:r/>
          </w:p>
          <w:p>
            <w:pPr>
              <w:rPr>
                <w:rFonts w:ascii="宋体" w:hAnsi="宋体" w:cs="宋体"/>
                <w:sz w:val="18"/>
                <w:szCs w:val="18"/>
              </w:rPr>
            </w:pPr>
            <w:r>
              <w:rPr>
                <w:rFonts w:hint="eastAsia" w:ascii="宋体" w:hAnsi="宋体" w:cs="宋体"/>
                <w:sz w:val="18"/>
                <w:szCs w:val="18"/>
              </w:rPr>
              <w:t xml:space="preserve">（二）房体总体构造要求：1. 钢笼骨结构，结构要求达到抗风10级、抗震8级技术指标；2. 房体要求能够整体吊装、整体运输，且满足多次吊装、运输需求条件。</w:t>
            </w:r>
            <w:r/>
          </w:p>
          <w:p>
            <w:pPr>
              <w:rPr>
                <w:rFonts w:ascii="宋体" w:hAnsi="宋体" w:cs="宋体"/>
                <w:sz w:val="18"/>
                <w:szCs w:val="18"/>
              </w:rPr>
            </w:pPr>
            <w:r>
              <w:rPr>
                <w:rFonts w:hint="eastAsia" w:ascii="宋体" w:hAnsi="宋体" w:cs="宋体"/>
                <w:sz w:val="18"/>
                <w:szCs w:val="18"/>
              </w:rPr>
              <w:t xml:space="preserve">（三）房体内径尺寸：内部净尺寸长5m、宽3m，室内净高2.9m（房体整体不高于3.5m）；</w:t>
            </w:r>
            <w:r/>
          </w:p>
          <w:p>
            <w:pPr>
              <w:rPr>
                <w:rFonts w:ascii="宋体" w:hAnsi="宋体" w:cs="宋体"/>
                <w:sz w:val="18"/>
                <w:szCs w:val="18"/>
              </w:rPr>
            </w:pPr>
            <w:r>
              <w:rPr>
                <w:rFonts w:hint="eastAsia" w:ascii="宋体" w:hAnsi="宋体" w:cs="宋体"/>
                <w:sz w:val="18"/>
                <w:szCs w:val="18"/>
              </w:rPr>
              <w:t xml:space="preserve">（四）室内地面：1. 构造龙骨主要规格：镀锌矩形钢管100mm*100mm*3.0mm、100mm*50mm*2.0mm等，国标；2. 地面基板：水泥纤维板，厚度20mm，密度≥1.2cm3，耐火等级A1级；3. 装饰面： 耐磨复合木地板，厚度≥12mm，表面耐磨≥6000转，含水率≤9%，密度≥0.85g/cm2，等级：家用I级E1级。（五)内隔墙：</w:t>
            </w:r>
            <w:r/>
          </w:p>
          <w:p>
            <w:pPr>
              <w:rPr>
                <w:rFonts w:ascii="宋体" w:hAnsi="宋体" w:cs="宋体"/>
                <w:sz w:val="18"/>
                <w:szCs w:val="18"/>
              </w:rPr>
            </w:pPr>
            <w:r>
              <w:rPr>
                <w:rFonts w:hint="eastAsia" w:ascii="宋体" w:hAnsi="宋体" w:cs="宋体"/>
                <w:sz w:val="18"/>
                <w:szCs w:val="18"/>
              </w:rPr>
              <w:t xml:space="preserve">1. 装饰基板：白色竹木纤维板，厚度8mm，覆膜材质，防火、防水、抗污染，环保无甲醛。要求符合GB 18580-2017 竹木纤维板甲醛释放量&lt;0.005mg/m³；2. 隔音层：黄色、岩棉，厚度50mm，A级耐火等级，导热系数≤0.043W/(m·K)；3. 钢龙骨：主要规格：镀锌矩形钢管60</w:t>
            </w:r>
            <w:r>
              <w:rPr>
                <w:rFonts w:hint="eastAsia" w:ascii="宋体" w:hAnsi="宋体" w:cs="宋体"/>
                <w:sz w:val="18"/>
                <w:szCs w:val="18"/>
                <w:lang w:bidi="ar"/>
              </w:rPr>
              <w:t xml:space="preserve">mm</w:t>
            </w:r>
            <w:r>
              <w:rPr>
                <w:rFonts w:hint="eastAsia" w:ascii="宋体" w:hAnsi="宋体" w:cs="宋体"/>
                <w:sz w:val="18"/>
                <w:szCs w:val="18"/>
              </w:rPr>
              <w:t xml:space="preserve">*40</w:t>
            </w:r>
            <w:r>
              <w:rPr>
                <w:rFonts w:hint="eastAsia" w:ascii="宋体" w:hAnsi="宋体" w:cs="宋体"/>
                <w:sz w:val="18"/>
                <w:szCs w:val="18"/>
                <w:lang w:bidi="ar"/>
              </w:rPr>
              <w:t xml:space="preserve">mm</w:t>
            </w:r>
            <w:r>
              <w:rPr>
                <w:rFonts w:hint="eastAsia" w:ascii="宋体" w:hAnsi="宋体" w:cs="宋体"/>
                <w:sz w:val="18"/>
                <w:szCs w:val="18"/>
              </w:rPr>
              <w:t xml:space="preserve">*1.5mm，国标；4. 装饰基板：白色竹木纤维板，厚度8mm，覆膜材质，防火、防水、抗污染，环保无甲醛。要求符合GB 18580-2017 竹木纤维板甲醛释放量&lt;0.005mg/m³；</w:t>
            </w:r>
            <w:r/>
          </w:p>
          <w:p>
            <w:pPr>
              <w:rPr>
                <w:rFonts w:ascii="宋体" w:hAnsi="宋体" w:cs="宋体"/>
                <w:sz w:val="18"/>
                <w:szCs w:val="18"/>
              </w:rPr>
            </w:pPr>
            <w:r>
              <w:rPr>
                <w:rFonts w:hint="eastAsia" w:ascii="宋体" w:hAnsi="宋体" w:cs="宋体"/>
                <w:sz w:val="18"/>
                <w:szCs w:val="18"/>
              </w:rPr>
              <w:t xml:space="preserve">（六）屋面系统：</w:t>
            </w:r>
            <w:r/>
          </w:p>
          <w:p>
            <w:pPr>
              <w:rPr>
                <w:rFonts w:ascii="宋体" w:hAnsi="宋体" w:cs="宋体"/>
                <w:sz w:val="18"/>
                <w:szCs w:val="18"/>
              </w:rPr>
            </w:pPr>
            <w:r>
              <w:rPr>
                <w:rFonts w:hint="eastAsia" w:ascii="宋体" w:hAnsi="宋体" w:cs="宋体"/>
                <w:sz w:val="18"/>
                <w:szCs w:val="18"/>
              </w:rPr>
              <w:t xml:space="preserve">1. 屋面防水：镀锌钢板刚性防水层，屋面坡度2%，镀锌钢板，要求双面镀层重量不小于80g/m</w:t>
            </w:r>
            <w:r>
              <w:rPr>
                <w:rFonts w:hint="eastAsia" w:ascii="宋体" w:hAnsi="宋体" w:cs="宋体"/>
                <w:sz w:val="18"/>
                <w:szCs w:val="18"/>
                <w:vertAlign w:val="superscript"/>
              </w:rPr>
              <w:t xml:space="preserve">2</w:t>
            </w:r>
            <w:r>
              <w:rPr>
                <w:rFonts w:hint="eastAsia" w:ascii="宋体" w:hAnsi="宋体" w:cs="宋体"/>
                <w:sz w:val="18"/>
                <w:szCs w:val="18"/>
              </w:rPr>
              <w:t xml:space="preserve">，需提供产品质量证明书，保证防水；2. 屋面基板：黑色，承重基板厚度12mm，外设密封打胶，作为二道防水；3. 屋面保温：黄色，玻璃丝绵保温厚度100mm，导热系数≤0.043W/(m·K)；4. 钢檩条：镀锌矩形钢管50</w:t>
            </w:r>
            <w:r>
              <w:rPr>
                <w:rFonts w:hint="eastAsia" w:ascii="宋体" w:hAnsi="宋体" w:cs="宋体"/>
                <w:sz w:val="18"/>
                <w:szCs w:val="18"/>
                <w:lang w:bidi="ar"/>
              </w:rPr>
              <w:t xml:space="preserve">mm</w:t>
            </w:r>
            <w:r>
              <w:rPr>
                <w:rFonts w:hint="eastAsia" w:ascii="宋体" w:hAnsi="宋体" w:cs="宋体"/>
                <w:sz w:val="18"/>
                <w:szCs w:val="18"/>
              </w:rPr>
              <w:t xml:space="preserve">*50</w:t>
            </w:r>
            <w:r>
              <w:rPr>
                <w:rFonts w:hint="eastAsia" w:ascii="宋体" w:hAnsi="宋体" w:cs="宋体"/>
                <w:sz w:val="18"/>
                <w:szCs w:val="18"/>
                <w:lang w:bidi="ar"/>
              </w:rPr>
              <w:t xml:space="preserve">mm</w:t>
            </w:r>
            <w:r>
              <w:rPr>
                <w:rFonts w:hint="eastAsia" w:ascii="宋体" w:hAnsi="宋体" w:cs="宋体"/>
                <w:sz w:val="18"/>
                <w:szCs w:val="18"/>
              </w:rPr>
              <w:t xml:space="preserve">*1.2mm，国标；5. 钢梁：镀锌矩形钢管100</w:t>
            </w:r>
            <w:r>
              <w:rPr>
                <w:rFonts w:hint="eastAsia" w:ascii="宋体" w:hAnsi="宋体" w:cs="宋体"/>
                <w:sz w:val="18"/>
                <w:szCs w:val="18"/>
                <w:lang w:bidi="ar"/>
              </w:rPr>
              <w:t xml:space="preserve">mm</w:t>
            </w:r>
            <w:r>
              <w:rPr>
                <w:rFonts w:hint="eastAsia" w:ascii="宋体" w:hAnsi="宋体" w:cs="宋体"/>
                <w:sz w:val="18"/>
                <w:szCs w:val="18"/>
              </w:rPr>
              <w:t xml:space="preserve">*100</w:t>
            </w:r>
            <w:r>
              <w:rPr>
                <w:rFonts w:hint="eastAsia" w:ascii="宋体" w:hAnsi="宋体" w:cs="宋体"/>
                <w:sz w:val="18"/>
                <w:szCs w:val="18"/>
                <w:lang w:bidi="ar"/>
              </w:rPr>
              <w:t xml:space="preserve">mm</w:t>
            </w:r>
            <w:r>
              <w:rPr>
                <w:rFonts w:hint="eastAsia" w:ascii="宋体" w:hAnsi="宋体" w:cs="宋体"/>
                <w:sz w:val="18"/>
                <w:szCs w:val="18"/>
              </w:rPr>
              <w:t xml:space="preserve">*3.0mm、100*50*2.0mm国标；</w:t>
            </w:r>
            <w:r/>
          </w:p>
          <w:p>
            <w:pPr>
              <w:rPr>
                <w:rFonts w:ascii="宋体" w:hAnsi="宋体" w:cs="宋体"/>
                <w:sz w:val="18"/>
                <w:szCs w:val="18"/>
              </w:rPr>
            </w:pPr>
            <w:r>
              <w:rPr>
                <w:rFonts w:hint="eastAsia" w:ascii="宋体" w:hAnsi="宋体" w:cs="宋体"/>
                <w:sz w:val="18"/>
                <w:szCs w:val="18"/>
              </w:rPr>
              <w:t xml:space="preserve">6. 隔热空腔：屋顶采用架空保温体系，达到保温、隔音效果；7. 吊顶龙骨主要规格：镀锌矩形钢管50</w:t>
            </w:r>
            <w:r>
              <w:rPr>
                <w:rFonts w:hint="eastAsia" w:ascii="宋体" w:hAnsi="宋体" w:cs="宋体"/>
                <w:sz w:val="18"/>
                <w:szCs w:val="18"/>
                <w:lang w:bidi="ar"/>
              </w:rPr>
              <w:t xml:space="preserve">mm</w:t>
            </w:r>
            <w:r>
              <w:rPr>
                <w:rFonts w:hint="eastAsia" w:ascii="宋体" w:hAnsi="宋体" w:cs="宋体"/>
                <w:sz w:val="18"/>
                <w:szCs w:val="18"/>
              </w:rPr>
              <w:t xml:space="preserve">*30</w:t>
            </w:r>
            <w:r>
              <w:rPr>
                <w:rFonts w:hint="eastAsia" w:ascii="宋体" w:hAnsi="宋体" w:cs="宋体"/>
                <w:sz w:val="18"/>
                <w:szCs w:val="18"/>
                <w:lang w:bidi="ar"/>
              </w:rPr>
              <w:t xml:space="preserve">mm</w:t>
            </w:r>
            <w:r>
              <w:rPr>
                <w:rFonts w:hint="eastAsia" w:ascii="宋体" w:hAnsi="宋体" w:cs="宋体"/>
                <w:sz w:val="18"/>
                <w:szCs w:val="18"/>
              </w:rPr>
              <w:t xml:space="preserve">*1.5mm，国标；8. 室内吊顶：竹木纤维板，厚度8mm。</w:t>
            </w:r>
            <w:r/>
          </w:p>
          <w:p>
            <w:pPr>
              <w:rPr>
                <w:rFonts w:ascii="宋体" w:hAnsi="宋体" w:cs="宋体"/>
                <w:sz w:val="18"/>
                <w:szCs w:val="18"/>
              </w:rPr>
            </w:pPr>
            <w:r>
              <w:rPr>
                <w:rFonts w:hint="eastAsia" w:ascii="宋体" w:hAnsi="宋体" w:cs="宋体"/>
                <w:sz w:val="18"/>
                <w:szCs w:val="18"/>
              </w:rPr>
              <w:t xml:space="preserve">(七) 檐口造型：</w:t>
            </w:r>
            <w:r/>
          </w:p>
          <w:p>
            <w:pPr>
              <w:rPr>
                <w:rFonts w:ascii="宋体" w:hAnsi="宋体" w:cs="宋体"/>
                <w:sz w:val="18"/>
                <w:szCs w:val="18"/>
              </w:rPr>
            </w:pPr>
            <w:r>
              <w:rPr>
                <w:rFonts w:hint="eastAsia" w:ascii="宋体" w:hAnsi="宋体" w:cs="宋体"/>
                <w:sz w:val="18"/>
                <w:szCs w:val="18"/>
              </w:rPr>
              <w:t xml:space="preserve">1. 钢龙骨：镀锌矩形钢管50</w:t>
            </w:r>
            <w:r>
              <w:rPr>
                <w:rFonts w:hint="eastAsia" w:ascii="宋体" w:hAnsi="宋体" w:cs="宋体"/>
                <w:sz w:val="18"/>
                <w:szCs w:val="18"/>
                <w:lang w:bidi="ar"/>
              </w:rPr>
              <w:t xml:space="preserve">mm</w:t>
            </w:r>
            <w:r>
              <w:rPr>
                <w:rFonts w:hint="eastAsia" w:ascii="宋体" w:hAnsi="宋体" w:cs="宋体"/>
                <w:sz w:val="18"/>
                <w:szCs w:val="18"/>
              </w:rPr>
              <w:t xml:space="preserve">*50*</w:t>
            </w:r>
            <w:r>
              <w:rPr>
                <w:rFonts w:hint="eastAsia" w:ascii="宋体" w:hAnsi="宋体" w:cs="宋体"/>
                <w:sz w:val="18"/>
                <w:szCs w:val="18"/>
                <w:lang w:bidi="ar"/>
              </w:rPr>
              <w:t xml:space="preserve">mm</w:t>
            </w:r>
            <w:r>
              <w:rPr>
                <w:rFonts w:hint="eastAsia" w:ascii="宋体" w:hAnsi="宋体" w:cs="宋体"/>
                <w:sz w:val="18"/>
                <w:szCs w:val="18"/>
              </w:rPr>
              <w:t xml:space="preserve">1.5mm，国标；2. 帽檐：镀锌钢板喷漆，平均膜厚≥40um，最小局部膜厚≥34um，GB/T 4957-2003，中性盐雾试验（NSS，100h）GB/T 10125-2021。</w:t>
            </w:r>
            <w:r/>
          </w:p>
          <w:p>
            <w:pPr>
              <w:rPr>
                <w:rFonts w:ascii="宋体" w:hAnsi="宋体" w:cs="宋体"/>
                <w:sz w:val="18"/>
                <w:szCs w:val="18"/>
              </w:rPr>
            </w:pPr>
            <w:r>
              <w:rPr>
                <w:rFonts w:hint="eastAsia" w:ascii="宋体" w:hAnsi="宋体" w:cs="宋体"/>
                <w:sz w:val="18"/>
                <w:szCs w:val="18"/>
              </w:rPr>
              <w:t xml:space="preserve">(八)门窗系统：</w:t>
            </w:r>
            <w:r/>
          </w:p>
          <w:p>
            <w:pPr>
              <w:rPr>
                <w:rFonts w:ascii="宋体" w:hAnsi="宋体" w:cs="宋体"/>
                <w:sz w:val="18"/>
                <w:szCs w:val="18"/>
              </w:rPr>
            </w:pPr>
            <w:r>
              <w:rPr>
                <w:rFonts w:hint="eastAsia" w:ascii="宋体" w:hAnsi="宋体" w:cs="宋体"/>
                <w:sz w:val="18"/>
                <w:szCs w:val="18"/>
              </w:rPr>
              <w:t xml:space="preserve">1. 室内窗套：镀锌钢板，激光切割，折弯成型，颜色采用白色系，直口；2. 室内门：免漆木门（含门套），颜色白色，配锁具；3. 开启窗：断桥铝上悬窗(含纱窗)，要求符合GB/T8478-2008《铝合金门窗》；4. 幕墙窗：幕墙玻璃，双层钢化中空镀膜，阳光控制镀膜玻璃，要求厚度≥5mm，要求检测项目符合GB/T18915.1-2013《镀膜玻璃 第1部分：阳光控制镀膜玻璃》；</w:t>
            </w:r>
            <w:r/>
          </w:p>
          <w:p>
            <w:pPr>
              <w:rPr>
                <w:rFonts w:ascii="宋体" w:hAnsi="宋体" w:cs="宋体"/>
                <w:sz w:val="18"/>
                <w:szCs w:val="18"/>
              </w:rPr>
            </w:pPr>
            <w:r>
              <w:rPr>
                <w:rFonts w:hint="eastAsia" w:ascii="宋体" w:hAnsi="宋体" w:cs="宋体"/>
                <w:sz w:val="18"/>
                <w:szCs w:val="18"/>
              </w:rPr>
              <w:t xml:space="preserve">5. 室外门：肯德基对开门，钢化中空镀膜玻璃，玻璃规格：5+9A+5(不含下门槛)。</w:t>
            </w:r>
            <w:r/>
          </w:p>
          <w:p>
            <w:pPr>
              <w:rPr>
                <w:rFonts w:ascii="宋体" w:hAnsi="宋体" w:cs="宋体"/>
                <w:sz w:val="18"/>
                <w:szCs w:val="18"/>
              </w:rPr>
            </w:pPr>
            <w:r>
              <w:rPr>
                <w:rFonts w:hint="eastAsia" w:ascii="宋体" w:hAnsi="宋体" w:cs="宋体"/>
                <w:sz w:val="18"/>
                <w:szCs w:val="18"/>
              </w:rPr>
              <w:t xml:space="preserve">(九) 电力系统：</w:t>
            </w:r>
            <w:r/>
          </w:p>
          <w:p>
            <w:pPr>
              <w:rPr>
                <w:rFonts w:ascii="宋体" w:hAnsi="宋体" w:cs="宋体"/>
                <w:sz w:val="18"/>
                <w:szCs w:val="18"/>
              </w:rPr>
            </w:pPr>
            <w:r>
              <w:rPr>
                <w:rFonts w:hint="eastAsia" w:ascii="宋体" w:hAnsi="宋体" w:cs="宋体"/>
                <w:sz w:val="18"/>
                <w:szCs w:val="18"/>
              </w:rPr>
              <w:t xml:space="preserve">1. 配电系统：1.1配电箱、暗装、高位、含地线排；1.2总开：空气开关，漏电保护器，断路器总闸2P63A；1.3分开：空气开关，过载保护开关系统1P16A/1P10A；</w:t>
            </w:r>
            <w:r/>
          </w:p>
          <w:p>
            <w:pPr>
              <w:rPr>
                <w:rFonts w:ascii="宋体" w:hAnsi="宋体" w:cs="宋体"/>
                <w:sz w:val="18"/>
                <w:szCs w:val="18"/>
              </w:rPr>
            </w:pPr>
            <w:r>
              <w:rPr>
                <w:rFonts w:hint="eastAsia" w:ascii="宋体" w:hAnsi="宋体" w:cs="宋体"/>
                <w:sz w:val="18"/>
                <w:szCs w:val="18"/>
              </w:rPr>
              <w:t xml:space="preserve">2. 电力电缆：</w:t>
            </w:r>
            <w:r/>
          </w:p>
          <w:p>
            <w:pPr>
              <w:rPr>
                <w:rFonts w:ascii="宋体" w:hAnsi="宋体" w:cs="宋体"/>
                <w:sz w:val="18"/>
                <w:szCs w:val="18"/>
              </w:rPr>
            </w:pPr>
            <w:r>
              <w:rPr>
                <w:rFonts w:hint="eastAsia" w:ascii="宋体" w:hAnsi="宋体" w:cs="宋体"/>
                <w:sz w:val="18"/>
                <w:szCs w:val="18"/>
              </w:rPr>
              <w:t xml:space="preserve">2.1 电缆，塑铜线1.5mm，主要用于灯具；2.2 电缆，塑铜线2.5mm，主要用于五孔插座；2.3 电缆，塑铜线4.0mm，主要用于空调插座及大功率设备。</w:t>
            </w:r>
            <w:r/>
          </w:p>
          <w:p>
            <w:pPr>
              <w:rPr>
                <w:rFonts w:ascii="宋体" w:hAnsi="宋体" w:cs="宋体"/>
                <w:sz w:val="18"/>
                <w:szCs w:val="18"/>
              </w:rPr>
            </w:pPr>
            <w:r>
              <w:rPr>
                <w:rFonts w:hint="eastAsia" w:ascii="宋体" w:hAnsi="宋体" w:cs="宋体"/>
                <w:sz w:val="18"/>
                <w:szCs w:val="18"/>
              </w:rPr>
              <w:t xml:space="preserve">3. 插座电源</w:t>
            </w:r>
            <w:r/>
          </w:p>
          <w:p>
            <w:pPr>
              <w:rPr>
                <w:rFonts w:ascii="宋体" w:hAnsi="宋体" w:cs="宋体"/>
                <w:sz w:val="18"/>
                <w:szCs w:val="18"/>
              </w:rPr>
            </w:pPr>
            <w:r>
              <w:rPr>
                <w:rFonts w:hint="eastAsia" w:ascii="宋体" w:hAnsi="宋体" w:cs="宋体"/>
                <w:sz w:val="18"/>
                <w:szCs w:val="18"/>
              </w:rPr>
              <w:t xml:space="preserve">3.1 空调插座，86盒暗装；3.2五孔插座，86盒暗装；3.3预留设备等线路。</w:t>
            </w:r>
            <w:r/>
          </w:p>
          <w:p>
            <w:pPr>
              <w:rPr>
                <w:rFonts w:ascii="宋体" w:hAnsi="宋体" w:cs="宋体"/>
                <w:sz w:val="18"/>
                <w:szCs w:val="18"/>
              </w:rPr>
            </w:pPr>
            <w:r>
              <w:rPr>
                <w:rFonts w:hint="eastAsia" w:ascii="宋体" w:hAnsi="宋体" w:cs="宋体"/>
                <w:sz w:val="18"/>
                <w:szCs w:val="18"/>
              </w:rPr>
              <w:t xml:space="preserve">4. 电源开关：单联单控，86盒暗装；</w:t>
            </w:r>
            <w:r/>
          </w:p>
          <w:p>
            <w:pPr>
              <w:rPr>
                <w:rFonts w:ascii="宋体" w:hAnsi="宋体" w:cs="宋体"/>
                <w:sz w:val="18"/>
                <w:szCs w:val="18"/>
              </w:rPr>
            </w:pPr>
            <w:r>
              <w:rPr>
                <w:rFonts w:hint="eastAsia" w:ascii="宋体" w:hAnsi="宋体" w:cs="宋体"/>
                <w:sz w:val="18"/>
                <w:szCs w:val="18"/>
              </w:rPr>
              <w:t xml:space="preserve">5. 室内灯具：LED平板灯；</w:t>
            </w:r>
            <w:r/>
          </w:p>
          <w:p>
            <w:pPr>
              <w:rPr>
                <w:rFonts w:ascii="宋体" w:hAnsi="宋体" w:cs="宋体"/>
                <w:sz w:val="18"/>
                <w:szCs w:val="18"/>
              </w:rPr>
            </w:pPr>
            <w:r>
              <w:rPr>
                <w:rFonts w:hint="eastAsia" w:ascii="宋体" w:hAnsi="宋体" w:cs="宋体"/>
                <w:sz w:val="18"/>
                <w:szCs w:val="18"/>
              </w:rPr>
              <w:t xml:space="preserve">6. 弱电设备：感应供电及信号电系统；</w:t>
            </w:r>
            <w:r/>
          </w:p>
          <w:p>
            <w:pPr>
              <w:rPr>
                <w:rFonts w:ascii="宋体" w:hAnsi="宋体" w:cs="宋体"/>
                <w:sz w:val="18"/>
                <w:szCs w:val="18"/>
              </w:rPr>
            </w:pPr>
            <w:r>
              <w:rPr>
                <w:rFonts w:hint="eastAsia" w:ascii="宋体" w:hAnsi="宋体" w:cs="宋体"/>
                <w:sz w:val="18"/>
                <w:szCs w:val="18"/>
              </w:rPr>
              <w:t xml:space="preserve">7. 装饰：铝制警徽及广告字，要求警徽表面不能出现钢钉、穿钉，且固定牢固；广告字按照要求进行字样定制，帽檐字样“公安交警”、外墙体字样“滨海县警保联动交通安全劝导站”；</w:t>
            </w:r>
            <w:r/>
          </w:p>
          <w:p>
            <w:pPr>
              <w:rPr>
                <w:rFonts w:ascii="宋体" w:hAnsi="宋体" w:cs="宋体"/>
                <w:sz w:val="18"/>
                <w:szCs w:val="18"/>
              </w:rPr>
            </w:pPr>
            <w:r>
              <w:rPr>
                <w:rFonts w:hint="eastAsia" w:ascii="宋体" w:hAnsi="宋体" w:cs="宋体"/>
                <w:sz w:val="18"/>
                <w:szCs w:val="18"/>
              </w:rPr>
              <w:t xml:space="preserve">8. 爆闪灯：室外红蓝爆闪灯(帽檐四角)，要求单侧爆闪灯单独配置开关；</w:t>
            </w:r>
            <w:r/>
          </w:p>
          <w:p>
            <w:pPr>
              <w:jc w:val="left"/>
              <w:widowControl/>
              <w:rPr>
                <w:rFonts w:ascii="宋体" w:hAnsi="宋体" w:cs="宋体"/>
                <w:sz w:val="18"/>
                <w:szCs w:val="18"/>
                <w:lang w:bidi="ar"/>
              </w:rPr>
            </w:pPr>
            <w:r>
              <w:rPr>
                <w:rFonts w:hint="eastAsia" w:ascii="宋体" w:hAnsi="宋体" w:cs="宋体"/>
                <w:sz w:val="18"/>
                <w:szCs w:val="18"/>
              </w:rPr>
              <w:t xml:space="preserve">9. LED单显屏，P10，220黑底红字，规格需定制，开关电源负荷：5V/40A；高电8000cd/m</w:t>
            </w:r>
            <w:r>
              <w:rPr>
                <w:rFonts w:hint="eastAsia" w:ascii="宋体" w:hAnsi="宋体" w:cs="宋体"/>
                <w:sz w:val="18"/>
                <w:szCs w:val="18"/>
                <w:vertAlign w:val="superscript"/>
              </w:rPr>
              <w:t xml:space="preserve">2</w:t>
            </w:r>
            <w:r>
              <w:rPr>
                <w:rFonts w:hint="eastAsia" w:ascii="宋体" w:hAnsi="宋体" w:cs="宋体"/>
                <w:sz w:val="18"/>
                <w:szCs w:val="1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220"/>
              <w:jc w:val="left"/>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116.05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平整场地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土壤类别：综合；2. 弃土运距：投标单位自行考虑，综合考虑在单价中结算时不做调整。</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60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土壤类别：一、二类土。</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60</w:t>
            </w:r>
            <w:r/>
          </w:p>
        </w:tc>
      </w:tr>
      <w:tr>
        <w:trPr>
          <w:trHeight w:val="28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回填方</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密实度要求：满足设计与规范要求；2. 填方材料品种：原土。</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60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垫层</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垫层材料种类、配合比、厚度：碎砖垫层。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60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水泥混凝土</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混凝土强度等级：150厚C30混凝土(每隔5m留设5mm宽伸缩缝，缝内灌沥青)。</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335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现浇构件钢筋</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钢筋种类、规格：HRB400 12内。</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吨</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2.976</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lang w:bidi="ar"/>
              </w:rPr>
              <w:t xml:space="preserve">2、安装部分</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空调器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正2.5匹壁挂安装、支持变频，冷暖、支持电加热，智能自清，能耗1级。</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电脑</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品牌机，CPU主频：≥2.8GHz，核心数量：≥四核心，线程数：≥八线程，8G内存/512G及以上SSD，23英寸LED显示器，预装专用系统和电视机播放控制软件。</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20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打印机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A4，激光打印机，每分钟打印18张以上，单纸盒，配A4打印纸1包。</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全彩监控摄像头</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室外2个、室内1个，由业主根据需要确定位置；2. 主码流可达到2688*1520@25fps；3. 最低照度彩色0.005lx，黑白0.0005lx；4. 内置GPU芯片，麦克风，扬声器；5. 支持白光补光、红外补光，开启白光灯进行补光时，可输出彩色视频图像；6. 同一静止场景相同图像质量下，设备在H.264或H.</w:t>
            </w:r>
            <w:r>
              <w:rPr>
                <w:rFonts w:hint="eastAsia" w:ascii="宋体" w:hAnsi="宋体" w:cs="宋体"/>
                <w:sz w:val="18"/>
                <w:szCs w:val="18"/>
                <w:lang w:bidi="ar"/>
              </w:rPr>
              <w:t xml:space="preserve">265编码方式时，开启智能编码功能和不开启智能编码相比，码率节约80%；支持智能报警防干扰功能，智能分析行为类型为区域入侵、越界入侵、进入区域、离开区域时，报警检测目标设置为人体或车辆时，光线明暗变化、篮球滚动、狗行走、树摇晃不触发报警；7. 支持不小于4倍光学变焦，变焦过程中不会完全虚焦，支持声音报警功能，报警声音类型不低于12种，并支持导入自定义语音，报警音量和重复次数可设置；8. 可对出现在监控场景内的两眼瞳距不小于19像素的人脸进行检验，并叠加目标提示框。可对检测区域内不低于10个行人进行检测、框选</w:t>
            </w:r>
            <w:r>
              <w:rPr>
                <w:rFonts w:hint="eastAsia" w:ascii="宋体" w:hAnsi="宋体" w:cs="宋体"/>
                <w:sz w:val="18"/>
                <w:szCs w:val="18"/>
                <w:lang w:bidi="ar"/>
              </w:rPr>
              <w:t xml:space="preserve">跟踪，、抓拍，可筛选和抓拍最佳人脸图片存储及上报中心，抓拍数量及图片大小可设，可上传全景照；9. 支持像素显示功能，可通过IE浏览器显示监视画面中鼠标所选区域水平及垂直方向的像素数；10. 支持快捷配置功能，可在预览画面页开启/关闭“快捷配置”页面，支持配置场景参数、常用图像参数、OSD配置、音视频参数、智能资源分配模式等，并支持恢复默认操作；11. 支持1路报警输入，1路报警输出，1路音频输入，1路音频输出，1个SD卡槽，1个DC12V电压输出接口，支持DC12V或POE供电；12. 防护等级：IP67。</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电视机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不小于50寸，金属全面屏智能平板电视机、支持通电开机功能，支持4K，支持HDR功能 4核2G+32G，支持双频WIFI，支持蓝牙，挂壁或置于工作柜台面，专用数据线预布至电脑桌台处。</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14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lang w:bidi="ar"/>
              </w:rPr>
            </w:pPr>
            <w:r>
              <w:rPr>
                <w:rFonts w:hint="eastAsia" w:ascii="宋体" w:hAnsi="宋体" w:cs="宋体"/>
                <w:sz w:val="18"/>
                <w:szCs w:val="18"/>
                <w:lang w:bidi="ar"/>
              </w:rPr>
              <w:t xml:space="preserve">国产，9U（500mm*600mm*450mm）网络机柜。</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13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会议桌凳</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国产，MFC人造板材质；尺寸约2m*1m*0.7m，每套包含6个凳子（椅子）。</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钢化玻璃双开门柜式，防干烧，304不锈钢内胆，制热550W，按键式出水。</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文件柜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lang w:bidi="ar"/>
              </w:rPr>
            </w:pPr>
            <w:r>
              <w:rPr>
                <w:rFonts w:hint="eastAsia" w:ascii="宋体" w:hAnsi="宋体" w:cs="宋体"/>
                <w:sz w:val="18"/>
                <w:szCs w:val="18"/>
                <w:lang w:bidi="ar"/>
              </w:rPr>
              <w:t xml:space="preserve">定制，铁皮材质、立式、喷塑，尺寸约0.8m*0.4m*2.2m，上层为玻璃门。</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标识、标牌</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定制（符合公安部门标准和要求，包含劝导站内部广告宣传标语、宣传标牌等各类设施；实施标识系统本体的各种金属型材、部件，连同内部型钢骨架，满足国家相关设计要求，保证强度；收口处应作防水处理标识系统必须保证安装牢固，拆装方便）。</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普通音响</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采用超低失真BTL放大电路，数码卡拉OK兼高低音独立调节，支持U盘MP3格式音频解码，独特声学外观设计，同时兼容DVD/VCD/PC等音源，兼容</w:t>
            </w:r>
            <w:r>
              <w:rPr>
                <w:rFonts w:hint="eastAsia" w:ascii="宋体" w:hAnsi="宋体" w:cs="宋体"/>
                <w:sz w:val="18"/>
                <w:szCs w:val="18"/>
                <w:lang w:bidi="ar"/>
              </w:rPr>
              <w:t xml:space="preserve">交流电源工作同时进行充电，专业级高低音增益控制电路，内置电池适用户外活动，内置专业级无线话筒系统，采用专业级高效扬；2. 声单元，智能电源切换及充电电路；3. 方便携带移动外观造型，最大功率：120W；4. 频率：50Hz一20kHz；5. 电池规格：DC 7.4V/2200MAH；6. 电池工作时长：8小时60%VOL；7. 高音：压电高音；8. 低音：12''*1；支持手机蓝牙；9. 支持USB、TF卡扩展；10. 支持AUX接口；11. 电源：AC 220V/50Hz；12. 不用时宜摆放于工作柜内。</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220V市电接入，含供电开户费用、电力接入线缆管道施工及敷设费用、电力线缆架空施工费用等。</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153"/>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5年运营商光纤链路租赁，符合公安网要求的裸纤。</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499"/>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lang w:bidi="ar"/>
              </w:rPr>
              <w:t xml:space="preserve">三、交通指挥中心</w:t>
            </w:r>
            <w:r/>
          </w:p>
        </w:tc>
      </w:tr>
      <w:tr>
        <w:trPr>
          <w:trHeight w:val="499"/>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1、大屏显示系统</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室内全彩屏</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lang w:bidi="ar"/>
              </w:rPr>
            </w:pPr>
            <w:r>
              <w:rPr>
                <w:rFonts w:hint="eastAsia" w:ascii="宋体" w:hAnsi="宋体" w:cs="宋体"/>
                <w:color w:val="ff0000"/>
                <w:sz w:val="18"/>
                <w:szCs w:val="18"/>
                <w:lang w:bidi="ar"/>
              </w:rPr>
              <w:t xml:space="preserve">★</w:t>
            </w:r>
            <w:r>
              <w:rPr>
                <w:rFonts w:hint="eastAsia" w:ascii="宋体" w:hAnsi="宋体" w:cs="宋体"/>
                <w:sz w:val="18"/>
                <w:szCs w:val="18"/>
                <w:lang w:bidi="ar"/>
              </w:rPr>
              <w:t xml:space="preserve">1. 自动GAMMA校正技术，通过构造非线性校正曲线和色坐标系数矩阵实现了显示效果的不断改善，如色彩还原性、色温调节范围、亮度均匀性、色度均匀性、刷新率、换帧频率等；采用多层PCB设计，一体化驱动控制，PCB表面沉金处理，采用抗消隐设计，无“毛毛虫”“鬼影”跟随现象；蓝光测试：光辐射通过蓝光视网膜等级检测，符合肉眼观看标准；对皮肤表面及眼睛角膜和视网膜无直接伤害；红绿蓝三色的宽波段光源对皮肤及人眼直接观看无伤害，无紫外危害（</w:t>
            </w:r>
            <w:r>
              <w:rPr>
                <w:rFonts w:hint="eastAsia" w:ascii="宋体" w:hAnsi="宋体" w:cs="宋体"/>
                <w:color w:val="ff0000"/>
                <w:sz w:val="18"/>
                <w:szCs w:val="18"/>
                <w:lang w:bidi="ar"/>
              </w:rPr>
              <w:t xml:space="preserve">投标时提供有效期内符合要求的CMA或CAL或ilac-MRA标识的第三方有资质的机构出具的检测报</w:t>
            </w:r>
            <w:r>
              <w:rPr>
                <w:rFonts w:hint="eastAsia" w:ascii="宋体" w:hAnsi="宋体" w:cs="宋体"/>
                <w:color w:val="ff0000"/>
                <w:sz w:val="18"/>
                <w:szCs w:val="18"/>
              </w:rPr>
              <w:t xml:space="preserve">告并加盖制造商原厂公章的扫</w:t>
            </w:r>
            <w:r>
              <w:rPr>
                <w:rFonts w:hint="eastAsia" w:ascii="宋体" w:hAnsi="宋体" w:cs="宋体"/>
                <w:color w:val="ff0000"/>
                <w:sz w:val="18"/>
                <w:szCs w:val="18"/>
                <w:lang w:bidi="ar"/>
              </w:rPr>
              <w:t xml:space="preserve">描件</w:t>
            </w:r>
            <w:r>
              <w:rPr>
                <w:rFonts w:hint="eastAsia" w:ascii="宋体" w:hAnsi="宋体" w:cs="宋体"/>
                <w:sz w:val="18"/>
                <w:szCs w:val="18"/>
                <w:lang w:bidi="ar"/>
              </w:rPr>
              <w:t xml:space="preserve">）；</w:t>
            </w:r>
            <w:r/>
          </w:p>
          <w:p>
            <w:pPr>
              <w:widowControl/>
              <w:rPr>
                <w:rFonts w:ascii="宋体" w:hAnsi="宋体" w:cs="宋体"/>
                <w:sz w:val="18"/>
                <w:szCs w:val="18"/>
                <w:lang w:bidi="ar"/>
              </w:rPr>
            </w:pPr>
            <w:r>
              <w:rPr>
                <w:rFonts w:hint="eastAsia" w:ascii="宋体" w:hAnsi="宋体" w:cs="宋体"/>
                <w:sz w:val="18"/>
                <w:szCs w:val="18"/>
                <w:lang w:bidi="ar"/>
              </w:rPr>
              <w:t xml:space="preserve">2. 像素点间距≤1.25mm，像素密度（点/㎡）≤640000，单元分辨率：512*384，单元尺寸（mm）640*480；3. 刷新率：≥3840Hz；换帧频率：50&amp;60HZ；4. 维护方式：电源、模组、接收卡，HUB卡全前维护，支持热插拔；5. 显示屏亮度：600-800nits：支持通过配套软件0-100%无级调节；6. 一体式箱体：箱体为压铸铝或镁铝合金材质，箱体背板为一次性整体压铸成型，背板和后盖均为压铸铝或镁铝合金材质，全金属自然散热结构，静音无风扇；7. 最大对比度：≥10000：1；</w:t>
            </w:r>
            <w:r/>
          </w:p>
          <w:p>
            <w:pPr>
              <w:widowControl/>
              <w:rPr>
                <w:rFonts w:ascii="宋体" w:hAnsi="宋体" w:cs="宋体"/>
                <w:sz w:val="18"/>
                <w:szCs w:val="18"/>
              </w:rPr>
            </w:pPr>
            <w:r>
              <w:rPr>
                <w:rFonts w:hint="eastAsia" w:ascii="宋体" w:hAnsi="宋体" w:cs="宋体"/>
                <w:sz w:val="18"/>
                <w:szCs w:val="18"/>
                <w:lang w:bidi="ar"/>
              </w:rPr>
              <w:t xml:space="preserve">8. 箱体平整度(mm)：≦0.1 箱体间缝隙(mm)：≦0.1；9. 像素失控率：≤0.000001，无常亮点；10. 亮度均匀性：≥98%；色域覆盖率：≥120%</w:t>
            </w:r>
            <w:r>
              <w:rPr>
                <w:rFonts w:hint="eastAsia" w:ascii="宋体" w:hAnsi="宋体" w:cs="宋体"/>
                <w:sz w:val="18"/>
                <w:szCs w:val="18"/>
                <w:lang w:bidi="ar"/>
              </w:rPr>
              <w:t xml:space="preserve">；11. 可视视角：水平视角≥170°，垂直视角≥170°；12. 驱动方式：恒流驱动；显示屏色度均匀性：偏差在±0.003Cx，Cy之内；13. 功耗（W/㎡）：峰值功耗：600、平均功耗：200；14. 像素中心距偏差：&lt;3%；15. 色温：2000K-10000K可调；调节步长100K；16. 低灰高亮：100%亮度时，16bit灰度；70%亮度时，16bit灰度；50%亮度时，16bit灰度；20%亮度时，15bit灰度；17. 屏体安装结构：前、后安装，完全前维护，无螺钉安装，贴墙安装；18. 供</w:t>
            </w:r>
            <w:r>
              <w:rPr>
                <w:rFonts w:hint="eastAsia" w:ascii="宋体" w:hAnsi="宋体" w:cs="宋体"/>
                <w:sz w:val="18"/>
                <w:szCs w:val="18"/>
                <w:lang w:bidi="ar"/>
              </w:rPr>
              <w:t xml:space="preserve">电方式：模组采用4.5-5.0VDC供电，搭配定制3C电源，具备PFC电源；19. 显示效果无失真：LED显示屏正常工作时显示画面无几何失真和非线性失真；20. 系统和电源双备份：信号环路备份，双路开关电源备份；21. 故障智能自诊断及排查：具备故障自诊断及排查功能；22. PFC电源：电源采用110-220V宽电压，适应电网电压更广，电源功率因数≥0.95，转换效率88%；23. 色度校正：支持多bin色度校正，校正数据存储在模组里采用色彩管理系统，在LED控制系统对视频解码后，添加二次过滤显示算法，对显</w:t>
            </w:r>
            <w:r>
              <w:rPr>
                <w:rFonts w:hint="eastAsia" w:ascii="宋体" w:hAnsi="宋体" w:cs="宋体"/>
                <w:sz w:val="18"/>
                <w:szCs w:val="18"/>
                <w:lang w:bidi="ar"/>
              </w:rPr>
              <w:t xml:space="preserve">示屏每一个发光二极管进行逐点14位颜色校正；24. 工作状态监测功能：具有监控LED显示屏工作状态、温度，具有故障报警功能；具有工作电压、接收卡等工作状态监控功能；25. 视觉舒适度：人眼视觉健康舒适度VICO指数达到1级(CSA0352-2017LED昭明产品视觉健康舒适度测试第2部分：测试方法-基于人眼生理功能的测试方法及技术要求)；26. 阻燃测试：PCB阻燃等级达到UL94V-0级；27. 振动测试：振动方式：正弦振动振动频率：10Hz-55Hz-10Hz；振动幅度：035mm扫频速率：1oct/m</w:t>
            </w:r>
            <w:r>
              <w:rPr>
                <w:rFonts w:hint="eastAsia" w:ascii="宋体" w:hAnsi="宋体" w:cs="宋体"/>
                <w:sz w:val="18"/>
                <w:szCs w:val="18"/>
                <w:lang w:bidi="ar"/>
              </w:rPr>
              <w:t xml:space="preserve">in每个方向各扫描5次，共3个方向；判定标准：试验后主机外观和结构不应有明显损坏和异常现象，重新一日性能应正常；28. 拼装结构及抗风安全性能：LED显示屏拼装结构采用环保型铝型材框架安装其框架材料经过严格环保、无毒测试符合国家&lt;GB/T26572-2011&gt;标准限量要求：LED显示屏满足抗风荷载试验各项参数正常使用的安全要求。抗拉力：15KN；29. 寿命典型值&gt;100000小时；30. 箱体强度：拉伸强度300Mpa，硬度80HB；31. 隐藏式布线：箱体支持隐藏式布线，整屏安装后箱体背面看不到线材。 </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LED控制系统</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4K*2K的独立主控，单台设备最大带载为3840*2160@60Hz，可自定义分辨率，最宽可达7680，最高可达7680；2. 支持发送卡模式和光电转换模式相互切换；3. 配合3D发射器EMT200和3D眼镜，实现3D显示效果；4. 输入接口包括1路DP1.2，</w:t>
            </w:r>
            <w:r>
              <w:rPr>
                <w:rFonts w:hint="eastAsia" w:ascii="宋体" w:hAnsi="宋体" w:cs="宋体"/>
                <w:sz w:val="18"/>
                <w:szCs w:val="18"/>
                <w:lang w:bidi="ar"/>
              </w:rPr>
              <w:t xml:space="preserve">4路DVI；5. 支持16路千兆网口输出和4路光纤输出；6. 单台最大带载3840*2160@60Hz；7. 支持视频源位深8bit/10bit/12bit；8. 支持发送卡模式和光电转换模式相互切换；9. 支持3D功能；10. 支持超大分辨率设置，最高支持7680*1080@60Hz；11. 采用创新型架构，实现智能配置，极大缩短舞台准备时间；12. 支持新一代逐点亮色度校正技术，校正过程快速高效。根据显示屏所用LED的不同特性，实现白平衡校准及色域匹配，确保色彩真实还原；13. 可级联多台进行统一控制。</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视频拼接器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lang w:bidi="ar"/>
              </w:rPr>
            </w:pPr>
            <w:r>
              <w:rPr>
                <w:rFonts w:hint="eastAsia" w:ascii="宋体" w:hAnsi="宋体" w:cs="宋体"/>
                <w:sz w:val="18"/>
                <w:szCs w:val="18"/>
                <w:lang w:bidi="ar"/>
              </w:rPr>
              <w:t xml:space="preserve">1. 纯硬件设计架构，19英寸标准机架式安装，金属结构机箱；2. 整机规模支持输入不少于28路接口，输出不少于16路接口，输入接口支持单链路和双链路输入模式切换；3. 输出板卡支持不少于8个图层，支持图层在输出接口间漫游，可进行图层参数设置；4. 支持双主控卡热备份</w:t>
            </w:r>
            <w:r>
              <w:rPr>
                <w:rFonts w:hint="eastAsia" w:ascii="宋体" w:hAnsi="宋体" w:cs="宋体"/>
                <w:sz w:val="18"/>
                <w:szCs w:val="18"/>
                <w:lang w:bidi="ar"/>
              </w:rPr>
              <w:t xml:space="preserve">，主备卡实时同步设备固件程序和用户数据，主卡掉线的情况下，备卡自动接管设备；5. 支持对输入图像画面添加台标，可调整台标文字背景、位置；支持OSD文字叠加显示，并可对OSD属性进行调节，包括但不限于字体间距、颜色、透明度等；6. 支持不少于2000个用户场景，支持多场景分组合、场景一键轮巡等；7. 为了提升设备的故障排查效率，可监测设备温度、电压、风扇在线状态，可监测板卡信号状态，输入源信号丢失时，可上报预警提示信息；8. 可通过移动终端进行无线控制，实现图层编辑、信号更换，场景保存／调取、画面控制等操作；</w:t>
            </w:r>
            <w:r/>
          </w:p>
          <w:p>
            <w:pPr>
              <w:widowControl/>
              <w:rPr>
                <w:rFonts w:ascii="宋体" w:hAnsi="宋体" w:cs="宋体"/>
                <w:sz w:val="18"/>
                <w:szCs w:val="18"/>
              </w:rPr>
            </w:pPr>
            <w:r>
              <w:rPr>
                <w:rFonts w:hint="eastAsia" w:ascii="宋体" w:hAnsi="宋体" w:cs="宋体"/>
                <w:sz w:val="18"/>
                <w:szCs w:val="18"/>
                <w:lang w:bidi="ar"/>
              </w:rPr>
              <w:t xml:space="preserve">9.</w:t>
            </w:r>
            <w:r>
              <w:rPr>
                <w:rFonts w:hint="eastAsia" w:ascii="宋体" w:hAnsi="宋体" w:cs="宋体"/>
                <w:sz w:val="18"/>
                <w:szCs w:val="18"/>
                <w:lang w:bidi="ar"/>
              </w:rPr>
              <w:t xml:space="preserve"> 支持用户权限分级管理和设置，超级管理员用户可分配用户使用权限，支持多用户同时在线编辑、控制、上屏操作，可预览其他用户操作；10. 系统支持实时上屏和预编上屏两种模式，实时上屏模式可实现用户编辑实时上屏显示；预编上屏模式支持在软件端进行显示内容预编辑后，再上屏显示；11. 支持输入源画面任意截取，并可对截取的画面开窗调用，并可作为一个新的输入源，不影响原输入源的使用；12. 系统需具备良好的兼容性，拼接器配置软件至少需支持windows、麟麟、IOS、Android、Linux等操作系统访问设备及交互操作。</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15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接收卡</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大屏配套接收卡</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96</w:t>
            </w:r>
            <w:r/>
          </w:p>
        </w:tc>
      </w:tr>
      <w:tr>
        <w:trPr>
          <w:trHeight w:val="20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箱体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采用铝合金箱体，原厂标配。</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智能配电柜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1. </w:t>
            </w:r>
            <w:r>
              <w:rPr>
                <w:rFonts w:hint="eastAsia" w:ascii="宋体" w:hAnsi="宋体" w:cs="宋体"/>
                <w:sz w:val="18"/>
                <w:szCs w:val="18"/>
                <w:lang w:bidi="ar"/>
              </w:rPr>
              <w:t xml:space="preserve">智能配电箱，远程控制、定时开关机、延时分路启动、分相分级上电、过流过压保护等</w:t>
            </w:r>
            <w:r>
              <w:rPr>
                <w:rFonts w:hint="eastAsia" w:ascii="宋体" w:hAnsi="宋体" w:cs="宋体"/>
                <w:sz w:val="18"/>
                <w:szCs w:val="18"/>
              </w:rPr>
              <w:t xml:space="preserve">；</w:t>
            </w:r>
            <w:r>
              <w:rPr>
                <w:rFonts w:hint="eastAsia" w:ascii="宋体" w:hAnsi="宋体" w:cs="宋体"/>
                <w:sz w:val="18"/>
                <w:szCs w:val="18"/>
                <w:lang w:bidi="ar"/>
              </w:rPr>
              <w:t xml:space="preserve">2. 实现对LED显示屏的远程有线控制上电，实现定时开关屏体，具有“分步延时起动”、“分步延时断电”的功能同时，屏体采用“分步加电”的上电方式，既要避免大负载对电网瞬间的冲击，又要有效地保护显示屏体的工作组件，延长屏体的使用寿命。 </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钢结构</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钢架主要材料：40*40/40*20</w:t>
            </w:r>
            <w:r>
              <w:rPr>
                <w:rFonts w:hint="eastAsia" w:ascii="宋体" w:hAnsi="宋体" w:cs="宋体"/>
                <w:sz w:val="18"/>
                <w:szCs w:val="18"/>
              </w:rPr>
              <w:t xml:space="preserve">；</w:t>
            </w:r>
            <w:r>
              <w:rPr>
                <w:rFonts w:hint="eastAsia" w:ascii="宋体" w:hAnsi="宋体" w:cs="宋体"/>
                <w:sz w:val="18"/>
                <w:szCs w:val="18"/>
                <w:lang w:bidi="ar"/>
              </w:rPr>
              <w:t xml:space="preserve">2. 焊接方式：镀锌方通焊接；3. 材料国标Q235B材料，结构表面喷涂防锈涂料；4. 装饰边：304不锈钢。</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备品</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模组8张，电源2台，接收卡2张</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承重柱显示屏</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50寸全新超窄前框、近三等边，采用塑胶材质，黑色面框、黑色塑胶后壳设计；2. 4K/UHD高清显示，画面细腻，精准显示任意细节，带来逼真显示效果；3. 采用功能具备Hi3751V560四核CPU A55 1.2GHz GPU Multi-Core Mali-G52：2G/8G DDR/ROM</w:t>
            </w:r>
            <w:r>
              <w:rPr>
                <w:rFonts w:hint="eastAsia" w:ascii="宋体" w:hAnsi="宋体" w:cs="宋体"/>
                <w:sz w:val="18"/>
                <w:szCs w:val="18"/>
              </w:rPr>
              <w:t xml:space="preserve">；</w:t>
            </w:r>
            <w:r>
              <w:rPr>
                <w:rFonts w:hint="eastAsia" w:ascii="宋体" w:hAnsi="宋体" w:cs="宋体"/>
                <w:sz w:val="18"/>
                <w:szCs w:val="18"/>
                <w:lang w:bidi="ar"/>
              </w:rPr>
              <w:t xml:space="preserve">4. 数字标牌操作系统Android9.0；5. 工作时长</w:t>
            </w:r>
            <w:r>
              <w:rPr>
                <w:rFonts w:hint="eastAsia" w:ascii="宋体" w:hAnsi="宋体" w:cs="宋体"/>
                <w:sz w:val="18"/>
                <w:szCs w:val="18"/>
                <w:lang w:bidi="ar"/>
              </w:rPr>
              <w:t xml:space="preserve">：满足7*24小时无间断开机，保证长时间工作环境中稳定运行；6. 标牌终端丰富的I/O接口配置：HDMI 2.0，USB，RS232，AUDIO等接口，2.4G wifi模块；7. 终端适用于传统横屏场景，系统、应用界面支持四个方向选择，支持0°、90°、180°、270°任意设置和切换；8. 支持通过U盘直接播放图片、视频；同时支持外部内容拷入终端：利用标牌系统内置媒体播放器，设置进行节目编辑与播放(无需外插U盘存储设备)；9. 支持HDMI开机信号唤醒功能，支持无信号自动休眠，支持HDMI失效备份功能。</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2、音响扩声系统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主扩音箱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阻抗：8Ω；2. 频响：等同或优于45Hz~20KHz；3. 额定功率≥450W；4. 灵敏度≥100dB/W/M；5. 水平覆盖角≥80°，垂直覆盖角≥60°；6. 高音：1.73"压缩高音单元*1；7. 低音：15"低音*1。</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功放</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1U机箱设计，采用D类数字功放设计方案；2. 标准XLR输入接口，和LINK输出口；3. 电源采用开关电源技术，能有效抑制电源谐波；4. 内置智能削峰限幅器，支持开机软启动，防止开机时向电网吸收大电流，干扰其它用电设备； 5. 具有：过压保护，欠压保护，过流保护，直流保护，输出短路保护，温控风扇等功能；6. 输出功率：立体声@8Ω：≥700W*2；立体声@4Ω：≥1000W*2；桥接@16Ω：≥1400W；桥接@8Ω：≥2000W。</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辅助音箱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阻抗：8Ω；2. 频响：等同或优于55Hz~20KHz；3. 额定功率≥300W；4. 灵敏度≥98dB/W/M；5. 水平覆盖角≥80°，垂直覆盖角≥60°；6. 高音：1.4"压缩高音单元*1；7. 低音：10"低音*1。</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功放</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1U机箱设计，采用D类数字功放设计方案；2. 标准XLR输入接口，和LINK输出口；3. 电源采用开关电源技术，能有效抑制电源谐波；4. 内置智能削峰限幅器，支持开机软启动，防止开机时向电网吸收大电流，干扰其它用电设备； 5. 具有：过压保护，欠压保护，过流保护，直流保护，输出短路保护，温控风扇等功能；6. 输出功率：立体声@8Ω：≥500W*2；立体声@4Ω：≥850W*2；桥接@8Ω：≥1700W。</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color w:val="ff0000"/>
                <w:sz w:val="18"/>
                <w:szCs w:val="18"/>
                <w:lang w:bidi="ar"/>
              </w:rPr>
              <w:t xml:space="preserve">★</w:t>
            </w:r>
            <w:r>
              <w:rPr>
                <w:rFonts w:hint="eastAsia" w:ascii="宋体" w:hAnsi="宋体" w:cs="宋体"/>
                <w:sz w:val="18"/>
                <w:szCs w:val="18"/>
                <w:lang w:bidi="ar"/>
              </w:rPr>
              <w:t xml:space="preserve">1. 支持通过APP软件进行操作控制，面板具备USB接口，支持多媒体存储，可进行播放或存储录播（</w:t>
            </w:r>
            <w:r>
              <w:rPr>
                <w:rFonts w:hint="eastAsia" w:ascii="宋体" w:hAnsi="宋体" w:cs="宋体"/>
                <w:color w:val="ff0000"/>
                <w:sz w:val="18"/>
                <w:szCs w:val="18"/>
                <w:lang w:bidi="ar"/>
              </w:rPr>
              <w:t xml:space="preserve">投标时提供符合要求的功能界面截图及接口截图并提供与截图相同的产品的型号检测报告</w:t>
            </w:r>
            <w:r>
              <w:rPr>
                <w:rFonts w:hint="eastAsia" w:ascii="宋体" w:hAnsi="宋体" w:cs="宋体"/>
                <w:color w:val="ff0000"/>
                <w:sz w:val="18"/>
                <w:szCs w:val="18"/>
              </w:rPr>
              <w:t xml:space="preserve">并加盖制造商原厂公章的扫描</w:t>
            </w:r>
            <w:r>
              <w:rPr>
                <w:rFonts w:hint="eastAsia" w:ascii="宋体" w:hAnsi="宋体" w:cs="宋体"/>
                <w:color w:val="ff0000"/>
                <w:sz w:val="18"/>
                <w:szCs w:val="18"/>
                <w:lang w:bidi="ar"/>
              </w:rPr>
              <w:t xml:space="preserve">件</w:t>
            </w:r>
            <w:r>
              <w:rPr>
                <w:rFonts w:hint="eastAsia" w:ascii="宋体" w:hAnsi="宋体" w:cs="宋体"/>
                <w:sz w:val="18"/>
                <w:szCs w:val="18"/>
                <w:lang w:bidi="ar"/>
              </w:rPr>
              <w:t xml:space="preserve">）；</w:t>
            </w:r>
            <w:r/>
          </w:p>
          <w:p>
            <w:pPr>
              <w:widowControl/>
              <w:rPr>
                <w:rFonts w:ascii="宋体" w:hAnsi="宋体" w:cs="宋体"/>
                <w:sz w:val="18"/>
                <w:szCs w:val="18"/>
                <w:lang w:bidi="ar"/>
              </w:rPr>
            </w:pPr>
            <w:r>
              <w:rPr>
                <w:rFonts w:hint="eastAsia" w:ascii="宋体" w:hAnsi="宋体" w:cs="宋体"/>
                <w:sz w:val="18"/>
                <w:szCs w:val="18"/>
                <w:lang w:bidi="ar"/>
              </w:rPr>
              <w:t xml:space="preserve">2. 数字音频处理器支持≥16路平衡式话筒/线路输入通道，采用裸线接口端子，平衡接法；支持≥16路平衡式线路输出，采用裸线接口端子，平衡接法；3. 输入通道支持前级放大、信号发生器、扩展器、压缩器、≥12段参量均衡，≥31段图示均衡、闪避器、AGC自动增益、AM自动混音功能（门限式、增益共享式）、AFC自适应反馈消除、AEC回声消除、ANC噪声消除、音频矩阵；4. 输出通道支持≥12段参量均衡，≥31段图示均衡、延时器、分频器、高低通滤波器、限幅器</w:t>
            </w:r>
            <w:r>
              <w:rPr>
                <w:rFonts w:hint="eastAsia" w:ascii="宋体" w:hAnsi="宋体" w:cs="宋体"/>
                <w:sz w:val="18"/>
                <w:szCs w:val="18"/>
                <w:lang w:bidi="ar"/>
              </w:rPr>
              <w:t xml:space="preserve">；5. 高性能专业DSP处理器，支持≥32bit/48kHz的声音，支持输入通道48V幻象供电；6. 具有2英寸IPS真彩显示屏，支持显示设备网络信息、实时电平、通道静音状态；7. 配置双向RS-232接口，可用于控制外部设备；配置RS-485接口，可实现自动摄像跟踪功能。配置≥8通道可编程GPIO控制接口（可自定义输入输出）；8. 支持断电自动保护记忆功能，支持通道拷贝、粘贴、联控功能，管理控制软件可工作在XP/Windows7、8、10等系统环境下；9. ≥8个场景预设，支持场景信息导入、场景信息导出。</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24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数字调音台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≥7英寸高清触摸屏，分辨率等同或优于1024*600，数字编码器以及专用按键构成的操作面板；2. ≥20路输入：≥12路话筒模拟输入，≥2组立体声输入（≥4个输入），≥2路S/PDIF数字输入，≥2路USB立体声播放；3. ≥12路输出，≥2路MAINLR母线输出，≥4路AUX辅助输出，≥2路MONITORLR监听输出，≥2路AES/EBU输出，≥2路S/PDIF数字输出；4. 内置USB录音、播放功能，支持APE\MP3\FLAC\WAV音频格式；USB声卡支持多轨录音及播放；5. ≥8个</w:t>
            </w:r>
            <w:r>
              <w:rPr>
                <w:rFonts w:hint="eastAsia" w:ascii="宋体" w:hAnsi="宋体" w:cs="宋体"/>
                <w:sz w:val="18"/>
                <w:szCs w:val="18"/>
                <w:lang w:bidi="ar"/>
              </w:rPr>
              <w:t xml:space="preserve">DCA编组、≥8个静音编组，输入输出、效果器通道均可编入；6. 每路输入通道具有≥6段参量均衡器、压缩器、噪声门、极性、延时器；7. 每路输出通道具有≥8段参量均衡器、31段图示均衡器、高低通滤波器、压限器、延时器；8. 输入内置自适应陷波反馈抑制算法、自动混音；9. 延时、合唱、混响、变调等多种效果器类型；10. 支持≥255组场景预设，可导入USB存储，便于备份调用；11. 内置：正弦波、白/粉噪声信号发生器；12. 具备Link连接功能，可进行相邻通道绑定设置；防碰、误操作面板锁；13. 通道名自定义</w:t>
            </w:r>
            <w:r>
              <w:rPr>
                <w:rFonts w:hint="eastAsia" w:ascii="宋体" w:hAnsi="宋体" w:cs="宋体"/>
                <w:sz w:val="18"/>
                <w:szCs w:val="18"/>
              </w:rPr>
              <w:t xml:space="preserve">；</w:t>
            </w:r>
            <w:r>
              <w:rPr>
                <w:rFonts w:hint="eastAsia" w:ascii="宋体" w:hAnsi="宋体" w:cs="宋体"/>
                <w:sz w:val="18"/>
                <w:szCs w:val="18"/>
                <w:lang w:bidi="ar"/>
              </w:rPr>
              <w:t xml:space="preserve">14. 支持Windows、Linux、MacOS、Android、IOS等操作系统全功能控制软件。</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电源时序器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支持不小于8通道电源时序打开/关闭，每路动作延时时间：1s，支持远程控制（上电+24V直流信号）8通道电源时序打开/关闭—当电源开关处于off位置时有效。支持配置CH1和CH2通道为受控或不受控状态；2. 当远程控制有效时同时控制后板ALARM（报警）端口导通以起到级联控制ALARM（报警）功能；3. 单个通道最大负载功率≥2200W，所有通道负载总功率不小于6000W；输出连接器：多用途电源插座；4. 具有一路及以上USB输出接口。</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3、发言系统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color w:val="000000"/>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9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数字发言主机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lang w:bidi="ar"/>
              </w:rPr>
            </w:pPr>
            <w:r>
              <w:rPr>
                <w:rFonts w:hint="eastAsia" w:ascii="宋体" w:hAnsi="宋体" w:cs="宋体"/>
                <w:color w:val="ff0000"/>
                <w:sz w:val="18"/>
                <w:szCs w:val="18"/>
                <w:lang w:bidi="ar"/>
              </w:rPr>
              <w:t xml:space="preserve">★</w:t>
            </w:r>
            <w:r>
              <w:rPr>
                <w:rFonts w:hint="eastAsia" w:ascii="宋体" w:hAnsi="宋体" w:cs="宋体"/>
                <w:sz w:val="18"/>
                <w:szCs w:val="18"/>
                <w:lang w:bidi="ar"/>
              </w:rPr>
              <w:t xml:space="preserve">1. </w:t>
            </w:r>
            <w:r>
              <w:rPr>
                <w:rFonts w:hint="eastAsia" w:ascii="宋体" w:hAnsi="宋体" w:cs="宋体"/>
                <w:sz w:val="21"/>
                <w:szCs w:val="21"/>
                <w:lang w:bidi="ar"/>
              </w:rPr>
              <w:t xml:space="preserve">具有运维管理平台，可通过web端远程固件升级；具有日志管理功能，可以自动收集和存储系统日志；比如实时监测设备运行状态、设备故障信息，包括内存不足、火警提示、id重复等</w:t>
            </w:r>
            <w:r>
              <w:rPr>
                <w:rFonts w:hint="eastAsia" w:ascii="宋体" w:hAnsi="宋体" w:cs="宋体"/>
                <w:sz w:val="18"/>
                <w:szCs w:val="18"/>
                <w:lang w:bidi="ar"/>
              </w:rPr>
              <w:t xml:space="preserve">（</w:t>
            </w:r>
            <w:r>
              <w:rPr>
                <w:rFonts w:hint="eastAsia" w:ascii="宋体" w:hAnsi="宋体" w:cs="宋体"/>
                <w:color w:val="ff0000"/>
                <w:sz w:val="18"/>
                <w:szCs w:val="18"/>
                <w:lang w:bidi="ar"/>
              </w:rPr>
              <w:t xml:space="preserve">投标时提供有效期内符合要求的CMA或CAL或ilac-MRA标识的第三方有资质的机构出具的检测</w:t>
            </w:r>
            <w:r>
              <w:rPr>
                <w:rFonts w:hint="eastAsia" w:ascii="宋体" w:hAnsi="宋体" w:cs="宋体"/>
                <w:color w:val="ff0000"/>
                <w:sz w:val="18"/>
                <w:szCs w:val="18"/>
              </w:rPr>
              <w:t xml:space="preserve">报告并加盖制造商原厂公章的扫描</w:t>
            </w:r>
            <w:r>
              <w:rPr>
                <w:rFonts w:hint="eastAsia" w:ascii="宋体" w:hAnsi="宋体" w:cs="宋体"/>
                <w:color w:val="ff0000"/>
                <w:sz w:val="18"/>
                <w:szCs w:val="18"/>
                <w:lang w:bidi="ar"/>
              </w:rPr>
              <w:t xml:space="preserve">件</w:t>
            </w:r>
            <w:r>
              <w:rPr>
                <w:rFonts w:hint="eastAsia" w:ascii="宋体" w:hAnsi="宋体" w:cs="宋体"/>
                <w:sz w:val="18"/>
                <w:szCs w:val="18"/>
                <w:lang w:bidi="ar"/>
              </w:rPr>
              <w:t xml:space="preserve">）；</w:t>
            </w:r>
            <w:r/>
          </w:p>
          <w:p>
            <w:pPr>
              <w:widowControl/>
              <w:rPr>
                <w:rFonts w:ascii="宋体" w:hAnsi="宋体" w:cs="宋体"/>
                <w:sz w:val="18"/>
                <w:szCs w:val="18"/>
              </w:rPr>
            </w:pPr>
            <w:r>
              <w:rPr>
                <w:rFonts w:hint="eastAsia" w:ascii="宋体" w:hAnsi="宋体" w:cs="宋体"/>
                <w:sz w:val="18"/>
                <w:szCs w:val="18"/>
                <w:lang w:bidi="ar"/>
              </w:rPr>
              <w:t xml:space="preserve">2. 设备具有音频时钟同步传输技术，端到端音频传输＜5ms；3. 内置DSP处理器，具有16路音频矩阵、啸叫抑制、10段EQ调节、音量dB值调节、延时器调节功能；4. 设备接口：通讯接口：≥2路RS232接口、≥1路RS-485接口、≥4路RJ45；</w:t>
            </w:r>
            <w:r>
              <w:rPr>
                <w:rFonts w:hint="eastAsia" w:ascii="宋体" w:hAnsi="宋体" w:cs="宋体"/>
                <w:sz w:val="18"/>
                <w:szCs w:val="18"/>
                <w:lang w:bidi="ar"/>
              </w:rPr>
              <w:t xml:space="preserve">音频输出接口≥1路RCA、≥1路卡侬头、≥16路凤凰端子；音频输入接口≥1路RCA、≥1路卡侬头、≥2路凤凰端子；5. 支持≥16通道音频输出功能，可灵活配置为有线角色分离输出模式、无线角色分离输出模式、同传输出模式、相控输出模式；每个输出通道都可以调节10段EQ、音量dB值调节、延时器参数调节；6. 支持≥16通道有线、无线角色分离输出模式，可使有线或无线话筒根据ID号独立输出，最大支持128路有线话筒或无线话筒独立音频输出，并支持通过录音软件实现每个话筒独立录音、或语音转写设备对接实现角色分离；7. 具</w:t>
            </w:r>
            <w:r>
              <w:rPr>
                <w:rFonts w:hint="eastAsia" w:ascii="宋体" w:hAnsi="宋体" w:cs="宋体"/>
                <w:sz w:val="18"/>
                <w:szCs w:val="18"/>
                <w:lang w:bidi="ar"/>
              </w:rPr>
              <w:t xml:space="preserve">有≥16通道同传输出模式，可使同传音频根据通道号独立输出，可供录音或监听设备使用。且输出通道数量，可通过外部设备扩展；8. 具有≥16通道相控输出模式，内置≥nx16音频矩阵处理器，实现≥16通道分组输出功能。可使任意输入源（包括所有输入源和在线话筒），按任意音量比例，输出到任意通道；9. 会议主机采用TCP/IP网络协议，具有客户端、WEB端控制方式，可供PC软件或浏览器控制；10. 设备具有安卓手机、平板APP软件，通过软件可控制话筒开关、开启签到、投票、表决、接收会议服务信息、一键关闭无线话筒等功能，</w:t>
            </w:r>
            <w:r>
              <w:rPr>
                <w:rFonts w:hint="eastAsia" w:ascii="宋体" w:hAnsi="宋体" w:cs="宋体"/>
                <w:sz w:val="18"/>
                <w:szCs w:val="18"/>
                <w:lang w:bidi="ar"/>
              </w:rPr>
              <w:t xml:space="preserve">免PC操作；11. 通过C/S架构控制音频矩阵参数（包括EQ、音量、延时器、话筒灵敏度等）、输出模式切换、开关话筒同步、中英俄法四种语言切换、控制角色分离主机；12. 系统可扩展带载≥4096台有线会议话筒和≥300台无线会议话筒。系统支持同时发言数量≥24只话筒，其中支持≥16个有线话筒和≥8个无线话筒同时发言；具有自定义话筒发言人数功能，有线话筒发言人数范围可设置为1至16之间的任意数量；无线话筒发言人数范围可设置为1至8之间的任意数量；13. 支持环形手拉手功能，确保在其中的一条网线断开或者话筒出现故</w:t>
            </w:r>
            <w:r>
              <w:rPr>
                <w:rFonts w:hint="eastAsia" w:ascii="宋体" w:hAnsi="宋体" w:cs="宋体"/>
                <w:sz w:val="18"/>
                <w:szCs w:val="18"/>
                <w:lang w:bidi="ar"/>
              </w:rPr>
              <w:t xml:space="preserve">障时，会议能继续正常进行；14. 具有支持中、英、俄、法文多种语言任意切换显示；15. PC软件可查看在线无线话筒的电池电量、WiFi信号等信息状态；支持一键关闭所有无线话筒、单独关闭某个无线话筒；16. 支持搭配同声传译系统，最大可同时传输63+1的有线同声传译；17. 系统与语音转写系统深度适配，系统之间通过网线交互数据，实现角色分离语音转写功能；18. 具有消防报警联动触发接口，支持对接烟雾报警器实时检测，触发后报警信息会同步至话筒界面和主机界面；19. 具有≥1路RS-485接口，支持一台摄像机实现</w:t>
            </w:r>
            <w:r>
              <w:rPr>
                <w:rFonts w:hint="eastAsia" w:ascii="宋体" w:hAnsi="宋体" w:cs="宋体"/>
                <w:sz w:val="18"/>
                <w:szCs w:val="18"/>
                <w:lang w:bidi="ar"/>
              </w:rPr>
              <w:t xml:space="preserve">摄像跟踪，支持PELCO-D、VISCA控制协议。配合摄像跟踪主机达到多路视频自动跟踪功能；20. ≥四种话筒管理模式：FIFO（先进先出）、NORMAL（普通模式）、VOICE（声控模式）、APPLY（申请模式）；21. 系统具有发起会议签到、表决、选举、评级、满意度、自定义功能；22. 具有≥4.3英寸全彩触摸屏，可实现对参数设置或查看，进行任意触摸操作；23. 强大的编ID功能，可对有线单元、无线单元、译员机、角色分离主机进行编ID；24. 支持≥10段EQ调节功能，≥16路多功能输出通道与≥2路LI</w:t>
            </w:r>
            <w:r>
              <w:rPr>
                <w:rFonts w:hint="eastAsia" w:ascii="宋体" w:hAnsi="宋体" w:cs="宋体"/>
                <w:sz w:val="18"/>
                <w:szCs w:val="18"/>
                <w:lang w:bidi="ar"/>
              </w:rPr>
              <w:t xml:space="preserve">NEOUT输出通道都具有≥10段EQ调节功能；25. 支持AP信道扫描，监测现场的无线信道使用情况，支持信道自动或手动配置最佳信道，支持AP名称在线显示列表；26. 会议主机具备注册天数显示功能，可以随时了解注册后使用的剩余天数；支持触摸设备屏幕输入注册码进行主机注册；27. 具备主机双机热备功能，可设置主机或从机功能，当主机出现故障时，可自动切换至从机运行，实现双备份功能；28. 设备具有会议发言录音功能；搭配会议话筒可以录制单个话筒发言音频或录制所有话筒混音输出音频；支持通过主机U盘录音或PC软件录音。</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数字话筒单元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lang w:bidi="ar"/>
              </w:rPr>
            </w:pPr>
            <w:r>
              <w:rPr>
                <w:rFonts w:hint="eastAsia" w:ascii="宋体" w:hAnsi="宋体" w:cs="宋体"/>
                <w:sz w:val="18"/>
                <w:szCs w:val="18"/>
                <w:lang w:bidi="ar"/>
              </w:rPr>
              <w:t xml:space="preserve">1. 采用数字传输链路，通过网口转六芯航空线连接到会议主机级联口供电，非压缩音频传输技术；2. 采用电容触摸按键；3. 单元支持PC软件话筒控制，支持声控功能；4. 主席单元具备关闭代表单元发言的优先权限；5. 单元具有TCP/IP协议簇，支持ICMP、HTTP、UDP、TCP、IGMP等多种协议；6. 单元支持PING包功能；7. 单元具有独立的web控制页面，支持调节话筒ID号、话筒灵敏度、话筒EQ等参数；8. 单元内部具有反馈抑制功能，具有声控功能，声控灵敏度可调；</w:t>
            </w:r>
            <w:r/>
          </w:p>
          <w:p>
            <w:pPr>
              <w:widowControl/>
              <w:rPr>
                <w:rFonts w:ascii="宋体" w:hAnsi="宋体" w:cs="宋体"/>
                <w:sz w:val="18"/>
                <w:szCs w:val="18"/>
              </w:rPr>
            </w:pPr>
            <w:r>
              <w:rPr>
                <w:rFonts w:hint="eastAsia" w:ascii="宋体" w:hAnsi="宋体" w:cs="宋体"/>
                <w:sz w:val="18"/>
                <w:szCs w:val="18"/>
                <w:lang w:bidi="ar"/>
              </w:rPr>
              <w:t xml:space="preserve">9. 单元具有≥5段EQ调节功能；10. 单元支持签到功能，也可以通过PC软件禁止单元签到、控制单元签到等功能；11. 单元支持web页面固件升级功能；12. 单元支持IP地址嗅探功能，通过PC工具可以查找到未知单元的ID号、IP地址、MAC地址等参数；13. 具有≥2个网口，可用于手拉手级联。</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29</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无线话筒</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采用PLL频率合成锁相环技术，微电脑集成中央处理器CPU总线控制系统；2. 兼容手动选频和红外自动对频锁定频道，杂讯锁定静噪控制及音码锁定静噪控制；3. V/A显示屏在任何角度观察字体清晰同时显示信道号与工作频率；4. 带≥8级射频电平显示，≥8级音频电平显示，频道菜单显示，静音显示；5. 频率范围：支持等同或优于640-690MHz、807-830MHz；6. 支持平衡和非平衡两种选择输出端口；7. 系统包括有≥一台主机+≥四个无线手持话筒。</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天线放大器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lang w:bidi="ar"/>
              </w:rPr>
            </w:pPr>
            <w:r>
              <w:rPr>
                <w:rFonts w:hint="eastAsia" w:ascii="宋体" w:hAnsi="宋体" w:cs="宋体"/>
                <w:sz w:val="18"/>
                <w:szCs w:val="18"/>
                <w:lang w:bidi="ar"/>
              </w:rPr>
              <w:t xml:space="preserve">1. 可支持为4台一拖二真分集话筒自动选讯接收机的多频道系统共用一对天线和一个电源；2. 频带范围等同或优于：470-960MHz，输出/入增益+1.0dB(频段中心)，输出/入阻抗：≥50Ω，频宽：≥320MHz；</w:t>
            </w:r>
            <w:r/>
          </w:p>
          <w:p>
            <w:pPr>
              <w:widowControl/>
              <w:rPr>
                <w:rFonts w:ascii="宋体" w:hAnsi="宋体" w:cs="宋体"/>
                <w:sz w:val="18"/>
                <w:szCs w:val="18"/>
              </w:rPr>
            </w:pPr>
            <w:r>
              <w:rPr>
                <w:rFonts w:hint="eastAsia" w:ascii="宋体" w:hAnsi="宋体" w:cs="宋体"/>
                <w:sz w:val="18"/>
                <w:szCs w:val="18"/>
                <w:lang w:bidi="ar"/>
              </w:rPr>
              <w:t xml:space="preserve">话筒天线：1. 采用UHF频段无线真分集接收机用的45度极化宽频全向天线，支持等同或优于550MHz~850MHz频率范围频段，具有8dBi的高指向特性的增益；2. 最大功率支持≥50W，半功率波瓣宽度：H：76°±5°，V：76°±5°，前后比≥23dB；3. 接头类型BNC，雷电保护：直流接地DC。</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无线讲解器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1个发射器＋10个接收机＋1个充电消毒箱：1. 收音头：电容式</w:t>
            </w:r>
            <w:r>
              <w:rPr>
                <w:rFonts w:hint="eastAsia" w:ascii="宋体" w:hAnsi="宋体" w:cs="宋体"/>
                <w:sz w:val="18"/>
                <w:szCs w:val="18"/>
              </w:rPr>
              <w:t xml:space="preserve">；</w:t>
            </w:r>
            <w:r>
              <w:rPr>
                <w:rFonts w:hint="eastAsia" w:ascii="宋体" w:hAnsi="宋体" w:cs="宋体"/>
                <w:sz w:val="18"/>
                <w:szCs w:val="18"/>
                <w:lang w:bidi="ar"/>
              </w:rPr>
              <w:t xml:space="preserve">2. 供电方式：内置电池</w:t>
            </w:r>
            <w:r>
              <w:rPr>
                <w:rFonts w:hint="eastAsia" w:ascii="宋体" w:hAnsi="宋体" w:cs="宋体"/>
                <w:sz w:val="18"/>
                <w:szCs w:val="18"/>
              </w:rPr>
              <w:t xml:space="preserve">；</w:t>
            </w:r>
            <w:r>
              <w:rPr>
                <w:rFonts w:hint="eastAsia" w:ascii="宋体" w:hAnsi="宋体" w:cs="宋体"/>
                <w:sz w:val="18"/>
                <w:szCs w:val="18"/>
                <w:lang w:bidi="ar"/>
              </w:rPr>
              <w:t xml:space="preserve">3. 传输方式：无线</w:t>
            </w:r>
            <w:r>
              <w:rPr>
                <w:rFonts w:hint="eastAsia" w:ascii="宋体" w:hAnsi="宋体" w:cs="宋体"/>
                <w:sz w:val="18"/>
                <w:szCs w:val="18"/>
              </w:rPr>
              <w:t xml:space="preserve">；</w:t>
            </w:r>
            <w:r>
              <w:rPr>
                <w:rFonts w:hint="eastAsia" w:ascii="宋体" w:hAnsi="宋体" w:cs="宋体"/>
                <w:sz w:val="18"/>
                <w:szCs w:val="18"/>
                <w:lang w:bidi="ar"/>
              </w:rPr>
              <w:t xml:space="preserve">4. 指向特征：全指向/无指向</w:t>
            </w:r>
            <w:r>
              <w:rPr>
                <w:rFonts w:hint="eastAsia" w:ascii="宋体" w:hAnsi="宋体" w:cs="宋体"/>
                <w:sz w:val="18"/>
                <w:szCs w:val="18"/>
              </w:rPr>
              <w:t xml:space="preserve">；</w:t>
            </w:r>
            <w:r>
              <w:rPr>
                <w:rFonts w:hint="eastAsia" w:ascii="宋体" w:hAnsi="宋体" w:cs="宋体"/>
                <w:sz w:val="18"/>
                <w:szCs w:val="18"/>
                <w:lang w:bidi="ar"/>
              </w:rPr>
              <w:t xml:space="preserve">5. 类型：专用麦克风</w:t>
            </w:r>
            <w:r>
              <w:rPr>
                <w:rFonts w:hint="eastAsia" w:ascii="宋体" w:hAnsi="宋体" w:cs="宋体"/>
                <w:sz w:val="18"/>
                <w:szCs w:val="18"/>
              </w:rPr>
              <w:t xml:space="preserve">；</w:t>
            </w:r>
            <w:r>
              <w:rPr>
                <w:rFonts w:hint="eastAsia" w:ascii="宋体" w:hAnsi="宋体" w:cs="宋体"/>
                <w:sz w:val="18"/>
                <w:szCs w:val="18"/>
                <w:lang w:bidi="ar"/>
              </w:rPr>
              <w:t xml:space="preserve">6. 喇叭单元：单喇叭</w:t>
            </w:r>
            <w:r>
              <w:rPr>
                <w:rFonts w:hint="eastAsia" w:ascii="宋体" w:hAnsi="宋体" w:cs="宋体"/>
                <w:sz w:val="18"/>
                <w:szCs w:val="18"/>
              </w:rPr>
              <w:t xml:space="preserve">；</w:t>
            </w:r>
            <w:r>
              <w:rPr>
                <w:rFonts w:hint="eastAsia" w:ascii="宋体" w:hAnsi="宋体" w:cs="宋体"/>
                <w:sz w:val="18"/>
                <w:szCs w:val="18"/>
                <w:lang w:bidi="ar"/>
              </w:rPr>
              <w:t xml:space="preserve">7. 连接方式：2.4G。</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4、分布式管理系统</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分布式综合管理平台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1. 支持三种开窗模式，包括固化模式、自由模式、两点模式（</w:t>
            </w:r>
            <w:r>
              <w:rPr>
                <w:rFonts w:hint="eastAsia" w:ascii="宋体" w:hAnsi="宋体" w:cs="宋体"/>
                <w:color w:val="ff0000"/>
                <w:sz w:val="18"/>
                <w:szCs w:val="18"/>
              </w:rPr>
              <w:t xml:space="preserve">投标时提供符合要求的功能界面截图并提供与截图相同的产品的型号检测报告并加盖制造商原厂公章的扫描件</w:t>
            </w:r>
            <w:r>
              <w:rPr>
                <w:rFonts w:hint="eastAsia" w:ascii="宋体" w:hAnsi="宋体" w:cs="宋体"/>
                <w:sz w:val="18"/>
                <w:szCs w:val="18"/>
              </w:rPr>
              <w:t xml:space="preserve">）；</w:t>
            </w:r>
            <w:r/>
          </w:p>
          <w:p>
            <w:pPr>
              <w:widowControl/>
              <w:rPr>
                <w:rFonts w:ascii="宋体" w:hAnsi="宋体" w:cs="宋体"/>
                <w:sz w:val="18"/>
                <w:szCs w:val="18"/>
              </w:rPr>
            </w:pPr>
            <w:r>
              <w:rPr>
                <w:rFonts w:hint="eastAsia" w:ascii="宋体" w:hAnsi="宋体" w:cs="宋体"/>
                <w:sz w:val="18"/>
                <w:szCs w:val="18"/>
              </w:rPr>
              <w:t xml:space="preserve">2. 服务器采用机架式设计，运行嵌入式Linux系统，内嵌服务器软件及web管理系统，采用B/S架构，通过浏览器即可管理整个分布式系统；3. 系统基于分布式架构，可对拼接系统进行管理、控制、数据交互；4. 服务器CPU配置不低于双核，内存配置不低于8GB，存储空间不低于1TB，具备6个硬盘位可扩容空间；5. 支持双机服务器热备份，当主服务器宕机后，马上切换至备用服务器工作，完成主备切换后，备用服务器代替主服务器进行工作；6. 支持≥1路VGA和≥1路DVI视频接口</w:t>
            </w:r>
            <w:r>
              <w:rPr>
                <w:rFonts w:hint="eastAsia" w:ascii="宋体" w:hAnsi="宋体" w:cs="宋体"/>
                <w:sz w:val="18"/>
                <w:szCs w:val="18"/>
              </w:rPr>
              <w:t xml:space="preserve">输出，具备≥2个RJ45网口；7. 支持硬件监测：故障/错误/过载和报警(包括磁盘/电力/风机/温度/IO性能)，包含主机内嵌软件；8. 系统采用B/S和C/S管理控制架构，支持网页web访问系统后台管理，支持通过web浏览器对输入盒（采集盒）、输出盒（拼接盒）的管理及状态实时监测。可扩展支持使用ipad平板软件、安卓平板软件、Windows电脑客户端对分布式系统进行可视化管理、信号切换、画面叠加、画中画、画面拼接、画面漫游、画面放大/缩小、画面移动/关闭等操作，支持对显示控制区域实时监控；支持多用户多平台</w:t>
            </w:r>
            <w:r>
              <w:rPr>
                <w:rFonts w:hint="eastAsia" w:ascii="宋体" w:hAnsi="宋体" w:cs="宋体"/>
                <w:sz w:val="18"/>
                <w:szCs w:val="18"/>
              </w:rPr>
              <w:t xml:space="preserve">同步操作，支持不同平台操作界面实时同；9. 支持后台web界面、移动端操作界面自定义设置，支持多级管理模式；支持不同用户登陆管理，支持权限分配：实现不同用户呈现不同的控制界面、不同用户可管理操作不同的输入盒/输出盒。支持记住密码和自动登陆功能；10. 支持对信号分类及排序功能，可快速选择信号源进行切换，在移动端或客户端软件实现对信号源可视化实时预览，支持树形信号显示方式；11. 支持自由操控，支持拖拽视频源到显示控制区域，可实现所有视频信号源的视窗管理、拼接、任意缩放、画中画、画面漫游等功能，可实现对视窗参</w:t>
            </w:r>
            <w:r>
              <w:rPr>
                <w:rFonts w:hint="eastAsia" w:ascii="宋体" w:hAnsi="宋体" w:cs="宋体"/>
                <w:sz w:val="18"/>
                <w:szCs w:val="18"/>
              </w:rPr>
              <w:t xml:space="preserve">数的调整（叠加关系、位置、大小、比例等）；12. 支持设置组合信号，将多个信号源按照画面布局拼接为一个组合信号，可将组合信号一键开窗，组合信号中的所有信号源都会同时开窗显示；13. 支持服务器跨域级联，不局限于局域网内，可部署于互联网环境。服务器级联后，上级服务器可调取下级服务器的任意信号源进行开窗显示。同时，上级服务器也支持共享指定信号源给下级服务器进行开窗显示；14. 支持自定义编辑和预存不同的场景，支持显示预案设置、存储、调用；支持音频、视频、控制信号场景一键式快速调用，可定义不同场景切换效果及场景名</w:t>
            </w:r>
            <w:r>
              <w:rPr>
                <w:rFonts w:hint="eastAsia" w:ascii="宋体" w:hAnsi="宋体" w:cs="宋体"/>
                <w:sz w:val="18"/>
                <w:szCs w:val="18"/>
              </w:rPr>
              <w:t xml:space="preserve">称，支持自定义编辑会议模式、调用预存的会议模式，场景切换响应时间短，超低延时，画面流畅，窗口操作即时响应；15. 支持中控功能，支持自定义添加受控设备，可实现可编辑中控，支持RS-232、RS-422、RS-485、IR、I/O、TCP/IP等控制方式；支持多种控件选择，可随意配置中控界面。可控制高清矩阵信号切换、电源设备开关、摄像头的转动方向放大缩小及预置位调用、音频音量、灯光/空调开关等中控功能；16. 支持自定义显示屏镜像功能，可实现副屏画面跟随主屏画面功能，适用于监视、主副屏同步等应用场景；17. </w:t>
            </w:r>
            <w:r>
              <w:rPr>
                <w:rFonts w:hint="eastAsia" w:ascii="宋体" w:hAnsi="宋体" w:cs="宋体"/>
                <w:sz w:val="18"/>
                <w:szCs w:val="18"/>
              </w:rPr>
              <w:t xml:space="preserve">支持给任意拼接墙绑定手势识别节点，可通过手势识别节点识别操作人员的手势并转换成控制指令选择当前拼墙的任意信号进行拖拽、放大、缩小、全屏、翻页PPT等操作；18. 支持实现输入盒（采集盒）、输出盒（拼接盒）自动备份配置，断电重启后可自动恢复配置，无需担心数据损失；19. 支持控制节点盒子启用或关闭国密算法SM2、SM3、SM4加密传输；20. 支持自定义显示屏镜像功能，可实现副屏画面跟随主屏画面功能，适用于监视、主副屏同步等应用场景；21. 支持对输入盒采集的音视频信号进行录制存储，可设置单个视频的录制文件大</w:t>
            </w:r>
            <w:r>
              <w:rPr>
                <w:rFonts w:hint="eastAsia" w:ascii="宋体" w:hAnsi="宋体" w:cs="宋体"/>
                <w:sz w:val="18"/>
                <w:szCs w:val="18"/>
              </w:rPr>
              <w:t xml:space="preserve">小为512MB、1GB、2GB或3GB，设置保存天数为3天、7天、15天、30天或永久，最大可支持同时录制8路信号；可批量删除或者批量下载已录制完成的文件；22. 支持32路视频或图片点播，可生成4K或1080P的视频信号源，可将点播生成的视频信号开窗到拼墙上实时显示。支持mp4、jpg、png、bmp、tif、tga等常用格式文件上传进行点播；23. 支持输入盒音视频同步/异步选择、输出盒音视频同步/异步选择，可自定义设置音频绑定显示屏或跟随视频信号同步切换；24. 支持系统服务器双机热备功能，当主服务器</w:t>
            </w:r>
            <w:r>
              <w:rPr>
                <w:rFonts w:hint="eastAsia" w:ascii="宋体" w:hAnsi="宋体" w:cs="宋体"/>
                <w:sz w:val="18"/>
                <w:szCs w:val="18"/>
              </w:rPr>
              <w:t xml:space="preserve">出现断网/断电等异常情况不能工作时，系统会自动实现无缝切换音频、视频、KVM功能业务到备服务器上进行；25. 支持系统数据备份恢复，备份的数据包括系统的配置、当前拼接模式、拼接场景等所有配置信息；支持可以手动下载到本地，当进行数据恢复时，只需要上传导入需要恢复的数据即可；26. 支持系统状态数据以图表形式展示，支持以图表形式实时统计和展示输入盒/输出盒在线数和离线数、摄像头在线数和离线数、中控设备在线数和离线数、会议室数量、拼墙数量、场景数量、用户数量、服务器的CPU使用率和内存使用率、硬盘使用率，对服务器</w:t>
            </w:r>
            <w:r>
              <w:rPr>
                <w:rFonts w:hint="eastAsia" w:ascii="宋体" w:hAnsi="宋体" w:cs="宋体"/>
                <w:sz w:val="18"/>
                <w:szCs w:val="18"/>
              </w:rPr>
              <w:t xml:space="preserve">的资源数据一目了然；27. 支持网络丢包时修复机制，10%网络丢包时，视频清晰流畅，无卡顿、无马赛克；28. 支持音频管理，可将多个输入节点的音频信号绑定到单个输出节点上，可独立调节任意节点的音频音量大小；支持设置输出节点的音频均衡器，可启用或关闭均衡器，启用或关闭动态压缩，内置18种常用的均衡器场景，可以一键切换，也可全自定义设置，针对60Hz、170Hz、310Hz、600Hz、1KHz、3KHz、6KHz、12KHz、14KHz、16KHz等不同频段的音频可以单独控制增益，范围是-20dB至20dB。</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highlight w:val="cyan"/>
              </w:rPr>
            </w:pPr>
            <w:r>
              <w:rPr>
                <w:rFonts w:hint="eastAsia" w:ascii="宋体" w:hAnsi="宋体" w:cs="宋体"/>
                <w:sz w:val="18"/>
                <w:szCs w:val="18"/>
                <w:lang w:bidi="ar"/>
              </w:rPr>
              <w:t xml:space="preserve">高清一体终端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color w:val="ff0000"/>
                <w:sz w:val="18"/>
                <w:szCs w:val="18"/>
              </w:rPr>
              <w:t xml:space="preserve">★</w:t>
            </w:r>
            <w:r>
              <w:rPr>
                <w:rFonts w:hint="eastAsia" w:ascii="宋体" w:hAnsi="宋体" w:cs="宋体"/>
                <w:sz w:val="18"/>
                <w:szCs w:val="18"/>
              </w:rPr>
              <w:t xml:space="preserve">1. 具备中控功能，具有≥1路RS-232接口、≥1路RS-485接口、≥3路IO口、≥2路RELAY口、≥4路红外信号输出口（</w:t>
            </w:r>
            <w:r>
              <w:rPr>
                <w:rFonts w:hint="eastAsia" w:ascii="宋体" w:hAnsi="宋体" w:cs="宋体"/>
                <w:color w:val="ff0000"/>
                <w:sz w:val="18"/>
                <w:szCs w:val="18"/>
              </w:rPr>
              <w:t xml:space="preserve">投标时提供符合要求的设备接口图并提供与截图相同的产品的型号检测报告并加盖制造商原厂公章的扫描件</w:t>
            </w:r>
            <w:r>
              <w:rPr>
                <w:rFonts w:hint="eastAsia" w:ascii="宋体" w:hAnsi="宋体" w:cs="宋体"/>
                <w:sz w:val="18"/>
                <w:szCs w:val="18"/>
              </w:rPr>
              <w:t xml:space="preserve">）；</w:t>
            </w:r>
            <w:r/>
          </w:p>
          <w:p>
            <w:pPr>
              <w:widowControl/>
              <w:rPr>
                <w:rFonts w:ascii="宋体" w:hAnsi="宋体" w:cs="宋体"/>
                <w:sz w:val="18"/>
                <w:szCs w:val="18"/>
              </w:rPr>
            </w:pPr>
            <w:r>
              <w:rPr>
                <w:rFonts w:hint="eastAsia" w:ascii="宋体" w:hAnsi="宋体" w:cs="宋体"/>
                <w:sz w:val="18"/>
                <w:szCs w:val="18"/>
              </w:rPr>
              <w:t xml:space="preserve">2. 输入输出一体化设计，根据需求可任意配置为</w:t>
            </w:r>
            <w:r>
              <w:rPr>
                <w:rFonts w:hint="eastAsia" w:ascii="宋体" w:hAnsi="宋体" w:cs="宋体"/>
                <w:sz w:val="18"/>
                <w:szCs w:val="18"/>
              </w:rPr>
              <w:t xml:space="preserve">输入终端、输出终端或KVM终端；3. 支持4K@30fps、1920*1080P@60fps、1920*1080P@30fps高清视频信号输入并向下兼容，作为输出节点时，支持4K@60fps、4K@30fps、1920*1080P@60fps、1920*1080P@30fps高清输出并向下兼容，多码流同时传输，4K输入可同时兼容4K及2K输出终端；4. 支持4K@60fps的H.264/H.265解码显示，支持2路4K@30fps或8路1080P@30fps的H264/H265解码显示，支持画面平铺、缩放、</w:t>
            </w:r>
            <w:r>
              <w:rPr>
                <w:rFonts w:hint="eastAsia" w:ascii="宋体" w:hAnsi="宋体" w:cs="宋体"/>
                <w:sz w:val="18"/>
                <w:szCs w:val="18"/>
              </w:rPr>
              <w:t xml:space="preserve">叠加、分割；5. 支持台标、字幕设置，可自定义字幕字体大小、颜色、位置，支持字幕滚动；支持显示拼墙底图功能，可将本地图片上传并设置为底图，并可在软件上设置底图功能的开启和关闭；6. 具备≥1路HDMI视频接口输入、≥1路3.5mm立体声音频接口输入，≥1路HDMI视频接口输出、≥1路3.5mm立体声音频接口输出，可传输无编码压缩的原始PCM音频；≥1路VGA视频接口输出；具备≥1路LAN/WAN网口、≥1路OPTICAL光纤网络接口，支持光纤/网口双链路备份；盒子自带一键复位动态IP功能；7. 支持KVM功</w:t>
            </w:r>
            <w:r>
              <w:rPr>
                <w:rFonts w:hint="eastAsia" w:ascii="宋体" w:hAnsi="宋体" w:cs="宋体"/>
                <w:sz w:val="18"/>
                <w:szCs w:val="18"/>
              </w:rPr>
              <w:t xml:space="preserve">能，以图形化（非文本）方式进行画面抓取接管及画面推送，可推送至任意显示器或大屏，支持KVM跨屏漫游，支持虚拟鼠标控制，优化KVM操作体验，支持跨平台操作，包括Windows、Linux、Mac等系统平台；支持KVM角色权限管理；8. 支持中控自定义编程，支持红外学习，支持红外输出控制，控制接口支持双向数据传输，支持接入传感器设备实现环境数据等信息在平板端显示；9. 内嵌输入同步功能，支持4个输入节点对一个8K高分信号源进行同步采集、同步编码，传输到4个输出节点同步解码、同步显示，整个8K信号画面清晰流畅，无</w:t>
            </w:r>
            <w:r>
              <w:rPr>
                <w:rFonts w:hint="eastAsia" w:ascii="宋体" w:hAnsi="宋体" w:cs="宋体"/>
                <w:sz w:val="18"/>
                <w:szCs w:val="18"/>
              </w:rPr>
              <w:t xml:space="preserve">撕裂，实现8K高分信号源的传输；10. 系统KVM功能支持OSD菜单快速接管方式，单页支持可视化预览8路信号源画面及信息。支持操作端可视化预览输入信号画面，支持对输入信号进行实时画面预览、监控，方便操作；11. 支持接入指纹仪实现KVM指纹识别登录，同时支持配合USB摄像头实现KVM人脸识别登陆功能，建立快速、可靠、安全的访问通道；12. 支持网络丢包时修复机制，10%网络丢包时，音视频清晰流畅，无卡顿、无马赛克；13. 终端节点支持脱机保持功能，与服务器断开连接时，仍可保持原有显示画面正常显示与输出，不会</w:t>
            </w:r>
            <w:r>
              <w:rPr>
                <w:rFonts w:hint="eastAsia" w:ascii="宋体" w:hAnsi="宋体" w:cs="宋体"/>
                <w:sz w:val="18"/>
                <w:szCs w:val="18"/>
              </w:rPr>
              <w:t xml:space="preserve">出现画面冻结或黑屏；14. 支持国密算法SM2、SM3、SM4对信令和媒体流进行加密传输，确保数据安全可控；15. 支持可视化拼墙推送功能，可以实时回显拼墙画面，调整任意拼墙的画面布局、信号源拼接方式，控制信号源放大、缩小、移动。支持同时接管8个1080P30的视频信号，8个视频信号都支持KVM控制，可一键全屏放大任意一个信号源、一键还原被全屏的信号源画面，并可一键推送当前接管的任意视频信号到任意拼墙的任意窗口上显示；16. 支持SIP协议，内置坐席视频对讲功能，可外接USB摄像机、USB耳麦与标准SIP协</w:t>
            </w:r>
            <w:r>
              <w:rPr>
                <w:rFonts w:hint="eastAsia" w:ascii="宋体" w:hAnsi="宋体" w:cs="宋体"/>
                <w:sz w:val="18"/>
                <w:szCs w:val="18"/>
              </w:rPr>
              <w:t xml:space="preserve">议设备进行视频对讲；17. 作为输出节点时，支持设置音频均衡器，可启用或关闭均衡器，启用或关闭动态压缩，内置18种常用的均衡器场景，可以一键切换，也可全自定义设置，针对60Hz、170Hz、310Hz、600Hz、1KHz、3KHz、6KHz、12KHz、14KHz、16KHz等不同频段的音频可以单独控制增益，范围是-20dB至20dB；18. 作为输出节点时，可搭配输入节点实现USB透传功能，无需额外增加设备，无需额外使用单独的网络，仅需接一根网线或双向光纤线即可实现媒体、信令、USB透传数据的共同传输。</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多媒体桌插</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插座采用全铝结构，信息模块接口采用标准模块；2. 弹起式桌面插座，支持45°仰角；3. 具有≥1个功能按键，支持自定义按键的功能，搭配中控矩阵使用可实现视频切换、搭配中控系统支持扩展场景调用功能、搭配中控会议系统实现会议系统电源开启关闭功能等；4. 配置接口：不少于1个多功能电源接口、≥2个RJ45网络、≥1个3.5音频、≥1个HDMI高清视频接口、≥1个功能按键。</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无线投屏</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标配1个USB传屏器；支持usb无线传屏，支持windows和mac电脑，仅通过usb口，同时完成传输和供电，无线传屏至接收端。支持对usb传屏器所插电脑的触摸反控；2. 支持无线接收Android系统、IOS系统、Mac OS系统、Windows7/8/10系统的镜像视频</w:t>
            </w:r>
            <w:r>
              <w:rPr>
                <w:rFonts w:hint="eastAsia" w:ascii="宋体" w:hAnsi="宋体" w:cs="宋体"/>
                <w:sz w:val="18"/>
                <w:szCs w:val="18"/>
                <w:lang w:bidi="ar"/>
              </w:rPr>
              <w:t xml:space="preserve">流，支持Mac OS系统、Windows系统反向显示主机端的内容；3. Android镜像传屏支持传声音同时播放在线视频；4. 支持白板书写及批注功能，并支持将白板内容扫码下载保存；5. 支持指定某台安卓手机/苹果手机设备为锁定模式，即独占模式，此模式下不能进行抢占；6. 接收端双网络结构，支持本机与外网wifi连接，移动端投屏时能够访问外网；7. 支持屏幕显示模式设置，支持等分模式及镜像预览模式；8. 支持定时开关机功能，支持周期性设置开关机时间；9. 支持色度参数调节功能、支持显示区域的宽高比调节功能。</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5、物联集中控制系统</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拼接中控</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采用嵌入式硬件架构；采用64位四核A55嵌入式处理器，主频高达1.5GHz</w:t>
            </w:r>
            <w:r>
              <w:rPr>
                <w:rFonts w:hint="eastAsia" w:ascii="宋体" w:hAnsi="宋体" w:cs="宋体"/>
                <w:sz w:val="18"/>
                <w:szCs w:val="18"/>
              </w:rPr>
              <w:t xml:space="preserve">；</w:t>
            </w:r>
            <w:r>
              <w:rPr>
                <w:rFonts w:hint="eastAsia" w:ascii="宋体" w:hAnsi="宋体" w:cs="宋体"/>
                <w:sz w:val="18"/>
                <w:szCs w:val="18"/>
                <w:lang w:bidi="ar"/>
              </w:rPr>
              <w:t xml:space="preserve">2. 具备两个千兆网口；支持B/S架构，支持IOS、安卓等移动平台以及PC可视化触摸控制；3. 支持可编程控制平台，这个系统支持音频、视频和周边设备控制集中于一个平台软件上控制，拖拽式操作达到人机交互功能，支持多设备间一键联动控制功能；4. 支持会场的灯光、窗帘、音响音量、无纸化等系统控制管理；5. 通过管理</w:t>
            </w:r>
            <w:r>
              <w:rPr>
                <w:rFonts w:hint="eastAsia" w:ascii="宋体" w:hAnsi="宋体" w:cs="宋体"/>
                <w:sz w:val="18"/>
                <w:szCs w:val="18"/>
                <w:lang w:bidi="ar"/>
              </w:rPr>
              <w:t xml:space="preserve">平台对多个会议室进行单独、统一控制管理，支持会议摄像实时跟踪，支持对各品牌云台、球机的控制，以及会议主机联动控制摄像头；6. 支持对大屏、投影、一体机等设备的电源控制；7. 支持大屏拼接控制，实时对视频窗口的放大、缩小、移动、关闭，还可以在触摸屏实现回显，预览内容和大屏内容同步，含配套红外学习和发射；8. 可分配不同权限，设置不同登录帐号，具备双向反馈功能；9. 支持指挥中心第三方设备的多样化控制，主机支持≥2路千兆网口，≥10路RS232，≥10路RS485/RS422（支持Modbus协议），≥8路IR</w:t>
            </w:r>
            <w:r>
              <w:rPr>
                <w:rFonts w:hint="eastAsia" w:ascii="宋体" w:hAnsi="宋体" w:cs="宋体"/>
                <w:sz w:val="18"/>
                <w:szCs w:val="18"/>
                <w:lang w:bidi="ar"/>
              </w:rPr>
              <w:t xml:space="preserve">（内嵌智能红外学习功能模块），≥8路弱继电器，≥8个输入输出I/O接口，≥4个模拟量输入接口，≥1个模拟量输出接口，≥1个DMX512灯光控制接口，带DC24V@1.1A输出，支持对接第三方设备；10. 支持双向反馈，可显示温度、湿度、PM2.5及周边环境状态；11. 支持扩展搭配移动硬盘，可记录操作日志及运行日志；12. 配备≥2.23英寸OLED显示屏，可实时显示终端IP及运行状态；具备≥1路HDMI2.0高清调试监控接口和≥2路USB3.0鼠标键盘接口，方便系统的灵活管理；≥1路TYPE-C调试接口。</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VMS可视化管理系统AI语音控制软件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软件结合语音识别引擎，可实现对普通话语音进行识别，支持语音转写文字反馈显示于操作界面；2. 支持语音控制信号源的开窗，切换信号源，场景布局，声音的调试，窗口模式的切换，场景切换；3. 可实现语音控制空调温度、音响音量、窗帘开闭、灯光开关、摄像头动作、中控场景切换等功能；4. 支持一些常用中控控件的声控，实现智能语音控制。</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语音控制引擎</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支持定制组织单位个性化语音唤醒词；2. 支持定制各类会议场景及环境控制的语音控制。</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具有≥8路自动、手动电源控制器，内置8个20A继电器，最大负载能力4400W/单路；配合中控主机使用，用于控制灯光、电动投影幕、电动窗帘等会议室周边设备</w:t>
            </w:r>
            <w:r>
              <w:rPr>
                <w:rFonts w:hint="eastAsia" w:ascii="宋体" w:hAnsi="宋体" w:cs="宋体"/>
                <w:sz w:val="18"/>
                <w:szCs w:val="18"/>
              </w:rPr>
              <w:t xml:space="preserve">；</w:t>
            </w:r>
            <w:r>
              <w:rPr>
                <w:rFonts w:hint="eastAsia" w:ascii="宋体" w:hAnsi="宋体" w:cs="宋体"/>
                <w:sz w:val="18"/>
                <w:szCs w:val="18"/>
                <w:lang w:bidi="ar"/>
              </w:rPr>
              <w:t xml:space="preserve">2. 每路继电器都有三连接点的接线柱，具有常开与常闭的功能</w:t>
            </w:r>
            <w:r>
              <w:rPr>
                <w:rFonts w:hint="eastAsia" w:ascii="宋体" w:hAnsi="宋体" w:cs="宋体"/>
                <w:sz w:val="18"/>
                <w:szCs w:val="18"/>
              </w:rPr>
              <w:t xml:space="preserve">；</w:t>
            </w:r>
            <w:r>
              <w:rPr>
                <w:rFonts w:hint="eastAsia" w:ascii="宋体" w:hAnsi="宋体" w:cs="宋体"/>
                <w:sz w:val="18"/>
                <w:szCs w:val="18"/>
                <w:lang w:bidi="ar"/>
              </w:rPr>
              <w:t xml:space="preserve">3. 具有复位按键，支持恢复到出厂的默认设置。具有1路网络接口，支持通过网络实现远程控制</w:t>
            </w:r>
            <w:r>
              <w:rPr>
                <w:rFonts w:hint="eastAsia" w:ascii="宋体" w:hAnsi="宋体" w:cs="宋体"/>
                <w:sz w:val="18"/>
                <w:szCs w:val="18"/>
              </w:rPr>
              <w:t xml:space="preserve">；</w:t>
            </w:r>
            <w:r>
              <w:rPr>
                <w:rFonts w:hint="eastAsia" w:ascii="宋体" w:hAnsi="宋体" w:cs="宋体"/>
                <w:sz w:val="18"/>
                <w:szCs w:val="18"/>
                <w:lang w:bidi="ar"/>
              </w:rPr>
              <w:t xml:space="preserve">4. 具有设备运行状态指示灯及8个继电器的开关状态指示灯</w:t>
            </w:r>
            <w:r>
              <w:rPr>
                <w:rFonts w:hint="eastAsia" w:ascii="宋体" w:hAnsi="宋体" w:cs="宋体"/>
                <w:sz w:val="18"/>
                <w:szCs w:val="18"/>
              </w:rPr>
              <w:t xml:space="preserve">；</w:t>
            </w:r>
            <w:r>
              <w:rPr>
                <w:rFonts w:hint="eastAsia" w:ascii="宋体" w:hAnsi="宋体" w:cs="宋体"/>
                <w:sz w:val="18"/>
                <w:szCs w:val="18"/>
                <w:lang w:bidi="ar"/>
              </w:rPr>
              <w:t xml:space="preserve">5. 具有键盘锁（LOCK）功能</w:t>
            </w:r>
            <w:r>
              <w:rPr>
                <w:rFonts w:hint="eastAsia" w:ascii="宋体" w:hAnsi="宋体" w:cs="宋体"/>
                <w:sz w:val="18"/>
                <w:szCs w:val="18"/>
              </w:rPr>
              <w:t xml:space="preserve">；</w:t>
            </w:r>
            <w:r>
              <w:rPr>
                <w:rFonts w:hint="eastAsia" w:ascii="宋体" w:hAnsi="宋体" w:cs="宋体"/>
                <w:sz w:val="18"/>
                <w:szCs w:val="18"/>
                <w:lang w:bidi="ar"/>
              </w:rPr>
              <w:t xml:space="preserve">6. 机器具备ID识别，通过中控主机网络控制多台时，可通过ID识别。</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18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触摸平板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10.95英寸2021及以后款120Hz高刷全面屏 鸿蒙HarmonyOS 影音娱乐办公学习平板电脑8+128GB WIFI 处理器骁龙865</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WiFi 6企业级无线VPN路由器 AX5400双频易展 2.5G网口 wifi穿墙/可变端口/AC管理 TL-XVR5400L易展版。</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6、操作台及配套桌椅</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主席台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9工位操作台；2. 主框架要求：主体框架包含有左右侧窗、上下横梁；通过通用连接件的连接形成一个独立模块，各模</w:t>
            </w:r>
            <w:r>
              <w:rPr>
                <w:rFonts w:hint="eastAsia" w:ascii="宋体" w:hAnsi="宋体" w:cs="宋体"/>
                <w:sz w:val="18"/>
                <w:szCs w:val="18"/>
                <w:lang w:bidi="ar"/>
              </w:rPr>
              <w:t xml:space="preserve">块之间通用部件一致可互换，整体连接后的各模块间内部贯通，各种线缆在控制台内能自由贯通；3. 误差要求：线性±0.5mm以内（含本数）；垂直±0.5°（含本数）；4. 台面板：表面覆盖层采用知名品牌，有耐热、耐烟灼、耐撞击、耐潮湿、防水、耐腐蚀的高压层压板（HPL），整体厚度不低于27mm，两块大面板之间需做可靠两端连接、整体连接后平整光滑无缝隙；5. 侧板：控制台的侧板表面覆盖层均采用高质量的具有耐热、耐烟灼、耐撞击、耐潮湿、防水、耐腐蚀功能的防火板，基材厚度为18mm，板材甲醛释放量均达到E1级国际标准。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半圆形操作台-5工位</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5工位半圆形操作台；2. 主框架要求：主体框架包含有左右侧窗、上下横梁；通过通用连接件的连接形成一个独立模块，各模</w:t>
            </w:r>
            <w:r>
              <w:rPr>
                <w:rFonts w:hint="eastAsia" w:ascii="宋体" w:hAnsi="宋体" w:cs="宋体"/>
                <w:sz w:val="18"/>
                <w:szCs w:val="18"/>
                <w:lang w:bidi="ar"/>
              </w:rPr>
              <w:t xml:space="preserve">块之间通用部件一致可互换，整体连接后的各模块间内部贯通，各种线缆在控制台内能自由贯通；3. 误差要求：线性±0.5mm以内（含本数）；垂直±0.5°（含本数）；4. 台面板：表面覆盖层采用知名品牌，有耐热、耐烟灼、耐撞击、耐潮湿、防水、耐腐蚀的高压层压板（HPL），整体厚度不低于27mm，两块大面板之间需做可靠两端连接、整体连接后平整光滑无缝隙；5. 侧板：控制台的侧板表面覆盖层均采用高质量的具有耐热、耐烟灼、耐撞击、耐潮湿、防水、耐腐蚀功能的防火板，基材厚度为18mm，板材甲醛释放量均达到E1级国际标准。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操作台-2工位</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2工位操作台；2. 主框架要求：主体框架包含有左右侧窗、上下横梁；通过通用连接件的连接形成一个独立模块，各模</w:t>
            </w:r>
            <w:r>
              <w:rPr>
                <w:rFonts w:hint="eastAsia" w:ascii="宋体" w:hAnsi="宋体" w:cs="宋体"/>
                <w:sz w:val="18"/>
                <w:szCs w:val="18"/>
                <w:lang w:bidi="ar"/>
              </w:rPr>
              <w:t xml:space="preserve">块之间通用部件一致可互换，整体连接后的各模块间内部贯通，各种线缆在控制台内能自由贯通；3. 误差要求：线性±0.5mm以内（含本数）；垂直±0.5°（含本数）；4. 台面板：表面覆盖层采用知名品牌，有耐热、耐烟灼、耐撞击、耐潮湿、防水、耐腐蚀的高压层压板（HPL），整体厚度不低于27mm，两块大面板之间需做可靠两端连接、整体连接后平整光滑无缝隙；5. 侧板：控制台的侧板表面覆盖层均采用高质量的具有耐热、耐烟灼、耐撞击、耐潮湿、防水、耐腐蚀功能的防火板，基材厚度为18mm，板材甲醛释放量均达到E1级国际标准。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弧形操作台-4工位</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4工位弧形操作台</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操作台-单工位</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单工位操作台；2. 主框架要求：主体框架包含有左右侧窗、上下横梁；通过通用连接件的连接形成一个独立模块，各模块</w:t>
            </w:r>
            <w:r>
              <w:rPr>
                <w:rFonts w:hint="eastAsia" w:ascii="宋体" w:hAnsi="宋体" w:cs="宋体"/>
                <w:sz w:val="18"/>
                <w:szCs w:val="18"/>
                <w:lang w:bidi="ar"/>
              </w:rPr>
              <w:t xml:space="preserve">之间通用部件一致可互换，整体连接后的各模块间内部贯通，各种线缆在控制台内能自由贯通；3. 误差要求：线性±0.5mm以内（含本数）；垂直±0.5°（含本数）；4. 台面板：表面覆盖层采用知名品牌，具有耐热、耐烟灼、耐撞击、耐潮湿、防水、耐腐蚀的高压层压板（HPL），整体厚度不低于27mm，两块大面板之间需做可靠两端连接、整体连接后平整光滑无缝隙；5. 侧板：控制台的侧板表面覆盖层均采用高质量的具有耐热、耐烟灼、耐撞击、耐潮湿、防水、耐腐蚀功能的防火板，基材厚度为18mm，板材甲醛释放量均达到E1级国际标准。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13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人体工学椅</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人体工学椅，可移动，带扶手，头枕，网面坐垫</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31</w:t>
            </w:r>
            <w:r/>
          </w:p>
        </w:tc>
      </w:tr>
      <w:tr>
        <w:trPr>
          <w:trHeight w:val="11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显示器支架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双屏/黑色</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22</w:t>
            </w:r>
            <w:r/>
          </w:p>
        </w:tc>
      </w:tr>
      <w:tr>
        <w:trPr>
          <w:trHeight w:val="26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PDU电源插座</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10A/8位/3孔</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22</w:t>
            </w:r>
            <w:r/>
          </w:p>
        </w:tc>
      </w:tr>
      <w:tr>
        <w:trPr>
          <w:trHeight w:val="22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铁皮文件柜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文件柜办公柜钢制铁皮柜资料柜凭证柜员工档案储物柜中二斗文件柜</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10</w:t>
            </w:r>
            <w:r/>
          </w:p>
        </w:tc>
      </w:tr>
      <w:tr>
        <w:trPr>
          <w:trHeight w:val="22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茶水柜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工作站</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CPU：i5-7400，内存：8G，硬盘：1T，显卡：GT730 2G独显，显示器：21.5英寸*2，键鼠套装</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22</w:t>
            </w:r>
            <w:r/>
          </w:p>
        </w:tc>
      </w:tr>
      <w:tr>
        <w:trPr>
          <w:trHeight w:val="499"/>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7、维护机房</w:t>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柜式空调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3P柜式空调</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UPS</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UPS容量为20kVA(16KW)：1. 输入电压可变范围：380V\220Vac；输出额定电压：208Vac/220Vac/230Vac/240Vac；输出功率因数：≥0.9；系统效率：在线模式：≥93%，ECO模式：≥98%UPS主机应采用先进的DSP数字控制技术，有效提升性能和系统可靠性，并实现更高功率密度的集成和小型化；2. 电池直流电压192VDC(16节一组)，可灵活配置电池节数。</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蓄电池</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容量12V100AH：1. 产品符合YD/T799-2010《通信用阀控式密封铅酸蓄电池》标准；2. 容量保存率：完全充电的蓄电池，在25±2°的环境中，静置28天后，其容量保持率应在96%以上（12V）；3. 再充电性能：不低于97.5%；4. 蓄电池的安全阀有自动开启和关闭的功能，开阀压范围是10～49kPa，闭阀压范围是1～49kPa；5. 蓄电池内阻：≤7mΩ（12V）。</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节</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64</w:t>
            </w:r>
            <w:r/>
          </w:p>
        </w:tc>
      </w:tr>
      <w:tr>
        <w:trPr>
          <w:trHeight w:val="18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电池柜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定制（含电池开关，每组1个）</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标准42U服务器机柜，含PDU</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48个10/100Base-TX以太网端口，2个10/100/1000Base-T以太网端口，2个千兆SFP（含光模块），交流供电，包转发率：13.2Mpps，交换容量：17.6Gbps</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8、装饰与综合布线</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装饰与综合布线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根据业主需求定制。包括原有装饰拆除、墙面、吊顶、防静电地板、墙面粉刷、形象墙、隔墙、门以及开关灯具、窗帘等，含供配电、防雷接地、垃圾清运等。涉及的强弱电布线施工，包括相关线缆、桥架、管材、辅材等。</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lang w:bidi="ar"/>
              </w:rPr>
              <w:t xml:space="preserve">四、融媒体中心</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1、摄像机系统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4K超清摄像机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color w:val="ff0000"/>
                <w:sz w:val="18"/>
                <w:szCs w:val="18"/>
                <w:lang w:bidi="ar"/>
              </w:rPr>
              <w:t xml:space="preserve">★</w:t>
            </w:r>
            <w:r>
              <w:rPr>
                <w:rFonts w:hint="eastAsia" w:ascii="宋体" w:hAnsi="宋体" w:cs="宋体"/>
                <w:sz w:val="18"/>
                <w:szCs w:val="18"/>
                <w:lang w:bidi="ar"/>
              </w:rPr>
              <w:t xml:space="preserve">1. 云台支持远程控制和手动控制（支持现场手动调整，在断电情况下手动调整云台上下左右位置）两种模式；定位准确度≤0.01°（</w:t>
            </w:r>
            <w:r>
              <w:rPr>
                <w:rFonts w:hint="eastAsia" w:ascii="宋体" w:hAnsi="宋体" w:cs="宋体"/>
                <w:color w:val="ff0000"/>
                <w:sz w:val="18"/>
                <w:szCs w:val="18"/>
                <w:lang w:bidi="ar"/>
              </w:rPr>
              <w:t xml:space="preserve">投标时提</w:t>
            </w:r>
            <w:r>
              <w:rPr>
                <w:rFonts w:hint="eastAsia" w:ascii="宋体" w:hAnsi="宋体" w:cs="宋体"/>
                <w:color w:val="ff0000"/>
                <w:sz w:val="18"/>
                <w:szCs w:val="18"/>
              </w:rPr>
              <w:t xml:space="preserve">供有效期内符合要求的CMA或CAL或ilac-MRA标识的第三方有资质的机构出具的检测报告并加盖制造商原厂公章的扫描</w:t>
            </w:r>
            <w:r>
              <w:rPr>
                <w:rFonts w:hint="eastAsia" w:ascii="宋体" w:hAnsi="宋体" w:cs="宋体"/>
                <w:color w:val="ff0000"/>
                <w:sz w:val="18"/>
                <w:szCs w:val="18"/>
                <w:lang w:bidi="ar"/>
              </w:rPr>
              <w:t xml:space="preserve">件</w:t>
            </w:r>
            <w:r>
              <w:rPr>
                <w:rFonts w:hint="eastAsia" w:ascii="宋体" w:hAnsi="宋体" w:cs="宋体"/>
                <w:sz w:val="18"/>
                <w:szCs w:val="18"/>
                <w:lang w:bidi="ar"/>
              </w:rPr>
              <w:t xml:space="preserve">）；</w:t>
            </w:r>
            <w:r/>
          </w:p>
          <w:p>
            <w:pPr>
              <w:jc w:val="left"/>
              <w:widowControl/>
              <w:rPr>
                <w:rFonts w:ascii="宋体" w:hAnsi="宋体" w:cs="宋体"/>
                <w:sz w:val="18"/>
                <w:szCs w:val="18"/>
              </w:rPr>
            </w:pPr>
            <w:r>
              <w:rPr>
                <w:rFonts w:hint="eastAsia" w:ascii="宋体" w:hAnsi="宋体" w:cs="宋体"/>
                <w:sz w:val="18"/>
                <w:szCs w:val="18"/>
                <w:lang w:bidi="ar"/>
              </w:rPr>
              <w:t xml:space="preserve">2. 具备1英寸CMOS传感器；3. 像素高达1300万，4K 支持4：2：2 10比特；4. 支持100条轨迹存储及调用；支持1000个预置位存储和调用；5. 自带调试屏幕可设置机位物理地址、控制协议和控制方式（RS422和IP）；6. 旋转角度范围：水平：0至300°；垂直：-100°至+100°；7. 信号输出格式：支持2160p5</w:t>
            </w:r>
            <w:r>
              <w:rPr>
                <w:rFonts w:hint="eastAsia" w:ascii="宋体" w:hAnsi="宋体" w:cs="宋体"/>
                <w:sz w:val="18"/>
                <w:szCs w:val="18"/>
                <w:lang w:bidi="ar"/>
              </w:rPr>
              <w:t xml:space="preserve">9.94、2160p50、2160p29.97、2160p25、1080p50、1080p59.94、1080i50、1080i59.94；8. 支持22倍4K拍摄，30倍高清拍摄；9. 水平速度：0.01°~60°/s 俯仰速度：0.01°~60°/s；10. 具有12G-SDI输出、4K HDMI输出，SDI和HDMI支持同时输出4K图像，可以实现系统双路视频备份；11. 支持RS422和IP同时在线，可以实现控制信号双路备份；12. 系统运行稳定画面不抖动，噪音低不影响拍摄，平均声压级不超过17dB。</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三脚架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自重3.5-3.8kg，俯仰方向角度+90°/-45°，承重3-4kg，反作用力承重3kg，携带高度800mm，工作高度750-1500mm，球碗直径75m。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2、导播间控制系统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内部通话系统</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19”机架式主机，1U高，内含XLR麦克风端子。可同时连接4组子机。4组子机为标准配备。全双工系统，可外接耳机麦克风或麦克风，音质清晰杂音少。5线接头至子机含双向通话、红/黄双色Tally灯及子机供电。面板按键LED灯光显示，可选择单独或多部子机通话。子机全双工通话系统、按钮讲话，避免各子机的环境杂音不讲话时全传至主机。子机与子机可互相通话，且皆具有音量调整。子机含Tally灯显示及外接Tally灯(内附四个)。通话距离200m以上。</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主持人耳返</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播音主持人耳返，采用嵌耳式构造，不影响正常拍摄。</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9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4K演播室回看系统</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4K 55英寸演播室返看系统；实时监看演播室最终画面；用于提示主播。</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13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27英寸 4K显示器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LGD-IPS悬浮全面屏 10bit 出厂校准 HDR400 TypeC 办公显示器 专业设计屏。</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17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落地支架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返看系统移动支架，承重最大可支持70kg，采用冷轧钢板材质。</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演播室专用22寸提词器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提词器达到演播室专业级标准，显示尺寸不小于22寸，提词器接口不少于RCA模拟接口、HDMI接口、VGA接口，提词器显示设备达到中国能效一级标准，三脚架采用独立三脚架，三脚架可独立使用，架设摄像机</w:t>
            </w:r>
            <w:r>
              <w:rPr>
                <w:rFonts w:hint="eastAsia" w:ascii="宋体" w:hAnsi="宋体" w:cs="宋体"/>
                <w:sz w:val="18"/>
                <w:szCs w:val="18"/>
              </w:rPr>
              <w:t xml:space="preserve">；</w:t>
            </w:r>
            <w:r>
              <w:rPr>
                <w:rFonts w:hint="eastAsia" w:ascii="宋体" w:hAnsi="宋体" w:cs="宋体"/>
                <w:sz w:val="18"/>
                <w:szCs w:val="18"/>
                <w:lang w:bidi="ar"/>
              </w:rPr>
              <w:t xml:space="preserve"> 2. 软件支持汉、藏、蒙、傣、维、朝鲜等少数民族语言。而且还支持国外的一些语言英、日、韩、德、俄、法、阿拉伯文等国家语言。（可根据客户的要求来增加一些语言）</w:t>
            </w:r>
            <w:r>
              <w:rPr>
                <w:rFonts w:hint="eastAsia" w:ascii="宋体" w:hAnsi="宋体" w:cs="宋体"/>
                <w:sz w:val="18"/>
                <w:szCs w:val="18"/>
              </w:rPr>
              <w:t xml:space="preserve">；</w:t>
            </w:r>
            <w:r>
              <w:rPr>
                <w:rFonts w:hint="eastAsia" w:ascii="宋体" w:hAnsi="宋体" w:cs="宋体"/>
                <w:sz w:val="18"/>
                <w:szCs w:val="18"/>
                <w:lang w:bidi="ar"/>
              </w:rPr>
              <w:t xml:space="preserve">3. 采用进口多层宽带介质分光膜（硬膜）玻璃，厚度仅为2mm，光损失率在3%以下，反光度达到50％。</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23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提词器无线远程控制器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主播可采用远程控制方式，控制提词器暂停/播放/调节文字滚动速度/插入/翻页/设置书签。</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提词器主机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具备至少两路输出，配备24寸液晶显示器，与提词器无缝连接，实现主持文稿的播放。</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sz w:val="21"/>
                <w:szCs w:val="21"/>
              </w:rPr>
            </w:pPr>
            <w:r>
              <w:rPr>
                <w:rFonts w:hint="eastAsia" w:ascii="宋体" w:hAnsi="宋体" w:cs="宋体"/>
                <w:b/>
                <w:bCs/>
                <w:sz w:val="21"/>
                <w:szCs w:val="21"/>
                <w:lang w:bidi="ar"/>
              </w:rPr>
              <w:t xml:space="preserve">3、一体化演播室系统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融合媒体制作系统</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一、整机功能 功能参数</w:t>
            </w:r>
            <w:r/>
          </w:p>
          <w:p>
            <w:pPr>
              <w:jc w:val="left"/>
              <w:widowControl/>
              <w:rPr>
                <w:rFonts w:ascii="宋体" w:hAnsi="宋体" w:cs="宋体"/>
                <w:sz w:val="18"/>
                <w:szCs w:val="18"/>
                <w:lang w:bidi="ar"/>
              </w:rPr>
            </w:pPr>
            <w:r>
              <w:rPr>
                <w:rFonts w:hint="eastAsia" w:ascii="宋体" w:hAnsi="宋体" w:cs="宋体"/>
                <w:sz w:val="18"/>
                <w:szCs w:val="18"/>
                <w:lang w:bidi="ar"/>
              </w:rPr>
              <w:t xml:space="preserve">1. 场景服务：免费提供200套真三维场景库供使用单位挑选，场景库不少于100套，厂家必须提供场景在线资源库，便于虚拟场景的扩充和更新；2. 全功能超级演播室软件：包含：资源管理模块、特技切换台模块、调音台模块、本地素材播放模块、云台控制模块、自动抠像模块、双路高精度抠像模块、局部抠像模块、虚拟机位模块、图文制作模块、播单控制模块、新闻播单模块、图</w:t>
            </w:r>
            <w:r>
              <w:rPr>
                <w:rFonts w:hint="eastAsia" w:ascii="宋体" w:hAnsi="宋体" w:cs="宋体"/>
                <w:sz w:val="18"/>
                <w:szCs w:val="18"/>
                <w:lang w:bidi="ar"/>
              </w:rPr>
              <w:t xml:space="preserve">文播出模块、拉流模块、推流模块、副屏输出模块等；3. 真三维图文制作系统包含：多视图预览模块、树形物件管理模块、物件属性调整模块、基本物件创建模块；4. 为保证系统的兼容性和拓展性，要求主机必须采用X86架构设计，不接受嵌入式架构设计方式。主机采用便携式架构便于设备运行时有足够的散热空间，要求本系统为原厂一体机，设备接口须为广播级标准；5. 高清数字视音频信号由被测系统以“MP4-H.264 20Mbps”方式采集、重放HD SDI接口特性及信号格式 信号幅度为784mV，上升时间为189ps，下降时间为1</w:t>
            </w:r>
            <w:r>
              <w:rPr>
                <w:rFonts w:hint="eastAsia" w:ascii="宋体" w:hAnsi="宋体" w:cs="宋体"/>
                <w:sz w:val="18"/>
                <w:szCs w:val="18"/>
                <w:lang w:bidi="ar"/>
              </w:rPr>
              <w:t xml:space="preserve">82ps，上升和下降时间的偏差为7ps，CRC误码秒数为0；6. 为保持设备的先进性和扩展性，融合媒体制作系统必须提供预留接口或端口，支持与本厂以及第三方点播直播系统进行无缝对接，实现后期直播点播的需求；7. 支持音频跟随功能，根据节目需要可以设置多路音频跟随一路视频信号，或者一路音频跟随多路视频信号；支持音频矩阵功能，每路音频、每个声道的调度，根据节目需求进行分组定义输出。内置多路调音台，可对每路音频分别进行音量、混音、独奏等调节lh；8. 支持操作自定义编组，可将单条或多条的命令，编组定义到键盘或控制面</w:t>
            </w:r>
            <w:r>
              <w:rPr>
                <w:rFonts w:hint="eastAsia" w:ascii="宋体" w:hAnsi="宋体" w:cs="宋体"/>
                <w:sz w:val="18"/>
                <w:szCs w:val="18"/>
                <w:lang w:bidi="ar"/>
              </w:rPr>
              <w:t xml:space="preserve">板上，在节目制作时，只需要一个按键开始，就能以编组的流程，自动完成复杂的导播切换操作，简化操作流程；9. 支持PPT/PPTX文件导入功能，导入后自动读取文件内容，生成播出单，并可作为独立信号源使用。支持PageUP、PageDown快捷操作；10. 高清视频通道特性输出幅度(l00%彩条〉 700.5mV 幅频特性 频率1-30MHz 幅度-0.4-0.0dB；11. 虚拟场景带有增强虚拟现实效果，支持真三维VR全景演播室效果，制作VR全景演播室；12. 要求支持≥4路DSK下游键信号（LOGO，时钟、字</w:t>
            </w:r>
            <w:r>
              <w:rPr>
                <w:rFonts w:hint="eastAsia" w:ascii="宋体" w:hAnsi="宋体" w:cs="宋体"/>
                <w:sz w:val="18"/>
                <w:szCs w:val="18"/>
                <w:lang w:bidi="ar"/>
              </w:rPr>
              <w:t xml:space="preserve">幕、画中画等等），支持导入TXT文档且支持采用热键方式进行字幕拍唱词；13. 支持手机摄像头信号通过无线接入系统，作为系统的可切换信号源之一，延时小于0.2s。支持笔记本电脑桌面信号通过无线接入系统，作为系统的可切换信号源之一，延时小于0.1s；14. 嵌入音频特性 幅频特性频率100-18Khz 幅度0.00-0.05dB谐波失真0.01%；15. 系统内置色键器，支持实时多路（≥7路）同时抠像，支持预制抠像参数实现一键自动抠像。备注：支持实时同色抠像，比如背景为绿色，人物身体上有绿色，可保留人物身体绿色</w:t>
            </w:r>
            <w:r>
              <w:rPr>
                <w:rFonts w:hint="eastAsia" w:ascii="宋体" w:hAnsi="宋体" w:cs="宋体"/>
                <w:sz w:val="18"/>
                <w:szCs w:val="18"/>
              </w:rPr>
              <w:t xml:space="preserve">；</w:t>
            </w:r>
            <w:r>
              <w:rPr>
                <w:rFonts w:hint="eastAsia" w:ascii="宋体" w:hAnsi="宋体" w:cs="宋体"/>
                <w:sz w:val="18"/>
                <w:szCs w:val="18"/>
                <w:lang w:bidi="ar"/>
              </w:rPr>
              <w:t xml:space="preserve">16. 每路信号源同时支持实时信号彩色校正、白平衡调整、四向裁切、长宽比调整，PTZ云台摄像机控制；17. 要求支持TS/MKV/FLV/MP4等多格式本地视频录制，录制码流可选；18. 要求可推送2路Rtmp流，编码直播功能，内置4</w:t>
            </w:r>
            <w:r>
              <w:rPr>
                <w:rFonts w:hint="eastAsia" w:ascii="宋体" w:hAnsi="宋体" w:cs="宋体"/>
                <w:sz w:val="18"/>
                <w:szCs w:val="18"/>
                <w:lang w:bidi="ar"/>
              </w:rPr>
              <w:t xml:space="preserve">K流媒体编码器，根据网络环境可自定义分辨率/码流；19. 为了增加导播内容和素材的丰富性，满足多路资源模式的录制，要求系统必须具备不少于20路信号源，包含4路摄像机信号、4路网络IP视频信号、多路DDR本地视频和图片信号、2路虚拟CG信号，1路字幕信号，1路主背景音乐信号；20. 支持对于VISCA协议的电控云台的远程遥控，可通过软件远程控制摄像机的俯仰左右摇移，镜头的远近推拉效果，且每个信号源可设定预置位；视音频素材 随机附带1000G视音频素材，160G专业音频素材，附带虚拟演播室场景；21. 硬件配置</w:t>
            </w:r>
            <w:r>
              <w:rPr>
                <w:rFonts w:hint="eastAsia" w:ascii="宋体" w:hAnsi="宋体" w:cs="宋体"/>
                <w:sz w:val="18"/>
                <w:szCs w:val="18"/>
                <w:lang w:bidi="ar"/>
              </w:rPr>
              <w:t xml:space="preserve"> 机箱：4U卧式工控机箱，尺寸不小于535*482*178(mm）满足非编高效率运转散热需求，不少于2个前置USB3.0接口，静音风扇；CPU：Intel Core I9 3.2GHz 16核24线程 单核睿频至高可达5.2GHz内存：32GB内存（16G*2）带马甲DDR5，4800MHz 显卡：NVIDIA GeForce 12G显卡，系统盘：500GB SSD固态硬盘 M.2接口(NVMe协议)*2，本地素材盘：硬盘10TB 7200转 PMR256MB缓存实现数据快速读取，显示器：28寸4K显示器；</w:t>
            </w:r>
            <w:r>
              <w:rPr>
                <w:rFonts w:hint="eastAsia" w:ascii="宋体" w:hAnsi="宋体" w:cs="宋体"/>
                <w:sz w:val="18"/>
                <w:szCs w:val="18"/>
                <w:lang w:bidi="ar"/>
              </w:rPr>
              <w:t xml:space="preserve">22. I/O输出 1、四路4K（ULTRA HD-SDI）或四路4K HDMI信号输入；2、视频输出：一路HDMI信号输出；3、支持分辨率：4K视频格式4Kp23.98 DCI、4Kp24 DCI、4Kp25 DCI、4Kp29.97 DCI、4Kp30 DCI、4Kp50 DCI、4Kp59.94 DCI、4Kp60 DCI；超高清Ultra HD视频格式 2160p23.98、2160p24、2160p25、2160p29.97、2160p30、 2160p50、2160p59.94、2160p60。</w:t>
            </w:r>
            <w:r/>
          </w:p>
          <w:p>
            <w:pPr>
              <w:jc w:val="left"/>
              <w:widowControl/>
              <w:rPr>
                <w:rFonts w:ascii="宋体" w:hAnsi="宋体" w:cs="宋体"/>
                <w:sz w:val="18"/>
                <w:szCs w:val="18"/>
                <w:lang w:bidi="ar"/>
              </w:rPr>
            </w:pPr>
            <w:r>
              <w:rPr>
                <w:rFonts w:hint="eastAsia" w:ascii="宋体" w:hAnsi="宋体" w:cs="宋体"/>
                <w:sz w:val="18"/>
                <w:szCs w:val="18"/>
                <w:lang w:bidi="ar"/>
              </w:rPr>
              <w:t xml:space="preserve">二、保修服务</w:t>
            </w:r>
            <w:r/>
          </w:p>
          <w:p>
            <w:pPr>
              <w:jc w:val="left"/>
              <w:widowControl/>
              <w:rPr>
                <w:rFonts w:ascii="宋体" w:hAnsi="宋体" w:cs="宋体"/>
                <w:sz w:val="18"/>
                <w:szCs w:val="18"/>
              </w:rPr>
            </w:pPr>
            <w:r>
              <w:rPr>
                <w:rFonts w:hint="eastAsia" w:ascii="宋体" w:hAnsi="宋体" w:cs="宋体"/>
                <w:b/>
                <w:bCs/>
                <w:sz w:val="18"/>
                <w:szCs w:val="18"/>
                <w:lang w:bidi="ar"/>
              </w:rPr>
              <w:t xml:space="preserve">整机提供五年硬件质保，整机核心部件如厂商提供质保服务超过五年，按照部件厂商保修服务进行质保</w:t>
            </w:r>
            <w:r>
              <w:rPr>
                <w:rFonts w:hint="eastAsia" w:ascii="宋体" w:hAnsi="宋体" w:cs="宋体"/>
                <w:sz w:val="18"/>
                <w:szCs w:val="18"/>
                <w:lang w:bidi="ar"/>
              </w:rPr>
              <w:t xml:space="preserve">，整机厂家免费提供安装调试培训，软件提供终身维护，免费提供远程指导，电话指导，在线培训等额外服务。提供备机服务。</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返看监视器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55英寸 4K超高清远场语音，金属全面屏，液晶护眼平板电视</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4、音频设备</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播音话筒</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镁合金底座，稳重、高端、时尚设计</w:t>
            </w:r>
            <w:r>
              <w:rPr>
                <w:rFonts w:hint="eastAsia" w:ascii="宋体" w:hAnsi="宋体" w:cs="宋体"/>
                <w:sz w:val="18"/>
                <w:szCs w:val="18"/>
              </w:rPr>
              <w:t xml:space="preserve">；</w:t>
            </w:r>
            <w:r>
              <w:rPr>
                <w:rFonts w:hint="eastAsia" w:ascii="宋体" w:hAnsi="宋体" w:cs="宋体"/>
                <w:sz w:val="18"/>
                <w:szCs w:val="18"/>
                <w:lang w:bidi="ar"/>
              </w:rPr>
              <w:t xml:space="preserve">2. 话筒杆采用软管设计，音色通透</w:t>
            </w:r>
            <w:r>
              <w:rPr>
                <w:rFonts w:hint="eastAsia" w:ascii="宋体" w:hAnsi="宋体" w:cs="宋体"/>
                <w:sz w:val="18"/>
                <w:szCs w:val="18"/>
              </w:rPr>
              <w:t xml:space="preserve">；</w:t>
            </w:r>
            <w:r>
              <w:rPr>
                <w:rFonts w:hint="eastAsia" w:ascii="宋体" w:hAnsi="宋体" w:cs="宋体"/>
                <w:sz w:val="18"/>
                <w:szCs w:val="18"/>
                <w:lang w:bidi="ar"/>
              </w:rPr>
              <w:t xml:space="preserve">3. 拾音距离长，音质清晰，失真度低</w:t>
            </w:r>
            <w:r/>
          </w:p>
          <w:p>
            <w:pPr>
              <w:jc w:val="left"/>
              <w:widowControl/>
              <w:rPr>
                <w:rFonts w:ascii="宋体" w:hAnsi="宋体" w:cs="宋体"/>
                <w:sz w:val="18"/>
                <w:szCs w:val="18"/>
              </w:rPr>
            </w:pPr>
            <w:r>
              <w:rPr>
                <w:rFonts w:hint="eastAsia" w:ascii="宋体" w:hAnsi="宋体" w:cs="宋体"/>
                <w:sz w:val="18"/>
                <w:szCs w:val="18"/>
                <w:lang w:bidi="ar"/>
              </w:rPr>
              <w:t xml:space="preserve">4. 换能方式：电容式咪芯（直径9.7mm）</w:t>
            </w:r>
            <w:r>
              <w:rPr>
                <w:rFonts w:hint="eastAsia" w:ascii="宋体" w:hAnsi="宋体" w:cs="宋体"/>
                <w:sz w:val="18"/>
                <w:szCs w:val="18"/>
              </w:rPr>
              <w:t xml:space="preserve">；</w:t>
            </w:r>
            <w:r>
              <w:rPr>
                <w:rFonts w:hint="eastAsia" w:ascii="宋体" w:hAnsi="宋体" w:cs="宋体"/>
                <w:sz w:val="18"/>
                <w:szCs w:val="18"/>
                <w:lang w:bidi="ar"/>
              </w:rPr>
              <w:t xml:space="preserve">5. 应用场景：中小型会议，广播中心，教学授课，演讲辩论，教堂应用，监控应用等</w:t>
            </w:r>
            <w:r>
              <w:rPr>
                <w:rFonts w:hint="eastAsia" w:ascii="宋体" w:hAnsi="宋体" w:cs="宋体"/>
                <w:sz w:val="18"/>
                <w:szCs w:val="18"/>
              </w:rPr>
              <w:t xml:space="preserve">；</w:t>
            </w:r>
            <w:r>
              <w:rPr>
                <w:rFonts w:hint="eastAsia" w:ascii="宋体" w:hAnsi="宋体" w:cs="宋体"/>
                <w:sz w:val="18"/>
                <w:szCs w:val="18"/>
                <w:lang w:bidi="ar"/>
              </w:rPr>
              <w:t xml:space="preserve">6. 指向性：超心型指向</w:t>
            </w:r>
            <w:r>
              <w:rPr>
                <w:rFonts w:hint="eastAsia" w:ascii="宋体" w:hAnsi="宋体" w:cs="宋体"/>
                <w:sz w:val="18"/>
                <w:szCs w:val="18"/>
              </w:rPr>
              <w:t xml:space="preserve">；</w:t>
            </w:r>
            <w:r>
              <w:rPr>
                <w:rFonts w:hint="eastAsia" w:ascii="宋体" w:hAnsi="宋体" w:cs="宋体"/>
                <w:sz w:val="18"/>
                <w:szCs w:val="18"/>
                <w:lang w:bidi="ar"/>
              </w:rPr>
              <w:t xml:space="preserve">7. 音频输出方式：平衡输出</w:t>
            </w:r>
            <w:r>
              <w:rPr>
                <w:rFonts w:hint="eastAsia" w:ascii="宋体" w:hAnsi="宋体" w:cs="宋体"/>
                <w:sz w:val="18"/>
                <w:szCs w:val="18"/>
              </w:rPr>
              <w:t xml:space="preserve">；</w:t>
            </w:r>
            <w:r>
              <w:rPr>
                <w:rFonts w:hint="eastAsia" w:ascii="宋体" w:hAnsi="宋体" w:cs="宋体"/>
                <w:sz w:val="18"/>
                <w:szCs w:val="18"/>
                <w:lang w:bidi="ar"/>
              </w:rPr>
              <w:t xml:space="preserve">8. 灵敏度：-47dB±3dB(F=1KHz，S.P.L=1Pa，0dB=1V/Pa)</w:t>
            </w:r>
            <w:r>
              <w:rPr>
                <w:rFonts w:hint="eastAsia" w:ascii="宋体" w:hAnsi="宋体" w:cs="宋体"/>
                <w:sz w:val="18"/>
                <w:szCs w:val="18"/>
              </w:rPr>
              <w:t xml:space="preserve">；</w:t>
            </w:r>
            <w:r>
              <w:rPr>
                <w:rFonts w:hint="eastAsia" w:ascii="宋体" w:hAnsi="宋体" w:cs="宋体"/>
                <w:sz w:val="18"/>
                <w:szCs w:val="18"/>
                <w:lang w:bidi="ar"/>
              </w:rPr>
              <w:t xml:space="preserve">9. 有效适音距离：5-60cm</w:t>
            </w:r>
            <w:r>
              <w:rPr>
                <w:rFonts w:hint="eastAsia" w:ascii="宋体" w:hAnsi="宋体" w:cs="宋体"/>
                <w:sz w:val="18"/>
                <w:szCs w:val="18"/>
              </w:rPr>
              <w:t xml:space="preserve">；</w:t>
            </w:r>
            <w:r>
              <w:rPr>
                <w:rFonts w:hint="eastAsia" w:ascii="宋体" w:hAnsi="宋体" w:cs="宋体"/>
                <w:sz w:val="18"/>
                <w:szCs w:val="18"/>
                <w:lang w:bidi="ar"/>
              </w:rPr>
              <w:t xml:space="preserve">10. 最大承受声压：105dB(F=1KHz，THD&lt;5%)</w:t>
            </w:r>
            <w:r>
              <w:rPr>
                <w:rFonts w:hint="eastAsia" w:ascii="宋体" w:hAnsi="宋体" w:cs="宋体"/>
                <w:sz w:val="18"/>
                <w:szCs w:val="18"/>
              </w:rPr>
              <w:t xml:space="preserve">；</w:t>
            </w:r>
            <w:r>
              <w:rPr>
                <w:rFonts w:hint="eastAsia" w:ascii="宋体" w:hAnsi="宋体" w:cs="宋体"/>
                <w:sz w:val="18"/>
                <w:szCs w:val="18"/>
                <w:lang w:bidi="ar"/>
              </w:rPr>
              <w:t xml:space="preserve">11. 输出阻抗（欧姆）： 160Ω±20%</w:t>
            </w:r>
            <w:r>
              <w:rPr>
                <w:rFonts w:hint="eastAsia" w:ascii="宋体" w:hAnsi="宋体" w:cs="宋体"/>
                <w:sz w:val="18"/>
                <w:szCs w:val="18"/>
              </w:rPr>
              <w:t xml:space="preserve">；</w:t>
            </w:r>
            <w:r>
              <w:rPr>
                <w:rFonts w:hint="eastAsia" w:ascii="宋体" w:hAnsi="宋体" w:cs="宋体"/>
                <w:sz w:val="18"/>
                <w:szCs w:val="18"/>
                <w:lang w:bidi="ar"/>
              </w:rPr>
              <w:t xml:space="preserve">12. 不失真最大输出：250mV 1.35mA(-68±2dBm)</w:t>
            </w:r>
            <w:r>
              <w:rPr>
                <w:rFonts w:hint="eastAsia" w:ascii="宋体" w:hAnsi="宋体" w:cs="宋体"/>
                <w:sz w:val="18"/>
                <w:szCs w:val="18"/>
              </w:rPr>
              <w:t xml:space="preserve">；</w:t>
            </w:r>
            <w:r>
              <w:rPr>
                <w:rFonts w:hint="eastAsia" w:ascii="宋体" w:hAnsi="宋体" w:cs="宋体"/>
                <w:sz w:val="18"/>
                <w:szCs w:val="18"/>
                <w:lang w:bidi="ar"/>
              </w:rPr>
              <w:t xml:space="preserve">13. 供电电压(V）：幻像48V</w:t>
            </w:r>
            <w:r>
              <w:rPr>
                <w:rFonts w:hint="eastAsia" w:ascii="宋体" w:hAnsi="宋体" w:cs="宋体"/>
                <w:sz w:val="18"/>
                <w:szCs w:val="18"/>
              </w:rPr>
              <w:t xml:space="preserve">；</w:t>
            </w:r>
            <w:r>
              <w:rPr>
                <w:rFonts w:hint="eastAsia" w:ascii="宋体" w:hAnsi="宋体" w:cs="宋体"/>
                <w:sz w:val="18"/>
                <w:szCs w:val="18"/>
                <w:lang w:bidi="ar"/>
              </w:rPr>
              <w:t xml:space="preserve">14. 音频线：XLR，6m。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102"/>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无线领夹话筒</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高亮度以及大尺寸LCD液晶显示，让工作状态清晰全面</w:t>
            </w:r>
            <w:r>
              <w:rPr>
                <w:rFonts w:hint="eastAsia" w:ascii="宋体" w:hAnsi="宋体" w:cs="宋体"/>
                <w:sz w:val="18"/>
                <w:szCs w:val="18"/>
              </w:rPr>
              <w:t xml:space="preserve">；</w:t>
            </w:r>
            <w:r>
              <w:rPr>
                <w:rFonts w:hint="eastAsia" w:ascii="宋体" w:hAnsi="宋体" w:cs="宋体"/>
                <w:sz w:val="18"/>
                <w:szCs w:val="18"/>
                <w:lang w:bidi="ar"/>
              </w:rPr>
              <w:t xml:space="preserve">2. 采用最新的数字导频技术，每次开启进行数字信号识别，确保唯一ID码</w:t>
            </w:r>
            <w:r>
              <w:rPr>
                <w:rFonts w:hint="eastAsia" w:ascii="宋体" w:hAnsi="宋体" w:cs="宋体"/>
                <w:sz w:val="18"/>
                <w:szCs w:val="18"/>
              </w:rPr>
              <w:t xml:space="preserve">；</w:t>
            </w:r>
            <w:r>
              <w:rPr>
                <w:rFonts w:hint="eastAsia" w:ascii="宋体" w:hAnsi="宋体" w:cs="宋体"/>
                <w:sz w:val="18"/>
                <w:szCs w:val="18"/>
                <w:lang w:bidi="ar"/>
              </w:rPr>
              <w:t xml:space="preserve">3. 射频静噪控制系统，有效地消除了环境噪音和来自其它无线话筒系统的无用信号</w:t>
            </w:r>
            <w:r>
              <w:rPr>
                <w:rFonts w:hint="eastAsia" w:ascii="宋体" w:hAnsi="宋体" w:cs="宋体"/>
                <w:sz w:val="18"/>
                <w:szCs w:val="18"/>
              </w:rPr>
              <w:t xml:space="preserve">；</w:t>
            </w:r>
            <w:r>
              <w:rPr>
                <w:rFonts w:hint="eastAsia" w:ascii="宋体" w:hAnsi="宋体" w:cs="宋体"/>
                <w:sz w:val="18"/>
                <w:szCs w:val="18"/>
                <w:lang w:bidi="ar"/>
              </w:rPr>
              <w:t xml:space="preserve">4. 真分集接收技术，确保双天线智能切换接收发射信号</w:t>
            </w:r>
            <w:r>
              <w:rPr>
                <w:rFonts w:hint="eastAsia" w:ascii="宋体" w:hAnsi="宋体" w:cs="宋体"/>
                <w:sz w:val="18"/>
                <w:szCs w:val="18"/>
              </w:rPr>
              <w:t xml:space="preserve">；</w:t>
            </w:r>
            <w:r>
              <w:rPr>
                <w:rFonts w:hint="eastAsia" w:ascii="宋体" w:hAnsi="宋体" w:cs="宋体"/>
                <w:sz w:val="18"/>
                <w:szCs w:val="18"/>
                <w:lang w:bidi="ar"/>
              </w:rPr>
              <w:t xml:space="preserve">5. 音码静噪锁定控制功能，能有效阻隔外界信号的干扰</w:t>
            </w:r>
            <w:r>
              <w:rPr>
                <w:rFonts w:hint="eastAsia" w:ascii="宋体" w:hAnsi="宋体" w:cs="宋体"/>
                <w:sz w:val="18"/>
                <w:szCs w:val="18"/>
              </w:rPr>
              <w:t xml:space="preserve">；</w:t>
            </w:r>
            <w:r>
              <w:rPr>
                <w:rFonts w:hint="eastAsia" w:ascii="宋体" w:hAnsi="宋体" w:cs="宋体"/>
                <w:sz w:val="18"/>
                <w:szCs w:val="18"/>
                <w:lang w:bidi="ar"/>
              </w:rPr>
              <w:t xml:space="preserve">6. CPU微电脑控制技术，可以进行选频、显示、静音设定、电池容量监测等处理</w:t>
            </w:r>
            <w:r>
              <w:rPr>
                <w:rFonts w:hint="eastAsia" w:ascii="宋体" w:hAnsi="宋体" w:cs="宋体"/>
                <w:sz w:val="18"/>
                <w:szCs w:val="18"/>
              </w:rPr>
              <w:t xml:space="preserve">；</w:t>
            </w:r>
            <w:r>
              <w:rPr>
                <w:rFonts w:hint="eastAsia" w:ascii="宋体" w:hAnsi="宋体" w:cs="宋体"/>
                <w:sz w:val="18"/>
                <w:szCs w:val="18"/>
                <w:lang w:bidi="ar"/>
              </w:rPr>
              <w:t xml:space="preserve">7. 发射大功率设定，确保远距离接收，多套叠机使用空旷距离约120m。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16路调音台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16路单声道输入</w:t>
            </w:r>
            <w:r>
              <w:rPr>
                <w:rFonts w:hint="eastAsia" w:ascii="宋体" w:hAnsi="宋体" w:cs="宋体"/>
                <w:sz w:val="18"/>
                <w:szCs w:val="18"/>
              </w:rPr>
              <w:t xml:space="preserve">；</w:t>
            </w:r>
            <w:r>
              <w:rPr>
                <w:rFonts w:hint="eastAsia" w:ascii="宋体" w:hAnsi="宋体" w:cs="宋体"/>
                <w:sz w:val="18"/>
                <w:szCs w:val="18"/>
                <w:lang w:bidi="ar"/>
              </w:rPr>
              <w:t xml:space="preserve">2. 每路单声道输入</w:t>
            </w:r>
            <w:r>
              <w:rPr>
                <w:rFonts w:hint="eastAsia" w:ascii="宋体" w:hAnsi="宋体" w:cs="宋体"/>
                <w:sz w:val="18"/>
                <w:szCs w:val="18"/>
              </w:rPr>
              <w:t xml:space="preserve">；</w:t>
            </w:r>
            <w:r>
              <w:rPr>
                <w:rFonts w:hint="eastAsia" w:ascii="宋体" w:hAnsi="宋体" w:cs="宋体"/>
                <w:sz w:val="18"/>
                <w:szCs w:val="18"/>
                <w:lang w:bidi="ar"/>
              </w:rPr>
              <w:t xml:space="preserve">3. 内置专业数码（320DSP）效果器，带电平显示灯</w:t>
            </w:r>
            <w:r>
              <w:rPr>
                <w:rFonts w:hint="eastAsia" w:ascii="宋体" w:hAnsi="宋体" w:cs="宋体"/>
                <w:sz w:val="18"/>
                <w:szCs w:val="18"/>
              </w:rPr>
              <w:t xml:space="preserve">；</w:t>
            </w:r>
            <w:r>
              <w:rPr>
                <w:rFonts w:hint="eastAsia" w:ascii="宋体" w:hAnsi="宋体" w:cs="宋体"/>
                <w:sz w:val="18"/>
                <w:szCs w:val="18"/>
                <w:lang w:bidi="ar"/>
              </w:rPr>
              <w:t xml:space="preserve">4. 新古典英式3波段均衡器，使音色变得温暖，音乐性极强</w:t>
            </w:r>
            <w:r>
              <w:rPr>
                <w:rFonts w:hint="eastAsia" w:ascii="宋体" w:hAnsi="宋体" w:cs="宋体"/>
                <w:sz w:val="18"/>
                <w:szCs w:val="18"/>
              </w:rPr>
              <w:t xml:space="preserve">；</w:t>
            </w:r>
            <w:r>
              <w:rPr>
                <w:rFonts w:hint="eastAsia" w:ascii="宋体" w:hAnsi="宋体" w:cs="宋体"/>
                <w:sz w:val="18"/>
                <w:szCs w:val="18"/>
                <w:lang w:bidi="ar"/>
              </w:rPr>
              <w:t xml:space="preserve">5. 每声道有4个辅助传送</w:t>
            </w:r>
            <w:r>
              <w:rPr>
                <w:rFonts w:hint="eastAsia" w:ascii="宋体" w:hAnsi="宋体" w:cs="宋体"/>
                <w:sz w:val="18"/>
                <w:szCs w:val="18"/>
              </w:rPr>
              <w:t xml:space="preserve">；</w:t>
            </w:r>
            <w:r>
              <w:rPr>
                <w:rFonts w:hint="eastAsia" w:ascii="宋体" w:hAnsi="宋体" w:cs="宋体"/>
                <w:sz w:val="18"/>
                <w:szCs w:val="18"/>
                <w:lang w:bidi="ar"/>
              </w:rPr>
              <w:t xml:space="preserve">6. 所以声道都配有峰值二极发光管，静音功能*2个功能立体声辅助回送接口，提供很大灵活性</w:t>
            </w:r>
            <w:r>
              <w:rPr>
                <w:rFonts w:hint="eastAsia" w:ascii="宋体" w:hAnsi="宋体" w:cs="宋体"/>
                <w:sz w:val="18"/>
                <w:szCs w:val="18"/>
              </w:rPr>
              <w:t xml:space="preserve">；</w:t>
            </w:r>
            <w:r>
              <w:rPr>
                <w:rFonts w:hint="eastAsia" w:ascii="宋体" w:hAnsi="宋体" w:cs="宋体"/>
                <w:sz w:val="18"/>
                <w:szCs w:val="18"/>
                <w:lang w:bidi="ar"/>
              </w:rPr>
              <w:t xml:space="preserve">7. 经久耐用的60mm流线型推杆和密封控制旋钮</w:t>
            </w:r>
            <w:r>
              <w:rPr>
                <w:rFonts w:hint="eastAsia" w:ascii="宋体" w:hAnsi="宋体" w:cs="宋体"/>
                <w:sz w:val="18"/>
                <w:szCs w:val="18"/>
              </w:rPr>
              <w:t xml:space="preserve">；</w:t>
            </w:r>
            <w:r>
              <w:rPr>
                <w:rFonts w:hint="eastAsia" w:ascii="宋体" w:hAnsi="宋体" w:cs="宋体"/>
                <w:sz w:val="18"/>
                <w:szCs w:val="18"/>
                <w:lang w:bidi="ar"/>
              </w:rPr>
              <w:t xml:space="preserve">8. 使用灵活，具有无噪声，瞬间反应好，电耗低的特性</w:t>
            </w:r>
            <w:r>
              <w:rPr>
                <w:rFonts w:hint="eastAsia" w:ascii="宋体" w:hAnsi="宋体" w:cs="宋体"/>
                <w:sz w:val="18"/>
                <w:szCs w:val="18"/>
              </w:rPr>
              <w:t xml:space="preserve">；</w:t>
            </w:r>
            <w:r>
              <w:rPr>
                <w:rFonts w:hint="eastAsia" w:ascii="宋体" w:hAnsi="宋体" w:cs="宋体"/>
                <w:sz w:val="18"/>
                <w:szCs w:val="18"/>
                <w:lang w:bidi="ar"/>
              </w:rPr>
              <w:t xml:space="preserve">9. 高品质的元件和极其牢固的结构，使产品经久耐用，MP3播放器，蓝牙连接，带USB输入</w:t>
            </w:r>
            <w:r>
              <w:rPr>
                <w:rFonts w:hint="eastAsia" w:ascii="宋体" w:hAnsi="宋体" w:cs="宋体"/>
                <w:sz w:val="18"/>
                <w:szCs w:val="18"/>
              </w:rPr>
              <w:t xml:space="preserve">；</w:t>
            </w:r>
            <w:r>
              <w:rPr>
                <w:rFonts w:hint="eastAsia" w:ascii="宋体" w:hAnsi="宋体" w:cs="宋体"/>
                <w:sz w:val="18"/>
                <w:szCs w:val="18"/>
                <w:lang w:bidi="ar"/>
              </w:rPr>
              <w:t xml:space="preserve">10. 高精度三色电平显示，能准确控制输出水平</w:t>
            </w:r>
            <w:r>
              <w:rPr>
                <w:rFonts w:hint="eastAsia" w:ascii="宋体" w:hAnsi="宋体" w:cs="宋体"/>
                <w:sz w:val="18"/>
                <w:szCs w:val="18"/>
              </w:rPr>
              <w:t xml:space="preserve">；</w:t>
            </w:r>
            <w:r>
              <w:rPr>
                <w:rFonts w:hint="eastAsia" w:ascii="宋体" w:hAnsi="宋体" w:cs="宋体"/>
                <w:sz w:val="18"/>
                <w:szCs w:val="18"/>
                <w:lang w:bidi="ar"/>
              </w:rPr>
              <w:t xml:space="preserve">11. 独特4个AUX辅助输出。</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专业监听耳机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频响范围：15–20000Hz；2. 阻抗：40ohms；3. 灵敏度：96dB</w:t>
            </w:r>
            <w:r>
              <w:rPr>
                <w:rFonts w:hint="eastAsia" w:ascii="宋体" w:hAnsi="宋体" w:cs="宋体"/>
                <w:sz w:val="18"/>
                <w:szCs w:val="18"/>
              </w:rPr>
              <w:t xml:space="preserve">；</w:t>
            </w:r>
            <w:r>
              <w:rPr>
                <w:rFonts w:hint="eastAsia" w:ascii="宋体" w:hAnsi="宋体" w:cs="宋体"/>
                <w:sz w:val="18"/>
                <w:szCs w:val="18"/>
                <w:lang w:bidi="ar"/>
              </w:rPr>
              <w:t xml:space="preserve">4. 最大承载功率：700mW at 1kHz</w:t>
            </w:r>
            <w:r>
              <w:rPr>
                <w:rFonts w:hint="eastAsia" w:ascii="宋体" w:hAnsi="宋体" w:cs="宋体"/>
                <w:sz w:val="18"/>
                <w:szCs w:val="18"/>
              </w:rPr>
              <w:t xml:space="preserve">；</w:t>
            </w:r>
            <w:r>
              <w:rPr>
                <w:rFonts w:hint="eastAsia" w:ascii="宋体" w:hAnsi="宋体" w:cs="宋体"/>
                <w:sz w:val="18"/>
                <w:szCs w:val="18"/>
                <w:lang w:bidi="ar"/>
              </w:rPr>
              <w:t xml:space="preserve">5. 驱动单元类型/直径：40mm。</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专业监听音箱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声道：2.0，理论功率：17W*2；2. 频响范围：62Hz-20KHz；3. 防磁功能：支持；4. 音箱控制：旋钮；5. 扬声器单元：4英寸低音单元；6. 20mm丝膜高音；7. 低音调节：支持，接口：RCA</w:t>
            </w:r>
            <w:r>
              <w:rPr>
                <w:rFonts w:hint="eastAsia" w:ascii="宋体" w:hAnsi="宋体" w:cs="宋体"/>
                <w:sz w:val="18"/>
                <w:szCs w:val="18"/>
              </w:rPr>
              <w:t xml:space="preserve">；</w:t>
            </w:r>
            <w:r>
              <w:rPr>
                <w:rFonts w:hint="eastAsia" w:ascii="宋体" w:hAnsi="宋体" w:cs="宋体"/>
                <w:sz w:val="18"/>
                <w:szCs w:val="18"/>
                <w:lang w:bidi="ar"/>
              </w:rPr>
              <w:t xml:space="preserve">8. 电源：220V。</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电源时序器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2寸彩色液晶智能显示窗，实时显示当前电压、日期时间，通道开关状态；2. 定时开关机功能，内置时钟芯片，可根据日期时间设定，无需人为操作，让设备管理更简单；3. 8路通道输出，每路延时开启和关闭时间可自由设置（范围0~999S）；4. 10组设备开关场景数据保存/调用，场景管理应用简单便捷；5. 特设欠压、超压检测及报警功能，为您的设备提供了可靠的保障，总功率6000W，单路最大功率2000W；6. 支持多台设备级联控制，级联状态可自动检测及设置；</w:t>
            </w:r>
            <w:r/>
          </w:p>
          <w:p>
            <w:pPr>
              <w:jc w:val="left"/>
              <w:widowControl/>
              <w:rPr>
                <w:rFonts w:ascii="宋体" w:hAnsi="宋体" w:cs="宋体"/>
                <w:sz w:val="18"/>
                <w:szCs w:val="18"/>
              </w:rPr>
            </w:pPr>
            <w:r>
              <w:rPr>
                <w:rFonts w:hint="eastAsia" w:ascii="宋体" w:hAnsi="宋体" w:cs="宋体"/>
                <w:sz w:val="18"/>
                <w:szCs w:val="18"/>
                <w:lang w:bidi="ar"/>
              </w:rPr>
              <w:t xml:space="preserve">7. 配置RS232接口，支持外部中央控制设备控制；8. 可实现远程集中控制，每台设备自带设备编码ID检测和设置；9. 支持面板Lock锁定功能，防止人为误操作。</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抑制器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lang w:bidi="ar"/>
              </w:rPr>
            </w:pPr>
            <w:r>
              <w:rPr>
                <w:rFonts w:hint="eastAsia" w:ascii="宋体" w:hAnsi="宋体" w:cs="宋体"/>
                <w:color w:val="ff0000"/>
                <w:sz w:val="18"/>
                <w:szCs w:val="18"/>
                <w:lang w:bidi="ar"/>
              </w:rPr>
              <w:t xml:space="preserve">★</w:t>
            </w:r>
            <w:r>
              <w:rPr>
                <w:rFonts w:hint="eastAsia" w:ascii="宋体" w:hAnsi="宋体" w:cs="宋体"/>
                <w:sz w:val="18"/>
                <w:szCs w:val="18"/>
                <w:lang w:bidi="ar"/>
              </w:rPr>
              <w:t xml:space="preserve">1. 采用“陷波”+“移频”双方式进行反馈抑制。陷波器提供12固定点+12动态点。高精度移频，范围≥-10Hz到10Hz；均衡器支持≥31段图示均衡器和8段参量均衡器（</w:t>
            </w:r>
            <w:r>
              <w:rPr>
                <w:rFonts w:hint="eastAsia" w:ascii="宋体" w:hAnsi="宋体" w:cs="宋体"/>
                <w:color w:val="ff0000"/>
                <w:sz w:val="18"/>
                <w:szCs w:val="18"/>
                <w:lang w:bidi="ar"/>
              </w:rPr>
              <w:t xml:space="preserve">投标时提供功能界面截图并提供与截图相同的产品的型号检测报</w:t>
            </w:r>
            <w:r>
              <w:rPr>
                <w:rFonts w:hint="eastAsia" w:ascii="宋体" w:hAnsi="宋体" w:cs="宋体"/>
                <w:color w:val="ff0000"/>
                <w:sz w:val="18"/>
                <w:szCs w:val="18"/>
              </w:rPr>
              <w:t xml:space="preserve">告并加盖制造商原厂公章的扫</w:t>
            </w:r>
            <w:r>
              <w:rPr>
                <w:rFonts w:hint="eastAsia" w:ascii="宋体" w:hAnsi="宋体" w:cs="宋体"/>
                <w:color w:val="ff0000"/>
                <w:sz w:val="18"/>
                <w:szCs w:val="18"/>
                <w:lang w:bidi="ar"/>
              </w:rPr>
              <w:t xml:space="preserve">描件</w:t>
            </w:r>
            <w:r>
              <w:rPr>
                <w:rFonts w:hint="eastAsia" w:ascii="宋体" w:hAnsi="宋体" w:cs="宋体"/>
                <w:sz w:val="18"/>
                <w:szCs w:val="18"/>
                <w:lang w:bidi="ar"/>
              </w:rPr>
              <w:t xml:space="preserve">）；</w:t>
            </w:r>
            <w:r/>
          </w:p>
          <w:p>
            <w:pPr>
              <w:jc w:val="left"/>
              <w:widowControl/>
              <w:rPr>
                <w:rFonts w:ascii="宋体" w:hAnsi="宋体" w:cs="宋体"/>
                <w:sz w:val="18"/>
                <w:szCs w:val="18"/>
              </w:rPr>
            </w:pPr>
            <w:r>
              <w:rPr>
                <w:rFonts w:hint="eastAsia" w:ascii="宋体" w:hAnsi="宋体" w:cs="宋体"/>
                <w:sz w:val="18"/>
                <w:szCs w:val="18"/>
                <w:lang w:bidi="ar"/>
              </w:rPr>
              <w:t xml:space="preserve">2. 高性能DSP处理，≥40-bit DPS处理器（400兆主频），提供≥32-bit/48kHz的声音；3. 支持巴特沃斯，贝塞尔，林克威治-瑞利三种类型及多种倍频</w:t>
            </w:r>
            <w:r>
              <w:rPr>
                <w:rFonts w:hint="eastAsia" w:ascii="宋体" w:hAnsi="宋体" w:cs="宋体"/>
                <w:sz w:val="18"/>
                <w:szCs w:val="18"/>
                <w:lang w:bidi="ar"/>
              </w:rPr>
              <w:t xml:space="preserve">程；4. 具有自动增益功能，声音达到一定峰值自动衰减变小，声音较小则自动增益放大；5. 具有一个IPS真彩显示屏。支持中英文切换显示；6. 具有≥48个陷波器状态LED指示灯实时显示，每通道≥12个静态+≥12个动态陷波器；7. 具有双通道直通，一键重置陷波点配置功能；8. 支持≥4个场景切换；9. 支持设备定位功能、断电自动保护记忆功能；10. 输入通道及插座≥2路XLR与TRS多功能座模拟输入；输出通道及插座≥2路XLR公座+≥2路TRS公座模拟输出；11. 支持通过后台管理软件对多台设备进行批量升级。</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5、录音棚设备</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15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音频工作站</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音频制作软件：ADOBE AU，MUSIC；2. 音频输入接口：·6进4出USB2.0音频接口·4个D-PRE话放·采样精度和采样频率高达24bit/192KHZ·包含MIDI接口同时兼具了高功能性和便携性的UR44，是一款应用范围广泛的强大的音频/MIDI接口</w:t>
            </w:r>
            <w:r>
              <w:rPr>
                <w:rFonts w:hint="eastAsia" w:ascii="宋体" w:hAnsi="宋体" w:cs="宋体"/>
                <w:sz w:val="18"/>
                <w:szCs w:val="18"/>
              </w:rPr>
              <w:t xml:space="preserve">；</w:t>
            </w:r>
            <w:r>
              <w:rPr>
                <w:rFonts w:hint="eastAsia" w:ascii="宋体" w:hAnsi="宋体" w:cs="宋体"/>
                <w:sz w:val="18"/>
                <w:szCs w:val="18"/>
                <w:lang w:bidi="ar"/>
              </w:rPr>
              <w:t xml:space="preserve">3. 4个话放，6个输入，4个输出，MIDI接口，集成DSP供电以及与iPad的连接功能都体现了它的高度灵活性</w:t>
            </w:r>
            <w:r>
              <w:rPr>
                <w:rFonts w:hint="eastAsia" w:ascii="宋体" w:hAnsi="宋体" w:cs="宋体"/>
                <w:sz w:val="18"/>
                <w:szCs w:val="18"/>
              </w:rPr>
              <w:t xml:space="preserve">；</w:t>
            </w:r>
            <w:r/>
          </w:p>
          <w:p>
            <w:pPr>
              <w:jc w:val="left"/>
              <w:widowControl/>
              <w:rPr>
                <w:rFonts w:ascii="宋体" w:hAnsi="宋体" w:cs="宋体"/>
                <w:sz w:val="18"/>
                <w:szCs w:val="18"/>
              </w:rPr>
            </w:pPr>
            <w:r>
              <w:rPr>
                <w:rFonts w:hint="eastAsia" w:ascii="宋体" w:hAnsi="宋体" w:cs="宋体"/>
                <w:sz w:val="18"/>
                <w:szCs w:val="18"/>
                <w:lang w:bidi="ar"/>
              </w:rPr>
              <w:t xml:space="preserve">4. 硬件配置：CPU I7；内存16GB；硬盘480G+4TB。</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主录音话筒</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专业录音话筒套装（包含落地支架，防风罩）频率范围：20-20000Hz，灵敏度：-37dB@1kHz）</w:t>
            </w:r>
            <w:r>
              <w:rPr>
                <w:rFonts w:hint="eastAsia" w:ascii="宋体" w:hAnsi="宋体" w:cs="宋体"/>
                <w:sz w:val="18"/>
                <w:szCs w:val="18"/>
              </w:rPr>
              <w:t xml:space="preserve">；</w:t>
            </w:r>
            <w:r>
              <w:rPr>
                <w:rFonts w:hint="eastAsia" w:ascii="宋体" w:hAnsi="宋体" w:cs="宋体"/>
                <w:sz w:val="18"/>
                <w:szCs w:val="18"/>
                <w:lang w:bidi="ar"/>
              </w:rPr>
              <w:t xml:space="preserve">2. 指向性：心型；</w:t>
            </w:r>
            <w:r/>
          </w:p>
          <w:p>
            <w:pPr>
              <w:jc w:val="left"/>
              <w:widowControl/>
              <w:rPr>
                <w:rFonts w:ascii="宋体" w:hAnsi="宋体" w:cs="宋体"/>
                <w:sz w:val="18"/>
                <w:szCs w:val="18"/>
              </w:rPr>
            </w:pPr>
            <w:r>
              <w:rPr>
                <w:rFonts w:hint="eastAsia" w:ascii="宋体" w:hAnsi="宋体" w:cs="宋体"/>
                <w:sz w:val="18"/>
                <w:szCs w:val="18"/>
                <w:lang w:bidi="ar"/>
              </w:rPr>
              <w:t xml:space="preserve">3. 最大声压级：131dB(@THD≤0.5%，1KHz)；4. 输出阻抗：200Ω，幻象供电：48V（4mA）；5. 等效噪声级：20dBA。</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话筒放大器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双通道话筒放大器纯甲类晶体管电路</w:t>
            </w:r>
            <w:r>
              <w:rPr>
                <w:rFonts w:hint="eastAsia" w:ascii="宋体" w:hAnsi="宋体" w:cs="宋体"/>
                <w:sz w:val="18"/>
                <w:szCs w:val="18"/>
              </w:rPr>
              <w:t xml:space="preserve">；</w:t>
            </w:r>
            <w:r>
              <w:rPr>
                <w:rFonts w:hint="eastAsia" w:ascii="宋体" w:hAnsi="宋体" w:cs="宋体"/>
                <w:sz w:val="18"/>
                <w:szCs w:val="18"/>
                <w:lang w:bidi="ar"/>
              </w:rPr>
              <w:t xml:space="preserve">2. 三级不同水平的电子管驱</w:t>
            </w:r>
            <w:r>
              <w:rPr>
                <w:rFonts w:hint="eastAsia" w:ascii="宋体" w:hAnsi="宋体" w:cs="宋体"/>
                <w:sz w:val="18"/>
                <w:szCs w:val="18"/>
                <w:lang w:bidi="ar"/>
              </w:rPr>
              <w:t xml:space="preserve">动；3. 两种可切换设置下的Flair声场空间增加器；4. 切换插入；5. 预输出限制器（对于二极管类型可以快速反应，为A/D转换器提供出色的保护）；6. 针对三种不同级别，可切换显示范围的VU表；7. 前面板上的乐器输入，后面板上分离的话筒和线路输入；8. 幻象供电、反相、衰减和高通滤波器（50Hz）；9. 带有选项卡按钮，包括24/96 AD converter（24/96 AD转换器）以及声音增强器 Lundahl in- and output transformer（Lundahl输入/输出变压器）</w:t>
            </w:r>
            <w:r>
              <w:rPr>
                <w:rFonts w:hint="eastAsia" w:ascii="宋体" w:hAnsi="宋体" w:cs="宋体"/>
                <w:sz w:val="18"/>
                <w:szCs w:val="18"/>
              </w:rPr>
              <w:t xml:space="preserve">；</w:t>
            </w:r>
            <w:r>
              <w:rPr>
                <w:rFonts w:hint="eastAsia" w:ascii="宋体" w:hAnsi="宋体" w:cs="宋体"/>
                <w:sz w:val="18"/>
                <w:szCs w:val="18"/>
                <w:lang w:bidi="ar"/>
              </w:rPr>
              <w:t xml:space="preserve">10. 频率响应：10Hz bis 90kHz (-3dB)</w:t>
            </w:r>
            <w:r>
              <w:rPr>
                <w:rFonts w:hint="eastAsia" w:ascii="宋体" w:hAnsi="宋体" w:cs="宋体"/>
                <w:sz w:val="18"/>
                <w:szCs w:val="18"/>
              </w:rPr>
              <w:t xml:space="preserve">；</w:t>
            </w:r>
            <w:r>
              <w:rPr>
                <w:rFonts w:hint="eastAsia" w:ascii="宋体" w:hAnsi="宋体" w:cs="宋体"/>
                <w:sz w:val="18"/>
                <w:szCs w:val="18"/>
                <w:lang w:bidi="ar"/>
              </w:rPr>
              <w:t xml:space="preserve">11. THD+N（输入电平-30dBu，30dB增益）0.016%</w:t>
            </w:r>
            <w:r>
              <w:rPr>
                <w:rFonts w:hint="eastAsia" w:ascii="宋体" w:hAnsi="宋体" w:cs="宋体"/>
                <w:sz w:val="18"/>
                <w:szCs w:val="18"/>
              </w:rPr>
              <w:t xml:space="preserve">；</w:t>
            </w:r>
            <w:r>
              <w:rPr>
                <w:rFonts w:hint="eastAsia" w:ascii="宋体" w:hAnsi="宋体" w:cs="宋体"/>
                <w:sz w:val="18"/>
                <w:szCs w:val="18"/>
                <w:lang w:bidi="ar"/>
              </w:rPr>
              <w:t xml:space="preserve">12. 噪声级（A加权，R=40欧姆，30dB增益）-91.2dBu</w:t>
            </w:r>
            <w:r>
              <w:rPr>
                <w:rFonts w:hint="eastAsia" w:ascii="宋体" w:hAnsi="宋体" w:cs="宋体"/>
                <w:sz w:val="18"/>
                <w:szCs w:val="18"/>
              </w:rPr>
              <w:t xml:space="preserve">；</w:t>
            </w:r>
            <w:r>
              <w:rPr>
                <w:rFonts w:hint="eastAsia" w:ascii="宋体" w:hAnsi="宋体" w:cs="宋体"/>
                <w:sz w:val="18"/>
                <w:szCs w:val="18"/>
                <w:lang w:bidi="ar"/>
              </w:rPr>
              <w:t xml:space="preserve">13. 动态范围（30dB增益）110dB n E.I.N. 128dBu</w:t>
            </w:r>
            <w:r>
              <w:rPr>
                <w:rFonts w:hint="eastAsia" w:ascii="宋体" w:hAnsi="宋体" w:cs="宋体"/>
                <w:sz w:val="18"/>
                <w:szCs w:val="18"/>
              </w:rPr>
              <w:t xml:space="preserve">；</w:t>
            </w:r>
            <w:r>
              <w:rPr>
                <w:rFonts w:hint="eastAsia" w:ascii="宋体" w:hAnsi="宋体" w:cs="宋体"/>
                <w:sz w:val="18"/>
                <w:szCs w:val="18"/>
                <w:lang w:bidi="ar"/>
              </w:rPr>
              <w:t xml:space="preserve">14. 输出电平（sym.，卡农连接头+插孔）+26.8dBu晶体管响应速度：200V/s。</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录音笔</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智能录音笔，转写助手，专业高清降噪会议录音转文字，实时翻译。</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支</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6、非线性编辑设备</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4K非线性编辑系统</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整机性能 4K/2K/3D工作流程，支持Blackmagic Design/AJA</w:t>
            </w:r>
            <w:r>
              <w:rPr>
                <w:rFonts w:hint="eastAsia" w:ascii="宋体" w:hAnsi="宋体" w:cs="宋体"/>
                <w:sz w:val="18"/>
                <w:szCs w:val="18"/>
                <w:lang w:bidi="ar"/>
              </w:rPr>
              <w:t xml:space="preserve">硬件（仅预览），支持EDL或AAF与DaVinci Resolve时间线交换；2. 支持视频剪辑—从24*24到4K*2K；不同帧速率在同一时间线上的实时转换可以实现更高效的剪辑效率；更加快速、灵活的用户界面，可容纳无限的视频、音频、字幕和图像轨；3、高清数字视音频信号由被测系统以“MP4-H.264 20Mbps”方式采集、重放 HD SDI接口特性及信号格式 信号幅度为795mV，上升时间为182ps，下降时间为184ps，上升和下降时间的偏差为2ps，CRC误码秒数为0；4. 支持最新的文件格式——S</w:t>
            </w:r>
            <w:r>
              <w:rPr>
                <w:rFonts w:hint="eastAsia" w:ascii="宋体" w:hAnsi="宋体" w:cs="宋体"/>
                <w:sz w:val="18"/>
                <w:szCs w:val="18"/>
                <w:lang w:bidi="ar"/>
              </w:rPr>
              <w:t xml:space="preserve">ony XAVC (Intra/Long GOP)/XAVC S，Panasonic AVC-Ultra/AVC-Intra 422，AVC-Intra LT/LT 2K以及Canon XF-AVC(仅导入)，Sony RAW，RED RAW，ProRes(仅导入)，Canon Cinema RAW/Cinema RAW Light，DNxHD/HR(选购)，静态图像RAW；支持Log和RAW文件最新的色彩空间——HLG/PQ，S-Log，Canon Log，V-Log/V-Log L，J-Log1，F-L</w:t>
            </w:r>
            <w:r>
              <w:rPr>
                <w:rFonts w:hint="eastAsia" w:ascii="宋体" w:hAnsi="宋体" w:cs="宋体"/>
                <w:sz w:val="18"/>
                <w:szCs w:val="18"/>
                <w:lang w:bidi="ar"/>
              </w:rPr>
              <w:t xml:space="preserve">og和LUT(.cube)文件导入；原生支持多种视频格式，包括Sony XDCAM，Panasonic P2，Ikegami GF，Canon XF和EOS影片格式；行业中最高效的AVCHD编辑（根据计算机配置，最低可实时3层或以上）；多机位最大支持16，并且支持视频输出；64位原生处理，更大的内存读取便于实时编辑；启用代理模式可大大提升低配置电脑的性能；支持Intel Quick Sync Video，快速输出H.264文件及蓝光光盘烧录；可以输出HQ、422、LT、proxy等多种码率的ProRes编码</w:t>
            </w:r>
            <w:r>
              <w:rPr>
                <w:rFonts w:hint="eastAsia" w:ascii="宋体" w:hAnsi="宋体" w:cs="宋体"/>
                <w:sz w:val="18"/>
                <w:szCs w:val="18"/>
              </w:rPr>
              <w:t xml:space="preserve">；</w:t>
            </w:r>
            <w:r>
              <w:rPr>
                <w:rFonts w:hint="eastAsia" w:ascii="宋体" w:hAnsi="宋体" w:cs="宋体"/>
                <w:sz w:val="18"/>
                <w:szCs w:val="18"/>
                <w:lang w:bidi="ar"/>
              </w:rPr>
              <w:t xml:space="preserve">5. 高清视频通道特性输出幅度，l00%彩条〉700.5mV 幅频特性 频率1-30MHz 幅度-0.4-0.0dB</w:t>
            </w:r>
            <w:r>
              <w:rPr>
                <w:rFonts w:hint="eastAsia" w:ascii="宋体" w:hAnsi="宋体" w:cs="宋体"/>
                <w:sz w:val="18"/>
                <w:szCs w:val="18"/>
              </w:rPr>
              <w:t xml:space="preserve">；</w:t>
            </w:r>
            <w:r>
              <w:rPr>
                <w:rFonts w:hint="eastAsia" w:ascii="宋体" w:hAnsi="宋体" w:cs="宋体"/>
                <w:sz w:val="18"/>
                <w:szCs w:val="18"/>
                <w:lang w:bidi="ar"/>
              </w:rPr>
              <w:t xml:space="preserve">6. 对4K UHD素材的直接处理能力；支持同一时间线中混合剪辑SDR和HDR素材，并可任意输出颜色空间信息；支持主流厂商的相机、摄像机</w:t>
            </w:r>
            <w:r>
              <w:rPr>
                <w:rFonts w:hint="eastAsia" w:ascii="宋体" w:hAnsi="宋体" w:cs="宋体"/>
                <w:sz w:val="18"/>
                <w:szCs w:val="18"/>
              </w:rPr>
              <w:t xml:space="preserve">；</w:t>
            </w:r>
            <w:r>
              <w:rPr>
                <w:rFonts w:hint="eastAsia" w:ascii="宋体" w:hAnsi="宋体" w:cs="宋体"/>
                <w:sz w:val="18"/>
                <w:szCs w:val="18"/>
                <w:lang w:bidi="ar"/>
              </w:rPr>
              <w:t xml:space="preserve">7. 无人机及手机拍摄的HDR视频；支持佳能EOS C200“Cinema RAW Light”解码和静态原始文件解码</w:t>
            </w:r>
            <w:r>
              <w:rPr>
                <w:rFonts w:hint="eastAsia" w:ascii="宋体" w:hAnsi="宋体" w:cs="宋体"/>
                <w:sz w:val="18"/>
                <w:szCs w:val="18"/>
              </w:rPr>
              <w:t xml:space="preserve">；</w:t>
            </w:r>
            <w:r>
              <w:rPr>
                <w:rFonts w:hint="eastAsia" w:ascii="宋体" w:hAnsi="宋体" w:cs="宋体"/>
                <w:sz w:val="18"/>
                <w:szCs w:val="18"/>
                <w:lang w:bidi="ar"/>
              </w:rPr>
              <w:t xml:space="preserve">8. 可直接将视频信号采集成XDCAM编码、AVC-I编码的MXF文件，同时可以采集代理码流文件</w:t>
            </w:r>
            <w:r>
              <w:rPr>
                <w:rFonts w:hint="eastAsia" w:ascii="宋体" w:hAnsi="宋体" w:cs="宋体"/>
                <w:sz w:val="18"/>
                <w:szCs w:val="18"/>
              </w:rPr>
              <w:t xml:space="preserve">；</w:t>
            </w:r>
            <w:r>
              <w:rPr>
                <w:rFonts w:hint="eastAsia" w:ascii="宋体" w:hAnsi="宋体" w:cs="宋体"/>
                <w:sz w:val="18"/>
                <w:szCs w:val="18"/>
                <w:lang w:bidi="ar"/>
              </w:rPr>
              <w:t xml:space="preserve">9. 嵌入音频特性 幅频特性频率100-18Khz 幅度0.00-0.05dB谐波失真0.01%</w:t>
            </w:r>
            <w:r>
              <w:rPr>
                <w:rFonts w:hint="eastAsia" w:ascii="宋体" w:hAnsi="宋体" w:cs="宋体"/>
                <w:sz w:val="18"/>
                <w:szCs w:val="18"/>
              </w:rPr>
              <w:t xml:space="preserve">；</w:t>
            </w:r>
            <w:r>
              <w:rPr>
                <w:rFonts w:hint="eastAsia" w:ascii="宋体" w:hAnsi="宋体" w:cs="宋体"/>
                <w:sz w:val="18"/>
                <w:szCs w:val="18"/>
                <w:lang w:bidi="ar"/>
              </w:rPr>
              <w:t xml:space="preserve">10. 离线语音识别技术；高速处理能力，采用NVDIA CUDA加速引擎；实时将素材中的音频转换为SRT唱词格式导入非编；离线引擎，终生使用；音频提取，人声分离功能；可同时输出SRT/TXT格式唱词；设置自定义词组过滤、语气词过滤；11. 硬件配置 机箱：4U卧式工控机箱，尺寸不小于535*482*178(mm）满足非编高效率运转散热需求，不少于2个前置USB3.0接口，静音风扇</w:t>
            </w:r>
            <w:r>
              <w:rPr>
                <w:rFonts w:hint="eastAsia" w:ascii="宋体" w:hAnsi="宋体" w:cs="宋体"/>
                <w:sz w:val="18"/>
                <w:szCs w:val="18"/>
              </w:rPr>
              <w:t xml:space="preserve">；</w:t>
            </w:r>
            <w:r>
              <w:rPr>
                <w:rFonts w:hint="eastAsia" w:ascii="宋体" w:hAnsi="宋体" w:cs="宋体"/>
                <w:sz w:val="18"/>
                <w:szCs w:val="18"/>
                <w:lang w:bidi="ar"/>
              </w:rPr>
              <w:t xml:space="preserve">12. CPU：Intel Core I7十二核二十线程3.6GHz（睿频5GHz）</w:t>
            </w:r>
            <w:r>
              <w:rPr>
                <w:rFonts w:hint="eastAsia" w:ascii="宋体" w:hAnsi="宋体" w:cs="宋体"/>
                <w:sz w:val="18"/>
                <w:szCs w:val="18"/>
              </w:rPr>
              <w:t xml:space="preserve">；</w:t>
            </w:r>
            <w:r>
              <w:rPr>
                <w:rFonts w:hint="eastAsia" w:ascii="宋体" w:hAnsi="宋体" w:cs="宋体"/>
                <w:sz w:val="18"/>
                <w:szCs w:val="18"/>
                <w:lang w:bidi="ar"/>
              </w:rPr>
              <w:t xml:space="preserve">13. 内存：16GB内存（8G*2）带马甲DDR5，4800MHz</w:t>
            </w:r>
            <w:r>
              <w:rPr>
                <w:rFonts w:hint="eastAsia" w:ascii="宋体" w:hAnsi="宋体" w:cs="宋体"/>
                <w:sz w:val="18"/>
                <w:szCs w:val="18"/>
              </w:rPr>
              <w:t xml:space="preserve">；</w:t>
            </w:r>
            <w:r>
              <w:rPr>
                <w:rFonts w:hint="eastAsia" w:ascii="宋体" w:hAnsi="宋体" w:cs="宋体"/>
                <w:sz w:val="18"/>
                <w:szCs w:val="18"/>
                <w:lang w:bidi="ar"/>
              </w:rPr>
              <w:t xml:space="preserve">14. 显卡：NVIDIA GeForce 4G显卡，显存位宽128bit，I/O接口DVI、DP、HDMI</w:t>
            </w:r>
            <w:r>
              <w:rPr>
                <w:rFonts w:hint="eastAsia" w:ascii="宋体" w:hAnsi="宋体" w:cs="宋体"/>
                <w:sz w:val="18"/>
                <w:szCs w:val="18"/>
              </w:rPr>
              <w:t xml:space="preserve">；</w:t>
            </w:r>
            <w:r>
              <w:rPr>
                <w:rFonts w:hint="eastAsia" w:ascii="宋体" w:hAnsi="宋体" w:cs="宋体"/>
                <w:sz w:val="18"/>
                <w:szCs w:val="18"/>
                <w:lang w:bidi="ar"/>
              </w:rPr>
              <w:t xml:space="preserve">15. 系统盘：500GB SSD固态硬盘 M.2接口(NVMe协议)</w:t>
            </w:r>
            <w:r>
              <w:rPr>
                <w:rFonts w:hint="eastAsia" w:ascii="宋体" w:hAnsi="宋体" w:cs="宋体"/>
                <w:sz w:val="18"/>
                <w:szCs w:val="18"/>
              </w:rPr>
              <w:t xml:space="preserve">；</w:t>
            </w:r>
            <w:r>
              <w:rPr>
                <w:rFonts w:hint="eastAsia" w:ascii="宋体" w:hAnsi="宋体" w:cs="宋体"/>
                <w:sz w:val="18"/>
                <w:szCs w:val="18"/>
                <w:lang w:bidi="ar"/>
              </w:rPr>
              <w:t xml:space="preserve">16. 本地素材盘：硬盘4TB 256MB缓存实现数据快速读取</w:t>
            </w:r>
            <w:r>
              <w:rPr>
                <w:rFonts w:hint="eastAsia" w:ascii="宋体" w:hAnsi="宋体" w:cs="宋体"/>
                <w:sz w:val="18"/>
                <w:szCs w:val="18"/>
              </w:rPr>
              <w:t xml:space="preserve">；</w:t>
            </w:r>
            <w:r>
              <w:rPr>
                <w:rFonts w:hint="eastAsia" w:ascii="宋体" w:hAnsi="宋体" w:cs="宋体"/>
                <w:sz w:val="18"/>
                <w:szCs w:val="18"/>
                <w:lang w:bidi="ar"/>
              </w:rPr>
              <w:t xml:space="preserve">17. 外设配置 键鼠：非编专用键鼠套装，带彩色快捷键标识</w:t>
            </w:r>
            <w:r>
              <w:rPr>
                <w:rFonts w:hint="eastAsia" w:ascii="宋体" w:hAnsi="宋体" w:cs="宋体"/>
                <w:sz w:val="18"/>
                <w:szCs w:val="18"/>
              </w:rPr>
              <w:t xml:space="preserve">；</w:t>
            </w:r>
            <w:r>
              <w:rPr>
                <w:rFonts w:hint="eastAsia" w:ascii="宋体" w:hAnsi="宋体" w:cs="宋体"/>
                <w:sz w:val="18"/>
                <w:szCs w:val="18"/>
                <w:lang w:bidi="ar"/>
              </w:rPr>
              <w:t xml:space="preserve">18. 显示器：24寸液晶显示器2台</w:t>
            </w:r>
            <w:r>
              <w:rPr>
                <w:rFonts w:hint="eastAsia" w:ascii="宋体" w:hAnsi="宋体" w:cs="宋体"/>
                <w:sz w:val="18"/>
                <w:szCs w:val="18"/>
              </w:rPr>
              <w:t xml:space="preserve">；</w:t>
            </w:r>
            <w:r>
              <w:rPr>
                <w:rFonts w:hint="eastAsia" w:ascii="宋体" w:hAnsi="宋体" w:cs="宋体"/>
                <w:sz w:val="18"/>
                <w:szCs w:val="18"/>
                <w:lang w:bidi="ar"/>
              </w:rPr>
              <w:t xml:space="preserve">19. 监听音响：漫步者木质监听音响（13mm高音单元+4英寸低音单元2.0声道，扬声器数量4个）</w:t>
            </w:r>
            <w:r>
              <w:rPr>
                <w:rFonts w:hint="eastAsia" w:ascii="宋体" w:hAnsi="宋体" w:cs="宋体"/>
                <w:sz w:val="18"/>
                <w:szCs w:val="18"/>
              </w:rPr>
              <w:t xml:space="preserve">；</w:t>
            </w:r>
            <w:r>
              <w:rPr>
                <w:rFonts w:hint="eastAsia" w:ascii="宋体" w:hAnsi="宋体" w:cs="宋体"/>
                <w:sz w:val="18"/>
                <w:szCs w:val="18"/>
                <w:lang w:bidi="ar"/>
              </w:rPr>
              <w:t xml:space="preserve">20. 软件配置 操作系统：WIN10 64BIT</w:t>
            </w:r>
            <w:r>
              <w:rPr>
                <w:rFonts w:hint="eastAsia" w:ascii="宋体" w:hAnsi="宋体" w:cs="宋体"/>
                <w:sz w:val="18"/>
                <w:szCs w:val="18"/>
              </w:rPr>
              <w:t xml:space="preserve">；</w:t>
            </w:r>
            <w:r>
              <w:rPr>
                <w:rFonts w:hint="eastAsia" w:ascii="宋体" w:hAnsi="宋体" w:cs="宋体"/>
                <w:sz w:val="18"/>
                <w:szCs w:val="18"/>
                <w:lang w:bidi="ar"/>
              </w:rPr>
              <w:t xml:space="preserve">21. 剪辑软件：EDIUS X PRO（含授权卡、序列号、安装光盘或U盘）</w:t>
            </w:r>
            <w:r>
              <w:rPr>
                <w:rFonts w:hint="eastAsia" w:ascii="宋体" w:hAnsi="宋体" w:cs="宋体"/>
                <w:sz w:val="18"/>
                <w:szCs w:val="18"/>
              </w:rPr>
              <w:t xml:space="preserve">；</w:t>
            </w:r>
            <w:r>
              <w:rPr>
                <w:rFonts w:hint="eastAsia" w:ascii="宋体" w:hAnsi="宋体" w:cs="宋体"/>
                <w:sz w:val="18"/>
                <w:szCs w:val="18"/>
                <w:lang w:bidi="ar"/>
              </w:rPr>
              <w:t xml:space="preserve">22. 字幕软件：雷特字幕最新版（含加密狗、安装光盘或U盘、使用说明书）</w:t>
            </w:r>
            <w:r>
              <w:rPr>
                <w:rFonts w:hint="eastAsia" w:ascii="宋体" w:hAnsi="宋体" w:cs="宋体"/>
                <w:sz w:val="18"/>
                <w:szCs w:val="18"/>
              </w:rPr>
              <w:t xml:space="preserve">；</w:t>
            </w:r>
            <w:r>
              <w:rPr>
                <w:rFonts w:hint="eastAsia" w:ascii="宋体" w:hAnsi="宋体" w:cs="宋体"/>
                <w:sz w:val="18"/>
                <w:szCs w:val="18"/>
                <w:lang w:bidi="ar"/>
              </w:rPr>
              <w:t xml:space="preserve">23. 音频制作软件：MUSIC MAKER（预装）包含160G配音素材</w:t>
            </w:r>
            <w:r>
              <w:rPr>
                <w:rFonts w:hint="eastAsia" w:ascii="宋体" w:hAnsi="宋体" w:cs="宋体"/>
                <w:sz w:val="18"/>
                <w:szCs w:val="18"/>
              </w:rPr>
              <w:t xml:space="preserve">；</w:t>
            </w:r>
            <w:r>
              <w:rPr>
                <w:rFonts w:hint="eastAsia" w:ascii="宋体" w:hAnsi="宋体" w:cs="宋体"/>
                <w:sz w:val="18"/>
                <w:szCs w:val="18"/>
                <w:lang w:bidi="ar"/>
              </w:rPr>
              <w:t xml:space="preserve">24. 模版套装：TC STUDIO专业软件模版（预装）</w:t>
            </w:r>
            <w:r>
              <w:rPr>
                <w:rFonts w:hint="eastAsia" w:ascii="宋体" w:hAnsi="宋体" w:cs="宋体"/>
                <w:sz w:val="18"/>
                <w:szCs w:val="18"/>
              </w:rPr>
              <w:t xml:space="preserve">；</w:t>
            </w:r>
            <w:r>
              <w:rPr>
                <w:rFonts w:hint="eastAsia" w:ascii="宋体" w:hAnsi="宋体" w:cs="宋体"/>
                <w:sz w:val="18"/>
                <w:szCs w:val="18"/>
                <w:lang w:bidi="ar"/>
              </w:rPr>
              <w:t xml:space="preserve">25. 非编插件套装：TC STUDIO非编插件套装（预装）</w:t>
            </w:r>
            <w:r>
              <w:rPr>
                <w:rFonts w:hint="eastAsia" w:ascii="宋体" w:hAnsi="宋体" w:cs="宋体"/>
                <w:sz w:val="18"/>
                <w:szCs w:val="18"/>
              </w:rPr>
              <w:t xml:space="preserve">；</w:t>
            </w:r>
            <w:r>
              <w:rPr>
                <w:rFonts w:hint="eastAsia" w:ascii="宋体" w:hAnsi="宋体" w:cs="宋体"/>
                <w:sz w:val="18"/>
                <w:szCs w:val="18"/>
                <w:lang w:bidi="ar"/>
              </w:rPr>
              <w:t xml:space="preserve">26. 辅助软件：ADOBE MASTER CC（AE、PS、PR、AI、AU）（预装）</w:t>
            </w:r>
            <w:r>
              <w:rPr>
                <w:rFonts w:hint="eastAsia" w:ascii="宋体" w:hAnsi="宋体" w:cs="宋体"/>
                <w:sz w:val="18"/>
                <w:szCs w:val="18"/>
              </w:rPr>
              <w:t xml:space="preserve">；</w:t>
            </w:r>
            <w:r>
              <w:rPr>
                <w:rFonts w:hint="eastAsia" w:ascii="宋体" w:hAnsi="宋体" w:cs="宋体"/>
                <w:sz w:val="18"/>
                <w:szCs w:val="18"/>
                <w:lang w:bidi="ar"/>
              </w:rPr>
              <w:t xml:space="preserve">27. 媒体资源管理：视音频lh媒体资源管理软件，轻松管理所有视频、音频、图片素材，自动识别可用的文件格式，并显示在素材库中</w:t>
            </w:r>
            <w:r>
              <w:rPr>
                <w:rFonts w:hint="eastAsia" w:ascii="宋体" w:hAnsi="宋体" w:cs="宋体"/>
                <w:sz w:val="18"/>
                <w:szCs w:val="18"/>
              </w:rPr>
              <w:t xml:space="preserve">；</w:t>
            </w:r>
            <w:r>
              <w:rPr>
                <w:rFonts w:hint="eastAsia" w:ascii="宋体" w:hAnsi="宋体" w:cs="宋体"/>
                <w:sz w:val="18"/>
                <w:szCs w:val="18"/>
                <w:lang w:bidi="ar"/>
              </w:rPr>
              <w:t xml:space="preserve">28. 调色软件：具有功能匹配的专业调色软件（预装）</w:t>
            </w:r>
            <w:r>
              <w:rPr>
                <w:rFonts w:hint="eastAsia" w:ascii="宋体" w:hAnsi="宋体" w:cs="宋体"/>
                <w:sz w:val="18"/>
                <w:szCs w:val="18"/>
              </w:rPr>
              <w:t xml:space="preserve">；</w:t>
            </w:r>
            <w:r>
              <w:rPr>
                <w:rFonts w:hint="eastAsia" w:ascii="宋体" w:hAnsi="宋体" w:cs="宋体"/>
                <w:sz w:val="18"/>
                <w:szCs w:val="18"/>
                <w:lang w:bidi="ar"/>
              </w:rPr>
              <w:t xml:space="preserve">29. 系统备份防护：系统出厂备份，支持一键还原，手动还原（预装）</w:t>
            </w:r>
            <w:r>
              <w:rPr>
                <w:rFonts w:hint="eastAsia" w:ascii="宋体" w:hAnsi="宋体" w:cs="宋体"/>
                <w:sz w:val="18"/>
                <w:szCs w:val="18"/>
              </w:rPr>
              <w:t xml:space="preserve">；</w:t>
            </w:r>
            <w:r>
              <w:rPr>
                <w:rFonts w:hint="eastAsia" w:ascii="宋体" w:hAnsi="宋体" w:cs="宋体"/>
                <w:sz w:val="18"/>
                <w:szCs w:val="18"/>
                <w:lang w:bidi="ar"/>
              </w:rPr>
              <w:t xml:space="preserve">30. I/O输出 1*10bit SD/HD-SDI（含16通道嵌入音频）广播级数字视音频接口输出；1*10bit SD/HD-HDMI（含8通道嵌入音频）专业数字视音频接口输出</w:t>
            </w:r>
            <w:r>
              <w:rPr>
                <w:rFonts w:hint="eastAsia" w:ascii="宋体" w:hAnsi="宋体" w:cs="宋体"/>
                <w:sz w:val="18"/>
                <w:szCs w:val="18"/>
              </w:rPr>
              <w:t xml:space="preserve">；</w:t>
            </w:r>
            <w:r>
              <w:rPr>
                <w:rFonts w:hint="eastAsia" w:ascii="宋体" w:hAnsi="宋体" w:cs="宋体"/>
                <w:sz w:val="18"/>
                <w:szCs w:val="18"/>
                <w:lang w:bidi="ar"/>
              </w:rPr>
              <w:t xml:space="preserve">31. 基于硬件的上、下变换功能，支持AE、Photoshop上屏</w:t>
            </w:r>
            <w:r>
              <w:rPr>
                <w:rFonts w:hint="eastAsia" w:ascii="宋体" w:hAnsi="宋体" w:cs="宋体"/>
                <w:sz w:val="18"/>
                <w:szCs w:val="18"/>
              </w:rPr>
              <w:t xml:space="preserve">；</w:t>
            </w:r>
            <w:r>
              <w:rPr>
                <w:rFonts w:hint="eastAsia" w:ascii="宋体" w:hAnsi="宋体" w:cs="宋体"/>
                <w:sz w:val="18"/>
                <w:szCs w:val="18"/>
                <w:lang w:bidi="ar"/>
              </w:rPr>
              <w:t xml:space="preserve">32. 支持8层1080i GV HQ/HQX编码高清视频及多层图文的实时编辑及输出</w:t>
            </w:r>
            <w:r>
              <w:rPr>
                <w:rFonts w:hint="eastAsia" w:ascii="宋体" w:hAnsi="宋体" w:cs="宋体"/>
                <w:sz w:val="18"/>
                <w:szCs w:val="18"/>
              </w:rPr>
              <w:t xml:space="preserve">；</w:t>
            </w:r>
            <w:r>
              <w:rPr>
                <w:rFonts w:hint="eastAsia" w:ascii="宋体" w:hAnsi="宋体" w:cs="宋体"/>
                <w:sz w:val="18"/>
                <w:szCs w:val="18"/>
                <w:lang w:bidi="ar"/>
              </w:rPr>
              <w:t xml:space="preserve">33. 支持2层2160P GV HQ/HQX编码4K视频及多层图文的实时编辑及输出</w:t>
            </w:r>
            <w:r>
              <w:rPr>
                <w:rFonts w:hint="eastAsia" w:ascii="宋体" w:hAnsi="宋体" w:cs="宋体"/>
                <w:sz w:val="18"/>
                <w:szCs w:val="18"/>
              </w:rPr>
              <w:t xml:space="preserve">；</w:t>
            </w:r>
            <w:r>
              <w:rPr>
                <w:rFonts w:hint="eastAsia" w:ascii="宋体" w:hAnsi="宋体" w:cs="宋体"/>
                <w:sz w:val="18"/>
                <w:szCs w:val="18"/>
                <w:lang w:bidi="ar"/>
              </w:rPr>
              <w:t xml:space="preserve">34. 支持各种源码编辑：SONY XDCAM，Panasonic P2，Ikegami GF，RED，Canon XF和EOS等无带化格式lh。</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7、演播室灯光系统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超高清4K双色温演播室LED影视柔光灯</w:t>
            </w:r>
            <w:r/>
          </w:p>
          <w:p>
            <w:pPr>
              <w:jc w:val="center"/>
              <w:widowControl/>
              <w:rPr>
                <w:rFonts w:ascii="宋体" w:hAnsi="宋体" w:cs="宋体"/>
                <w:sz w:val="18"/>
                <w:szCs w:val="18"/>
              </w:rPr>
            </w:pPr>
            <w:r>
              <w:rPr>
                <w:rFonts w:hint="eastAsia" w:ascii="宋体" w:hAnsi="宋体" w:cs="宋体"/>
                <w:sz w:val="18"/>
                <w:szCs w:val="18"/>
                <w:lang w:bidi="ar"/>
              </w:rPr>
              <w:t xml:space="preserve">140W</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额定功率：140W</w:t>
            </w:r>
            <w:r>
              <w:rPr>
                <w:rFonts w:hint="eastAsia" w:ascii="宋体" w:hAnsi="宋体" w:cs="宋体"/>
                <w:sz w:val="18"/>
                <w:szCs w:val="18"/>
              </w:rPr>
              <w:t xml:space="preserve">；</w:t>
            </w:r>
            <w:r>
              <w:rPr>
                <w:rFonts w:hint="eastAsia" w:ascii="宋体" w:hAnsi="宋体" w:cs="宋体"/>
                <w:sz w:val="18"/>
                <w:szCs w:val="18"/>
                <w:lang w:bidi="ar"/>
              </w:rPr>
              <w:t xml:space="preserve">2. 显色指数：Ra≥97、R9≥90，TLCI≥97</w:t>
            </w:r>
            <w:r>
              <w:rPr>
                <w:rFonts w:hint="eastAsia" w:ascii="宋体" w:hAnsi="宋体" w:cs="宋体"/>
                <w:sz w:val="18"/>
                <w:szCs w:val="18"/>
              </w:rPr>
              <w:t xml:space="preserve">；</w:t>
            </w:r>
            <w:r>
              <w:rPr>
                <w:rFonts w:hint="eastAsia" w:ascii="宋体" w:hAnsi="宋体" w:cs="宋体"/>
                <w:sz w:val="18"/>
                <w:szCs w:val="18"/>
                <w:lang w:bidi="ar"/>
              </w:rPr>
              <w:t xml:space="preserve">3. 应用场景：交直流供电，室内外两用，直播间，电视台、演播室、无影棚，摄影棚</w:t>
            </w:r>
            <w:r>
              <w:rPr>
                <w:rFonts w:hint="eastAsia" w:ascii="宋体" w:hAnsi="宋体" w:cs="宋体"/>
                <w:sz w:val="18"/>
                <w:szCs w:val="18"/>
              </w:rPr>
              <w:t xml:space="preserve">；</w:t>
            </w:r>
            <w:r>
              <w:rPr>
                <w:rFonts w:hint="eastAsia" w:ascii="宋体" w:hAnsi="宋体" w:cs="宋体"/>
                <w:sz w:val="18"/>
                <w:szCs w:val="18"/>
                <w:lang w:bidi="ar"/>
              </w:rPr>
              <w:t xml:space="preserve">4. 色温：3200K-5600K(±150K)可调色温，快捷键一键切换3200K/4000K/5600K</w:t>
            </w:r>
            <w:r>
              <w:rPr>
                <w:rFonts w:hint="eastAsia" w:ascii="宋体" w:hAnsi="宋体" w:cs="宋体"/>
                <w:sz w:val="18"/>
                <w:szCs w:val="18"/>
              </w:rPr>
              <w:t xml:space="preserve">；</w:t>
            </w:r>
            <w:r>
              <w:rPr>
                <w:rFonts w:hint="eastAsia" w:ascii="宋体" w:hAnsi="宋体" w:cs="宋体"/>
                <w:sz w:val="18"/>
                <w:szCs w:val="18"/>
                <w:lang w:bidi="ar"/>
              </w:rPr>
              <w:t xml:space="preserve">5. 电压：AC100-240V 50/60Hz，DC14.8V直流电池供电（两种供电方式）</w:t>
            </w:r>
            <w:r>
              <w:rPr>
                <w:rFonts w:hint="eastAsia" w:ascii="宋体" w:hAnsi="宋体" w:cs="宋体"/>
                <w:sz w:val="18"/>
                <w:szCs w:val="18"/>
              </w:rPr>
              <w:t xml:space="preserve">；</w:t>
            </w:r>
            <w:r>
              <w:rPr>
                <w:rFonts w:hint="eastAsia" w:ascii="宋体" w:hAnsi="宋体" w:cs="宋体"/>
                <w:sz w:val="18"/>
                <w:szCs w:val="18"/>
                <w:lang w:bidi="ar"/>
              </w:rPr>
              <w:t xml:space="preserve">6. 灯珠数量：1200颗</w:t>
            </w:r>
            <w:r>
              <w:rPr>
                <w:rFonts w:hint="eastAsia" w:ascii="宋体" w:hAnsi="宋体" w:cs="宋体"/>
                <w:sz w:val="18"/>
                <w:szCs w:val="18"/>
              </w:rPr>
              <w:t xml:space="preserve">；</w:t>
            </w:r>
            <w:r>
              <w:rPr>
                <w:rFonts w:hint="eastAsia" w:ascii="宋体" w:hAnsi="宋体" w:cs="宋体"/>
                <w:sz w:val="18"/>
                <w:szCs w:val="18"/>
                <w:lang w:bidi="ar"/>
              </w:rPr>
              <w:t xml:space="preserve">7. 出光角度：120°</w:t>
            </w:r>
            <w:r>
              <w:rPr>
                <w:rFonts w:hint="eastAsia" w:ascii="宋体" w:hAnsi="宋体" w:cs="宋体"/>
                <w:sz w:val="18"/>
                <w:szCs w:val="18"/>
              </w:rPr>
              <w:t xml:space="preserve">；</w:t>
            </w:r>
            <w:r/>
          </w:p>
          <w:p>
            <w:pPr>
              <w:jc w:val="left"/>
              <w:widowControl/>
              <w:rPr>
                <w:rFonts w:ascii="宋体" w:hAnsi="宋体" w:cs="宋体"/>
                <w:sz w:val="18"/>
                <w:szCs w:val="18"/>
              </w:rPr>
            </w:pPr>
            <w:r>
              <w:rPr>
                <w:rFonts w:hint="eastAsia" w:ascii="宋体" w:hAnsi="宋体" w:cs="宋体"/>
                <w:sz w:val="18"/>
                <w:szCs w:val="18"/>
                <w:lang w:bidi="ar"/>
              </w:rPr>
              <w:t xml:space="preserve">8. CQS：≥95</w:t>
            </w:r>
            <w:r>
              <w:rPr>
                <w:rFonts w:hint="eastAsia" w:ascii="宋体" w:hAnsi="宋体" w:cs="宋体"/>
                <w:sz w:val="18"/>
                <w:szCs w:val="18"/>
              </w:rPr>
              <w:t xml:space="preserve">；</w:t>
            </w:r>
            <w:r>
              <w:rPr>
                <w:rFonts w:hint="eastAsia" w:ascii="宋体" w:hAnsi="宋体" w:cs="宋体"/>
                <w:sz w:val="18"/>
                <w:szCs w:val="18"/>
                <w:lang w:bidi="ar"/>
              </w:rPr>
              <w:t xml:space="preserve">9. TM-30-15：（Rf94，Rg101）</w:t>
            </w:r>
            <w:r>
              <w:rPr>
                <w:rFonts w:hint="eastAsia" w:ascii="宋体" w:hAnsi="宋体" w:cs="宋体"/>
                <w:sz w:val="18"/>
                <w:szCs w:val="18"/>
              </w:rPr>
              <w:t xml:space="preserve">；</w:t>
            </w:r>
            <w:r>
              <w:rPr>
                <w:rFonts w:hint="eastAsia" w:ascii="宋体" w:hAnsi="宋体" w:cs="宋体"/>
                <w:sz w:val="18"/>
                <w:szCs w:val="18"/>
                <w:lang w:bidi="ar"/>
              </w:rPr>
              <w:t xml:space="preserve">10. 刷新频率：9KHZ，高清拍摄无闪烁</w:t>
            </w:r>
            <w:r>
              <w:rPr>
                <w:rFonts w:hint="eastAsia" w:ascii="宋体" w:hAnsi="宋体" w:cs="宋体"/>
                <w:sz w:val="18"/>
                <w:szCs w:val="18"/>
              </w:rPr>
              <w:t xml:space="preserve">；</w:t>
            </w:r>
            <w:r>
              <w:rPr>
                <w:rFonts w:hint="eastAsia" w:ascii="宋体" w:hAnsi="宋体" w:cs="宋体"/>
                <w:sz w:val="18"/>
                <w:szCs w:val="18"/>
                <w:lang w:bidi="ar"/>
              </w:rPr>
              <w:t xml:space="preserve">11. 可达10000级无抖动线性调光</w:t>
            </w:r>
            <w:r>
              <w:rPr>
                <w:rFonts w:hint="eastAsia" w:ascii="宋体" w:hAnsi="宋体" w:cs="宋体"/>
                <w:sz w:val="18"/>
                <w:szCs w:val="18"/>
              </w:rPr>
              <w:t xml:space="preserve">；</w:t>
            </w:r>
            <w:r>
              <w:rPr>
                <w:rFonts w:hint="eastAsia" w:ascii="宋体" w:hAnsi="宋体" w:cs="宋体"/>
                <w:sz w:val="18"/>
                <w:szCs w:val="18"/>
                <w:lang w:bidi="ar"/>
              </w:rPr>
              <w:t xml:space="preserve">12. 光效：56lm/W，光通量：7396lm</w:t>
            </w:r>
            <w:r>
              <w:rPr>
                <w:rFonts w:hint="eastAsia" w:ascii="宋体" w:hAnsi="宋体" w:cs="宋体"/>
                <w:sz w:val="18"/>
                <w:szCs w:val="18"/>
              </w:rPr>
              <w:t xml:space="preserve">；</w:t>
            </w:r>
            <w:r>
              <w:rPr>
                <w:rFonts w:hint="eastAsia" w:ascii="宋体" w:hAnsi="宋体" w:cs="宋体"/>
                <w:sz w:val="18"/>
                <w:szCs w:val="18"/>
                <w:lang w:bidi="ar"/>
              </w:rPr>
              <w:t xml:space="preserve">13. 通道数量：2个通道</w:t>
            </w:r>
            <w:r>
              <w:rPr>
                <w:rFonts w:hint="eastAsia" w:ascii="宋体" w:hAnsi="宋体" w:cs="宋体"/>
                <w:sz w:val="18"/>
                <w:szCs w:val="18"/>
              </w:rPr>
              <w:t xml:space="preserve">；</w:t>
            </w:r>
            <w:r>
              <w:rPr>
                <w:rFonts w:hint="eastAsia" w:ascii="宋体" w:hAnsi="宋体" w:cs="宋体"/>
                <w:sz w:val="18"/>
                <w:szCs w:val="18"/>
                <w:lang w:bidi="ar"/>
              </w:rPr>
              <w:t xml:space="preserve">14. 调亮度色温方式：旋钮/DMX512</w:t>
            </w:r>
            <w:r>
              <w:rPr>
                <w:rFonts w:hint="eastAsia" w:ascii="宋体" w:hAnsi="宋体" w:cs="宋体"/>
                <w:sz w:val="18"/>
                <w:szCs w:val="18"/>
              </w:rPr>
              <w:t xml:space="preserve">；</w:t>
            </w:r>
            <w:r>
              <w:rPr>
                <w:rFonts w:hint="eastAsia" w:ascii="宋体" w:hAnsi="宋体" w:cs="宋体"/>
                <w:sz w:val="18"/>
                <w:szCs w:val="18"/>
                <w:lang w:bidi="ar"/>
              </w:rPr>
              <w:t xml:space="preserve">15. 控制协议：DMX512(1990版)。</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超高清4K演播室LED螺纹聚光灯</w:t>
            </w:r>
            <w:r/>
          </w:p>
          <w:p>
            <w:pPr>
              <w:jc w:val="center"/>
              <w:widowControl/>
              <w:rPr>
                <w:rFonts w:ascii="宋体" w:hAnsi="宋体" w:cs="宋体"/>
                <w:sz w:val="18"/>
                <w:szCs w:val="18"/>
              </w:rPr>
            </w:pPr>
            <w:r>
              <w:rPr>
                <w:rFonts w:hint="eastAsia" w:ascii="宋体" w:hAnsi="宋体" w:cs="宋体"/>
                <w:sz w:val="18"/>
                <w:szCs w:val="18"/>
                <w:lang w:bidi="ar"/>
              </w:rPr>
              <w:t xml:space="preserve">100W</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功率：100W</w:t>
            </w:r>
            <w:r>
              <w:rPr>
                <w:rFonts w:hint="eastAsia" w:ascii="宋体" w:hAnsi="宋体" w:cs="宋体"/>
                <w:sz w:val="18"/>
                <w:szCs w:val="18"/>
              </w:rPr>
              <w:t xml:space="preserve">；</w:t>
            </w:r>
            <w:r>
              <w:rPr>
                <w:rFonts w:hint="eastAsia" w:ascii="宋体" w:hAnsi="宋体" w:cs="宋体"/>
                <w:sz w:val="18"/>
                <w:szCs w:val="18"/>
                <w:lang w:bidi="ar"/>
              </w:rPr>
              <w:t xml:space="preserve">2. 显色指数：Ra≥95，R9≥90，TLCI≥95</w:t>
            </w:r>
            <w:r>
              <w:rPr>
                <w:rFonts w:hint="eastAsia" w:ascii="宋体" w:hAnsi="宋体" w:cs="宋体"/>
                <w:sz w:val="18"/>
                <w:szCs w:val="18"/>
              </w:rPr>
              <w:t xml:space="preserve">；</w:t>
            </w:r>
            <w:r>
              <w:rPr>
                <w:rFonts w:hint="eastAsia" w:ascii="宋体" w:hAnsi="宋体" w:cs="宋体"/>
                <w:sz w:val="18"/>
                <w:szCs w:val="18"/>
                <w:lang w:bidi="ar"/>
              </w:rPr>
              <w:t xml:space="preserve">3. 应用场景：20-60㎡演播室，直播间，融媒体中心，电视台，无影棚</w:t>
            </w:r>
            <w:r>
              <w:rPr>
                <w:rFonts w:hint="eastAsia" w:ascii="宋体" w:hAnsi="宋体" w:cs="宋体"/>
                <w:sz w:val="18"/>
                <w:szCs w:val="18"/>
              </w:rPr>
              <w:t xml:space="preserve">；</w:t>
            </w:r>
            <w:r>
              <w:rPr>
                <w:rFonts w:hint="eastAsia" w:ascii="宋体" w:hAnsi="宋体" w:cs="宋体"/>
                <w:sz w:val="18"/>
                <w:szCs w:val="18"/>
                <w:lang w:bidi="ar"/>
              </w:rPr>
              <w:t xml:space="preserve">4. 色温：3200K/5600K/3200K-5600K色温连续可调（±150K）3种可选</w:t>
            </w:r>
            <w:r>
              <w:rPr>
                <w:rFonts w:hint="eastAsia" w:ascii="宋体" w:hAnsi="宋体" w:cs="宋体"/>
                <w:sz w:val="18"/>
                <w:szCs w:val="18"/>
              </w:rPr>
              <w:t xml:space="preserve">；</w:t>
            </w:r>
            <w:r>
              <w:rPr>
                <w:rFonts w:hint="eastAsia" w:ascii="宋体" w:hAnsi="宋体" w:cs="宋体"/>
                <w:sz w:val="18"/>
                <w:szCs w:val="18"/>
                <w:lang w:bidi="ar"/>
              </w:rPr>
              <w:t xml:space="preserve">5. 使用范围：30-120㎡演播室轮廓光眼神光</w:t>
            </w:r>
            <w:r>
              <w:rPr>
                <w:rFonts w:hint="eastAsia" w:ascii="宋体" w:hAnsi="宋体" w:cs="宋体"/>
                <w:sz w:val="18"/>
                <w:szCs w:val="18"/>
              </w:rPr>
              <w:t xml:space="preserve">；</w:t>
            </w:r>
            <w:r>
              <w:rPr>
                <w:rFonts w:hint="eastAsia" w:ascii="宋体" w:hAnsi="宋体" w:cs="宋体"/>
                <w:sz w:val="18"/>
                <w:szCs w:val="18"/>
                <w:lang w:bidi="ar"/>
              </w:rPr>
              <w:t xml:space="preserve">6. 产品名称：超高清4K演播室LED螺纹聚光灯100W</w:t>
            </w:r>
            <w:r>
              <w:rPr>
                <w:rFonts w:hint="eastAsia" w:ascii="宋体" w:hAnsi="宋体" w:cs="宋体"/>
                <w:sz w:val="18"/>
                <w:szCs w:val="18"/>
              </w:rPr>
              <w:t xml:space="preserve">；</w:t>
            </w:r>
            <w:r>
              <w:rPr>
                <w:rFonts w:hint="eastAsia" w:ascii="宋体" w:hAnsi="宋体" w:cs="宋体"/>
                <w:sz w:val="18"/>
                <w:szCs w:val="18"/>
                <w:lang w:bidi="ar"/>
              </w:rPr>
              <w:t xml:space="preserve">7. 电压：AC100V-240V/50-60HZ</w:t>
            </w:r>
            <w:r>
              <w:rPr>
                <w:rFonts w:hint="eastAsia" w:ascii="宋体" w:hAnsi="宋体" w:cs="宋体"/>
                <w:sz w:val="18"/>
                <w:szCs w:val="18"/>
              </w:rPr>
              <w:t xml:space="preserve">；</w:t>
            </w:r>
            <w:r>
              <w:rPr>
                <w:rFonts w:hint="eastAsia" w:ascii="宋体" w:hAnsi="宋体" w:cs="宋体"/>
                <w:sz w:val="18"/>
                <w:szCs w:val="18"/>
                <w:lang w:bidi="ar"/>
              </w:rPr>
              <w:t xml:space="preserve">8. 光源：LED集成灯珠100W/颗</w:t>
            </w:r>
            <w:r>
              <w:rPr>
                <w:rFonts w:hint="eastAsia" w:ascii="宋体" w:hAnsi="宋体" w:cs="宋体"/>
                <w:sz w:val="18"/>
                <w:szCs w:val="18"/>
              </w:rPr>
              <w:t xml:space="preserve">；</w:t>
            </w:r>
            <w:r>
              <w:rPr>
                <w:rFonts w:hint="eastAsia" w:ascii="宋体" w:hAnsi="宋体" w:cs="宋体"/>
                <w:sz w:val="18"/>
                <w:szCs w:val="18"/>
                <w:lang w:bidi="ar"/>
              </w:rPr>
              <w:t xml:space="preserve">9. 发光效率：≥90Lm/W</w:t>
            </w:r>
            <w:r>
              <w:rPr>
                <w:rFonts w:hint="eastAsia" w:ascii="宋体" w:hAnsi="宋体" w:cs="宋体"/>
                <w:sz w:val="18"/>
                <w:szCs w:val="18"/>
              </w:rPr>
              <w:t xml:space="preserve">；</w:t>
            </w:r>
            <w:r>
              <w:rPr>
                <w:rFonts w:hint="eastAsia" w:ascii="宋体" w:hAnsi="宋体" w:cs="宋体"/>
                <w:sz w:val="18"/>
                <w:szCs w:val="18"/>
                <w:lang w:bidi="ar"/>
              </w:rPr>
              <w:t xml:space="preserve">10. 光束角度：15-60度</w:t>
            </w:r>
            <w:r>
              <w:rPr>
                <w:rFonts w:hint="eastAsia" w:ascii="宋体" w:hAnsi="宋体" w:cs="宋体"/>
                <w:sz w:val="18"/>
                <w:szCs w:val="18"/>
              </w:rPr>
              <w:t xml:space="preserve">；</w:t>
            </w:r>
            <w:r>
              <w:rPr>
                <w:rFonts w:hint="eastAsia" w:ascii="宋体" w:hAnsi="宋体" w:cs="宋体"/>
                <w:sz w:val="18"/>
                <w:szCs w:val="18"/>
                <w:lang w:bidi="ar"/>
              </w:rPr>
              <w:t xml:space="preserve">11. CQS：≥93</w:t>
            </w:r>
            <w:r>
              <w:rPr>
                <w:rFonts w:hint="eastAsia" w:ascii="宋体" w:hAnsi="宋体" w:cs="宋体"/>
                <w:sz w:val="18"/>
                <w:szCs w:val="18"/>
              </w:rPr>
              <w:t xml:space="preserve">；</w:t>
            </w:r>
            <w:r>
              <w:rPr>
                <w:rFonts w:hint="eastAsia" w:ascii="宋体" w:hAnsi="宋体" w:cs="宋体"/>
                <w:sz w:val="18"/>
                <w:szCs w:val="18"/>
                <w:lang w:bidi="ar"/>
              </w:rPr>
              <w:t xml:space="preserve">12. TM-30-15：（Rf93，Rg103）</w:t>
            </w:r>
            <w:r>
              <w:rPr>
                <w:rFonts w:hint="eastAsia" w:ascii="宋体" w:hAnsi="宋体" w:cs="宋体"/>
                <w:sz w:val="18"/>
                <w:szCs w:val="18"/>
              </w:rPr>
              <w:t xml:space="preserve">；</w:t>
            </w:r>
            <w:r>
              <w:rPr>
                <w:rFonts w:hint="eastAsia" w:ascii="宋体" w:hAnsi="宋体" w:cs="宋体"/>
                <w:sz w:val="18"/>
                <w:szCs w:val="18"/>
                <w:lang w:bidi="ar"/>
              </w:rPr>
              <w:t xml:space="preserve">13. 刷新频率：9KHZ，高清拍摄无闪烁</w:t>
            </w:r>
            <w:r>
              <w:rPr>
                <w:rFonts w:hint="eastAsia" w:ascii="宋体" w:hAnsi="宋体" w:cs="宋体"/>
                <w:sz w:val="18"/>
                <w:szCs w:val="18"/>
              </w:rPr>
              <w:t xml:space="preserve">；</w:t>
            </w:r>
            <w:r>
              <w:rPr>
                <w:rFonts w:hint="eastAsia" w:ascii="宋体" w:hAnsi="宋体" w:cs="宋体"/>
                <w:sz w:val="18"/>
                <w:szCs w:val="18"/>
                <w:lang w:bidi="ar"/>
              </w:rPr>
              <w:t xml:space="preserve">14. 可达10000级无抖动线性调光。</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调光专用控制台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通道：48路独立调光通道，电气隔离输出</w:t>
            </w:r>
            <w:r>
              <w:rPr>
                <w:rFonts w:hint="eastAsia" w:ascii="宋体" w:hAnsi="宋体" w:cs="宋体"/>
                <w:sz w:val="18"/>
                <w:szCs w:val="18"/>
              </w:rPr>
              <w:t xml:space="preserve">；</w:t>
            </w:r>
            <w:r>
              <w:rPr>
                <w:rFonts w:hint="eastAsia" w:ascii="宋体" w:hAnsi="宋体" w:cs="宋体"/>
                <w:sz w:val="18"/>
                <w:szCs w:val="18"/>
                <w:lang w:bidi="ar"/>
              </w:rPr>
              <w:t xml:space="preserve">2. 推杆：24个调光推杆</w:t>
            </w:r>
            <w:r>
              <w:rPr>
                <w:rFonts w:hint="eastAsia" w:ascii="宋体" w:hAnsi="宋体" w:cs="宋体"/>
                <w:sz w:val="18"/>
                <w:szCs w:val="18"/>
              </w:rPr>
              <w:t xml:space="preserve">；</w:t>
            </w:r>
            <w:r>
              <w:rPr>
                <w:rFonts w:hint="eastAsia" w:ascii="宋体" w:hAnsi="宋体" w:cs="宋体"/>
                <w:sz w:val="18"/>
                <w:szCs w:val="18"/>
                <w:lang w:bidi="ar"/>
              </w:rPr>
              <w:t xml:space="preserve">3. 点控：24个点控按键</w:t>
            </w:r>
            <w:r>
              <w:rPr>
                <w:rFonts w:hint="eastAsia" w:ascii="宋体" w:hAnsi="宋体" w:cs="宋体"/>
                <w:sz w:val="18"/>
                <w:szCs w:val="18"/>
              </w:rPr>
              <w:t xml:space="preserve">；</w:t>
            </w:r>
            <w:r>
              <w:rPr>
                <w:rFonts w:hint="eastAsia" w:ascii="宋体" w:hAnsi="宋体" w:cs="宋体"/>
                <w:sz w:val="18"/>
                <w:szCs w:val="18"/>
                <w:lang w:bidi="ar"/>
              </w:rPr>
              <w:t xml:space="preserve">4. 电压：AC88～256V 50/60Hz</w:t>
            </w:r>
            <w:r>
              <w:rPr>
                <w:rFonts w:hint="eastAsia" w:ascii="宋体" w:hAnsi="宋体" w:cs="宋体"/>
                <w:sz w:val="18"/>
                <w:szCs w:val="18"/>
              </w:rPr>
              <w:t xml:space="preserve">；</w:t>
            </w:r>
            <w:r>
              <w:rPr>
                <w:rFonts w:hint="eastAsia" w:ascii="宋体" w:hAnsi="宋体" w:cs="宋体"/>
                <w:sz w:val="18"/>
                <w:szCs w:val="18"/>
                <w:lang w:bidi="ar"/>
              </w:rPr>
              <w:t xml:space="preserve">5. 电源输入：三芯带锁输入，输出，手拉手方式</w:t>
            </w:r>
            <w:r>
              <w:rPr>
                <w:rFonts w:hint="eastAsia" w:ascii="宋体" w:hAnsi="宋体" w:cs="宋体"/>
                <w:sz w:val="18"/>
                <w:szCs w:val="18"/>
              </w:rPr>
              <w:t xml:space="preserve">；</w:t>
            </w:r>
            <w:r>
              <w:rPr>
                <w:rFonts w:hint="eastAsia" w:ascii="宋体" w:hAnsi="宋体" w:cs="宋体"/>
                <w:sz w:val="18"/>
                <w:szCs w:val="18"/>
                <w:lang w:bidi="ar"/>
              </w:rPr>
              <w:t xml:space="preserve">6. 通讯协议：DMX 512（1990版）</w:t>
            </w:r>
            <w:r>
              <w:rPr>
                <w:rFonts w:hint="eastAsia" w:ascii="宋体" w:hAnsi="宋体" w:cs="宋体"/>
                <w:sz w:val="18"/>
                <w:szCs w:val="18"/>
              </w:rPr>
              <w:t xml:space="preserve">；</w:t>
            </w:r>
            <w:r>
              <w:rPr>
                <w:rFonts w:hint="eastAsia" w:ascii="宋体" w:hAnsi="宋体" w:cs="宋体"/>
                <w:sz w:val="18"/>
                <w:szCs w:val="18"/>
                <w:lang w:bidi="ar"/>
              </w:rPr>
              <w:t xml:space="preserve">7. 集控/场景：6个场景</w:t>
            </w:r>
            <w:r>
              <w:rPr>
                <w:rFonts w:hint="eastAsia" w:ascii="宋体" w:hAnsi="宋体" w:cs="宋体"/>
                <w:sz w:val="18"/>
                <w:szCs w:val="18"/>
              </w:rPr>
              <w:t xml:space="preserve">；</w:t>
            </w:r>
            <w:r>
              <w:rPr>
                <w:rFonts w:hint="eastAsia" w:ascii="宋体" w:hAnsi="宋体" w:cs="宋体"/>
                <w:sz w:val="18"/>
                <w:szCs w:val="18"/>
                <w:lang w:bidi="ar"/>
              </w:rPr>
              <w:t xml:space="preserve">8. 集控推杆：6个集控推杆</w:t>
            </w:r>
            <w:r>
              <w:rPr>
                <w:rFonts w:hint="eastAsia" w:ascii="宋体" w:hAnsi="宋体" w:cs="宋体"/>
                <w:sz w:val="18"/>
                <w:szCs w:val="18"/>
              </w:rPr>
              <w:t xml:space="preserve">；</w:t>
            </w:r>
            <w:r>
              <w:rPr>
                <w:rFonts w:hint="eastAsia" w:ascii="宋体" w:hAnsi="宋体" w:cs="宋体"/>
                <w:sz w:val="18"/>
                <w:szCs w:val="18"/>
                <w:lang w:bidi="ar"/>
              </w:rPr>
              <w:t xml:space="preserve">9. 集控按键：6个集控按键</w:t>
            </w:r>
            <w:r>
              <w:rPr>
                <w:rFonts w:hint="eastAsia" w:ascii="宋体" w:hAnsi="宋体" w:cs="宋体"/>
                <w:sz w:val="18"/>
                <w:szCs w:val="18"/>
              </w:rPr>
              <w:t xml:space="preserve">；</w:t>
            </w:r>
            <w:r>
              <w:rPr>
                <w:rFonts w:hint="eastAsia" w:ascii="宋体" w:hAnsi="宋体" w:cs="宋体"/>
                <w:sz w:val="18"/>
                <w:szCs w:val="18"/>
                <w:lang w:bidi="ar"/>
              </w:rPr>
              <w:t xml:space="preserve">10. 通道翻页：页面1-24和页面25-28按键通道翻页切换</w:t>
            </w:r>
            <w:r>
              <w:rPr>
                <w:rFonts w:hint="eastAsia" w:ascii="宋体" w:hAnsi="宋体" w:cs="宋体"/>
                <w:sz w:val="18"/>
                <w:szCs w:val="18"/>
              </w:rPr>
              <w:t xml:space="preserve">；</w:t>
            </w:r>
            <w:r>
              <w:rPr>
                <w:rFonts w:hint="eastAsia" w:ascii="宋体" w:hAnsi="宋体" w:cs="宋体"/>
                <w:sz w:val="18"/>
                <w:szCs w:val="18"/>
                <w:lang w:bidi="ar"/>
              </w:rPr>
              <w:t xml:space="preserve">11. 总调光：1个总控推杆</w:t>
            </w:r>
            <w:r>
              <w:rPr>
                <w:rFonts w:hint="eastAsia" w:ascii="宋体" w:hAnsi="宋体" w:cs="宋体"/>
                <w:sz w:val="18"/>
                <w:szCs w:val="18"/>
              </w:rPr>
              <w:t xml:space="preserve">；</w:t>
            </w:r>
            <w:r>
              <w:rPr>
                <w:rFonts w:hint="eastAsia" w:ascii="宋体" w:hAnsi="宋体" w:cs="宋体"/>
                <w:sz w:val="18"/>
                <w:szCs w:val="18"/>
                <w:lang w:bidi="ar"/>
              </w:rPr>
              <w:t xml:space="preserve">12. 按键：蓝色背光显示</w:t>
            </w:r>
            <w:r>
              <w:rPr>
                <w:rFonts w:hint="eastAsia" w:ascii="宋体" w:hAnsi="宋体" w:cs="宋体"/>
                <w:sz w:val="18"/>
                <w:szCs w:val="18"/>
              </w:rPr>
              <w:t xml:space="preserve">；</w:t>
            </w:r>
            <w:r>
              <w:rPr>
                <w:rFonts w:hint="eastAsia" w:ascii="宋体" w:hAnsi="宋体" w:cs="宋体"/>
                <w:sz w:val="18"/>
                <w:szCs w:val="18"/>
                <w:lang w:bidi="ar"/>
              </w:rPr>
              <w:t xml:space="preserve">13. 中控控制：RS232/RS485输出口，连接中控实现远程调用集控</w:t>
            </w:r>
            <w:r>
              <w:rPr>
                <w:rFonts w:hint="eastAsia" w:ascii="宋体" w:hAnsi="宋体" w:cs="宋体"/>
                <w:sz w:val="18"/>
                <w:szCs w:val="18"/>
              </w:rPr>
              <w:t xml:space="preserve">；</w:t>
            </w:r>
            <w:r>
              <w:rPr>
                <w:rFonts w:hint="eastAsia" w:ascii="宋体" w:hAnsi="宋体" w:cs="宋体"/>
                <w:sz w:val="18"/>
                <w:szCs w:val="18"/>
                <w:lang w:bidi="ar"/>
              </w:rPr>
              <w:t xml:space="preserve">14. 扩展功能：支持主、从机扩展通道，可扩展192个独立通道，连接4台</w:t>
            </w:r>
            <w:r>
              <w:rPr>
                <w:rFonts w:hint="eastAsia" w:ascii="宋体" w:hAnsi="宋体" w:cs="宋体"/>
                <w:sz w:val="18"/>
                <w:szCs w:val="18"/>
              </w:rPr>
              <w:t xml:space="preserve">；</w:t>
            </w:r>
            <w:r>
              <w:rPr>
                <w:rFonts w:hint="eastAsia" w:ascii="宋体" w:hAnsi="宋体" w:cs="宋体"/>
                <w:sz w:val="18"/>
                <w:szCs w:val="18"/>
                <w:lang w:bidi="ar"/>
              </w:rPr>
              <w:t xml:space="preserve">15. DMX信号连接：XLR-D3F，三芯卡侬，双路输出（3正2负1屏蔽）。</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gridAfter w:val="1"/>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信号放大器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4路独立放大的DMX信号输出</w:t>
            </w:r>
            <w:r>
              <w:rPr>
                <w:rFonts w:hint="eastAsia" w:ascii="宋体" w:hAnsi="宋体" w:cs="宋体"/>
                <w:sz w:val="18"/>
                <w:szCs w:val="18"/>
              </w:rPr>
              <w:t xml:space="preserve">；</w:t>
            </w:r>
            <w:r>
              <w:rPr>
                <w:rFonts w:hint="eastAsia" w:ascii="宋体" w:hAnsi="宋体" w:cs="宋体"/>
                <w:sz w:val="18"/>
                <w:szCs w:val="18"/>
                <w:lang w:bidi="ar"/>
              </w:rPr>
              <w:t xml:space="preserve">2. 有效提高DMX信号传送能力，有效提高DMX信号抗干扰能力</w:t>
            </w:r>
            <w:r>
              <w:rPr>
                <w:rFonts w:hint="eastAsia" w:ascii="宋体" w:hAnsi="宋体" w:cs="宋体"/>
                <w:sz w:val="18"/>
                <w:szCs w:val="18"/>
              </w:rPr>
              <w:t xml:space="preserve">；</w:t>
            </w:r>
            <w:r>
              <w:rPr>
                <w:rFonts w:hint="eastAsia" w:ascii="宋体" w:hAnsi="宋体" w:cs="宋体"/>
                <w:sz w:val="18"/>
                <w:szCs w:val="18"/>
                <w:lang w:bidi="ar"/>
              </w:rPr>
              <w:t xml:space="preserve">3. DMX信号光电隔离有效防止市电高压串入调光台</w:t>
            </w:r>
            <w:r>
              <w:rPr>
                <w:rFonts w:hint="eastAsia" w:ascii="宋体" w:hAnsi="宋体" w:cs="宋体"/>
                <w:sz w:val="18"/>
                <w:szCs w:val="18"/>
              </w:rPr>
              <w:t xml:space="preserve">；</w:t>
            </w:r>
            <w:r>
              <w:rPr>
                <w:rFonts w:hint="eastAsia" w:ascii="宋体" w:hAnsi="宋体" w:cs="宋体"/>
                <w:sz w:val="18"/>
                <w:szCs w:val="18"/>
                <w:lang w:bidi="ar"/>
              </w:rPr>
              <w:t xml:space="preserve">4. 防止雷击高压串入调光台手拉手式电源输入方便多台连机使用。</w:t>
            </w:r>
            <w:r/>
          </w:p>
        </w:tc>
        <w:tc>
          <w:tcPr>
            <w:shd w:val="clear" w:color="auto" w:fill="ffffff"/>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电源分线盒</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灯具电源转接分线</w:t>
            </w:r>
            <w:r>
              <w:rPr>
                <w:rFonts w:hint="eastAsia" w:ascii="宋体" w:hAnsi="宋体" w:cs="宋体"/>
                <w:sz w:val="18"/>
                <w:szCs w:val="18"/>
              </w:rPr>
              <w:t xml:space="preserve">；</w:t>
            </w:r>
            <w:r>
              <w:rPr>
                <w:rFonts w:hint="eastAsia" w:ascii="宋体" w:hAnsi="宋体" w:cs="宋体"/>
                <w:sz w:val="18"/>
                <w:szCs w:val="18"/>
                <w:lang w:bidi="ar"/>
              </w:rPr>
              <w:t xml:space="preserve">2. 最大负载：3500W</w:t>
            </w:r>
            <w:r>
              <w:rPr>
                <w:rFonts w:hint="eastAsia" w:ascii="宋体" w:hAnsi="宋体" w:cs="宋体"/>
                <w:sz w:val="18"/>
                <w:szCs w:val="18"/>
              </w:rPr>
              <w:t xml:space="preserve">；</w:t>
            </w:r>
            <w:r>
              <w:rPr>
                <w:rFonts w:hint="eastAsia" w:ascii="宋体" w:hAnsi="宋体" w:cs="宋体"/>
                <w:sz w:val="18"/>
                <w:szCs w:val="18"/>
                <w:lang w:bidi="ar"/>
              </w:rPr>
              <w:t xml:space="preserve">3. 输入电源：220V/50Hz</w:t>
            </w:r>
            <w:r>
              <w:rPr>
                <w:rFonts w:hint="eastAsia" w:ascii="宋体" w:hAnsi="宋体" w:cs="宋体"/>
                <w:sz w:val="18"/>
                <w:szCs w:val="18"/>
              </w:rPr>
              <w:t xml:space="preserve">；</w:t>
            </w:r>
            <w:r>
              <w:rPr>
                <w:rFonts w:hint="eastAsia" w:ascii="宋体" w:hAnsi="宋体" w:cs="宋体"/>
                <w:sz w:val="18"/>
                <w:szCs w:val="18"/>
                <w:lang w:bidi="ar"/>
              </w:rPr>
              <w:t xml:space="preserve">4. 材料：铸铁，插座插头材质为玻璃纤维</w:t>
            </w:r>
            <w:r>
              <w:rPr>
                <w:rFonts w:hint="eastAsia" w:ascii="宋体" w:hAnsi="宋体" w:cs="宋体"/>
                <w:sz w:val="18"/>
                <w:szCs w:val="18"/>
              </w:rPr>
              <w:t xml:space="preserve">；</w:t>
            </w:r>
            <w:r>
              <w:rPr>
                <w:rFonts w:hint="eastAsia" w:ascii="宋体" w:hAnsi="宋体" w:cs="宋体"/>
                <w:sz w:val="18"/>
                <w:szCs w:val="18"/>
                <w:lang w:bidi="ar"/>
              </w:rPr>
              <w:t xml:space="preserve">5. 颜色：分线盒黑色，输入橙色航空自锁电源插头，输出航空自锁电源插座</w:t>
            </w:r>
            <w:r>
              <w:rPr>
                <w:rFonts w:hint="eastAsia" w:ascii="宋体" w:hAnsi="宋体" w:cs="宋体"/>
                <w:sz w:val="18"/>
                <w:szCs w:val="18"/>
              </w:rPr>
              <w:t xml:space="preserve">；</w:t>
            </w:r>
            <w:r>
              <w:rPr>
                <w:rFonts w:hint="eastAsia" w:ascii="宋体" w:hAnsi="宋体" w:cs="宋体"/>
                <w:sz w:val="18"/>
                <w:szCs w:val="18"/>
                <w:lang w:bidi="ar"/>
              </w:rPr>
              <w:t xml:space="preserve">6. 规格尺寸：L300*W70*H60mm</w:t>
            </w:r>
            <w:r>
              <w:rPr>
                <w:rFonts w:hint="eastAsia" w:ascii="宋体" w:hAnsi="宋体" w:cs="宋体"/>
                <w:sz w:val="18"/>
                <w:szCs w:val="18"/>
              </w:rPr>
              <w:t xml:space="preserve">；</w:t>
            </w:r>
            <w:r>
              <w:rPr>
                <w:rFonts w:hint="eastAsia" w:ascii="宋体" w:hAnsi="宋体" w:cs="宋体"/>
                <w:sz w:val="18"/>
                <w:szCs w:val="18"/>
                <w:lang w:bidi="ar"/>
              </w:rPr>
              <w:t xml:space="preserve">7. 配置：一个电源分线盒+6个橙色航空自锁电源插头</w:t>
            </w:r>
            <w:r>
              <w:rPr>
                <w:rFonts w:hint="eastAsia" w:ascii="宋体" w:hAnsi="宋体" w:cs="宋体"/>
                <w:sz w:val="18"/>
                <w:szCs w:val="18"/>
              </w:rPr>
              <w:t xml:space="preserve">；</w:t>
            </w:r>
            <w:r>
              <w:rPr>
                <w:rFonts w:hint="eastAsia" w:ascii="宋体" w:hAnsi="宋体" w:cs="宋体"/>
                <w:sz w:val="18"/>
                <w:szCs w:val="18"/>
                <w:lang w:bidi="ar"/>
              </w:rPr>
              <w:t xml:space="preserve">8. 功能：一路进五路出，输入3*2.5电缆线，输出3*1.5电缆线，三芯16A航空自锁电源插头输入输出。</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铝合金固定轨道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承重：≥300kg</w:t>
            </w:r>
            <w:r>
              <w:rPr>
                <w:rFonts w:hint="eastAsia" w:ascii="宋体" w:hAnsi="宋体" w:cs="宋体"/>
                <w:sz w:val="18"/>
                <w:szCs w:val="18"/>
              </w:rPr>
              <w:t xml:space="preserve">；</w:t>
            </w:r>
            <w:r>
              <w:rPr>
                <w:rFonts w:hint="eastAsia" w:ascii="宋体" w:hAnsi="宋体" w:cs="宋体"/>
                <w:sz w:val="18"/>
                <w:szCs w:val="18"/>
                <w:lang w:bidi="ar"/>
              </w:rPr>
              <w:t xml:space="preserve">2. 规格：60mm*80mm*5mm</w:t>
            </w:r>
            <w:r>
              <w:rPr>
                <w:rFonts w:hint="eastAsia" w:ascii="宋体" w:hAnsi="宋体" w:cs="宋体"/>
                <w:sz w:val="18"/>
                <w:szCs w:val="18"/>
              </w:rPr>
              <w:t xml:space="preserve">；</w:t>
            </w:r>
            <w:r>
              <w:rPr>
                <w:rFonts w:hint="eastAsia" w:ascii="宋体" w:hAnsi="宋体" w:cs="宋体"/>
                <w:sz w:val="18"/>
                <w:szCs w:val="18"/>
                <w:lang w:bidi="ar"/>
              </w:rPr>
              <w:t xml:space="preserve">3. 颜色：黑色，表面做黑色静电喷涂</w:t>
            </w:r>
            <w:r>
              <w:rPr>
                <w:rFonts w:hint="eastAsia" w:ascii="宋体" w:hAnsi="宋体" w:cs="宋体"/>
                <w:sz w:val="18"/>
                <w:szCs w:val="18"/>
              </w:rPr>
              <w:t xml:space="preserve">；</w:t>
            </w:r>
            <w:r>
              <w:rPr>
                <w:rFonts w:hint="eastAsia" w:ascii="宋体" w:hAnsi="宋体" w:cs="宋体"/>
                <w:sz w:val="18"/>
                <w:szCs w:val="18"/>
                <w:lang w:bidi="ar"/>
              </w:rPr>
              <w:t xml:space="preserve">4. 材质：6063T6铝合金</w:t>
            </w:r>
            <w:r>
              <w:rPr>
                <w:rFonts w:hint="eastAsia" w:ascii="宋体" w:hAnsi="宋体" w:cs="宋体"/>
                <w:sz w:val="18"/>
                <w:szCs w:val="18"/>
              </w:rPr>
              <w:t xml:space="preserve">；</w:t>
            </w:r>
            <w:r>
              <w:rPr>
                <w:rFonts w:hint="eastAsia" w:ascii="宋体" w:hAnsi="宋体" w:cs="宋体"/>
                <w:sz w:val="18"/>
                <w:szCs w:val="18"/>
                <w:lang w:bidi="ar"/>
              </w:rPr>
              <w:t xml:space="preserve">5. 长度：4m</w:t>
            </w:r>
            <w:r>
              <w:rPr>
                <w:rFonts w:hint="eastAsia" w:ascii="宋体" w:hAnsi="宋体" w:cs="宋体"/>
                <w:sz w:val="18"/>
                <w:szCs w:val="18"/>
              </w:rPr>
              <w:t xml:space="preserve">；</w:t>
            </w:r>
            <w:r>
              <w:rPr>
                <w:rFonts w:hint="eastAsia" w:ascii="宋体" w:hAnsi="宋体" w:cs="宋体"/>
                <w:sz w:val="18"/>
                <w:szCs w:val="18"/>
                <w:lang w:bidi="ar"/>
              </w:rPr>
              <w:t xml:space="preserve">6. 形状：工字型</w:t>
            </w:r>
            <w:r>
              <w:rPr>
                <w:rFonts w:hint="eastAsia" w:ascii="宋体" w:hAnsi="宋体" w:cs="宋体"/>
                <w:sz w:val="18"/>
                <w:szCs w:val="18"/>
              </w:rPr>
              <w:t xml:space="preserve">；</w:t>
            </w:r>
            <w:r>
              <w:rPr>
                <w:rFonts w:hint="eastAsia" w:ascii="宋体" w:hAnsi="宋体" w:cs="宋体"/>
                <w:sz w:val="18"/>
                <w:szCs w:val="18"/>
                <w:lang w:bidi="ar"/>
              </w:rPr>
              <w:t xml:space="preserve">7. 弧形：根据设计现场需求，可加工成需要的弧，可做成圆</w:t>
            </w:r>
            <w:r>
              <w:rPr>
                <w:rFonts w:hint="eastAsia" w:ascii="宋体" w:hAnsi="宋体" w:cs="宋体"/>
                <w:sz w:val="18"/>
                <w:szCs w:val="18"/>
              </w:rPr>
              <w:t xml:space="preserve">；</w:t>
            </w:r>
            <w:r>
              <w:rPr>
                <w:rFonts w:hint="eastAsia" w:ascii="宋体" w:hAnsi="宋体" w:cs="宋体"/>
                <w:sz w:val="18"/>
                <w:szCs w:val="18"/>
                <w:lang w:bidi="ar"/>
              </w:rPr>
              <w:t xml:space="preserve">8. 寿命：不低于13年</w:t>
            </w:r>
            <w:r>
              <w:rPr>
                <w:rFonts w:hint="eastAsia" w:ascii="宋体" w:hAnsi="宋体" w:cs="宋体"/>
                <w:sz w:val="18"/>
                <w:szCs w:val="18"/>
              </w:rPr>
              <w:t xml:space="preserve">；</w:t>
            </w:r>
            <w:r>
              <w:rPr>
                <w:rFonts w:hint="eastAsia" w:ascii="宋体" w:hAnsi="宋体" w:cs="宋体"/>
                <w:sz w:val="18"/>
                <w:szCs w:val="18"/>
                <w:lang w:bidi="ar"/>
              </w:rPr>
              <w:t xml:space="preserve">9. 功能：可吊挂恒力铰链伸缩器、万向器、灯具滑车、电缆滑车。</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铝合金固定轨道</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承重：≥300kg</w:t>
            </w:r>
            <w:r>
              <w:rPr>
                <w:rFonts w:hint="eastAsia" w:ascii="宋体" w:hAnsi="宋体" w:cs="宋体"/>
                <w:sz w:val="18"/>
                <w:szCs w:val="18"/>
              </w:rPr>
              <w:t xml:space="preserve">；</w:t>
            </w:r>
            <w:r>
              <w:rPr>
                <w:rFonts w:hint="eastAsia" w:ascii="宋体" w:hAnsi="宋体" w:cs="宋体"/>
                <w:sz w:val="18"/>
                <w:szCs w:val="18"/>
                <w:lang w:bidi="ar"/>
              </w:rPr>
              <w:t xml:space="preserve">2. 规格：60mm*80mm*5mm</w:t>
            </w:r>
            <w:r>
              <w:rPr>
                <w:rFonts w:hint="eastAsia" w:ascii="宋体" w:hAnsi="宋体" w:cs="宋体"/>
                <w:sz w:val="18"/>
                <w:szCs w:val="18"/>
              </w:rPr>
              <w:t xml:space="preserve">；</w:t>
            </w:r>
            <w:r>
              <w:rPr>
                <w:rFonts w:hint="eastAsia" w:ascii="宋体" w:hAnsi="宋体" w:cs="宋体"/>
                <w:sz w:val="18"/>
                <w:szCs w:val="18"/>
                <w:lang w:bidi="ar"/>
              </w:rPr>
              <w:t xml:space="preserve">3. 颜色：黑色，表面做黑色静电喷涂</w:t>
            </w:r>
            <w:r>
              <w:rPr>
                <w:rFonts w:hint="eastAsia" w:ascii="宋体" w:hAnsi="宋体" w:cs="宋体"/>
                <w:sz w:val="18"/>
                <w:szCs w:val="18"/>
              </w:rPr>
              <w:t xml:space="preserve">；</w:t>
            </w:r>
            <w:r>
              <w:rPr>
                <w:rFonts w:hint="eastAsia" w:ascii="宋体" w:hAnsi="宋体" w:cs="宋体"/>
                <w:sz w:val="18"/>
                <w:szCs w:val="18"/>
                <w:lang w:bidi="ar"/>
              </w:rPr>
              <w:t xml:space="preserve">4. 材质：6063T6铝合金</w:t>
            </w:r>
            <w:r>
              <w:rPr>
                <w:rFonts w:hint="eastAsia" w:ascii="宋体" w:hAnsi="宋体" w:cs="宋体"/>
                <w:sz w:val="18"/>
                <w:szCs w:val="18"/>
              </w:rPr>
              <w:t xml:space="preserve">；</w:t>
            </w:r>
            <w:r>
              <w:rPr>
                <w:rFonts w:hint="eastAsia" w:ascii="宋体" w:hAnsi="宋体" w:cs="宋体"/>
                <w:sz w:val="18"/>
                <w:szCs w:val="18"/>
                <w:lang w:bidi="ar"/>
              </w:rPr>
              <w:t xml:space="preserve">5. 长度：3m</w:t>
            </w:r>
            <w:r>
              <w:rPr>
                <w:rFonts w:hint="eastAsia" w:ascii="宋体" w:hAnsi="宋体" w:cs="宋体"/>
                <w:sz w:val="18"/>
                <w:szCs w:val="18"/>
              </w:rPr>
              <w:t xml:space="preserve">；</w:t>
            </w:r>
            <w:r>
              <w:rPr>
                <w:rFonts w:hint="eastAsia" w:ascii="宋体" w:hAnsi="宋体" w:cs="宋体"/>
                <w:sz w:val="18"/>
                <w:szCs w:val="18"/>
                <w:lang w:bidi="ar"/>
              </w:rPr>
              <w:t xml:space="preserve">6. 形状：工字型</w:t>
            </w:r>
            <w:r>
              <w:rPr>
                <w:rFonts w:hint="eastAsia" w:ascii="宋体" w:hAnsi="宋体" w:cs="宋体"/>
                <w:sz w:val="18"/>
                <w:szCs w:val="18"/>
              </w:rPr>
              <w:t xml:space="preserve">；</w:t>
            </w:r>
            <w:r>
              <w:rPr>
                <w:rFonts w:hint="eastAsia" w:ascii="宋体" w:hAnsi="宋体" w:cs="宋体"/>
                <w:sz w:val="18"/>
                <w:szCs w:val="18"/>
                <w:lang w:bidi="ar"/>
              </w:rPr>
              <w:t xml:space="preserve">7. 弧形：根据设计现场需求，可加工成需要的弧，可做成圆</w:t>
            </w:r>
            <w:r>
              <w:rPr>
                <w:rFonts w:hint="eastAsia" w:ascii="宋体" w:hAnsi="宋体" w:cs="宋体"/>
                <w:sz w:val="18"/>
                <w:szCs w:val="18"/>
              </w:rPr>
              <w:t xml:space="preserve">；</w:t>
            </w:r>
            <w:r>
              <w:rPr>
                <w:rFonts w:hint="eastAsia" w:ascii="宋体" w:hAnsi="宋体" w:cs="宋体"/>
                <w:sz w:val="18"/>
                <w:szCs w:val="18"/>
                <w:lang w:bidi="ar"/>
              </w:rPr>
              <w:t xml:space="preserve">8. 寿命：不低于13年</w:t>
            </w:r>
            <w:r>
              <w:rPr>
                <w:rFonts w:hint="eastAsia" w:ascii="宋体" w:hAnsi="宋体" w:cs="宋体"/>
                <w:sz w:val="18"/>
                <w:szCs w:val="18"/>
              </w:rPr>
              <w:t xml:space="preserve">；</w:t>
            </w:r>
            <w:r>
              <w:rPr>
                <w:rFonts w:hint="eastAsia" w:ascii="宋体" w:hAnsi="宋体" w:cs="宋体"/>
                <w:sz w:val="18"/>
                <w:szCs w:val="18"/>
                <w:lang w:bidi="ar"/>
              </w:rPr>
              <w:t xml:space="preserve">9. 功能：可吊挂恒力铰链伸缩器、万向器、灯具滑车、电缆滑车。</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方管支架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承重能力：1000kg</w:t>
            </w:r>
            <w:r>
              <w:rPr>
                <w:rFonts w:hint="eastAsia" w:ascii="宋体" w:hAnsi="宋体" w:cs="宋体"/>
                <w:sz w:val="18"/>
                <w:szCs w:val="18"/>
              </w:rPr>
              <w:t xml:space="preserve">；</w:t>
            </w:r>
            <w:r>
              <w:rPr>
                <w:rFonts w:hint="eastAsia" w:ascii="宋体" w:hAnsi="宋体" w:cs="宋体"/>
                <w:sz w:val="18"/>
                <w:szCs w:val="18"/>
                <w:lang w:bidi="ar"/>
              </w:rPr>
              <w:t xml:space="preserve">2. 规格：长150mm*宽150mm*高70mm</w:t>
            </w:r>
            <w:r>
              <w:rPr>
                <w:rFonts w:hint="eastAsia" w:ascii="宋体" w:hAnsi="宋体" w:cs="宋体"/>
                <w:sz w:val="18"/>
                <w:szCs w:val="18"/>
              </w:rPr>
              <w:t xml:space="preserve">；</w:t>
            </w:r>
            <w:r>
              <w:rPr>
                <w:rFonts w:hint="eastAsia" w:ascii="宋体" w:hAnsi="宋体" w:cs="宋体"/>
                <w:sz w:val="18"/>
                <w:szCs w:val="18"/>
                <w:lang w:bidi="ar"/>
              </w:rPr>
              <w:t xml:space="preserve">3. 厚度：5mm</w:t>
            </w:r>
            <w:r>
              <w:rPr>
                <w:rFonts w:hint="eastAsia" w:ascii="宋体" w:hAnsi="宋体" w:cs="宋体"/>
                <w:sz w:val="18"/>
                <w:szCs w:val="18"/>
              </w:rPr>
              <w:t xml:space="preserve">；</w:t>
            </w:r>
            <w:r>
              <w:rPr>
                <w:rFonts w:hint="eastAsia" w:ascii="宋体" w:hAnsi="宋体" w:cs="宋体"/>
                <w:sz w:val="18"/>
                <w:szCs w:val="18"/>
                <w:lang w:bidi="ar"/>
              </w:rPr>
              <w:t xml:space="preserve">4. 材质：铸钢</w:t>
            </w:r>
            <w:r>
              <w:rPr>
                <w:rFonts w:hint="eastAsia" w:ascii="宋体" w:hAnsi="宋体" w:cs="宋体"/>
                <w:sz w:val="18"/>
                <w:szCs w:val="18"/>
              </w:rPr>
              <w:t xml:space="preserve">；</w:t>
            </w:r>
            <w:r>
              <w:rPr>
                <w:rFonts w:hint="eastAsia" w:ascii="宋体" w:hAnsi="宋体" w:cs="宋体"/>
                <w:sz w:val="18"/>
                <w:szCs w:val="18"/>
                <w:lang w:bidi="ar"/>
              </w:rPr>
              <w:t xml:space="preserve">5. 颜色：黑色，表面做黑色静电喷涂；6. 底座：正方形150mm*150mm，厚度5mm，φ12孔；7. 方管座：国标50方管，厚度5mm，φ8孔；8. 功能：用于安装吊挂铝合金固定轨道，通过支架可延长吊臂到吊挂高度。</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连接方管</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用途：吊挂轨道往下延长；2. 承重：垂直拉力1000kg；3. 材料：40*40mm方管，铸铁；4. 颜色：黑色，表面做黑色静电喷涂；5. 净重：3.3kg；6. 厚度：2.5mm；7. 标准长度：2m（可根据现场需求定制长度2-3m）；8. 功能：固定轨连接方管，现场无需电焊，可解决现场层高无法吊挂，在天花板生不了根的问题。</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支架压板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用途：固定轨道时用的压板；2. 承重：100kg；3. 材料：铸钢；4. 规格尺寸：150mm*65mm*3mm；5. 颜色：黑色，表面做黑色静电喷涂；6. 厚度：2.5mm；7. 配置：1个固定轨支架，配2个压板，每个压板配2个M12*35mm螺丝。</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连接板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规格：长300*宽67*厚2mm；2. 材质：高强度钢板，轨道连接板，轨道与轨道之间连接，每个连接点左右各加装1个，2个为1套。</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轨道防撞板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用途：阻止滑车脱轨，墙面不被破坏；2. 产品尺寸：高87.5mm，宽66mm，厚24.3mm；3. 卡槽尺寸：高81mm，宽61mm，槽宽4.5mm；4. 自重：0.15kg；5. 材质：ABS工程塑料，一次模压成型；6. 安装方式：套装在铝合金轨道上，然后用1个燕尾丝固定，每根轨道配置2个轨道防撞板。</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轨道卡线器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用途： 安装在轨道上，固定线缆；2. 产品尺寸：长66mm，高23mm，宽30mm；3. 自重：0.1kg；4. 材质：ABS工程塑料，一次模压成型；5. 固定线缆数量：≥4；6. 强度：优质塑料，韧性好，不易折断；7. 安装方式：轨道卡线器有两个档位，线缆少挂二档，线缆多挂一档，可以方便移动，拆装方便，每根轨道配置3个轨道卡线器。</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36</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万向器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承重：150kg；2. 规格：100mm*70mm*100mm；3. 材质：6063T6铝合金；4. 滑轮：八个轮子，尼龙材质，轻巧，滑动无噪音；5. 噪音：静音设计；6. 旋转角度：360°；7. 寿命：不低于13年；8. 颜色：黑色，表面做黑色静电喷涂；9. 功能：用于吊挂滑动轨道、让轨道实现前后、左右移用及各方向的转动。</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灯具滑车</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承重：50kg；2. 灯具滑车(圆管)：100mm*70mm*110mm；3. 灯具滑车(螺丝)：100mm*70mm*80mm，螺丝规格：M10*35mm；4. 材质：6063T6铝合金，结实耐用，承重力强；5. 滑轮：四个轮子，尼龙材质，轻巧，滑动无噪音；6. 噪音：静音设计；7. 运行：水平移动；8. 寿命：不低于13年；9. 颜色：黑色，表面做黑色静电喷涂；10. 功能：用于吊挂灯具、让灯具在滑动轨道上实现水平移用。</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19</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电缆滑车</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承重：15kg；2. 规格：60mm*70mm*70mm；3. 材质：6063T6铝合金；4. 滑轮：四个轮子，尼龙材质，轻巧，滑动无噪音；5. 噪音：静音设计；6. 运行：水平移动；7. 寿命：不低于13年；8. 功能：吊挂电缆线，信号线，使电缆线信号线在轨道上滑动，移动灯具时，电缆滑车一起跟着灯具移动，不会导致线缆缠绕。</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28</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标准型恒力铰链</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承重范围：2-11kg；2. 长度规格：2；3. 铰链自重：2.0M/3.28kg；4. 使用寿命：持续吊挂不低于13年；5. 颜色：黑色；6. 材质：铝合金；7. 弹簧：进口弹簧；8. 弹簧厚度：0.73mm；9. 弹簧宽度：22mm；10. 收缩长度：1.5M收缩290mm/2m收缩340mm；11. 抗腐蚀抗疲劳：10000次内不超过1%。</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航空自锁电源连接器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最大功率：3520W；2. 最大电流：16A；3. 用途：用于220V电源转接连接；4. 颜色：黑色+橙色；5. 材质：ABS工程塑料；6. 防水等级：IP65；7. 绝缘等级：F级；8. 接线方式：火线，零线，地线，三芯输出，螺丝压线，最大线径2.5mm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灯具保险链</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1. 用途：保护灯具用的安全绳；2. 承重：80kg；3. 材质：3mm钢丝；4. 颜色：黑色；5. 规格尺寸：长度800mm，带胶钢丝绳4mm+5mm扣件。</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19</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灯号牌</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用途：灯具号码提示；2. 规格：直径150mm；3. 颜色：黑色+橙色；4. 材质：亚克力，聚甲基丙烯酸甲酯；5. 厚度：2mm；6. 号码：根据需求定制数字。</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19</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调光杆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用途：调杆控灯具水平，俯仰角度，焦距；2. 材质：铝合金；3. 颜色：银色；4. 结构：模压铸一次成型，粗细两节；5. 功能：一端带钩可拉，可顶可推；6. 规格尺寸：3m和4m两种规格，伸长3m收缩1.7m。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演播室灯具专用阻燃电缆线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导体截面：国标2.5mm²；2. 额定电压：300/500V；3. 导体材料：无氧铜；4. 绝缘材料：聚氯乙烯；5. 绝缘平均厚度：≥0.8mm；6. 绝缘最薄厚度：≥0.75mm；7. 护套材料：阻燃聚氯乙烯；8. 护套平均厚度：≥1.0mm；9. 护套最薄厚度：≥0.92mm；10. 20°C导体电阻：7.52Ω/Km；11. 20°C绝缘电阻：40MΩ/Km；12. 材质：铜芯聚氯乙烯绝缘 聚氯乙烯护套阻燃软电缆。</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50</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演播室灯具专用阻燃电缆线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导体截面：国标1.5mm²；2. 额定电压：300/500V；3. 导体材料：无氧铜；4. 绝缘材料：聚氯乙烯；5. 绝缘平均厚度：≥0.7mm；6. 绝缘最薄厚度：≥0.62mm；7. 护套材料：阻燃聚氯乙烯；8. 护套平均厚度：≥0.9mm；9. 护套最薄厚度：≥0.62mm；10. 20°C导体电阻：12.2Ω/Km；11. 20°C绝缘电阻：28MΩ/Km；12. 材质：铜芯聚氯乙烯绝缘 聚氯乙烯护套阻燃软电缆。</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200</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演播室灯具专用阻燃信号屏蔽线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widowControl/>
              <w:rPr>
                <w:rFonts w:ascii="宋体" w:hAnsi="宋体" w:cs="宋体"/>
                <w:sz w:val="18"/>
                <w:szCs w:val="18"/>
              </w:rPr>
            </w:pPr>
            <w:r>
              <w:rPr>
                <w:rFonts w:hint="eastAsia" w:ascii="宋体" w:hAnsi="宋体" w:cs="宋体"/>
                <w:sz w:val="18"/>
                <w:szCs w:val="18"/>
                <w:lang w:bidi="ar"/>
              </w:rPr>
              <w:t xml:space="preserve">1. 导体截面：国标0.5mm²；2. 额定电压：300/300V；3. 导体材料：无氧铜；4. 绝缘材料：聚氯乙烯；5. 绝缘平均厚度：≥0.5mm；6. 绝缘最薄厚度：≥0.46mm；7. 护套材料：阻燃聚氯乙烯；8. 护套平均厚度：≥0.6mm；9. 护套最薄厚度：≥0.57mm；10. 20°C导体电阻：37.1Ω/Km；11. 20°C绝缘电阻：42MΩ/Km；12. 材质：铜芯聚氯乙烯绝缘 聚氯乙烯护套阻燃软电缆。</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m</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200</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sz w:val="21"/>
                <w:szCs w:val="21"/>
                <w:lang w:bidi="ar"/>
              </w:rPr>
            </w:pPr>
            <w:r>
              <w:rPr>
                <w:rFonts w:hint="eastAsia" w:ascii="宋体" w:hAnsi="宋体" w:cs="宋体"/>
                <w:b/>
                <w:bCs/>
                <w:sz w:val="21"/>
                <w:szCs w:val="21"/>
                <w:lang w:bidi="ar"/>
              </w:rPr>
              <w:t xml:space="preserve">8、 无人机系统</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rPr>
              <w:t xml:space="preserve">无人机机场及配套无人机（包含操作管理平台）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rPr>
                <w:rFonts w:ascii="宋体" w:hAnsi="宋体" w:cs="宋体"/>
                <w:b/>
                <w:bCs/>
                <w:sz w:val="18"/>
                <w:szCs w:val="18"/>
              </w:rPr>
            </w:pPr>
            <w:r>
              <w:rPr>
                <w:rFonts w:hint="eastAsia" w:ascii="宋体" w:hAnsi="宋体" w:cs="宋体"/>
                <w:b/>
                <w:bCs/>
                <w:sz w:val="18"/>
                <w:szCs w:val="18"/>
              </w:rPr>
              <w:t xml:space="preserve">包括：</w:t>
            </w:r>
            <w:r>
              <w:rPr>
                <w:rFonts w:hint="eastAsia" w:ascii="宋体" w:hAnsi="宋体" w:cs="宋体"/>
                <w:sz w:val="18"/>
                <w:szCs w:val="18"/>
              </w:rPr>
              <w:t xml:space="preserve">无人机机场1套、无人机1架、部署建设1项、3年机损及第三方责任保险、3年质保。</w:t>
            </w:r>
            <w:r/>
          </w:p>
          <w:p>
            <w:pPr>
              <w:rPr>
                <w:rFonts w:ascii="宋体" w:hAnsi="宋体" w:cs="宋体"/>
                <w:b/>
                <w:bCs/>
                <w:sz w:val="18"/>
                <w:szCs w:val="18"/>
              </w:rPr>
            </w:pPr>
            <w:r>
              <w:rPr>
                <w:rFonts w:hint="eastAsia" w:ascii="宋体" w:hAnsi="宋体" w:cs="宋体"/>
                <w:b/>
                <w:bCs/>
                <w:sz w:val="18"/>
                <w:szCs w:val="18"/>
              </w:rPr>
              <w:t xml:space="preserve">无人机机场：</w:t>
            </w:r>
            <w:r/>
          </w:p>
          <w:p>
            <w:pPr>
              <w:rPr>
                <w:rFonts w:ascii="宋体" w:hAnsi="宋体" w:cs="宋体"/>
                <w:sz w:val="18"/>
                <w:szCs w:val="18"/>
              </w:rPr>
            </w:pPr>
            <w:r>
              <w:rPr>
                <w:rFonts w:hint="eastAsia" w:ascii="宋体" w:hAnsi="宋体" w:cs="宋体"/>
                <w:sz w:val="18"/>
                <w:szCs w:val="18"/>
              </w:rPr>
              <w:t xml:space="preserve">1. 整机重量：设备重量≤35kg（不包含飞行器）</w:t>
            </w:r>
            <w:r>
              <w:rPr>
                <w:rFonts w:hint="eastAsia" w:ascii="宋体" w:hAnsi="宋体" w:cs="宋体"/>
                <w:sz w:val="18"/>
                <w:szCs w:val="18"/>
                <w:lang w:bidi="ar"/>
              </w:rPr>
              <w:t xml:space="preserve">；</w:t>
            </w:r>
            <w:r>
              <w:rPr>
                <w:rFonts w:hint="eastAsia" w:ascii="宋体" w:hAnsi="宋体" w:cs="宋体"/>
                <w:sz w:val="18"/>
                <w:szCs w:val="18"/>
              </w:rPr>
              <w:t xml:space="preserve">2. 尺寸：≤600mm*600mm*500mm（舱盖闭合，不含气象站）</w:t>
            </w:r>
            <w:r>
              <w:rPr>
                <w:rFonts w:hint="eastAsia" w:ascii="宋体" w:hAnsi="宋体" w:cs="宋体"/>
                <w:sz w:val="18"/>
                <w:szCs w:val="18"/>
                <w:lang w:bidi="ar"/>
              </w:rPr>
              <w:t xml:space="preserve">；</w:t>
            </w:r>
            <w:r>
              <w:rPr>
                <w:rFonts w:hint="eastAsia" w:ascii="宋体" w:hAnsi="宋体" w:cs="宋体"/>
                <w:sz w:val="18"/>
                <w:szCs w:val="18"/>
              </w:rPr>
              <w:t xml:space="preserve">3. 输入电压：100伏至240伏（交流电）</w:t>
            </w:r>
            <w:r>
              <w:rPr>
                <w:rFonts w:hint="eastAsia" w:ascii="宋体" w:hAnsi="宋体" w:cs="宋体"/>
                <w:sz w:val="18"/>
                <w:szCs w:val="18"/>
                <w:lang w:bidi="ar"/>
              </w:rPr>
              <w:t xml:space="preserve">；</w:t>
            </w:r>
            <w:r>
              <w:rPr>
                <w:rFonts w:hint="eastAsia" w:ascii="宋体" w:hAnsi="宋体" w:cs="宋体"/>
                <w:sz w:val="18"/>
                <w:szCs w:val="18"/>
              </w:rPr>
              <w:t xml:space="preserve">4. 输入功率：≤1000W</w:t>
            </w:r>
            <w:r>
              <w:rPr>
                <w:rFonts w:hint="eastAsia" w:ascii="宋体" w:hAnsi="宋体" w:cs="宋体"/>
                <w:sz w:val="18"/>
                <w:szCs w:val="18"/>
                <w:lang w:bidi="ar"/>
              </w:rPr>
              <w:t xml:space="preserve">；</w:t>
            </w:r>
            <w:r>
              <w:rPr>
                <w:rFonts w:hint="eastAsia" w:ascii="宋体" w:hAnsi="宋体" w:cs="宋体"/>
                <w:sz w:val="18"/>
                <w:szCs w:val="18"/>
              </w:rPr>
              <w:t xml:space="preserve">5. 工作环境温度：设备工作温度范围不小于-20℃至45℃</w:t>
            </w:r>
            <w:r>
              <w:rPr>
                <w:rFonts w:hint="eastAsia" w:ascii="宋体" w:hAnsi="宋体" w:cs="宋体"/>
                <w:sz w:val="18"/>
                <w:szCs w:val="18"/>
                <w:lang w:bidi="ar"/>
              </w:rPr>
              <w:t xml:space="preserve">；</w:t>
            </w:r>
            <w:r>
              <w:rPr>
                <w:rFonts w:hint="eastAsia" w:ascii="宋体" w:hAnsi="宋体" w:cs="宋体"/>
                <w:sz w:val="18"/>
                <w:szCs w:val="18"/>
              </w:rPr>
              <w:t xml:space="preserve">6. 防护等级：机场设备具备不低于IP55的防护等级；飞行器具备不低于IP54防护等级</w:t>
            </w:r>
            <w:r>
              <w:rPr>
                <w:rFonts w:hint="eastAsia" w:ascii="宋体" w:hAnsi="宋体" w:cs="宋体"/>
                <w:sz w:val="18"/>
                <w:szCs w:val="18"/>
                <w:lang w:bidi="ar"/>
              </w:rPr>
              <w:t xml:space="preserve">；</w:t>
            </w:r>
            <w:r>
              <w:rPr>
                <w:rFonts w:hint="eastAsia" w:ascii="宋体" w:hAnsi="宋体" w:cs="宋体"/>
                <w:sz w:val="18"/>
                <w:szCs w:val="18"/>
              </w:rPr>
              <w:t xml:space="preserve">7. 可收纳无人机数量：1台</w:t>
            </w:r>
            <w:r/>
          </w:p>
          <w:p>
            <w:pPr>
              <w:ind w:left="5" w:hanging="5"/>
              <w:rPr>
                <w:rFonts w:ascii="宋体" w:hAnsi="宋体" w:cs="宋体"/>
                <w:sz w:val="18"/>
                <w:szCs w:val="18"/>
              </w:rPr>
            </w:pPr>
            <w:r>
              <w:rPr>
                <w:rFonts w:hint="eastAsia" w:ascii="宋体" w:hAnsi="宋体" w:cs="宋体"/>
                <w:sz w:val="18"/>
                <w:szCs w:val="18"/>
              </w:rPr>
              <w:t xml:space="preserve">8. 最大允许降落风速：≥8m/s</w:t>
            </w:r>
            <w:r>
              <w:rPr>
                <w:rFonts w:hint="eastAsia" w:ascii="宋体" w:hAnsi="宋体" w:cs="宋体"/>
                <w:sz w:val="18"/>
                <w:szCs w:val="18"/>
                <w:lang w:bidi="ar"/>
              </w:rPr>
              <w:t xml:space="preserve">；</w:t>
            </w:r>
            <w:r>
              <w:rPr>
                <w:rFonts w:hint="eastAsia" w:ascii="宋体" w:hAnsi="宋体" w:cs="宋体"/>
                <w:sz w:val="18"/>
                <w:szCs w:val="18"/>
              </w:rPr>
              <w:t xml:space="preserve">9. 最大运行海拔高度：≤2500m</w:t>
            </w:r>
            <w:r>
              <w:rPr>
                <w:rFonts w:hint="eastAsia" w:ascii="宋体" w:hAnsi="宋体" w:cs="宋体"/>
                <w:sz w:val="18"/>
                <w:szCs w:val="18"/>
                <w:lang w:bidi="ar"/>
              </w:rPr>
              <w:t xml:space="preserve">；</w:t>
            </w:r>
            <w:r>
              <w:rPr>
                <w:rFonts w:hint="eastAsia" w:ascii="宋体" w:hAnsi="宋体" w:cs="宋体"/>
                <w:sz w:val="18"/>
                <w:szCs w:val="18"/>
              </w:rPr>
              <w:t xml:space="preserve">10. 定位模式：卫星定位模式可切换为北斗定位系统</w:t>
            </w:r>
            <w:r>
              <w:rPr>
                <w:rFonts w:hint="eastAsia" w:ascii="宋体" w:hAnsi="宋体" w:cs="宋体"/>
                <w:sz w:val="18"/>
                <w:szCs w:val="18"/>
                <w:lang w:bidi="ar"/>
              </w:rPr>
              <w:t xml:space="preserve">；</w:t>
            </w:r>
            <w:r>
              <w:rPr>
                <w:rFonts w:hint="eastAsia" w:ascii="宋体" w:hAnsi="宋体" w:cs="宋体"/>
                <w:sz w:val="18"/>
                <w:szCs w:val="18"/>
              </w:rPr>
              <w:t xml:space="preserve">11. RTK基站定位精准度：水平精度≤1cm+1ppm（RMS）；垂直精度≤2cm+1ppm（RMS）</w:t>
            </w:r>
            <w:r>
              <w:rPr>
                <w:rFonts w:hint="eastAsia" w:ascii="宋体" w:hAnsi="宋体" w:cs="宋体"/>
                <w:sz w:val="18"/>
                <w:szCs w:val="18"/>
                <w:lang w:bidi="ar"/>
              </w:rPr>
              <w:t xml:space="preserve">；</w:t>
            </w:r>
            <w:r>
              <w:rPr>
                <w:rFonts w:hint="eastAsia" w:ascii="宋体" w:hAnsi="宋体" w:cs="宋体"/>
                <w:sz w:val="18"/>
                <w:szCs w:val="18"/>
              </w:rPr>
              <w:t xml:space="preserve">12. 输出电压：≥28V</w:t>
            </w:r>
            <w:r>
              <w:rPr>
                <w:rFonts w:hint="eastAsia" w:ascii="宋体" w:hAnsi="宋体" w:cs="宋体"/>
                <w:sz w:val="18"/>
                <w:szCs w:val="18"/>
                <w:lang w:bidi="ar"/>
              </w:rPr>
              <w:t xml:space="preserve">；</w:t>
            </w:r>
            <w:r>
              <w:rPr>
                <w:rFonts w:hint="eastAsia" w:ascii="宋体" w:hAnsi="宋体" w:cs="宋体"/>
                <w:sz w:val="18"/>
                <w:szCs w:val="18"/>
              </w:rPr>
              <w:t xml:space="preserve">13. 充电耗时：设备最短作业间隔≤35min</w:t>
            </w:r>
            <w:r>
              <w:rPr>
                <w:rFonts w:hint="eastAsia" w:ascii="宋体" w:hAnsi="宋体" w:cs="宋体"/>
                <w:sz w:val="18"/>
                <w:szCs w:val="18"/>
                <w:lang w:bidi="ar"/>
              </w:rPr>
              <w:t xml:space="preserve">；</w:t>
            </w:r>
            <w:r>
              <w:rPr>
                <w:rFonts w:hint="eastAsia" w:ascii="宋体" w:hAnsi="宋体" w:cs="宋体"/>
                <w:sz w:val="18"/>
                <w:szCs w:val="18"/>
              </w:rPr>
              <w:t xml:space="preserve">14. 天线：设备天线系统具备智能冗余设计，天线数量大于等于4天线</w:t>
            </w:r>
            <w:r>
              <w:rPr>
                <w:rFonts w:hint="eastAsia" w:ascii="宋体" w:hAnsi="宋体" w:cs="宋体"/>
                <w:sz w:val="18"/>
                <w:szCs w:val="18"/>
                <w:lang w:bidi="ar"/>
              </w:rPr>
              <w:t xml:space="preserve">；</w:t>
            </w:r>
            <w:r>
              <w:rPr>
                <w:rFonts w:hint="eastAsia" w:ascii="宋体" w:hAnsi="宋体" w:cs="宋体"/>
                <w:sz w:val="18"/>
                <w:szCs w:val="18"/>
              </w:rPr>
              <w:t xml:space="preserve">15. 空调类型：设备内置空调系统</w:t>
            </w:r>
            <w:r>
              <w:rPr>
                <w:rFonts w:hint="eastAsia" w:ascii="宋体" w:hAnsi="宋体" w:cs="宋体"/>
                <w:sz w:val="18"/>
                <w:szCs w:val="18"/>
                <w:lang w:bidi="ar"/>
              </w:rPr>
              <w:t xml:space="preserve">；</w:t>
            </w:r>
            <w:r>
              <w:rPr>
                <w:rFonts w:hint="eastAsia" w:ascii="宋体" w:hAnsi="宋体" w:cs="宋体"/>
                <w:sz w:val="18"/>
                <w:szCs w:val="18"/>
              </w:rPr>
              <w:t xml:space="preserve">16. 电池容量：设备内置备用电池，续航时间≥5小时</w:t>
            </w:r>
            <w:r>
              <w:rPr>
                <w:rFonts w:hint="eastAsia" w:ascii="宋体" w:hAnsi="宋体" w:cs="宋体"/>
                <w:sz w:val="18"/>
                <w:szCs w:val="18"/>
                <w:lang w:bidi="ar"/>
              </w:rPr>
              <w:t xml:space="preserve">；</w:t>
            </w:r>
            <w:r>
              <w:rPr>
                <w:rFonts w:hint="eastAsia" w:ascii="宋体" w:hAnsi="宋体" w:cs="宋体"/>
                <w:sz w:val="18"/>
                <w:szCs w:val="18"/>
              </w:rPr>
              <w:t xml:space="preserve">17. 4G接入：设备支持通过4G实现网络接入</w:t>
            </w:r>
            <w:r>
              <w:rPr>
                <w:rFonts w:hint="eastAsia" w:ascii="宋体" w:hAnsi="宋体" w:cs="宋体"/>
                <w:sz w:val="18"/>
                <w:szCs w:val="18"/>
                <w:lang w:bidi="ar"/>
              </w:rPr>
              <w:t xml:space="preserve">；</w:t>
            </w:r>
            <w:r>
              <w:rPr>
                <w:rFonts w:hint="eastAsia" w:ascii="宋体" w:hAnsi="宋体" w:cs="宋体"/>
                <w:sz w:val="18"/>
                <w:szCs w:val="18"/>
              </w:rPr>
              <w:t xml:space="preserve">18. 设备内置风速、雨量、温度、湿度、水浸等传感器</w:t>
            </w:r>
            <w:r>
              <w:rPr>
                <w:rFonts w:hint="eastAsia" w:ascii="宋体" w:hAnsi="宋体" w:cs="宋体"/>
                <w:sz w:val="18"/>
                <w:szCs w:val="18"/>
                <w:lang w:bidi="ar"/>
              </w:rPr>
              <w:t xml:space="preserve">；</w:t>
            </w:r>
            <w:r>
              <w:rPr>
                <w:rFonts w:hint="eastAsia" w:ascii="宋体" w:hAnsi="宋体" w:cs="宋体"/>
                <w:sz w:val="18"/>
                <w:szCs w:val="18"/>
              </w:rPr>
              <w:t xml:space="preserve">19. 监控：支持双摄监控，可监控控舱内和舱外情况</w:t>
            </w:r>
            <w:r>
              <w:rPr>
                <w:rFonts w:hint="eastAsia" w:ascii="宋体" w:hAnsi="宋体" w:cs="宋体"/>
                <w:sz w:val="18"/>
                <w:szCs w:val="18"/>
                <w:lang w:bidi="ar"/>
              </w:rPr>
              <w:t xml:space="preserve">；</w:t>
            </w:r>
            <w:r>
              <w:rPr>
                <w:rFonts w:hint="eastAsia" w:ascii="宋体" w:hAnsi="宋体" w:cs="宋体"/>
                <w:sz w:val="18"/>
                <w:szCs w:val="18"/>
              </w:rPr>
              <w:t xml:space="preserve">20. 分辨率：设备配备监控相机视频分辨率不低于1080P，且具备补光能力</w:t>
            </w:r>
            <w:r>
              <w:rPr>
                <w:rFonts w:hint="eastAsia" w:ascii="宋体" w:hAnsi="宋体" w:cs="宋体"/>
                <w:sz w:val="18"/>
                <w:szCs w:val="18"/>
                <w:lang w:bidi="ar"/>
              </w:rPr>
              <w:t xml:space="preserve">；</w:t>
            </w:r>
            <w:r>
              <w:rPr>
                <w:rFonts w:hint="eastAsia" w:ascii="宋体" w:hAnsi="宋体" w:cs="宋体"/>
                <w:sz w:val="18"/>
                <w:szCs w:val="18"/>
              </w:rPr>
              <w:t xml:space="preserve">21. 防雷接口：设备供电口防雷能力不小于20KA，以太网口防雷能力不小于10KA</w:t>
            </w:r>
            <w:r>
              <w:rPr>
                <w:rFonts w:hint="eastAsia" w:ascii="宋体" w:hAnsi="宋体" w:cs="宋体"/>
                <w:sz w:val="18"/>
                <w:szCs w:val="18"/>
                <w:lang w:bidi="ar"/>
              </w:rPr>
              <w:t xml:space="preserve">；</w:t>
            </w:r>
            <w:r>
              <w:rPr>
                <w:rFonts w:hint="eastAsia" w:ascii="宋体" w:hAnsi="宋体" w:cs="宋体"/>
                <w:sz w:val="18"/>
                <w:szCs w:val="18"/>
              </w:rPr>
              <w:t xml:space="preserve">22. 飞行器起飞：飞行器支持快速起飞，无需等待RTK收敛1分钟内完成从关机到起飞的准备</w:t>
            </w:r>
            <w:r>
              <w:rPr>
                <w:rFonts w:hint="eastAsia" w:ascii="宋体" w:hAnsi="宋体" w:cs="宋体"/>
                <w:sz w:val="18"/>
                <w:szCs w:val="18"/>
                <w:lang w:bidi="ar"/>
              </w:rPr>
              <w:t xml:space="preserve">；</w:t>
            </w:r>
            <w:r>
              <w:rPr>
                <w:rFonts w:hint="eastAsia" w:ascii="宋体" w:hAnsi="宋体" w:cs="宋体"/>
                <w:sz w:val="18"/>
                <w:szCs w:val="18"/>
              </w:rPr>
              <w:t xml:space="preserve">23. 边缘计算：设备支持本地获取机场媒体文件进行数据预处理</w:t>
            </w:r>
            <w:r>
              <w:rPr>
                <w:rFonts w:hint="eastAsia" w:ascii="宋体" w:hAnsi="宋体" w:cs="宋体"/>
                <w:sz w:val="18"/>
                <w:szCs w:val="18"/>
                <w:lang w:bidi="ar"/>
              </w:rPr>
              <w:t xml:space="preserve">；</w:t>
            </w:r>
            <w:r>
              <w:rPr>
                <w:rFonts w:hint="eastAsia" w:ascii="宋体" w:hAnsi="宋体" w:cs="宋体"/>
                <w:sz w:val="18"/>
                <w:szCs w:val="18"/>
              </w:rPr>
              <w:t xml:space="preserve">24. 开放协议：设备支持二次开发。</w:t>
            </w:r>
            <w:r/>
          </w:p>
          <w:p>
            <w:pPr>
              <w:rPr>
                <w:rFonts w:ascii="宋体" w:hAnsi="宋体" w:cs="宋体"/>
                <w:b/>
                <w:bCs/>
                <w:sz w:val="18"/>
                <w:szCs w:val="18"/>
              </w:rPr>
            </w:pPr>
            <w:r>
              <w:rPr>
                <w:rFonts w:hint="eastAsia" w:ascii="宋体" w:hAnsi="宋体" w:cs="宋体"/>
                <w:b/>
                <w:bCs/>
                <w:sz w:val="18"/>
                <w:szCs w:val="18"/>
              </w:rPr>
              <w:t xml:space="preserve">无人机：</w:t>
            </w:r>
            <w:r/>
          </w:p>
          <w:p>
            <w:pPr>
              <w:ind w:left="5" w:hanging="5"/>
              <w:rPr>
                <w:rFonts w:ascii="宋体" w:hAnsi="宋体" w:cs="宋体"/>
                <w:sz w:val="18"/>
                <w:szCs w:val="18"/>
                <w:lang w:bidi="ar"/>
              </w:rPr>
            </w:pPr>
            <w:r>
              <w:rPr>
                <w:rFonts w:hint="eastAsia" w:ascii="宋体" w:hAnsi="宋体" w:cs="宋体"/>
                <w:sz w:val="18"/>
                <w:szCs w:val="18"/>
              </w:rPr>
              <w:t xml:space="preserve">1. 裸机重量：飞行器裸机重量小于1450克</w:t>
            </w:r>
            <w:r>
              <w:rPr>
                <w:rFonts w:hint="eastAsia" w:ascii="宋体" w:hAnsi="宋体" w:cs="宋体"/>
                <w:sz w:val="18"/>
                <w:szCs w:val="18"/>
                <w:lang w:bidi="ar"/>
              </w:rPr>
              <w:t xml:space="preserve">；</w:t>
            </w:r>
            <w:r>
              <w:rPr>
                <w:rFonts w:hint="eastAsia" w:ascii="宋体" w:hAnsi="宋体" w:cs="宋体"/>
                <w:sz w:val="18"/>
                <w:szCs w:val="18"/>
              </w:rPr>
              <w:t xml:space="preserve">2. 最大起飞重量：最大起飞重量不小于1500克</w:t>
            </w:r>
            <w:r>
              <w:rPr>
                <w:rFonts w:hint="eastAsia" w:ascii="宋体" w:hAnsi="宋体" w:cs="宋体"/>
                <w:sz w:val="18"/>
                <w:szCs w:val="18"/>
                <w:lang w:bidi="ar"/>
              </w:rPr>
              <w:t xml:space="preserve">；</w:t>
            </w:r>
            <w:r>
              <w:rPr>
                <w:rFonts w:hint="eastAsia" w:ascii="宋体" w:hAnsi="宋体" w:cs="宋体"/>
                <w:sz w:val="18"/>
                <w:szCs w:val="18"/>
              </w:rPr>
              <w:t xml:space="preserve">3. 尺寸：小于等于350mm*400mm*200mm（不含桨叶）</w:t>
            </w:r>
            <w:r>
              <w:rPr>
                <w:rFonts w:hint="eastAsia" w:ascii="宋体" w:hAnsi="宋体" w:cs="宋体"/>
                <w:sz w:val="18"/>
                <w:szCs w:val="18"/>
                <w:lang w:bidi="ar"/>
              </w:rPr>
              <w:t xml:space="preserve">；</w:t>
            </w:r>
            <w:r>
              <w:rPr>
                <w:rFonts w:hint="eastAsia" w:ascii="宋体" w:hAnsi="宋体" w:cs="宋体"/>
                <w:sz w:val="18"/>
                <w:szCs w:val="18"/>
              </w:rPr>
              <w:t xml:space="preserve">4. 轴距：对角线轴距小于500mm</w:t>
            </w:r>
            <w:r>
              <w:rPr>
                <w:rFonts w:hint="eastAsia" w:ascii="宋体" w:hAnsi="宋体" w:cs="宋体"/>
                <w:sz w:val="18"/>
                <w:szCs w:val="18"/>
                <w:lang w:bidi="ar"/>
              </w:rPr>
              <w:t xml:space="preserve">；</w:t>
            </w:r>
            <w:r>
              <w:rPr>
                <w:rFonts w:hint="eastAsia" w:ascii="宋体" w:hAnsi="宋体" w:cs="宋体"/>
                <w:sz w:val="18"/>
                <w:szCs w:val="18"/>
              </w:rPr>
              <w:t xml:space="preserve">5. 最大水平飞行速度：不低于20m/s</w:t>
            </w:r>
            <w:r>
              <w:rPr>
                <w:rFonts w:hint="eastAsia" w:ascii="宋体" w:hAnsi="宋体" w:cs="宋体"/>
                <w:sz w:val="18"/>
                <w:szCs w:val="18"/>
                <w:lang w:bidi="ar"/>
              </w:rPr>
              <w:t xml:space="preserve">；</w:t>
            </w:r>
            <w:r>
              <w:rPr>
                <w:rFonts w:hint="eastAsia" w:ascii="宋体" w:hAnsi="宋体" w:cs="宋体"/>
                <w:sz w:val="18"/>
                <w:szCs w:val="18"/>
              </w:rPr>
              <w:t xml:space="preserve">6. 最长飞行时间：不低于45分钟</w:t>
            </w:r>
            <w:r>
              <w:rPr>
                <w:rFonts w:hint="eastAsia" w:ascii="宋体" w:hAnsi="宋体" w:cs="宋体"/>
                <w:sz w:val="18"/>
                <w:szCs w:val="18"/>
                <w:lang w:bidi="ar"/>
              </w:rPr>
              <w:t xml:space="preserve">；</w:t>
            </w:r>
            <w:r>
              <w:rPr>
                <w:rFonts w:hint="eastAsia" w:ascii="宋体" w:hAnsi="宋体" w:cs="宋体"/>
                <w:sz w:val="18"/>
                <w:szCs w:val="18"/>
              </w:rPr>
              <w:t xml:space="preserve">7. 定位悬停精度：无人机支持RTK定位，在RTK正常工作时飞行器悬停精度；水平≤±0.1m；垂直≤±0.1m</w:t>
            </w:r>
            <w:r>
              <w:rPr>
                <w:rFonts w:hint="eastAsia" w:ascii="宋体" w:hAnsi="宋体" w:cs="宋体"/>
                <w:sz w:val="18"/>
                <w:szCs w:val="18"/>
                <w:lang w:bidi="ar"/>
              </w:rPr>
              <w:t xml:space="preserve">；</w:t>
            </w:r>
            <w:r>
              <w:rPr>
                <w:rFonts w:hint="eastAsia" w:ascii="宋体" w:hAnsi="宋体" w:cs="宋体"/>
                <w:sz w:val="18"/>
                <w:szCs w:val="18"/>
              </w:rPr>
              <w:t xml:space="preserve">8. 夜航灯：飞行器集成夜航灯，用于夜晚使用的位置确定</w:t>
            </w:r>
            <w:r>
              <w:rPr>
                <w:rFonts w:hint="eastAsia" w:ascii="宋体" w:hAnsi="宋体" w:cs="宋体"/>
                <w:sz w:val="18"/>
                <w:szCs w:val="18"/>
                <w:lang w:bidi="ar"/>
              </w:rPr>
              <w:t xml:space="preserve">；</w:t>
            </w:r>
            <w:r>
              <w:rPr>
                <w:rFonts w:hint="eastAsia" w:ascii="宋体" w:hAnsi="宋体" w:cs="宋体"/>
                <w:sz w:val="18"/>
                <w:szCs w:val="18"/>
              </w:rPr>
              <w:t xml:space="preserve">9. 六向避障：机身支持六向避障</w:t>
            </w:r>
            <w:r>
              <w:rPr>
                <w:rFonts w:hint="eastAsia" w:ascii="宋体" w:hAnsi="宋体" w:cs="宋体"/>
                <w:sz w:val="18"/>
                <w:szCs w:val="18"/>
                <w:lang w:bidi="ar"/>
              </w:rPr>
              <w:t xml:space="preserve">；</w:t>
            </w:r>
            <w:r>
              <w:rPr>
                <w:rFonts w:hint="eastAsia" w:ascii="宋体" w:hAnsi="宋体" w:cs="宋体"/>
                <w:sz w:val="18"/>
                <w:szCs w:val="18"/>
              </w:rPr>
              <w:t xml:space="preserve">10. 4G图传：飞行器支持使用4G网络进行图传的回传</w:t>
            </w:r>
            <w:r>
              <w:rPr>
                <w:rFonts w:hint="eastAsia" w:ascii="宋体" w:hAnsi="宋体" w:cs="宋体"/>
                <w:sz w:val="18"/>
                <w:szCs w:val="18"/>
                <w:lang w:bidi="ar"/>
              </w:rPr>
              <w:t xml:space="preserve">；</w:t>
            </w:r>
            <w:r>
              <w:rPr>
                <w:rFonts w:hint="eastAsia" w:ascii="宋体" w:hAnsi="宋体" w:cs="宋体"/>
                <w:sz w:val="18"/>
                <w:szCs w:val="18"/>
              </w:rPr>
              <w:t xml:space="preserve">11. 广角镜头传感器：1/1.32英寸CMOS，有效像素4800万</w:t>
            </w:r>
            <w:r>
              <w:rPr>
                <w:rFonts w:hint="eastAsia" w:ascii="宋体" w:hAnsi="宋体" w:cs="宋体"/>
                <w:sz w:val="18"/>
                <w:szCs w:val="18"/>
                <w:lang w:bidi="ar"/>
              </w:rPr>
              <w:t xml:space="preserve">；</w:t>
            </w:r>
            <w:r>
              <w:rPr>
                <w:rFonts w:hint="eastAsia" w:ascii="宋体" w:hAnsi="宋体" w:cs="宋体"/>
                <w:sz w:val="18"/>
                <w:szCs w:val="18"/>
              </w:rPr>
              <w:t xml:space="preserve">12. 镜头除雾：广角镜头支持除雾</w:t>
            </w:r>
            <w:r>
              <w:rPr>
                <w:rFonts w:hint="eastAsia" w:ascii="宋体" w:hAnsi="宋体" w:cs="宋体"/>
                <w:sz w:val="18"/>
                <w:szCs w:val="18"/>
                <w:lang w:bidi="ar"/>
              </w:rPr>
              <w:t xml:space="preserve">；</w:t>
            </w:r>
            <w:r>
              <w:rPr>
                <w:rFonts w:hint="eastAsia" w:ascii="宋体" w:hAnsi="宋体" w:cs="宋体"/>
                <w:sz w:val="18"/>
                <w:szCs w:val="18"/>
              </w:rPr>
              <w:t xml:space="preserve">13. 变焦镜头传感器：1/2英寸CMOS，有效像素1200万</w:t>
            </w:r>
            <w:r>
              <w:rPr>
                <w:rFonts w:hint="eastAsia" w:ascii="宋体" w:hAnsi="宋体" w:cs="宋体"/>
                <w:sz w:val="18"/>
                <w:szCs w:val="18"/>
                <w:lang w:bidi="ar"/>
              </w:rPr>
              <w:t xml:space="preserve">；</w:t>
            </w:r>
            <w:r>
              <w:rPr>
                <w:rFonts w:hint="eastAsia" w:ascii="宋体" w:hAnsi="宋体" w:cs="宋体"/>
                <w:sz w:val="18"/>
                <w:szCs w:val="18"/>
              </w:rPr>
              <w:t xml:space="preserve">14. 镜头除雾：长焦镜头支持除雾</w:t>
            </w:r>
            <w:r>
              <w:rPr>
                <w:rFonts w:hint="eastAsia" w:ascii="宋体" w:hAnsi="宋体" w:cs="宋体"/>
                <w:sz w:val="18"/>
                <w:szCs w:val="18"/>
                <w:lang w:bidi="ar"/>
              </w:rPr>
              <w:t xml:space="preserve">；</w:t>
            </w:r>
            <w:r>
              <w:rPr>
                <w:rFonts w:hint="eastAsia" w:ascii="宋体" w:hAnsi="宋体" w:cs="宋体"/>
                <w:sz w:val="18"/>
                <w:szCs w:val="18"/>
              </w:rPr>
              <w:t xml:space="preserve">15. 数字变焦：8倍（混合变焦56倍）</w:t>
            </w:r>
            <w:r>
              <w:rPr>
                <w:rFonts w:hint="eastAsia" w:ascii="宋体" w:hAnsi="宋体" w:cs="宋体"/>
                <w:sz w:val="18"/>
                <w:szCs w:val="18"/>
                <w:lang w:bidi="ar"/>
              </w:rPr>
              <w:t xml:space="preserve">；</w:t>
            </w:r>
            <w:r>
              <w:rPr>
                <w:rFonts w:hint="eastAsia" w:ascii="宋体" w:hAnsi="宋体" w:cs="宋体"/>
                <w:sz w:val="18"/>
                <w:szCs w:val="18"/>
              </w:rPr>
              <w:t xml:space="preserve">16. 热成像传感器类型：非制冷氧化钒（VOx）</w:t>
            </w:r>
            <w:r>
              <w:rPr>
                <w:rFonts w:hint="eastAsia" w:ascii="宋体" w:hAnsi="宋体" w:cs="宋体"/>
                <w:sz w:val="18"/>
                <w:szCs w:val="18"/>
                <w:lang w:bidi="ar"/>
              </w:rPr>
              <w:t xml:space="preserve">；</w:t>
            </w:r>
            <w:r>
              <w:rPr>
                <w:rFonts w:hint="eastAsia" w:ascii="宋体" w:hAnsi="宋体" w:cs="宋体"/>
                <w:sz w:val="18"/>
                <w:szCs w:val="18"/>
              </w:rPr>
              <w:t xml:space="preserve">17. 像元间距：12μm</w:t>
            </w:r>
            <w:r>
              <w:rPr>
                <w:rFonts w:hint="eastAsia" w:ascii="宋体" w:hAnsi="宋体" w:cs="宋体"/>
                <w:sz w:val="18"/>
                <w:szCs w:val="18"/>
                <w:lang w:bidi="ar"/>
              </w:rPr>
              <w:t xml:space="preserve">；</w:t>
            </w:r>
            <w:r>
              <w:rPr>
                <w:rFonts w:hint="eastAsia" w:ascii="宋体" w:hAnsi="宋体" w:cs="宋体"/>
                <w:sz w:val="18"/>
                <w:szCs w:val="18"/>
              </w:rPr>
              <w:t xml:space="preserve">18. 帧率：30Hz</w:t>
            </w:r>
            <w:r>
              <w:rPr>
                <w:rFonts w:hint="eastAsia" w:ascii="宋体" w:hAnsi="宋体" w:cs="宋体"/>
                <w:sz w:val="18"/>
                <w:szCs w:val="18"/>
                <w:lang w:bidi="ar"/>
              </w:rPr>
              <w:t xml:space="preserve">；</w:t>
            </w:r>
            <w:r>
              <w:rPr>
                <w:rFonts w:hint="eastAsia" w:ascii="宋体" w:hAnsi="宋体" w:cs="宋体"/>
                <w:sz w:val="18"/>
                <w:szCs w:val="18"/>
              </w:rPr>
              <w:t xml:space="preserve">19. 测温方式：点测温、区域测温</w:t>
            </w:r>
            <w:r>
              <w:rPr>
                <w:rFonts w:hint="eastAsia" w:ascii="宋体" w:hAnsi="宋体" w:cs="宋体"/>
                <w:sz w:val="18"/>
                <w:szCs w:val="18"/>
                <w:lang w:bidi="ar"/>
              </w:rPr>
              <w:t xml:space="preserve">；</w:t>
            </w:r>
            <w:r>
              <w:rPr>
                <w:rFonts w:hint="eastAsia" w:ascii="宋体" w:hAnsi="宋体" w:cs="宋体"/>
                <w:sz w:val="18"/>
                <w:szCs w:val="18"/>
              </w:rPr>
              <w:t xml:space="preserve">20. 测温范围：-20℃至150℃（高增益模式）、0℃至500℃（低增益模式）</w:t>
            </w:r>
            <w:r>
              <w:rPr>
                <w:rFonts w:hint="eastAsia" w:ascii="宋体" w:hAnsi="宋体" w:cs="宋体"/>
                <w:sz w:val="18"/>
                <w:szCs w:val="18"/>
                <w:lang w:bidi="ar"/>
              </w:rPr>
              <w:t xml:space="preserve">；</w:t>
            </w:r>
            <w:r>
              <w:rPr>
                <w:rFonts w:hint="eastAsia" w:ascii="宋体" w:hAnsi="宋体" w:cs="宋体"/>
                <w:sz w:val="18"/>
                <w:szCs w:val="18"/>
              </w:rPr>
              <w:t xml:space="preserve">21. 调色盘：白热/黑热/描红/铁红/热铁/北极/医疗/熔岩/彩虹1/彩虹2</w:t>
            </w:r>
            <w:r>
              <w:rPr>
                <w:rFonts w:hint="eastAsia" w:ascii="宋体" w:hAnsi="宋体" w:cs="宋体"/>
                <w:sz w:val="18"/>
                <w:szCs w:val="18"/>
                <w:lang w:bidi="ar"/>
              </w:rPr>
              <w:t xml:space="preserve">；</w:t>
            </w:r>
            <w:r>
              <w:rPr>
                <w:rFonts w:hint="eastAsia" w:ascii="宋体" w:hAnsi="宋体" w:cs="宋体"/>
                <w:sz w:val="18"/>
                <w:szCs w:val="18"/>
              </w:rPr>
              <w:t xml:space="preserve">22. 照片拍摄模式及参数：单张拍摄：普通模式：640*512，超分模式：1280*1024</w:t>
            </w:r>
            <w:r>
              <w:rPr>
                <w:rFonts w:hint="eastAsia" w:ascii="宋体" w:hAnsi="宋体" w:cs="宋体"/>
                <w:sz w:val="18"/>
                <w:szCs w:val="18"/>
                <w:lang w:bidi="ar"/>
              </w:rPr>
              <w:t xml:space="preserve">；</w:t>
            </w:r>
            <w:r>
              <w:rPr>
                <w:rFonts w:hint="eastAsia" w:ascii="宋体" w:hAnsi="宋体" w:cs="宋体"/>
                <w:sz w:val="18"/>
                <w:szCs w:val="18"/>
              </w:rPr>
              <w:t xml:space="preserve">23. 数字变焦：28倍。</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9、蓝箱制作</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定做蓝箱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使用优质工木板垫底.避免地面留空，出现回音；2. 将木工板固定在地面，防止活动；3. 使用轻钢龙骨叉架后上第一层石膏板；4. 用9mm优质高密板铺钉在底层木工板上；5. 另外使用</w:t>
            </w:r>
            <w:r>
              <w:rPr>
                <w:rFonts w:hint="eastAsia" w:ascii="宋体" w:hAnsi="宋体" w:cs="宋体"/>
                <w:sz w:val="18"/>
                <w:szCs w:val="18"/>
                <w:lang w:bidi="ar"/>
              </w:rPr>
              <w:t xml:space="preserve">9mm高密板错缝铺钉在第二层9mm高密板上；6. 用F30板钉R=500mm圆弧（注意与立面和地面过渡段的平滑过渡）；7. 上第二层石膏板，与第一层石膏板错缝，防止开裂；8. 用嵌缝石膏填缝后，连接处使用网格带固定，并多次石膏找平．整体刮两遍优质腻子；9. 使用细沙纸打磨平整．避免凸起；10. 用进口ROSCO 200＃工业蓝漆滚刷，滚刷至表面颜色一致即可；11. 蓝箱整体色调保持一致，表面平滑无针孔、褶皱、起泡等现象，看不到各个接缝；12. 立面与弧面、立面与地板、弧面与地板连接处过渡平滑，无棱角和缝隙。</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66</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抠像地胶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专业抠像地胶，5072色像，满足高清抠像设备要求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24</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widowControl/>
              <w:rPr>
                <w:rFonts w:ascii="宋体" w:hAnsi="宋体" w:cs="宋体"/>
                <w:b/>
                <w:bCs/>
                <w:sz w:val="21"/>
                <w:szCs w:val="21"/>
              </w:rPr>
            </w:pPr>
            <w:r>
              <w:rPr>
                <w:rFonts w:hint="eastAsia" w:ascii="宋体" w:hAnsi="宋体" w:cs="宋体"/>
                <w:b/>
                <w:bCs/>
                <w:sz w:val="21"/>
                <w:szCs w:val="21"/>
                <w:lang w:bidi="ar"/>
              </w:rPr>
              <w:t xml:space="preserve">10、融媒体装饰</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吊顶天棚</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龙骨材料种类、规格、中距：吊顶采用弹性吊杆多层隔声板复合结构，称重及抗震满足规范要求，龙骨：3000*50*10mm/条配套轻钢龙骨；以优质的连续热浸镀锌板带为原材料；2. 基层材料种类、规格：1、条状50mm高，格距100*100mm；安装拆卸简单方便，面层经喷涂一层烤漆，具防火，防腐功能；使用扎丝与轻钢龙骨固定，调平，2440*1220*3mm；聚乙烯塑料为芯材，经过化学处理的涂装铝板；3. 面层材料品种、规格：顶面吊筋固定，龙骨固定，扣条安装，1.5厚吸音矿棉板安放，人工及材料费用。</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42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墙面装饰板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龙骨材料种类、规格、中距：木龙骨格栅内置隔音棉，专业隔音构造，保证混响时间，频响曲线，避免声缺陷，75mm龙骨固定，石膏板封面</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56</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局部窗户封堵</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石膏板、轻钢龙骨、隔音棉等等</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天棚喷刷涂料</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顶棚喷黑；2. 演播室顶面找平黑涂料处理，避免光线反射。</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木隔断</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控制室隔断；2. 轻钢龙骨隔墙，内置吸音棉及石膏板封面。</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36</w:t>
            </w:r>
            <w:r/>
          </w:p>
        </w:tc>
      </w:tr>
      <w:tr>
        <w:trPr>
          <w:trHeight w:val="10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金属窗</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控制室观察窗；2. 双层中空玻璃，声学倒角处理，缝隙泡沫胶密封。</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樘</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防盗门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隔音门；2. 门的木料要求用经干燥处理的一级杉木，要做防腐处理；门中间内填充的超细玻璃棉要求32kg/m</w:t>
            </w:r>
            <w:r>
              <w:rPr>
                <w:rFonts w:hint="eastAsia" w:ascii="宋体" w:hAnsi="宋体" w:cs="宋体"/>
                <w:sz w:val="18"/>
                <w:szCs w:val="18"/>
                <w:vertAlign w:val="superscript"/>
                <w:lang w:bidi="ar"/>
              </w:rPr>
              <w:t xml:space="preserve">3</w:t>
            </w:r>
            <w:r>
              <w:rPr>
                <w:rFonts w:hint="eastAsia" w:ascii="宋体" w:hAnsi="宋体" w:cs="宋体"/>
                <w:sz w:val="18"/>
                <w:szCs w:val="18"/>
                <w:lang w:bidi="ar"/>
              </w:rPr>
              <w:t xml:space="preserve">，而且不要填碎棉；整个门框，门缝要求密封不得有缝隙，装贴的工业棉毡要平整，驳接口要少，门的隔声量要求大于35dB；整个门的饰面处理要与室内颜色协调，具体颜色由甲方进行确定；门的五金配件（活页、手把、锁）应选用牢固可靠的专用产品，选用SC专业隔声锁。</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樘</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自流坪楼地面</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地面处理，水泥地面找平</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42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金属踢脚线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面层材料品种、规格、颜色：不锈钢踢脚线，规格0.2*0.8。</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32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地毯楼地面</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防静电地毯</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24</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防静电活动地板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控制室防静电地板</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木质门带套</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门代号及洞口尺寸：控制室木门宽80cm高209cm。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樘</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11、辅助设备</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播音桌</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根据用户实际需求定制化播音桌；材料料厚：钢板：厚规格为：装饰件1.2mm，连接件1.5mm，承重部件2.0mm，且搭配合理，加工硬化，牢固耐用；2. 表面处理：钢板经脱脂、酸洗、防锈磷化处理，表面静电喷塑，耐酸碱、防绣蚀、抗静电。木板：台板为中密度板贴真木皮喷环保漆，表面做防火底漆处理。颜色分：木本色，深红棕，闪光蓝，等多种可选。</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非编桌</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木板采用：优质的高密度板喷环保漆、挡板采用优质的冷轧优质A3冷轧钢板，质量达到行业相关安全保护标准，木制部分为优质中密度板。</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正在录制灯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1. 外形尺寸：290*135*35（mm）；2. 壳体材料白色阻燃ABS壳体；3. 面板材料：透明PC；4. 安装方式：挂装/吊装；5. 发光亮度：初始≥18000mcd/m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；6. 在照度500XL环境下测试：5分钟≥500mcd/m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、30分钟≥90mcd/m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、60分钟≥40mcd/m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、120分钟≥20mcd/m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；7. 工作模式：蓄光式</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安全出口指示牌</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1. 外形尺寸：290*135*35（mm）；2. 壳体材料白色阻燃ABS壳体；3. 面板材料：透明PC；4. 安装方式：挂装/吊装；5. 发光亮度：初始≥18000mcd/m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；6. 在照度500XL环境下测试：5分钟≥500mcd/m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、30分钟≥90mcd/m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、60分钟≥40mcd/m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、120分钟≥20mcd/m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；7. 工作模式：蓄光式</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应急照明灯</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1. 主电电源：220V 50HZ；2. 主电功率；≤2W；3. 光源型式：2*3.6V 0.5A白炽灯泡、2*1.8W；4. 备用电源：3.7V、2200mAh锂电池；5. 应急时间：≥90min；6. 充电时间：≤20h；7. 转换时间：≤1S；8. 工作模式：非持续式；9. 环境温度：-10℃—50℃；10. 环境湿度：Rh≤95%</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强电-线路改造</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智能布线，根据用电量及设备需求，布置线缆，走明线，阻燃电缆符合国家规范要求，远东三芯电缆线，2.5m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。长度约400m。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强电-控制配电箱</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分类控制各路电源响应，面板采用高品质国际品牌，规格定制pz30-24.系列</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消防-应急照明系统</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消防应急照明指示牌，符合消防及突发国家验收规范，型号YJD-BZ-R，可充电</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消防-安全指示系统</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消防安全出口指示牌，通道安全位置指示，应急疏散指示，规格大小500mm*400mm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弱电-网络系统</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86mm*86mm 5TG0121-1cc1，电脑网线插座</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柜式空调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3P柜式空调</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挂式空调</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lang w:bidi="ar"/>
              </w:rPr>
              <w:t xml:space="preserve">1.5P挂式空调</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人脸识别智能柜主柜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屏幕参数：8英寸IPS触摸显示屏，屏幕分辨率800*1280；认证方式：人脸，卡片（Mifare卡序列号/内容、CPU卡序列号/内容）；开柜方式：认证开柜，远程开柜，钥匙开柜，一键巡更开柜（管理员操作）；设备容量：10000张人脸、100000张卡，100000条事件；通信方式：有线网络、WiFi、蓝牙；整柜尺寸：300mm*477mm*2090mm（宽*厚*高）；功能介绍：</w:t>
            </w:r>
            <w:r/>
          </w:p>
          <w:p>
            <w:pPr>
              <w:jc w:val="left"/>
              <w:widowControl/>
              <w:rPr>
                <w:rFonts w:ascii="宋体" w:hAnsi="宋体" w:cs="宋体"/>
                <w:sz w:val="18"/>
                <w:szCs w:val="18"/>
              </w:rPr>
            </w:pPr>
            <w:r>
              <w:rPr>
                <w:rFonts w:hint="eastAsia" w:ascii="宋体" w:hAnsi="宋体" w:cs="宋体"/>
                <w:sz w:val="18"/>
                <w:szCs w:val="18"/>
                <w:lang w:bidi="ar"/>
              </w:rPr>
              <w:t xml:space="preserve">在柜检测：支持物品在柜检测，最小检测尺寸为8.5cm*8.5cm*5cm；单机模式：支持单机+WEB模式使用，支持人员管理，智能柜配置，权限分配，状态显示，日志查询等功能；平台功能：支持设备管理，人员权限下发、物品存储、物品交换、记录查看、短信邮件提醒等功能；支持对接其他平台；柜格分配：支持分配一人一格、一人多格、多人一格的分配模式，分配方式支持全部柜格分配、空闲柜格分配、指定柜格分配；计划模板：支持配置设备使用计划模板，针对存取操作支持分别设置开放和禁用时间段，支持一个周计划模板、七个假日计划模板。</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智能柜副柜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柜格数量：12格；柜格尺寸：410mm*307mm*477mm；柜格承重：25kg；板材厚度：1.0mm；在柜检测：支持；与主柜连接方式：通过RS485进行通信，并有电源线连接，由主柜统一给副柜供电；供电电源：12V 2A（主柜供电）；柜体尺寸：880mm*477mm*2090mm（宽*厚*高）；柜体重量：102Kg。</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val="false"/>
          </w:tcPr>
          <w:p>
            <w:pPr>
              <w:jc w:val="left"/>
              <w:widowControl/>
              <w:rPr>
                <w:rFonts w:ascii="宋体" w:hAnsi="宋体" w:cs="宋体"/>
                <w:b/>
                <w:bCs/>
                <w:sz w:val="21"/>
                <w:szCs w:val="21"/>
              </w:rPr>
            </w:pPr>
            <w:r>
              <w:rPr>
                <w:rFonts w:hint="eastAsia" w:ascii="宋体" w:hAnsi="宋体" w:cs="宋体"/>
                <w:b/>
                <w:bCs/>
                <w:sz w:val="21"/>
                <w:szCs w:val="21"/>
                <w:lang w:bidi="ar"/>
              </w:rPr>
              <w:t xml:space="preserve">五、镇区电动摩托车登记服务点建设</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查验用黑白打印机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打印受理凭证</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PDA</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安卓版手机，通过安装程序能接入到查验视频监控</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4G执法记录仪</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查验专用，有SDK功能，须能接入到查验视频监控</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查验用计算机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办公台式电脑整机(不低于win10系统 i5-9400 8G内存 512GSSD 键鼠 串口 500G硬盘 19.5英寸显示器)</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26</w:t>
            </w:r>
            <w:r/>
          </w:p>
        </w:tc>
      </w:tr>
      <w:tr>
        <w:trPr>
          <w:trHeight w:val="193"/>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jc w:val="center"/>
              <w:widowControl/>
              <w:rPr>
                <w:rFonts w:ascii="宋体" w:hAnsi="宋体" w:cs="宋体"/>
                <w:sz w:val="18"/>
                <w:szCs w:val="18"/>
              </w:rPr>
            </w:pPr>
            <w:r>
              <w:rPr>
                <w:rFonts w:hint="eastAsia" w:ascii="宋体" w:hAnsi="宋体" w:cs="宋体"/>
                <w:color w:val="000000"/>
                <w:sz w:val="18"/>
                <w:szCs w:val="18"/>
                <w:lang w:bidi="ar"/>
              </w:rPr>
              <w:t xml:space="preserve">热升华照片打印机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当于或高于柯达605A，支持彩色打印纸张和照片。</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塑封机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塑封行驶证</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10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查验工具</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用于查验电动摩托车</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机动车行驶证照片</w:t>
            </w:r>
            <w:r/>
          </w:p>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专用切刀</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裁切驾驶证照片，须有精确到毫米的刻度尺。</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网络枪型摄像机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400万定焦智能筒型网络摄像机：</w:t>
            </w:r>
            <w:r/>
          </w:p>
          <w:p>
            <w:pPr>
              <w:jc w:val="left"/>
              <w:widowControl/>
              <w:rPr>
                <w:rFonts w:ascii="宋体" w:hAnsi="宋体" w:cs="宋体"/>
                <w:sz w:val="18"/>
                <w:szCs w:val="18"/>
              </w:rPr>
            </w:pPr>
            <w:r>
              <w:rPr>
                <w:rFonts w:hint="eastAsia" w:ascii="宋体" w:hAnsi="宋体" w:cs="宋体"/>
                <w:color w:val="000000"/>
                <w:sz w:val="18"/>
                <w:szCs w:val="18"/>
                <w:lang w:bidi="ar"/>
              </w:rPr>
              <w:t xml:space="preserve">1. 采用深度学习硬件及算法，支持越界侦测，区域入侵侦测，进入区域侦测和离开区域侦测，支持联动声音报警；2. 人脸抓拍：支持对不同目标进行检测、抓拍，可同时检测10张；3. 最高分辨率可达2560*1440@25fps，在该分辨率下可输出实</w:t>
            </w:r>
            <w:r>
              <w:rPr>
                <w:rFonts w:hint="eastAsia" w:ascii="宋体" w:hAnsi="宋体" w:cs="宋体"/>
                <w:color w:val="000000"/>
                <w:sz w:val="18"/>
                <w:szCs w:val="18"/>
                <w:lang w:bidi="ar"/>
              </w:rPr>
              <w:t xml:space="preserve">时图像；4. 支持背光补偿，强光抑制，3D数字降噪，数字宽动态，能适应不同环境；5. 支持Smart265/264编码，可根据场景情况自适应调整码率分配；6. 支持萤石平台互联接入；7. 含1个内置麦克风，1个内置扬声器，支持双向语音对讲；8. 支持最大256GB Micro SD/Micro SDHC/Micro SDXC卡本地存储；9. 智能补光，支持暖光/红外双补光，红外光最远可达30m，暖光最远可达20m；10. 符合IP66设计；11. 传感器类型：1/2.7" Progressive Scan </w:t>
            </w:r>
            <w:r>
              <w:rPr>
                <w:rFonts w:hint="eastAsia" w:ascii="宋体" w:hAnsi="宋体" w:cs="宋体"/>
                <w:color w:val="000000"/>
                <w:sz w:val="18"/>
                <w:szCs w:val="18"/>
                <w:lang w:bidi="ar"/>
              </w:rPr>
              <w:t xml:space="preserve">CMOS；12. 最低照度：彩色：0.005 Lux @（F1.2，AGC ON），0 Lux with Light；13. 最大图像尺寸：2560*1440；14. 数字宽动态；15. 焦距&amp;视场角：8mm，水平视场角：43.4°，垂直视场角：23.8°，对角视场角：50.4°；16. 补光灯类型：智能补光，可切换白光灯、红外灯；17. 补光距离：红外光最远可达30m，白光最远可达20m；18. 防补光过曝：支持；19. 红外波长范围：850nm ；20. 视频压缩标准：主码流：H.265/H.264；2</w:t>
            </w:r>
            <w:r>
              <w:rPr>
                <w:rFonts w:hint="eastAsia" w:ascii="宋体" w:hAnsi="宋体" w:cs="宋体"/>
                <w:color w:val="000000"/>
                <w:sz w:val="18"/>
                <w:szCs w:val="18"/>
                <w:lang w:bidi="ar"/>
              </w:rPr>
              <w:t xml:space="preserve">1. 子码流：H.265/H.264/MJPEG ；22. 网络：1个RJ45 10M/100M自适应以太网口；23. SD卡扩展：内置MicroSD/MicroSDHC/MicroSDXC插槽，最大支持256GB；24. 音频：1个内置麦克风，1个内置扬声器；25. 1路输入（Line in）：2芯端子，最大输入幅值：3.3Vpp，输入阻抗：2.2kΩ，接口类型：非平衡；26. 1路输出（Line out）：2芯端子，最大输出幅值：3.3Vpp，输出阻抗：100Ω，接口类型：非平衡；27. 支持复位 ；2</w:t>
            </w:r>
            <w:r>
              <w:rPr>
                <w:rFonts w:hint="eastAsia" w:ascii="宋体" w:hAnsi="宋体" w:cs="宋体"/>
                <w:color w:val="000000"/>
                <w:sz w:val="18"/>
                <w:szCs w:val="18"/>
                <w:lang w:bidi="ar"/>
              </w:rPr>
              <w:t xml:space="preserve">8. 产品尺寸：约171.7mm*83.7mm*80.7mm；29. 恢复出厂设置：支持RESET按键，客户端或浏览器恢复；30. 存储温湿度：-30℃~60℃，湿度小于95%（无凝结）；31. 启动及工作温湿度：-30℃~60℃，湿度小于95%（无凝结）；32. 电流及功耗：DC：12V, 0.71A, 最大功耗：8.5W；；33. POE：IEEE 802.3af  class 3，最大功耗：10W；34. 供电方式：DC：12 V ± 25%，支持防反接保护；35. 电源接口类型：Ø5.5 mm圆口。</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52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枪型摄像机支架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固定枪型摄像机，立杆装支架/白/抱箍直径67~127mm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52</w:t>
            </w:r>
            <w:r/>
          </w:p>
        </w:tc>
      </w:tr>
      <w:tr>
        <w:trPr>
          <w:trHeight w:val="10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电源适配器系列</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12V/1A圆头、插墙式，国标，输出线长1500mm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模拟拾音器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w:t>
            </w:r>
            <w:r>
              <w:rPr>
                <w:rFonts w:hint="eastAsia" w:ascii="宋体" w:hAnsi="宋体" w:cs="宋体"/>
                <w:color w:val="000000"/>
                <w:sz w:val="18"/>
                <w:szCs w:val="18"/>
                <w:lang w:bidi="ar"/>
              </w:rPr>
              <w:t xml:space="preserve"> 高灵敏度高保真麦克风，全向拾音、声音清晰、抗干扰能力强；2. 内置输出级驱动电路，可直接驱动耳机等；3. 近距离拾音，最佳拾音范围约3米；4. 自带拾音距离调节旋钮，可根据现场需要调节音量；5. 拾音头内置雷击保护、电源极性反转保护和电源保护模块；6. 内容清晰，音效高保真；7. 支持吸顶安装、桌面安装和壁装；8. 支持音量调节功能，与</w:t>
            </w:r>
            <w:r>
              <w:rPr>
                <w:rFonts w:hint="eastAsia" w:ascii="宋体" w:hAnsi="宋体" w:cs="宋体"/>
                <w:color w:val="000000"/>
                <w:sz w:val="18"/>
                <w:szCs w:val="18"/>
                <w:lang w:bidi="ar"/>
              </w:rPr>
              <w:t xml:space="preserve">主机级联后可通过后台软件切换通道并调节音量；9. 支持集中供电、摄像机供电、直流电源供电，无需专用电源；10. 麦克风： 一个高灵敏度全指向驻极体麦；11. 动态范围： 0dB~90dB；12. 最大承受音压： 120dBSPL；13. 拾音范围：0m~5m；14. 灵敏度：-32dB；15. 输出信号幅度：2.5Vpp；16. 信噪比：90dB；17. 频率响应：20Hz~20kHz；18. 音频传输距离： ≥500m；19. 接口类型：LINE OUT；20. 输出阻抗：600Ω；21. 电源电压：DC</w:t>
            </w:r>
            <w:r>
              <w:rPr>
                <w:rFonts w:hint="eastAsia" w:ascii="宋体" w:hAnsi="宋体" w:cs="宋体"/>
                <w:color w:val="000000"/>
                <w:sz w:val="18"/>
                <w:szCs w:val="18"/>
                <w:lang w:bidi="ar"/>
              </w:rPr>
              <w:t xml:space="preserve">12V；22. 保护电路：雷击保护、电源极性反转保护、静电防护；23. 工作温度：-10℃～50℃（室内）；24. 安装方式：吸顶装，壁装，桌面装；25. 材质：塑料；26. 尺寸：Ø85mm*20.48mm (Ø3.35"*0.81")；27. 重量：≈48g；28. 功耗：0.1W MAX；29. 降噪调节：数字降噪，自适应调节（和主机搭配使用时支持）；30. 音量调节：支持软件调节（与主拾音器级联时可用）；31. 指向特性：全指向；32. 采样率：8khz、16khz、32khz可选，默认16khz。</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网络球型摄像机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color w:val="000000"/>
                <w:sz w:val="18"/>
                <w:szCs w:val="18"/>
                <w:lang w:bidi="ar"/>
              </w:rPr>
            </w:pPr>
            <w:r>
              <w:rPr>
                <w:rFonts w:hint="eastAsia" w:ascii="宋体" w:hAnsi="宋体" w:cs="宋体"/>
                <w:sz w:val="18"/>
                <w:szCs w:val="18"/>
              </w:rPr>
              <w:t xml:space="preserve">1.</w:t>
            </w:r>
            <w:r>
              <w:rPr>
                <w:rFonts w:hint="eastAsia" w:ascii="宋体" w:hAnsi="宋体" w:cs="宋体"/>
                <w:color w:val="000000"/>
                <w:sz w:val="18"/>
                <w:szCs w:val="18"/>
                <w:lang w:bidi="ar"/>
              </w:rPr>
              <w:t xml:space="preserve"> 400万7寸23倍双光轻智能网络高清球机_直流；2. 支持区域入侵侦测，越界侦测，进入区域侦测和离开区域侦等智能侦测并联动跟踪；3. 采用双光补光，红外补光150m，白光100m；4. 能有效除雾；5. 支持超低照度，0.005 Lux @F1.6（彩色），0.001 Lux @F1.6（黑白），0 Lux with IR；6. 支持23倍光学变倍，16倍数字变倍；7. 支持三码流技术，每路码流可独立</w:t>
            </w:r>
            <w:r>
              <w:rPr>
                <w:rFonts w:hint="eastAsia" w:ascii="宋体" w:hAnsi="宋体" w:cs="宋体"/>
                <w:sz w:val="18"/>
                <w:szCs w:val="18"/>
                <w:lang w:bidi="ar"/>
              </w:rPr>
              <w:t xml:space="preserve">配置分辨率及帧率；8. 支持3D数字降噪，支持真宽动态；9. 支持定时抓图与事件抓图功能；10. 支持定时任务，一键守望，一键巡航功能；11. 支持主流SDK，开放型网络视频接口，ISAPI，GB/T28181，ISUP，萤石；12. 支持两进一出报警，一进一出音频，最大支持512 GB MicroSD卡存储；13. 传感器类型：1/2.8＂ progressive scan CMO</w:t>
            </w:r>
            <w:r>
              <w:rPr>
                <w:rFonts w:hint="eastAsia" w:ascii="宋体" w:hAnsi="宋体" w:cs="宋体"/>
                <w:color w:val="000000"/>
                <w:sz w:val="18"/>
                <w:szCs w:val="18"/>
                <w:lang w:bidi="ar"/>
              </w:rPr>
              <w:t xml:space="preserve">S；24. 最低照度：彩色：0.005Lux @ (F1.6，AGC ON)；黑白：0.001Lux @(F1.6，AGC ON) ；0 Lux with IR；15. 支持真宽动态 </w:t>
            </w:r>
            <w:r/>
          </w:p>
          <w:p>
            <w:pPr>
              <w:jc w:val="left"/>
              <w:widowControl/>
              <w:rPr>
                <w:rFonts w:ascii="宋体" w:hAnsi="宋体" w:cs="宋体"/>
                <w:sz w:val="18"/>
                <w:szCs w:val="18"/>
              </w:rPr>
            </w:pPr>
            <w:r>
              <w:rPr>
                <w:rFonts w:hint="eastAsia" w:ascii="宋体" w:hAnsi="宋体" w:cs="宋体"/>
                <w:color w:val="000000"/>
                <w:sz w:val="18"/>
                <w:szCs w:val="18"/>
                <w:lang w:bidi="ar"/>
              </w:rPr>
              <w:t xml:space="preserve">16. 焦距：4.8mm~110mm，23倍光学变倍；17. 视场角：55°~2.7°（广角~望远）；18. 红外照射距离：150m ；19.水平范围：360°，垂直范围：-15°-90°(自动翻转)；20. 水平速度：水平键控速度：0.1°-160°/s,速度可设;水平预置点速度：240°/s；21. 垂直速度：垂直键控速度：0.1°-120°/s,速度可设;垂直预置点速度：200°/s；22. 主码流帧率分辨率：50 Hz：25 fps（2560</w:t>
            </w:r>
            <w:r>
              <w:rPr>
                <w:rFonts w:hint="eastAsia" w:ascii="宋体" w:hAnsi="宋体" w:cs="宋体"/>
                <w:color w:val="000000"/>
                <w:sz w:val="18"/>
                <w:szCs w:val="18"/>
                <w:lang w:bidi="ar"/>
              </w:rPr>
              <w:t xml:space="preserve"> * 1440，1920 * 1080，1280 * 960，1280 * 720），60 Hz：30 fps（2560 * 1440，1920 * 1080，1280 * 960，1280 * 720）；23. 视频压缩标准：H.265;H.264;MJPEG ；24. 网络接口：RJ45网口，自适应10M/100M网络数据；25. SD卡扩展：支持MicroSD/MicroSDHC/MicroSDXC卡，最大支持512 GB；26. 报警：2路报警输入，1路报警输出；27. 音频：1路音频输入，音频峰值</w:t>
            </w:r>
            <w:r>
              <w:rPr>
                <w:rFonts w:hint="eastAsia" w:ascii="宋体" w:hAnsi="宋体" w:cs="宋体"/>
                <w:color w:val="000000"/>
                <w:sz w:val="18"/>
                <w:szCs w:val="18"/>
                <w:lang w:bidi="ar"/>
              </w:rPr>
              <w:t xml:space="preserve">：2-2.4V[p-p]，输入阻抗：1kΩ±10%；28. 1路音频输出，线性电平，阻抗：600Ω；29. 供电方式：DC36V；30. 电流及功耗：最大功耗：24 W（其中除雾加热1.6W，补光灯12W）；31. 工作温湿度：-30℃-65℃;湿度小于90%；32. 恢复出厂设置：支持；33. 除雾：加热玻璃除雾；34. 尺寸：约Ø220mm*353.4 mm ；35. 重量：约4.5 kg ；36. 防护：IP66; 6000V 防雷、防浪涌、防突波，符合GB/T17626.2/3/4/5/6四级标准。</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13</w:t>
            </w:r>
            <w:r/>
          </w:p>
        </w:tc>
      </w:tr>
      <w:tr>
        <w:trPr>
          <w:trHeight w:val="16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球型摄像机吊支架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固定球型摄像机，立杆装/白色/铝合金/尺寸Φ67-127mm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网络硬盘录像机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【硬件要求】</w:t>
            </w:r>
            <w:r/>
          </w:p>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 存储接口：4个SATA接口，可满配8TB硬盘；2. 视频接口：2*HDMI，1*VGA；3. 网络接口：2*RJ45 10/100/1000Mbps自适应以太网口；4. 报警接口：16路报警输入，4路报警输出；5. 串行接口：1路RS-232接口，2路半双工RS-485接口</w:t>
            </w:r>
            <w:r/>
          </w:p>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6. USB接口：2*USB 2.0，1*USB 3.0。</w:t>
            </w:r>
            <w:r/>
          </w:p>
          <w:p>
            <w:pPr>
              <w:jc w:val="left"/>
              <w:widowControl/>
              <w:rPr>
                <w:rFonts w:ascii="宋体" w:hAnsi="宋体" w:cs="宋体"/>
                <w:sz w:val="18"/>
                <w:szCs w:val="18"/>
              </w:rPr>
            </w:pPr>
            <w:r>
              <w:rPr>
                <w:rFonts w:hint="eastAsia" w:ascii="宋体" w:hAnsi="宋体" w:cs="宋体"/>
                <w:color w:val="000000"/>
                <w:sz w:val="18"/>
                <w:szCs w:val="18"/>
                <w:lang w:bidi="ar"/>
              </w:rPr>
              <w:t xml:space="preserve">【性能要求】；1. 输入带宽：160Mbps；2. 输出带宽：160Mbps；3. 接入能力：16路H.264、H.265格式高清码流接入；4. 解码能力：最大支持12*1080P；5. 显示能力：最大支持4K+1080P异源输出。</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17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视频采集电脑</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win10系统、i7CPU、16G内存、独立显卡 2G 以上、硬盘 4T 左右</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监控专用硬盘</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1.</w:t>
            </w:r>
            <w:r>
              <w:rPr>
                <w:rFonts w:hint="eastAsia" w:ascii="宋体" w:hAnsi="宋体" w:cs="宋体"/>
                <w:color w:val="000000"/>
                <w:sz w:val="18"/>
                <w:szCs w:val="18"/>
                <w:lang w:bidi="ar"/>
              </w:rPr>
              <w:t xml:space="preserve"> 8TB容量，3.5英寸 SATA 3.0接口，7200RPM；2. 单硬盘支持多达32个摄像头的高清流；3. 高达256MB缓冲区，流畅存储视频有效防止丢帧；4. 24*7全天候高效稳定运行；5. 年度工作负载等级为300TB/年；6. MTBF可达1,000,000小时；7. 高级格式（AF）512e扇区技术，保障硬盘扇区4K对齐。</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26</w:t>
            </w:r>
            <w:r/>
          </w:p>
        </w:tc>
      </w:tr>
      <w:tr>
        <w:trPr>
          <w:trHeight w:val="9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千兆网络交换机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1.</w:t>
            </w:r>
            <w:r>
              <w:rPr>
                <w:rFonts w:hint="eastAsia" w:ascii="宋体" w:hAnsi="宋体" w:cs="宋体"/>
                <w:color w:val="000000"/>
                <w:sz w:val="18"/>
                <w:szCs w:val="18"/>
                <w:lang w:bidi="ar"/>
              </w:rPr>
              <w:t xml:space="preserve"> 提供16个千兆PoE电口、2个千兆光口；2. 交换容量：56 Gbps；3. 包转发率：41.67 Mpps；4. 支持IEEE 802.3at/af标准；5. 端口最大供电功率：30W ；6. 整机最大供电功率：230W ；7.</w:t>
            </w:r>
            <w:r>
              <w:rPr>
                <w:rFonts w:hint="eastAsia" w:ascii="宋体" w:hAnsi="宋体" w:cs="宋体"/>
                <w:color w:val="000000"/>
                <w:sz w:val="18"/>
                <w:szCs w:val="18"/>
                <w:lang w:bidi="ar"/>
              </w:rPr>
              <w:t xml:space="preserve"> 支持PoE看门狗；8. 支持6 KV防浪涌（PoE口）；9. 支持IEEE 802.3、IEEE 802.3u、IEEE 802.3x、IEEE 802.3ab；10. 支持管理平台管理；11. 支持手机APP管理；12. 支持安防网络拓扑管理、端口管理，支持远程升级；13. 支持静态链路聚合；14. 支持PoE输出功率管理；15. 支持VLAN；16. 支持SNMPv1/v2c协议；17. 支持DHCP Snooping；18. 支持终端安全防护；19. 坚固式高强度金属外壳；20. 安装方式：机架式。</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26</w:t>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w:t>
            </w:r>
            <w:r>
              <w:rPr>
                <w:rFonts w:hint="eastAsia" w:ascii="宋体" w:hAnsi="宋体" w:cs="宋体"/>
                <w:color w:val="000000"/>
                <w:sz w:val="18"/>
                <w:szCs w:val="18"/>
                <w:lang w:bidi="ar"/>
              </w:rPr>
              <w:t xml:space="preserve"> 32U，网孔门，落地机柜；2. 承重：静态约800KG；3. 前后门材质：前单开网孔门，后双开网孔门，冷轧板 T=1.2；4. 门敞开百分比：前门78%，后门77.2%；5. 侧门材质：冷轧板 T=1.0；6. 门框左右立柱材质：冷轧板 T=</w:t>
            </w:r>
            <w:r>
              <w:rPr>
                <w:rFonts w:hint="eastAsia" w:ascii="宋体" w:hAnsi="宋体" w:cs="宋体"/>
                <w:color w:val="000000"/>
                <w:sz w:val="18"/>
                <w:szCs w:val="18"/>
                <w:lang w:bidi="ar"/>
              </w:rPr>
              <w:t xml:space="preserve">1.2（框架）；7. 左右支架：冷轧板 T=2.0；8. 横梁：冷轧板 T=1.2；9. 层板：1个，承重60KG，宽470mm*深350mm*高48mm；10. L型隔条/支架：1对，承重30KG，长350mm*宽3mm*高38mm；11. PDU：1个，8口PDU，输入10A，带2M线；12. 滚轮：支持，4个；13. 脚撑：支持，4个；14. 风扇：不含；15. 辅件：30套安装螺丝，前/后侧门钥匙各两把；16. 净重：约77KG；17. 尺寸（宽*深*高）：约600mm*600mm*1610 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机柜专用拖线板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lang w:bidi="ar"/>
              </w:rPr>
              <w:t xml:space="preserve">含布设及安装</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只</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超五类网线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含布设及安装</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4000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监控电源线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RVV2*1，含布设及安装</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2000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PE25管</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000000"/>
                <w:sz w:val="18"/>
                <w:szCs w:val="18"/>
                <w:lang w:bidi="ar"/>
              </w:rPr>
              <w:t xml:space="preserve">含布设及安装</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1200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软件安装及服务</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PDA查验监管辅助软件：1. 系统、服务器、参数设置；2. 系统登录；3. 查验监管对接；4. 执法记录对接。</w:t>
            </w:r>
            <w:r/>
          </w:p>
          <w:p>
            <w:pPr>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图片视频采集系统：采集过程图片、采集过程视频、采集资料照片。</w:t>
            </w:r>
            <w:r/>
          </w:p>
          <w:p>
            <w:pPr>
              <w:jc w:val="left"/>
              <w:widowControl/>
              <w:rPr>
                <w:rFonts w:ascii="宋体" w:hAnsi="宋体" w:cs="宋体"/>
                <w:sz w:val="18"/>
                <w:szCs w:val="18"/>
              </w:rPr>
            </w:pPr>
            <w:r>
              <w:rPr>
                <w:rFonts w:hint="eastAsia" w:ascii="宋体" w:hAnsi="宋体" w:cs="宋体"/>
                <w:color w:val="000000"/>
                <w:sz w:val="18"/>
                <w:szCs w:val="18"/>
                <w:lang w:bidi="ar"/>
              </w:rPr>
              <w:t xml:space="preserve">查验短视频执法记录存储系统，严格执行公安部查验要求。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年</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13</w:t>
            </w:r>
            <w:r/>
          </w:p>
        </w:tc>
      </w:tr>
      <w:tr>
        <w:trPr>
          <w:trHeight w:val="19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color w:val="ff0000"/>
                <w:sz w:val="18"/>
                <w:szCs w:val="18"/>
              </w:rPr>
            </w:pPr>
            <w:r>
              <w:rPr>
                <w:rFonts w:hint="eastAsia" w:ascii="宋体" w:hAnsi="宋体" w:cs="宋体"/>
                <w:color w:val="ff0000"/>
                <w:sz w:val="18"/>
                <w:szCs w:val="18"/>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ff0000"/>
                <w:sz w:val="18"/>
                <w:szCs w:val="18"/>
                <w:lang w:bidi="ar"/>
              </w:rPr>
              <w:t xml:space="preserve">合格证条码阅读器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ff0000"/>
                <w:sz w:val="18"/>
                <w:szCs w:val="18"/>
                <w:lang w:bidi="ar"/>
              </w:rPr>
              <w:t xml:space="preserve">Honeywell牌IT4200Q型，在公安专网内使用</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color w:val="ff0000"/>
                <w:sz w:val="18"/>
                <w:szCs w:val="18"/>
              </w:rPr>
            </w:pPr>
            <w:r>
              <w:rPr>
                <w:rFonts w:hint="eastAsia" w:ascii="宋体" w:hAnsi="宋体" w:cs="宋体"/>
                <w:color w:val="ff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ff0000"/>
                <w:sz w:val="18"/>
                <w:szCs w:val="18"/>
                <w:lang w:bidi="ar"/>
              </w:rPr>
              <w:t xml:space="preserve">31</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color w:val="ff0000"/>
                <w:sz w:val="18"/>
                <w:szCs w:val="18"/>
              </w:rPr>
            </w:pPr>
            <w:r>
              <w:rPr>
                <w:rFonts w:hint="eastAsia" w:ascii="宋体" w:hAnsi="宋体" w:cs="宋体"/>
                <w:color w:val="ff0000"/>
                <w:sz w:val="18"/>
                <w:szCs w:val="18"/>
                <w:lang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ff0000"/>
                <w:sz w:val="18"/>
                <w:szCs w:val="18"/>
                <w:lang w:bidi="ar"/>
              </w:rPr>
              <w:t xml:space="preserve">驾驶证/行驶证条码阅读器</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ff0000"/>
                <w:sz w:val="18"/>
                <w:szCs w:val="18"/>
                <w:lang w:bidi="ar"/>
              </w:rPr>
              <w:t xml:space="preserve">Symbol牌LS2208型，在公安专网内使用</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color w:val="ff0000"/>
                <w:sz w:val="18"/>
                <w:szCs w:val="18"/>
              </w:rPr>
            </w:pPr>
            <w:r>
              <w:rPr>
                <w:rFonts w:hint="eastAsia" w:ascii="宋体" w:hAnsi="宋体" w:cs="宋体"/>
                <w:color w:val="ff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ff0000"/>
                <w:sz w:val="18"/>
                <w:szCs w:val="18"/>
                <w:lang w:bidi="ar"/>
              </w:rPr>
              <w:t xml:space="preserve">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color w:val="ff0000"/>
                <w:sz w:val="18"/>
                <w:szCs w:val="18"/>
                <w:lang w:bidi="ar"/>
              </w:rPr>
            </w:pPr>
            <w:r>
              <w:rPr>
                <w:rFonts w:hint="eastAsia" w:ascii="宋体" w:hAnsi="宋体" w:cs="宋体"/>
                <w:color w:val="ff0000"/>
                <w:sz w:val="18"/>
                <w:szCs w:val="18"/>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color w:val="ff0000"/>
                <w:sz w:val="18"/>
                <w:szCs w:val="18"/>
                <w:lang w:bidi="ar"/>
              </w:rPr>
            </w:pPr>
            <w:r>
              <w:rPr>
                <w:rFonts w:hint="eastAsia" w:ascii="宋体" w:hAnsi="宋体" w:cs="宋体"/>
                <w:color w:val="ff0000"/>
                <w:sz w:val="18"/>
                <w:szCs w:val="18"/>
                <w:lang w:bidi="ar"/>
              </w:rPr>
              <w:t xml:space="preserve">高拍仪</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color w:val="ff0000"/>
                <w:sz w:val="18"/>
                <w:szCs w:val="18"/>
                <w:lang w:bidi="ar"/>
              </w:rPr>
            </w:pPr>
            <w:r>
              <w:rPr>
                <w:rFonts w:hint="eastAsia" w:ascii="宋体" w:hAnsi="宋体" w:cs="宋体"/>
                <w:color w:val="ff0000"/>
                <w:sz w:val="18"/>
                <w:szCs w:val="18"/>
                <w:lang w:bidi="ar"/>
              </w:rPr>
              <w:t xml:space="preserve">华通牌H8B-1型，在公安专网内使用</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color w:val="ff0000"/>
                <w:sz w:val="18"/>
                <w:szCs w:val="18"/>
                <w:lang w:bidi="ar"/>
              </w:rPr>
            </w:pPr>
            <w:r>
              <w:rPr>
                <w:rFonts w:hint="eastAsia" w:ascii="宋体" w:hAnsi="宋体" w:cs="宋体"/>
                <w:color w:val="ff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ff0000"/>
                <w:sz w:val="18"/>
                <w:szCs w:val="18"/>
                <w:lang w:bidi="ar"/>
              </w:rPr>
              <w:t xml:space="preserve">18</w:t>
            </w:r>
            <w:r/>
          </w:p>
        </w:tc>
      </w:tr>
      <w:tr>
        <w:trPr>
          <w:trHeight w:val="16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color w:val="ff0000"/>
                <w:sz w:val="18"/>
                <w:szCs w:val="18"/>
              </w:rPr>
            </w:pPr>
            <w:r>
              <w:rPr>
                <w:rFonts w:hint="eastAsia" w:ascii="宋体" w:hAnsi="宋体" w:cs="宋体"/>
                <w:color w:val="ff0000"/>
                <w:sz w:val="18"/>
                <w:szCs w:val="18"/>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ff0000"/>
                <w:sz w:val="18"/>
                <w:szCs w:val="18"/>
                <w:lang w:bidi="ar"/>
              </w:rPr>
              <w:t xml:space="preserve">交通管理证件专用打印机</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color w:val="ff0000"/>
                <w:sz w:val="18"/>
                <w:szCs w:val="18"/>
                <w:lang w:bidi="ar"/>
              </w:rPr>
              <w:t xml:space="preserve">华通牌DPK9500GA Pro型，在公安专网内使用</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color w:val="ff0000"/>
                <w:sz w:val="18"/>
                <w:szCs w:val="18"/>
              </w:rPr>
            </w:pPr>
            <w:r>
              <w:rPr>
                <w:rFonts w:hint="eastAsia" w:ascii="宋体" w:hAnsi="宋体" w:cs="宋体"/>
                <w:color w:val="ff0000"/>
                <w:sz w:val="18"/>
                <w:szCs w:val="18"/>
                <w:lang w:bidi="ar"/>
              </w:rPr>
              <w:t xml:space="preserve">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sz w:val="18"/>
                <w:szCs w:val="18"/>
              </w:rPr>
            </w:pPr>
            <w:r>
              <w:rPr>
                <w:rFonts w:hint="eastAsia" w:ascii="宋体" w:hAnsi="宋体" w:cs="宋体"/>
                <w:color w:val="ff0000"/>
                <w:sz w:val="18"/>
                <w:szCs w:val="18"/>
                <w:lang w:bidi="ar"/>
              </w:rPr>
              <w:t xml:space="preserve">18</w:t>
            </w:r>
            <w:r/>
          </w:p>
        </w:tc>
      </w:tr>
      <w:tr>
        <w:trPr>
          <w:trHeight w:val="90"/>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sz w:val="18"/>
                <w:szCs w:val="18"/>
              </w:rPr>
            </w:pPr>
            <w:r>
              <w:rPr>
                <w:rFonts w:hint="eastAsia" w:ascii="宋体" w:hAnsi="宋体" w:cs="宋体"/>
                <w:b/>
                <w:bCs/>
                <w:color w:val="ff0000"/>
                <w:sz w:val="18"/>
                <w:szCs w:val="18"/>
                <w:lang w:bidi="ar"/>
              </w:rPr>
              <w:t xml:space="preserve">注：第25、26、27、28项为固定报价，4项共230560元，根据规定，采购单位必须是公安机关，所以由甲方直接购买，投标人不得改变该固定报价，否则投标无效。</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val="false"/>
          </w:tcPr>
          <w:p>
            <w:pPr>
              <w:widowControl/>
              <w:rPr>
                <w:rFonts w:ascii="宋体" w:hAnsi="宋体" w:cs="宋体"/>
                <w:b/>
                <w:bCs/>
                <w:sz w:val="21"/>
                <w:szCs w:val="21"/>
              </w:rPr>
            </w:pPr>
            <w:r>
              <w:rPr>
                <w:rFonts w:hint="eastAsia" w:ascii="宋体" w:hAnsi="宋体" w:cs="宋体"/>
                <w:b/>
                <w:bCs/>
                <w:sz w:val="21"/>
                <w:szCs w:val="21"/>
                <w:lang w:bidi="ar"/>
              </w:rPr>
              <w:t xml:space="preserve">六、监控配套标志标线</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（一）科技提升项目配套标志标线部分</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sz w:val="21"/>
                <w:szCs w:val="21"/>
                <w:lang w:bidi="ar"/>
              </w:rPr>
            </w:pPr>
            <w:r>
              <w:rPr>
                <w:rFonts w:hint="eastAsia" w:ascii="宋体" w:hAnsi="宋体" w:cs="宋体"/>
                <w:b/>
                <w:bCs/>
                <w:sz w:val="21"/>
                <w:szCs w:val="21"/>
                <w:lang w:bidi="ar"/>
              </w:rPr>
              <w:t xml:space="preserve">1、货车右转未停车让行</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lang w:bidi="ar"/>
              </w:rPr>
              <w:t xml:space="preserve">标线1</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类型：右转停车观察区；2. 施画停车让行标线、地面文字标识“大型车停车让行区”。</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525</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标线2</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类型：右转警示区；2. 施画右转危险区域，地面文字标识“危险区”，彩色陶瓷防滑颗粒标线，具体数量以实际发生为准。</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1200</w:t>
            </w:r>
            <w:r/>
          </w:p>
        </w:tc>
      </w:tr>
      <w:tr>
        <w:trPr>
          <w:trHeight w:val="39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标志1</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类型：停车让行标志牌；2. 材质：铝板，规格尺寸：八边形标志牌，直径800mm；3.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30</w:t>
            </w:r>
            <w:r/>
          </w:p>
        </w:tc>
      </w:tr>
      <w:tr>
        <w:trPr>
          <w:trHeight w:val="32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标志2</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类型：停车让行提示文字标志牌；2. 材质：铝板，规格尺寸：矩形标志，白底黑字黑边，尺寸600*800mm；提示文字：“大型车辆停车让行”；3.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30</w:t>
            </w:r>
            <w:r/>
          </w:p>
        </w:tc>
      </w:tr>
      <w:tr>
        <w:trPr>
          <w:trHeight w:val="14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停车让行标志牌立杆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规格：与所在道路净高度2000mm，壁厚4mm，直径89mm；2. 含吊装，基础笼，法兰等）；3.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30</w:t>
            </w:r>
            <w:r/>
          </w:p>
        </w:tc>
      </w:tr>
      <w:tr>
        <w:trPr>
          <w:trHeight w:val="43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设备基础2</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采用C25混凝土，包含：杆件基坑开挖、地笼二次运输、土方开挖及外运、放置地笼、预留管道(含基础内部走线双管道约5米50PE)、混凝土浇筑、基础收光及养护、模板制作根据现场需求；2.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6.48</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sz w:val="21"/>
                <w:szCs w:val="21"/>
                <w:lang w:bidi="ar"/>
              </w:rPr>
            </w:pPr>
            <w:r>
              <w:rPr>
                <w:rFonts w:hint="eastAsia" w:ascii="宋体" w:hAnsi="宋体" w:cs="宋体"/>
                <w:b/>
                <w:bCs/>
                <w:sz w:val="21"/>
                <w:szCs w:val="21"/>
                <w:lang w:bidi="ar"/>
              </w:rPr>
              <w:t xml:space="preserve">2、机动车超速监测记录</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343"/>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标志3</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类型：交通违法监控提示牌；2. 材质：铝板，规格尺寸：版面尺寸800mm*600mm；3. 形式：附着式；4.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30</w:t>
            </w:r>
            <w:r/>
          </w:p>
        </w:tc>
      </w:tr>
      <w:tr>
        <w:trPr>
          <w:trHeight w:val="9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标志4</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类型：限速标志牌；2. 形式：悬臂式；3. 材质：铝板，规格尺寸：2000mm*1300mm；4.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46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标志5</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类型：测速预告标志牌；2. 形式：悬臂式；3. 材质：铝板，规格尺寸：4400mm*1300mm；4.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34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标志6</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类型：交通违法监控提示牌；2. 形式：附着式；3. 材质：铝板，规格尺寸：800mm*600mm；4.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标志7</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类型：解除限速标志牌；2. 形式：单立柱；3. 材质：铝板，规格尺寸：直径800mm；4.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限速标志杆件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color w:val="ff0000"/>
                <w:sz w:val="18"/>
                <w:szCs w:val="18"/>
                <w:highlight w:val="yellow"/>
              </w:rPr>
            </w:pPr>
            <w:r>
              <w:rPr>
                <w:rFonts w:hint="eastAsia" w:ascii="宋体" w:hAnsi="宋体" w:cs="宋体"/>
                <w:sz w:val="18"/>
                <w:szCs w:val="18"/>
              </w:rPr>
              <w:t xml:space="preserve">1. 双悬臂，悬臂长度4-6m，立杆壁厚不小于6mm，横壁壁厚不小于4mm，颜色镀锌本色，式样与目前滨海主流杆件一致，H6.5m（与所在道路比净高度）；2. 立柱及钢管横</w:t>
            </w:r>
            <w:r>
              <w:rPr>
                <w:rFonts w:hint="eastAsia" w:ascii="宋体" w:hAnsi="宋体" w:cs="宋体"/>
                <w:sz w:val="18"/>
                <w:szCs w:val="18"/>
              </w:rPr>
              <w:t xml:space="preserve">梁采用的钢材选用Q235钢，热浸镀锌，符合《金属覆盖层 钢铁制件热浸镀锌层》（GB/T13912-2002）标准；3. 立柱、钢管横梁、法兰盘、抱箍、抱箍底衬、柱帽、横梁帽、加劲肋及连接螺栓、螺母、垫圈等钢铁件，采用热浸镀锌浸塑进行防锈处理，立柱、横梁、法兰盘的镀锌量为550g/m2，紧固件为350g/m2；所用的贴角焊缝，其厚度和强度应与被焊构件相等，焊缝应打磨光滑；防水帽；杆体疲劳寿命应大于30年；4. 杆件上端预留治安球形摄像机接线开孔；5. 杆件必须满足抗风高于10级，最大抗风力达150公里/小时。</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测速预告标志杆件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color w:val="ff0000"/>
                <w:sz w:val="18"/>
                <w:szCs w:val="18"/>
                <w:highlight w:val="yellow"/>
              </w:rPr>
            </w:pPr>
            <w:r>
              <w:rPr>
                <w:rFonts w:hint="eastAsia" w:ascii="宋体" w:hAnsi="宋体" w:cs="宋体"/>
                <w:sz w:val="18"/>
                <w:szCs w:val="18"/>
              </w:rPr>
              <w:t xml:space="preserve">1. 双悬臂，悬臂长度4-6m，立杆壁厚不小于6mm，横壁壁厚不小于4mm，颜色镀锌本色，式样与目前滨海主流杆件一致，H6.5m（与所在道路比净高度）；2. 立柱及钢管横</w:t>
            </w:r>
            <w:r>
              <w:rPr>
                <w:rFonts w:hint="eastAsia" w:ascii="宋体" w:hAnsi="宋体" w:cs="宋体"/>
                <w:sz w:val="18"/>
                <w:szCs w:val="18"/>
              </w:rPr>
              <w:t xml:space="preserve">梁采用的钢材选用Q235钢，热浸镀锌，符合《金属覆盖层 钢铁制件热浸镀锌层》（GB/T13912-2002）标准；3. 立柱、钢管横梁、法兰盘、抱箍、抱箍底衬、柱帽、横梁帽、加劲肋及连接螺栓、螺母、垫圈等钢铁件，采用热浸镀锌浸塑进行防锈处理，立柱、横梁、法兰盘的镀锌量为550g/m2，紧固件为350g/m2；所用的贴角焊缝，其厚度和强度应与被焊构件相等，焊缝应打磨光滑；防水帽；杆体疲劳寿命应大于30年；4. 杆件上端预留治安球形摄像机接线开孔；5. 杆件必须满足抗风高于10级，最大抗风力达150公里/小时。</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解除限速标志立杆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规格：与所在道路净高度2000mm，壁厚4mm，直径89mm；2. 含吊装，基础笼，法兰等）；3.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w:t>
            </w:r>
            <w:r/>
          </w:p>
        </w:tc>
      </w:tr>
      <w:tr>
        <w:trPr>
          <w:trHeight w:val="15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设备基础4</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名称：标志牌杆件基础；2. 杆地笼：定制，≥M24*6直径450-1400mm。(根据杆件配置)；3. 基础开挖：定制，≥1000mm*1000mm*1200mm。(根据杆件配置，开挖时必须立模，与路牙保持平行)；4. 混凝土基础：定制，C25/30，（成品混凝土，不得现场搅拌）；5. 定制，5mm*50mm*250mm接地桩，接地电阻符合（浇筑时必须置于杆件内）；6.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74.45</w:t>
            </w:r>
            <w:r/>
          </w:p>
        </w:tc>
      </w:tr>
      <w:tr>
        <w:trPr>
          <w:trHeight w:val="174"/>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标线</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 工艺：热熔，纵向减速标线</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1600</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sz w:val="21"/>
                <w:szCs w:val="21"/>
                <w:lang w:bidi="ar"/>
              </w:rPr>
            </w:pPr>
            <w:r>
              <w:rPr>
                <w:rFonts w:hint="eastAsia" w:ascii="宋体" w:hAnsi="宋体" w:cs="宋体"/>
                <w:b/>
                <w:bCs/>
                <w:sz w:val="21"/>
                <w:szCs w:val="21"/>
                <w:lang w:bidi="ar"/>
              </w:rPr>
              <w:t xml:space="preserve">3、非机动车逆行/在机动车道行驶违法抓拍</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标志8</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类型：交通违法抓拍标志；2. 形式：单立柱；3. 材质：铝板，规格尺寸：600</w:t>
            </w:r>
            <w:r>
              <w:rPr>
                <w:rFonts w:hint="eastAsia" w:ascii="宋体" w:hAnsi="宋体" w:cs="宋体"/>
                <w:color w:val="000000"/>
                <w:sz w:val="18"/>
                <w:szCs w:val="18"/>
              </w:rPr>
              <w:t xml:space="preserve">mm</w:t>
            </w:r>
            <w:r>
              <w:rPr>
                <w:rFonts w:hint="eastAsia" w:ascii="宋体" w:hAnsi="宋体" w:cs="宋体"/>
                <w:sz w:val="18"/>
                <w:szCs w:val="18"/>
                <w:lang w:bidi="ar"/>
              </w:rPr>
              <w:t xml:space="preserve">*800mm；4.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18</w:t>
            </w:r>
            <w:r/>
          </w:p>
        </w:tc>
      </w:tr>
      <w:tr>
        <w:trPr>
          <w:trHeight w:val="413"/>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标志9</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类型：交通违法监控标志；2. 形式：附着式；3. 材质：铝板，规格尺寸：600</w:t>
            </w:r>
            <w:r>
              <w:rPr>
                <w:rFonts w:hint="eastAsia" w:ascii="宋体" w:hAnsi="宋体" w:cs="宋体"/>
                <w:color w:val="000000"/>
                <w:sz w:val="18"/>
                <w:szCs w:val="18"/>
              </w:rPr>
              <w:t xml:space="preserve">mm</w:t>
            </w:r>
            <w:r>
              <w:rPr>
                <w:rFonts w:hint="eastAsia" w:ascii="宋体" w:hAnsi="宋体" w:cs="宋体"/>
                <w:sz w:val="18"/>
                <w:szCs w:val="18"/>
                <w:lang w:bidi="ar"/>
              </w:rPr>
              <w:t xml:space="preserve">*800mm；4.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18</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标志立杆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规格：与所在道路净高度2000mm，壁厚4mm，直径89mm；2. 含吊装，基础笼，法兰等）；3.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18</w:t>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color w:val="000000"/>
                <w:sz w:val="18"/>
                <w:szCs w:val="18"/>
                <w:lang w:bidi="ar"/>
              </w:rPr>
              <w:t xml:space="preserve">设备基础5</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名称：标志牌杆件基础；2. 规格：采用C25混凝土，若冬季或项目工期紧时，包含早强剂或防冻剂。包含：杆件基坑开挖、地笼二次运输、土方开挖及外运、放置地笼、预留管道(含基础内部走线双管道约5m50PE)、混凝土浇筑、基础收光及养护、模板制作根据现场需求）；3.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m³</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2.7</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sz w:val="21"/>
                <w:szCs w:val="21"/>
                <w:lang w:bidi="ar"/>
              </w:rPr>
            </w:pPr>
            <w:r>
              <w:rPr>
                <w:rFonts w:hint="eastAsia" w:ascii="宋体" w:hAnsi="宋体" w:cs="宋体"/>
                <w:b/>
                <w:bCs/>
                <w:sz w:val="21"/>
                <w:szCs w:val="21"/>
                <w:lang w:bidi="ar"/>
              </w:rPr>
              <w:t xml:space="preserve">4、机动车闯红灯抓拍</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39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标志10</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 类型：交通违法监控提示牌；2. 材质：铝板，规格尺寸：版面尺寸800mm*600mm；3. 形式：附着式；4.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7</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val="false"/>
          </w:tcPr>
          <w:p>
            <w:pPr>
              <w:widowControl/>
              <w:rPr>
                <w:rFonts w:ascii="宋体" w:hAnsi="宋体" w:cs="宋体"/>
                <w:b/>
                <w:bCs/>
                <w:sz w:val="21"/>
                <w:szCs w:val="21"/>
              </w:rPr>
            </w:pPr>
            <w:r>
              <w:rPr>
                <w:rFonts w:hint="eastAsia" w:ascii="宋体" w:hAnsi="宋体" w:cs="宋体"/>
                <w:b/>
                <w:bCs/>
                <w:sz w:val="21"/>
                <w:szCs w:val="21"/>
                <w:lang w:bidi="ar"/>
              </w:rPr>
              <w:t xml:space="preserve">（二）存量监控配套交通标志标线部分</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lang w:bidi="ar"/>
              </w:rPr>
            </w:pPr>
            <w:r>
              <w:rPr>
                <w:rFonts w:hint="eastAsia" w:ascii="宋体" w:hAnsi="宋体" w:cs="宋体"/>
                <w:b/>
                <w:bCs/>
                <w:sz w:val="21"/>
                <w:szCs w:val="21"/>
                <w:lang w:bidi="ar"/>
              </w:rPr>
              <w:t xml:space="preserve">1、存量机动车超速监测配套标志标线</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537"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标志3</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color w:val="000000"/>
                <w:sz w:val="18"/>
                <w:szCs w:val="18"/>
                <w:lang w:bidi="ar"/>
              </w:rPr>
              <w:t xml:space="preserve">1. 类型：交通违法监控提示牌；2. 材质：铝板，规格尺寸：版面尺寸800mm*600mm；3. 形式：附着式；4.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48</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标志4</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color w:val="000000"/>
                <w:sz w:val="18"/>
                <w:szCs w:val="18"/>
                <w:lang w:bidi="ar"/>
              </w:rPr>
              <w:t xml:space="preserve">1. 类型：限速标志牌；2. 形式：悬臂式；3. 材质：铝板，规格尺寸：2000mm*1300mm；4.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24</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标志5</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color w:val="000000"/>
                <w:sz w:val="18"/>
                <w:szCs w:val="18"/>
                <w:lang w:bidi="ar"/>
              </w:rPr>
              <w:t xml:space="preserve">1. 类型：测速预告标志牌；2. 形式：悬臂式；3. </w:t>
            </w:r>
            <w:r>
              <w:rPr>
                <w:rFonts w:hint="eastAsia" w:ascii="宋体" w:hAnsi="宋体" w:cs="宋体"/>
                <w:sz w:val="18"/>
                <w:szCs w:val="18"/>
                <w:lang w:bidi="ar"/>
              </w:rPr>
              <w:t xml:space="preserve">材质：铝板，规格</w:t>
            </w:r>
            <w:r>
              <w:rPr>
                <w:rFonts w:hint="eastAsia" w:ascii="宋体" w:hAnsi="宋体" w:cs="宋体"/>
                <w:color w:val="000000"/>
                <w:sz w:val="18"/>
                <w:szCs w:val="18"/>
                <w:lang w:bidi="ar"/>
              </w:rPr>
              <w:t xml:space="preserve">尺寸：4400mm*1300mm；4.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24</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标志6</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color w:val="000000"/>
                <w:sz w:val="18"/>
                <w:szCs w:val="18"/>
                <w:lang w:bidi="ar"/>
              </w:rPr>
              <w:t xml:space="preserve">1. 类型：交通违法监控提示牌；2. 形式：附着式；3. 材质：铝板，规格尺寸：800mm*600mm；4.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24</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标志7</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color w:val="000000"/>
                <w:sz w:val="18"/>
                <w:szCs w:val="18"/>
                <w:lang w:bidi="ar"/>
              </w:rPr>
              <w:t xml:space="preserve">1. 类型：解除限速标志牌；2. 形式：单立柱；3. 材质：铝板，规格尺寸：直径800mm；4. 板面反光膜等级：IV类反光膜；铝板厚度：2mm。</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24</w:t>
            </w:r>
            <w:r/>
          </w:p>
        </w:tc>
      </w:tr>
      <w:tr>
        <w:trPr>
          <w:trHeight w:val="1430"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限速标志杆件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sz w:val="18"/>
                <w:szCs w:val="18"/>
              </w:rPr>
              <w:t xml:space="preserve">1. 双悬臂，悬臂长度4-6m，立杆壁厚不小于6mm，横壁壁厚不小于4mm，颜色镀锌本色，式样与目前滨海主流杆件一致，H6.5m（与所在道路比净高度）；2. 立柱及钢管横</w:t>
            </w:r>
            <w:r>
              <w:rPr>
                <w:rFonts w:hint="eastAsia" w:ascii="宋体" w:hAnsi="宋体" w:cs="宋体"/>
                <w:sz w:val="18"/>
                <w:szCs w:val="18"/>
              </w:rPr>
              <w:t xml:space="preserve">梁采用的钢材选用Q235钢，热浸镀锌，符合《金属覆盖层 钢铁制件热浸镀锌层》（GB/T13912-2002）标准；3. 立柱、钢管横梁、法兰盘、抱箍、抱箍底衬、柱帽、横梁帽、加劲肋及连接螺栓、螺母、垫圈等钢铁件，采用热浸镀锌浸塑进行防锈处理，立柱、横梁、法兰盘的镀锌量为550g/m2，紧固件为350g/m2；所用的贴角焊缝，其厚度和强度应与被焊构件相等，焊缝应打磨光滑；防水帽；杆体疲劳寿命应大于30年；4. 杆件上端预留治安球形摄像机接线开孔；5. 杆件必须满足抗风高于10级，最大抗风力达150公里/小时。</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24</w:t>
            </w:r>
            <w:r/>
          </w:p>
        </w:tc>
      </w:tr>
      <w:tr>
        <w:trPr>
          <w:trHeight w:val="1487"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测速预告标志杆件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sz w:val="18"/>
                <w:szCs w:val="18"/>
              </w:rPr>
              <w:t xml:space="preserve">1. 双悬臂，悬臂长度4-6m，立杆壁厚不小于6mm，横壁壁厚不小于4mm，颜色镀锌本色，式样与目前滨海主流杆件一致，H6.5m（与所在道路比净高度）；2. 立柱及钢管横</w:t>
            </w:r>
            <w:r>
              <w:rPr>
                <w:rFonts w:hint="eastAsia" w:ascii="宋体" w:hAnsi="宋体" w:cs="宋体"/>
                <w:sz w:val="18"/>
                <w:szCs w:val="18"/>
              </w:rPr>
              <w:t xml:space="preserve">梁采用的钢材选用Q235钢，热浸镀锌，符合《金属覆盖层 钢铁制件热浸镀锌层》（GB/T13912-2002）标准；3. 立柱、钢管横梁、法兰盘、抱箍、抱箍底衬、柱帽、横梁帽、加劲肋及连接螺栓、螺母、垫圈等钢铁件，采用热浸镀锌浸塑进行防锈处理，立柱、横梁、法兰盘的镀锌量为550g/m2，紧固件为350g/m2；所用的贴角焊缝，其厚度和强度应与被焊构件相等，焊缝应打磨光滑；防水帽；杆体疲劳寿命应大于30年；4. 杆件上端预留治安球形摄像机接线开孔；5. 杆件必须满足抗风高于10级，最大抗风力达150公里/小时。</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24</w:t>
            </w:r>
            <w:r/>
          </w:p>
        </w:tc>
      </w:tr>
      <w:tr>
        <w:trPr>
          <w:trHeight w:val="495"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解除限速标志立杆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sz w:val="18"/>
                <w:szCs w:val="18"/>
                <w:lang w:bidi="ar"/>
              </w:rPr>
              <w:t xml:space="preserve">1. 规格：与所在道路净高度2000mm，壁厚4mm，直径89mm；2. 含吊装，基础笼，法兰等）；3.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24</w:t>
            </w:r>
            <w:r/>
          </w:p>
        </w:tc>
      </w:tr>
      <w:tr>
        <w:trPr>
          <w:trHeight w:val="952"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设备基础4</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sz w:val="18"/>
                <w:szCs w:val="18"/>
                <w:lang w:bidi="ar"/>
              </w:rPr>
              <w:t xml:space="preserve">1. 名称：标志牌杆件基础；2. 杆地笼：定制，≥M24*6直径450-1400mm。(根据杆件配置)；3. 基础开挖：定制，≥1000mm*1000mm*1200mm。(根据杆件配置，开挖时必须立模，与路牙保持平行)；4. 混凝土基础：定制，C25/30，（成品混凝土，不得现场搅拌）；5. 定制，5mm*50mm*250mm接地桩，接地电阻符合（浇筑时必须置于杆件内）；6.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m</w:t>
            </w:r>
            <w:r>
              <w:rPr>
                <w:rFonts w:hint="eastAsia" w:ascii="宋体" w:hAnsi="宋体" w:cs="宋体"/>
                <w:color w:val="000000"/>
                <w:sz w:val="18"/>
                <w:szCs w:val="18"/>
                <w:vertAlign w:val="superscript"/>
                <w:lang w:bidi="ar"/>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111.674</w:t>
            </w:r>
            <w:r/>
          </w:p>
        </w:tc>
      </w:tr>
      <w:tr>
        <w:trPr>
          <w:trHeight w:val="282"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标线3</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b/>
                <w:bCs/>
                <w:sz w:val="18"/>
                <w:szCs w:val="18"/>
                <w:lang w:bidi="ar"/>
              </w:rPr>
            </w:pPr>
            <w:r>
              <w:rPr>
                <w:rFonts w:hint="eastAsia" w:ascii="宋体" w:hAnsi="宋体" w:cs="宋体"/>
                <w:color w:val="000000"/>
                <w:sz w:val="18"/>
                <w:szCs w:val="18"/>
                <w:lang w:bidi="ar"/>
              </w:rPr>
              <w:t xml:space="preserve"> 工艺：热熔，纵向减速标线</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m</w:t>
            </w:r>
            <w:r>
              <w:rPr>
                <w:rFonts w:hint="eastAsia" w:ascii="宋体" w:hAnsi="宋体" w:cs="宋体"/>
                <w:color w:val="000000"/>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18"/>
                <w:szCs w:val="18"/>
                <w:lang w:bidi="ar"/>
              </w:rPr>
              <w:t xml:space="preserve">2400</w:t>
            </w:r>
            <w:r/>
          </w:p>
        </w:tc>
      </w:tr>
      <w:tr>
        <w:trPr>
          <w:trHeight w:val="499" w:hRule="exact"/>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lang w:bidi="ar"/>
              </w:rPr>
            </w:pPr>
            <w:r>
              <w:rPr>
                <w:rFonts w:hint="eastAsia" w:ascii="宋体" w:hAnsi="宋体" w:cs="宋体"/>
                <w:b/>
                <w:bCs/>
                <w:sz w:val="21"/>
                <w:szCs w:val="21"/>
                <w:lang w:bidi="ar"/>
              </w:rPr>
              <w:t xml:space="preserve">2、其它监控配套标志标线</w:t>
            </w:r>
            <w:r/>
          </w:p>
        </w:tc>
      </w:tr>
      <w:tr>
        <w:trPr>
          <w:trHeight w:val="499" w:hRule="exact"/>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标志11</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类型：交通违法监控；2. 材质：铝板，规格尺寸：60cm*80cm；3. 板面反光膜等级：Ⅳ类反光膜；4. 标志面积≤1m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采购2mm以上厚度铝板、1m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&lt;标志面积≤3m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采购3mm以上厚度铝板，无拼接，圆角。</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628</w:t>
            </w:r>
            <w:r/>
          </w:p>
        </w:tc>
      </w:tr>
      <w:tr>
        <w:trPr>
          <w:trHeight w:val="22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标志12</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类型：前方监控 交通违法；2. 材质：铝板，规格尺寸：60cm*80cm；3. 板面反光膜等级：Ⅳ类反光膜；4. 标志面积≤1m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采购2mm以上厚度铝板、1m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&lt;标志面积≤3m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采购3mm以上厚度铝板，无拼接，圆角。</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529</w:t>
            </w:r>
            <w:r/>
          </w:p>
        </w:tc>
      </w:tr>
      <w:tr>
        <w:trPr>
          <w:trHeight w:val="187"/>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标志13</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类型：车道行驶方向；2. 材质：铝板，规格尺寸：80cm*80cm；3. 板面反光膜等级：Ⅳ类反光膜；4. 标志面积≤1m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采购2mm以上厚度铝板、1m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&lt;标志面积≤3m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采购3mm以上厚度铝板，无拼接，圆角。</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581</w:t>
            </w:r>
            <w:r/>
          </w:p>
        </w:tc>
      </w:tr>
      <w:tr>
        <w:trPr>
          <w:trHeight w:val="379"/>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标志14</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类型：人行道；2. 材质：铝板，规格尺寸：60cm*60cm；3. 板面反光膜等级：Ⅳ类反光膜；4. 标志面积≤1m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采购2mm以上厚度铝板、1m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&lt;标志面积≤3m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采购3mm以上厚度铝板，无拼接，圆角。</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29</w:t>
            </w:r>
            <w:r/>
          </w:p>
        </w:tc>
      </w:tr>
      <w:tr>
        <w:trPr>
          <w:trHeight w:val="32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标志15</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类型：注意行人；2. 材质：铝板，规格尺寸：△90cm；3. 板面反光膜等级：Ⅳ类反光膜；4. 标志面积≤1m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采购2mm以上厚度铝板、1m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&lt;标志面积≤3m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采购3mm以上厚度铝板，无拼接，圆角。</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29</w:t>
            </w:r>
            <w:r/>
          </w:p>
        </w:tc>
      </w:tr>
      <w:tr>
        <w:trPr>
          <w:trHeight w:val="256"/>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标志16</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类型：停车让行辅助标志；2. 材质：铝板，规格尺寸：60cm*80cm；3. 板面反光膜等级：Ⅳ类反光膜；4. 标志面积≤1m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采购2mm以上厚度铝板、1m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&lt;标志面积≤3m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采购3mm以上厚度铝板，无拼接，圆角。</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1</w:t>
            </w:r>
            <w:r/>
          </w:p>
        </w:tc>
      </w:tr>
      <w:tr>
        <w:trPr>
          <w:trHeight w:val="361"/>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标志17</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类型：禁止停车；2. 材质：铝板，规格尺寸：φ80cm；3. 板面反光膜等级：Ⅳ类反光膜；4. 标志面积≤1m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采购2mm以上厚度铝板、1m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&lt;标志面积≤3m</w:t>
            </w:r>
            <w:r>
              <w:rPr>
                <w:rFonts w:hint="eastAsia" w:ascii="宋体" w:hAnsi="宋体" w:cs="宋体"/>
                <w:sz w:val="18"/>
                <w:szCs w:val="18"/>
                <w:vertAlign w:val="superscript"/>
                <w:lang w:bidi="ar"/>
              </w:rPr>
              <w:t xml:space="preserve">2</w:t>
            </w:r>
            <w:r>
              <w:rPr>
                <w:rFonts w:hint="eastAsia" w:ascii="宋体" w:hAnsi="宋体" w:cs="宋体"/>
                <w:sz w:val="18"/>
                <w:szCs w:val="18"/>
                <w:lang w:bidi="ar"/>
              </w:rPr>
              <w:t xml:space="preserve">采购3mm以上厚度铝板，无拼接，圆角。</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2</w:t>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双悬臂式标志杆件</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 双悬臂，悬臂长度4-6m，立杆壁厚不小于6mm，横壁壁厚不小于4mm，颜色镀锌本色，式样与目前滨海主流杆件一致，H6.5m（与所在道路比净高度）</w:t>
            </w:r>
            <w:r>
              <w:rPr>
                <w:rFonts w:hint="eastAsia" w:ascii="宋体" w:hAnsi="宋体" w:cs="宋体"/>
                <w:sz w:val="18"/>
                <w:szCs w:val="18"/>
                <w:lang w:bidi="ar"/>
              </w:rPr>
              <w:t xml:space="preserve">；</w:t>
            </w:r>
            <w:r>
              <w:rPr>
                <w:rFonts w:hint="eastAsia" w:ascii="宋体" w:hAnsi="宋体" w:cs="宋体"/>
                <w:sz w:val="18"/>
                <w:szCs w:val="18"/>
              </w:rPr>
              <w:t xml:space="preserve">2. 立柱及钢管横梁采用的钢材选用Q235钢，热浸镀锌，符合《金属覆盖层 钢铁制件热浸镀锌层》（GB/T13912-2002）标准</w:t>
            </w:r>
            <w:r>
              <w:rPr>
                <w:rFonts w:hint="eastAsia" w:ascii="宋体" w:hAnsi="宋体" w:cs="宋体"/>
                <w:sz w:val="18"/>
                <w:szCs w:val="18"/>
                <w:lang w:bidi="ar"/>
              </w:rPr>
              <w:t xml:space="preserve">；</w:t>
            </w:r>
            <w:r>
              <w:rPr>
                <w:rFonts w:hint="eastAsia" w:ascii="宋体" w:hAnsi="宋体" w:cs="宋体"/>
                <w:sz w:val="18"/>
                <w:szCs w:val="18"/>
              </w:rPr>
              <w:t xml:space="preserve">3. 立柱、钢管横梁、法兰盘、抱箍、抱箍底衬、柱帽、横梁帽、加劲肋及连接螺栓、螺母、垫圈等钢铁件，采用热浸镀锌浸塑进行防锈处理，立柱、横梁、法兰盘的镀锌量为550g/m</w:t>
            </w:r>
            <w:r>
              <w:rPr>
                <w:rFonts w:hint="eastAsia" w:ascii="宋体" w:hAnsi="宋体" w:cs="宋体"/>
                <w:sz w:val="18"/>
                <w:szCs w:val="18"/>
                <w:vertAlign w:val="superscript"/>
              </w:rPr>
              <w:t xml:space="preserve">2</w:t>
            </w:r>
            <w:r>
              <w:rPr>
                <w:rFonts w:hint="eastAsia" w:ascii="宋体" w:hAnsi="宋体" w:cs="宋体"/>
                <w:sz w:val="18"/>
                <w:szCs w:val="18"/>
              </w:rPr>
              <w:t xml:space="preserve">，紧固件为350g/m</w:t>
            </w:r>
            <w:r>
              <w:rPr>
                <w:rFonts w:hint="eastAsia" w:ascii="宋体" w:hAnsi="宋体" w:cs="宋体"/>
                <w:sz w:val="18"/>
                <w:szCs w:val="18"/>
                <w:vertAlign w:val="superscript"/>
              </w:rPr>
              <w:t xml:space="preserve">2</w:t>
            </w:r>
            <w:r>
              <w:rPr>
                <w:rFonts w:hint="eastAsia" w:ascii="宋体" w:hAnsi="宋体" w:cs="宋体"/>
                <w:sz w:val="18"/>
                <w:szCs w:val="18"/>
              </w:rPr>
              <w:t xml:space="preserve">；所用的贴角焊缝，其厚度和强度应与被焊构件相等，焊缝应打磨光滑；防水帽；杆体疲劳寿命应大于30年</w:t>
            </w:r>
            <w:r>
              <w:rPr>
                <w:rFonts w:hint="eastAsia" w:ascii="宋体" w:hAnsi="宋体" w:cs="宋体"/>
                <w:sz w:val="18"/>
                <w:szCs w:val="18"/>
                <w:lang w:bidi="ar"/>
              </w:rPr>
              <w:t xml:space="preserve">；</w:t>
            </w:r>
            <w:r>
              <w:rPr>
                <w:rFonts w:hint="eastAsia" w:ascii="宋体" w:hAnsi="宋体" w:cs="宋体"/>
                <w:sz w:val="18"/>
                <w:szCs w:val="18"/>
              </w:rPr>
              <w:t xml:space="preserve">4. 杆件上端预留治安球形摄像机接线开孔；5. 杆件必须满足抗风高于10级，最大抗风力达150公里/小时</w:t>
            </w:r>
            <w:r>
              <w:rPr>
                <w:rFonts w:hint="eastAsia" w:ascii="宋体" w:hAnsi="宋体" w:cs="宋体"/>
                <w:sz w:val="18"/>
                <w:szCs w:val="18"/>
                <w:lang w:bidi="ar"/>
              </w:rPr>
              <w:t xml:space="preserve">；</w:t>
            </w:r>
            <w:r>
              <w:rPr>
                <w:rFonts w:hint="eastAsia" w:ascii="宋体" w:hAnsi="宋体" w:cs="宋体"/>
                <w:sz w:val="18"/>
                <w:szCs w:val="18"/>
              </w:rPr>
              <w:t xml:space="preserve">6. 杆地笼：</w:t>
            </w:r>
            <w:r>
              <w:rPr>
                <w:rFonts w:hint="eastAsia" w:ascii="宋体" w:hAnsi="宋体" w:cs="宋体"/>
                <w:color w:val="000000"/>
                <w:sz w:val="18"/>
                <w:szCs w:val="18"/>
              </w:rPr>
              <w:t xml:space="preserve">定制，≥M24*6直径450mm-1400mm。(根据杆件配置)</w:t>
            </w:r>
            <w:r>
              <w:rPr>
                <w:rFonts w:hint="eastAsia" w:ascii="宋体" w:hAnsi="宋体" w:cs="宋体"/>
                <w:sz w:val="18"/>
                <w:szCs w:val="18"/>
                <w:lang w:bidi="ar"/>
              </w:rPr>
              <w:t xml:space="preserve">；</w:t>
            </w:r>
            <w:r>
              <w:rPr>
                <w:rFonts w:hint="eastAsia" w:ascii="宋体" w:hAnsi="宋体" w:cs="宋体"/>
                <w:color w:val="000000"/>
                <w:sz w:val="18"/>
                <w:szCs w:val="18"/>
              </w:rPr>
              <w:t xml:space="preserve">7. 基础开挖：定制，≥1000mm*1000mm*1200mm。(根据杆件配置，开挖时必须立模，与路牙保持平行)</w:t>
            </w:r>
            <w:r>
              <w:rPr>
                <w:rFonts w:hint="eastAsia" w:ascii="宋体" w:hAnsi="宋体" w:cs="宋体"/>
                <w:sz w:val="18"/>
                <w:szCs w:val="18"/>
                <w:lang w:bidi="ar"/>
              </w:rPr>
              <w:t xml:space="preserve">；</w:t>
            </w:r>
            <w:r>
              <w:rPr>
                <w:rFonts w:hint="eastAsia" w:ascii="宋体" w:hAnsi="宋体" w:cs="宋体"/>
                <w:color w:val="000000"/>
                <w:sz w:val="18"/>
                <w:szCs w:val="18"/>
              </w:rPr>
              <w:t xml:space="preserve">8. 混凝土基础：定制，C25/30，（成品混凝土，不得现场搅拌）</w:t>
            </w:r>
            <w:r>
              <w:rPr>
                <w:rFonts w:hint="eastAsia" w:ascii="宋体" w:hAnsi="宋体" w:cs="宋体"/>
                <w:sz w:val="18"/>
                <w:szCs w:val="18"/>
                <w:lang w:bidi="ar"/>
              </w:rPr>
              <w:t xml:space="preserve">；</w:t>
            </w:r>
            <w:r>
              <w:rPr>
                <w:rFonts w:hint="eastAsia" w:ascii="宋体" w:hAnsi="宋体" w:cs="宋体"/>
                <w:color w:val="000000"/>
                <w:sz w:val="18"/>
                <w:szCs w:val="18"/>
              </w:rPr>
              <w:t xml:space="preserve">9. 定制，5mm*50mm*2500mm接地桩，接地电阻符合（浇筑时必须置于杆件内）</w:t>
            </w:r>
            <w:r>
              <w:rPr>
                <w:rFonts w:hint="eastAsia" w:ascii="宋体" w:hAnsi="宋体" w:cs="宋体"/>
                <w:sz w:val="18"/>
                <w:szCs w:val="18"/>
                <w:lang w:bidi="ar"/>
              </w:rPr>
              <w:t xml:space="preserve">；10. 符合道路主权部门关于上口平面深度要求</w:t>
            </w:r>
            <w:r>
              <w:rPr>
                <w:rFonts w:hint="eastAsia" w:ascii="宋体" w:hAnsi="宋体" w:cs="宋体"/>
                <w:color w:val="000000"/>
                <w:sz w:val="18"/>
                <w:szCs w:val="1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221</w:t>
            </w:r>
            <w:r/>
          </w:p>
        </w:tc>
      </w:tr>
      <w:tr>
        <w:trPr>
          <w:trHeight w:val="1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标志立杆</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规格：与所在道路净高度2000mm，壁厚4mm，直径89mm；2. 含吊装，基础笼，法兰等）；3. 符合道路主权部门关于上口平面深度要求。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17</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标线4</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材料品种：热熔标线涂料；2. 线型：车让人字；3. 100</w:t>
            </w:r>
            <w:r>
              <w:rPr>
                <w:rFonts w:hint="eastAsia" w:ascii="宋体" w:hAnsi="宋体" w:cs="宋体"/>
                <w:color w:val="000000"/>
                <w:sz w:val="18"/>
                <w:szCs w:val="18"/>
              </w:rPr>
              <w:t xml:space="preserve">mm</w:t>
            </w:r>
            <w:r>
              <w:rPr>
                <w:rFonts w:hint="eastAsia" w:ascii="宋体" w:hAnsi="宋体" w:cs="宋体"/>
                <w:sz w:val="18"/>
                <w:szCs w:val="18"/>
                <w:lang w:bidi="ar"/>
              </w:rPr>
              <w:t xml:space="preserve">*80</w:t>
            </w:r>
            <w:r>
              <w:rPr>
                <w:rFonts w:hint="eastAsia" w:ascii="宋体" w:hAnsi="宋体" w:cs="宋体"/>
                <w:color w:val="000000"/>
                <w:sz w:val="18"/>
                <w:szCs w:val="18"/>
              </w:rPr>
              <w:t xml:space="preserve">mm</w:t>
            </w:r>
            <w:r>
              <w:rPr>
                <w:rFonts w:hint="eastAsia" w:ascii="宋体" w:hAnsi="宋体" w:cs="宋体"/>
                <w:sz w:val="18"/>
                <w:szCs w:val="18"/>
                <w:lang w:bidi="ar"/>
              </w:rPr>
              <w:t xml:space="preserve">*3个。</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93.600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标线5</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材料品种：热熔标线涂料；2. 线型：礼让纵向减速；3. 100</w:t>
            </w:r>
            <w:r>
              <w:rPr>
                <w:rFonts w:hint="eastAsia" w:ascii="宋体" w:hAnsi="宋体" w:cs="宋体"/>
                <w:color w:val="000000"/>
                <w:sz w:val="18"/>
                <w:szCs w:val="18"/>
              </w:rPr>
              <w:t xml:space="preserve">mm</w:t>
            </w:r>
            <w:r>
              <w:rPr>
                <w:rFonts w:hint="eastAsia" w:ascii="宋体" w:hAnsi="宋体" w:cs="宋体"/>
                <w:sz w:val="18"/>
                <w:szCs w:val="18"/>
                <w:lang w:bidi="ar"/>
              </w:rPr>
              <w:t xml:space="preserve">*30</w:t>
            </w:r>
            <w:r>
              <w:rPr>
                <w:rFonts w:hint="eastAsia" w:ascii="宋体" w:hAnsi="宋体" w:cs="宋体"/>
                <w:color w:val="000000"/>
                <w:sz w:val="18"/>
                <w:szCs w:val="18"/>
              </w:rPr>
              <w:t xml:space="preserve">mm</w:t>
            </w:r>
            <w:r>
              <w:rPr>
                <w:rFonts w:hint="eastAsia" w:ascii="宋体" w:hAnsi="宋体" w:cs="宋体"/>
                <w:sz w:val="18"/>
                <w:szCs w:val="18"/>
                <w:lang w:bidi="ar"/>
              </w:rPr>
              <w:t xml:space="preserve">*30组。</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621.000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标线6</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材料品种：热熔标线涂料；2. 线型：停车观察区标线；3. 100</w:t>
            </w:r>
            <w:r>
              <w:rPr>
                <w:rFonts w:hint="eastAsia" w:ascii="宋体" w:hAnsi="宋体" w:cs="宋体"/>
                <w:color w:val="000000"/>
                <w:sz w:val="18"/>
                <w:szCs w:val="18"/>
              </w:rPr>
              <w:t xml:space="preserve">mm</w:t>
            </w:r>
            <w:r>
              <w:rPr>
                <w:rFonts w:hint="eastAsia" w:ascii="宋体" w:hAnsi="宋体" w:cs="宋体"/>
                <w:sz w:val="18"/>
                <w:szCs w:val="18"/>
                <w:lang w:bidi="ar"/>
              </w:rPr>
              <w:t xml:space="preserve">*30</w:t>
            </w:r>
            <w:r>
              <w:rPr>
                <w:rFonts w:hint="eastAsia" w:ascii="宋体" w:hAnsi="宋体" w:cs="宋体"/>
                <w:color w:val="000000"/>
                <w:sz w:val="18"/>
                <w:szCs w:val="18"/>
              </w:rPr>
              <w:t xml:space="preserve">mm</w:t>
            </w:r>
            <w:r>
              <w:rPr>
                <w:rFonts w:hint="eastAsia" w:ascii="宋体" w:hAnsi="宋体" w:cs="宋体"/>
                <w:sz w:val="18"/>
                <w:szCs w:val="18"/>
                <w:lang w:bidi="ar"/>
              </w:rPr>
              <w:t xml:space="preserve">*80组。</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459.000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标线7</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1. 材料品种：热熔标线涂料；2. 线型：白边、红底、白字，边框热熔、主体道路反光油漆；3. 100</w:t>
            </w:r>
            <w:r>
              <w:rPr>
                <w:rFonts w:hint="eastAsia" w:ascii="宋体" w:hAnsi="宋体" w:cs="宋体"/>
                <w:color w:val="000000"/>
                <w:sz w:val="18"/>
                <w:szCs w:val="18"/>
              </w:rPr>
              <w:t xml:space="preserve">mm</w:t>
            </w:r>
            <w:r>
              <w:rPr>
                <w:rFonts w:hint="eastAsia" w:ascii="宋体" w:hAnsi="宋体" w:cs="宋体"/>
                <w:sz w:val="18"/>
                <w:szCs w:val="18"/>
                <w:lang w:bidi="ar"/>
              </w:rPr>
              <w:t xml:space="preserve">*30</w:t>
            </w:r>
            <w:r>
              <w:rPr>
                <w:rFonts w:hint="eastAsia" w:ascii="宋体" w:hAnsi="宋体" w:cs="宋体"/>
                <w:color w:val="000000"/>
                <w:sz w:val="18"/>
                <w:szCs w:val="18"/>
              </w:rPr>
              <w:t xml:space="preserve">mm</w:t>
            </w:r>
            <w:r>
              <w:rPr>
                <w:rFonts w:hint="eastAsia" w:ascii="宋体" w:hAnsi="宋体" w:cs="宋体"/>
                <w:sz w:val="18"/>
                <w:szCs w:val="18"/>
                <w:lang w:bidi="ar"/>
              </w:rPr>
              <w:t xml:space="preserve">*80组。</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lang w:bidi="ar"/>
              </w:rPr>
            </w:pPr>
            <w:r>
              <w:rPr>
                <w:rFonts w:hint="eastAsia" w:ascii="宋体" w:hAnsi="宋体" w:cs="宋体"/>
                <w:sz w:val="18"/>
                <w:szCs w:val="18"/>
                <w:lang w:bidi="ar"/>
              </w:rPr>
              <w:t xml:space="preserve">m</w:t>
            </w:r>
            <w:r>
              <w:rPr>
                <w:rFonts w:hint="eastAsia" w:ascii="宋体" w:hAnsi="宋体" w:cs="宋体"/>
                <w:sz w:val="18"/>
                <w:szCs w:val="18"/>
                <w:vertAlign w:val="superscript"/>
                <w:lang w:bidi="ar"/>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200.000</w:t>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标志通用技术参数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rPr>
                <w:rFonts w:ascii="宋体" w:hAnsi="宋体" w:cs="宋体"/>
                <w:sz w:val="18"/>
                <w:szCs w:val="18"/>
              </w:rPr>
            </w:pPr>
            <w:r>
              <w:rPr>
                <w:rFonts w:hint="eastAsia" w:ascii="宋体" w:hAnsi="宋体" w:cs="宋体"/>
                <w:b/>
                <w:bCs/>
                <w:sz w:val="18"/>
                <w:szCs w:val="18"/>
              </w:rPr>
              <w:t xml:space="preserve">一、标志平面布设</w:t>
            </w:r>
            <w:r/>
          </w:p>
          <w:p>
            <w:pPr>
              <w:jc w:val="left"/>
              <w:rPr>
                <w:rFonts w:ascii="宋体" w:hAnsi="宋体" w:cs="宋体"/>
                <w:sz w:val="18"/>
                <w:szCs w:val="18"/>
              </w:rPr>
            </w:pPr>
            <w:r>
              <w:rPr>
                <w:rFonts w:hint="eastAsia" w:ascii="宋体" w:hAnsi="宋体" w:cs="宋体"/>
                <w:sz w:val="18"/>
                <w:szCs w:val="18"/>
              </w:rPr>
              <w:t xml:space="preserve">根据设置原则，依照现行《道路交通标志标线》(GB 5768）进行布设，全线的标志主要有警告标志、禁令标志、指示标志、指路标志等。</w:t>
            </w:r>
            <w:r/>
          </w:p>
          <w:p>
            <w:pPr>
              <w:jc w:val="left"/>
              <w:rPr>
                <w:rFonts w:ascii="宋体" w:hAnsi="宋体" w:cs="宋体"/>
                <w:sz w:val="18"/>
                <w:szCs w:val="18"/>
              </w:rPr>
            </w:pPr>
            <w:r>
              <w:rPr>
                <w:rFonts w:hint="eastAsia" w:ascii="宋体" w:hAnsi="宋体" w:cs="宋体"/>
                <w:sz w:val="18"/>
                <w:szCs w:val="18"/>
              </w:rPr>
              <w:t xml:space="preserve">1. 在需要警告车辆、行人注意危险地点及应采取措施的地点设置警告标志；2. 根据具体道路交通管理方案和交通组织计划需要对车辆行为加以禁止或限制的地点设置禁令标志，如禁止鸣笛、禁止停车等；3. 在需要指示车辆和行人按规定方向、地点行进的地点设置指示标志，并根据需要选配辅助标志；4. 在交叉口前的适当位置设置指路标志，用来指示目的地、方向和距离；5. 标志设置位置可根据地形参照国家有关规定进行调整。设置于绿化带中的标志其标志牌边缘不得超出绿化带边缘且有不小于25cm的距离，标志基础保护层应埋入路面以下。</w:t>
            </w:r>
            <w:r/>
          </w:p>
          <w:p>
            <w:pPr>
              <w:jc w:val="left"/>
              <w:rPr>
                <w:rFonts w:ascii="宋体" w:hAnsi="宋体" w:cs="宋体"/>
                <w:b/>
                <w:bCs/>
                <w:sz w:val="18"/>
                <w:szCs w:val="18"/>
              </w:rPr>
            </w:pPr>
            <w:r>
              <w:rPr>
                <w:rFonts w:hint="eastAsia" w:ascii="宋体" w:hAnsi="宋体" w:cs="宋体"/>
                <w:b/>
                <w:bCs/>
                <w:sz w:val="18"/>
                <w:szCs w:val="18"/>
              </w:rPr>
              <w:t xml:space="preserve">二、标志版面及反光材料的选择</w:t>
            </w:r>
            <w:r/>
          </w:p>
          <w:p>
            <w:pPr>
              <w:jc w:val="left"/>
              <w:rPr>
                <w:rFonts w:ascii="宋体" w:hAnsi="宋体" w:cs="宋体"/>
                <w:sz w:val="18"/>
                <w:szCs w:val="18"/>
              </w:rPr>
            </w:pPr>
            <w:r>
              <w:rPr>
                <w:rFonts w:hint="eastAsia" w:ascii="宋体" w:hAnsi="宋体" w:cs="宋体"/>
                <w:sz w:val="18"/>
                <w:szCs w:val="18"/>
              </w:rPr>
              <w:t xml:space="preserve">l. 为了满足不同车速道路使用者对标志信息的视认要求，标志版面的尺寸、图案及颜色应满足现行GB 5768的规定，并符合该地段的实际情况。</w:t>
            </w:r>
            <w:r/>
          </w:p>
          <w:p>
            <w:pPr>
              <w:jc w:val="left"/>
              <w:rPr>
                <w:rFonts w:ascii="宋体" w:hAnsi="宋体" w:cs="宋体"/>
                <w:sz w:val="18"/>
                <w:szCs w:val="18"/>
              </w:rPr>
            </w:pPr>
            <w:r>
              <w:rPr>
                <w:rFonts w:hint="eastAsia" w:ascii="宋体" w:hAnsi="宋体" w:cs="宋体"/>
                <w:sz w:val="18"/>
                <w:szCs w:val="18"/>
              </w:rPr>
              <w:t xml:space="preserve">2. 标志板形状、尺寸及外观质量</w:t>
            </w:r>
            <w:r/>
          </w:p>
          <w:p>
            <w:pPr>
              <w:jc w:val="left"/>
              <w:rPr>
                <w:rFonts w:ascii="宋体" w:hAnsi="宋体" w:cs="宋体"/>
                <w:sz w:val="18"/>
                <w:szCs w:val="18"/>
              </w:rPr>
            </w:pPr>
            <w:r>
              <w:rPr>
                <w:rFonts w:hint="eastAsia" w:ascii="宋体" w:hAnsi="宋体" w:cs="宋体"/>
                <w:sz w:val="18"/>
                <w:szCs w:val="18"/>
              </w:rPr>
              <w:t xml:space="preserve">2.1 标志底板的边缘和尖角应适当倒棱，使之呈圆滑状。标志板的尺寸应符合《道路交通标志板及支撑件》（GB/T 23827-2009)的规定和设计要求；2.2 标志板应平整，表面无明显凹痕或变形，板面不平度不应大于7mm/m。标志板面不允许逆反射性能不均匀，不允许存在裂纹、起皱、边缘剥离、明显的气泡、划痕、各种损伤和颜色不均匀。</w:t>
            </w:r>
            <w:r/>
          </w:p>
          <w:p>
            <w:pPr>
              <w:jc w:val="left"/>
              <w:rPr>
                <w:rFonts w:ascii="宋体" w:hAnsi="宋体" w:cs="宋体"/>
                <w:sz w:val="18"/>
                <w:szCs w:val="18"/>
              </w:rPr>
            </w:pPr>
            <w:r>
              <w:rPr>
                <w:rFonts w:hint="eastAsia" w:ascii="宋体" w:hAnsi="宋体" w:cs="宋体"/>
                <w:sz w:val="18"/>
                <w:szCs w:val="18"/>
              </w:rPr>
              <w:t xml:space="preserve">3. 版面反光材料的选择</w:t>
            </w:r>
            <w:r/>
          </w:p>
          <w:p>
            <w:pPr>
              <w:jc w:val="left"/>
              <w:rPr>
                <w:rFonts w:ascii="宋体" w:hAnsi="宋体" w:cs="宋体"/>
                <w:sz w:val="18"/>
                <w:szCs w:val="18"/>
              </w:rPr>
            </w:pPr>
            <w:r>
              <w:rPr>
                <w:rFonts w:hint="eastAsia" w:ascii="宋体" w:hAnsi="宋体" w:cs="宋体"/>
                <w:sz w:val="18"/>
                <w:szCs w:val="18"/>
              </w:rPr>
              <w:t xml:space="preserve">3.1既要考虑各类反光膜的反光特性、使用功能、应用场合和使用年限，又要兼顾到经济性及施工、维修、养护的方便。据此，标志中的图案、文字、箭头及底色等均采用Ⅳ类反光膜；3.2反光膜应有平滑、光洁的外表面，不得有明显的划痕、条纹、气泡、颜色不均匀等缺陷。其防粘纸也应平滑、干净、无气泡、无污点或其它杂物。其逆反射系数、色度性能等要求符合现行《道路交通反光膜》GB/T 18833）的相关规定。</w:t>
            </w:r>
            <w:r/>
          </w:p>
          <w:p>
            <w:pPr>
              <w:jc w:val="left"/>
              <w:rPr>
                <w:rFonts w:ascii="宋体" w:hAnsi="宋体" w:cs="宋体"/>
                <w:b/>
                <w:bCs/>
                <w:sz w:val="18"/>
                <w:szCs w:val="18"/>
              </w:rPr>
            </w:pPr>
            <w:r>
              <w:rPr>
                <w:rFonts w:hint="eastAsia" w:ascii="宋体" w:hAnsi="宋体" w:cs="宋体"/>
                <w:b/>
                <w:bCs/>
                <w:sz w:val="18"/>
                <w:szCs w:val="18"/>
              </w:rPr>
              <w:t xml:space="preserve">逆反系数：</w:t>
            </w:r>
            <w:r/>
          </w:p>
          <w:p>
            <w:pPr>
              <w:jc w:val="left"/>
              <w:rPr>
                <w:rFonts w:ascii="宋体" w:hAnsi="宋体" w:cs="宋体"/>
                <w:sz w:val="18"/>
                <w:szCs w:val="18"/>
              </w:rPr>
            </w:pPr>
            <w:r>
              <w:rPr>
                <w:rFonts w:hint="eastAsia" w:ascii="宋体" w:hAnsi="宋体" w:cs="宋体"/>
                <w:sz w:val="18"/>
                <w:szCs w:val="18"/>
              </w:rPr>
              <w:t xml:space="preserve">1. 白色反光膜：观测角1°，入射角-4°，逆反系数≥35；观测角1°，入射角15°，逆反系数≥28；观测角1°，入射角30°，逆反系数≥20；2. 黄色反光膜：观测角1°，入射角-4°，逆反系数≥26；观测角1°，入射角15°，逆反系数≥20；观测角1°，入射角30°，逆反系数≥15；3. 红色反光膜：观测角1°，入射角-4°，逆反系数≥5.2；观测角1°，入射角15°，逆反系数≥4.1；观测角1°，入射角30°，逆反系数≥3.0；</w:t>
            </w:r>
            <w:r/>
          </w:p>
          <w:p>
            <w:pPr>
              <w:jc w:val="left"/>
              <w:rPr>
                <w:rFonts w:ascii="宋体" w:hAnsi="宋体" w:cs="宋体"/>
                <w:b/>
                <w:bCs/>
                <w:sz w:val="18"/>
                <w:szCs w:val="18"/>
              </w:rPr>
            </w:pPr>
            <w:r>
              <w:rPr>
                <w:rFonts w:hint="eastAsia" w:ascii="宋体" w:hAnsi="宋体" w:cs="宋体"/>
                <w:b/>
                <w:bCs/>
                <w:sz w:val="18"/>
                <w:szCs w:val="18"/>
              </w:rPr>
              <w:t xml:space="preserve">色度性能：</w:t>
            </w:r>
            <w:r/>
          </w:p>
          <w:p>
            <w:pPr>
              <w:jc w:val="left"/>
              <w:rPr>
                <w:rFonts w:ascii="宋体" w:hAnsi="宋体" w:cs="宋体"/>
                <w:sz w:val="18"/>
                <w:szCs w:val="18"/>
              </w:rPr>
            </w:pPr>
            <w:r>
              <w:rPr>
                <w:rFonts w:hint="eastAsia" w:ascii="宋体" w:hAnsi="宋体" w:cs="宋体"/>
                <w:sz w:val="18"/>
                <w:szCs w:val="18"/>
              </w:rPr>
              <w:t xml:space="preserve">1. 白色反光膜：色品坐标（X，Y）在以下四角点色品坐标组成的四边形内（0.350，0.360）；（0.305，0.315）；（0.295，0.325）；（0.340，0.370）；亮度因数≥0.27；2. 黄色反光膜：色品坐标（X，Y）在以下四角点色品坐标组成的四边形内（0.545，0.454）；（0.494，0.426）；（0.444，0.476）；（0.481，0.518）；亮度因数：0.15～0.45；</w:t>
            </w:r>
            <w:r/>
          </w:p>
          <w:p>
            <w:pPr>
              <w:jc w:val="left"/>
              <w:rPr>
                <w:rFonts w:ascii="宋体" w:hAnsi="宋体" w:cs="宋体"/>
                <w:sz w:val="18"/>
                <w:szCs w:val="18"/>
              </w:rPr>
            </w:pPr>
            <w:r>
              <w:rPr>
                <w:rFonts w:hint="eastAsia" w:ascii="宋体" w:hAnsi="宋体" w:cs="宋体"/>
                <w:sz w:val="18"/>
                <w:szCs w:val="18"/>
              </w:rPr>
              <w:t xml:space="preserve">3. 红色反光膜：色品坐标（X，Y）在以下四角点色品坐标组成的四边形内（0.735，0.265）；（0.681，0.239）；（0.579，0.341）；（0.655，0.345）；亮度因数：0.02～0.15；</w:t>
            </w:r>
            <w:r/>
          </w:p>
          <w:p>
            <w:pPr>
              <w:jc w:val="left"/>
              <w:rPr>
                <w:rFonts w:ascii="宋体" w:hAnsi="宋体" w:cs="宋体"/>
                <w:sz w:val="18"/>
                <w:szCs w:val="18"/>
              </w:rPr>
            </w:pPr>
            <w:r>
              <w:rPr>
                <w:rFonts w:hint="eastAsia" w:ascii="宋体" w:hAnsi="宋体" w:cs="宋体"/>
                <w:b/>
                <w:bCs/>
                <w:sz w:val="18"/>
                <w:szCs w:val="18"/>
              </w:rPr>
              <w:t xml:space="preserve">抗冲击性能：</w:t>
            </w:r>
            <w:r>
              <w:rPr>
                <w:rFonts w:hint="eastAsia" w:ascii="宋体" w:hAnsi="宋体" w:cs="宋体"/>
                <w:sz w:val="18"/>
                <w:szCs w:val="18"/>
              </w:rPr>
              <w:t xml:space="preserve">抗冲击试验后，在受到冲击的表面以外，反光膜不应出现裂横、层间脱离或其它损坏；</w:t>
            </w:r>
            <w:r/>
          </w:p>
          <w:p>
            <w:pPr>
              <w:jc w:val="left"/>
              <w:rPr>
                <w:rFonts w:ascii="宋体" w:hAnsi="宋体" w:cs="宋体"/>
                <w:sz w:val="18"/>
                <w:szCs w:val="18"/>
              </w:rPr>
            </w:pPr>
            <w:r>
              <w:rPr>
                <w:rFonts w:hint="eastAsia" w:ascii="宋体" w:hAnsi="宋体" w:cs="宋体"/>
                <w:b/>
                <w:bCs/>
                <w:sz w:val="18"/>
                <w:szCs w:val="18"/>
              </w:rPr>
              <w:t xml:space="preserve">耐弯曲性能：</w:t>
            </w:r>
            <w:r>
              <w:rPr>
                <w:rFonts w:hint="eastAsia" w:ascii="宋体" w:hAnsi="宋体" w:cs="宋体"/>
                <w:sz w:val="18"/>
                <w:szCs w:val="18"/>
              </w:rPr>
              <w:t xml:space="preserve">弯曲试验后，反光膜表面不应出现裂缝、脱落或层间分离等损坏。</w:t>
            </w:r>
            <w:r/>
          </w:p>
          <w:p>
            <w:pPr>
              <w:jc w:val="left"/>
              <w:rPr>
                <w:rFonts w:ascii="宋体" w:hAnsi="宋体" w:cs="宋体"/>
                <w:sz w:val="18"/>
                <w:szCs w:val="18"/>
              </w:rPr>
            </w:pPr>
            <w:r>
              <w:rPr>
                <w:rFonts w:hint="eastAsia" w:ascii="宋体" w:hAnsi="宋体" w:cs="宋体"/>
                <w:b/>
                <w:bCs/>
                <w:sz w:val="18"/>
                <w:szCs w:val="18"/>
              </w:rPr>
              <w:t xml:space="preserve">附着性能：</w:t>
            </w:r>
            <w:r>
              <w:rPr>
                <w:rFonts w:hint="eastAsia" w:ascii="宋体" w:hAnsi="宋体" w:cs="宋体"/>
                <w:sz w:val="18"/>
                <w:szCs w:val="18"/>
              </w:rPr>
              <w:t xml:space="preserve">在试验5min后，反光膜剥离长度不应大于20㎜；</w:t>
            </w:r>
            <w:r/>
          </w:p>
          <w:p>
            <w:pPr>
              <w:jc w:val="left"/>
              <w:rPr>
                <w:rFonts w:ascii="宋体" w:hAnsi="宋体" w:cs="宋体"/>
                <w:sz w:val="18"/>
                <w:szCs w:val="18"/>
              </w:rPr>
            </w:pPr>
            <w:r>
              <w:rPr>
                <w:rFonts w:hint="eastAsia" w:ascii="宋体" w:hAnsi="宋体" w:cs="宋体"/>
                <w:b/>
                <w:bCs/>
                <w:sz w:val="18"/>
                <w:szCs w:val="18"/>
              </w:rPr>
              <w:t xml:space="preserve">收缩性能：</w:t>
            </w:r>
            <w:r>
              <w:rPr>
                <w:rFonts w:hint="eastAsia" w:ascii="宋体" w:hAnsi="宋体" w:cs="宋体"/>
                <w:sz w:val="18"/>
                <w:szCs w:val="18"/>
              </w:rPr>
              <w:t xml:space="preserve">任何一边的尺寸在10min内，其收缩不应超过0.8mm；在24h内，其收缩不应超过3.2mm；</w:t>
            </w:r>
            <w:r/>
          </w:p>
          <w:p>
            <w:pPr>
              <w:jc w:val="left"/>
              <w:rPr>
                <w:rFonts w:ascii="宋体" w:hAnsi="宋体" w:cs="宋体"/>
                <w:sz w:val="18"/>
                <w:szCs w:val="18"/>
              </w:rPr>
            </w:pPr>
            <w:r>
              <w:rPr>
                <w:rFonts w:hint="eastAsia" w:ascii="宋体" w:hAnsi="宋体" w:cs="宋体"/>
                <w:b/>
                <w:bCs/>
                <w:sz w:val="18"/>
                <w:szCs w:val="18"/>
              </w:rPr>
              <w:t xml:space="preserve">耐高低温性能：</w:t>
            </w:r>
            <w:r>
              <w:rPr>
                <w:rFonts w:hint="eastAsia" w:ascii="宋体" w:hAnsi="宋体" w:cs="宋体"/>
                <w:sz w:val="18"/>
                <w:szCs w:val="18"/>
              </w:rPr>
              <w:t xml:space="preserve">经72h低温试验和24h高温试验后，反光膜不应有裂缝、软化、剥落、皱纹、起泡、翘曲或外观不均匀等损坏。</w:t>
            </w:r>
            <w:r/>
          </w:p>
          <w:p>
            <w:pPr>
              <w:jc w:val="left"/>
              <w:rPr>
                <w:rFonts w:ascii="宋体" w:hAnsi="宋体" w:cs="宋体"/>
                <w:b/>
                <w:bCs/>
                <w:sz w:val="18"/>
                <w:szCs w:val="18"/>
              </w:rPr>
            </w:pPr>
            <w:r>
              <w:rPr>
                <w:rFonts w:hint="eastAsia" w:ascii="宋体" w:hAnsi="宋体" w:cs="宋体"/>
                <w:b/>
                <w:bCs/>
                <w:sz w:val="18"/>
                <w:szCs w:val="18"/>
              </w:rPr>
              <w:t xml:space="preserve">三、标志结构</w:t>
            </w:r>
            <w:r/>
          </w:p>
          <w:p>
            <w:pPr>
              <w:jc w:val="left"/>
              <w:rPr>
                <w:rFonts w:ascii="宋体" w:hAnsi="宋体" w:cs="宋体"/>
                <w:sz w:val="18"/>
                <w:szCs w:val="18"/>
              </w:rPr>
            </w:pPr>
            <w:r>
              <w:rPr>
                <w:rFonts w:hint="eastAsia" w:ascii="宋体" w:hAnsi="宋体" w:cs="宋体"/>
                <w:sz w:val="18"/>
                <w:szCs w:val="18"/>
              </w:rPr>
              <w:t xml:space="preserve">1. 根据标志板面尺寸大小及设置位置的需要，标志支架结构为单柱式，其性能应符合现行《道路交通标志板及支撑件》（GB/T 23827）及设计的要求；2. 支撑件应表面光洁，颜色均匀一致，不应有破损、变形、锈蚀、漏镀及各种焊缝缺陷；</w:t>
            </w:r>
            <w:r/>
          </w:p>
          <w:p>
            <w:pPr>
              <w:jc w:val="left"/>
              <w:rPr>
                <w:rFonts w:ascii="宋体" w:hAnsi="宋体" w:cs="宋体"/>
                <w:sz w:val="18"/>
                <w:szCs w:val="18"/>
              </w:rPr>
            </w:pPr>
            <w:r>
              <w:rPr>
                <w:rFonts w:hint="eastAsia" w:ascii="宋体" w:hAnsi="宋体" w:cs="宋体"/>
                <w:sz w:val="18"/>
                <w:szCs w:val="18"/>
              </w:rPr>
              <w:t xml:space="preserve">3. 标志构件均采用国标钢管。所有钢材均采用热浸镀锌防腐处理并进行喷塑，防腐性能符合《公路交通工程钢构件防腐蚀技术条件》（GB/T 18226-2015）规范要求。喷塑的颜色可根据实际情况采用；4. 标志基础采用C25混凝土基础，采用明挖法施工，基础应整平、夯实，同时应注意控制好标高，使基础顶面标高略低于路面或绿化填土标高，且顶面平整，最终施工结束后采用路面面层结面或绿化填土。</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标线通用技术参数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为了使标线在黑夜具备良好的清晰度，需要使用寿命长、反光效果好的材料。使用的标线涂料，应具备与路面粘结力强、干燥迅速，以及良好的耐磨性、持久性、不粘污性、抗滑性等特性，做出的标线应具有良好的视认性，宽度一致，边缘整齐，线形规则，线条流畅。</w:t>
            </w:r>
            <w:r/>
          </w:p>
          <w:p>
            <w:pPr>
              <w:jc w:val="left"/>
              <w:rPr>
                <w:rFonts w:ascii="宋体" w:hAnsi="宋体" w:cs="宋体"/>
                <w:sz w:val="18"/>
                <w:szCs w:val="18"/>
              </w:rPr>
            </w:pPr>
            <w:r>
              <w:rPr>
                <w:rFonts w:hint="eastAsia" w:ascii="宋体" w:hAnsi="宋体" w:cs="宋体"/>
                <w:sz w:val="18"/>
                <w:szCs w:val="18"/>
              </w:rPr>
              <w:t xml:space="preserve">标线采用热熔反光型涂料，其性能符合现行《路面标线涂料》(JT/T 280）及《道路交通标线质量要求及检测方法》（GB/T 16311）规范要求。</w:t>
            </w:r>
            <w:r/>
          </w:p>
          <w:p>
            <w:pPr>
              <w:jc w:val="left"/>
              <w:rPr>
                <w:rFonts w:ascii="宋体" w:hAnsi="宋体" w:cs="宋体"/>
                <w:sz w:val="18"/>
                <w:szCs w:val="18"/>
              </w:rPr>
            </w:pPr>
            <w:r>
              <w:rPr>
                <w:rFonts w:hint="eastAsia" w:ascii="宋体" w:hAnsi="宋体" w:cs="宋体"/>
                <w:sz w:val="18"/>
                <w:szCs w:val="18"/>
              </w:rPr>
              <w:t xml:space="preserve">1. 密度(g/cm</w:t>
            </w:r>
            <w:r>
              <w:rPr>
                <w:rFonts w:hint="eastAsia" w:ascii="宋体" w:hAnsi="宋体" w:cs="宋体"/>
                <w:sz w:val="18"/>
                <w:szCs w:val="18"/>
                <w:vertAlign w:val="superscript"/>
              </w:rPr>
              <w:t xml:space="preserve">3</w:t>
            </w:r>
            <w:r>
              <w:rPr>
                <w:rFonts w:hint="eastAsia" w:ascii="宋体" w:hAnsi="宋体" w:cs="宋体"/>
                <w:sz w:val="18"/>
                <w:szCs w:val="18"/>
              </w:rPr>
              <w:t xml:space="preserve">）： 1.8-2.3；2. 软化点（℃）： 90-125；3. 涂膜颜色与外观：干燥后应无皱纹、斑点、起泡、裂纹、脱落、粘胎现象，颜色为白、黄色，不褪色，颜</w:t>
            </w:r>
            <w:r>
              <w:rPr>
                <w:rFonts w:hint="eastAsia" w:ascii="宋体" w:hAnsi="宋体" w:cs="宋体"/>
                <w:sz w:val="18"/>
                <w:szCs w:val="18"/>
              </w:rPr>
              <w:t xml:space="preserve">色鲜明、醒目；4. 不粘胎干燥时间（min） ：≤3；5. 色度性能：a. 白色：色品坐标（X，Y）在以下四点色品坐标组成色四边形内(0.350，0.360)(0.300，0.310)(0.290，0.320）(0.340，0.370）亮度因数：≥0.75；b. 黄色：色品坐标（X，Y）在以下四点色品坐标组成色四边形内(0.519，0.480）(0.468，0.442）(0.427，0.483）(0.465，0.534)亮度因数：≥0.45；6. 抗压强度（MPa） ：≥12；7. 耐磨性（mg）：≤80；</w:t>
            </w:r>
            <w:r/>
          </w:p>
          <w:p>
            <w:pPr>
              <w:jc w:val="left"/>
              <w:rPr>
                <w:rFonts w:ascii="宋体" w:hAnsi="宋体" w:cs="宋体"/>
                <w:sz w:val="18"/>
                <w:szCs w:val="18"/>
              </w:rPr>
            </w:pPr>
            <w:r>
              <w:rPr>
                <w:rFonts w:hint="eastAsia" w:ascii="宋体" w:hAnsi="宋体" w:cs="宋体"/>
                <w:sz w:val="18"/>
                <w:szCs w:val="18"/>
              </w:rPr>
              <w:t xml:space="preserve">8. 耐水性：在水中浸24h应无异常现象；9. 耐碱性：在氢氧化钙和溶液中浸24h应无异常现象；10. 玻璃珠含量(%）：18-25。面撒玻璃珠应均匀，其性能和粒径分布符合《路面标线用玻璃珠》(GB/T 24722-2009）的要求；11. 流动度（s）： 35土10；12. 涂层低温抗裂性： -10℃保持4h，室温放置4h为一个循环，连续做三个循环、后应无裂纹；</w:t>
            </w:r>
            <w:r/>
          </w:p>
          <w:p>
            <w:pPr>
              <w:jc w:val="left"/>
              <w:rPr>
                <w:rFonts w:ascii="宋体" w:hAnsi="宋体" w:cs="宋体"/>
                <w:sz w:val="18"/>
                <w:szCs w:val="18"/>
                <w:lang w:bidi="ar"/>
              </w:rPr>
            </w:pPr>
            <w:r>
              <w:rPr>
                <w:rFonts w:hint="eastAsia" w:ascii="宋体" w:hAnsi="宋体" w:cs="宋体"/>
                <w:sz w:val="18"/>
                <w:szCs w:val="18"/>
              </w:rPr>
              <w:t xml:space="preserve">13. 加热稳定性： 200℃-220℃在搅拌状态下保持4h，应无明显泛黄、焦化、结块等现象；14. 路面标线涂料生产厂商通过交通产品认证（认证产品名称需为路面涂料）。</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r>
            <w:r/>
          </w:p>
        </w:tc>
      </w:tr>
      <w:tr>
        <w:trPr>
          <w:trHeight w:val="42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lang w:bidi="ar"/>
              </w:rPr>
            </w:pPr>
            <w:r>
              <w:rPr>
                <w:rFonts w:hint="eastAsia" w:ascii="宋体" w:hAnsi="宋体" w:cs="宋体"/>
                <w:sz w:val="18"/>
                <w:szCs w:val="18"/>
              </w:rPr>
              <w:t xml:space="preserve">杆件基础通用要求</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1. 根据城管部门要求，杆件基础上端（原则上是螺杆顶部）应距原地面不少于40厘米；</w:t>
            </w:r>
            <w:r/>
          </w:p>
          <w:p>
            <w:pPr>
              <w:jc w:val="left"/>
              <w:rPr>
                <w:rFonts w:ascii="宋体" w:hAnsi="宋体" w:cs="宋体"/>
                <w:sz w:val="18"/>
                <w:szCs w:val="18"/>
              </w:rPr>
            </w:pPr>
            <w:r>
              <w:rPr>
                <w:rFonts w:hint="eastAsia" w:ascii="宋体" w:hAnsi="宋体" w:cs="宋体"/>
                <w:sz w:val="18"/>
                <w:szCs w:val="18"/>
              </w:rPr>
              <w:t xml:space="preserve">2. 有接线的基础导管，外端部分应在基础的上平面以下不少于10厘米、原则上使用</w:t>
            </w:r>
            <w:r>
              <w:rPr>
                <w:rFonts w:hint="eastAsia" w:ascii="方正仿宋_GBK" w:hAnsi="方正仿宋_GBK" w:eastAsia="方正仿宋_GBK" w:cs="方正仿宋_GBK"/>
                <w:sz w:val="18"/>
                <w:szCs w:val="18"/>
              </w:rPr>
              <w:t xml:space="preserve">φ</w:t>
            </w:r>
            <w:r>
              <w:rPr>
                <w:rFonts w:hint="eastAsia" w:ascii="宋体" w:hAnsi="宋体" w:cs="宋体"/>
                <w:sz w:val="18"/>
                <w:szCs w:val="18"/>
              </w:rPr>
              <w:t xml:space="preserve">50PE管。</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widowControl/>
              <w:rPr>
                <w:rFonts w:ascii="宋体" w:hAnsi="宋体" w:cs="宋体"/>
                <w:sz w:val="18"/>
                <w:szCs w:val="18"/>
                <w:lang w:bidi="ar"/>
              </w:rPr>
            </w:pPr>
            <w:r>
              <w:rPr>
                <w:rFonts w:ascii="宋体" w:hAnsi="宋体" w:cs="宋体"/>
                <w:sz w:val="18"/>
                <w:szCs w:val="18"/>
                <w:lang w:bidi="ar"/>
              </w:rPr>
            </w:r>
            <w:r/>
          </w:p>
        </w:tc>
      </w:tr>
      <w:tr>
        <w:trPr>
          <w:trHeight w:val="428"/>
        </w:trPr>
        <w:tc>
          <w:tcPr>
            <w:gridSpan w:val="6"/>
            <w:shd w:val="clear" w:color="auto" w:fill="ffffff"/>
            <w:tcBorders>
              <w:top w:val="single" w:color="000000" w:sz="4" w:space="0"/>
              <w:left w:val="single" w:color="000000" w:sz="4" w:space="0"/>
              <w:bottom w:val="single" w:color="000000" w:sz="4" w:space="0"/>
              <w:right w:val="single" w:color="000000" w:sz="4" w:space="0"/>
            </w:tcBorders>
            <w:tcW w:w="14181"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七、暂列金（60000元）</w:t>
            </w:r>
            <w:r/>
          </w:p>
        </w:tc>
      </w:tr>
      <w:tr>
        <w:trPr>
          <w:trHeight w:val="428"/>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单位</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bidi="ar"/>
              </w:rPr>
              <w:t xml:space="preserve">暂列金</w:t>
            </w:r>
            <w:r/>
          </w:p>
        </w:tc>
        <w:tc>
          <w:tcPr>
            <w:shd w:val="clear" w:color="auto" w:fill="ffffff"/>
            <w:tcBorders>
              <w:top w:val="single" w:color="000000" w:sz="4" w:space="0"/>
              <w:left w:val="single" w:color="000000" w:sz="4" w:space="0"/>
              <w:bottom w:val="single" w:color="000000" w:sz="4" w:space="0"/>
              <w:right w:val="single" w:color="000000" w:sz="4" w:space="0"/>
            </w:tcBorders>
            <w:tcW w:w="990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本项目根据甲方要求进行二次深化设计。</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项</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lang w:bidi="ar"/>
              </w:rPr>
              <w:t xml:space="preserve">1</w:t>
            </w:r>
            <w:bookmarkEnd w:id="53"/>
            <w:r/>
            <w:r/>
          </w:p>
        </w:tc>
      </w:tr>
    </w:tbl>
    <w:p>
      <w:pPr>
        <w:spacing w:line="360" w:lineRule="auto"/>
        <w:tabs>
          <w:tab w:val="left" w:pos="420" w:leader="none"/>
        </w:tabs>
        <w:rPr>
          <w:rFonts w:ascii="宋体" w:hAnsi="宋体" w:cs="宋体"/>
          <w:b/>
          <w:bCs/>
          <w:color w:val="000000"/>
          <w:sz w:val="24"/>
          <w:szCs w:val="24"/>
        </w:rPr>
        <w:outlineLvl w:val="1"/>
      </w:pPr>
      <w:r>
        <w:rPr>
          <w:rFonts w:ascii="宋体" w:hAnsi="宋体" w:cs="宋体"/>
          <w:b/>
          <w:bCs/>
          <w:color w:val="000000"/>
          <w:sz w:val="24"/>
          <w:szCs w:val="24"/>
        </w:rPr>
      </w:r>
      <w:r/>
    </w:p>
    <w:p>
      <w:pPr>
        <w:pStyle w:val="1091"/>
        <w:ind w:firstLine="562"/>
        <w:keepLines w:val="0"/>
        <w:spacing w:line="240" w:lineRule="auto"/>
        <w:rPr>
          <w:rFonts w:ascii="宋体" w:hAnsi="宋体" w:cs="宋体"/>
          <w:color w:val="ff0000"/>
          <w:sz w:val="28"/>
          <w:szCs w:val="28"/>
          <w:lang w:bidi="ar"/>
        </w:rPr>
      </w:pPr>
      <w:r>
        <w:rPr>
          <w:rFonts w:hint="eastAsia" w:ascii="宋体" w:hAnsi="宋体" w:cs="宋体"/>
          <w:color w:val="ff0000"/>
          <w:sz w:val="28"/>
          <w:szCs w:val="28"/>
          <w:lang w:bidi="ar"/>
        </w:rPr>
        <w:t xml:space="preserve">注：技术参数打★项中涉及到要求提供检验（测）报告证明材料的，其检验（测）报告的委托单位必须与制造厂商名称一致，否则不予认可。</w:t>
      </w:r>
      <w:r/>
    </w:p>
    <w:p>
      <w:pPr>
        <w:pStyle w:val="1091"/>
        <w:ind w:firstLine="562"/>
        <w:keepLines w:val="0"/>
        <w:spacing w:line="240" w:lineRule="auto"/>
        <w:rPr>
          <w:rFonts w:ascii="宋体" w:hAnsi="宋体" w:cs="宋体"/>
          <w:color w:val="ff0000"/>
          <w:sz w:val="28"/>
          <w:szCs w:val="28"/>
          <w:lang w:bidi="ar"/>
        </w:rPr>
      </w:pPr>
      <w:r>
        <w:rPr>
          <w:rFonts w:ascii="宋体" w:hAnsi="宋体" w:cs="宋体"/>
          <w:color w:val="ff0000"/>
          <w:sz w:val="28"/>
          <w:szCs w:val="28"/>
          <w:lang w:bidi="ar"/>
        </w:rPr>
      </w:r>
      <w:r/>
    </w:p>
    <w:p>
      <w:pPr>
        <w:pStyle w:val="1110"/>
        <w:spacing w:line="360" w:lineRule="auto"/>
      </w:pPr>
      <w:r>
        <w:rPr>
          <w:rFonts w:hint="eastAsia"/>
        </w:rPr>
        <w:t xml:space="preserve">注：中小企业政府采购扶持政策说明</w:t>
      </w:r>
      <w:r/>
    </w:p>
    <w:p>
      <w:pPr>
        <w:pStyle w:val="1110"/>
        <w:spacing w:line="360" w:lineRule="auto"/>
      </w:pPr>
      <w:r>
        <w:rPr>
          <w:rFonts w:hint="eastAsia"/>
        </w:rPr>
        <w:t xml:space="preserve">1.采购标的的所属行业，根据《工业和信息化部、国家统计局、国家发展和改革委员会、财政部关于印发中小企业划型标准规定的通知》（工信部联企业[2011]300号）规定的划分标准填写。</w:t>
      </w:r>
      <w:r/>
    </w:p>
    <w:p>
      <w:pPr>
        <w:pStyle w:val="1110"/>
        <w:spacing w:line="360" w:lineRule="auto"/>
        <w:rPr>
          <w:highlight w:val="none"/>
        </w:rPr>
      </w:pPr>
      <w:r>
        <w:rPr>
          <w:rFonts w:hint="eastAsia"/>
        </w:rPr>
        <w:t xml:space="preserve">2.依据《国民经济行业分类》本采购标的所属行业适用于：</w:t>
      </w:r>
      <w:r>
        <w:rPr>
          <w:highlight w:val="none"/>
          <w:u w:val="single"/>
        </w:rPr>
        <w:t xml:space="preserve">工业</w:t>
      </w:r>
      <w:r>
        <w:rPr>
          <w:rFonts w:hint="eastAsia"/>
          <w:highlight w:val="none"/>
          <w:u w:val="single"/>
        </w:rPr>
        <w:t xml:space="preserve">行业</w:t>
      </w:r>
      <w:r>
        <w:rPr>
          <w:rFonts w:hint="eastAsia"/>
          <w:highlight w:val="none"/>
        </w:rPr>
        <w:t xml:space="preserve">。</w:t>
      </w:r>
      <w:r/>
    </w:p>
    <w:p>
      <w:pPr>
        <w:rPr>
          <w:highlight w:val="none"/>
        </w:rPr>
        <w:sectPr>
          <w:footerReference w:type="default" r:id="rId12"/>
          <w:footerReference w:type="first" r:id="rId13"/>
          <w:footnotePr/>
          <w:endnotePr/>
          <w:type w:val="nextPage"/>
          <w:pgSz w:w="16838" w:h="11906" w:orient="landscape"/>
          <w:pgMar w:top="1366" w:right="1418" w:bottom="1587" w:left="1418" w:header="851" w:footer="907" w:gutter="0"/>
          <w:cols w:num="1" w:sep="0" w:space="720" w:equalWidth="1"/>
          <w:docGrid w:linePitch="360"/>
          <w:titlePg/>
        </w:sectPr>
      </w:pPr>
      <w:r>
        <w:rPr>
          <w:highlight w:val="none"/>
        </w:rPr>
      </w:r>
      <w:r/>
    </w:p>
    <w:p>
      <w:pPr>
        <w:pStyle w:val="1091"/>
        <w:jc w:val="center"/>
        <w:spacing w:line="420" w:lineRule="auto"/>
        <w:rPr>
          <w:rFonts w:ascii="黑体" w:eastAsia="黑体"/>
        </w:rPr>
      </w:pPr>
      <w:r>
        <w:rPr>
          <w:rFonts w:hint="eastAsia" w:ascii="黑体" w:eastAsia="黑体"/>
        </w:rPr>
        <w:t xml:space="preserve">第五章 部分设备点位、数量表</w:t>
      </w:r>
      <w:r/>
    </w:p>
    <w:p>
      <w:pPr>
        <w:pStyle w:val="1091"/>
        <w:jc w:val="left"/>
        <w:spacing w:before="0" w:after="0" w:line="240" w:lineRule="auto"/>
        <w:rPr>
          <w:rFonts w:ascii="宋体" w:hAnsi="宋体" w:cs="宋体"/>
          <w:sz w:val="32"/>
          <w:szCs w:val="32"/>
        </w:rPr>
      </w:pPr>
      <w:r>
        <w:rPr>
          <w:rFonts w:hint="eastAsia" w:ascii="宋体" w:hAnsi="宋体" w:cs="宋体"/>
          <w:sz w:val="32"/>
          <w:szCs w:val="32"/>
        </w:rPr>
        <w:t xml:space="preserve">一、科技设施点位表</w:t>
      </w:r>
      <w:r/>
    </w:p>
    <w:tbl>
      <w:tblPr>
        <w:tblStyle w:val="923"/>
        <w:tblW w:w="16109" w:type="dxa"/>
        <w:tblInd w:w="91" w:type="dxa"/>
        <w:tblLayout w:type="fixed"/>
        <w:tblCellMar>
          <w:left w:w="108" w:type="dxa"/>
          <w:top w:w="0" w:type="dxa"/>
          <w:right w:w="108" w:type="dxa"/>
          <w:bottom w:w="0" w:type="dxa"/>
        </w:tblCellMar>
        <w:tblLook w:val="04A0" w:firstRow="1" w:lastRow="0" w:firstColumn="1" w:lastColumn="0" w:noHBand="0" w:noVBand="1"/>
      </w:tblPr>
      <w:tblGrid>
        <w:gridCol w:w="624"/>
        <w:gridCol w:w="1358"/>
        <w:gridCol w:w="882"/>
        <w:gridCol w:w="882"/>
        <w:gridCol w:w="882"/>
        <w:gridCol w:w="882"/>
        <w:gridCol w:w="882"/>
        <w:gridCol w:w="882"/>
        <w:gridCol w:w="883"/>
        <w:gridCol w:w="883"/>
        <w:gridCol w:w="883"/>
        <w:gridCol w:w="883"/>
        <w:gridCol w:w="883"/>
        <w:gridCol w:w="884"/>
        <w:gridCol w:w="884"/>
        <w:gridCol w:w="884"/>
        <w:gridCol w:w="884"/>
        <w:gridCol w:w="884"/>
      </w:tblGrid>
      <w:tr>
        <w:trP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点位1</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点位2</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点位3</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点位4</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点位5</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点位6</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点位7</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点位8</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点位9</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点位10</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点位11</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点位12</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点位13</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点位14</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点位15</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点位16</w:t>
            </w:r>
            <w:r/>
          </w:p>
        </w:tc>
      </w:tr>
      <w:tr>
        <w:trPr>
          <w:trHeight w:val="953"/>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行人过街“声光电”预警提示系统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S226K16+000M八滩镇八宋线路口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S348K10+300M滨海港镇龙潭港村五组</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S327K19+300M滨淮镇</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S348K34+550M蔡桥镇十大线</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S327K5+100M滨海港经济区友谊新村路口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X351K5+600M滨淮镇新垦村路口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新S328K54+180M天场镇海天路口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S328K44+700M通榆镇腰阜线路口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S348K27+000M五汛镇汛青路口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S348K41+500M正红镇复大线路口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S328K22+150M陈涛镇洋东村路口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S327K29+050M八巨镇如清路口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X351K29+210M界牌镇三坝村路口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G228K3036+900M滨海港经济区小街9号沟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S327K40+300M界牌镇周庄小学路口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19"/>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农村违法劝导提醒系统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G204与朱集路</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G204与火箭路</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S327与X301</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S327与巨余路</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G228与合心村中心路</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G228与X101</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S226与X101</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S348与蔡桥团结路</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243"/>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货车右转未停车让行抓拍设施</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S327与幸福路口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S327与丰收大道路口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S327与G204路口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S327与G228路口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S327与阜东路口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G228与海港大道路口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G228与S226路口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G204与凤鸣路口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G204与华泰路口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G204与通榆路口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S327与套沙路口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S327与新安大道路口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S327与金八滩大道路口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S327与X204路口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S327与S226路口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G204与火箭路口</w:t>
            </w:r>
            <w:r/>
          </w:p>
        </w:tc>
      </w:tr>
      <w:tr>
        <w:trPr>
          <w:trHeight w:val="189"/>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机动车超速监测记录系统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海港大道K9+100M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S327K56+100M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S327K62+000M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S266K16+300M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S226K27+900M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新S328K27+670M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新S328K32+500M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新S328K43+300M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不系安全带/接打电话违法抓拍类系统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S327与G15交界处</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S328与人民南路交界处</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S327与响坎路交界处</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人民南路与华泰路</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G204与迎宾大道</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X351与新安大道</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G204与淮海路</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S327与S226</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53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非机动车逆行/在机动车道行驶违法抓拍类系统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八滩镇八滩路金八滩大桥东100M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通榆镇工业路幼儿园东约270m</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正红镇育才路镇政府东侧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滨海港镇振东路与工商西路口北</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滨淮镇小岭中路与教育路口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S348蔡桥镇团结路口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滨海港经济区兴淮路与政府路口东</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五汛镇五汛中路与光明路口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机动车闯红灯抓拍系统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S327港城路口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S327景湖北路口</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bl>
    <w:p>
      <w:pPr>
        <w:pStyle w:val="1098"/>
        <w:ind w:left="0" w:right="1470"/>
        <w:rPr>
          <w:rFonts w:hint="default"/>
        </w:rPr>
        <w:sectPr>
          <w:footerReference w:type="default" r:id="rId14"/>
          <w:footerReference w:type="first" r:id="rId15"/>
          <w:footnotePr/>
          <w:endnotePr/>
          <w:type w:val="nextPage"/>
          <w:pgSz w:w="16838" w:h="11906" w:orient="landscape"/>
          <w:pgMar w:top="1366" w:right="227" w:bottom="1587" w:left="227" w:header="851" w:footer="907" w:gutter="0"/>
          <w:cols w:num="1" w:sep="0" w:space="720" w:equalWidth="1"/>
          <w:docGrid w:linePitch="360"/>
          <w:titlePg/>
        </w:sectPr>
      </w:pPr>
      <w:r>
        <w:rPr>
          <w:rFonts w:hint="default"/>
        </w:rPr>
      </w:r>
      <w:r/>
    </w:p>
    <w:p>
      <w:pPr>
        <w:pStyle w:val="1098"/>
        <w:ind w:left="0" w:right="1470"/>
        <w:rPr>
          <w:rFonts w:hint="default"/>
          <w:b/>
          <w:bCs/>
          <w:sz w:val="32"/>
          <w:szCs w:val="32"/>
        </w:rPr>
      </w:pPr>
      <w:r>
        <w:rPr>
          <w:rFonts w:ascii="宋体" w:hAnsi="宋体" w:cs="宋体"/>
          <w:b/>
          <w:bCs/>
          <w:sz w:val="32"/>
          <w:szCs w:val="32"/>
          <w:lang w:bidi="ar"/>
        </w:rPr>
        <w:t xml:space="preserve">二、电子监控点位配套标志标线数量表</w:t>
      </w:r>
      <w:r/>
    </w:p>
    <w:tbl>
      <w:tblPr>
        <w:tblStyle w:val="923"/>
        <w:tblW w:w="14421" w:type="dxa"/>
        <w:jc w:val="center"/>
        <w:tblLayout w:type="autofit"/>
        <w:tblCellMar>
          <w:left w:w="108" w:type="dxa"/>
          <w:top w:w="0" w:type="dxa"/>
          <w:right w:w="108" w:type="dxa"/>
          <w:bottom w:w="0" w:type="dxa"/>
        </w:tblCellMar>
        <w:tblLook w:val="04A0" w:firstRow="1" w:lastRow="0" w:firstColumn="1" w:lastColumn="0" w:noHBand="0" w:noVBand="1"/>
      </w:tblPr>
      <w:tblGrid>
        <w:gridCol w:w="816"/>
        <w:gridCol w:w="618"/>
        <w:gridCol w:w="2061"/>
        <w:gridCol w:w="6830"/>
        <w:gridCol w:w="618"/>
        <w:gridCol w:w="1020"/>
        <w:gridCol w:w="819"/>
        <w:gridCol w:w="619"/>
        <w:gridCol w:w="1020"/>
      </w:tblGrid>
      <w:tr>
        <w:trPr>
          <w:jc w:val="center"/>
          <w:trHeight w:val="240"/>
        </w:trPr>
        <w:tc>
          <w:tcPr>
            <w:tcBorders>
              <w:top w:val="single" w:color="000000" w:sz="4" w:space="0"/>
              <w:left w:val="single" w:color="000000" w:sz="4" w:space="0"/>
              <w:bottom w:val="non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序号</w:t>
            </w:r>
            <w:r/>
          </w:p>
        </w:tc>
        <w:tc>
          <w:tcPr>
            <w:tcBorders>
              <w:top w:val="single" w:color="000000" w:sz="4" w:space="0"/>
              <w:left w:val="single" w:color="000000" w:sz="4" w:space="0"/>
              <w:bottom w:val="non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类型</w:t>
            </w:r>
            <w:r/>
          </w:p>
        </w:tc>
        <w:tc>
          <w:tcPr>
            <w:tcBorders>
              <w:top w:val="single" w:color="000000" w:sz="4" w:space="0"/>
              <w:left w:val="single" w:color="000000" w:sz="4" w:space="0"/>
              <w:bottom w:val="non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内容</w:t>
            </w:r>
            <w:r/>
          </w:p>
        </w:tc>
        <w:tc>
          <w:tcPr>
            <w:tcBorders>
              <w:top w:val="single" w:color="000000" w:sz="4" w:space="0"/>
              <w:left w:val="single" w:color="000000" w:sz="4" w:space="0"/>
              <w:bottom w:val="non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规格（cm）</w:t>
            </w:r>
            <w:r/>
          </w:p>
        </w:tc>
        <w:tc>
          <w:tcPr>
            <w:tcBorders>
              <w:top w:val="single" w:color="000000" w:sz="4" w:space="0"/>
              <w:left w:val="single" w:color="000000" w:sz="4" w:space="0"/>
              <w:bottom w:val="non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数量</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单位面积</w:t>
            </w:r>
            <w:r/>
          </w:p>
        </w:tc>
        <w:tc>
          <w:tcPr>
            <w:tcBorders>
              <w:top w:val="single" w:color="000000" w:sz="4" w:space="0"/>
              <w:left w:val="single" w:color="000000" w:sz="4" w:space="0"/>
              <w:bottom w:val="non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数量</w:t>
            </w:r>
            <w:r/>
          </w:p>
        </w:tc>
        <w:tc>
          <w:tcPr>
            <w:tcBorders>
              <w:top w:val="single" w:color="000000" w:sz="4" w:space="0"/>
              <w:left w:val="single" w:color="000000" w:sz="4" w:space="0"/>
              <w:bottom w:val="non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单位</w:t>
            </w:r>
            <w:r/>
          </w:p>
        </w:tc>
        <w:tc>
          <w:tcPr>
            <w:tcBorders>
              <w:top w:val="single" w:color="000000" w:sz="4" w:space="0"/>
              <w:left w:val="single" w:color="000000" w:sz="4" w:space="0"/>
              <w:bottom w:val="non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合计数量</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jc w:val="center"/>
              <w:widowControl/>
              <w:rPr>
                <w:rFonts w:ascii="宋体" w:hAnsi="宋体" w:cs="宋体"/>
                <w:sz w:val="20"/>
              </w:rPr>
            </w:pPr>
            <w:r>
              <w:rPr>
                <w:rFonts w:hint="eastAsia" w:ascii="宋体" w:hAnsi="宋体" w:cs="宋体"/>
                <w:sz w:val="20"/>
                <w:lang w:bidi="ar"/>
              </w:rPr>
              <w:t xml:space="preserve">标志</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交通违法监控</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60*80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646</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0.48</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310.08</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vertAlign w:val="superscript"/>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1089.225</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前方监控 交通违法</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60*80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532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0.48</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255.36</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车道行驶方向</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80*80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585</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0.64</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374.4</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人行道</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60*60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29</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0.36</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10.44</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注意行人</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△90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29</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0.405</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11.745</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停车让行辅助标志</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60*80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0.48</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0.48</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分车型限速标志</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200*130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2.6</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36.4</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分车型测速预告标志</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440*130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5.72</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80.08</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原限速标志</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φ80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0.64</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8.96</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禁止停车</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φ80</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0.64</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1.28</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jc w:val="center"/>
              <w:widowControl/>
              <w:rPr>
                <w:rFonts w:ascii="宋体" w:hAnsi="宋体" w:cs="宋体"/>
                <w:sz w:val="20"/>
              </w:rPr>
            </w:pPr>
            <w:r>
              <w:rPr>
                <w:rFonts w:hint="eastAsia" w:ascii="宋体" w:hAnsi="宋体" w:cs="宋体"/>
                <w:sz w:val="20"/>
                <w:lang w:bidi="ar"/>
              </w:rPr>
              <w:t xml:space="preserve">杆件</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双悬臂式标志杆件</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val="false"/>
          </w:tcPr>
          <w:p>
            <w:pPr>
              <w:widowControl/>
              <w:tabs>
                <w:tab w:val="left" w:pos="6300" w:leader="none"/>
              </w:tabs>
              <w:rPr>
                <w:rFonts w:ascii="宋体" w:hAnsi="宋体" w:cs="宋体"/>
                <w:sz w:val="20"/>
              </w:rPr>
            </w:pPr>
            <w:r>
              <w:rPr>
                <w:rFonts w:hint="eastAsia" w:ascii="宋体" w:hAnsi="宋体" w:cs="宋体"/>
                <w:sz w:val="20"/>
                <w:lang w:bidi="ar"/>
              </w:rPr>
              <w:t xml:space="preserve">高度7600mm，壁厚6mm，直径180mm；悬臂规格：双悬臂，长度3500mm/5500mm，壁厚4mm，直径89mm，含法兰盘、地笼、基础</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253</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标志立杆</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φ76mm镀锌钢管，底高2m</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31</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rPr>
                <w:rFonts w:ascii="宋体" w:hAnsi="宋体" w:cs="宋体"/>
                <w:sz w:val="20"/>
              </w:rPr>
            </w:pPr>
            <w:r>
              <w:rPr>
                <w:rFonts w:hint="eastAsia" w:ascii="宋体" w:hAnsi="宋体" w:cs="宋体"/>
                <w:sz w:val="20"/>
              </w:rPr>
              <w:t xml:space="preserve">套</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jc w:val="center"/>
              <w:widowControl/>
              <w:rPr>
                <w:rFonts w:ascii="宋体" w:hAnsi="宋体" w:cs="宋体"/>
                <w:sz w:val="20"/>
              </w:rPr>
            </w:pPr>
            <w:r>
              <w:rPr>
                <w:rFonts w:hint="eastAsia" w:ascii="宋体" w:hAnsi="宋体" w:cs="宋体"/>
                <w:sz w:val="20"/>
                <w:lang w:bidi="ar"/>
              </w:rPr>
              <w:t xml:space="preserve">标线</w:t>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车让人字</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100cm*80cm*3个</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26</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62.4</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1505.4</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礼让纵向减速</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100cm*30cm*30组</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56</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504</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测速纵向减速</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100cm*30cm*80组</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480</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cs="宋体"/>
                <w:sz w:val="20"/>
              </w:rPr>
            </w:pPr>
            <w:r>
              <w:rPr>
                <w:rFonts w:hint="eastAsia" w:ascii="宋体" w:hAnsi="宋体" w:cs="宋体"/>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停车观察区标线</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27</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459</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tcPr>
          <w:p>
            <w:pPr>
              <w:jc w:val="center"/>
              <w:rPr>
                <w:rFonts w:ascii="宋体" w:hAnsi="宋体" w:cs="宋体"/>
                <w:sz w:val="20"/>
              </w:rPr>
            </w:pPr>
            <w:r>
              <w:rPr>
                <w:rFonts w:ascii="宋体" w:hAnsi="宋体" w:cs="宋体"/>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ascii="宋体" w:hAnsi="宋体" w:cs="宋体"/>
                <w:sz w:val="20"/>
              </w:rPr>
            </w:pPr>
            <w:r>
              <w:rPr>
                <w:rFonts w:hint="eastAsia" w:ascii="宋体" w:hAnsi="宋体" w:cs="宋体"/>
                <w:sz w:val="20"/>
              </w:rPr>
              <w:t xml:space="preserve">17</w:t>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jc w:val="center"/>
              <w:rPr>
                <w:rFonts w:ascii="宋体" w:hAnsi="宋体" w:cs="宋体"/>
                <w:sz w:val="20"/>
              </w:rPr>
            </w:pP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右转危险区标线</w:t>
            </w:r>
            <w:r/>
          </w:p>
        </w:tc>
        <w:tc>
          <w:tcPr>
            <w:tcBorders>
              <w:top w:val="single" w:color="000000" w:sz="4" w:space="0"/>
              <w:left w:val="single" w:color="000000" w:sz="4" w:space="0"/>
              <w:bottom w:val="single" w:color="000000" w:sz="4" w:space="0"/>
              <w:right w:val="single" w:color="000000" w:sz="4" w:space="0"/>
            </w:tcBorders>
            <w:tcW w:w="6830"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白边、红底、白字，边框热熔、主体道路反光油漆</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50</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200</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m</w:t>
            </w:r>
            <w:r>
              <w:rPr>
                <w:rFonts w:hint="eastAsia" w:ascii="宋体" w:hAnsi="宋体" w:cs="宋体"/>
                <w:color w:val="000000"/>
                <w:sz w:val="20"/>
                <w:vertAlign w:val="superscript"/>
                <w:lang w:bidi="ar"/>
              </w:rPr>
              <w:t xml:space="preserve">2</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sz w:val="20"/>
              </w:rPr>
            </w:pPr>
            <w:r>
              <w:rPr>
                <w:rFonts w:hint="eastAsia" w:ascii="宋体" w:hAnsi="宋体" w:cs="宋体"/>
                <w:color w:val="000000"/>
                <w:sz w:val="20"/>
                <w:lang w:bidi="ar"/>
              </w:rPr>
              <w:t xml:space="preserve">200</w:t>
            </w:r>
            <w:r/>
          </w:p>
        </w:tc>
      </w:tr>
    </w:tbl>
    <w:p>
      <w:pPr>
        <w:pStyle w:val="1098"/>
        <w:ind w:left="0" w:right="1470"/>
        <w:rPr>
          <w:rFonts w:hint="default" w:ascii="宋体" w:hAnsi="宋体" w:cs="宋体"/>
          <w:color w:val="000000"/>
          <w:sz w:val="20"/>
          <w:szCs w:val="20"/>
          <w:lang w:bidi="ar"/>
        </w:rPr>
      </w:pPr>
      <w:r>
        <w:rPr>
          <w:rFonts w:hint="default" w:ascii="宋体" w:hAnsi="宋体" w:cs="宋体"/>
          <w:color w:val="000000"/>
          <w:sz w:val="20"/>
          <w:szCs w:val="20"/>
          <w:lang w:bidi="ar"/>
        </w:rPr>
      </w:r>
      <w:r/>
    </w:p>
    <w:p>
      <w:pPr>
        <w:pStyle w:val="1098"/>
        <w:ind w:left="0" w:right="1470"/>
        <w:rPr>
          <w:rFonts w:hint="default" w:ascii="宋体" w:hAnsi="宋体" w:cs="宋体"/>
          <w:color w:val="000000"/>
          <w:sz w:val="20"/>
          <w:szCs w:val="20"/>
          <w:lang w:bidi="ar"/>
        </w:rPr>
      </w:pPr>
      <w:r>
        <w:rPr>
          <w:rFonts w:ascii="宋体" w:hAnsi="宋体" w:cs="宋体"/>
          <w:color w:val="000000"/>
          <w:sz w:val="20"/>
          <w:szCs w:val="20"/>
          <w:lang w:bidi="ar"/>
        </w:rPr>
        <w:t xml:space="preserve">说明：总体依据GB5768，道路名称按滨政发〔2016〕73号、〔2019〕34号文件执行。</w:t>
      </w:r>
      <w:r/>
    </w:p>
    <w:p>
      <w:pPr>
        <w:pStyle w:val="1098"/>
        <w:ind w:left="0" w:right="1468" w:firstLine="360"/>
        <w:spacing w:after="0"/>
        <w:rPr>
          <w:rFonts w:hint="default" w:ascii="宋体" w:hAnsi="宋体" w:cs="宋体"/>
          <w:color w:val="000000"/>
          <w:sz w:val="18"/>
          <w:szCs w:val="18"/>
          <w:lang w:bidi="ar"/>
        </w:rPr>
      </w:pPr>
      <w:r>
        <w:rPr>
          <w:rFonts w:ascii="宋体" w:hAnsi="宋体" w:cs="宋体"/>
          <w:color w:val="000000"/>
          <w:sz w:val="18"/>
          <w:szCs w:val="18"/>
          <w:lang w:bidi="ar"/>
        </w:rPr>
        <w:t xml:space="preserve">1.采购Ⅳ类反光膜，无拼接。</w:t>
      </w:r>
      <w:r/>
    </w:p>
    <w:p>
      <w:pPr>
        <w:pStyle w:val="1098"/>
        <w:ind w:left="0" w:right="1468" w:firstLine="360"/>
        <w:spacing w:after="0"/>
        <w:rPr>
          <w:rFonts w:hint="default" w:ascii="宋体" w:hAnsi="宋体" w:cs="宋体"/>
          <w:color w:val="000000"/>
          <w:sz w:val="18"/>
          <w:szCs w:val="18"/>
          <w:lang w:bidi="ar"/>
        </w:rPr>
      </w:pPr>
      <w:r>
        <w:rPr>
          <w:rFonts w:ascii="宋体" w:hAnsi="宋体" w:cs="宋体"/>
          <w:color w:val="000000"/>
          <w:sz w:val="18"/>
          <w:szCs w:val="18"/>
          <w:lang w:bidi="ar"/>
        </w:rPr>
        <w:t xml:space="preserve">2.标志面积</w:t>
      </w:r>
      <w:r>
        <w:rPr>
          <w:rFonts w:hint="default" w:ascii="Arial" w:hAnsi="Arial" w:cs="Arial"/>
          <w:color w:val="000000"/>
          <w:sz w:val="18"/>
          <w:szCs w:val="18"/>
          <w:lang w:bidi="ar"/>
        </w:rPr>
        <w:t xml:space="preserve">≤</w:t>
      </w:r>
      <w:r>
        <w:rPr>
          <w:rFonts w:ascii="宋体" w:hAnsi="宋体" w:cs="宋体"/>
          <w:color w:val="000000"/>
          <w:sz w:val="18"/>
          <w:szCs w:val="18"/>
          <w:lang w:bidi="ar"/>
        </w:rPr>
        <w:t xml:space="preserve">1</w:t>
      </w:r>
      <w:r>
        <w:rPr>
          <w:rFonts w:ascii="宋体" w:hAnsi="宋体" w:cs="宋体"/>
          <w:sz w:val="18"/>
          <w:szCs w:val="18"/>
          <w:lang w:bidi="ar"/>
        </w:rPr>
        <w:t xml:space="preserve">m</w:t>
      </w:r>
      <w:r>
        <w:rPr>
          <w:rFonts w:ascii="宋体" w:hAnsi="宋体" w:cs="宋体"/>
          <w:sz w:val="18"/>
          <w:szCs w:val="18"/>
          <w:vertAlign w:val="superscript"/>
          <w:lang w:bidi="ar"/>
        </w:rPr>
        <w:t xml:space="preserve">2</w:t>
      </w:r>
      <w:r>
        <w:rPr>
          <w:rFonts w:ascii="宋体" w:hAnsi="宋体" w:cs="宋体"/>
          <w:color w:val="000000"/>
          <w:sz w:val="18"/>
          <w:szCs w:val="18"/>
          <w:lang w:bidi="ar"/>
        </w:rPr>
        <w:t xml:space="preserve">采购2mm以上厚度铝板、1</w:t>
      </w:r>
      <w:r>
        <w:rPr>
          <w:rFonts w:ascii="宋体" w:hAnsi="宋体" w:cs="宋体"/>
          <w:sz w:val="18"/>
          <w:szCs w:val="18"/>
          <w:lang w:bidi="ar"/>
        </w:rPr>
        <w:t xml:space="preserve">m</w:t>
      </w:r>
      <w:r>
        <w:rPr>
          <w:rFonts w:ascii="宋体" w:hAnsi="宋体" w:cs="宋体"/>
          <w:sz w:val="18"/>
          <w:szCs w:val="18"/>
          <w:vertAlign w:val="superscript"/>
          <w:lang w:bidi="ar"/>
        </w:rPr>
        <w:t xml:space="preserve">2</w:t>
      </w:r>
      <w:r>
        <w:rPr>
          <w:rFonts w:ascii="宋体" w:hAnsi="宋体" w:cs="宋体"/>
          <w:color w:val="000000"/>
          <w:sz w:val="18"/>
          <w:szCs w:val="18"/>
          <w:lang w:bidi="ar"/>
        </w:rPr>
        <w:t xml:space="preserve">&lt;标志面积</w:t>
      </w:r>
      <w:r>
        <w:rPr>
          <w:rFonts w:hint="default" w:ascii="Arial" w:hAnsi="Arial" w:cs="Arial"/>
          <w:color w:val="000000"/>
          <w:sz w:val="18"/>
          <w:szCs w:val="18"/>
          <w:lang w:bidi="ar"/>
        </w:rPr>
        <w:t xml:space="preserve">≤</w:t>
      </w:r>
      <w:r>
        <w:rPr>
          <w:rFonts w:ascii="宋体" w:hAnsi="宋体" w:cs="宋体"/>
          <w:color w:val="000000"/>
          <w:sz w:val="18"/>
          <w:szCs w:val="18"/>
          <w:lang w:bidi="ar"/>
        </w:rPr>
        <w:t xml:space="preserve">3</w:t>
      </w:r>
      <w:r>
        <w:rPr>
          <w:rFonts w:ascii="宋体" w:hAnsi="宋体" w:cs="宋体"/>
          <w:sz w:val="18"/>
          <w:szCs w:val="18"/>
          <w:lang w:bidi="ar"/>
        </w:rPr>
        <w:t xml:space="preserve">m</w:t>
      </w:r>
      <w:r>
        <w:rPr>
          <w:rFonts w:ascii="宋体" w:hAnsi="宋体" w:cs="宋体"/>
          <w:sz w:val="18"/>
          <w:szCs w:val="18"/>
          <w:vertAlign w:val="superscript"/>
          <w:lang w:bidi="ar"/>
        </w:rPr>
        <w:t xml:space="preserve">2</w:t>
      </w:r>
      <w:r>
        <w:rPr>
          <w:rFonts w:ascii="宋体" w:hAnsi="宋体" w:cs="宋体"/>
          <w:color w:val="000000"/>
          <w:sz w:val="18"/>
          <w:szCs w:val="18"/>
          <w:lang w:bidi="ar"/>
        </w:rPr>
        <w:t xml:space="preserve">采购3mm以上厚度铝板，无拼接，圆角。</w:t>
      </w:r>
      <w:r/>
    </w:p>
    <w:p>
      <w:pPr>
        <w:pStyle w:val="1098"/>
        <w:ind w:left="0" w:right="1468" w:firstLine="360"/>
        <w:spacing w:after="0"/>
        <w:rPr>
          <w:rFonts w:hint="default" w:ascii="宋体" w:hAnsi="宋体" w:cs="宋体"/>
          <w:color w:val="000000"/>
          <w:sz w:val="18"/>
          <w:szCs w:val="18"/>
          <w:lang w:bidi="ar"/>
        </w:rPr>
      </w:pPr>
      <w:r>
        <w:rPr>
          <w:rFonts w:ascii="宋体" w:hAnsi="宋体" w:cs="宋体"/>
          <w:color w:val="000000"/>
          <w:sz w:val="18"/>
          <w:szCs w:val="18"/>
          <w:lang w:bidi="ar"/>
        </w:rPr>
        <w:t xml:space="preserve">3.测速点限速标志、预告标志按主标志、辅助标志分别制作。</w:t>
      </w:r>
      <w:r/>
    </w:p>
    <w:p>
      <w:pPr>
        <w:pStyle w:val="1098"/>
        <w:ind w:left="0" w:right="1468" w:firstLine="360"/>
        <w:spacing w:after="0"/>
        <w:rPr>
          <w:rFonts w:hint="default" w:ascii="宋体" w:hAnsi="宋体" w:cs="宋体"/>
          <w:color w:val="000000"/>
          <w:sz w:val="18"/>
          <w:szCs w:val="18"/>
          <w:lang w:bidi="ar"/>
        </w:rPr>
      </w:pPr>
      <w:r>
        <w:rPr>
          <w:rFonts w:ascii="宋体" w:hAnsi="宋体" w:cs="宋体"/>
          <w:color w:val="000000"/>
          <w:sz w:val="18"/>
          <w:szCs w:val="18"/>
          <w:lang w:bidi="ar"/>
        </w:rPr>
        <w:t xml:space="preserve">4.测速点纵向减速标线规格为间隔1m划30cm*100cm、45度菱形标线，左右各一，间隔1m、长80m。</w:t>
      </w:r>
      <w:r/>
    </w:p>
    <w:p>
      <w:pPr>
        <w:pStyle w:val="1098"/>
        <w:ind w:left="0" w:right="1468" w:firstLine="360"/>
        <w:spacing w:after="0"/>
        <w:rPr>
          <w:rFonts w:hint="default" w:ascii="宋体" w:hAnsi="宋体" w:cs="宋体"/>
          <w:color w:val="000000"/>
          <w:sz w:val="18"/>
          <w:szCs w:val="18"/>
          <w:lang w:bidi="ar"/>
        </w:rPr>
      </w:pPr>
      <w:r>
        <w:rPr>
          <w:rFonts w:ascii="宋体" w:hAnsi="宋体" w:cs="宋体"/>
          <w:color w:val="000000"/>
          <w:sz w:val="18"/>
          <w:szCs w:val="18"/>
          <w:lang w:bidi="ar"/>
        </w:rPr>
        <w:t xml:space="preserve">5.立杆用于人行道、注意行人标志无处可附着时，钢管无接头，基础为50cm*50cm*50cm混凝土。</w:t>
      </w:r>
      <w:r/>
    </w:p>
    <w:p>
      <w:pPr>
        <w:pStyle w:val="1098"/>
        <w:ind w:left="0" w:right="1468" w:firstLine="360"/>
        <w:spacing w:after="0"/>
        <w:rPr>
          <w:rFonts w:hint="default" w:ascii="宋体" w:hAnsi="宋体" w:cs="宋体"/>
          <w:color w:val="000000"/>
          <w:sz w:val="18"/>
          <w:szCs w:val="18"/>
          <w:lang w:bidi="ar"/>
        </w:rPr>
      </w:pPr>
      <w:r>
        <w:rPr>
          <w:rFonts w:ascii="宋体" w:hAnsi="宋体" w:cs="宋体"/>
          <w:color w:val="000000"/>
          <w:sz w:val="18"/>
          <w:szCs w:val="18"/>
          <w:lang w:bidi="ar"/>
        </w:rPr>
        <w:t xml:space="preserve">6.右转弯危险区标线为：外围形状用热熔标线、内侧用红色油漆喷涂、白色字长100cm*宽80cm。</w:t>
      </w:r>
      <w:r/>
    </w:p>
    <w:p>
      <w:pPr>
        <w:pStyle w:val="1098"/>
        <w:ind w:left="0" w:right="1468" w:firstLine="360"/>
        <w:spacing w:after="0"/>
        <w:rPr>
          <w:rFonts w:hint="default" w:ascii="宋体" w:hAnsi="宋体" w:cs="宋体"/>
          <w:color w:val="000000"/>
          <w:sz w:val="18"/>
          <w:szCs w:val="18"/>
          <w:lang w:bidi="ar"/>
        </w:rPr>
      </w:pPr>
      <w:r>
        <w:rPr>
          <w:rFonts w:hint="default" w:ascii="宋体" w:hAnsi="宋体" w:cs="宋体"/>
          <w:color w:val="000000"/>
          <w:sz w:val="18"/>
          <w:szCs w:val="18"/>
          <w:lang w:bidi="ar"/>
        </w:rPr>
      </w:r>
      <w:r/>
    </w:p>
    <w:p>
      <w:pPr>
        <w:pStyle w:val="1091"/>
        <w:jc w:val="left"/>
        <w:spacing w:before="0" w:after="0" w:line="240" w:lineRule="auto"/>
        <w:rPr>
          <w:rFonts w:ascii="宋体" w:hAnsi="宋体" w:cs="宋体"/>
          <w:sz w:val="32"/>
          <w:szCs w:val="32"/>
        </w:rPr>
      </w:pPr>
      <w:r>
        <w:rPr>
          <w:rFonts w:hint="eastAsia" w:ascii="宋体" w:hAnsi="宋体" w:cs="宋体"/>
          <w:sz w:val="32"/>
          <w:szCs w:val="32"/>
        </w:rPr>
        <w:t xml:space="preserve">三、科技设施配套标志标线点位和数量表</w:t>
      </w:r>
      <w:r/>
    </w:p>
    <w:tbl>
      <w:tblPr>
        <w:tblStyle w:val="923"/>
        <w:tblW w:w="14946" w:type="dxa"/>
        <w:jc w:val="center"/>
        <w:tblLayout w:type="fixed"/>
        <w:tblCellMar>
          <w:left w:w="108" w:type="dxa"/>
          <w:top w:w="0" w:type="dxa"/>
          <w:right w:w="108" w:type="dxa"/>
          <w:bottom w:w="0" w:type="dxa"/>
        </w:tblCellMar>
        <w:tblLook w:val="04A0" w:firstRow="1" w:lastRow="0" w:firstColumn="1" w:lastColumn="0" w:noHBand="0" w:noVBand="1"/>
      </w:tblPr>
      <w:tblGrid>
        <w:gridCol w:w="569"/>
        <w:gridCol w:w="945"/>
        <w:gridCol w:w="1350"/>
        <w:gridCol w:w="3509"/>
        <w:gridCol w:w="2738"/>
        <w:gridCol w:w="1041"/>
        <w:gridCol w:w="1200"/>
        <w:gridCol w:w="1140"/>
        <w:gridCol w:w="645"/>
        <w:gridCol w:w="913"/>
        <w:gridCol w:w="896"/>
      </w:tblGrid>
      <w:tr>
        <w:trPr>
          <w:jc w:val="center"/>
          <w:trHeight w:val="285"/>
        </w:trPr>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抓拍类型</w:t>
            </w:r>
            <w:r/>
          </w:p>
        </w:tc>
        <w:tc>
          <w:tcPr>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所在道路</w:t>
            </w:r>
            <w:r/>
          </w:p>
        </w:tc>
        <w:tc>
          <w:tcPr>
            <w:tcBorders>
              <w:top w:val="single" w:color="000000" w:sz="4" w:space="0"/>
              <w:left w:val="single" w:color="000000" w:sz="4" w:space="0"/>
              <w:bottom w:val="single" w:color="000000" w:sz="4" w:space="0"/>
              <w:right w:val="single" w:color="000000" w:sz="4" w:space="0"/>
            </w:tcBorders>
            <w:tcW w:w="3509"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点位名称</w:t>
            </w:r>
            <w:r/>
          </w:p>
        </w:tc>
        <w:tc>
          <w:tcPr>
            <w:tcBorders>
              <w:top w:val="single" w:color="000000" w:sz="4" w:space="0"/>
              <w:left w:val="single" w:color="000000" w:sz="4" w:space="0"/>
              <w:bottom w:val="single" w:color="000000" w:sz="4" w:space="0"/>
              <w:right w:val="single" w:color="000000" w:sz="4" w:space="0"/>
            </w:tcBorders>
            <w:tcW w:w="2738"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设备名称</w:t>
            </w:r>
            <w:r/>
          </w:p>
        </w:tc>
        <w:tc>
          <w:tcPr>
            <w:gridSpan w:val="3"/>
            <w:tcBorders>
              <w:top w:val="single" w:color="000000" w:sz="4" w:space="0"/>
              <w:left w:val="single" w:color="000000" w:sz="4" w:space="0"/>
              <w:bottom w:val="single" w:color="000000" w:sz="4" w:space="0"/>
              <w:right w:val="none" w:color="000000" w:sz="4" w:space="0"/>
            </w:tcBorders>
            <w:tcW w:w="338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标志</w:t>
            </w:r>
            <w:r/>
          </w:p>
        </w:tc>
        <w:tc>
          <w:tcPr>
            <w:tcBorders>
              <w:top w:val="single" w:color="000000" w:sz="4" w:space="0"/>
              <w:left w:val="non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杆件</w:t>
            </w:r>
            <w:r/>
          </w:p>
        </w:tc>
        <w:tc>
          <w:tcPr>
            <w:gridSpan w:val="2"/>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509"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738"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交通违法监控</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前方监控交通违法</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停车让行辅助标志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立杆</w:t>
            </w:r>
            <w:r/>
          </w:p>
        </w:tc>
        <w:tc>
          <w:tcPr>
            <w:tcBorders>
              <w:top w:val="single" w:color="000000" w:sz="4" w:space="0"/>
              <w:left w:val="single" w:color="000000" w:sz="4" w:space="0"/>
              <w:bottom w:val="non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lang w:bidi="ar"/>
              </w:rPr>
            </w:pPr>
            <w:r>
              <w:rPr>
                <w:rFonts w:hint="eastAsia" w:ascii="宋体" w:hAnsi="宋体" w:cs="宋体"/>
                <w:color w:val="000000"/>
                <w:sz w:val="20"/>
                <w:lang w:bidi="ar"/>
              </w:rPr>
              <w:t xml:space="preserve">停车</w:t>
            </w:r>
            <w:r/>
          </w:p>
          <w:p>
            <w:pPr>
              <w:jc w:val="center"/>
              <w:widowControl/>
              <w:rPr>
                <w:rFonts w:ascii="宋体" w:hAnsi="宋体" w:cs="宋体"/>
                <w:color w:val="000000"/>
                <w:sz w:val="20"/>
              </w:rPr>
            </w:pPr>
            <w:r>
              <w:rPr>
                <w:rFonts w:hint="eastAsia" w:ascii="宋体" w:hAnsi="宋体" w:cs="宋体"/>
                <w:color w:val="000000"/>
                <w:sz w:val="20"/>
                <w:lang w:bidi="ar"/>
              </w:rPr>
              <w:t xml:space="preserve">观察区</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color w:val="000000"/>
                <w:sz w:val="20"/>
                <w:lang w:bidi="ar"/>
              </w:rPr>
            </w:pPr>
            <w:r>
              <w:rPr>
                <w:rFonts w:hint="eastAsia" w:ascii="宋体" w:hAnsi="宋体" w:cs="宋体"/>
                <w:color w:val="000000"/>
                <w:sz w:val="20"/>
                <w:lang w:bidi="ar"/>
              </w:rPr>
              <w:t xml:space="preserve">右转</w:t>
            </w:r>
            <w:r/>
          </w:p>
          <w:p>
            <w:pPr>
              <w:jc w:val="center"/>
              <w:widowControl/>
              <w:rPr>
                <w:rFonts w:ascii="宋体" w:hAnsi="宋体" w:cs="宋体"/>
                <w:color w:val="000000"/>
                <w:sz w:val="20"/>
              </w:rPr>
            </w:pPr>
            <w:r>
              <w:rPr>
                <w:rFonts w:hint="eastAsia" w:ascii="宋体" w:hAnsi="宋体" w:cs="宋体"/>
                <w:color w:val="000000"/>
                <w:sz w:val="20"/>
                <w:lang w:bidi="ar"/>
              </w:rPr>
              <w:t xml:space="preserve">危险区</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S327与幸福路口（东南）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S327与幸福路口（西南）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S327与丰收大道路口（东北）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丰收大道</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S327与丰收大道路口（西北）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S327与G204路口（东北）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S327与G204路口（西北）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S327与G228路口（东南）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S327与G228路口（东北）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S327与阜东路口 （ 西北 ）</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G228与海港大道路口（东南）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G228与海港大道路口（西北）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G228与S226路口（东南）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G228与S226路口（东北）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G228与S226路口（西北）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G204与凤鸣路口（东南）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G204与凤鸣路口（东北）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G204与华泰路口（东南）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G204与华泰路口（东北）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G204与通榆路口 （ 东南 ）</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套沙线</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S327与套沙路口（东南）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套沙线</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S327与套沙路口（西北）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S327与新安大道路口（西南）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S327与新安大道路口（西北）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S327与金八滩大道路口（西南）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S327与X204路口（东北）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S327与X204路口（西北）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S327与S226路口（东北）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S327与S226路口（西北）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G204与火箭路口（西南）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350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G204与火箭路口（西北）</w:t>
            </w:r>
            <w:r/>
          </w:p>
        </w:tc>
        <w:tc>
          <w:tcPr>
            <w:tcBorders>
              <w:top w:val="single" w:color="000000" w:sz="4" w:space="0"/>
              <w:left w:val="single" w:color="000000" w:sz="4" w:space="0"/>
              <w:bottom w:val="single" w:color="000000" w:sz="4" w:space="0"/>
              <w:right w:val="single" w:color="000000" w:sz="4" w:space="0"/>
            </w:tcBorders>
            <w:tcW w:w="273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货车右转未停车让行抓拍</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bl>
    <w:p>
      <w:r/>
      <w:r/>
    </w:p>
    <w:p>
      <w:pPr>
        <w:pStyle w:val="1098"/>
        <w:ind w:left="0" w:right="1470"/>
        <w:rPr>
          <w:rFonts w:hint="default"/>
        </w:rPr>
      </w:pPr>
      <w:r>
        <w:rPr>
          <w:rFonts w:hint="default"/>
        </w:rPr>
      </w:r>
      <w:r/>
    </w:p>
    <w:tbl>
      <w:tblPr>
        <w:tblStyle w:val="923"/>
        <w:tblW w:w="15367" w:type="dxa"/>
        <w:jc w:val="center"/>
        <w:tblLayout w:type="fixed"/>
        <w:tblCellMar>
          <w:left w:w="108" w:type="dxa"/>
          <w:top w:w="0" w:type="dxa"/>
          <w:right w:w="108" w:type="dxa"/>
          <w:bottom w:w="0" w:type="dxa"/>
        </w:tblCellMar>
        <w:tblLook w:val="04A0" w:firstRow="1" w:lastRow="0" w:firstColumn="1" w:lastColumn="0" w:noHBand="0" w:noVBand="1"/>
      </w:tblPr>
      <w:tblGrid>
        <w:gridCol w:w="587"/>
        <w:gridCol w:w="833"/>
        <w:gridCol w:w="1248"/>
        <w:gridCol w:w="2258"/>
        <w:gridCol w:w="2949"/>
        <w:gridCol w:w="886"/>
        <w:gridCol w:w="1073"/>
        <w:gridCol w:w="882"/>
        <w:gridCol w:w="1111"/>
        <w:gridCol w:w="661"/>
        <w:gridCol w:w="1265"/>
        <w:gridCol w:w="518"/>
        <w:gridCol w:w="1096"/>
      </w:tblGrid>
      <w:tr>
        <w:trPr>
          <w:jc w:val="center"/>
          <w:trHeight w:val="285"/>
        </w:trPr>
        <w:tc>
          <w:tcPr>
            <w:tcBorders>
              <w:top w:val="single" w:color="000000" w:sz="4" w:space="0"/>
              <w:left w:val="single" w:color="000000" w:sz="4" w:space="0"/>
              <w:bottom w:val="single" w:color="000000" w:sz="4" w:space="0"/>
              <w:right w:val="single" w:color="000000" w:sz="4" w:space="0"/>
            </w:tcBorders>
            <w:tcW w:w="587"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抓拍类型</w:t>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所在道路</w:t>
            </w:r>
            <w:r/>
          </w:p>
        </w:tc>
        <w:tc>
          <w:tcPr>
            <w:tcBorders>
              <w:top w:val="single" w:color="000000" w:sz="4" w:space="0"/>
              <w:left w:val="single" w:color="000000" w:sz="4" w:space="0"/>
              <w:bottom w:val="single" w:color="000000" w:sz="4" w:space="0"/>
              <w:right w:val="single" w:color="000000" w:sz="4" w:space="0"/>
            </w:tcBorders>
            <w:tcW w:w="2258"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点位名称</w:t>
            </w:r>
            <w:r/>
          </w:p>
        </w:tc>
        <w:tc>
          <w:tcPr>
            <w:tcBorders>
              <w:top w:val="single" w:color="000000" w:sz="4" w:space="0"/>
              <w:left w:val="single" w:color="000000" w:sz="4" w:space="0"/>
              <w:bottom w:val="single" w:color="000000" w:sz="4" w:space="0"/>
              <w:right w:val="single" w:color="auto" w:sz="4" w:space="0"/>
            </w:tcBorders>
            <w:tcW w:w="2949"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设备名称</w:t>
            </w:r>
            <w:r/>
          </w:p>
        </w:tc>
        <w:tc>
          <w:tcPr>
            <w:gridSpan w:val="5"/>
            <w:tcBorders>
              <w:top w:val="single" w:color="auto" w:sz="4" w:space="0"/>
              <w:left w:val="single" w:color="auto" w:sz="4" w:space="0"/>
              <w:bottom w:val="single" w:color="auto" w:sz="4" w:space="0"/>
              <w:right w:val="single" w:color="auto" w:sz="4" w:space="0"/>
            </w:tcBorders>
            <w:tcW w:w="46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标志</w:t>
            </w:r>
            <w:r/>
          </w:p>
        </w:tc>
        <w:tc>
          <w:tcPr>
            <w:gridSpan w:val="2"/>
            <w:tcBorders>
              <w:top w:val="single" w:color="auto" w:sz="4" w:space="0"/>
              <w:left w:val="single" w:color="auto" w:sz="4" w:space="0"/>
              <w:bottom w:val="single" w:color="auto" w:sz="4" w:space="0"/>
              <w:right w:val="single" w:color="auto" w:sz="4" w:space="0"/>
            </w:tcBorders>
            <w:tcW w:w="178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标志杆件</w:t>
            </w:r>
            <w:r/>
          </w:p>
        </w:tc>
        <w:tc>
          <w:tcPr>
            <w:tcBorders>
              <w:top w:val="single" w:color="000000" w:sz="4" w:space="0"/>
              <w:left w:val="single" w:color="auto" w:sz="4" w:space="0"/>
              <w:bottom w:val="single" w:color="000000" w:sz="4" w:space="0"/>
              <w:right w:val="single" w:color="000000" w:sz="4" w:space="0"/>
            </w:tcBorders>
            <w:tcW w:w="109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标线</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587"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258"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949"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auto" w:sz="4" w:space="0"/>
              <w:left w:val="single" w:color="000000" w:sz="4" w:space="0"/>
              <w:bottom w:val="single" w:color="000000" w:sz="4" w:space="0"/>
              <w:right w:val="single" w:color="000000" w:sz="4" w:space="0"/>
            </w:tcBorders>
            <w:tcW w:w="886" w:type="dxa"/>
            <w:vAlign w:val="center"/>
            <w:textDirection w:val="lrTb"/>
            <w:noWrap w:val="false"/>
          </w:tcPr>
          <w:p>
            <w:pPr>
              <w:jc w:val="center"/>
              <w:widowControl/>
              <w:rPr>
                <w:rFonts w:ascii="宋体" w:hAnsi="宋体" w:cs="宋体"/>
                <w:color w:val="000000"/>
                <w:sz w:val="20"/>
                <w:lang w:bidi="ar"/>
              </w:rPr>
            </w:pPr>
            <w:r>
              <w:rPr>
                <w:rFonts w:hint="eastAsia" w:ascii="宋体" w:hAnsi="宋体" w:cs="宋体"/>
                <w:color w:val="000000"/>
                <w:sz w:val="20"/>
                <w:lang w:bidi="ar"/>
              </w:rPr>
              <w:t xml:space="preserve">交通违</w:t>
            </w:r>
            <w:r/>
          </w:p>
          <w:p>
            <w:pPr>
              <w:jc w:val="center"/>
              <w:widowControl/>
              <w:rPr>
                <w:rFonts w:ascii="宋体" w:hAnsi="宋体" w:cs="宋体"/>
                <w:color w:val="000000"/>
                <w:sz w:val="20"/>
              </w:rPr>
            </w:pPr>
            <w:r>
              <w:rPr>
                <w:rFonts w:hint="eastAsia" w:ascii="宋体" w:hAnsi="宋体" w:cs="宋体"/>
                <w:color w:val="000000"/>
                <w:sz w:val="20"/>
                <w:lang w:bidi="ar"/>
              </w:rPr>
              <w:t xml:space="preserve">法监控</w:t>
            </w:r>
            <w:r/>
          </w:p>
        </w:tc>
        <w:tc>
          <w:tcPr>
            <w:tcBorders>
              <w:top w:val="single" w:color="auto"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0"/>
                <w:lang w:bidi="ar"/>
              </w:rPr>
            </w:pPr>
            <w:r>
              <w:rPr>
                <w:rFonts w:hint="eastAsia" w:ascii="宋体" w:hAnsi="宋体" w:cs="宋体"/>
                <w:color w:val="000000"/>
                <w:sz w:val="20"/>
                <w:lang w:bidi="ar"/>
              </w:rPr>
              <w:t xml:space="preserve">前方监控</w:t>
            </w:r>
            <w:r/>
          </w:p>
          <w:p>
            <w:pPr>
              <w:jc w:val="center"/>
              <w:widowControl/>
              <w:rPr>
                <w:rFonts w:ascii="宋体" w:hAnsi="宋体" w:cs="宋体"/>
                <w:color w:val="000000"/>
                <w:sz w:val="20"/>
              </w:rPr>
            </w:pPr>
            <w:r>
              <w:rPr>
                <w:rFonts w:hint="eastAsia" w:ascii="宋体" w:hAnsi="宋体" w:cs="宋体"/>
                <w:color w:val="000000"/>
                <w:sz w:val="20"/>
                <w:lang w:bidi="ar"/>
              </w:rPr>
              <w:t xml:space="preserve">交通违法</w:t>
            </w:r>
            <w:r/>
          </w:p>
        </w:tc>
        <w:tc>
          <w:tcPr>
            <w:tcBorders>
              <w:top w:val="single" w:color="auto" w:sz="4" w:space="0"/>
              <w:left w:val="singl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分车型限速</w:t>
            </w:r>
            <w:r/>
          </w:p>
        </w:tc>
        <w:tc>
          <w:tcPr>
            <w:tcBorders>
              <w:top w:val="single" w:color="auto" w:sz="4" w:space="0"/>
              <w:left w:val="single" w:color="000000" w:sz="4" w:space="0"/>
              <w:bottom w:val="single" w:color="000000" w:sz="4" w:space="0"/>
              <w:right w:val="single" w:color="000000" w:sz="4" w:space="0"/>
            </w:tcBorders>
            <w:tcW w:w="1111" w:type="dxa"/>
            <w:vAlign w:val="center"/>
            <w:textDirection w:val="lrTb"/>
            <w:noWrap w:val="false"/>
          </w:tcPr>
          <w:p>
            <w:pPr>
              <w:jc w:val="center"/>
              <w:widowControl/>
              <w:rPr>
                <w:rFonts w:ascii="宋体" w:hAnsi="宋体" w:cs="宋体"/>
                <w:color w:val="000000"/>
                <w:sz w:val="20"/>
                <w:lang w:bidi="ar"/>
              </w:rPr>
            </w:pPr>
            <w:r>
              <w:rPr>
                <w:rFonts w:hint="eastAsia" w:ascii="宋体" w:hAnsi="宋体" w:cs="宋体"/>
                <w:color w:val="000000"/>
                <w:sz w:val="20"/>
                <w:lang w:bidi="ar"/>
              </w:rPr>
              <w:t xml:space="preserve">分车型</w:t>
            </w:r>
            <w:r/>
          </w:p>
          <w:p>
            <w:pPr>
              <w:jc w:val="center"/>
              <w:widowControl/>
              <w:rPr>
                <w:rFonts w:ascii="宋体" w:hAnsi="宋体" w:cs="宋体"/>
                <w:color w:val="000000"/>
                <w:sz w:val="20"/>
              </w:rPr>
            </w:pPr>
            <w:r>
              <w:rPr>
                <w:rFonts w:hint="eastAsia" w:ascii="宋体" w:hAnsi="宋体" w:cs="宋体"/>
                <w:color w:val="000000"/>
                <w:sz w:val="20"/>
                <w:lang w:bidi="ar"/>
              </w:rPr>
              <w:t xml:space="preserve">测速预告</w:t>
            </w:r>
            <w:r/>
          </w:p>
        </w:tc>
        <w:tc>
          <w:tcPr>
            <w:tcBorders>
              <w:top w:val="single" w:color="auto" w:sz="4" w:space="0"/>
              <w:left w:val="single" w:color="000000" w:sz="4" w:space="0"/>
              <w:bottom w:val="single" w:color="000000" w:sz="4" w:space="0"/>
              <w:right w:val="single" w:color="000000" w:sz="4" w:space="0"/>
            </w:tcBorders>
            <w:tcW w:w="661"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原限速</w:t>
            </w:r>
            <w:r/>
          </w:p>
        </w:tc>
        <w:tc>
          <w:tcPr>
            <w:tcBorders>
              <w:top w:val="single" w:color="auto" w:sz="4" w:space="0"/>
              <w:left w:val="single" w:color="000000" w:sz="4" w:space="0"/>
              <w:bottom w:val="single" w:color="000000" w:sz="4" w:space="0"/>
              <w:right w:val="single" w:color="000000" w:sz="4" w:space="0"/>
            </w:tcBorders>
            <w:tcW w:w="12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双悬臂式杆件、基础</w:t>
            </w:r>
            <w:r/>
          </w:p>
        </w:tc>
        <w:tc>
          <w:tcPr>
            <w:tcBorders>
              <w:top w:val="single" w:color="auto" w:sz="4" w:space="0"/>
              <w:left w:val="single" w:color="000000" w:sz="4" w:space="0"/>
              <w:bottom w:val="single" w:color="000000" w:sz="4" w:space="0"/>
              <w:right w:val="single" w:color="000000" w:sz="4" w:space="0"/>
            </w:tcBorders>
            <w:tcW w:w="51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立杆</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测速点纵向减速</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31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测速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S226（K16+300M）</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测速抓拍双向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32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测速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S226（27K+900M）</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测速抓拍双向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33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测速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S327（56K+100M）</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测速抓拍双向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34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测速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S327（62K+000M)</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测速抓拍双向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35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测速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新S328</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新S328（27K+670M)</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测速抓拍双向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36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测速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新S328</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新S328（32K+500M）</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测速抓拍双向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37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sz w:val="20"/>
                <w:lang w:bidi="ar"/>
              </w:rPr>
            </w:pPr>
            <w:r>
              <w:rPr>
                <w:rFonts w:hint="eastAsia" w:ascii="宋体" w:hAnsi="宋体" w:cs="宋体"/>
                <w:sz w:val="20"/>
                <w:lang w:bidi="ar"/>
              </w:rPr>
              <w:t xml:space="preserve">测速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sz w:val="20"/>
                <w:lang w:bidi="ar"/>
              </w:rPr>
            </w:pPr>
            <w:r>
              <w:rPr>
                <w:rFonts w:hint="eastAsia" w:ascii="宋体" w:hAnsi="宋体" w:cs="宋体"/>
                <w:sz w:val="20"/>
                <w:lang w:bidi="ar"/>
              </w:rPr>
              <w:t xml:space="preserve">新S328</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sz w:val="20"/>
                <w:lang w:bidi="ar"/>
              </w:rPr>
            </w:pPr>
            <w:r>
              <w:rPr>
                <w:rFonts w:hint="eastAsia" w:ascii="宋体" w:hAnsi="宋体" w:cs="宋体"/>
                <w:sz w:val="20"/>
                <w:lang w:bidi="ar"/>
              </w:rPr>
              <w:t xml:space="preserve">新S328（43K+300M）</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测速抓拍双向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sz w:val="20"/>
                <w:lang w:bidi="ar"/>
              </w:rPr>
            </w:pPr>
            <w:r>
              <w:rPr>
                <w:rFonts w:hint="eastAsia" w:ascii="宋体" w:hAnsi="宋体" w:cs="宋体"/>
                <w:color w:val="000000"/>
                <w:sz w:val="20"/>
                <w:lang w:bidi="ar"/>
              </w:rPr>
              <w:t xml:space="preserve">38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测速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sz w:val="20"/>
              </w:rPr>
            </w:pPr>
            <w:r>
              <w:rPr>
                <w:rFonts w:hint="eastAsia" w:ascii="宋体" w:hAnsi="宋体" w:cs="宋体"/>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sz w:val="20"/>
              </w:rPr>
            </w:pPr>
            <w:r>
              <w:rPr>
                <w:rFonts w:hint="eastAsia" w:ascii="宋体" w:hAnsi="宋体" w:cs="宋体"/>
                <w:sz w:val="20"/>
                <w:lang w:bidi="ar"/>
              </w:rPr>
              <w:t xml:space="preserve">海港大道（9K+100M）</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测速抓拍双向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G15出口</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S327与G15西</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S327与G15南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新S328</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S328与人民南路南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新S328</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S328与人民南路北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S327与响坎路东</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S327与响坎路西</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人民南路与华泰路南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人民南路与华泰路北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G204与迎宾大道东</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G204与迎宾大道西</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海港大道与新安大道南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海港大道与新安大道北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淮海路</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G204与淮海路东</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S327与S226交口南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安全带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S327与S226交口北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不系安全带/接打电话违法抓拍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S327港城路口东</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电子警察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S327港城路口西</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电子警察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S327港城路口南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电子警察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S327港城路口北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电子警察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S327景湖北路口北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电子警察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S327景湖北路口南</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电子警察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S327景湖北路口东</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电子警察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61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25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S327景湖北路口西</w:t>
            </w:r>
            <w:r/>
          </w:p>
        </w:tc>
        <w:tc>
          <w:tcPr>
            <w:tcBorders>
              <w:top w:val="single" w:color="000000" w:sz="4" w:space="0"/>
              <w:left w:val="single" w:color="000000" w:sz="4" w:space="0"/>
              <w:bottom w:val="single" w:color="000000" w:sz="4" w:space="0"/>
              <w:right w:val="single" w:color="000000" w:sz="4" w:space="0"/>
            </w:tcBorders>
            <w:tcW w:w="294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电子警察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6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1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bl>
    <w:p>
      <w:pPr>
        <w:pStyle w:val="1098"/>
        <w:ind w:left="0"/>
        <w:spacing w:after="0"/>
        <w:rPr>
          <w:rFonts w:hint="default" w:ascii="宋体" w:hAnsi="宋体" w:cs="宋体"/>
          <w:b/>
          <w:sz w:val="32"/>
          <w:szCs w:val="32"/>
        </w:rPr>
      </w:pPr>
      <w:r>
        <w:rPr>
          <w:rFonts w:hint="default" w:ascii="宋体" w:hAnsi="宋体" w:cs="宋体"/>
          <w:b/>
          <w:sz w:val="32"/>
          <w:szCs w:val="32"/>
        </w:rPr>
      </w:r>
      <w:r/>
    </w:p>
    <w:p>
      <w:pPr>
        <w:pStyle w:val="1098"/>
        <w:ind w:left="0"/>
        <w:spacing w:after="0"/>
        <w:rPr>
          <w:rFonts w:hint="default"/>
          <w:b/>
        </w:rPr>
      </w:pPr>
      <w:r>
        <w:rPr>
          <w:rFonts w:ascii="宋体" w:hAnsi="宋体" w:cs="宋体"/>
          <w:b/>
          <w:sz w:val="32"/>
          <w:szCs w:val="32"/>
        </w:rPr>
        <w:t xml:space="preserve">四、存量交通技术监控配套标志标线点位和数量表</w:t>
      </w:r>
      <w:r/>
    </w:p>
    <w:tbl>
      <w:tblPr>
        <w:tblStyle w:val="923"/>
        <w:tblW w:w="15024" w:type="dxa"/>
        <w:jc w:val="center"/>
        <w:tblLayout w:type="fixed"/>
        <w:tblCellMar>
          <w:left w:w="108" w:type="dxa"/>
          <w:top w:w="0" w:type="dxa"/>
          <w:right w:w="108" w:type="dxa"/>
          <w:bottom w:w="0" w:type="dxa"/>
        </w:tblCellMar>
        <w:tblLook w:val="04A0" w:firstRow="1" w:lastRow="0" w:firstColumn="1" w:lastColumn="0" w:noHBand="0" w:noVBand="1"/>
      </w:tblPr>
      <w:tblGrid>
        <w:gridCol w:w="651"/>
        <w:gridCol w:w="1016"/>
        <w:gridCol w:w="1350"/>
        <w:gridCol w:w="2302"/>
        <w:gridCol w:w="5385"/>
        <w:gridCol w:w="857"/>
        <w:gridCol w:w="1200"/>
        <w:gridCol w:w="852"/>
        <w:gridCol w:w="723"/>
        <w:gridCol w:w="688"/>
      </w:tblGrid>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抓拍类型</w:t>
            </w:r>
            <w:r/>
          </w:p>
        </w:tc>
        <w:tc>
          <w:tcPr>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所在道路</w:t>
            </w:r>
            <w:r/>
          </w:p>
        </w:tc>
        <w:tc>
          <w:tcPr>
            <w:tcBorders>
              <w:top w:val="single" w:color="000000" w:sz="4" w:space="0"/>
              <w:left w:val="single" w:color="000000" w:sz="4" w:space="0"/>
              <w:bottom w:val="single" w:color="000000" w:sz="4" w:space="0"/>
              <w:right w:val="single" w:color="000000" w:sz="4" w:space="0"/>
            </w:tcBorders>
            <w:tcW w:w="2302"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点位名称</w:t>
            </w:r>
            <w:r/>
          </w:p>
        </w:tc>
        <w:tc>
          <w:tcPr>
            <w:tcBorders>
              <w:top w:val="single" w:color="000000" w:sz="4" w:space="0"/>
              <w:left w:val="single" w:color="000000" w:sz="4" w:space="0"/>
              <w:bottom w:val="single" w:color="000000" w:sz="4" w:space="0"/>
              <w:right w:val="single" w:color="000000" w:sz="4" w:space="0"/>
            </w:tcBorders>
            <w:tcW w:w="5385"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设备名称</w:t>
            </w:r>
            <w:r/>
          </w:p>
        </w:tc>
        <w:tc>
          <w:tcPr>
            <w:gridSpan w:val="5"/>
            <w:tcBorders>
              <w:top w:val="single" w:color="000000" w:sz="4" w:space="0"/>
              <w:left w:val="single" w:color="000000" w:sz="4" w:space="0"/>
              <w:bottom w:val="single" w:color="000000" w:sz="4" w:space="0"/>
              <w:right w:val="single" w:color="000000" w:sz="4" w:space="0"/>
            </w:tcBorders>
            <w:tcW w:w="43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标志</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302"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385"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widowControl/>
              <w:rPr>
                <w:rFonts w:ascii="宋体" w:hAnsi="宋体" w:cs="宋体"/>
                <w:color w:val="000000"/>
                <w:sz w:val="20"/>
                <w:lang w:bidi="ar"/>
              </w:rPr>
            </w:pPr>
            <w:r>
              <w:rPr>
                <w:rFonts w:hint="eastAsia" w:ascii="宋体" w:hAnsi="宋体" w:cs="宋体"/>
                <w:color w:val="000000"/>
                <w:sz w:val="20"/>
                <w:lang w:bidi="ar"/>
              </w:rPr>
              <w:t xml:space="preserve">交通违</w:t>
            </w:r>
            <w:r/>
          </w:p>
          <w:p>
            <w:pPr>
              <w:jc w:val="center"/>
              <w:widowControl/>
              <w:rPr>
                <w:rFonts w:ascii="宋体" w:hAnsi="宋体" w:cs="宋体"/>
                <w:color w:val="000000"/>
                <w:sz w:val="20"/>
              </w:rPr>
            </w:pPr>
            <w:r>
              <w:rPr>
                <w:rFonts w:hint="eastAsia" w:ascii="宋体" w:hAnsi="宋体" w:cs="宋体"/>
                <w:color w:val="000000"/>
                <w:sz w:val="20"/>
                <w:lang w:bidi="ar"/>
              </w:rPr>
              <w:t xml:space="preserve">法监控</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前方监控交通违法</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人行道</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注意行人</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禁止停车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禁左卡口</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新建中街</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中市路东</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滨海中市路与新建中路东向西（标卡）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禁左卡口</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滨海中市路与世福花园东入口北向南（标卡）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禁左卡口</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西湖路与迎宾大道北标卡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反向卡口</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海滨大道南入城口</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滨海海滨大道与G204南向北（标卡）右转</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反向卡口</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海滨大道北出城口</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滨海海滨大道与G204东向西（标卡）右转</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压实线</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滨海阜东路与幸福路西向东（标卡）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压实线</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景湖路与海滨大道北向拍压线</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压实线</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双拥路北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永宁路与双拥路北压线抓拍</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压实线</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通榆河桥测速点</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滨海G204国道灌溉总渠大桥实线变道南向北（标卡）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压实线</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通榆河桥测速点</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滨海G204国道灌溉总渠大桥实线变道北向南（标卡）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公园南门</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东停车场</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滨海滨海大道滨海公园南门东（球）海滨大道</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公园南门</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西停车场</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滨海滨海大道滨海公园南门西（球）海滨大道</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立新路－海滨大道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滨海人民大润发超市门口（球）人民路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公园东门－立新路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滨海师苑路与人民路南（球）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海滨大道－永康路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滨海人民路世纪联华超市门口公交站台北侧（球）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云丰巷－师苑路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滨海永宁路丰园菜场门前路东（球）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师苑路－云丰巷</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滨海永宁路丰园菜场门前路西（球）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云丰巷－师苑路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滨海永宁路丰园小区门前路东（球）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师苑路－云丰巷</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滨海永宁路丰园小区门前路西（球）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滨海永宁路江南新城门前路东（球）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海滨大道－永康路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滨海永宁路江南新城门前路西（球）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双拥路－欧堡利亚路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滨海永宁路新城派出所门前路东（球）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欧堡利亚路－双拥路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滨海永宁路新城派出所门前路西（球）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坎园路南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滨海阜东大街第二实验小学南（球）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坎园路北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滨海阜东大街第二实验小学北（球）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城南菜场</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滨海阜东大街城南菜场（球）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幸福小区门口</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滨海中市路幸福小区门前路东（球）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幸福小区门口</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滨海中市路幸福小区门前路西（球）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市民路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滨海中市路昌兴壹城东（球）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兴业路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友好路－港城路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滨海兴业路12号路南（球）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兴业路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港城路－友好路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滨海兴业路12号路北（球）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海门庄路－S327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滨海人民大街新客站车辆出站口路对面（球）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海门庄路－幸福路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滨海人民大街新客站公交站台南侧（球）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S327-海门庄路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滨海人民大街新客站车辆出站口北侧50米处（球）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S327-海门庄路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滨海人民大街新客站车辆出站口南侧10米处（球）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滨海新建南路三实小北门北侧（违停）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滨海新建南路原大菜场北门北侧（违停）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新建中街</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滨海新建中路滨海宾馆北侧（违停）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海门庄路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人民路－明月路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滨海海门路南侧（违停）1</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越河路南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滨海阜东路鑫鼎国际西侧（违停）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景湖路-公园南门</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滨海海滨大道滨海公园南侧（违停）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滨海新建南路东大院北门南侧（违停）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双拥路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滨海迎宾大道复道法院南侧（违停）双拥路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西停车场</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滨海海滨大道滨海公园农行北侧（违停）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东停车场</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滨海朝阳路会议中心南侧（违停）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滨海朝阳路金陵国际大酒店北侧（违停）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海门庄路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滨海阜东路坎北小学西侧（违停）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三中巷－阜东路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滨海迎宾大道三中北侧（违停）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阜东路－三中巷</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滨海迎宾大道三中南侧东（违停）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阜东路－三中巷</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滨海迎宾大道三中南侧西（违停）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三中巷－阜东路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滨海迎宾大道三中北侧西（违停）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阜东路－玉龙街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滨海迎宾大道淮悦驾校北侧（违停）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滨海迎宾大道淮悦驾校南侧（违停）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阜东路－玉龙街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滨海迎宾大道蓝天网吧北侧（违停）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滨海迎宾大道蓝天网吧南侧（违停）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友谊路－玉龙街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滨海迎宾大道移动公司南侧（违停）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玉龙街－友谊路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滨海迎宾大道移动公司北侧（违停）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玉龙街－友谊路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滨海迎宾大道康达医院北侧（违停）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友谊路－玉龙街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滨海迎宾大道康达医院南侧（违停）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友谊路－人民路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滨海迎宾大道坎南幼儿园北侧东（违停）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人民路－友谊路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滨海迎宾大道迎宾花园小区南侧（违停）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友谊路－人民路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滨海迎宾大道迎宾花园小区北侧（违停）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人民路－友谊路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滨海迎宾大道坎南幼儿园北侧西（违停）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滨海迎宾大道绿苑小区南侧（违停）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滨海迎宾大道中国邮政北侧（违停）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富康路－景湖路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滨海朝阳路景湖菜场南侧（违停）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滨海朝阳路景湖菜场北侧（违停）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幼儿园北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滨海中市路县直幼儿园门口北侧（球）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育才路－孟扬路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滨海港城大道交警队门口北侧（球）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凤鸣路－华泰路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滨海凤鸣路与G204西南（球）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滨海G204与迎宾大道南信号灯违停（球）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通榆桥测速点</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滨海G204国道563KM+700M东侧违停（球）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通榆桥测速点北900米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滨海G204国道564KM+600M灌溉总渠大桥西违停（球）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老S328南50米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滨海灌溉总渠大桥南200米东侧（球）G204</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滨海G204与S348交叉口G204东侧25米（球）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滨海G204与S348交叉口G204西侧25米（球）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果林街北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滨海G204果林小街南向北（标卡）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果林街南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滨海G204果林小街北向南（标卡）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昧洋路北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滨海G204昧洋村路口南向北（标卡）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肖港村路北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滨海G204肖港路口南向北（标卡）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肖港村路南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滨海G204肖港路口北向南（标卡）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昧洋路南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滨海G204昧洋村路口北向南（标卡）</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海港大道东250米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滨海G228与海港大道东250米南侧（球）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海港大道西150米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滨海G228与海港大道西150米北侧（球）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滨海S327\9公里北侧（违停）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老S328</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滨海G204与老S328交界东（违停）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G204东30米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滨海G204与S348交叉口S348南侧30米（球）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G204东</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滨海张家河中桥西1.79KM北侧（球）S348</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G228南200米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滨海G228与海港大道南200米西侧（球）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G228南200米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滨海G228与海港大道南200米东侧（球）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G204东</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滨海G204与海滨大道东信号灯违停（球）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G204东</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滨海G204与迎宾大道东信号灯违停（球）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G204东30米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滨海凤鸣路与G204东南人行道（球）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G204东30米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滨海凤鸣路与G204东北人行道（球）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G204西30米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滨海凤鸣路与G204西北人行道（球）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G204西30米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滨海凤鸣路与G204西南人行道（球）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东升桥－明达路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滨海新建桥北600米东侧（球）阜东路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东升桥－明达路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滨海新建桥北400米东侧（球）阜东路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东升桥－明达路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滨海新建桥北500米东侧（球）阜东路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新建桥－东坎中路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滨海新建桥北200米东侧（球）阜东路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新建桥－东坎中路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滨海新建桥北100米东侧（球）阜东路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明达路－东升桥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滨海新建桥北600米西侧（球）阜东路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明达路－东升桥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滨海新建桥北400米西侧（球）阜东路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新建南街－新建中街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滨海人民医院南80米东侧（球）阜东路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新建南街－新建中街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滨海人民医院北20米东侧（球）阜东路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新建中街－新建南街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滨海人民医院北120米西侧（球）阜东路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新建中街－新建南街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滨海人民医院北20米西侧（球）阜东路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新建中街－新建南街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滨海人民医院南80米西侧（球）阜东路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明达路－东升桥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滨海新建桥北500米西侧（球）阜东路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东坎中路－新建桥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滨海新建桥北100米西侧（球）阜东路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滨海税务局北110米西侧（球）人民路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明达路－西园路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滨海红星桥北400米西侧（球）人民路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明达路－西园路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滨海红星桥北300米西侧（球）人民路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西园路－东坎中路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滨海红星桥北200米西侧（球）人民路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滨海碧水绿都东门北110米西侧（球）富康路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新建中街－育才路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滨海向阳路与中市中路北400米西侧（球）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新建南街－新建中街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滨海向阳路与中市中路北200米东侧（球）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新建南街－新建中街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滨海向阳路与中市中路北300米东侧（球）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立新路－景湖路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滨海景湖路与人民路西100米北侧（球）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立新路－景湖路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滨海景湖路与人民路西250米北侧（球）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滨海税务局北210米西侧（球）人民路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滨海税务局北110米东侧（球）人民路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明达路－西园路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滨海红星桥北500米西侧（球）人民路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县社巷</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阜东路以东</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滨海县社巷与阜东路西200米北侧（球）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县社巷</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阜东路以东</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滨海县社巷与阜东路东100米南侧（球）</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滨海税务局北10米东侧（球）人民路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滨海税务局北10米西侧（球）人民路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滨景湖理想城西门南90米东侧（球）富康路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云丰巷</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滨海永宁路至港城路东150米南侧（球）云丰巷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云丰巷</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港城路－永宁路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滨海永宁路至港城路东100米北侧（球）云丰巷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滨海碧水绿都东门北10米西侧（球）富康路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滨景湖理想城西门北110米东侧（球）富康路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滨海罗马皇宫东40米南侧（球）朝阳路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滨海华芳小区南门东20米北侧（球）朝阳路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东坎中路－东升桥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滨海新建桥北300米东侧（球）阜东路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滨海税务局北210米东侧（球）人民路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滨海碧水绿都东门南90米西侧（球）富康路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滨景湖理想城西门北10米东侧（球）富康路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东坎中路－市民路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滨海红星桥北300米东侧（球）人民路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西园路－明达路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滨海红星桥北400米东侧（球）人民路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西园路－明达路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滨海红星桥北500米东侧（球）人民路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向阳路－新建南街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滨海向阳路与中市中路北100米东侧（球）中市路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云丰巷</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港城路－永宁路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滨海永宁路至港城路东200米南侧（球）云丰巷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新建桥－东坎中路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滨海新建桥北200米西侧（球）阜东路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东坎中路－市民路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滨海红星桥北100米东侧（球）人民路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云丰巷</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港城路－永宁路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滨海永宁路至港城路东50米北侧（球）云丰巷</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新建南街－新建中街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滨海人民医院北120米东侧（球）阜东路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东升桥－东坎中路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滨海新建桥北300米西侧（球）阜东路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进站天桥-出站天桥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站前路（滨海港高铁站1）违停抓拍</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进站天桥-出站天桥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站前路（滨海港高铁站2）违停抓拍</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进站天桥-出站天桥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高铁进站口东违停2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152</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进站天桥-出站天桥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高铁进站口西违停2</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153</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公园东路-公园西路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高铁停车场进口</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154</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公园东路-公园西路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公交东违停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公园东路-公园西路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公交西违停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156</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公园东路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进站天桥-出站天桥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社会停车场出口西违停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157</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进站天桥-出站天桥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出站天桥下1违停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158</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站前路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进站天桥-出站天桥</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出站天桥下2违停</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159</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中市路与新建北街违停抓拍</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新建中街</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滨海宾馆</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新建中路（阜东路至中市路）违停抓拍</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161</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违停</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新建中街－新建南街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滨海幼儿园门口北向南（标卡）中市路</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bl>
    <w:p>
      <w:pPr>
        <w:pStyle w:val="1098"/>
        <w:ind w:left="0" w:right="1470"/>
        <w:rPr>
          <w:rFonts w:hint="default"/>
          <w:sz w:val="24"/>
          <w:szCs w:val="24"/>
        </w:rPr>
      </w:pPr>
      <w:r>
        <w:rPr>
          <w:rFonts w:hint="default"/>
          <w:sz w:val="24"/>
          <w:szCs w:val="24"/>
        </w:rPr>
      </w:r>
      <w:r/>
    </w:p>
    <w:p>
      <w:pPr>
        <w:pStyle w:val="1098"/>
        <w:ind w:left="0" w:right="1470"/>
        <w:rPr>
          <w:rFonts w:hint="default"/>
          <w:sz w:val="24"/>
          <w:szCs w:val="24"/>
        </w:rPr>
      </w:pPr>
      <w:r>
        <w:rPr>
          <w:rFonts w:hint="default"/>
          <w:sz w:val="24"/>
          <w:szCs w:val="24"/>
        </w:rPr>
      </w:r>
      <w:r/>
    </w:p>
    <w:tbl>
      <w:tblPr>
        <w:tblStyle w:val="923"/>
        <w:tblW w:w="14845"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945"/>
        <w:gridCol w:w="1350"/>
        <w:gridCol w:w="2016"/>
        <w:gridCol w:w="3735"/>
        <w:gridCol w:w="833"/>
        <w:gridCol w:w="1200"/>
        <w:gridCol w:w="852"/>
        <w:gridCol w:w="723"/>
        <w:gridCol w:w="696"/>
        <w:gridCol w:w="713"/>
        <w:gridCol w:w="1062"/>
      </w:tblGrid>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抓拍类型</w:t>
            </w:r>
            <w:r/>
          </w:p>
        </w:tc>
        <w:tc>
          <w:tcPr>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所在道路</w:t>
            </w:r>
            <w:r/>
          </w:p>
        </w:tc>
        <w:tc>
          <w:tcPr>
            <w:tcBorders>
              <w:top w:val="single" w:color="000000" w:sz="4" w:space="0"/>
              <w:left w:val="single" w:color="000000" w:sz="4" w:space="0"/>
              <w:bottom w:val="single" w:color="000000" w:sz="4" w:space="0"/>
              <w:right w:val="single" w:color="000000" w:sz="4" w:space="0"/>
            </w:tcBorders>
            <w:tcW w:w="2016"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点位名称</w:t>
            </w:r>
            <w:r/>
          </w:p>
        </w:tc>
        <w:tc>
          <w:tcPr>
            <w:tcBorders>
              <w:top w:val="single" w:color="000000" w:sz="4" w:space="0"/>
              <w:left w:val="single" w:color="000000" w:sz="4" w:space="0"/>
              <w:bottom w:val="single" w:color="000000" w:sz="4" w:space="0"/>
              <w:right w:val="single" w:color="000000" w:sz="4" w:space="0"/>
            </w:tcBorders>
            <w:tcW w:w="3735"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设备名称</w:t>
            </w:r>
            <w:r/>
          </w:p>
        </w:tc>
        <w:tc>
          <w:tcPr>
            <w:gridSpan w:val="4"/>
            <w:tcBorders>
              <w:top w:val="single" w:color="000000" w:sz="4" w:space="0"/>
              <w:left w:val="single" w:color="000000" w:sz="4" w:space="0"/>
              <w:bottom w:val="single" w:color="000000" w:sz="4" w:space="0"/>
              <w:right w:val="single" w:color="000000" w:sz="4" w:space="0"/>
            </w:tcBorders>
            <w:tcW w:w="360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标志</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gridSpan w:val="2"/>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标线</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2016"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3735"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交通违法监控</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前方监控交通违法</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人行道</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注意行人</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立杆</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车让人字</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车让人纵向减速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越河路北</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滨海越河路与阜东路向北（标卡）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越河路南</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滨海越河路与阜东路向南（标卡）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景湖路－大佛寺路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滨海锦绣园北门向西（标卡）明达路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大佛寺路－景湖路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滨海锦绣园北门向东（标卡）明达路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友谊路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滨海康达医院向东（标卡）迎宾大道</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友谊路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滨海康达医院向西（标卡）迎宾大道</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景湖路西</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滨海海滨大道与景湖路向西（标卡）1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169</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景湖路东</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滨海海滨大道与景湖路向东（标卡）1</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公园南门</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滨海公园南门向西（标卡）1海滨大道</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公园南门</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滨海公园南门向东（标卡）1海滨大道</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朝阳路－师苑路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滨海体育中心东门向北（标卡）富康路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富康路－港城路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滨海体育中心南门向东（标卡）师苑路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师苑路－朝阳路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滨海体育中心东门向南（标卡）富康路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师苑路－朝阳路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滨海体育中心西门向南（标卡）港城路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朝阳路－师苑路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滨海体育中心西门向北（标卡）港城路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港城路－富康路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滨海体育中心南门向西（标卡）师苑路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府前路北</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滨海府前路与港城路向北（标卡）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179</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仓库路北</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滨海仓库路口与景湖路向北（标卡）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仓库路南</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滨海仓库路口与景湖路向南（标卡）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海滨大道－永康路</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滨海华德东门向北（标卡）富康路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府前路南</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滨海府前路与港城路向南（标卡）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不礼让</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永康路－海滨大道</w:t>
            </w:r>
            <w:r/>
          </w:p>
        </w:tc>
        <w:tc>
          <w:tcPr>
            <w:tcBorders>
              <w:top w:val="single" w:color="000000" w:sz="4" w:space="0"/>
              <w:left w:val="single" w:color="000000" w:sz="4" w:space="0"/>
              <w:bottom w:val="single" w:color="000000" w:sz="4" w:space="0"/>
              <w:right w:val="single" w:color="000000" w:sz="4" w:space="0"/>
            </w:tcBorders>
            <w:tcW w:w="37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滨海华德东门向南（标卡）富康路</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bl>
    <w:p>
      <w:pPr>
        <w:pStyle w:val="1098"/>
        <w:ind w:left="0" w:right="1470"/>
        <w:rPr>
          <w:rFonts w:hint="default"/>
          <w:sz w:val="24"/>
          <w:szCs w:val="24"/>
        </w:rPr>
      </w:pPr>
      <w:r>
        <w:rPr>
          <w:rFonts w:hint="default"/>
          <w:sz w:val="24"/>
          <w:szCs w:val="24"/>
        </w:rPr>
      </w:r>
      <w:r/>
    </w:p>
    <w:p>
      <w:pPr>
        <w:pStyle w:val="1098"/>
        <w:ind w:left="0" w:right="1470"/>
        <w:rPr>
          <w:rFonts w:hint="default"/>
          <w:sz w:val="24"/>
          <w:szCs w:val="24"/>
        </w:rPr>
      </w:pPr>
      <w:r>
        <w:rPr>
          <w:rFonts w:hint="default"/>
          <w:sz w:val="24"/>
          <w:szCs w:val="24"/>
        </w:rPr>
      </w:r>
      <w:r/>
    </w:p>
    <w:p>
      <w:pPr>
        <w:pStyle w:val="1098"/>
        <w:ind w:left="0" w:right="1470"/>
        <w:rPr>
          <w:rFonts w:hint="default"/>
          <w:sz w:val="24"/>
          <w:szCs w:val="24"/>
        </w:rPr>
      </w:pPr>
      <w:r>
        <w:rPr>
          <w:rFonts w:hint="default"/>
          <w:sz w:val="24"/>
          <w:szCs w:val="24"/>
        </w:rPr>
      </w:r>
      <w:r/>
    </w:p>
    <w:p>
      <w:pPr>
        <w:pStyle w:val="1098"/>
        <w:ind w:left="0" w:right="1470"/>
        <w:rPr>
          <w:rFonts w:hint="default"/>
          <w:sz w:val="24"/>
          <w:szCs w:val="24"/>
        </w:rPr>
      </w:pPr>
      <w:r>
        <w:rPr>
          <w:rFonts w:hint="default"/>
          <w:sz w:val="24"/>
          <w:szCs w:val="24"/>
        </w:rPr>
      </w:r>
      <w:r/>
    </w:p>
    <w:tbl>
      <w:tblPr>
        <w:tblStyle w:val="923"/>
        <w:tblW w:w="15562" w:type="dxa"/>
        <w:jc w:val="center"/>
        <w:tblLayout w:type="fixed"/>
        <w:tblCellMar>
          <w:left w:w="108" w:type="dxa"/>
          <w:top w:w="0" w:type="dxa"/>
          <w:right w:w="108" w:type="dxa"/>
          <w:bottom w:w="0" w:type="dxa"/>
        </w:tblCellMar>
        <w:tblLook w:val="04A0" w:firstRow="1" w:lastRow="0" w:firstColumn="1" w:lastColumn="0" w:noHBand="0" w:noVBand="1"/>
      </w:tblPr>
      <w:tblGrid>
        <w:gridCol w:w="720"/>
        <w:gridCol w:w="1199"/>
        <w:gridCol w:w="1416"/>
        <w:gridCol w:w="1916"/>
        <w:gridCol w:w="5385"/>
        <w:gridCol w:w="834"/>
        <w:gridCol w:w="1200"/>
        <w:gridCol w:w="935"/>
        <w:gridCol w:w="1289"/>
        <w:gridCol w:w="668"/>
      </w:tblGrid>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抓拍类型</w:t>
            </w:r>
            <w:r/>
          </w:p>
        </w:tc>
        <w:tc>
          <w:tcPr>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所在道路</w:t>
            </w:r>
            <w:r/>
          </w:p>
        </w:tc>
        <w:tc>
          <w:tcPr>
            <w:tcBorders>
              <w:top w:val="single" w:color="000000" w:sz="4" w:space="0"/>
              <w:left w:val="single" w:color="000000" w:sz="4" w:space="0"/>
              <w:bottom w:val="single" w:color="000000" w:sz="4" w:space="0"/>
              <w:right w:val="single" w:color="000000" w:sz="4" w:space="0"/>
            </w:tcBorders>
            <w:tcW w:w="1916"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点位名称</w:t>
            </w:r>
            <w:r/>
          </w:p>
        </w:tc>
        <w:tc>
          <w:tcPr>
            <w:tcBorders>
              <w:top w:val="single" w:color="000000" w:sz="4" w:space="0"/>
              <w:left w:val="single" w:color="000000" w:sz="4" w:space="0"/>
              <w:bottom w:val="single" w:color="000000" w:sz="4" w:space="0"/>
              <w:right w:val="single" w:color="000000" w:sz="4" w:space="0"/>
            </w:tcBorders>
            <w:tcW w:w="5385" w:type="dxa"/>
            <w:vAlign w:val="center"/>
            <w:vMerge w:val="restart"/>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设备名称</w:t>
            </w:r>
            <w:r/>
          </w:p>
        </w:tc>
        <w:tc>
          <w:tcPr>
            <w:gridSpan w:val="3"/>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标志</w:t>
            </w:r>
            <w:r/>
          </w:p>
        </w:tc>
        <w:tc>
          <w:tcPr>
            <w:gridSpan w:val="2"/>
            <w:tcBorders>
              <w:top w:val="single" w:color="000000" w:sz="4" w:space="0"/>
              <w:left w:val="single" w:color="000000" w:sz="4" w:space="0"/>
              <w:bottom w:val="single" w:color="000000" w:sz="4" w:space="0"/>
              <w:right w:val="single" w:color="000000" w:sz="4" w:space="0"/>
            </w:tcBorders>
            <w:tcW w:w="1957"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标志杆件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199"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16"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916"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385" w:type="dxa"/>
            <w:vAlign w:val="center"/>
            <w:vMerge w:val="continue"/>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交通违法监控</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前方监控交通违法</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车道行驶方向</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双悬臂式杆件、基础</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立杆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滨海S328与东海大道东向西（卡警）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滨海S328与东海大道西向东（卡警）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滨海S328与东海大道北向南（卡警）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陈新线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滨海S328与新陈线陈新路东向西（卡警）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新陈新线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滨海S328与新陈线陈新路西向东（卡警）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陈新线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滨海S328与新陈线陈新路南向北（卡警）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新陈新线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滨海S328与新陈线北向南（卡警）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滨海S328与人民路东向西（卡警）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滨海S328与人民路西向东（卡警）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滨海S328与人民路南向北（卡警）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滨海S328与人民路北向南（卡警）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滨海S226与S327东向西（卡警）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滨海S226与S327西向东（卡警）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滨海S226与S327南向北（卡警）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滨海S226与S327北向南（卡警）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滨海S328与西湖路东向西（卡警）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滨海S328与西湖路西向东（卡警）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滨海S328与西湖路南向北（卡警）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滨海S328与西湖路北向南（卡警）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滨海新安大道与海港大道南向北（卡警）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滨海新安大道与海港大道北向南（卡警）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瓯北路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人民大街与瓯北路交界处（东）卡警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瓯北路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人民大街与瓯北路交界处（北）卡警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瓯北路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人民大街与瓯北路交界处（西）卡警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瓯北路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人民大街与瓯北路交界处（南）卡警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人民大街与世纪大道交界处（东）卡警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人民大街与世纪大道交界处（南）卡警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人民大街与世纪大道交界处（西）卡警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人民大街与世纪大道交界处（北）卡警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永宁路与育才路交界处（东）卡警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永宁路与育才路交界处（南）卡警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永宁路与育才路交界处（西）卡警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永宁路与育才路交界处（北）卡警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润港路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滨海S327与阜东路东向西（卡警）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滨海S327与阜东路南向北（卡警）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滨海S327与阜东路西向东（卡警）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滨海S327与阜东路北向南（卡警）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滨海S327与人民路东向西（卡警）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滨海S327与人民路北向南（卡警）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滨海S327与人民路西向东（卡警）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滨海S327与人民路南向北（卡警）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滨海育才路与富康路东向西（卡警）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滨海育才路与富康路西向东（卡警）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滨海育才路与富康路南向北（卡警）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滨海育才路与富康路北向南（卡警）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滨海凤鸣路与港城路南向北（卡警）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滨海凤鸣路与港城路北向南（卡警）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滨海凤鸣路与港城路东向西（卡警）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滨海凤鸣路与港城路西向东（卡警）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滨海凤鸣路与人民南大街交界处东向西（卡警）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滨海凤鸣路与人民南大街交界处南向北（卡警）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滨海凤鸣路与人民南大街交界处西向东（卡警）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滨海凤鸣路与人民南大街交界处北向南（卡警）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滨海世纪大道与S327交界处南向北（卡警）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滨海世纪大道与S327交界处西向东（卡警）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滨海世纪大道与S327交界处北向南（卡警）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滨海华泰路与人民南路交界处东向西（卡警）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滨海华泰路与人民南路交界处南向北（卡警）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滨海华泰路与人民南路交界处西向东（卡警）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滨海华泰路与人民南路交界处北向南（卡警）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滨海师苑路与永宁路北向南（卡警）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滨海师苑路与永宁路西向东（卡警）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滨海师苑路与永宁路东向西（卡警）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滨海师苑路与永宁路南向北（卡警）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滨海师苑路与西湖路西向东（卡警）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滨海师苑路与西湖路东向西（卡警）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滨海师苑路与西湖路南向北（卡警）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滨海师苑路与西湖路北向南（卡警）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滨海海滨大道与永宁路东向西（卡警）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滨海海滨大道与永宁路西向东（卡警）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滨海海滨大道与永宁路南向北（卡警）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滨海海滨大道与永宁路北向南（卡警）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滨海迎宾大道与富康路东向西（卡警）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滨海迎宾大道与富康路西向东（卡警）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滨海迎宾大道与富康路南向北（卡警）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滨海迎宾大道与富康路北向南（卡警）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ff0000"/>
                <w:sz w:val="20"/>
              </w:rPr>
            </w:pPr>
            <w:r>
              <w:rPr>
                <w:rFonts w:ascii="宋体" w:hAnsi="宋体" w:cs="宋体"/>
                <w:color w:val="ff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滨海迎宾大道与玉龙路东向西（卡警）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滨海迎宾大道与玉龙路西向东（卡警）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滨海迎宾大道与玉龙路南向北（卡警）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滨海迎宾大道与玉龙路北向南（卡警）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滨海环城路与阜东北路西向东（卡警）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滨海环城路与阜东北路南向北（卡警）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滨海环城路与阜东北路东向西（卡警）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滨海环城路与阜东北路北向南（卡警）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滨海世纪大道与明达北路东向西（卡警）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滨海世纪大道与明达北路西向东（卡警）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滨海世纪大道与明达北路南向北（卡警）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滨海世纪大道与明达北路北向南（卡警）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长龙渠南侧路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滨海G204与海港大道西向东（卡警）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滨海G204与育才路南向北（卡警）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滨海G204与育才路北向南（卡警）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滨海G204与S327东向西（卡警）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滨海G204与S327西向东（卡警）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滨海G204与S327南向北（卡警）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滨海G204与S327北向南（卡警）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世纪大道－G15</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滨海G15滨海高速入口与黄海大道交界处南向北（卡警）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G15出口</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G15出口-S327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滨海G15滨海高速入口与黄海大道交界处西向东（卡警）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G15北25米</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滨海G15滨海高速入口与黄海大道交界处北向南（卡警）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滨海迎宾大道与204国道交界处东向西（卡警）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滨海迎宾大道与204国道交界处南向北（卡警）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坎场线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滨海迎宾大道与204国道交界处西向东（卡警）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滨海迎宾大道与204国道交界处北向南（卡警）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淮海路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滨海人民南路与204国道交界处东向西（卡警）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淮海路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滨海人民南路与204国道交界处南向北（卡警）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淮海路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滨海人民南路与204国道交界处北向南（卡警）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滨海环城路与中市路交界处北向南（卡警）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滨海环城路与中市路交界处西向东（卡警）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滨海环城路与中市路交界处南向北（卡警）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滨海环城路与中市路交界处东向西（卡警）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滨海育才西路与西湖路交界处西向东（卡警）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滨海育才西路与西湖路交界处南向北（卡警）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滨海育才西路与西湖路交界处北向南（卡警）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滨海育才西路与西湖路交界处东向西（卡警）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滨海富康路与师苑路东向西(卡警)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滨海富康路与师苑路西向东(卡警)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滨海富康路与师苑路南向北(卡警)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滨海富康路与师苑路北向南(卡警)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滨海富康路与向阳西路北向南(卡警)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滨海富康路与向阳西路东向西(卡警)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滨海富康路与向阳西路南向北(卡警)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滨海富康路与向阳西路西向东(卡警)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滨海港城路与永康路北向南(卡警)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滨海港城路与永康路东向西(卡警)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滨海港城路与永康路南向北(卡警)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滨海港城路与永康路西向东(卡警)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滨海景湖路与育才路北向南(卡警)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滨海景湖路与育才路南向北(卡警)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滨海景湖路与育才路西向东(卡警)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滨海景湖路与育才路东向西(卡警)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滨海西湖路与海滨大道东向西(卡警)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滨海西湖路与海滨大道南向北(卡警)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滨海西湖路与海滨大道西向东(卡警)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朝阳西路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滨海朝阳路与港城大道西向东（卡警）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滨海朝阳路与港城大道南向北（卡警）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滨海朝阳路与港城大道东向西（卡警）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滨海朝阳路与港城大道北向南（卡警）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滨海S327与响坎西路北向南(卡警)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响坎路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滨海S327与响坎西路南向北(卡警)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响坎路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滨海S327与响坎西路西向东(卡警)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响坎路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滨海S327与响坎西路东向西(卡警)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滨海中市北路与世纪大道东向西（卡警）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滨海中市北路与世纪大道北向南（卡警）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滨海中市北路与世纪大道西向东（卡警）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滨海中市北路与世纪大道南向北（卡警）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滨海中市路与育才路东向西(卡警)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滨海中市路与育才路南向北(卡警)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滨海中市路与育才路西向东(卡警)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滨海中市路与育才路北向南(卡警)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滨海中市路与新建南路东向西(卡警)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滨海中市路与新建南路南向北(卡警)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滨海中市路与新建南路西向东(卡警)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滨海中市路与新建南路北向南(卡警)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滨海中市北路与明达路东向西(卡警)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滨海中市北路与明达路西向东(卡警)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滨海中市北路与明达路北向南(卡警)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滨海港城路与海滨大道东向西(卡警)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滨海港城路与海滨大道南向北(卡警)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滨海港城路与海滨大道西向东(卡警)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滨海港城路与海滨大道北向南(卡警)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滨海新建南路与阜东中路南向北(卡警)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滨海新建南路与阜东中路西向东(卡警)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滨海新建南路与阜东中路北向南(卡警)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滨海人民北路与明达路东向西(卡警)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滨海人民北路与明达路南向北(卡警)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滨海人民北路与明达路西向东(卡警)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滨海人民北路与明达路北向南(卡警)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滨海人民路与育才路东向西(卡警)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滨海人民路与育才路南向北(卡警)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滨海人民路与育才路西向东(卡警)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滨海人民路与育才路北向南(卡警)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滨海人民路与海滨大道东向西(卡警)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滨海人民路与海滨大道南向北(卡警)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滨海人民路与海滨大道西向东(卡警)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滨海人民路与海滨大道北向南(卡警)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滨海港城路与育才西路东向西(卡警)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滨海港城路与育才西路南向北(卡警)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滨海港城路与育才西路西向东(卡警)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滨海港城路与育才西路北向南(卡警)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滨海港城路与师苑路东向西(卡警)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滨海港城路与师苑路南向北(卡警)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滨海港城路与师苑路西向东(卡警)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滨海港城路与师苑路北向南(卡警)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滨海富康路与海滨大道东向西(卡警)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滨海富康路与海滨大道南向北(卡警)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滨海富康路与海滨大道西向东(卡警)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滨海阜东路与迎宾大道东向西(卡警)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滨海阜东路与迎宾大道南向北(卡警)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滨海阜东路与迎宾大道西向东(卡警)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滨海阜东路与迎宾大道北向南(卡警)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滨海S327与中市北路东向西(卡警)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滨海S327与中市北路南向北(卡警)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滨海S327与中市北路西向东(卡警)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中市北路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滨海S327与中市北路北向南(卡警)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滨海G228与S327西向东(卡警)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滨海G228与S327北向南(卡警)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滨海G228与S226东向西(卡警）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滨海G228与S327南向北(卡警）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滨海G228与S226西向东(卡警)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陈李线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滨海G228与S226北向南(卡警)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滨海G228与S327东向西(卡警）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滨海G228与S226南向北(卡警）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滨海中市北路与明达路南向北(卡警)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滨海迎宾大道与港城路南向北（卡警）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滨海富康路与永康路南向北（卡警）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滨海富康路与永康路西向东（卡警）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滨海富康路与永康路北向南（卡警）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滨海富康路与永康路东向西（卡警）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滨海X101与S226东向西（卡警）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滨海X101与S226西向东（卡警）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滨海X101与S226南向北（卡警）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滨海X101与S226北向南（卡警）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坎振线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滨海坎振线与S226东向西（卡警）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坎振线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滨海坎振线与S226西向东（卡警）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坎振线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滨海坎振线与S226南向北（卡警）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坎振线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滨海坎振线与S226北向南（卡警）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汛坍路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滨海汛坍路与S226南向北（卡警）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汛坍路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滨海汛坍路与S226北向南（卡警）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滨海X101与G228处东向西（卡警）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滨海X101与G228处西向东（卡警）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滨海X101与G228处南向北（卡警）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滨海X101与G228处北向南（卡警）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通港路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滨海通港路与G228东向西（卡警）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通港路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滨海通港路与G228西向东（卡警）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通港路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滨海通港路与G228南向北（卡警）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通港路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滨海通港路与G228北向南（卡警）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巨余路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滨海S327与巨余路东向西（卡警）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巨余路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滨海S327与巨余路南向北（卡警）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巨余路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滨海S327与巨余路西向东（卡警）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巨余路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滨海S327与巨余路北向南（卡警）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无名路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滨海S327与巨余路东南向西北（卡警）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滨海海滨大道与G204南向北（卡警）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滨海海滨大道与G204北向南（卡警）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滨海海滨大道与G204东向西（卡警）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大有桥路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滨海海港大道与新大有桥东向西（卡警）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大有桥路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滨海海港大道与新大有桥西向东（卡警）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大有桥路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滨海海港大道与新大有桥北向南（卡警）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滨海海港大道与X301东向西（卡警）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滨海海港大道与X301西向东（卡警）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滨海海港大道与X301南向北（卡警）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滨海海港大道与X301北向南（卡警）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滨海海港大道与X204东向西（卡警）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滨海海港大道与X204西向东（卡警）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滨海海港大道与X204南向北（卡警）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滨海海港大道与X204北向南（卡警）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团结路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滨海S348与团结路口东向西（卡警）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团结路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滨海S348与团结路口西向东（卡警）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团结路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滨海S348与团结路口南向北（卡警）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团结路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滨海S348与团结路口北向南（卡警）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五蔡线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滨海S348与五蔡线东向西（卡警）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五蔡线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滨海S348与五蔡线西向东（卡警）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五蔡线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滨海S348与五蔡线南向北（卡警）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五蔡线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滨海S348与五蔡线北向南（卡警）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坎獐铸线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滨海S348与坎獐铸线东向西（卡警）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坎獐铸线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滨海S348与坎獐铸线西向东（卡警）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坎獐铸线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滨海S348与坎獐铸线南向北（卡警）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坎獐铸线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滨海S348与坎獐铸线北向南（卡警）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滨海S327与西湖路东向西（卡警）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滨海S327与西湖路西向东（卡警）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滨海S327与西湖路南向北（卡警）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滨海S327与X204西向东（卡警）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银八滩大道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滨海S327与银八滩大道东向西（卡警）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银八滩大道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滨海S327与银八滩大道西向东（卡警）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银八滩大道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滨海S327与银八滩大道南向北（卡警）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滨海S327与X101东向西（卡警）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滨海S327与X101西向东（卡警）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滨海S327与X101南向北（卡警）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滨海S327与X101北向南（卡警）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滨海S327与新安大道南向北（卡警）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滨海S327与新安大道北向南（卡警）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滨海S327与新安大道西向东（卡警）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滨海S327与新安大道东向西（卡警）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套沙线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滨海S327与套沙路东向西（卡警）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套沙线</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滨海S327与套沙路西向东（卡警）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套沙线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滨海S327与套沙路南向北（卡警）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套沙线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滨海S327与套沙路北向南（卡警）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丰收大道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滨海S327与丰收大道北向南（卡警）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丰收大道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滨海S327与丰收大道东向西（卡警）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丰收大道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滨海S327与丰收大道西向东（卡警）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火箭路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滨海火箭路与G204东向西（卡警）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火箭路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滨海火箭路与G204南向北（卡警）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火箭路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滨海火箭路与G204西向东（卡警）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火箭路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滨海火箭路与G204北向南（卡警）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滨海华泰路与G204东向西（卡警）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滨海华泰路与G204南向北（卡警）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滨海华泰路与G204北向南（卡警）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农业园中心路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滨海农业园中心路与G204南向北（卡警）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农业园中心路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滨海农业园中心路与G204北向南（卡警）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农业园中心路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滨海农业园中心路与G204西向东（卡警）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通榆路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滨海通榆路与G204南向北（卡警）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通榆路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滨海通榆路与G204北向南（卡警）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通榆路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滨海通榆路与G204东向西（卡警）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通三路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滨海三元村路口与G204南向北（卡警）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通三路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滨海三元村路口与G204北向南（卡警）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通三路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滨海三元村路口与G204东向西（卡警）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滨海S348与G204北向南（卡警）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滨海S348与G204南向北（卡警）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滨海S348与G204东向西（卡警）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朱集路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滨海朱集路与G204南向北（卡警）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朱集路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滨海朱集路与G204北向南（卡警）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朱集路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滨海朱集路与G204东向西（卡警）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滨海迎宾大道与西湖路东向西（卡警）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滨海迎宾大道与西湖路西向东（卡警）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滨海迎宾大道与西湖路北向南（卡警）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滨海师苑路与景湖路东向西（卡警）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滨海师苑路与景湖路西向东（卡警）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滨海师苑路与景湖路南向北（卡警）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滨海师苑路与景湖路北向南（卡警）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金八滩大道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滨海S327与金八滩大道东向西（卡警）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金八滩大道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滨海S327与金八滩大道南向北（卡警）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金八滩大道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滨海S327与金八滩大道西向东（卡警）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滨海X301与G228东向西（卡警）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滨海X301与G228西向东（卡警）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滨海X301与G228南向北（卡警）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滨海X301与G228北向南（卡警）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滨海X301与S226东向西（卡警）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滨海X301与S226西向东（卡警）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滨海X301与S226南向北（卡警）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滨海X301与S226北向南（卡警）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滨海S327与X301东向西（卡警）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滨海S327与X301西向东（卡警）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滨海S327与X301南向北（卡警）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滨海S327与X301北向南（卡警）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侉干路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滨海G228与合心村路口东向西（卡警）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侉干路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滨海G228与合心村路口西向东（卡警）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侉干路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滨海G228与合心村路口南向北（卡警）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侉干路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滨海G228与合心村路口北向南（卡警）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滨海人民路与海港大道西向东（卡警）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滨海人民路与海港大道南向北（卡警）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滨海人民路与海港大道北向南（卡警）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滨海港城路与海港大道东向西（卡警）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滨海港城路与海港大道西向东（卡警）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滨海港城路与海港大道南向北（卡警）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滨海G204与海港大道东向西（卡警）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滨海G204与海港大道南向北（卡警）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滨海G204与海港大道北向南（卡警）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疏港路口</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S327与疏港路口东向卡警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疏港路口</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S327与疏港路口西向卡警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S327与疏港路口北向卡警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S328与阜东南路东向卡警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S328与阜东南路南向北（卡警）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S328与阜东南路西向卡警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S328与阜东南路北向卡警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东海大道与迎宾大道路东向电警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东海大道与迎宾大道路南向电</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东海大道与迎宾大道路西向电警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东海大道与迎宾大道路北向电</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东海大道与海滨大道路南向电警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东海大道与海滨大道路西向电警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东海大道与海滨大道路北向电警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东海大道与育才东路南向电警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东海大道与育才东路西向电警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东海大道与育才东路北向电警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润港路/城东大道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东海大道与润港路/城东大道路口东向电警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润港路/城东大道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东海大道与润港路/城东大道路口南向电警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城东大道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东海大道/润港路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东海大道与润港路/城东大道路口西向电警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润港路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东海大道/城东大道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东海大道与润港路/城东大道路口北向电警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阜东路与向阳路口东向电警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海滨大道/向阳路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阜东路与向阳路口南向电警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海滨大道/向阳路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阜东路与向阳路口北向电警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阜东南路与凤鸣路南向电警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阜东南路与凤鸣路西向电警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阜东南路与凤鸣路北向电警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玉龙南街与凤鸣路东向电警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玉龙南街与凤鸣路南向电警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玉龙南街与凤鸣路西向电警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玉龙南街与凤鸣路北向电警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富康南路与凤鸣路东向电警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富康南路与凤鸣路南向电警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富康南路与凤鸣路西向电警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富康南路与凤鸣路北向电警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响坎路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港城路与坎果路东向电警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港城路与坎果路南向电警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响坎路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港城路与坎果路西向电警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港城路与坎果路北向电警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明达东路与海滨大道东向电警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明达东路与海滨大道南向电警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明达东路与海滨大道西向电警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明达东路与海滨大道北向电警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阜东路与明达路东向电警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阜东路与明达路南向电警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阜东路与明达路西向电警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阜东路与明达路北向电警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书香路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人民南路与书香路口东向电警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书香路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人民南路与书香路口南向电警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书香路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人民南路与书香路口北向电警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人民路与幸福路东向电警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人民路与幸福路南向电警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人民路与幸福路西向电警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人民路与幸福路北向电警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阜东路与育才路东向电警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阜东路与育才路南向电警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阜东路与育才路西向电警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阜东路与育才路北向电警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金光大道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疏港路与金光大道东向电警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金光大道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疏港路与金光大道南向电警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金光大道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疏港路与金光大道西向电警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金光大道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疏港路与金光大道北向电警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渔港路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六合大道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六合大道与渔港路东向电警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六合大道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渔港路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六合大道与渔港路南向电警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六合大道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渔港路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六合大道与渔港路北向电警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中市路与幸福路东向电警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中市路与幸福路南向电警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中市路与幸福路西向电警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597</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中市路与幸福路北向电警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598</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迎宾大道与港城路东向电警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599</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迎宾大道与港城路西向电警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600</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迎宾大道与港城路北向电警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601</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明达东路与育才东路东电警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602</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明达东路与育才东路南电警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603</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明达东路与育才东路西电警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604</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明达东路与育才东路北电警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605</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滨海西湖路与海滨大道北向南(卡警)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606</w:t>
            </w:r>
            <w:r/>
          </w:p>
        </w:tc>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电警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陈新线</w:t>
            </w:r>
            <w:r/>
          </w:p>
        </w:tc>
        <w:tc>
          <w:tcPr>
            <w:tcBorders>
              <w:top w:val="single" w:color="000000" w:sz="4" w:space="0"/>
              <w:left w:val="single" w:color="000000" w:sz="4" w:space="0"/>
              <w:bottom w:val="single" w:color="000000" w:sz="4" w:space="0"/>
              <w:right w:val="single" w:color="000000" w:sz="4" w:space="0"/>
            </w:tcBorders>
            <w:tcW w:w="19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538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滨海S328与新陈线北向南（卡警）</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bl>
    <w:p>
      <w:pPr>
        <w:pStyle w:val="1098"/>
        <w:ind w:left="0" w:right="1470"/>
        <w:rPr>
          <w:rFonts w:hint="default" w:ascii="宋体" w:hAnsi="宋体" w:cs="宋体"/>
          <w:bCs/>
          <w:sz w:val="21"/>
        </w:rPr>
      </w:pPr>
      <w:r>
        <w:rPr>
          <w:rFonts w:hint="default" w:ascii="宋体" w:hAnsi="宋体" w:cs="宋体"/>
          <w:bCs/>
          <w:sz w:val="21"/>
        </w:rPr>
      </w:r>
      <w:r/>
    </w:p>
    <w:p>
      <w:pPr>
        <w:pStyle w:val="1098"/>
        <w:ind w:left="0" w:right="1470"/>
        <w:rPr>
          <w:rFonts w:hint="default"/>
          <w:b/>
        </w:rPr>
      </w:pPr>
      <w:r>
        <w:rPr>
          <w:rFonts w:ascii="宋体" w:hAnsi="宋体" w:cs="宋体"/>
          <w:b/>
          <w:sz w:val="32"/>
          <w:szCs w:val="32"/>
        </w:rPr>
        <w:t xml:space="preserve">五、部分电子警察点位车道统计表</w:t>
      </w:r>
      <w:r/>
    </w:p>
    <w:tbl>
      <w:tblPr>
        <w:tblStyle w:val="923"/>
        <w:tblW w:w="14455" w:type="dxa"/>
        <w:jc w:val="center"/>
        <w:tblLayout w:type="fixed"/>
        <w:tblCellMar>
          <w:left w:w="108" w:type="dxa"/>
          <w:top w:w="0" w:type="dxa"/>
          <w:right w:w="108" w:type="dxa"/>
          <w:bottom w:w="0" w:type="dxa"/>
        </w:tblCellMar>
        <w:tblLook w:val="04A0" w:firstRow="1" w:lastRow="0" w:firstColumn="1" w:lastColumn="0" w:noHBand="0" w:noVBand="1"/>
      </w:tblPr>
      <w:tblGrid>
        <w:gridCol w:w="715"/>
        <w:gridCol w:w="1416"/>
        <w:gridCol w:w="1384"/>
        <w:gridCol w:w="5351"/>
        <w:gridCol w:w="855"/>
        <w:gridCol w:w="698"/>
        <w:gridCol w:w="645"/>
        <w:gridCol w:w="715"/>
        <w:gridCol w:w="633"/>
        <w:gridCol w:w="658"/>
        <w:gridCol w:w="654"/>
        <w:gridCol w:w="731"/>
      </w:tblGrid>
      <w:tr>
        <w:trPr>
          <w:jc w:val="center"/>
          <w:trHeight w:val="345"/>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所在道路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路口/位置</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车道数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左转</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直行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右转</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lang w:bidi="ar"/>
              </w:rPr>
            </w:pPr>
            <w:r>
              <w:rPr>
                <w:rFonts w:hint="eastAsia" w:ascii="宋体" w:hAnsi="宋体" w:cs="宋体"/>
                <w:color w:val="000000"/>
                <w:sz w:val="20"/>
                <w:lang w:bidi="ar"/>
              </w:rPr>
              <w:t xml:space="preserve">直行</w:t>
            </w:r>
            <w:r/>
          </w:p>
          <w:p>
            <w:pPr>
              <w:jc w:val="center"/>
              <w:widowControl/>
              <w:rPr>
                <w:rFonts w:ascii="宋体" w:hAnsi="宋体" w:cs="宋体"/>
                <w:color w:val="000000"/>
                <w:sz w:val="20"/>
              </w:rPr>
            </w:pPr>
            <w:r>
              <w:rPr>
                <w:rFonts w:hint="eastAsia" w:ascii="宋体" w:hAnsi="宋体" w:cs="宋体"/>
                <w:color w:val="000000"/>
                <w:sz w:val="20"/>
                <w:lang w:bidi="ar"/>
              </w:rPr>
              <w:t xml:space="preserve">右转</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lang w:bidi="ar"/>
              </w:rPr>
            </w:pPr>
            <w:r>
              <w:rPr>
                <w:rFonts w:hint="eastAsia" w:ascii="宋体" w:hAnsi="宋体" w:cs="宋体"/>
                <w:color w:val="000000"/>
                <w:sz w:val="20"/>
                <w:lang w:bidi="ar"/>
              </w:rPr>
              <w:t xml:space="preserve">直行</w:t>
            </w:r>
            <w:r/>
          </w:p>
          <w:p>
            <w:pPr>
              <w:jc w:val="center"/>
              <w:widowControl/>
              <w:rPr>
                <w:rFonts w:ascii="宋体" w:hAnsi="宋体" w:cs="宋体"/>
                <w:color w:val="000000"/>
                <w:sz w:val="20"/>
              </w:rPr>
            </w:pPr>
            <w:r>
              <w:rPr>
                <w:rFonts w:hint="eastAsia" w:ascii="宋体" w:hAnsi="宋体" w:cs="宋体"/>
                <w:color w:val="000000"/>
                <w:sz w:val="20"/>
                <w:lang w:bidi="ar"/>
              </w:rPr>
              <w:t xml:space="preserve">左转</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widowControl/>
              <w:rPr>
                <w:rFonts w:ascii="宋体" w:hAnsi="宋体" w:cs="宋体"/>
                <w:color w:val="000000"/>
                <w:sz w:val="20"/>
                <w:lang w:bidi="ar"/>
              </w:rPr>
            </w:pPr>
            <w:r>
              <w:rPr>
                <w:rFonts w:hint="eastAsia" w:ascii="宋体" w:hAnsi="宋体" w:cs="宋体"/>
                <w:color w:val="000000"/>
                <w:sz w:val="20"/>
                <w:lang w:bidi="ar"/>
              </w:rPr>
              <w:t xml:space="preserve">右转</w:t>
            </w:r>
            <w:r/>
          </w:p>
          <w:p>
            <w:pPr>
              <w:jc w:val="center"/>
              <w:widowControl/>
              <w:rPr>
                <w:rFonts w:ascii="宋体" w:hAnsi="宋体" w:cs="宋体"/>
                <w:color w:val="000000"/>
                <w:sz w:val="20"/>
              </w:rPr>
            </w:pPr>
            <w:r>
              <w:rPr>
                <w:rFonts w:hint="eastAsia" w:ascii="宋体" w:hAnsi="宋体" w:cs="宋体"/>
                <w:color w:val="000000"/>
                <w:sz w:val="20"/>
                <w:lang w:bidi="ar"/>
              </w:rPr>
              <w:t xml:space="preserve">掉头</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color w:val="000000"/>
                <w:sz w:val="20"/>
                <w:lang w:bidi="ar"/>
              </w:rPr>
            </w:pPr>
            <w:r>
              <w:rPr>
                <w:rFonts w:hint="eastAsia" w:ascii="宋体" w:hAnsi="宋体" w:cs="宋体"/>
                <w:color w:val="000000"/>
                <w:sz w:val="20"/>
                <w:lang w:bidi="ar"/>
              </w:rPr>
              <w:t xml:space="preserve">左转</w:t>
            </w:r>
            <w:r/>
          </w:p>
          <w:p>
            <w:pPr>
              <w:jc w:val="center"/>
              <w:widowControl/>
              <w:rPr>
                <w:rFonts w:ascii="宋体" w:hAnsi="宋体" w:cs="宋体"/>
                <w:color w:val="000000"/>
                <w:sz w:val="20"/>
              </w:rPr>
            </w:pPr>
            <w:r>
              <w:rPr>
                <w:rFonts w:hint="eastAsia" w:ascii="宋体" w:hAnsi="宋体" w:cs="宋体"/>
                <w:color w:val="000000"/>
                <w:sz w:val="20"/>
                <w:lang w:bidi="ar"/>
              </w:rPr>
              <w:t xml:space="preserve">右转</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东海大道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滨海S328与东海大道东向西（卡警）警1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陈新线</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滨海S328与新陈线陈新路东向西（卡警）警1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新陈新线</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滨海S328与新陈线陈新路西向东（卡警）警1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新陈新线</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滨海S328与新陈线陈新路新陈线北向南（卡警）警1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滨海S226与S327南向北（卡警）警1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滨海S226与S327北向南（卡警）警1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滨海G228与海港大道南向北（卡警）警1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滨海G228与海港大道北向南（卡警）警1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滨海新安大道与海港大道南向北（卡警）警1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滨海新安大道与海港大道北向南（卡警）警1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瓯北路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人民大街与瓯北路交界处（东）卡警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瓯北路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人民大街与瓯北路交界处（西）卡警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人民大街与世纪大道交界处（东）卡警1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人民大街与世纪大道交界处（西）卡警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永宁路与育才路交界处（东）卡警1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永宁路与育才路交界处（西）卡警1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润港路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滨海S327与阜东路东向西（卡警）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滨海S327与阜东路南向北（卡警）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滨海S327与阜东路西向东（卡警）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滨海S327与阜东路北向南（卡警）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滨海S327与人民路东向西（卡警）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滨海S327与人民路北向南（卡警）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滨海S327与人民路西向东（卡警）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滨海S327与人民路南向北（卡警）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滨海凤鸣路与港城路南向北（卡警）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滨海凤鸣路与港城路北向南（卡警）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滨海凤鸣路与港城路东向西（卡警）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滨海凤鸣路与港城路西向东（卡警）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滨海凤鸣路与人民南大街交界处东向西（卡警）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滨海凤鸣路与人民南大街交界处西向东（卡警）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滨海世纪大道与S327交界处南向北（卡警）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滨海世纪大道与S327交界处西向东（卡警）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滨海世纪大道与S327交界处北向南（卡警）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滨海华泰路与人民南路交界处东向西（卡警）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滨海华泰路与人民南路交界处南向北（卡警）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滨海华泰路与人民南路交界处西向东（卡警）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滨海华泰路与人民南路交界处北向南（卡警）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师苑西路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滨海师苑路与永宁路西向东（卡警）警1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师苑西路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滨海师苑路与永宁路东向西（卡警）警1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师苑西路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滨海师苑路与西湖路东向西（卡警）警1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师苑西路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滨海师苑路与西湖路南向北（卡警）警1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师苑西路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滨海师苑路与西湖路北向南（卡警）警1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滨海海滨大道与永宁路东向西（卡警）警1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永宁路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滨海海滨大道与永宁路西向东（卡警）警1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滨海迎宾大道与富康路东向西（卡警）警1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滨海迎宾大道与富康路西向东（卡警）警1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滨海迎宾大道与玉龙路东向西（卡警）警1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滨海迎宾大道与玉龙路西向东（卡警）警1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滨海迎宾大道与玉龙路南向北（卡警）警1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滨海迎宾大道与玉龙路北向南（卡警）警1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滨海环城路与阜东北路西向东（卡警）警1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滨海环城路与阜东北路南向北（卡警）警1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滨海环城路与阜东北路东向西（卡警）警1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滨海环城路与阜东北路北向南（卡警）警1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滨海世纪大道与明达北路东向西（卡警）警1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滨海世纪大道与明达北路西向东（卡警）警1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滨海世纪大道与明达北路南向北（卡警）警1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景湖北路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滨海世纪大道与明达北路北向南（卡警）警1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滨海G204与育才路南向北（卡警）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滨海G204与育才路北向南（卡警）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滨海G204与S327东向西（卡警）警1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滨海G204与S327西向东（卡警）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滨海G204与S327南向北（卡警）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G15出口</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滨海G15滨海高速入口与黄海大道交界处西向东（卡警）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G15</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滨海G15滨海高速入口与黄海大道交界处北向南（卡警）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滨海迎宾大道与204国道交界处东向西（卡警）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坎场线</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滨海迎宾大道与204国道交界处西向东（卡警）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69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淮海路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滨海人民南路与204国道交界处东向西（卡警）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滨海环城路与中市路交界处北向南（卡警）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滨海环城路与中市路交界处南向北（卡警）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思乡路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滨海环城路与中市路交界处东向西（卡警）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滨海育才西路与西湖路交界处南向北（卡警）警1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滨海育才西路与西湖路交界处北向南（卡警）警1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育才西路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滨海育才西路与西湖路交界处东向西（卡警）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滨海富康路与师苑路东向西(卡警)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滨海富康路与师苑路西向东(卡警)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滨海富康路与向阳西路东向西(卡警)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79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滨海富康路与向阳西路西向东(卡警)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滨海景湖路与育才路北向南(卡警)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滨海景湖路与育才路南向北(卡警)1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滨海景湖路与育才路西向东(卡警)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滨海景湖路与育才路东向西(卡警)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滨海西湖路与海滨大道东向西(卡警)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滨海西湖路与海滨大道南向北(卡警)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滨海西湖路与海滨大道西向东(卡警)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朝阳西路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滨海朝阳路与港城大道西向东（卡警）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滨海朝阳路与港城大道南向北（卡警）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89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滨海朝阳路与港城大道东向西（卡警）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朝阳路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滨海朝阳路与港城大道北向南（卡警）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响坎路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滨海S327与响坎西路南向北(卡警)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响坎路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滨海S327与响坎西路西向东(卡警)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响坎路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滨海S327与响坎西路东向西(卡警)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滨海中市北路与世纪大道东向西（卡警）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中市北路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滨海中市北路与世纪大道北向南（卡警）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滨海中市北路与世纪大道西向东（卡警）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中市北路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滨海中市北路与世纪大道南向北（卡警）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滨海中市路与育才路东向西(卡警)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99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滨海中市路与育才路南向北(卡警)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滨海中市路与育才路西向东(卡警)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滨海中市路与育才路北向南(卡警)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滨海中市路与新建南路东向西(卡警)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滨海中市路与新建南路南向北(卡警)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滨海中市路与新建南路西向东(卡警)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滨海中市路与新建南路北向南(卡警)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滨海新建南路与阜东中路南向北(卡警)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滨海新建南路与阜东中路西向东(卡警)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新建南街</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滨海新建南路与阜东中路北向南(卡警)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109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滨海人民北路与明达路北向南(卡警)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滨海人民路与育才路东向西(卡警)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滨海人民路与育才路西向东(卡警)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滨海人民路与海滨大道东向西(卡警)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滨海人民路与海滨大道西向东(卡警)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滨海港城路与师苑路东向西(卡警)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滨海港城路与师苑路西向东(卡警)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滨海阜东路与迎宾大道东向西(卡警)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滨海阜东路与迎宾大道西向东(卡警)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滨海阜东路与迎宾大道北向南(卡警)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119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滨海S327与中市北路东向西(卡警)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滨海S327与中市北路南向北(卡警)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滨海S327与中市北路西向东(卡警)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滨海G228与S327西向东(卡警)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滨海G228与S226东向西(卡警）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滨海G228与S226西向东(卡警)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滨海G228与S226北向南(卡警)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滨海G228与S327东向西(卡警）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S226</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滨海G228与S226南向北(卡警）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明达路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滨海中市北路与明达路南向北(卡警)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129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港城路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滨海迎宾大道与港城路南向北（卡警）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滨海X101与G228处南向北（卡警）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滨海X101与G228处北向南（卡警）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通港路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滨海通港路与G228南向北（卡警）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通港路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滨海通港路与G228北向南（卡警）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巨余路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滨海S327与巨余路东向西（卡警）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巨余路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滨海S327与巨余路西向东（卡警）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滨海海滨大道与G204南向北（卡警）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139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滨海海滨大道与G204北向南（卡警）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滨海海滨大道与G204东向西（卡警）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大有桥路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滨海X351与新大有桥东向西（卡警）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大有桥路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滨海X351与新大有桥西向东（卡警）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大有桥路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滨海X351与新大有桥北向南（卡警）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滨海X351与X301东向西（卡警）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滨海X351与X301西向东（卡警）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滨海X351与X204东向西（卡警）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海港大道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滨海X351与X204西向东（卡警）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团结路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滨海S348与团结路口东向西（卡警）警1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149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团结路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滨海S348与团结路口西向东（卡警）警1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五蔡线</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滨海S348与五蔡线东向西（卡警）警1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五蔡线</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滨海S348与五蔡线西向东（卡警）警1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坎獐铸线</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滨海S348与坎獐铸线东向西（卡警）警1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S348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坎獐铸线</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滨海S348与坎獐铸线西向东（卡警）警1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滨海S327与西湖路东向西（卡警）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滨海S327与西湖路西向东（卡警）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滨海S327与西湖路南向北（卡警）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滨海S327与X204东向西（卡警）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滨海S327与X204西向东（卡警）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159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X204</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滨海S327与X204北向南（卡警）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银八滩大道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滨海S327与银八滩大道东向西（卡警）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银八滩大道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滨海S327与银八滩大道西向东（卡警）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银八滩大道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滨海S327与银八滩大道南向北（卡警）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滨海S327与X101东向西（卡警）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滨海S327与X101西向东（卡警）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X101</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滨海S327与X101南向北（卡警）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滨海S327与新安大道南向北（卡警）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新安大道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滨海S327与新安大道北向南（卡警）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套沙线</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滨海S327与套沙路东向西（卡警）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169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套沙线</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滨海S327与套沙路西向东（卡警）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丰收大道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滨海S327与丰收大道东向西（卡警）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丰收大道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滨海S327与丰收大道西向东（卡警）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滨海凤鸣路与G204西向东（卡警）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华泰路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滨海华泰路与G204东向西（卡警）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农业园中心路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滨海农业园中心路与G204西向东（卡警）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通榆路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G204</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滨海通榆路与G204东向西（卡警）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滨海迎宾大道与西湖路东向西（卡警）警1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滨海迎宾大道与西湖路西向东（卡警）警1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179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滨海迎宾大道与西湖路北向南（卡警）警1</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滨海师苑路与景湖路西向东（卡警）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滨海师苑路与景湖路南向北（卡警）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景湖路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师苑路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滨海师苑路与景湖路北向南（卡警）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金八滩大道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滨海S327与金八滩大道东向西（卡警）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金八滩大道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滨海S327与金八滩大道南向北（卡警）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金八滩大道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滨海S327与金八滩大道西向东（卡警）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滨海X301与G228西向东（卡警）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滨海X301与G228南向北（卡警）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滨海X301与G228北向南（卡警）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189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滨海S327与X301东向西（卡警）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滨海S327与X301西向东（卡警）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滨海S327与X301南向北（卡警）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X301</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滨海S327与X301北向南（卡警）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侉干路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滨海G228与合心村路口南向北（卡警）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G228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侉干路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滨海G228与合心村路口北向南（卡警）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疏港路口</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S327与疏港路口东向卡警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疏港路口</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S327与疏港路口西向卡警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S327与疏港路口北向卡警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S328与阜东南路东向卡警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199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S328与阜东南路西向卡警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新S328</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S328与阜东南路北向卡警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向阳路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阜东路与向阳路口南向电警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阜东南路与凤鸣路南向电警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阜东南路与凤鸣路西向电警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阜东南路与凤鸣路北向电警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玉龙南街与凤鸣路西向电警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富康南路与凤鸣路东向电警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凤鸣路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富康南路与凤鸣路西向电警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书香路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人民南路与书香路口东向电警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209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书香路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人民南路与书香路口南向电警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书香路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人民南路与书香路口北向电警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人民路与幸福路东向电警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人民路与幸福路南向电警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人民路与幸福路西向电警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人民路与幸福路北向电警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阜东路与育才路南向电警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阜东路与育才路西向电警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217</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育才路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阜东路与育才路北向电警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218</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金光大道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疏港路与金光大道南向电警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219</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金光大道</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疏港路与金光大道西向电警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金光大道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疏港路与金光大道北向电警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221</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渔港路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六合大道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六合大道与渔港路东向电警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中市路与幸福路东向电警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中市路与幸福路南向电警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中市路与幸福路西向电警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幸福路</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中市路与幸福路北向电警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226</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西湖路</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海滨大道</w:t>
            </w:r>
            <w:r/>
          </w:p>
        </w:tc>
        <w:tc>
          <w:tcPr>
            <w:tcBorders>
              <w:top w:val="single" w:color="000000" w:sz="4" w:space="0"/>
              <w:left w:val="single" w:color="000000" w:sz="4" w:space="0"/>
              <w:bottom w:val="single" w:color="000000" w:sz="4" w:space="0"/>
              <w:right w:val="single" w:color="000000" w:sz="4" w:space="0"/>
            </w:tcBorders>
            <w:tcW w:w="5351"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滨海西湖路与海滨大道北向南(卡警)</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rPr>
                <w:rFonts w:ascii="宋体" w:hAnsi="宋体" w:cs="宋体"/>
                <w:color w:val="000000"/>
                <w:sz w:val="20"/>
              </w:rPr>
            </w:pPr>
            <w:r>
              <w:rPr>
                <w:rFonts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rPr>
                <w:rFonts w:ascii="宋体" w:hAnsi="宋体" w:cs="宋体"/>
                <w:color w:val="000000"/>
                <w:sz w:val="20"/>
              </w:rPr>
            </w:pPr>
            <w:r>
              <w:rPr>
                <w:rFonts w:ascii="宋体" w:hAnsi="宋体" w:cs="宋体"/>
                <w:color w:val="000000"/>
                <w:sz w:val="20"/>
              </w:rPr>
            </w:r>
            <w:r/>
          </w:p>
        </w:tc>
      </w:tr>
    </w:tbl>
    <w:p>
      <w:pPr>
        <w:spacing w:line="360" w:lineRule="auto"/>
        <w:tabs>
          <w:tab w:val="left" w:pos="420" w:leader="none"/>
        </w:tabs>
        <w:rPr>
          <w:rFonts w:ascii="宋体" w:hAnsi="宋体" w:cs="宋体"/>
          <w:b/>
          <w:bCs/>
          <w:color w:val="000000"/>
          <w:sz w:val="24"/>
          <w:szCs w:val="24"/>
        </w:rPr>
        <w:outlineLvl w:val="1"/>
      </w:pPr>
      <w:r>
        <w:rPr>
          <w:rFonts w:ascii="宋体" w:hAnsi="宋体" w:cs="宋体"/>
          <w:b/>
          <w:bCs/>
          <w:color w:val="000000"/>
          <w:sz w:val="24"/>
          <w:szCs w:val="24"/>
        </w:rPr>
      </w:r>
      <w:r/>
    </w:p>
    <w:p>
      <w:pPr>
        <w:spacing w:line="360" w:lineRule="auto"/>
        <w:tabs>
          <w:tab w:val="left" w:pos="420" w:leader="none"/>
        </w:tabs>
        <w:rPr>
          <w:rFonts w:ascii="宋体" w:hAnsi="宋体" w:cs="宋体"/>
          <w:b/>
          <w:bCs/>
          <w:color w:val="000000"/>
          <w:sz w:val="24"/>
          <w:szCs w:val="24"/>
        </w:rPr>
        <w:outlineLvl w:val="1"/>
      </w:pPr>
      <w:r>
        <w:rPr>
          <w:rFonts w:ascii="宋体" w:hAnsi="宋体" w:cs="宋体"/>
          <w:b/>
          <w:bCs/>
          <w:color w:val="000000"/>
          <w:sz w:val="24"/>
          <w:szCs w:val="24"/>
        </w:rPr>
      </w:r>
      <w:r/>
    </w:p>
    <w:p>
      <w:pPr>
        <w:spacing w:line="360" w:lineRule="auto"/>
        <w:tabs>
          <w:tab w:val="left" w:pos="420" w:leader="none"/>
        </w:tabs>
        <w:rPr>
          <w:rFonts w:ascii="宋体" w:hAnsi="宋体" w:cs="宋体"/>
          <w:b/>
          <w:bCs/>
          <w:color w:val="000000"/>
          <w:sz w:val="24"/>
          <w:szCs w:val="24"/>
        </w:rPr>
        <w:outlineLvl w:val="1"/>
      </w:pPr>
      <w:r>
        <w:rPr>
          <w:rFonts w:ascii="宋体" w:hAnsi="宋体" w:cs="宋体"/>
          <w:b/>
          <w:bCs/>
          <w:color w:val="000000"/>
          <w:sz w:val="24"/>
          <w:szCs w:val="24"/>
        </w:rPr>
      </w:r>
      <w:r/>
    </w:p>
    <w:p>
      <w:pPr>
        <w:spacing w:line="360" w:lineRule="auto"/>
        <w:tabs>
          <w:tab w:val="left" w:pos="420" w:leader="none"/>
        </w:tabs>
        <w:rPr>
          <w:rFonts w:ascii="宋体" w:hAnsi="宋体" w:cs="宋体"/>
          <w:b/>
          <w:bCs/>
          <w:color w:val="000000"/>
          <w:sz w:val="24"/>
          <w:szCs w:val="24"/>
        </w:rPr>
        <w:outlineLvl w:val="1"/>
      </w:pPr>
      <w:r>
        <w:rPr>
          <w:rFonts w:ascii="宋体" w:hAnsi="宋体" w:cs="宋体"/>
          <w:b/>
          <w:bCs/>
          <w:color w:val="000000"/>
          <w:sz w:val="24"/>
          <w:szCs w:val="24"/>
        </w:rPr>
      </w:r>
      <w:r/>
    </w:p>
    <w:p>
      <w:pPr>
        <w:spacing w:line="360" w:lineRule="auto"/>
        <w:rPr>
          <w:b/>
          <w:sz w:val="36"/>
          <w:szCs w:val="36"/>
        </w:rPr>
      </w:pPr>
      <w:r/>
      <w:bookmarkStart w:id="54" w:name="_Toc59797305"/>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pStyle w:val="1091"/>
        <w:jc w:val="center"/>
        <w:spacing w:before="0" w:after="0" w:line="240" w:lineRule="auto"/>
        <w:rPr>
          <w:rFonts w:ascii="黑体" w:eastAsia="黑体"/>
        </w:rPr>
      </w:pPr>
      <w:r>
        <w:rPr>
          <w:rFonts w:hint="eastAsia" w:ascii="黑体" w:eastAsia="黑体"/>
        </w:rPr>
        <w:t xml:space="preserve">第六章  部分点位、设备建设示意图</w:t>
      </w:r>
      <w:r/>
    </w:p>
    <w:p>
      <w:pPr>
        <w:pStyle w:val="1098"/>
        <w:ind w:left="0"/>
        <w:spacing w:after="0"/>
        <w:rPr>
          <w:rFonts w:hint="default"/>
          <w:sz w:val="32"/>
          <w:szCs w:val="32"/>
        </w:rPr>
      </w:pPr>
      <w:r>
        <w:rPr>
          <w:sz w:val="32"/>
          <w:szCs w:val="32"/>
        </w:rPr>
        <w:t xml:space="preserve">一、科技设施</w:t>
      </w:r>
      <w:r/>
    </w:p>
    <w:p>
      <w:pPr>
        <w:pStyle w:val="1098"/>
        <w:ind w:left="0" w:right="4"/>
        <w:jc w:val="center"/>
        <w:rPr>
          <w:rFonts w:hint="default"/>
        </w:rPr>
      </w:pPr>
      <w:r>
        <mc:AlternateContent>
          <mc:Choice Requires="wpg">
            <w:drawing>
              <wp:inline xmlns:wp="http://schemas.openxmlformats.org/drawingml/2006/wordprocessingDrawing" distT="0" distB="0" distL="0" distR="0">
                <wp:extent cx="8060055" cy="496697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060054" cy="496697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4.6pt;height:391.1pt;mso-wrap-distance-left:0.0pt;mso-wrap-distance-top:0.0pt;mso-wrap-distance-right:0.0pt;mso-wrap-distance-bottom:0.0pt;" stroked="f">
                <v:path textboxrect="0,0,0,0"/>
                <v:imagedata r:id="rId17" o:title=""/>
              </v:shape>
            </w:pict>
          </mc:Fallback>
        </mc:AlternateContent>
      </w:r>
      <w:r>
        <mc:AlternateContent>
          <mc:Choice Requires="wpg">
            <w:drawing>
              <wp:inline xmlns:wp="http://schemas.openxmlformats.org/drawingml/2006/wordprocessingDrawing" distT="0" distB="0" distL="0" distR="0">
                <wp:extent cx="7969885" cy="553148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969885" cy="553148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27.5pt;height:435.5pt;mso-wrap-distance-left:0.0pt;mso-wrap-distance-top:0.0pt;mso-wrap-distance-right:0.0pt;mso-wrap-distance-bottom:0.0pt;" stroked="f">
                <v:path textboxrect="0,0,0,0"/>
                <v:imagedata r:id="rId18" o:title=""/>
              </v:shape>
            </w:pict>
          </mc:Fallback>
        </mc:AlternateContent>
      </w:r>
      <w:r>
        <mc:AlternateContent>
          <mc:Choice Requires="wpg">
            <w:drawing>
              <wp:inline xmlns:wp="http://schemas.openxmlformats.org/drawingml/2006/wordprocessingDrawing" distT="0" distB="0" distL="0" distR="0">
                <wp:extent cx="8432800" cy="555434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432800" cy="555434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64.0pt;height:437.3pt;mso-wrap-distance-left:0.0pt;mso-wrap-distance-top:0.0pt;mso-wrap-distance-right:0.0pt;mso-wrap-distance-bottom:0.0pt;" stroked="f">
                <v:path textboxrect="0,0,0,0"/>
                <v:imagedata r:id="rId19" o:title=""/>
              </v:shape>
            </w:pict>
          </mc:Fallback>
        </mc:AlternateContent>
      </w:r>
      <w:r/>
    </w:p>
    <w:p>
      <w:pPr>
        <w:pStyle w:val="1098"/>
        <w:ind w:left="0" w:right="4"/>
        <w:jc w:val="center"/>
        <w:rPr>
          <w:rFonts w:hint="default"/>
        </w:rPr>
      </w:pPr>
      <w:r>
        <mc:AlternateContent>
          <mc:Choice Requires="wpg">
            <w:drawing>
              <wp:inline xmlns:wp="http://schemas.openxmlformats.org/drawingml/2006/wordprocessingDrawing" distT="0" distB="0" distL="0" distR="0">
                <wp:extent cx="1873885" cy="190754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873885" cy="190754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7.5pt;height:150.2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1873885" cy="189674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873885" cy="189674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7.5pt;height:149.3pt;mso-wrap-distance-left:0.0pt;mso-wrap-distance-top:0.0pt;mso-wrap-distance-right:0.0pt;mso-wrap-distance-bottom:0.0pt;" stroked="f">
                <v:path textboxrect="0,0,0,0"/>
                <v:imagedata r:id="rId21" o:title=""/>
              </v:shape>
            </w:pict>
          </mc:Fallback>
        </mc:AlternateContent>
      </w:r>
      <w:r>
        <mc:AlternateContent>
          <mc:Choice Requires="wpg">
            <w:drawing>
              <wp:inline xmlns:wp="http://schemas.openxmlformats.org/drawingml/2006/wordprocessingDrawing" distT="0" distB="0" distL="0" distR="0">
                <wp:extent cx="4312285" cy="273177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312285" cy="273176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39.6pt;height:215.1pt;mso-wrap-distance-left:0.0pt;mso-wrap-distance-top:0.0pt;mso-wrap-distance-right:0.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8105140" cy="276606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105140" cy="276606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38.2pt;height:217.8pt;mso-wrap-distance-left:0.0pt;mso-wrap-distance-top:0.0pt;mso-wrap-distance-right:0.0pt;mso-wrap-distance-bottom:0.0pt;" stroked="f">
                <v:path textboxrect="0,0,0,0"/>
                <v:imagedata r:id="rId23" o:title=""/>
              </v:shape>
            </w:pict>
          </mc:Fallback>
        </mc:AlternateContent>
      </w:r>
      <w:r/>
    </w:p>
    <w:p>
      <w:pPr>
        <w:pStyle w:val="1098"/>
        <w:ind w:left="0" w:right="4"/>
        <w:jc w:val="center"/>
      </w:pPr>
      <w:r>
        <mc:AlternateContent>
          <mc:Choice Requires="wpg">
            <w:drawing>
              <wp:inline xmlns:wp="http://schemas.openxmlformats.org/drawingml/2006/wordprocessingDrawing" distT="0" distB="0" distL="0" distR="0">
                <wp:extent cx="4853940" cy="539623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853940" cy="539623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82.2pt;height:424.9pt;mso-wrap-distance-left:0.0pt;mso-wrap-distance-top:0.0pt;mso-wrap-distance-right:0.0pt;mso-wrap-distance-bottom:0.0pt;" stroked="f">
                <v:path textboxrect="0,0,0,0"/>
                <v:imagedata r:id="rId24" o:title=""/>
              </v:shape>
            </w:pict>
          </mc:Fallback>
        </mc:AlternateContent>
      </w:r>
      <w:r/>
    </w:p>
    <w:p>
      <w:pPr>
        <w:pStyle w:val="1098"/>
        <w:ind w:left="0" w:right="4"/>
        <w:jc w:val="left"/>
        <w:rPr>
          <w:rFonts w:hint="default"/>
          <w:sz w:val="32"/>
          <w:szCs w:val="32"/>
        </w:rPr>
      </w:pPr>
      <w:r>
        <w:rPr>
          <w:sz w:val="32"/>
          <w:szCs w:val="32"/>
        </w:rPr>
        <w:t xml:space="preserve">二、警保合作劝导站</w:t>
      </w:r>
      <w:r/>
    </w:p>
    <w:p>
      <w:pPr>
        <w:pStyle w:val="1098"/>
        <w:ind w:left="0" w:right="4"/>
        <w:jc w:val="center"/>
        <w:rPr>
          <w:rFonts w:hint="default" w:ascii="宋体" w:hAnsi="宋体" w:cs="宋体"/>
          <w:b/>
          <w:bCs/>
          <w:color w:val="000000"/>
          <w:sz w:val="32"/>
          <w:szCs w:val="32"/>
        </w:rPr>
      </w:pPr>
      <w:r>
        <w:rPr>
          <w:rFonts w:ascii="宋体" w:hAnsi="宋体" w:cs="宋体"/>
          <w:b/>
          <w:bCs/>
          <w:color w:val="000000"/>
          <w:sz w:val="32"/>
          <w:szCs w:val="32"/>
        </w:rPr>
        <mc:AlternateContent>
          <mc:Choice Requires="wpg">
            <w:drawing>
              <wp:inline xmlns:wp="http://schemas.openxmlformats.org/drawingml/2006/wordprocessingDrawing" distT="0" distB="0" distL="0" distR="0">
                <wp:extent cx="7789545" cy="521525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789545" cy="52152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13.4pt;height:410.6pt;mso-wrap-distance-left:0.0pt;mso-wrap-distance-top:0.0pt;mso-wrap-distance-right:0.0pt;mso-wrap-distance-bottom:0.0pt;" stroked="f">
                <v:path textboxrect="0,0,0,0"/>
                <v:imagedata r:id="rId25" o:title=""/>
              </v:shape>
            </w:pict>
          </mc:Fallback>
        </mc:AlternateContent>
      </w:r>
      <w:r/>
    </w:p>
    <w:p>
      <w:pPr>
        <w:jc w:val="center"/>
        <w:spacing w:line="360" w:lineRule="auto"/>
        <w:rPr>
          <w:rFonts w:ascii="宋体" w:hAnsi="宋体" w:cs="宋体"/>
          <w:b/>
          <w:bCs/>
          <w:color w:val="000000"/>
          <w:sz w:val="32"/>
          <w:szCs w:val="32"/>
        </w:rPr>
        <w:sectPr>
          <w:footnotePr/>
          <w:endnotePr/>
          <w:type w:val="nextPage"/>
          <w:pgSz w:w="16840" w:h="11907" w:orient="landscape"/>
          <w:pgMar w:top="1474" w:right="1134" w:bottom="1474" w:left="1134" w:header="624" w:footer="992" w:gutter="0"/>
          <w:cols w:num="1" w:sep="0" w:space="720" w:equalWidth="1"/>
          <w:docGrid w:linePitch="360"/>
          <w:titlePg/>
        </w:sectPr>
      </w:pPr>
      <w:r>
        <w:rPr>
          <w:rFonts w:ascii="宋体" w:hAnsi="宋体" w:cs="宋体"/>
          <w:b/>
          <w:bCs/>
          <w:color w:val="000000"/>
          <w:sz w:val="32"/>
          <w:szCs w:val="32"/>
        </w:rPr>
        <mc:AlternateContent>
          <mc:Choice Requires="wpg">
            <w:drawing>
              <wp:inline xmlns:wp="http://schemas.openxmlformats.org/drawingml/2006/wordprocessingDrawing" distT="0" distB="0" distL="0" distR="0">
                <wp:extent cx="8737600" cy="567817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737600" cy="567817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88.0pt;height:447.1pt;mso-wrap-distance-left:0.0pt;mso-wrap-distance-top:0.0pt;mso-wrap-distance-right:0.0pt;mso-wrap-distance-bottom:0.0pt;" stroked="f">
                <v:path textboxrect="0,0,0,0"/>
                <v:imagedata r:id="rId26" o:title=""/>
              </v:shape>
            </w:pict>
          </mc:Fallback>
        </mc:AlternateContent>
      </w:r>
      <w:r>
        <w:rPr>
          <w:rFonts w:ascii="宋体" w:hAnsi="宋体" w:cs="宋体"/>
          <w:b/>
          <w:bCs/>
          <w:color w:val="000000"/>
          <w:sz w:val="32"/>
          <w:szCs w:val="32"/>
        </w:rPr>
        <mc:AlternateContent>
          <mc:Choice Requires="wpg">
            <w:drawing>
              <wp:inline xmlns:wp="http://schemas.openxmlformats.org/drawingml/2006/wordprocessingDrawing" distT="0" distB="0" distL="0" distR="0">
                <wp:extent cx="9832340" cy="552005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832340" cy="55200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74.2pt;height:434.6pt;mso-wrap-distance-left:0.0pt;mso-wrap-distance-top:0.0pt;mso-wrap-distance-right:0.0pt;mso-wrap-distance-bottom:0.0pt;" stroked="f">
                <v:path textboxrect="0,0,0,0"/>
                <v:imagedata r:id="rId27" o:title=""/>
              </v:shape>
            </w:pict>
          </mc:Fallback>
        </mc:AlternateContent>
      </w:r>
      <w:r/>
    </w:p>
    <w:p>
      <w:pPr>
        <w:jc w:val="center"/>
        <w:spacing w:line="360" w:lineRule="auto"/>
        <w:rPr>
          <w:rFonts w:ascii="宋体" w:hAnsi="宋体" w:cs="宋体"/>
          <w:b/>
          <w:bCs/>
          <w:color w:val="000000"/>
          <w:sz w:val="32"/>
          <w:szCs w:val="32"/>
        </w:rPr>
        <w:sectPr>
          <w:footnotePr/>
          <w:endnotePr/>
          <w:type w:val="nextPage"/>
          <w:pgSz w:w="16840" w:h="11907" w:orient="landscape"/>
          <w:pgMar w:top="1474" w:right="1134" w:bottom="1474" w:left="1134" w:header="624" w:footer="992" w:gutter="0"/>
          <w:cols w:num="1" w:sep="0" w:space="720" w:equalWidth="1"/>
          <w:docGrid w:linePitch="360"/>
          <w:titlePg/>
        </w:sectPr>
      </w:pPr>
      <w:r>
        <w:rPr>
          <w:rFonts w:ascii="宋体" w:hAnsi="宋体" w:cs="宋体"/>
          <w:b/>
          <w:bCs/>
          <w:color w:val="000000"/>
          <w:sz w:val="32"/>
          <w:szCs w:val="32"/>
        </w:rPr>
        <mc:AlternateContent>
          <mc:Choice Requires="wpg">
            <w:drawing>
              <wp:inline xmlns:wp="http://schemas.openxmlformats.org/drawingml/2006/wordprocessingDrawing" distT="0" distB="0" distL="0" distR="0">
                <wp:extent cx="7236460" cy="557657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236460" cy="557657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69.8pt;height:439.1pt;mso-wrap-distance-left:0.0pt;mso-wrap-distance-top:0.0pt;mso-wrap-distance-right:0.0pt;mso-wrap-distance-bottom:0.0pt;" stroked="f">
                <v:path textboxrect="0,0,0,0"/>
                <v:imagedata r:id="rId28" o:title=""/>
              </v:shape>
            </w:pict>
          </mc:Fallback>
        </mc:AlternateContent>
      </w:r>
      <w:r/>
    </w:p>
    <w:p>
      <w:pPr>
        <w:jc w:val="center"/>
        <w:spacing w:line="360" w:lineRule="auto"/>
        <w:rPr>
          <w:b/>
          <w:sz w:val="36"/>
          <w:szCs w:val="36"/>
        </w:rPr>
      </w:pPr>
      <w:r>
        <w:rPr>
          <w:rFonts w:hint="eastAsia"/>
          <w:b/>
          <w:sz w:val="36"/>
          <w:szCs w:val="36"/>
        </w:rPr>
        <w:t xml:space="preserve">第四部分  评标方法与评标标准</w:t>
      </w:r>
      <w:bookmarkEnd w:id="54"/>
      <w:r/>
      <w:r/>
    </w:p>
    <w:p>
      <w:pPr>
        <w:ind w:firstLine="562"/>
        <w:spacing w:line="360" w:lineRule="auto"/>
        <w:rPr>
          <w:rFonts w:ascii="宋体" w:hAnsi="宋体"/>
          <w:b/>
          <w:bCs/>
          <w:szCs w:val="28"/>
        </w:rPr>
      </w:pPr>
      <w:r>
        <w:rPr>
          <w:rFonts w:hint="eastAsia" w:ascii="宋体" w:hAnsi="宋体"/>
          <w:b/>
          <w:bCs/>
          <w:szCs w:val="28"/>
        </w:rPr>
        <w:t xml:space="preserve">一、评标方法与定标原则</w:t>
      </w:r>
      <w:r/>
    </w:p>
    <w:p>
      <w:pPr>
        <w:ind w:firstLine="560"/>
        <w:keepLines w:val="0"/>
        <w:keepNext w:val="0"/>
        <w:pageBreakBefore w:val="0"/>
        <w:spacing w:line="240" w:lineRule="auto"/>
        <w:rPr>
          <w:rFonts w:ascii="宋体" w:hAnsi="宋体"/>
          <w:szCs w:val="28"/>
        </w:rPr>
      </w:pPr>
      <w:r>
        <w:rPr>
          <w:rFonts w:hint="eastAsia" w:ascii="宋体" w:hAnsi="宋体"/>
          <w:szCs w:val="28"/>
        </w:rPr>
        <w:t xml:space="preserve">采用</w:t>
      </w:r>
      <w:r>
        <w:rPr>
          <w:rFonts w:hint="eastAsia" w:ascii="宋体" w:hAnsi="宋体"/>
          <w:szCs w:val="28"/>
          <w:u w:val="single"/>
        </w:rPr>
        <w:t xml:space="preserve">综合评分法</w:t>
      </w:r>
      <w:r>
        <w:rPr>
          <w:rFonts w:hint="eastAsia" w:ascii="宋体" w:hAnsi="宋体"/>
          <w:szCs w:val="28"/>
        </w:rPr>
        <w:t xml:space="preserve">评标，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由采购人或者采购人委托评标委员会按照招标文件规定的方式确定中标人；招标文件未规定的，采取随机抽取的方式确定。</w:t>
      </w:r>
      <w:r/>
    </w:p>
    <w:p>
      <w:pPr>
        <w:pStyle w:val="941"/>
        <w:ind w:firstLine="562"/>
        <w:keepLines w:val="0"/>
        <w:keepNext w:val="0"/>
        <w:pageBreakBefore w:val="0"/>
        <w:spacing w:before="181" w:after="181" w:line="240" w:lineRule="auto"/>
        <w:widowControl/>
        <w:rPr>
          <w:rFonts w:hint="eastAsia" w:ascii="宋体" w:hAnsi="宋体" w:eastAsia="宋体" w:cs="Times New Roman"/>
          <w:b/>
          <w:bCs/>
          <w:color w:val="auto"/>
          <w:sz w:val="28"/>
          <w:szCs w:val="28"/>
          <w:highlight w:val="none"/>
          <w:lang w:eastAsia="zh-CN"/>
        </w:rPr>
      </w:pPr>
      <w:r>
        <w:rPr>
          <w:rFonts w:hint="eastAsia" w:ascii="宋体" w:hAnsi="宋体" w:cs="Times New Roman"/>
          <w:b/>
          <w:bCs/>
          <w:color w:val="auto"/>
          <w:sz w:val="28"/>
          <w:szCs w:val="28"/>
          <w:highlight w:val="none"/>
        </w:rPr>
        <w:t xml:space="preserve">政府采购政策功能落实</w:t>
      </w:r>
      <w:r>
        <w:rPr>
          <w:rFonts w:hint="eastAsia" w:ascii="宋体" w:hAnsi="宋体" w:cs="Times New Roman"/>
          <w:b/>
          <w:bCs/>
          <w:color w:val="auto"/>
          <w:sz w:val="28"/>
          <w:szCs w:val="28"/>
          <w:highlight w:val="none"/>
          <w:lang w:eastAsia="zh-CN"/>
        </w:rPr>
        <w:t xml:space="preserve">：</w:t>
      </w:r>
      <w:r/>
    </w:p>
    <w:p>
      <w:pPr>
        <w:pStyle w:val="941"/>
        <w:ind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1、小微型企业价格扣除</w:t>
      </w:r>
      <w:r/>
    </w:p>
    <w:p>
      <w:pPr>
        <w:pStyle w:val="941"/>
        <w:ind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（1）本项目对小型和微型企业产品给予20%的扣除价格，用扣除后的价格参与评审。</w:t>
      </w:r>
      <w:r/>
    </w:p>
    <w:p>
      <w:pPr>
        <w:pStyle w:val="941"/>
        <w:ind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（2）供应商需按照采购文件的要求提供相应的《小微企业声明函》。</w:t>
      </w:r>
      <w:r/>
    </w:p>
    <w:p>
      <w:pPr>
        <w:pStyle w:val="941"/>
        <w:ind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（3）企业标准请参照《关于印发中小企业划型标准规定的通知》（工信部联企业[2011]300号）文件规定自行填写。</w:t>
      </w:r>
      <w:r/>
    </w:p>
    <w:p>
      <w:pPr>
        <w:pStyle w:val="941"/>
        <w:ind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2、残疾人福利单位价格扣除</w:t>
      </w:r>
      <w:r/>
    </w:p>
    <w:p>
      <w:pPr>
        <w:pStyle w:val="941"/>
        <w:ind w:left="120"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（1）本项目对残疾人福利性单位视同小型、微型企业，给予20%</w:t>
      </w:r>
      <w:r/>
    </w:p>
    <w:p>
      <w:pPr>
        <w:pStyle w:val="941"/>
        <w:ind w:left="120"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（2）残疾人福利单位需按照采购文件的要求提供《残疾人福利性单位声明函》。</w:t>
      </w:r>
      <w:r/>
    </w:p>
    <w:p>
      <w:pPr>
        <w:pStyle w:val="941"/>
        <w:ind w:left="120"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（3）残疾人福利单位标准请参照《关于促进残疾人就业政府采购政策的通知》（财库〔2017〕141号）。</w:t>
      </w:r>
      <w:r/>
    </w:p>
    <w:p>
      <w:pPr>
        <w:pStyle w:val="941"/>
        <w:ind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3、监狱和戒毒企业价格扣除</w:t>
      </w:r>
      <w:r/>
    </w:p>
    <w:p>
      <w:pPr>
        <w:pStyle w:val="941"/>
        <w:ind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（1）本项目对监狱和戒毒企业（简称监狱企业）视同小型、微型企业，给予20%</w:t>
      </w:r>
      <w:r/>
    </w:p>
    <w:p>
      <w:pPr>
        <w:pStyle w:val="941"/>
        <w:ind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1"/>
        <w:ind w:firstLine="560"/>
        <w:keepLines w:val="0"/>
        <w:keepNext w:val="0"/>
        <w:pageBreakBefore w:val="0"/>
        <w:spacing w:line="240" w:lineRule="auto"/>
        <w:widowControl/>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（3）监狱企业标准请参照《关于政府采购支持监狱企业发展有关问题的通知》（财库[2014]68号）。</w:t>
      </w:r>
      <w:r/>
    </w:p>
    <w:p>
      <w:pPr>
        <w:pStyle w:val="941"/>
        <w:ind w:firstLine="560"/>
        <w:keepLines w:val="0"/>
        <w:keepNext w:val="0"/>
        <w:pageBreakBefore w:val="0"/>
        <w:spacing w:line="240" w:lineRule="auto"/>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4、残疾人福利单位、监狱企业属于小型、微型企业的，不重复享受政策。</w:t>
      </w:r>
      <w:r/>
    </w:p>
    <w:p>
      <w:pPr>
        <w:pStyle w:val="941"/>
        <w:ind w:firstLine="560"/>
        <w:keepLines w:val="0"/>
        <w:keepNext w:val="0"/>
        <w:pageBreakBefore w:val="0"/>
        <w:spacing w:line="240" w:lineRule="auto"/>
        <w:rPr>
          <w:rFonts w:ascii="宋体" w:hAnsi="宋体" w:cs="Times New Roman"/>
          <w:color w:val="auto"/>
          <w:sz w:val="28"/>
          <w:szCs w:val="28"/>
          <w:highlight w:val="none"/>
        </w:rPr>
      </w:pPr>
      <w:r>
        <w:rPr>
          <w:rFonts w:hint="eastAsia" w:ascii="宋体" w:hAnsi="宋体" w:cs="Times New Roman"/>
          <w:color w:val="auto"/>
          <w:sz w:val="28"/>
          <w:szCs w:val="28"/>
          <w:highlight w:val="none"/>
          <w:lang w:val="en-US" w:eastAsia="zh-CN"/>
        </w:rPr>
        <w:t xml:space="preserve">5</w:t>
      </w:r>
      <w:r>
        <w:rPr>
          <w:rFonts w:hint="eastAsia" w:ascii="宋体" w:hAnsi="宋体" w:cs="Times New Roman"/>
          <w:color w:val="auto"/>
          <w:sz w:val="28"/>
          <w:szCs w:val="28"/>
          <w:highlight w:val="none"/>
        </w:rPr>
        <w:t xml:space="preserve">、联合体各方均为小型、微型企业（残疾人福利单位、监狱企业）的，联合体享受20%。</w:t>
      </w:r>
      <w:r/>
    </w:p>
    <w:p>
      <w:pPr>
        <w:ind w:firstLine="560"/>
        <w:keepLines w:val="0"/>
        <w:keepNext w:val="0"/>
        <w:pageBreakBefore w:val="0"/>
        <w:spacing w:line="240" w:lineRule="auto"/>
        <w:rPr>
          <w:rFonts w:ascii="宋体" w:hAnsi="宋体"/>
          <w:szCs w:val="28"/>
          <w:highlight w:val="none"/>
        </w:rPr>
      </w:pPr>
      <w:r>
        <w:rPr>
          <w:rFonts w:hint="eastAsia" w:ascii="宋体" w:hAnsi="宋体"/>
          <w:szCs w:val="28"/>
          <w:highlight w:val="none"/>
          <w:lang w:val="en-US" w:eastAsia="zh-CN"/>
        </w:rPr>
        <w:t xml:space="preserve">6</w:t>
      </w:r>
      <w:r>
        <w:rPr>
          <w:rFonts w:hint="eastAsia" w:ascii="宋体" w:hAnsi="宋体"/>
          <w:szCs w:val="28"/>
          <w:highlight w:val="none"/>
        </w:rPr>
        <w:t xml:space="preserve">、严格执行政府采购关于支持</w:t>
      </w:r>
      <w:r>
        <w:rPr>
          <w:rFonts w:hint="eastAsia" w:ascii="宋体" w:hAnsi="宋体"/>
          <w:szCs w:val="28"/>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keepLines w:val="0"/>
        <w:keepNext w:val="0"/>
        <w:pageBreakBefore w:val="0"/>
        <w:spacing w:line="240" w:lineRule="auto"/>
        <w:rPr>
          <w:rFonts w:ascii="宋体" w:hAnsi="宋体"/>
          <w:szCs w:val="28"/>
          <w:highlight w:val="none"/>
        </w:rPr>
      </w:pPr>
      <w:r>
        <w:rPr>
          <w:rFonts w:hint="eastAsia" w:ascii="宋体" w:hAnsi="宋体"/>
          <w:szCs w:val="28"/>
          <w:highlight w:val="none"/>
          <w:lang w:val="en-US" w:eastAsia="zh-CN"/>
        </w:rPr>
        <w:t xml:space="preserve">7</w:t>
      </w:r>
      <w:r>
        <w:rPr>
          <w:rFonts w:hint="eastAsia" w:ascii="宋体" w:hAnsi="宋体"/>
          <w:szCs w:val="28"/>
          <w:highlight w:val="none"/>
        </w:rPr>
        <w:t xml:space="preserve">、供应商对于投标产品的商品包装、快递包装应按照《关于印发《商品包装政府采购需求标准（试行）》、《快递包装政府采购需求标准（试行）》的通知》（财办库〔2020〕123号）执行。</w:t>
      </w:r>
      <w:r/>
    </w:p>
    <w:p>
      <w:pPr>
        <w:ind w:firstLine="560"/>
        <w:keepLines w:val="0"/>
        <w:keepNext w:val="0"/>
        <w:pageBreakBefore w:val="0"/>
        <w:spacing w:line="240" w:lineRule="auto"/>
        <w:rPr>
          <w:rFonts w:ascii="宋体" w:hAnsi="宋体"/>
          <w:szCs w:val="28"/>
          <w:highlight w:val="none"/>
        </w:rPr>
      </w:pPr>
      <w:r>
        <w:rPr>
          <w:rFonts w:hint="eastAsia" w:ascii="宋体" w:hAnsi="宋体"/>
          <w:szCs w:val="28"/>
          <w:highlight w:val="none"/>
          <w:lang w:val="en-US" w:eastAsia="zh-CN"/>
        </w:rPr>
        <w:t xml:space="preserve">8</w:t>
      </w:r>
      <w:r>
        <w:rPr>
          <w:rFonts w:hint="eastAsia" w:ascii="宋体" w:hAnsi="宋体"/>
          <w:szCs w:val="28"/>
          <w:highlight w:val="none"/>
        </w:rPr>
        <w:t xml:space="preserve">、本文件中若涉及到数据中心采购，应按照《&lt;绿色数据中心政府采购需求标准（试行）&gt;的通知》（财库〔2023〕7号）执行。</w:t>
      </w:r>
      <w:r/>
    </w:p>
    <w:p>
      <w:pPr>
        <w:pStyle w:val="941"/>
        <w:ind w:firstLine="560"/>
        <w:keepLines w:val="0"/>
        <w:keepNext w:val="0"/>
        <w:pageBreakBefore w:val="0"/>
        <w:spacing w:line="240" w:lineRule="auto"/>
        <w:rPr>
          <w:rFonts w:ascii="宋体" w:hAnsi="宋体" w:cs="Times New Roman"/>
          <w:color w:val="auto"/>
          <w:sz w:val="28"/>
          <w:szCs w:val="28"/>
          <w:highlight w:val="none"/>
        </w:rPr>
      </w:pPr>
      <w:r>
        <w:rPr>
          <w:rFonts w:hint="eastAsia" w:ascii="宋体" w:hAnsi="宋体" w:cs="Times New Roman"/>
          <w:color w:val="auto"/>
          <w:sz w:val="28"/>
          <w:szCs w:val="28"/>
          <w:highlight w:val="none"/>
          <w:lang w:val="en-US" w:eastAsia="zh-CN"/>
        </w:rPr>
        <w:t xml:space="preserve">9</w:t>
      </w:r>
      <w:r>
        <w:rPr>
          <w:rFonts w:hint="eastAsia" w:ascii="宋体" w:hAnsi="宋体" w:cs="Times New Roman"/>
          <w:color w:val="auto"/>
          <w:sz w:val="28"/>
          <w:szCs w:val="28"/>
          <w:highlight w:val="none"/>
        </w:rPr>
        <w:t xml:space="preserve">、根据《江苏省政府采购信用管理暂行办法》的规定，供应商信用评价结果为三星的扣2分，评价结果为二星的扣3分，评价结果为一星的扣4分。</w:t>
      </w:r>
      <w:r/>
    </w:p>
    <w:p>
      <w:pPr>
        <w:pStyle w:val="941"/>
        <w:ind w:firstLine="562"/>
        <w:keepLines w:val="0"/>
        <w:keepNext w:val="0"/>
        <w:pageBreakBefore w:val="0"/>
        <w:spacing w:before="181" w:after="181" w:line="240" w:lineRule="auto"/>
        <w:widowControl/>
        <w:rPr>
          <w:rFonts w:hint="eastAsia" w:ascii="宋体" w:hAnsi="宋体" w:eastAsia="宋体" w:cs="Times New Roman"/>
          <w:b/>
          <w:bCs/>
          <w:color w:val="auto"/>
          <w:sz w:val="28"/>
          <w:szCs w:val="28"/>
          <w:highlight w:val="none"/>
          <w:lang w:eastAsia="zh-CN"/>
        </w:rPr>
      </w:pPr>
      <w:r>
        <w:rPr>
          <w:rFonts w:hint="eastAsia" w:ascii="宋体" w:hAnsi="宋体" w:cs="Times New Roman"/>
          <w:b/>
          <w:bCs/>
          <w:color w:val="auto"/>
          <w:sz w:val="28"/>
          <w:szCs w:val="28"/>
          <w:highlight w:val="none"/>
        </w:rPr>
        <w:t xml:space="preserve">以下为固定内容</w:t>
      </w:r>
      <w:r>
        <w:rPr>
          <w:rFonts w:hint="eastAsia" w:ascii="宋体" w:hAnsi="宋体" w:cs="Times New Roman"/>
          <w:b/>
          <w:bCs/>
          <w:color w:val="auto"/>
          <w:sz w:val="28"/>
          <w:szCs w:val="28"/>
          <w:highlight w:val="none"/>
          <w:lang w:eastAsia="zh-CN"/>
        </w:rPr>
        <w:t xml:space="preserve">：</w:t>
      </w:r>
      <w:r/>
    </w:p>
    <w:p>
      <w:pPr>
        <w:pStyle w:val="941"/>
        <w:ind w:firstLine="560"/>
        <w:jc w:val="both"/>
        <w:keepLines w:val="0"/>
        <w:keepNext w:val="0"/>
        <w:pageBreakBefore w:val="0"/>
        <w:spacing w:line="240" w:lineRule="auto"/>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节能环保（2分）</w:t>
      </w:r>
      <w:r/>
    </w:p>
    <w:p>
      <w:pPr>
        <w:pStyle w:val="941"/>
        <w:ind w:firstLine="560"/>
        <w:jc w:val="both"/>
        <w:keepLines w:val="0"/>
        <w:keepNext w:val="0"/>
        <w:pageBreakBefore w:val="0"/>
        <w:spacing w:line="240" w:lineRule="auto"/>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941"/>
        <w:ind w:firstLine="560"/>
        <w:jc w:val="both"/>
        <w:keepLines w:val="0"/>
        <w:keepNext w:val="0"/>
        <w:pageBreakBefore w:val="0"/>
        <w:spacing w:line="240" w:lineRule="auto"/>
        <w:rPr>
          <w:rFonts w:ascii="宋体" w:hAnsi="宋体" w:cs="Times New Roman"/>
          <w:color w:val="auto"/>
          <w:sz w:val="28"/>
          <w:szCs w:val="28"/>
          <w:highlight w:val="none"/>
        </w:rPr>
      </w:pPr>
      <w:r>
        <w:rPr>
          <w:rFonts w:hint="eastAsia" w:ascii="宋体" w:hAnsi="宋体" w:cs="Times New Roman"/>
          <w:color w:val="auto"/>
          <w:sz w:val="28"/>
          <w:szCs w:val="28"/>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p>
    <w:p>
      <w:pPr>
        <w:ind w:firstLine="560"/>
        <w:keepLines w:val="0"/>
        <w:keepNext w:val="0"/>
        <w:pageBreakBefore w:val="0"/>
        <w:spacing w:line="240" w:lineRule="auto"/>
        <w:rPr>
          <w:rFonts w:ascii="宋体" w:hAnsi="宋体"/>
          <w:szCs w:val="28"/>
        </w:rPr>
      </w:pPr>
      <w:r>
        <w:rPr>
          <w:rFonts w:ascii="宋体" w:hAnsi="宋体"/>
          <w:szCs w:val="28"/>
        </w:rPr>
      </w:r>
      <w:r/>
    </w:p>
    <w:p>
      <w:pPr>
        <w:ind w:firstLine="562"/>
        <w:keepLines w:val="0"/>
        <w:keepNext w:val="0"/>
        <w:pageBreakBefore w:val="0"/>
        <w:spacing w:line="240" w:lineRule="auto"/>
        <w:rPr>
          <w:rFonts w:ascii="宋体" w:hAnsi="宋体"/>
          <w:b/>
          <w:bCs/>
          <w:szCs w:val="28"/>
        </w:rPr>
      </w:pPr>
      <w:r>
        <w:rPr>
          <w:rFonts w:ascii="宋体" w:hAnsi="宋体"/>
          <w:b/>
          <w:bCs/>
          <w:szCs w:val="28"/>
        </w:rPr>
      </w:r>
      <w:r/>
    </w:p>
    <w:p>
      <w:pPr>
        <w:ind w:firstLine="562"/>
        <w:keepLines w:val="0"/>
        <w:keepNext w:val="0"/>
        <w:pageBreakBefore w:val="0"/>
        <w:spacing w:line="240" w:lineRule="auto"/>
        <w:rPr>
          <w:rFonts w:ascii="宋体" w:hAnsi="宋体"/>
          <w:b/>
          <w:bCs/>
          <w:szCs w:val="28"/>
        </w:rPr>
      </w:pPr>
      <w:r>
        <w:rPr>
          <w:rFonts w:hint="eastAsia" w:ascii="宋体" w:hAnsi="宋体"/>
          <w:b/>
          <w:bCs/>
          <w:szCs w:val="28"/>
        </w:rPr>
        <w:t xml:space="preserve">二、评标标准</w:t>
      </w:r>
      <w:r/>
    </w:p>
    <w:p>
      <w:pPr>
        <w:ind w:firstLine="562"/>
        <w:keepLines w:val="0"/>
        <w:keepNext w:val="0"/>
        <w:pageBreakBefore w:val="0"/>
        <w:spacing w:line="240" w:lineRule="auto"/>
        <w:rPr>
          <w:rFonts w:ascii="宋体" w:hAnsi="宋体"/>
          <w:b/>
          <w:bCs/>
          <w:szCs w:val="28"/>
        </w:rPr>
      </w:pPr>
      <w:r>
        <w:rPr>
          <w:rFonts w:hint="eastAsia" w:ascii="宋体" w:hAnsi="宋体"/>
          <w:b/>
          <w:bCs/>
          <w:szCs w:val="28"/>
        </w:rPr>
        <w:t xml:space="preserve">本项目总分值均为100分。</w:t>
      </w:r>
      <w:r/>
    </w:p>
    <w:p>
      <w:pPr>
        <w:ind w:firstLine="560"/>
        <w:keepLines w:val="0"/>
        <w:keepNext w:val="0"/>
        <w:pageBreakBefore w:val="0"/>
        <w:spacing w:line="240" w:lineRule="auto"/>
        <w:rPr>
          <w:rFonts w:ascii="宋体" w:hAnsi="宋体"/>
          <w:bCs/>
          <w:szCs w:val="28"/>
        </w:rPr>
      </w:pPr>
      <w:r>
        <w:rPr>
          <w:rFonts w:hint="eastAsia" w:ascii="宋体" w:hAnsi="宋体"/>
          <w:bCs/>
          <w:szCs w:val="28"/>
        </w:rPr>
        <w:t xml:space="preserve">请投标人在最高限价以下进行投标报价，投标报价高于最高限价的投标报价，采购人将不予接受，视为无效投标文件。</w:t>
      </w:r>
      <w:r/>
    </w:p>
    <w:tbl>
      <w:tblPr>
        <w:tblStyle w:val="923"/>
        <w:tblW w:w="9008" w:type="dxa"/>
        <w:jc w:val="center"/>
        <w:tblLayout w:type="autofit"/>
        <w:tblCellMar>
          <w:left w:w="108" w:type="dxa"/>
          <w:top w:w="0" w:type="dxa"/>
          <w:right w:w="108" w:type="dxa"/>
          <w:bottom w:w="0" w:type="dxa"/>
        </w:tblCellMar>
        <w:tblLook w:val="04A0" w:firstRow="1" w:lastRow="0" w:firstColumn="1" w:lastColumn="0" w:noHBand="0" w:noVBand="1"/>
      </w:tblPr>
      <w:tblGrid>
        <w:gridCol w:w="1632"/>
        <w:gridCol w:w="7376"/>
      </w:tblGrid>
      <w:tr>
        <w:trPr>
          <w:jc w:val="center"/>
          <w:trHeight w:val="48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评审项目</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lang w:bidi="ar"/>
              </w:rPr>
              <w:t xml:space="preserve">评分细则</w:t>
            </w:r>
            <w:r/>
          </w:p>
        </w:tc>
      </w:tr>
      <w:tr>
        <w:trPr>
          <w:jc w:val="center"/>
          <w:trHeight w:val="176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价格部分</w:t>
            </w:r>
            <w:r/>
          </w:p>
          <w:p>
            <w:pPr>
              <w:jc w:val="center"/>
              <w:widowControl/>
              <w:rPr>
                <w:rFonts w:ascii="宋体" w:hAnsi="宋体" w:cs="宋体"/>
                <w:sz w:val="24"/>
                <w:szCs w:val="24"/>
              </w:rPr>
            </w:pPr>
            <w:r>
              <w:rPr>
                <w:rFonts w:hint="eastAsia" w:ascii="宋体" w:hAnsi="宋体" w:cs="宋体"/>
                <w:sz w:val="24"/>
                <w:szCs w:val="24"/>
                <w:lang w:bidi="ar"/>
              </w:rPr>
              <w:t xml:space="preserve">（30分）</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1.有效投标报价：是指通过“投标文件初审”的投标人的经商务性评审（修正、小微企业扣除等）后的评标总价；</w:t>
            </w:r>
            <w:r/>
          </w:p>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2.评标基准价=有效投标报价中的最低投标报价；</w:t>
            </w:r>
            <w:r/>
          </w:p>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3.当投标人的评标总价等于评标基准价的得30分；</w:t>
            </w:r>
            <w:r/>
          </w:p>
          <w:p>
            <w:pPr>
              <w:spacing w:line="240" w:lineRule="auto"/>
              <w:widowControl/>
              <w:rPr>
                <w:rFonts w:ascii="宋体" w:hAnsi="宋体" w:cs="宋体"/>
                <w:sz w:val="24"/>
                <w:szCs w:val="24"/>
              </w:rPr>
            </w:pPr>
            <w:r>
              <w:rPr>
                <w:rFonts w:hint="eastAsia" w:ascii="宋体" w:hAnsi="宋体" w:cs="宋体"/>
                <w:sz w:val="24"/>
                <w:szCs w:val="24"/>
                <w:lang w:bidi="ar"/>
              </w:rPr>
              <w:t xml:space="preserve">4.其他投标人的价格分按照下列公式计算：评标总价得分=（评标基准价/评标总价）*30分（计算结果保留2位小数，第三位四舍五入）。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技术参数响应 （30分）</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jc w:val="left"/>
              <w:spacing w:line="240" w:lineRule="auto"/>
              <w:widowControl/>
              <w:rPr>
                <w:rFonts w:ascii="宋体" w:hAnsi="宋体" w:cs="宋体"/>
                <w:sz w:val="24"/>
                <w:szCs w:val="24"/>
                <w:lang w:bidi="ar"/>
              </w:rPr>
            </w:pPr>
            <w:r>
              <w:rPr>
                <w:rFonts w:hint="eastAsia" w:ascii="宋体" w:hAnsi="宋体" w:cs="宋体"/>
                <w:sz w:val="24"/>
                <w:szCs w:val="24"/>
                <w:lang w:bidi="ar"/>
              </w:rPr>
              <w:t xml:space="preserve">按照招标文件中的招标需求进行逐项评定，完全响应文件要求的得30分。</w:t>
            </w:r>
            <w:r/>
          </w:p>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技术参数中如要求提供检测报告、截图等相关证明材料的，投标人必须按照招标文件技术参数中的具体要求提供对应证明材料，评标委员会必须依据投标人提供的证明材料进行评审（提供的证明材料须满足招标文件的参数要求），未提供对应材料或提供的材料不符合招标文件中要求的视为负偏离，打“</w:t>
            </w:r>
            <w:r>
              <w:rPr>
                <w:rFonts w:hint="eastAsia" w:ascii="宋体" w:hAnsi="宋体" w:cs="宋体"/>
                <w:color w:val="ff0000"/>
                <w:sz w:val="24"/>
                <w:szCs w:val="24"/>
                <w:lang w:bidi="ar"/>
              </w:rPr>
              <w:t xml:space="preserve">★</w:t>
            </w:r>
            <w:r>
              <w:rPr>
                <w:rFonts w:hint="eastAsia" w:ascii="宋体" w:hAnsi="宋体" w:cs="宋体"/>
                <w:sz w:val="24"/>
                <w:szCs w:val="24"/>
                <w:lang w:bidi="ar"/>
              </w:rPr>
              <w:t xml:space="preserve">”项以投标时提供符合要求的检测报告等相关证明材料扫描件为准，每一项不满足扣2分；非“</w:t>
            </w:r>
            <w:r>
              <w:rPr>
                <w:rFonts w:hint="eastAsia" w:ascii="宋体" w:hAnsi="宋体" w:cs="宋体"/>
                <w:color w:val="ff0000"/>
                <w:sz w:val="24"/>
                <w:szCs w:val="24"/>
                <w:lang w:bidi="ar"/>
              </w:rPr>
              <w:t xml:space="preserve">★</w:t>
            </w:r>
            <w:r>
              <w:rPr>
                <w:rFonts w:hint="eastAsia" w:ascii="宋体" w:hAnsi="宋体" w:cs="宋体"/>
                <w:sz w:val="24"/>
                <w:szCs w:val="24"/>
                <w:lang w:bidi="ar"/>
              </w:rPr>
              <w:t xml:space="preserve">”项以投标文件中的“技术参数响应及偏离表”标注的偏离情况为准，每一项不满足扣1分，扣完为止。</w:t>
            </w:r>
            <w:r>
              <w:rPr>
                <w:rFonts w:hint="eastAsia" w:ascii="宋体" w:hAnsi="宋体" w:cs="宋体"/>
                <w:color w:val="ff0000"/>
                <w:sz w:val="24"/>
                <w:szCs w:val="24"/>
                <w:lang w:bidi="ar"/>
              </w:rPr>
              <w:t xml:space="preserve">技术参数响应得分为0分的视为重大偏离，不作为中标候选人。</w:t>
            </w:r>
            <w:r/>
          </w:p>
          <w:p>
            <w:pPr>
              <w:spacing w:line="240" w:lineRule="auto"/>
              <w:widowControl/>
              <w:rPr>
                <w:rFonts w:ascii="宋体" w:hAnsi="宋体" w:cs="宋体"/>
                <w:sz w:val="24"/>
                <w:szCs w:val="24"/>
                <w:lang w:bidi="ar"/>
              </w:rPr>
            </w:pPr>
            <w:r>
              <w:rPr>
                <w:rFonts w:hint="eastAsia" w:ascii="宋体" w:hAnsi="宋体" w:cs="宋体"/>
                <w:color w:val="ff0000"/>
                <w:sz w:val="24"/>
                <w:szCs w:val="24"/>
                <w:lang w:bidi="ar"/>
              </w:rPr>
              <w:t xml:space="preserve">注：投标文件中提供的相关证明材料必须真实、准确、清晰，并醒目标注，无任何伪造、修改、虚假成份，</w:t>
            </w:r>
            <w:r>
              <w:rPr>
                <w:rFonts w:hint="eastAsia" w:ascii="宋体" w:hAnsi="宋体" w:cs="宋体"/>
                <w:color w:val="ff0000"/>
                <w:sz w:val="24"/>
                <w:szCs w:val="24"/>
              </w:rPr>
              <w:t xml:space="preserve">因扫描件不清晰无法辨认、或提供的关键信息不全导致被评委扣分，后果由投标人自负</w:t>
            </w:r>
            <w:r>
              <w:rPr>
                <w:rFonts w:hint="eastAsia" w:ascii="宋体" w:hAnsi="宋体" w:cs="宋体"/>
                <w:color w:val="ff0000"/>
                <w:sz w:val="24"/>
                <w:szCs w:val="24"/>
                <w:lang w:bidi="ar"/>
              </w:rPr>
              <w:t xml:space="preserve">。</w:t>
            </w:r>
            <w:r/>
          </w:p>
        </w:tc>
      </w:tr>
      <w:tr>
        <w:trPr>
          <w:jc w:val="center"/>
          <w:trHeight w:val="1883"/>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项目实施方案</w:t>
            </w:r>
            <w:r/>
          </w:p>
          <w:p>
            <w:pPr>
              <w:jc w:val="center"/>
              <w:widowControl/>
              <w:rPr>
                <w:rFonts w:ascii="宋体" w:hAnsi="宋体" w:cs="宋体"/>
                <w:sz w:val="24"/>
                <w:szCs w:val="24"/>
              </w:rPr>
            </w:pPr>
            <w:r>
              <w:rPr>
                <w:rFonts w:hint="eastAsia" w:ascii="宋体" w:hAnsi="宋体" w:cs="宋体"/>
                <w:sz w:val="24"/>
                <w:szCs w:val="24"/>
                <w:lang w:bidi="ar"/>
              </w:rPr>
              <w:t xml:space="preserve">（12分）</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jc w:val="left"/>
              <w:spacing w:line="240" w:lineRule="auto"/>
              <w:widowControl/>
              <w:rPr>
                <w:rFonts w:ascii="宋体" w:hAnsi="宋体" w:cs="宋体"/>
                <w:sz w:val="24"/>
                <w:szCs w:val="24"/>
                <w:lang w:bidi="ar"/>
              </w:rPr>
            </w:pPr>
            <w:r>
              <w:rPr>
                <w:rFonts w:hint="eastAsia" w:ascii="宋体" w:hAnsi="宋体" w:cs="宋体"/>
                <w:sz w:val="24"/>
                <w:szCs w:val="24"/>
                <w:lang w:bidi="ar"/>
              </w:rPr>
              <w:t xml:space="preserve">1.货物采购方案（包括购买、包装、运输等）（1.4-2分，不提供不得分）；</w:t>
            </w:r>
            <w:r/>
          </w:p>
          <w:p>
            <w:pPr>
              <w:jc w:val="left"/>
              <w:spacing w:line="240" w:lineRule="auto"/>
              <w:widowControl/>
              <w:rPr>
                <w:rFonts w:ascii="宋体" w:hAnsi="宋体" w:cs="宋体"/>
                <w:sz w:val="24"/>
                <w:szCs w:val="24"/>
                <w:lang w:bidi="ar"/>
              </w:rPr>
            </w:pPr>
            <w:r>
              <w:rPr>
                <w:rFonts w:hint="eastAsia" w:ascii="宋体" w:hAnsi="宋体" w:cs="宋体"/>
                <w:sz w:val="24"/>
                <w:szCs w:val="24"/>
                <w:lang w:bidi="ar"/>
              </w:rPr>
              <w:t xml:space="preserve">2.货物安装、调试技术方案（1.4-2分，不提供不得分）；</w:t>
            </w:r>
            <w:r/>
          </w:p>
          <w:p>
            <w:pPr>
              <w:jc w:val="left"/>
              <w:spacing w:line="240" w:lineRule="auto"/>
              <w:widowControl/>
              <w:rPr>
                <w:rFonts w:ascii="宋体" w:hAnsi="宋体" w:cs="宋体"/>
                <w:sz w:val="24"/>
                <w:szCs w:val="24"/>
                <w:lang w:bidi="ar"/>
              </w:rPr>
            </w:pPr>
            <w:r>
              <w:rPr>
                <w:rFonts w:hint="eastAsia" w:ascii="宋体" w:hAnsi="宋体" w:cs="宋体"/>
                <w:sz w:val="24"/>
                <w:szCs w:val="24"/>
                <w:lang w:bidi="ar"/>
              </w:rPr>
              <w:t xml:space="preserve">3.项目人员配备及管理方案（1.4-2分，不提供不得分）；</w:t>
            </w:r>
            <w:r/>
          </w:p>
          <w:p>
            <w:pPr>
              <w:jc w:val="left"/>
              <w:spacing w:line="240" w:lineRule="auto"/>
              <w:widowControl/>
              <w:rPr>
                <w:rFonts w:ascii="宋体" w:hAnsi="宋体" w:cs="宋体"/>
                <w:sz w:val="24"/>
                <w:szCs w:val="24"/>
                <w:lang w:bidi="ar"/>
              </w:rPr>
            </w:pPr>
            <w:r>
              <w:rPr>
                <w:rFonts w:hint="eastAsia" w:ascii="宋体" w:hAnsi="宋体" w:cs="宋体"/>
                <w:sz w:val="24"/>
                <w:szCs w:val="24"/>
                <w:lang w:bidi="ar"/>
              </w:rPr>
              <w:t xml:space="preserve">4.项目进度、质量、安全控制措施（1.4-2分，不提供不得分）；</w:t>
            </w:r>
            <w:r/>
          </w:p>
          <w:p>
            <w:pPr>
              <w:jc w:val="left"/>
              <w:spacing w:line="240" w:lineRule="auto"/>
              <w:widowControl/>
              <w:rPr>
                <w:rFonts w:ascii="宋体" w:hAnsi="宋体" w:cs="宋体"/>
                <w:sz w:val="24"/>
                <w:szCs w:val="24"/>
                <w:lang w:bidi="ar"/>
              </w:rPr>
            </w:pPr>
            <w:r>
              <w:rPr>
                <w:rFonts w:hint="eastAsia" w:ascii="宋体" w:hAnsi="宋体" w:cs="宋体"/>
                <w:sz w:val="24"/>
                <w:szCs w:val="24"/>
                <w:lang w:bidi="ar"/>
              </w:rPr>
              <w:t xml:space="preserve">5.项目重点难点分析及拟采取的预防措施（1.4-2分，不提供不得分）；</w:t>
            </w:r>
            <w:r/>
          </w:p>
          <w:p>
            <w:pPr>
              <w:jc w:val="left"/>
              <w:spacing w:line="240" w:lineRule="auto"/>
              <w:widowControl/>
              <w:rPr>
                <w:rFonts w:ascii="宋体" w:hAnsi="宋体" w:cs="宋体"/>
                <w:sz w:val="24"/>
                <w:szCs w:val="24"/>
                <w:lang w:bidi="ar"/>
              </w:rPr>
            </w:pPr>
            <w:r>
              <w:rPr>
                <w:rFonts w:hint="eastAsia" w:ascii="宋体" w:hAnsi="宋体" w:cs="宋体"/>
                <w:sz w:val="24"/>
                <w:szCs w:val="24"/>
                <w:lang w:bidi="ar"/>
              </w:rPr>
              <w:t xml:space="preserve">6.用户培训方案（1.4-2分，不提供不得分）。</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售后服务方案</w:t>
            </w:r>
            <w:r/>
          </w:p>
          <w:p>
            <w:pPr>
              <w:jc w:val="center"/>
              <w:widowControl/>
              <w:rPr>
                <w:rFonts w:ascii="宋体" w:hAnsi="宋体" w:cs="宋体"/>
                <w:sz w:val="24"/>
                <w:szCs w:val="24"/>
              </w:rPr>
            </w:pPr>
            <w:r>
              <w:rPr>
                <w:rFonts w:hint="eastAsia" w:ascii="宋体" w:hAnsi="宋体" w:cs="宋体"/>
                <w:sz w:val="24"/>
                <w:szCs w:val="24"/>
                <w:lang w:bidi="ar"/>
              </w:rPr>
              <w:t xml:space="preserve">（4分）</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根据投标人提供的针对本项目售后服务方案的全面性、科学性、可行性进行综合评价，包括但不限于售后维护、响应时间、故障处理、应急方案等。由评标委员会进行评审，评标专家对投标人的售后服务方案进行横向对比评估，其中售后维护部分1-2分酌情评分，故障响应部分1-2分酌情评分，未提供售后服务方案的本项不得分。</w:t>
            </w:r>
            <w:r/>
          </w:p>
        </w:tc>
      </w:tr>
      <w:tr>
        <w:trPr>
          <w:jc w:val="center"/>
          <w:trHeight w:val="1399"/>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售后服务保障</w:t>
            </w:r>
            <w:r/>
          </w:p>
          <w:p>
            <w:pPr>
              <w:jc w:val="center"/>
              <w:widowControl/>
              <w:rPr>
                <w:rFonts w:ascii="宋体" w:hAnsi="宋体" w:cs="宋体"/>
                <w:sz w:val="24"/>
                <w:szCs w:val="24"/>
              </w:rPr>
            </w:pPr>
            <w:r>
              <w:rPr>
                <w:rFonts w:hint="eastAsia" w:ascii="宋体" w:hAnsi="宋体" w:cs="宋体"/>
                <w:sz w:val="24"/>
                <w:szCs w:val="24"/>
                <w:lang w:bidi="ar"/>
              </w:rPr>
              <w:t xml:space="preserve">（3分）</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1.投标人具备信息安全服务资质认证CCRC运维一级证书的，得1.5分；CCRC运维二级的，得1分；CCRC运维三级的，得0.5分，未提供不得分。</w:t>
            </w:r>
            <w:r/>
          </w:p>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2.投标人具备售后服务体系完善程度认证证书（十二星或十二星卓绝）的，得1.5分；具备售后服务体系完善程度认证证书（十星或十星卓绝）的，得1分；具备售后服务体系完善程度认证证书（七星或七星卓绝）的，得0.5分，未提供不得分。</w:t>
            </w:r>
            <w:r/>
          </w:p>
          <w:p>
            <w:pPr>
              <w:jc w:val="left"/>
              <w:spacing w:line="240" w:lineRule="auto"/>
              <w:widowControl/>
              <w:rPr>
                <w:rFonts w:ascii="宋体" w:hAnsi="宋体" w:cs="宋体"/>
                <w:sz w:val="24"/>
                <w:szCs w:val="24"/>
                <w:lang w:bidi="ar"/>
              </w:rPr>
            </w:pPr>
            <w:r>
              <w:rPr>
                <w:rFonts w:hint="eastAsia" w:ascii="宋体" w:hAnsi="宋体" w:cs="宋体"/>
                <w:b/>
                <w:bCs/>
                <w:sz w:val="24"/>
                <w:szCs w:val="24"/>
                <w:lang w:bidi="ar"/>
              </w:rPr>
              <w:t xml:space="preserve">注：</w:t>
            </w:r>
            <w:r>
              <w:rPr>
                <w:rFonts w:hint="eastAsia" w:ascii="宋体" w:hAnsi="宋体" w:cs="宋体"/>
                <w:sz w:val="24"/>
                <w:szCs w:val="24"/>
                <w:lang w:bidi="ar"/>
              </w:rPr>
              <w:t xml:space="preserve">投标时须提供证书扫描件，否则不得分。</w:t>
            </w:r>
            <w:r/>
          </w:p>
        </w:tc>
      </w:tr>
      <w:tr>
        <w:trPr>
          <w:jc w:val="center"/>
          <w:trHeight w:val="1884"/>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企业资信</w:t>
            </w:r>
            <w:r/>
          </w:p>
          <w:p>
            <w:pPr>
              <w:jc w:val="center"/>
              <w:rPr>
                <w:rFonts w:ascii="宋体" w:hAnsi="宋体" w:cs="宋体"/>
                <w:sz w:val="24"/>
                <w:szCs w:val="24"/>
              </w:rPr>
            </w:pPr>
            <w:r>
              <w:rPr>
                <w:rFonts w:hint="eastAsia" w:ascii="宋体" w:hAnsi="宋体" w:cs="宋体"/>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1.投标人具有有效的ISO20000信息技术服务管理体系认证资质的，得1分，未提供不得分。</w:t>
            </w:r>
            <w:r/>
          </w:p>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2.投标人具有有效的ISO27701隐私信息管理体系认证证书的，得1分，未提供不得分。</w:t>
            </w:r>
            <w:r/>
          </w:p>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3.投标人具有有效的大数据安全管理体系认证证书的，得1分，未提供不得分。</w:t>
            </w:r>
            <w:r/>
          </w:p>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4.投标人具有有效的企业诚信管理体系认证证书的，得1分，未提供不得分。</w:t>
            </w:r>
            <w:r/>
          </w:p>
          <w:p>
            <w:pPr>
              <w:jc w:val="left"/>
              <w:spacing w:line="240" w:lineRule="auto"/>
              <w:widowControl/>
              <w:rPr>
                <w:rFonts w:ascii="宋体" w:hAnsi="宋体" w:cs="宋体"/>
                <w:sz w:val="24"/>
                <w:szCs w:val="24"/>
                <w:lang w:bidi="ar"/>
              </w:rPr>
            </w:pPr>
            <w:r>
              <w:rPr>
                <w:rFonts w:hint="eastAsia" w:ascii="宋体" w:hAnsi="宋体" w:cs="宋体"/>
                <w:b/>
                <w:bCs/>
                <w:sz w:val="24"/>
                <w:szCs w:val="24"/>
                <w:lang w:bidi="ar"/>
              </w:rPr>
              <w:t xml:space="preserve">注：</w:t>
            </w:r>
            <w:r>
              <w:rPr>
                <w:rFonts w:hint="eastAsia" w:ascii="宋体" w:hAnsi="宋体" w:cs="宋体"/>
                <w:sz w:val="24"/>
                <w:szCs w:val="24"/>
                <w:lang w:bidi="ar"/>
              </w:rPr>
              <w:t xml:space="preserve">投标时须提供认证证书扫描件，否则不得分。</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团队实力</w:t>
            </w:r>
            <w:r/>
          </w:p>
          <w:p>
            <w:pPr>
              <w:jc w:val="center"/>
              <w:widowControl/>
              <w:rPr>
                <w:rFonts w:ascii="宋体" w:hAnsi="宋体" w:cs="宋体"/>
                <w:sz w:val="24"/>
                <w:szCs w:val="24"/>
              </w:rPr>
            </w:pPr>
            <w:r>
              <w:rPr>
                <w:rFonts w:hint="eastAsia" w:ascii="宋体" w:hAnsi="宋体" w:cs="宋体"/>
                <w:sz w:val="24"/>
                <w:szCs w:val="24"/>
                <w:lang w:bidi="ar"/>
              </w:rPr>
              <w:t xml:space="preserve">（5分）</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spacing w:line="240" w:lineRule="auto"/>
              <w:widowControl/>
              <w:rPr>
                <w:rFonts w:ascii="宋体" w:hAnsi="宋体" w:cs="宋体"/>
                <w:sz w:val="24"/>
                <w:szCs w:val="24"/>
                <w:lang w:bidi="ar"/>
              </w:rPr>
            </w:pPr>
            <w:r>
              <w:rPr>
                <w:rFonts w:hint="eastAsia" w:ascii="宋体" w:hAnsi="宋体" w:cs="宋体"/>
                <w:sz w:val="24"/>
                <w:szCs w:val="24"/>
                <w:lang w:bidi="ar"/>
              </w:rPr>
              <w:t xml:space="preserve">1.拟派项目负责人，具有信息系统项目管理师或注册机电建造师得1分。</w:t>
            </w:r>
            <w:r/>
          </w:p>
          <w:p>
            <w:pPr>
              <w:spacing w:line="240" w:lineRule="auto"/>
              <w:widowControl/>
              <w:rPr>
                <w:rFonts w:ascii="宋体" w:hAnsi="宋体" w:cs="宋体"/>
                <w:sz w:val="24"/>
                <w:szCs w:val="24"/>
                <w:highlight w:val="blue"/>
                <w:lang w:bidi="ar"/>
              </w:rPr>
            </w:pPr>
            <w:r>
              <w:rPr>
                <w:rFonts w:hint="eastAsia" w:ascii="宋体" w:hAnsi="宋体" w:cs="宋体"/>
                <w:sz w:val="24"/>
                <w:szCs w:val="24"/>
                <w:lang w:bidi="ar"/>
              </w:rPr>
              <w:t xml:space="preserve">2.拟派项目组成员（不含项目负责人），具有高级计算机程序设计员、信息技术应用创新专业人员系统工程师、系统架构设计师、信息系统业务安全服务工程师、容灾备份管理师、CISAW信息安全保障人员认证证书、注册信息安全专业人员CISP证书、售后服务管理师。每种类别证书提供一个得0.5分，最高得4分。同一人只算一次，相同类型证书不重复计算得分。</w:t>
            </w:r>
            <w:r/>
          </w:p>
          <w:p>
            <w:pPr>
              <w:spacing w:line="240" w:lineRule="auto"/>
              <w:widowControl/>
              <w:rPr>
                <w:rFonts w:ascii="宋体" w:hAnsi="宋体" w:cs="宋体"/>
                <w:sz w:val="24"/>
                <w:szCs w:val="24"/>
                <w:lang w:bidi="ar"/>
              </w:rPr>
            </w:pPr>
            <w:r>
              <w:rPr>
                <w:rFonts w:hint="eastAsia" w:ascii="宋体" w:hAnsi="宋体" w:cs="宋体"/>
                <w:b/>
                <w:bCs/>
                <w:sz w:val="24"/>
                <w:szCs w:val="24"/>
                <w:lang w:bidi="ar"/>
              </w:rPr>
              <w:t xml:space="preserve">注：</w:t>
            </w:r>
            <w:r>
              <w:rPr>
                <w:rFonts w:hint="eastAsia" w:ascii="宋体" w:hAnsi="宋体" w:cs="宋体"/>
                <w:sz w:val="24"/>
                <w:szCs w:val="24"/>
                <w:lang w:bidi="ar"/>
              </w:rPr>
              <w:t xml:space="preserve">投标时须提供证书扫描件和本单位为其缴纳的从投标截止日 </w:t>
            </w:r>
            <w:r>
              <w:rPr>
                <w:rFonts w:hint="eastAsia" w:ascii="宋体" w:hAnsi="宋体" w:cs="宋体"/>
                <w:sz w:val="24"/>
                <w:szCs w:val="24"/>
                <w:highlight w:val="none"/>
                <w:lang w:bidi="ar"/>
              </w:rPr>
              <w:t xml:space="preserve">2024年</w:t>
            </w: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月（含）至</w:t>
            </w: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月（含）中的任意一个</w:t>
            </w:r>
            <w:r>
              <w:rPr>
                <w:rFonts w:hint="eastAsia" w:ascii="宋体" w:hAnsi="宋体" w:cs="宋体"/>
                <w:sz w:val="24"/>
                <w:szCs w:val="24"/>
                <w:lang w:bidi="ar"/>
              </w:rPr>
              <w:t xml:space="preserve">月的社保证明扫描件，否则不得分。</w:t>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产品实力</w:t>
            </w:r>
            <w:r/>
          </w:p>
          <w:p>
            <w:pPr>
              <w:jc w:val="center"/>
              <w:widowControl/>
              <w:rPr>
                <w:rFonts w:ascii="宋体" w:hAnsi="宋体" w:cs="宋体"/>
                <w:sz w:val="24"/>
                <w:szCs w:val="24"/>
              </w:rPr>
            </w:pPr>
            <w:r>
              <w:rPr>
                <w:rFonts w:hint="eastAsia" w:ascii="宋体" w:hAnsi="宋体" w:cs="宋体"/>
                <w:sz w:val="24"/>
                <w:szCs w:val="24"/>
                <w:lang w:bidi="ar"/>
              </w:rPr>
              <w:t xml:space="preserve">（10分）</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numPr>
                <w:ilvl w:val="0"/>
                <w:numId w:val="0"/>
              </w:numPr>
              <w:spacing w:line="240" w:lineRule="auto"/>
              <w:widowControl/>
              <w:rPr>
                <w:sz w:val="24"/>
                <w:szCs w:val="24"/>
              </w:rPr>
            </w:pPr>
            <w:r>
              <w:rPr>
                <w:rFonts w:hint="eastAsia" w:ascii="宋体" w:hAnsi="宋体" w:cs="宋体"/>
                <w:sz w:val="24"/>
                <w:szCs w:val="24"/>
                <w:lang w:val="en-US" w:eastAsia="zh-CN" w:bidi="ar"/>
              </w:rPr>
              <w:t xml:space="preserve">1.</w:t>
            </w:r>
            <w:r>
              <w:rPr>
                <w:rFonts w:hint="eastAsia" w:ascii="宋体" w:hAnsi="宋体" w:cs="宋体"/>
                <w:sz w:val="24"/>
                <w:szCs w:val="24"/>
                <w:lang w:bidi="ar"/>
              </w:rPr>
              <w:t xml:space="preserve">为保证数据安全，</w:t>
            </w:r>
            <w:r>
              <w:rPr>
                <w:rFonts w:hint="eastAsia"/>
                <w:sz w:val="24"/>
                <w:szCs w:val="24"/>
              </w:rPr>
              <w:t xml:space="preserve">投标人所投运维管理服务器</w:t>
            </w:r>
            <w:r>
              <w:rPr>
                <w:rFonts w:hint="eastAsia" w:ascii="宋体" w:hAnsi="宋体" w:cs="宋体"/>
                <w:sz w:val="24"/>
                <w:szCs w:val="24"/>
                <w:lang w:bidi="ar"/>
              </w:rPr>
              <w:t xml:space="preserve">需提供针对本项目的数据恢复服务，以保障数据恢复的安全性，</w:t>
            </w:r>
            <w:r>
              <w:rPr>
                <w:rFonts w:hint="eastAsia"/>
                <w:sz w:val="24"/>
                <w:szCs w:val="24"/>
              </w:rPr>
              <w:t xml:space="preserve">投标时提供国家信息中心出具的针对本项目的数据恢复售后服务承诺书证明文件的得2分。</w:t>
            </w:r>
            <w:r/>
          </w:p>
          <w:p>
            <w:pPr>
              <w:numPr>
                <w:ilvl w:val="0"/>
                <w:numId w:val="0"/>
              </w:numPr>
              <w:spacing w:line="240" w:lineRule="auto"/>
              <w:widowControl/>
              <w:rPr>
                <w:sz w:val="24"/>
                <w:szCs w:val="24"/>
              </w:rPr>
            </w:pP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为保证</w:t>
            </w:r>
            <w:r>
              <w:rPr>
                <w:rFonts w:hint="eastAsia"/>
                <w:sz w:val="24"/>
                <w:szCs w:val="24"/>
              </w:rPr>
              <w:t xml:space="preserve">所投运维管理服务器产品需稳定可靠，提供产品长时间无故障运行时间MTBF不低于15万小时认证，并提供</w:t>
            </w:r>
            <w:r>
              <w:rPr>
                <w:rFonts w:hint="eastAsia" w:ascii="宋体" w:hAnsi="宋体" w:cs="宋体"/>
                <w:sz w:val="24"/>
                <w:szCs w:val="24"/>
                <w:lang w:bidi="ar"/>
              </w:rPr>
              <w:t xml:space="preserve">由第三方检测机构出具合格的带有CMA及CNAS标志的检测报告复印件并加盖原厂公章的证明</w:t>
            </w:r>
            <w:r>
              <w:rPr>
                <w:rFonts w:hint="eastAsia"/>
                <w:sz w:val="24"/>
                <w:szCs w:val="24"/>
              </w:rPr>
              <w:t xml:space="preserve">文件的得1.5分。</w:t>
            </w:r>
            <w:r/>
          </w:p>
          <w:p>
            <w:pPr>
              <w:spacing w:line="240" w:lineRule="auto"/>
              <w:widowControl/>
              <w:rPr>
                <w:rFonts w:ascii="宋体" w:hAnsi="宋体" w:cs="宋体"/>
                <w:sz w:val="24"/>
                <w:szCs w:val="24"/>
                <w:lang w:bidi="ar"/>
              </w:rPr>
            </w:pPr>
            <w:r>
              <w:rPr>
                <w:rFonts w:hint="eastAsia" w:ascii="宋体" w:hAnsi="宋体" w:cs="宋体"/>
                <w:sz w:val="24"/>
                <w:szCs w:val="24"/>
                <w:lang w:val="en-US" w:eastAsia="zh-CN" w:bidi="ar"/>
              </w:rPr>
              <w:t xml:space="preserve">3.</w:t>
            </w:r>
            <w:r>
              <w:rPr>
                <w:rFonts w:hint="eastAsia" w:ascii="宋体" w:hAnsi="宋体" w:cs="宋体"/>
                <w:sz w:val="24"/>
                <w:szCs w:val="24"/>
                <w:lang w:bidi="ar"/>
              </w:rPr>
              <w:t xml:space="preserve">投标所投的视频云存储产品制造商具备较强的技术研发实力，荣获过省级及以上政府部门颁发的科学技术奖励一等奖的，每提供一项得0.5分，最高得1.5分。</w:t>
            </w:r>
            <w:r/>
          </w:p>
          <w:p>
            <w:pPr>
              <w:spacing w:line="240" w:lineRule="auto"/>
              <w:widowControl/>
              <w:rPr>
                <w:rFonts w:ascii="宋体" w:hAnsi="宋体" w:cs="宋体"/>
                <w:sz w:val="24"/>
                <w:szCs w:val="24"/>
                <w:lang w:bidi="ar"/>
              </w:rPr>
            </w:pP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投标人所投“室内全彩屏”产品制造商具有像素引擎软件软件或相近的软件著作权登记证书，得1分。</w:t>
            </w:r>
            <w:r/>
          </w:p>
          <w:p>
            <w:pPr>
              <w:spacing w:line="240" w:lineRule="auto"/>
              <w:widowControl/>
              <w:rPr>
                <w:rFonts w:ascii="宋体" w:hAnsi="宋体" w:cs="宋体"/>
                <w:sz w:val="24"/>
                <w:szCs w:val="24"/>
                <w:lang w:bidi="ar"/>
              </w:rPr>
            </w:pP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为积极响应国家双碳战略目标，投标人所投“室内全彩屏”产品制造商作为国家承诺2060年达成碳中和目标的碳中和承诺示范单位（提供由中国招投标网颁发“碳中和承诺示范单位”证书），得1分。</w:t>
            </w:r>
            <w:r/>
          </w:p>
          <w:p>
            <w:pPr>
              <w:spacing w:line="240" w:lineRule="auto"/>
              <w:widowControl/>
              <w:rPr>
                <w:rFonts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投标人所投“分布式综合管理平台”产品具有VMS可视化管理系统服务器软件或相近的软件著作权登记证书，得1分。</w:t>
            </w:r>
            <w:r/>
          </w:p>
          <w:p>
            <w:pPr>
              <w:spacing w:line="240" w:lineRule="auto"/>
              <w:widowControl/>
              <w:rPr>
                <w:rFonts w:ascii="宋体" w:hAnsi="宋体" w:cs="宋体"/>
                <w:sz w:val="24"/>
                <w:szCs w:val="24"/>
                <w:lang w:bidi="ar"/>
              </w:rPr>
            </w:pP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投标人所投环保卡口抓拍机制造商应具备较强的科技创新能力、警务效能和实战能力，获得公安部重点实验室的，得1分。</w:t>
            </w:r>
            <w:r/>
          </w:p>
          <w:p>
            <w:pPr>
              <w:spacing w:line="240" w:lineRule="auto"/>
              <w:widowControl/>
              <w:rPr>
                <w:rFonts w:ascii="宋体" w:hAnsi="宋体" w:cs="宋体"/>
                <w:sz w:val="24"/>
                <w:szCs w:val="24"/>
                <w:lang w:bidi="ar"/>
              </w:rPr>
            </w:pPr>
            <w:r>
              <w:rPr>
                <w:rFonts w:hint="eastAsia" w:ascii="宋体" w:hAnsi="宋体" w:cs="宋体"/>
                <w:sz w:val="24"/>
                <w:szCs w:val="24"/>
                <w:lang w:val="en-US" w:eastAsia="zh-CN" w:bidi="ar"/>
              </w:rPr>
              <w:t xml:space="preserve">8.</w:t>
            </w:r>
            <w:r>
              <w:rPr>
                <w:rFonts w:hint="eastAsia" w:ascii="宋体" w:hAnsi="宋体" w:cs="宋体"/>
                <w:sz w:val="24"/>
                <w:szCs w:val="24"/>
                <w:lang w:bidi="ar"/>
              </w:rPr>
              <w:t xml:space="preserve">投标人所投“数字发言主机”产品厂家具有中国音响行业协业颁发的音视频智能系统集成工程资质壹级、音视频集成工程企业资质壹级证书，得1分。</w:t>
            </w:r>
            <w:r/>
          </w:p>
          <w:p>
            <w:pPr>
              <w:spacing w:line="240" w:lineRule="auto"/>
              <w:widowControl/>
              <w:rPr>
                <w:rFonts w:ascii="宋体" w:hAnsi="宋体" w:cs="宋体"/>
                <w:sz w:val="24"/>
                <w:szCs w:val="24"/>
                <w:lang w:bidi="ar"/>
              </w:rPr>
            </w:pPr>
            <w:r>
              <w:rPr>
                <w:rFonts w:hint="eastAsia" w:ascii="宋体" w:hAnsi="宋体" w:cs="宋体"/>
                <w:b/>
                <w:bCs/>
                <w:sz w:val="24"/>
                <w:szCs w:val="24"/>
                <w:lang w:bidi="ar"/>
              </w:rPr>
              <w:t xml:space="preserve">注：</w:t>
            </w:r>
            <w:r>
              <w:rPr>
                <w:rFonts w:hint="eastAsia" w:ascii="宋体" w:hAnsi="宋体" w:cs="宋体"/>
                <w:sz w:val="24"/>
                <w:szCs w:val="24"/>
                <w:lang w:bidi="ar"/>
              </w:rPr>
              <w:t xml:space="preserve">上述2-8项内容以投标文件中提供的各类证书（检测报告、证明文件）加盖制造商公章的扫描件作为评审依据。</w:t>
            </w:r>
            <w:r/>
          </w:p>
        </w:tc>
      </w:tr>
      <w:tr>
        <w:trPr>
          <w:jc w:val="center"/>
          <w:trHeight w:val="1192"/>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合同业绩</w:t>
            </w:r>
            <w:r/>
          </w:p>
          <w:p>
            <w:pPr>
              <w:jc w:val="center"/>
              <w:widowControl/>
              <w:rPr>
                <w:rFonts w:ascii="宋体" w:hAnsi="宋体" w:cs="宋体"/>
                <w:sz w:val="24"/>
                <w:szCs w:val="24"/>
              </w:rPr>
            </w:pPr>
            <w:r>
              <w:rPr>
                <w:rFonts w:hint="eastAsia" w:ascii="宋体" w:hAnsi="宋体" w:cs="宋体"/>
                <w:sz w:val="24"/>
                <w:szCs w:val="24"/>
                <w:lang w:bidi="ar"/>
              </w:rPr>
              <w:t xml:space="preserve">（2分）</w:t>
            </w:r>
            <w:r/>
          </w:p>
        </w:tc>
        <w:tc>
          <w:tcPr>
            <w:tcBorders>
              <w:top w:val="single" w:color="000000" w:sz="4" w:space="0"/>
              <w:left w:val="single" w:color="000000" w:sz="4" w:space="0"/>
              <w:bottom w:val="single" w:color="000000" w:sz="4" w:space="0"/>
              <w:right w:val="single" w:color="000000" w:sz="4" w:space="0"/>
            </w:tcBorders>
            <w:tcW w:w="7376"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投标人自2020年1月1日以来（以验收报告时间为准）承建包含监控的智能化项目业绩，每提供一项得1分，最高得2分。</w:t>
            </w:r>
            <w:r/>
          </w:p>
          <w:p>
            <w:pPr>
              <w:jc w:val="left"/>
              <w:widowControl/>
              <w:rPr>
                <w:rFonts w:ascii="宋体" w:hAnsi="宋体" w:cs="宋体"/>
                <w:sz w:val="24"/>
                <w:szCs w:val="24"/>
                <w:lang w:bidi="ar"/>
              </w:rPr>
            </w:pPr>
            <w:r>
              <w:rPr>
                <w:rFonts w:hint="eastAsia" w:ascii="宋体" w:hAnsi="宋体" w:cs="宋体"/>
                <w:b/>
                <w:bCs/>
                <w:sz w:val="24"/>
                <w:szCs w:val="24"/>
                <w:lang w:bidi="ar"/>
              </w:rPr>
              <w:t xml:space="preserve">注：</w:t>
            </w:r>
            <w:r>
              <w:rPr>
                <w:rFonts w:hint="eastAsia" w:ascii="宋体" w:hAnsi="宋体" w:cs="宋体"/>
                <w:sz w:val="24"/>
                <w:szCs w:val="24"/>
                <w:lang w:bidi="ar"/>
              </w:rPr>
              <w:t xml:space="preserve">投标时须同时提供中标通知书、验收报告和合同扫描件（如均未体现包含监控，还须提供加盖业绩发包方公章出具的证明材料扫描件），否则不得分。</w:t>
            </w:r>
            <w:r/>
          </w:p>
        </w:tc>
      </w:tr>
    </w:tbl>
    <w:p>
      <w:pPr>
        <w:spacing w:line="360" w:lineRule="auto"/>
        <w:rPr>
          <w:rFonts w:hAnsi="宋体"/>
          <w:b/>
          <w:bCs/>
          <w:szCs w:val="28"/>
        </w:rPr>
      </w:pPr>
      <w:r>
        <w:rPr>
          <w:rFonts w:hAnsi="宋体"/>
          <w:b/>
          <w:bCs/>
          <w:szCs w:val="28"/>
        </w:rPr>
      </w:r>
      <w:r/>
    </w:p>
    <w:p>
      <w:pPr>
        <w:ind w:firstLine="1960"/>
        <w:rPr>
          <w:rFonts w:hint="eastAsia" w:ascii="宋体" w:hAnsi="宋体"/>
          <w:strike/>
          <w:sz w:val="36"/>
          <w:szCs w:val="36"/>
          <w:highlight w:val="green"/>
        </w:rPr>
      </w:pPr>
      <w:r/>
      <w:bookmarkStart w:id="55" w:name="_Toc59797306"/>
      <w:r/>
      <w:bookmarkEnd w:id="55"/>
      <w:r/>
      <w:r/>
    </w:p>
    <w:p>
      <w:pPr>
        <w:jc w:val="center"/>
        <w:spacing w:line="360" w:lineRule="auto"/>
        <w:rPr>
          <w:rFonts w:ascii="宋体" w:hAnsi="宋体"/>
          <w:b/>
          <w:bCs/>
          <w:sz w:val="36"/>
          <w:szCs w:val="36"/>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highlight w:val="none"/>
        </w:rPr>
      </w:r>
      <w:r>
        <w:rPr>
          <w:rFonts w:hint="eastAsia" w:ascii="宋体" w:hAnsi="宋体"/>
          <w:b/>
          <w:bCs/>
          <w:sz w:val="36"/>
          <w:szCs w:val="36"/>
          <w:highlight w:val="none"/>
        </w:rPr>
      </w:r>
      <w:r/>
    </w:p>
    <w:p>
      <w:pPr>
        <w:jc w:val="center"/>
        <w:spacing w:line="360" w:lineRule="auto"/>
        <w:rPr>
          <w:rFonts w:hint="eastAsia" w:ascii="宋体" w:hAnsi="宋体"/>
          <w:b/>
          <w:bCs/>
          <w:sz w:val="36"/>
          <w:szCs w:val="36"/>
          <w:highlight w:val="none"/>
        </w:rPr>
      </w:pPr>
      <w:r>
        <w:rPr>
          <w:rFonts w:hint="eastAsia" w:ascii="宋体" w:hAnsi="宋体"/>
          <w:b/>
          <w:bCs/>
          <w:sz w:val="36"/>
          <w:szCs w:val="36"/>
        </w:rPr>
        <w:t xml:space="preserve">评分导航表</w:t>
      </w:r>
      <w:r/>
    </w:p>
    <w:tbl>
      <w:tblPr>
        <w:tblStyle w:val="923"/>
        <w:tblW w:w="924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48"/>
        <w:gridCol w:w="4676"/>
        <w:gridCol w:w="1875"/>
        <w:gridCol w:w="1250"/>
      </w:tblGrid>
      <w:tr>
        <w:trPr>
          <w:jc w:val="center"/>
          <w:trHeight w:val="915"/>
        </w:trPr>
        <w:tc>
          <w:tcPr>
            <w:tcW w:w="1448"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序号</w:t>
            </w:r>
            <w:r/>
          </w:p>
        </w:tc>
        <w:tc>
          <w:tcPr>
            <w:tcW w:w="4676"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招标文件评分标准</w:t>
            </w:r>
            <w:r/>
          </w:p>
        </w:tc>
        <w:tc>
          <w:tcPr>
            <w:tcW w:w="1875"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投标文件响应页码</w:t>
            </w:r>
            <w:r/>
          </w:p>
        </w:tc>
        <w:tc>
          <w:tcPr>
            <w:tcW w:w="1250"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备注</w:t>
            </w:r>
            <w:r/>
          </w:p>
        </w:tc>
      </w:tr>
      <w:tr>
        <w:trPr>
          <w:jc w:val="center"/>
          <w:trHeight w:val="915"/>
        </w:trPr>
        <w:tc>
          <w:tcPr>
            <w:tcW w:w="1448" w:type="dxa"/>
            <w:vAlign w:val="center"/>
            <w:textDirection w:val="lrTb"/>
            <w:noWrap w:val="false"/>
          </w:tcPr>
          <w:p>
            <w:pPr>
              <w:jc w:val="center"/>
              <w:spacing w:line="340" w:lineRule="exact"/>
              <w:rPr>
                <w:rFonts w:ascii="宋体" w:hAnsi="宋体"/>
                <w:sz w:val="21"/>
                <w:szCs w:val="21"/>
                <w:highlight w:val="yellow"/>
              </w:rPr>
            </w:pPr>
            <w:r>
              <w:rPr>
                <w:rFonts w:ascii="宋体" w:hAnsi="宋体"/>
                <w:sz w:val="21"/>
                <w:szCs w:val="21"/>
                <w:highlight w:val="yellow"/>
              </w:rPr>
            </w:r>
            <w:r/>
          </w:p>
        </w:tc>
        <w:tc>
          <w:tcPr>
            <w:tcW w:w="4676" w:type="dxa"/>
            <w:textDirection w:val="lrTb"/>
            <w:noWrap w:val="false"/>
          </w:tcPr>
          <w:p>
            <w:pPr>
              <w:spacing w:line="340" w:lineRule="exact"/>
              <w:rPr>
                <w:rFonts w:ascii="宋体" w:hAnsi="宋体"/>
                <w:sz w:val="21"/>
                <w:szCs w:val="21"/>
                <w:highlight w:val="yellow"/>
              </w:rPr>
            </w:pPr>
            <w:r>
              <w:rPr>
                <w:rFonts w:ascii="宋体" w:hAnsi="宋体"/>
                <w:sz w:val="21"/>
                <w:szCs w:val="21"/>
                <w:highlight w:val="yellow"/>
              </w:rPr>
            </w:r>
            <w:r/>
          </w:p>
        </w:tc>
        <w:tc>
          <w:tcPr>
            <w:tcW w:w="1875" w:type="dxa"/>
            <w:textDirection w:val="lrTb"/>
            <w:noWrap w:val="false"/>
          </w:tcPr>
          <w:p>
            <w:pPr>
              <w:spacing w:line="340" w:lineRule="exact"/>
              <w:rPr>
                <w:rFonts w:ascii="宋体" w:hAnsi="宋体"/>
                <w:sz w:val="21"/>
                <w:szCs w:val="21"/>
                <w:highlight w:val="yellow"/>
              </w:rPr>
            </w:pPr>
            <w:r>
              <w:rPr>
                <w:rFonts w:ascii="宋体" w:hAnsi="宋体"/>
                <w:sz w:val="21"/>
                <w:szCs w:val="21"/>
                <w:highlight w:val="yellow"/>
              </w:rPr>
            </w:r>
            <w:r/>
          </w:p>
        </w:tc>
        <w:tc>
          <w:tcPr>
            <w:tcW w:w="1250" w:type="dxa"/>
            <w:textDirection w:val="lrTb"/>
            <w:noWrap w:val="false"/>
          </w:tcPr>
          <w:p>
            <w:pPr>
              <w:spacing w:line="340" w:lineRule="exact"/>
              <w:rPr>
                <w:rFonts w:ascii="宋体" w:hAnsi="宋体"/>
                <w:sz w:val="21"/>
                <w:szCs w:val="21"/>
                <w:highlight w:val="yellow"/>
              </w:rPr>
            </w:pPr>
            <w:r>
              <w:rPr>
                <w:rFonts w:ascii="宋体" w:hAnsi="宋体"/>
                <w:sz w:val="21"/>
                <w:szCs w:val="21"/>
                <w:highlight w:val="yellow"/>
              </w:rPr>
            </w:r>
            <w:r/>
          </w:p>
        </w:tc>
      </w:tr>
      <w:tr>
        <w:trPr>
          <w:jc w:val="center"/>
          <w:trHeight w:val="915"/>
        </w:trPr>
        <w:tc>
          <w:tcPr>
            <w:tcW w:w="1448" w:type="dxa"/>
            <w:vAlign w:val="center"/>
            <w:textDirection w:val="lrTb"/>
            <w:noWrap w:val="false"/>
          </w:tcPr>
          <w:p>
            <w:pPr>
              <w:ind w:left="185" w:right="224" w:firstLine="139"/>
              <w:jc w:val="center"/>
              <w:spacing w:line="340" w:lineRule="exact"/>
              <w:rPr>
                <w:rFonts w:ascii="宋体" w:hAnsi="宋体"/>
                <w:strike/>
                <w:sz w:val="21"/>
                <w:szCs w:val="21"/>
                <w:highlight w:val="yellow"/>
              </w:rPr>
            </w:pPr>
            <w:r>
              <w:rPr>
                <w:rFonts w:ascii="宋体" w:hAnsi="宋体"/>
                <w:strike/>
                <w:sz w:val="21"/>
                <w:szCs w:val="21"/>
                <w:highlight w:val="yellow"/>
              </w:rPr>
            </w:r>
            <w:r/>
          </w:p>
        </w:tc>
        <w:tc>
          <w:tcPr>
            <w:tcW w:w="4676" w:type="dxa"/>
            <w:vAlign w:val="center"/>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139"/>
              <w:spacing w:line="340" w:lineRule="exact"/>
              <w:rPr>
                <w:rFonts w:ascii="宋体" w:hAnsi="宋体"/>
                <w:strike/>
                <w:sz w:val="21"/>
                <w:szCs w:val="21"/>
                <w:highlight w:val="yellow"/>
              </w:rPr>
            </w:pPr>
            <w:r>
              <w:rPr>
                <w:rFonts w:ascii="宋体" w:hAnsi="宋体"/>
                <w:strike/>
                <w:sz w:val="21"/>
                <w:szCs w:val="21"/>
                <w:highlight w:val="yellow"/>
              </w:rPr>
            </w:r>
            <w:r/>
          </w:p>
        </w:tc>
        <w:tc>
          <w:tcPr>
            <w:tcW w:w="1250" w:type="dxa"/>
            <w:textDirection w:val="lrTb"/>
            <w:noWrap w:val="false"/>
          </w:tcPr>
          <w:p>
            <w:pPr>
              <w:ind w:left="185" w:right="224" w:firstLine="139"/>
              <w:spacing w:line="340" w:lineRule="exact"/>
              <w:rPr>
                <w:rFonts w:ascii="宋体" w:hAnsi="宋体"/>
                <w:strike/>
                <w:sz w:val="21"/>
                <w:szCs w:val="21"/>
                <w:highlight w:val="yellow"/>
              </w:rPr>
            </w:pPr>
            <w:r>
              <w:rPr>
                <w:rFonts w:ascii="宋体" w:hAnsi="宋体"/>
                <w:strike/>
                <w:sz w:val="21"/>
                <w:szCs w:val="21"/>
                <w:highlight w:val="yellow"/>
              </w:rPr>
            </w:r>
            <w:r/>
          </w:p>
        </w:tc>
      </w:tr>
      <w:tr>
        <w:trPr>
          <w:jc w:val="center"/>
          <w:trHeight w:val="915"/>
        </w:trPr>
        <w:tc>
          <w:tcPr>
            <w:tcW w:w="1448" w:type="dxa"/>
            <w:vAlign w:val="center"/>
            <w:textDirection w:val="lrTb"/>
            <w:noWrap w:val="false"/>
          </w:tcPr>
          <w:p>
            <w:pPr>
              <w:ind w:left="185" w:right="224" w:firstLine="139"/>
              <w:jc w:val="center"/>
              <w:spacing w:line="340" w:lineRule="exact"/>
              <w:rPr>
                <w:rFonts w:ascii="宋体" w:hAnsi="宋体"/>
                <w:sz w:val="21"/>
                <w:szCs w:val="21"/>
              </w:rPr>
            </w:pPr>
            <w:r>
              <w:rPr>
                <w:rFonts w:ascii="宋体" w:hAnsi="宋体"/>
                <w:sz w:val="21"/>
                <w:szCs w:val="21"/>
              </w:rPr>
            </w:r>
            <w:r/>
          </w:p>
        </w:tc>
        <w:tc>
          <w:tcPr>
            <w:tcW w:w="4676" w:type="dxa"/>
            <w:vAlign w:val="center"/>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W w:w="1250"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r>
      <w:tr>
        <w:trPr>
          <w:jc w:val="center"/>
          <w:trHeight w:val="915"/>
        </w:trPr>
        <w:tc>
          <w:tcPr>
            <w:tcBorders>
              <w:bottom w:val="single" w:color="000000" w:sz="4" w:space="0"/>
            </w:tcBorders>
            <w:tcW w:w="1448" w:type="dxa"/>
            <w:vAlign w:val="center"/>
            <w:textDirection w:val="lrTb"/>
            <w:noWrap w:val="false"/>
          </w:tcPr>
          <w:p>
            <w:pPr>
              <w:ind w:left="185" w:right="224" w:firstLine="139"/>
              <w:jc w:val="center"/>
              <w:spacing w:line="340" w:lineRule="exact"/>
              <w:rPr>
                <w:rFonts w:ascii="宋体" w:hAnsi="宋体"/>
                <w:sz w:val="21"/>
                <w:szCs w:val="21"/>
              </w:rPr>
            </w:pPr>
            <w:r>
              <w:rPr>
                <w:rFonts w:ascii="宋体" w:hAnsi="宋体"/>
                <w:sz w:val="21"/>
                <w:szCs w:val="21"/>
              </w:rPr>
            </w:r>
            <w:r/>
          </w:p>
        </w:tc>
        <w:tc>
          <w:tcPr>
            <w:tcBorders>
              <w:bottom w:val="single" w:color="000000" w:sz="4" w:space="0"/>
            </w:tcBorders>
            <w:tcW w:w="4676" w:type="dxa"/>
            <w:vAlign w:val="center"/>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Borders>
              <w:bottom w:val="single" w:color="000000" w:sz="4" w:space="0"/>
            </w:tcBorders>
            <w:tcW w:w="1875"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Borders>
              <w:bottom w:val="single" w:color="000000" w:sz="4" w:space="0"/>
            </w:tcBorders>
            <w:tcW w:w="1250"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r>
      <w:tr>
        <w:trPr>
          <w:jc w:val="center"/>
          <w:trHeight w:val="915"/>
        </w:trPr>
        <w:tc>
          <w:tcPr>
            <w:tcBorders>
              <w:top w:val="single" w:color="000000" w:sz="4" w:space="0"/>
            </w:tcBorders>
            <w:tcW w:w="1448" w:type="dxa"/>
            <w:vAlign w:val="center"/>
            <w:textDirection w:val="lrTb"/>
            <w:noWrap w:val="false"/>
          </w:tcPr>
          <w:p>
            <w:pPr>
              <w:ind w:left="185" w:right="224" w:firstLine="139"/>
              <w:jc w:val="center"/>
              <w:spacing w:line="340" w:lineRule="exact"/>
              <w:rPr>
                <w:rFonts w:ascii="宋体" w:hAnsi="宋体"/>
                <w:sz w:val="21"/>
                <w:szCs w:val="21"/>
              </w:rPr>
            </w:pPr>
            <w:r>
              <w:rPr>
                <w:rFonts w:ascii="宋体" w:hAnsi="宋体"/>
                <w:sz w:val="21"/>
                <w:szCs w:val="21"/>
              </w:rPr>
            </w:r>
            <w:r/>
          </w:p>
        </w:tc>
        <w:tc>
          <w:tcPr>
            <w:tcBorders>
              <w:top w:val="single" w:color="000000" w:sz="4" w:space="0"/>
            </w:tcBorders>
            <w:tcW w:w="4676" w:type="dxa"/>
            <w:vAlign w:val="center"/>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Borders>
              <w:top w:val="single" w:color="000000" w:sz="4" w:space="0"/>
            </w:tcBorders>
            <w:tcW w:w="1875"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Borders>
              <w:top w:val="single" w:color="000000" w:sz="4" w:space="0"/>
            </w:tcBorders>
            <w:tcW w:w="1250"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r>
      <w:tr>
        <w:trPr>
          <w:jc w:val="center"/>
          <w:trHeight w:val="915"/>
        </w:trPr>
        <w:tc>
          <w:tcPr>
            <w:tcW w:w="1448" w:type="dxa"/>
            <w:vAlign w:val="center"/>
            <w:textDirection w:val="lrTb"/>
            <w:noWrap w:val="false"/>
          </w:tcPr>
          <w:p>
            <w:pPr>
              <w:ind w:left="185" w:right="224" w:firstLine="139"/>
              <w:jc w:val="center"/>
              <w:spacing w:line="340" w:lineRule="exact"/>
              <w:rPr>
                <w:rFonts w:ascii="宋体" w:hAnsi="宋体"/>
                <w:strike/>
                <w:sz w:val="21"/>
                <w:szCs w:val="21"/>
                <w:highlight w:val="yellow"/>
              </w:rPr>
            </w:pPr>
            <w:r>
              <w:rPr>
                <w:rFonts w:ascii="宋体" w:hAnsi="宋体"/>
                <w:strike/>
                <w:sz w:val="21"/>
                <w:szCs w:val="21"/>
                <w:highlight w:val="yellow"/>
              </w:rPr>
            </w:r>
            <w:r/>
          </w:p>
        </w:tc>
        <w:tc>
          <w:tcPr>
            <w:tcW w:w="4676" w:type="dxa"/>
            <w:vAlign w:val="center"/>
            <w:textDirection w:val="lrTb"/>
            <w:noWrap w:val="false"/>
          </w:tcPr>
          <w:p>
            <w:pPr>
              <w:ind w:left="185" w:right="224" w:firstLine="139"/>
              <w:spacing w:line="340" w:lineRule="exact"/>
              <w:rPr>
                <w:rFonts w:ascii="宋体" w:hAnsi="宋体"/>
                <w:strike/>
                <w:sz w:val="21"/>
                <w:szCs w:val="21"/>
                <w:highlight w:val="yellow"/>
              </w:rPr>
            </w:pPr>
            <w:r>
              <w:rPr>
                <w:rFonts w:ascii="宋体" w:hAnsi="宋体"/>
                <w:strike/>
                <w:sz w:val="21"/>
                <w:szCs w:val="21"/>
                <w:highlight w:val="yellow"/>
              </w:rPr>
            </w:r>
            <w:r/>
          </w:p>
        </w:tc>
        <w:tc>
          <w:tcPr>
            <w:tcW w:w="1875" w:type="dxa"/>
            <w:textDirection w:val="lrTb"/>
            <w:noWrap w:val="false"/>
          </w:tcPr>
          <w:p>
            <w:pPr>
              <w:ind w:left="185" w:right="224" w:firstLine="139"/>
              <w:spacing w:line="340" w:lineRule="exact"/>
              <w:rPr>
                <w:rFonts w:ascii="宋体" w:hAnsi="宋体"/>
                <w:strike/>
                <w:sz w:val="21"/>
                <w:szCs w:val="21"/>
                <w:highlight w:val="yellow"/>
              </w:rPr>
            </w:pPr>
            <w:r>
              <w:rPr>
                <w:rFonts w:ascii="宋体" w:hAnsi="宋体"/>
                <w:strike/>
                <w:sz w:val="21"/>
                <w:szCs w:val="21"/>
                <w:highlight w:val="yellow"/>
              </w:rPr>
            </w:r>
            <w:r/>
          </w:p>
        </w:tc>
        <w:tc>
          <w:tcPr>
            <w:tcW w:w="1250" w:type="dxa"/>
            <w:textDirection w:val="lrTb"/>
            <w:noWrap w:val="false"/>
          </w:tcPr>
          <w:p>
            <w:pPr>
              <w:ind w:left="185" w:right="224" w:firstLine="139"/>
              <w:spacing w:line="340" w:lineRule="exact"/>
              <w:rPr>
                <w:rFonts w:ascii="宋体" w:hAnsi="宋体"/>
                <w:strike/>
                <w:sz w:val="21"/>
                <w:szCs w:val="21"/>
                <w:highlight w:val="yellow"/>
              </w:rPr>
            </w:pPr>
            <w:r>
              <w:rPr>
                <w:rFonts w:ascii="宋体" w:hAnsi="宋体"/>
                <w:strike/>
                <w:sz w:val="21"/>
                <w:szCs w:val="21"/>
                <w:highlight w:val="yellow"/>
              </w:rPr>
            </w:r>
            <w:r/>
          </w:p>
        </w:tc>
      </w:tr>
      <w:tr>
        <w:trPr>
          <w:jc w:val="center"/>
          <w:trHeight w:val="915"/>
        </w:trPr>
        <w:tc>
          <w:tcPr>
            <w:tcW w:w="1448" w:type="dxa"/>
            <w:vAlign w:val="center"/>
            <w:textDirection w:val="lrTb"/>
            <w:noWrap w:val="false"/>
          </w:tcPr>
          <w:p>
            <w:pPr>
              <w:ind w:left="185" w:right="224" w:firstLine="139"/>
              <w:jc w:val="center"/>
              <w:spacing w:line="340" w:lineRule="exact"/>
              <w:rPr>
                <w:rFonts w:ascii="宋体" w:hAnsi="宋体"/>
                <w:sz w:val="21"/>
                <w:szCs w:val="21"/>
              </w:rPr>
            </w:pPr>
            <w:r>
              <w:rPr>
                <w:rFonts w:ascii="宋体" w:hAnsi="宋体"/>
                <w:sz w:val="21"/>
                <w:szCs w:val="21"/>
              </w:rPr>
            </w:r>
            <w:r/>
          </w:p>
        </w:tc>
        <w:tc>
          <w:tcPr>
            <w:tcW w:w="4676" w:type="dxa"/>
            <w:vAlign w:val="center"/>
            <w:textDirection w:val="lrTb"/>
            <w:noWrap w:val="false"/>
          </w:tcPr>
          <w:p>
            <w:pPr>
              <w:pStyle w:val="1166"/>
              <w:ind w:left="185" w:right="224" w:firstLine="139"/>
              <w:jc w:val="left"/>
              <w:spacing w:line="340" w:lineRule="exact"/>
              <w:rPr>
                <w:rFonts w:ascii="宋体" w:hAnsi="宋体"/>
                <w:color w:val="ff0000"/>
              </w:rPr>
            </w:pPr>
            <w:r>
              <w:rPr>
                <w:rFonts w:ascii="宋体" w:hAnsi="宋体"/>
                <w:color w:val="ff0000"/>
              </w:rPr>
            </w:r>
            <w:r/>
          </w:p>
        </w:tc>
        <w:tc>
          <w:tcPr>
            <w:tcW w:w="1875"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W w:w="1250"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r>
      <w:tr>
        <w:trPr>
          <w:jc w:val="center"/>
          <w:trHeight w:val="915"/>
        </w:trPr>
        <w:tc>
          <w:tcPr>
            <w:tcW w:w="1448" w:type="dxa"/>
            <w:vAlign w:val="center"/>
            <w:textDirection w:val="lrTb"/>
            <w:noWrap w:val="false"/>
          </w:tcPr>
          <w:p>
            <w:pPr>
              <w:ind w:left="185" w:right="224" w:firstLine="139"/>
              <w:jc w:val="center"/>
              <w:spacing w:line="340" w:lineRule="exact"/>
              <w:rPr>
                <w:rFonts w:ascii="宋体" w:hAnsi="宋体"/>
                <w:sz w:val="21"/>
                <w:szCs w:val="21"/>
              </w:rPr>
            </w:pPr>
            <w:r>
              <w:rPr>
                <w:rFonts w:ascii="宋体" w:hAnsi="宋体"/>
                <w:sz w:val="21"/>
                <w:szCs w:val="21"/>
              </w:rPr>
            </w:r>
            <w:r/>
          </w:p>
        </w:tc>
        <w:tc>
          <w:tcPr>
            <w:tcW w:w="4676" w:type="dxa"/>
            <w:vAlign w:val="center"/>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c>
          <w:tcPr>
            <w:tcW w:w="1250" w:type="dxa"/>
            <w:textDirection w:val="lrTb"/>
            <w:noWrap w:val="false"/>
          </w:tcPr>
          <w:p>
            <w:pPr>
              <w:ind w:left="185" w:right="224" w:firstLine="139"/>
              <w:spacing w:line="340" w:lineRule="exact"/>
              <w:rPr>
                <w:rFonts w:ascii="宋体" w:hAnsi="宋体"/>
                <w:sz w:val="21"/>
                <w:szCs w:val="21"/>
              </w:rPr>
            </w:pPr>
            <w:r>
              <w:rPr>
                <w:rFonts w:ascii="宋体" w:hAnsi="宋体"/>
                <w:sz w:val="21"/>
                <w:szCs w:val="21"/>
              </w:rPr>
            </w:r>
            <w:r/>
          </w:p>
        </w:tc>
      </w:tr>
      <w:tr>
        <w:trPr>
          <w:jc w:val="center"/>
          <w:trHeight w:val="915"/>
        </w:trPr>
        <w:tc>
          <w:tcPr>
            <w:tcW w:w="1448" w:type="dxa"/>
            <w:vAlign w:val="center"/>
            <w:textDirection w:val="lrTb"/>
            <w:noWrap w:val="false"/>
          </w:tcPr>
          <w:p>
            <w:pPr>
              <w:ind w:left="185" w:right="224" w:firstLine="139"/>
              <w:jc w:val="center"/>
              <w:spacing w:line="340" w:lineRule="exact"/>
              <w:rPr>
                <w:rFonts w:ascii="宋体" w:hAnsi="宋体"/>
                <w:strike/>
                <w:sz w:val="21"/>
                <w:szCs w:val="21"/>
                <w:highlight w:val="yellow"/>
              </w:rPr>
            </w:pPr>
            <w:r>
              <w:rPr>
                <w:rFonts w:ascii="宋体" w:hAnsi="宋体"/>
                <w:strike/>
                <w:sz w:val="21"/>
                <w:szCs w:val="21"/>
                <w:highlight w:val="yellow"/>
              </w:rPr>
            </w:r>
            <w:r/>
          </w:p>
        </w:tc>
        <w:tc>
          <w:tcPr>
            <w:tcW w:w="4676" w:type="dxa"/>
            <w:vAlign w:val="center"/>
            <w:textDirection w:val="lrTb"/>
            <w:noWrap w:val="false"/>
          </w:tcPr>
          <w:p>
            <w:pPr>
              <w:ind w:left="185" w:right="224" w:firstLine="139"/>
              <w:jc w:val="left"/>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139"/>
              <w:spacing w:line="340" w:lineRule="exact"/>
              <w:rPr>
                <w:rFonts w:ascii="宋体" w:hAnsi="宋体"/>
                <w:strike/>
                <w:sz w:val="21"/>
                <w:szCs w:val="21"/>
                <w:highlight w:val="yellow"/>
              </w:rPr>
            </w:pPr>
            <w:r>
              <w:rPr>
                <w:rFonts w:ascii="宋体" w:hAnsi="宋体"/>
                <w:strike/>
                <w:sz w:val="21"/>
                <w:szCs w:val="21"/>
                <w:highlight w:val="yellow"/>
              </w:rPr>
            </w:r>
            <w:r/>
          </w:p>
        </w:tc>
        <w:tc>
          <w:tcPr>
            <w:tcW w:w="1250" w:type="dxa"/>
            <w:textDirection w:val="lrTb"/>
            <w:noWrap w:val="false"/>
          </w:tcPr>
          <w:p>
            <w:pPr>
              <w:ind w:left="185" w:right="224" w:firstLine="139"/>
              <w:spacing w:line="340" w:lineRule="exact"/>
              <w:rPr>
                <w:rFonts w:ascii="宋体" w:hAnsi="宋体"/>
                <w:strike/>
                <w:sz w:val="21"/>
                <w:szCs w:val="21"/>
                <w:highlight w:val="yellow"/>
              </w:rPr>
            </w:pPr>
            <w:r>
              <w:rPr>
                <w:rFonts w:ascii="宋体" w:hAnsi="宋体"/>
                <w:strike/>
                <w:sz w:val="21"/>
                <w:szCs w:val="21"/>
                <w:highlight w:val="yellow"/>
              </w:rPr>
            </w:r>
            <w:r/>
          </w:p>
        </w:tc>
      </w:tr>
    </w:tbl>
    <w:p>
      <w:pPr>
        <w:jc w:val="center"/>
        <w:spacing w:line="440" w:lineRule="exact"/>
        <w:rPr>
          <w:rFonts w:ascii="宋体" w:hAnsi="宋体"/>
          <w:b/>
          <w:bCs/>
          <w:sz w:val="36"/>
          <w:szCs w:val="36"/>
        </w:rPr>
      </w:pPr>
      <w:r>
        <w:rPr>
          <w:rFonts w:ascii="宋体" w:hAnsi="宋体"/>
          <w:b/>
          <w:bCs/>
          <w:sz w:val="36"/>
          <w:szCs w:val="36"/>
        </w:rPr>
      </w:r>
      <w:r/>
    </w:p>
    <w:p>
      <w:pPr>
        <w:jc w:val="center"/>
        <w:spacing w:line="440" w:lineRule="exact"/>
        <w:rPr>
          <w:rFonts w:ascii="宋体" w:hAnsi="宋体"/>
          <w:b/>
          <w:bCs/>
          <w:sz w:val="36"/>
          <w:szCs w:val="36"/>
        </w:rPr>
      </w:pPr>
      <w:r>
        <w:rPr>
          <w:rFonts w:hint="eastAsia" w:ascii="宋体" w:hAnsi="宋体"/>
          <w:b/>
          <w:bCs/>
          <w:sz w:val="36"/>
          <w:szCs w:val="36"/>
        </w:rPr>
        <w:t xml:space="preserve">（表格不够可自行添加）</w:t>
      </w:r>
      <w:r/>
    </w:p>
    <w:p>
      <w:pPr>
        <w:rPr>
          <w:rFonts w:ascii="宋体" w:hAnsi="宋体"/>
          <w:sz w:val="36"/>
          <w:szCs w:val="36"/>
        </w:rPr>
      </w:pPr>
      <w:r>
        <w:rPr>
          <w:rFonts w:ascii="宋体" w:hAnsi="宋体"/>
          <w:b/>
          <w:bCs/>
          <w:sz w:val="36"/>
          <w:szCs w:val="36"/>
        </w:rPr>
        <w:br w:type="page" w:clear="all"/>
      </w:r>
      <w:bookmarkStart w:id="56" w:name="_Toc59797307"/>
      <w:r/>
      <w:bookmarkStart w:id="57" w:name="_Toc454356736"/>
      <w:r>
        <w:rPr>
          <w:rFonts w:hint="eastAsia" w:ascii="宋体" w:hAnsi="宋体"/>
          <w:b/>
          <w:bCs/>
          <w:sz w:val="36"/>
          <w:szCs w:val="36"/>
          <w:lang w:val="en-US" w:eastAsia="zh-CN"/>
        </w:rPr>
        <w:t xml:space="preserve">              </w:t>
      </w:r>
      <w:r>
        <w:rPr>
          <w:rFonts w:hint="eastAsia" w:ascii="宋体" w:hAnsi="宋体"/>
          <w:b/>
          <w:sz w:val="36"/>
          <w:szCs w:val="36"/>
        </w:rPr>
        <w:t xml:space="preserve">一、投 标 函 </w:t>
      </w:r>
      <w:r>
        <w:rPr>
          <w:rFonts w:hint="eastAsia" w:ascii="宋体" w:hAnsi="宋体"/>
          <w:sz w:val="36"/>
          <w:szCs w:val="36"/>
        </w:rPr>
        <w:t xml:space="preserve">（格 式）</w:t>
      </w:r>
      <w:bookmarkEnd w:id="56"/>
      <w:r/>
      <w:bookmarkEnd w:id="57"/>
      <w:r/>
      <w:r/>
    </w:p>
    <w:p>
      <w:pPr>
        <w:spacing w:line="348" w:lineRule="auto"/>
        <w:rPr>
          <w:rFonts w:ascii="宋体" w:hAnsi="宋体"/>
          <w:sz w:val="24"/>
          <w:szCs w:val="24"/>
        </w:rPr>
      </w:pPr>
      <w:r>
        <w:rPr>
          <w:rFonts w:ascii="宋体" w:hAnsi="宋体"/>
          <w:sz w:val="24"/>
          <w:szCs w:val="24"/>
        </w:rPr>
      </w:r>
      <w:r/>
    </w:p>
    <w:p>
      <w:pPr>
        <w:spacing w:line="348" w:lineRule="auto"/>
        <w:rPr>
          <w:rFonts w:ascii="宋体" w:hAnsi="宋体"/>
          <w:sz w:val="24"/>
          <w:szCs w:val="24"/>
        </w:rPr>
      </w:pPr>
      <w:r>
        <w:rPr>
          <w:rFonts w:hint="eastAsia" w:ascii="宋体" w:hAnsi="宋体"/>
          <w:sz w:val="24"/>
          <w:szCs w:val="24"/>
        </w:rPr>
        <w:t xml:space="preserve">致：</w:t>
      </w:r>
      <w:r>
        <w:rPr>
          <w:rFonts w:hint="eastAsia" w:ascii="宋体" w:hAnsi="宋体"/>
          <w:sz w:val="24"/>
          <w:szCs w:val="24"/>
          <w:u w:val="single"/>
        </w:rPr>
        <w:t xml:space="preserve">          </w:t>
      </w:r>
      <w:r>
        <w:rPr>
          <w:rFonts w:hint="eastAsia" w:ascii="宋体" w:hAnsi="宋体"/>
          <w:sz w:val="24"/>
          <w:szCs w:val="24"/>
        </w:rPr>
        <w:t xml:space="preserve">（招标方）</w:t>
      </w:r>
      <w:r/>
    </w:p>
    <w:p>
      <w:pPr>
        <w:pStyle w:val="1167"/>
        <w:ind w:firstLine="478"/>
        <w:spacing w:before="0" w:after="0"/>
        <w:rPr>
          <w:rFonts w:ascii="宋体" w:hAnsi="宋体"/>
        </w:rPr>
      </w:pPr>
      <w:r>
        <w:rPr>
          <w:rFonts w:hint="eastAsia" w:ascii="宋体" w:hAnsi="宋体"/>
        </w:rPr>
        <w:t xml:space="preserve">根据贵方的</w:t>
      </w:r>
      <w:r>
        <w:rPr>
          <w:rFonts w:hint="eastAsia" w:ascii="宋体" w:hAnsi="宋体"/>
          <w:u w:val="single"/>
        </w:rPr>
        <w:t xml:space="preserve">JSZC-320922-YTGC-G2024-0015</w:t>
      </w:r>
      <w:r>
        <w:rPr>
          <w:rFonts w:hint="eastAsia" w:ascii="宋体" w:hAnsi="宋体"/>
        </w:rPr>
        <w:t xml:space="preserve">项目招标文件，正式授权下述签字人_____________(姓名和职务)代表我方___________（投标人的名称），全权处理本次项目投标的有关事宜。并据此函，兹宣布同意如下：</w:t>
      </w:r>
      <w:r/>
    </w:p>
    <w:p>
      <w:pPr>
        <w:pStyle w:val="1167"/>
        <w:spacing w:before="0" w:after="0"/>
        <w:rPr>
          <w:rFonts w:ascii="宋体" w:hAnsi="宋体"/>
        </w:rPr>
      </w:pPr>
      <w:r>
        <w:rPr>
          <w:rFonts w:hint="eastAsia" w:ascii="宋体" w:hAnsi="宋体"/>
        </w:rPr>
        <w:t xml:space="preserve">1.按招标文件规定的各项要求，向买方提供所需货物与服务。</w:t>
      </w:r>
      <w:r/>
    </w:p>
    <w:p>
      <w:pPr>
        <w:pStyle w:val="1167"/>
        <w:spacing w:before="0" w:after="0"/>
        <w:rPr>
          <w:rFonts w:ascii="宋体" w:hAnsi="宋体"/>
        </w:rPr>
      </w:pPr>
      <w:r>
        <w:rPr>
          <w:rFonts w:hint="eastAsia" w:ascii="宋体" w:hAnsi="宋体"/>
        </w:rPr>
        <w:t xml:space="preserve">2.我们完全理解贵方不一定将合同授予最低报价的投标人。</w:t>
      </w:r>
      <w:r/>
    </w:p>
    <w:p>
      <w:pPr>
        <w:pStyle w:val="1167"/>
        <w:spacing w:before="0" w:after="0"/>
        <w:rPr>
          <w:rFonts w:ascii="宋体" w:hAnsi="宋体"/>
        </w:rPr>
      </w:pPr>
      <w:r>
        <w:rPr>
          <w:rFonts w:hint="eastAsia" w:ascii="宋体" w:hAnsi="宋体"/>
        </w:rPr>
        <w:t xml:space="preserve">3.我们已详细审核全部招标文件及其有效补充文件，我们知道必须放弃提出含糊不清或误解问题的权利。</w:t>
      </w:r>
      <w:r/>
    </w:p>
    <w:p>
      <w:pPr>
        <w:pStyle w:val="1167"/>
        <w:spacing w:before="0" w:after="0"/>
        <w:rPr>
          <w:rFonts w:ascii="宋体" w:hAnsi="宋体"/>
        </w:rPr>
      </w:pPr>
      <w:r>
        <w:rPr>
          <w:rFonts w:hint="eastAsia" w:ascii="宋体" w:hAnsi="宋体"/>
        </w:rPr>
        <w:t xml:space="preserve">4.我们同意从规定的开标日期起遵循本投标文件，并在规定的投标有效期期满之前均具有约束力。</w:t>
      </w:r>
      <w:r/>
    </w:p>
    <w:p>
      <w:pPr>
        <w:pStyle w:val="1167"/>
        <w:spacing w:before="0" w:after="0"/>
        <w:rPr>
          <w:rFonts w:ascii="宋体" w:hAnsi="宋体"/>
        </w:rPr>
      </w:pPr>
      <w:r>
        <w:rPr>
          <w:rFonts w:hint="eastAsia" w:ascii="宋体" w:hAnsi="宋体"/>
        </w:rPr>
        <w:t xml:space="preserve">5.如果在开标后规定的投标有效期内撤回投标或中标后拒绝签订合同。</w:t>
      </w:r>
      <w:r/>
    </w:p>
    <w:p>
      <w:pPr>
        <w:pStyle w:val="1167"/>
        <w:spacing w:before="0" w:after="0"/>
        <w:rPr>
          <w:rFonts w:ascii="宋体" w:hAnsi="宋体"/>
        </w:rPr>
      </w:pPr>
      <w:r>
        <w:rPr>
          <w:rFonts w:hint="eastAsia" w:ascii="宋体" w:hAnsi="宋体"/>
        </w:rPr>
        <w:t xml:space="preserve">6.同意向贵方提供贵方可能另外要求的与投标有关的任何证据或资料，并保证我方已提供和将要提供的文件是真实的、准确的。</w:t>
      </w:r>
      <w:r/>
    </w:p>
    <w:p>
      <w:pPr>
        <w:pStyle w:val="1167"/>
        <w:spacing w:before="0" w:after="0"/>
        <w:rPr>
          <w:rFonts w:ascii="宋体" w:hAnsi="宋体"/>
        </w:rPr>
      </w:pPr>
      <w:r>
        <w:rPr>
          <w:rFonts w:hint="eastAsia" w:ascii="宋体" w:hAnsi="宋体"/>
        </w:rPr>
        <w:t xml:space="preserve">7.一旦我方中标,我方将根据招标文件的规定，严格履行合同的责任和义务,并保证在规定的时间完成项目，交付甲方验收、使用。</w:t>
      </w:r>
      <w:r/>
    </w:p>
    <w:p>
      <w:pPr>
        <w:pStyle w:val="1167"/>
        <w:ind w:left="425" w:firstLine="0"/>
        <w:spacing w:before="0" w:after="0"/>
        <w:rPr>
          <w:rFonts w:ascii="宋体" w:hAnsi="宋体"/>
        </w:rPr>
      </w:pPr>
      <w:r>
        <w:rPr>
          <w:rFonts w:hint="eastAsia" w:ascii="宋体" w:hAnsi="宋体"/>
        </w:rPr>
        <w:t xml:space="preserve">8.与本投标有关的正式通讯地址为：</w:t>
      </w:r>
      <w:r/>
    </w:p>
    <w:p>
      <w:pPr>
        <w:pStyle w:val="1167"/>
        <w:ind w:left="560" w:firstLine="720"/>
        <w:spacing w:before="0" w:after="0" w:line="420" w:lineRule="exact"/>
        <w:rPr>
          <w:rFonts w:ascii="宋体" w:hAnsi="宋体"/>
        </w:rPr>
      </w:pPr>
      <w:r>
        <w:rPr>
          <w:rFonts w:hint="eastAsia" w:ascii="宋体" w:hAnsi="宋体"/>
        </w:rPr>
        <w:t xml:space="preserve">地       址：</w:t>
      </w:r>
      <w:r>
        <w:rPr>
          <w:rFonts w:hint="eastAsia" w:ascii="宋体" w:hAnsi="宋体"/>
          <w:u w:val="single"/>
        </w:rPr>
        <w:t xml:space="preserve">                      </w:t>
      </w:r>
      <w:r/>
    </w:p>
    <w:p>
      <w:pPr>
        <w:pStyle w:val="1167"/>
        <w:ind w:left="560" w:firstLine="720"/>
        <w:spacing w:before="0" w:after="0" w:line="420" w:lineRule="exact"/>
        <w:rPr>
          <w:rFonts w:ascii="宋体" w:hAnsi="宋体"/>
        </w:rPr>
      </w:pPr>
      <w:r>
        <w:rPr>
          <w:rFonts w:hint="eastAsia" w:ascii="宋体" w:hAnsi="宋体"/>
        </w:rPr>
        <w:t xml:space="preserve">邮       编：</w:t>
      </w:r>
      <w:r>
        <w:rPr>
          <w:rFonts w:hint="eastAsia" w:ascii="宋体" w:hAnsi="宋体"/>
          <w:u w:val="single"/>
        </w:rPr>
        <w:t xml:space="preserve">                      </w:t>
      </w:r>
      <w:r/>
    </w:p>
    <w:p>
      <w:pPr>
        <w:pStyle w:val="1167"/>
        <w:ind w:left="560" w:firstLine="720"/>
        <w:spacing w:before="0" w:after="0" w:line="420" w:lineRule="exact"/>
        <w:rPr>
          <w:rFonts w:ascii="宋体" w:hAnsi="宋体"/>
        </w:rPr>
      </w:pPr>
      <w:r>
        <w:rPr>
          <w:rFonts w:hint="eastAsia" w:ascii="宋体" w:hAnsi="宋体"/>
        </w:rPr>
        <w:t xml:space="preserve">电       话：</w:t>
      </w:r>
      <w:r>
        <w:rPr>
          <w:rFonts w:hint="eastAsia" w:ascii="宋体" w:hAnsi="宋体"/>
          <w:u w:val="single"/>
        </w:rPr>
        <w:t xml:space="preserve">                      </w:t>
      </w:r>
      <w:r/>
    </w:p>
    <w:p>
      <w:pPr>
        <w:pStyle w:val="1167"/>
        <w:ind w:left="560" w:firstLine="720"/>
        <w:spacing w:before="0" w:after="0" w:line="420" w:lineRule="exact"/>
        <w:rPr>
          <w:rFonts w:ascii="宋体" w:hAnsi="宋体"/>
        </w:rPr>
      </w:pPr>
      <w:r>
        <w:rPr>
          <w:rFonts w:hint="eastAsia" w:ascii="宋体" w:hAnsi="宋体"/>
        </w:rPr>
        <w:t xml:space="preserve">传       真：</w:t>
      </w:r>
      <w:r>
        <w:rPr>
          <w:rFonts w:hint="eastAsia" w:ascii="宋体" w:hAnsi="宋体"/>
          <w:u w:val="single"/>
        </w:rPr>
        <w:t xml:space="preserve">                      </w:t>
      </w:r>
      <w:r/>
    </w:p>
    <w:p>
      <w:pPr>
        <w:pStyle w:val="1167"/>
        <w:ind w:left="560" w:firstLine="720"/>
        <w:spacing w:before="0" w:after="0" w:line="420" w:lineRule="exact"/>
        <w:rPr>
          <w:rFonts w:ascii="宋体" w:hAnsi="宋体"/>
        </w:rPr>
      </w:pPr>
      <w:r>
        <w:rPr>
          <w:rFonts w:hint="eastAsia" w:ascii="宋体" w:hAnsi="宋体"/>
        </w:rPr>
        <w:t xml:space="preserve">投标人开户行：</w:t>
      </w:r>
      <w:r>
        <w:rPr>
          <w:rFonts w:hint="eastAsia" w:ascii="宋体" w:hAnsi="宋体"/>
          <w:u w:val="single"/>
        </w:rPr>
        <w:t xml:space="preserve">                      </w:t>
      </w:r>
      <w:r/>
    </w:p>
    <w:p>
      <w:pPr>
        <w:pStyle w:val="1167"/>
        <w:ind w:left="560" w:firstLine="720"/>
        <w:spacing w:before="0" w:after="0" w:line="420" w:lineRule="exact"/>
        <w:rPr>
          <w:rFonts w:ascii="宋体" w:hAnsi="宋体"/>
        </w:rPr>
      </w:pPr>
      <w:r>
        <w:rPr>
          <w:rFonts w:hint="eastAsia" w:ascii="宋体" w:hAnsi="宋体"/>
        </w:rPr>
        <w:t xml:space="preserve">账       户： </w:t>
      </w:r>
      <w:r>
        <w:rPr>
          <w:rFonts w:hint="eastAsia" w:ascii="宋体" w:hAnsi="宋体"/>
          <w:u w:val="single"/>
        </w:rPr>
        <w:t xml:space="preserve">                      </w:t>
      </w:r>
      <w:r/>
    </w:p>
    <w:p>
      <w:pPr>
        <w:pStyle w:val="1167"/>
        <w:ind w:left="560" w:firstLine="720"/>
        <w:spacing w:before="0" w:after="0" w:line="420" w:lineRule="exact"/>
        <w:rPr>
          <w:rFonts w:ascii="宋体" w:hAnsi="宋体"/>
        </w:rPr>
      </w:pPr>
      <w:r>
        <w:rPr>
          <w:rFonts w:hint="eastAsia" w:ascii="宋体" w:hAnsi="宋体"/>
        </w:rPr>
        <w:t xml:space="preserve">投标人（单位公章）： </w:t>
      </w:r>
      <w:r>
        <w:rPr>
          <w:rFonts w:hint="eastAsia" w:ascii="宋体" w:hAnsi="宋体"/>
          <w:u w:val="single"/>
        </w:rPr>
        <w:t xml:space="preserve">                      </w:t>
      </w:r>
      <w:r/>
    </w:p>
    <w:p>
      <w:pPr>
        <w:pStyle w:val="1167"/>
        <w:ind w:firstLine="0"/>
        <w:spacing w:before="0" w:after="0" w:line="420" w:lineRule="exact"/>
        <w:rPr>
          <w:rFonts w:ascii="宋体" w:hAnsi="宋体"/>
        </w:rPr>
      </w:pPr>
      <w:r>
        <w:rPr>
          <w:rFonts w:ascii="宋体" w:hAnsi="宋体"/>
        </w:rPr>
      </w:r>
      <w:r/>
    </w:p>
    <w:p>
      <w:pPr>
        <w:pStyle w:val="1167"/>
        <w:ind w:firstLine="720"/>
        <w:spacing w:before="0" w:after="0" w:line="420" w:lineRule="exact"/>
        <w:rPr>
          <w:rFonts w:ascii="宋体" w:hAnsi="宋体"/>
          <w:u w:val="single"/>
        </w:rPr>
      </w:pPr>
      <w:r>
        <w:rPr>
          <w:rFonts w:hint="eastAsia" w:ascii="宋体" w:hAnsi="宋体"/>
        </w:rPr>
        <w:t xml:space="preserve">投标人授权代表姓名（签字或盖章）：</w:t>
      </w:r>
      <w:r>
        <w:rPr>
          <w:rFonts w:hint="eastAsia" w:ascii="宋体" w:hAnsi="宋体"/>
          <w:u w:val="single"/>
        </w:rPr>
        <w:t xml:space="preserve">              </w:t>
      </w:r>
      <w:r>
        <w:rPr>
          <w:rFonts w:hint="eastAsia" w:ascii="宋体" w:hAnsi="宋体"/>
        </w:rPr>
        <w:t xml:space="preserve">   手 机：</w:t>
      </w:r>
      <w:r>
        <w:rPr>
          <w:rFonts w:hint="eastAsia" w:ascii="宋体" w:hAnsi="宋体"/>
          <w:u w:val="single"/>
        </w:rPr>
        <w:t xml:space="preserve">             </w:t>
      </w:r>
      <w:r/>
    </w:p>
    <w:p>
      <w:pPr>
        <w:pStyle w:val="1167"/>
        <w:ind w:left="560" w:firstLine="3938"/>
        <w:spacing w:before="0" w:after="0" w:line="420" w:lineRule="exact"/>
        <w:rPr>
          <w:rFonts w:ascii="宋体" w:hAnsi="宋体"/>
        </w:rPr>
      </w:pPr>
      <w:r>
        <w:rPr>
          <w:rFonts w:ascii="宋体" w:hAnsi="宋体"/>
        </w:rPr>
      </w:r>
      <w:r/>
    </w:p>
    <w:p>
      <w:pPr>
        <w:pStyle w:val="1167"/>
        <w:ind w:left="560" w:firstLine="4838"/>
        <w:spacing w:before="0" w:after="0" w:line="420" w:lineRule="exact"/>
        <w:rPr>
          <w:rFonts w:ascii="宋体" w:hAnsi="宋体"/>
        </w:rPr>
      </w:pPr>
      <w:r>
        <w:rPr>
          <w:rFonts w:hint="eastAsia" w:ascii="宋体" w:hAnsi="宋体"/>
        </w:rPr>
        <w:t xml:space="preserve">日 期：_____年____月____日</w:t>
      </w:r>
      <w:r/>
    </w:p>
    <w:p>
      <w:pPr>
        <w:jc w:val="left"/>
        <w:spacing w:before="50" w:after="120"/>
        <w:rPr>
          <w:rFonts w:ascii="宋体" w:hAnsi="宋体"/>
          <w:sz w:val="21"/>
          <w:szCs w:val="21"/>
        </w:rPr>
      </w:pPr>
      <w:r>
        <w:rPr>
          <w:rFonts w:hint="eastAsia" w:ascii="宋体" w:hAnsi="宋体"/>
          <w:sz w:val="21"/>
          <w:szCs w:val="21"/>
        </w:rPr>
        <w:t xml:space="preserve">       </w:t>
      </w:r>
      <w:r/>
    </w:p>
    <w:p>
      <w:pPr>
        <w:jc w:val="left"/>
        <w:spacing w:before="50" w:after="120"/>
        <w:rPr>
          <w:rFonts w:ascii="宋体" w:hAnsi="宋体"/>
          <w:sz w:val="21"/>
          <w:szCs w:val="21"/>
        </w:rPr>
      </w:pPr>
      <w:r>
        <w:rPr>
          <w:rFonts w:ascii="宋体" w:hAnsi="宋体"/>
          <w:sz w:val="21"/>
          <w:szCs w:val="21"/>
        </w:rPr>
      </w:r>
      <w:r/>
    </w:p>
    <w:p>
      <w:pPr>
        <w:jc w:val="center"/>
        <w:rPr>
          <w:rFonts w:ascii="宋体" w:hAnsi="宋体"/>
          <w:sz w:val="36"/>
          <w:szCs w:val="36"/>
        </w:rPr>
        <w:outlineLvl w:val="1"/>
      </w:pPr>
      <w:r/>
      <w:bookmarkStart w:id="58" w:name="_Toc454356737"/>
      <w:r/>
      <w:bookmarkStart w:id="59" w:name="_Toc59797308"/>
      <w:r>
        <w:rPr>
          <w:rFonts w:hint="eastAsia" w:ascii="宋体" w:hAnsi="宋体"/>
          <w:sz w:val="36"/>
          <w:szCs w:val="36"/>
        </w:rPr>
        <w:t xml:space="preserve">二、</w:t>
      </w:r>
      <w:r>
        <w:rPr>
          <w:rFonts w:hint="eastAsia" w:ascii="宋体" w:hAnsi="宋体"/>
          <w:b/>
          <w:sz w:val="36"/>
          <w:szCs w:val="36"/>
        </w:rPr>
        <w:t xml:space="preserve">法定代表人授权书</w:t>
      </w:r>
      <w:r>
        <w:rPr>
          <w:rFonts w:hint="eastAsia" w:ascii="宋体" w:hAnsi="宋体"/>
          <w:sz w:val="36"/>
          <w:szCs w:val="36"/>
        </w:rPr>
        <w:t xml:space="preserve">（格 式）</w:t>
      </w:r>
      <w:bookmarkEnd w:id="58"/>
      <w:r/>
      <w:bookmarkEnd w:id="59"/>
      <w:r/>
      <w:r/>
    </w:p>
    <w:p>
      <w:pPr>
        <w:ind w:firstLine="615"/>
        <w:spacing w:line="300" w:lineRule="auto"/>
        <w:rPr>
          <w:rFonts w:ascii="宋体" w:hAnsi="宋体"/>
          <w:szCs w:val="28"/>
        </w:rPr>
      </w:pPr>
      <w:r>
        <w:rPr>
          <w:rFonts w:ascii="宋体" w:hAnsi="宋体"/>
          <w:szCs w:val="28"/>
        </w:rPr>
      </w:r>
      <w:r/>
    </w:p>
    <w:p>
      <w:pPr>
        <w:ind w:firstLine="612"/>
        <w:spacing w:line="300" w:lineRule="auto"/>
        <w:rPr>
          <w:rFonts w:ascii="宋体" w:hAnsi="宋体"/>
          <w:sz w:val="24"/>
          <w:szCs w:val="24"/>
        </w:rPr>
      </w:pPr>
      <w:r>
        <w:rPr>
          <w:rFonts w:hint="eastAsia" w:ascii="宋体" w:hAnsi="宋体"/>
          <w:sz w:val="24"/>
          <w:szCs w:val="24"/>
        </w:rPr>
        <w:t xml:space="preserve">本授权书声明：__________公司的</w:t>
      </w:r>
      <w:r>
        <w:rPr>
          <w:rFonts w:ascii="宋体" w:hAnsi="宋体"/>
          <w:sz w:val="24"/>
          <w:szCs w:val="24"/>
        </w:rPr>
        <w:t xml:space="preserve">_______</w:t>
      </w:r>
      <w:r>
        <w:rPr>
          <w:rFonts w:hint="eastAsia" w:ascii="宋体" w:hAnsi="宋体"/>
          <w:sz w:val="24"/>
          <w:szCs w:val="24"/>
        </w:rPr>
        <w:t xml:space="preserve">（法定代表人姓名）</w:t>
      </w:r>
      <w:r>
        <w:rPr>
          <w:rFonts w:ascii="宋体" w:hAnsi="宋体"/>
          <w:sz w:val="24"/>
          <w:szCs w:val="24"/>
        </w:rPr>
        <w:t xml:space="preserve">_______</w:t>
      </w:r>
      <w:r>
        <w:rPr>
          <w:rFonts w:hint="eastAsia" w:ascii="宋体" w:hAnsi="宋体"/>
          <w:sz w:val="24"/>
          <w:szCs w:val="24"/>
        </w:rPr>
        <w:t xml:space="preserve">职务代表本公司授权</w:t>
      </w:r>
      <w:r>
        <w:rPr>
          <w:rFonts w:hint="eastAsia" w:ascii="宋体" w:hAnsi="宋体"/>
          <w:sz w:val="24"/>
          <w:szCs w:val="24"/>
          <w:u w:val="single"/>
        </w:rPr>
        <w:t xml:space="preserve">      </w:t>
      </w:r>
      <w:r>
        <w:rPr>
          <w:rFonts w:hint="eastAsia" w:ascii="宋体" w:hAnsi="宋体"/>
          <w:sz w:val="24"/>
          <w:szCs w:val="24"/>
        </w:rPr>
        <w:t xml:space="preserve">（被授权人的姓名）</w:t>
      </w:r>
      <w:r>
        <w:rPr>
          <w:rFonts w:hint="eastAsia" w:ascii="宋体" w:hAnsi="宋体"/>
          <w:sz w:val="24"/>
          <w:szCs w:val="24"/>
          <w:u w:val="single"/>
        </w:rPr>
        <w:t xml:space="preserve">      </w:t>
      </w:r>
      <w:r>
        <w:rPr>
          <w:rFonts w:hint="eastAsia" w:ascii="宋体" w:hAnsi="宋体"/>
          <w:sz w:val="24"/>
          <w:szCs w:val="24"/>
        </w:rPr>
        <w:t xml:space="preserve">(职务)为本公司的合法投标代表，就参加</w:t>
      </w:r>
      <w:r>
        <w:rPr>
          <w:rFonts w:hint="eastAsia" w:ascii="宋体" w:hAnsi="宋体"/>
          <w:sz w:val="24"/>
          <w:szCs w:val="24"/>
          <w:u w:val="single"/>
        </w:rPr>
        <w:t xml:space="preserve">滨海县公安局为民办实事农村道路交通安全提升项目</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二次</w:t>
      </w:r>
      <w:r>
        <w:rPr>
          <w:rFonts w:hint="eastAsia" w:ascii="宋体" w:hAnsi="宋体"/>
          <w:sz w:val="24"/>
          <w:szCs w:val="24"/>
          <w:u w:val="single"/>
          <w:lang w:eastAsia="zh-CN"/>
        </w:rPr>
        <w:t xml:space="preserve">）</w:t>
      </w:r>
      <w:r>
        <w:rPr>
          <w:rFonts w:hint="eastAsia" w:ascii="宋体" w:hAnsi="宋体"/>
          <w:sz w:val="24"/>
          <w:szCs w:val="24"/>
        </w:rPr>
        <w:t xml:space="preserve">的投标、签订合同以及合同的执行、完成和纠纷处理，以本公司名义处理一切与之有关的事务。</w:t>
      </w:r>
      <w:r/>
    </w:p>
    <w:p>
      <w:pPr>
        <w:ind w:firstLine="645"/>
        <w:spacing w:line="360" w:lineRule="auto"/>
        <w:rPr>
          <w:rFonts w:ascii="宋体" w:hAnsi="宋体"/>
          <w:sz w:val="24"/>
          <w:szCs w:val="24"/>
        </w:rPr>
      </w:pPr>
      <w:r>
        <w:rPr>
          <w:rFonts w:hint="eastAsia" w:ascii="宋体" w:hAnsi="宋体"/>
          <w:sz w:val="24"/>
          <w:szCs w:val="24"/>
        </w:rPr>
        <w:t xml:space="preserve">本授权书于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日签字（或签章）后生效，特此声明。</w:t>
      </w:r>
      <w:r/>
    </w:p>
    <w:p>
      <w:pPr>
        <w:ind w:firstLine="720"/>
        <w:spacing w:line="360" w:lineRule="auto"/>
        <w:rPr>
          <w:rFonts w:ascii="宋体" w:hAnsi="宋体"/>
          <w:sz w:val="24"/>
          <w:szCs w:val="24"/>
          <w:u w:val="single"/>
        </w:rPr>
      </w:pPr>
      <w:r>
        <w:rPr>
          <w:rFonts w:hint="eastAsia" w:ascii="宋体" w:hAnsi="宋体"/>
          <w:sz w:val="24"/>
          <w:szCs w:val="24"/>
        </w:rPr>
        <w:t xml:space="preserve">法定代表人签字（或签章）：</w:t>
      </w:r>
      <w:r>
        <w:rPr>
          <w:rFonts w:hint="eastAsia" w:ascii="宋体" w:hAnsi="宋体"/>
          <w:sz w:val="24"/>
          <w:szCs w:val="24"/>
          <w:u w:val="single"/>
        </w:rPr>
        <w:t xml:space="preserve">                   </w:t>
      </w:r>
      <w:r/>
    </w:p>
    <w:p>
      <w:pPr>
        <w:spacing w:line="360" w:lineRule="auto"/>
        <w:rPr>
          <w:rFonts w:ascii="宋体" w:hAnsi="宋体"/>
          <w:sz w:val="24"/>
          <w:szCs w:val="24"/>
          <w:u w:val="single"/>
        </w:rPr>
      </w:pPr>
      <w:r>
        <w:rPr>
          <w:rFonts w:hint="eastAsia" w:ascii="宋体" w:hAnsi="宋体"/>
          <w:sz w:val="24"/>
          <w:szCs w:val="24"/>
        </w:rPr>
        <w:t xml:space="preserve">            职    务：</w:t>
      </w:r>
      <w:r>
        <w:rPr>
          <w:rFonts w:hint="eastAsia" w:ascii="宋体" w:hAnsi="宋体"/>
          <w:sz w:val="24"/>
          <w:szCs w:val="24"/>
          <w:u w:val="single"/>
        </w:rPr>
        <w:t xml:space="preserve">                             </w:t>
      </w:r>
      <w:r/>
    </w:p>
    <w:p>
      <w:pPr>
        <w:spacing w:line="360" w:lineRule="auto"/>
        <w:rPr>
          <w:rFonts w:ascii="宋体" w:hAnsi="宋体"/>
          <w:sz w:val="24"/>
          <w:szCs w:val="24"/>
          <w:u w:val="single"/>
        </w:rPr>
      </w:pPr>
      <w:r>
        <w:rPr>
          <w:rFonts w:hint="eastAsia" w:ascii="宋体" w:hAnsi="宋体"/>
          <w:sz w:val="24"/>
          <w:szCs w:val="24"/>
        </w:rPr>
        <w:t xml:space="preserve">            单位名称：</w:t>
      </w:r>
      <w:r>
        <w:rPr>
          <w:rFonts w:hint="eastAsia" w:ascii="宋体" w:hAnsi="宋体"/>
          <w:sz w:val="24"/>
          <w:szCs w:val="24"/>
          <w:u w:val="single"/>
        </w:rPr>
        <w:t xml:space="preserve">                             </w:t>
      </w:r>
      <w:r/>
    </w:p>
    <w:p>
      <w:pPr>
        <w:spacing w:line="360" w:lineRule="auto"/>
        <w:rPr>
          <w:rFonts w:ascii="宋体" w:hAnsi="宋体"/>
          <w:sz w:val="24"/>
          <w:szCs w:val="24"/>
          <w:u w:val="single"/>
        </w:rPr>
      </w:pPr>
      <w:r>
        <w:rPr>
          <w:rFonts w:hint="eastAsia" w:ascii="宋体" w:hAnsi="宋体"/>
          <w:sz w:val="24"/>
          <w:szCs w:val="24"/>
        </w:rPr>
        <w:t xml:space="preserve">            地    址：</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投标代表（被授权人）签字（或签章）</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           职    务：</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spacing w:line="360" w:lineRule="auto"/>
        <w:rPr>
          <w:rFonts w:ascii="宋体" w:hAnsi="宋体"/>
          <w:sz w:val="24"/>
          <w:szCs w:val="24"/>
        </w:rPr>
      </w:pPr>
      <w:r>
        <w:rPr>
          <w:rFonts w:hint="eastAsia" w:ascii="宋体" w:hAnsi="宋体"/>
          <w:sz w:val="24"/>
          <w:szCs w:val="24"/>
        </w:rPr>
        <w:t xml:space="preserve">           单位名称：</w:t>
      </w:r>
      <w:r>
        <w:rPr>
          <w:rFonts w:hint="eastAsia" w:ascii="宋体" w:hAnsi="宋体"/>
          <w:sz w:val="24"/>
          <w:szCs w:val="24"/>
          <w:u w:val="single"/>
        </w:rPr>
        <w:t xml:space="preserve">                               </w:t>
      </w:r>
      <w:r/>
    </w:p>
    <w:p>
      <w:pPr>
        <w:spacing w:line="360" w:lineRule="auto"/>
        <w:rPr>
          <w:rFonts w:ascii="宋体" w:hAnsi="宋体"/>
          <w:sz w:val="24"/>
          <w:szCs w:val="24"/>
          <w:u w:val="single"/>
        </w:rPr>
      </w:pPr>
      <w:r>
        <w:rPr>
          <w:rFonts w:hint="eastAsia" w:ascii="宋体" w:hAnsi="宋体"/>
          <w:sz w:val="24"/>
          <w:szCs w:val="24"/>
        </w:rPr>
        <w:t xml:space="preserve">           地    址：</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           投标人（单位公章）：</w:t>
      </w:r>
      <w:r>
        <w:rPr>
          <w:rFonts w:hint="eastAsia" w:ascii="宋体" w:hAnsi="宋体"/>
          <w:sz w:val="24"/>
          <w:szCs w:val="24"/>
          <w:u w:val="single"/>
        </w:rPr>
        <w:t xml:space="preserve">                      </w:t>
      </w:r>
      <w:r/>
    </w:p>
    <w:p>
      <w:pPr>
        <w:spacing w:line="360" w:lineRule="auto"/>
        <w:rPr>
          <w:rFonts w:ascii="宋体" w:hAnsi="宋体"/>
          <w:sz w:val="24"/>
          <w:szCs w:val="24"/>
          <w:u w:val="single"/>
        </w:rPr>
      </w:pPr>
      <w:r>
        <w:rPr>
          <w:rFonts w:hint="eastAsia" w:ascii="宋体" w:hAnsi="宋体"/>
          <w:sz w:val="24"/>
          <w:szCs w:val="24"/>
        </w:rPr>
        <w:t xml:space="preserve">           日    期：</w:t>
      </w:r>
      <w:r>
        <w:rPr>
          <w:rFonts w:hint="eastAsia" w:ascii="宋体" w:hAnsi="宋体"/>
          <w:sz w:val="24"/>
          <w:szCs w:val="24"/>
          <w:u w:val="single"/>
        </w:rPr>
        <w:t xml:space="preserve">                               </w:t>
      </w:r>
      <w:r/>
    </w:p>
    <w:p>
      <w:pPr>
        <w:jc w:val="center"/>
        <w:rPr>
          <w:rFonts w:ascii="宋体" w:hAnsi="宋体"/>
          <w:sz w:val="21"/>
          <w:szCs w:val="21"/>
        </w:rPr>
      </w:pPr>
      <w:r>
        <w:rPr>
          <w:rFonts w:ascii="宋体" w:hAnsi="宋体"/>
          <w:sz w:val="21"/>
          <w:szCs w:val="21"/>
        </w:rPr>
      </w:r>
      <w:r/>
    </w:p>
    <w:p>
      <w:pPr>
        <w:jc w:val="center"/>
        <w:rPr>
          <w:rFonts w:ascii="宋体" w:hAnsi="宋体"/>
          <w:sz w:val="21"/>
          <w:szCs w:val="21"/>
        </w:rPr>
      </w:pPr>
      <w:r>
        <w:rPr>
          <w:rFonts w:ascii="宋体" w:hAnsi="宋体"/>
          <w:sz w:val="21"/>
          <w:szCs w:val="21"/>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jc w:val="center"/>
        <w:rPr>
          <w:rFonts w:ascii="宋体" w:hAnsi="宋体"/>
        </w:rPr>
      </w:pPr>
      <w:r>
        <w:rPr>
          <w:rFonts w:ascii="宋体" w:hAnsi="宋体"/>
        </w:rPr>
      </w:r>
      <w:r/>
    </w:p>
    <w:p>
      <w:pPr>
        <w:rPr>
          <w:rFonts w:ascii="宋体" w:hAnsi="宋体"/>
        </w:rPr>
      </w:pPr>
      <w:r>
        <w:rPr>
          <w:rFonts w:ascii="宋体" w:hAnsi="宋体"/>
        </w:rPr>
      </w:r>
      <w:r/>
    </w:p>
    <w:p>
      <w:pPr>
        <w:jc w:val="center"/>
        <w:rPr>
          <w:rFonts w:hint="eastAsia" w:ascii="宋体" w:hAnsi="宋体"/>
          <w:b/>
          <w:sz w:val="36"/>
          <w:szCs w:val="36"/>
        </w:rPr>
        <w:outlineLvl w:val="1"/>
      </w:pPr>
      <w:r/>
      <w:bookmarkStart w:id="60" w:name="_Toc23828485"/>
      <w:r/>
      <w:bookmarkStart w:id="61" w:name="_Toc26554105"/>
      <w:r/>
      <w:bookmarkStart w:id="62" w:name="_Toc120614292"/>
      <w:r/>
      <w:bookmarkStart w:id="63" w:name="_Toc22356585"/>
      <w:r/>
      <w:bookmarkStart w:id="64" w:name="_Toc49090584"/>
      <w:r/>
      <w:bookmarkStart w:id="65" w:name="_Toc513029283"/>
      <w:r/>
      <w:bookmarkStart w:id="66" w:name="_Toc59797309"/>
      <w:r/>
      <w:bookmarkStart w:id="67" w:name="_Toc454356738"/>
      <w:r/>
      <w:r/>
    </w:p>
    <w:p>
      <w:pPr>
        <w:jc w:val="center"/>
        <w:rPr>
          <w:rFonts w:ascii="宋体" w:hAnsi="宋体"/>
          <w:sz w:val="36"/>
          <w:szCs w:val="36"/>
        </w:rPr>
        <w:outlineLvl w:val="1"/>
      </w:pPr>
      <w:r>
        <w:rPr>
          <w:rFonts w:hint="eastAsia" w:ascii="宋体" w:hAnsi="宋体"/>
          <w:b/>
          <w:sz w:val="36"/>
          <w:szCs w:val="36"/>
        </w:rPr>
        <w:t xml:space="preserve">三、投标人资格声明</w:t>
      </w:r>
      <w:bookmarkEnd w:id="60"/>
      <w:r/>
      <w:bookmarkEnd w:id="61"/>
      <w:r/>
      <w:bookmarkEnd w:id="62"/>
      <w:r/>
      <w:bookmarkEnd w:id="63"/>
      <w:r/>
      <w:bookmarkEnd w:id="64"/>
      <w:r/>
      <w:bookmarkEnd w:id="65"/>
      <w:r>
        <w:rPr>
          <w:rFonts w:hint="eastAsia" w:ascii="宋体" w:hAnsi="宋体"/>
          <w:sz w:val="36"/>
          <w:szCs w:val="36"/>
        </w:rPr>
        <w:t xml:space="preserve">（格式）</w:t>
      </w:r>
      <w:bookmarkEnd w:id="66"/>
      <w:r/>
      <w:bookmarkEnd w:id="67"/>
      <w:r/>
      <w:r/>
    </w:p>
    <w:p>
      <w:pPr>
        <w:rPr>
          <w:rFonts w:ascii="宋体" w:hAnsi="宋体"/>
          <w:sz w:val="32"/>
          <w:szCs w:val="32"/>
        </w:rPr>
      </w:pPr>
      <w:r>
        <w:rPr>
          <w:rFonts w:ascii="宋体" w:hAnsi="宋体"/>
          <w:sz w:val="32"/>
          <w:szCs w:val="32"/>
        </w:rPr>
      </w:r>
      <w:r/>
    </w:p>
    <w:tbl>
      <w:tblPr>
        <w:tblStyle w:val="9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1380"/>
        <w:gridCol w:w="1549"/>
        <w:gridCol w:w="1549"/>
        <w:gridCol w:w="1583"/>
        <w:gridCol w:w="1607"/>
      </w:tblGrid>
      <w:tr>
        <w:trPr>
          <w:cantSplit/>
          <w:trHeight w:val="582"/>
        </w:trPr>
        <w:tc>
          <w:tcPr>
            <w:tcW w:w="172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投标人企业名称</w:t>
            </w:r>
            <w:r/>
          </w:p>
        </w:tc>
        <w:tc>
          <w:tcPr>
            <w:gridSpan w:val="5"/>
            <w:tcW w:w="7668"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607"/>
        </w:trPr>
        <w:tc>
          <w:tcPr>
            <w:tcW w:w="1728" w:type="dxa"/>
            <w:vAlign w:val="center"/>
            <w:textDirection w:val="lrTb"/>
            <w:noWrap w:val="false"/>
          </w:tcPr>
          <w:p>
            <w:pPr>
              <w:ind w:firstLine="240"/>
              <w:spacing w:line="460" w:lineRule="exact"/>
              <w:rPr>
                <w:rFonts w:ascii="宋体" w:hAnsi="宋体"/>
                <w:bCs/>
                <w:sz w:val="24"/>
                <w:szCs w:val="24"/>
              </w:rPr>
            </w:pPr>
            <w:r>
              <w:rPr>
                <w:rFonts w:hint="eastAsia" w:ascii="宋体" w:hAnsi="宋体"/>
                <w:bCs/>
                <w:sz w:val="24"/>
                <w:szCs w:val="24"/>
              </w:rPr>
              <w:t xml:space="preserve">地 址</w:t>
            </w:r>
            <w:r/>
          </w:p>
        </w:tc>
        <w:tc>
          <w:tcPr>
            <w:gridSpan w:val="5"/>
            <w:tcW w:w="7668"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r>
      <w:tr>
        <w:trPr>
          <w:trHeight w:val="623"/>
        </w:trPr>
        <w:tc>
          <w:tcPr>
            <w:tcW w:w="172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主管部门</w:t>
            </w:r>
            <w:r/>
          </w:p>
        </w:tc>
        <w:tc>
          <w:tcPr>
            <w:tcW w:w="1380"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法定代表人</w:t>
            </w:r>
            <w:r/>
          </w:p>
        </w:tc>
        <w:tc>
          <w:tcPr>
            <w:tcW w:w="1549"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583" w:type="dxa"/>
            <w:vAlign w:val="center"/>
            <w:textDirection w:val="lrTb"/>
            <w:noWrap w:val="false"/>
          </w:tcPr>
          <w:p>
            <w:pPr>
              <w:ind w:firstLine="240"/>
              <w:spacing w:line="460" w:lineRule="exact"/>
              <w:rPr>
                <w:rFonts w:ascii="宋体" w:hAnsi="宋体"/>
                <w:bCs/>
                <w:sz w:val="24"/>
                <w:szCs w:val="24"/>
              </w:rPr>
            </w:pPr>
            <w:r>
              <w:rPr>
                <w:rFonts w:hint="eastAsia" w:ascii="宋体" w:hAnsi="宋体"/>
                <w:bCs/>
                <w:sz w:val="24"/>
                <w:szCs w:val="24"/>
              </w:rPr>
              <w:t xml:space="preserve">职 务</w:t>
            </w:r>
            <w:r/>
          </w:p>
        </w:tc>
        <w:tc>
          <w:tcPr>
            <w:tcW w:w="1607" w:type="dxa"/>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520"/>
        </w:trPr>
        <w:tc>
          <w:tcPr>
            <w:tcW w:w="172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注册时间</w:t>
            </w:r>
            <w:r/>
          </w:p>
        </w:tc>
        <w:tc>
          <w:tcPr>
            <w:gridSpan w:val="2"/>
            <w:tcW w:w="2929"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经济类型</w:t>
            </w:r>
            <w:r/>
          </w:p>
        </w:tc>
        <w:tc>
          <w:tcPr>
            <w:gridSpan w:val="2"/>
            <w:tcW w:w="3190" w:type="dxa"/>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674"/>
        </w:trPr>
        <w:tc>
          <w:tcPr>
            <w:gridSpan w:val="3"/>
            <w:tcW w:w="4657"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近三年内有经营活动中有无重大违法纪录</w:t>
            </w:r>
            <w:r/>
          </w:p>
        </w:tc>
        <w:tc>
          <w:tcPr>
            <w:gridSpan w:val="3"/>
            <w:tcW w:w="4739"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980"/>
        </w:trPr>
        <w:tc>
          <w:tcPr>
            <w:tcW w:w="172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是否依法缴纳税收</w:t>
            </w:r>
            <w:r/>
          </w:p>
        </w:tc>
        <w:tc>
          <w:tcPr>
            <w:gridSpan w:val="2"/>
            <w:tcW w:w="2929"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是否依法缴纳社会保障资金</w:t>
            </w:r>
            <w:r/>
          </w:p>
        </w:tc>
        <w:tc>
          <w:tcPr>
            <w:gridSpan w:val="2"/>
            <w:tcW w:w="3190" w:type="dxa"/>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618"/>
        </w:trPr>
        <w:tc>
          <w:tcPr>
            <w:tcW w:w="1728" w:type="dxa"/>
            <w:vMerge w:val="restart"/>
            <w:textDirection w:val="lrTb"/>
            <w:noWrap w:val="false"/>
          </w:tcPr>
          <w:p>
            <w:pPr>
              <w:spacing w:line="460" w:lineRule="exact"/>
              <w:rPr>
                <w:rFonts w:ascii="宋体" w:hAnsi="宋体"/>
                <w:bCs/>
                <w:sz w:val="24"/>
                <w:szCs w:val="24"/>
              </w:rPr>
            </w:pPr>
            <w:r>
              <w:rPr>
                <w:rFonts w:ascii="宋体" w:hAnsi="宋体"/>
                <w:bCs/>
                <w:sz w:val="24"/>
                <w:szCs w:val="24"/>
              </w:rPr>
            </w:r>
            <w:r/>
          </w:p>
          <w:p>
            <w:pPr>
              <w:ind w:firstLine="240"/>
              <w:spacing w:line="460" w:lineRule="exact"/>
              <w:rPr>
                <w:rFonts w:ascii="宋体" w:hAnsi="宋体"/>
                <w:bCs/>
                <w:sz w:val="24"/>
                <w:szCs w:val="24"/>
              </w:rPr>
            </w:pPr>
            <w:r>
              <w:rPr>
                <w:rFonts w:hint="eastAsia" w:ascii="宋体" w:hAnsi="宋体"/>
                <w:bCs/>
                <w:sz w:val="24"/>
                <w:szCs w:val="24"/>
              </w:rPr>
              <w:t xml:space="preserve">单</w:t>
            </w:r>
            <w:r/>
          </w:p>
          <w:p>
            <w:pPr>
              <w:ind w:firstLine="240"/>
              <w:spacing w:line="460" w:lineRule="exact"/>
              <w:rPr>
                <w:rFonts w:ascii="宋体" w:hAnsi="宋体"/>
                <w:bCs/>
                <w:sz w:val="24"/>
                <w:szCs w:val="24"/>
              </w:rPr>
            </w:pPr>
            <w:r>
              <w:rPr>
                <w:rFonts w:hint="eastAsia" w:ascii="宋体" w:hAnsi="宋体"/>
                <w:bCs/>
                <w:sz w:val="24"/>
                <w:szCs w:val="24"/>
              </w:rPr>
              <w:t xml:space="preserve">位</w:t>
            </w:r>
            <w:r/>
          </w:p>
          <w:p>
            <w:pPr>
              <w:ind w:firstLine="240"/>
              <w:spacing w:line="460" w:lineRule="exact"/>
              <w:rPr>
                <w:rFonts w:ascii="宋体" w:hAnsi="宋体"/>
                <w:bCs/>
                <w:sz w:val="24"/>
                <w:szCs w:val="24"/>
              </w:rPr>
            </w:pPr>
            <w:r>
              <w:rPr>
                <w:rFonts w:hint="eastAsia" w:ascii="宋体" w:hAnsi="宋体"/>
                <w:bCs/>
                <w:sz w:val="24"/>
                <w:szCs w:val="24"/>
              </w:rPr>
              <w:t xml:space="preserve">概</w:t>
            </w:r>
            <w:r/>
          </w:p>
          <w:p>
            <w:pPr>
              <w:ind w:firstLine="240"/>
              <w:spacing w:line="460" w:lineRule="exact"/>
              <w:rPr>
                <w:rFonts w:ascii="宋体" w:hAnsi="宋体"/>
                <w:bCs/>
                <w:sz w:val="24"/>
                <w:szCs w:val="24"/>
              </w:rPr>
            </w:pPr>
            <w:r>
              <w:rPr>
                <w:rFonts w:hint="eastAsia" w:ascii="宋体" w:hAnsi="宋体"/>
                <w:bCs/>
                <w:sz w:val="24"/>
                <w:szCs w:val="24"/>
              </w:rPr>
              <w:t xml:space="preserve">况</w:t>
            </w:r>
            <w:r/>
          </w:p>
        </w:tc>
        <w:tc>
          <w:tcPr>
            <w:tcW w:w="1380"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注册资本</w:t>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     万元</w:t>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占地面积</w:t>
            </w:r>
            <w:r/>
          </w:p>
        </w:tc>
        <w:tc>
          <w:tcPr>
            <w:gridSpan w:val="2"/>
            <w:tcW w:w="3190"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               平方米</w:t>
            </w:r>
            <w:r/>
          </w:p>
        </w:tc>
      </w:tr>
      <w:tr>
        <w:trPr>
          <w:cantSplit/>
          <w:trHeight w:val="611"/>
        </w:trPr>
        <w:tc>
          <w:tcPr>
            <w:tcW w:w="1728"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职工总数</w:t>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       人</w:t>
            </w:r>
            <w:r/>
          </w:p>
        </w:tc>
        <w:tc>
          <w:tcPr>
            <w:tcW w:w="1549" w:type="dxa"/>
            <w:textDirection w:val="lrTb"/>
            <w:noWrap w:val="false"/>
          </w:tcPr>
          <w:p>
            <w:pPr>
              <w:spacing w:line="460" w:lineRule="exact"/>
              <w:rPr>
                <w:rFonts w:ascii="宋体" w:hAnsi="宋体"/>
                <w:bCs/>
                <w:sz w:val="24"/>
                <w:szCs w:val="24"/>
              </w:rPr>
            </w:pPr>
            <w:r>
              <w:rPr>
                <w:rFonts w:hint="eastAsia" w:ascii="宋体" w:hAnsi="宋体"/>
                <w:bCs/>
                <w:sz w:val="24"/>
                <w:szCs w:val="24"/>
              </w:rPr>
              <w:t xml:space="preserve">建筑面积</w:t>
            </w:r>
            <w:r/>
          </w:p>
        </w:tc>
        <w:tc>
          <w:tcPr>
            <w:gridSpan w:val="2"/>
            <w:tcW w:w="3190" w:type="dxa"/>
            <w:textDirection w:val="lrTb"/>
            <w:noWrap w:val="false"/>
          </w:tcPr>
          <w:p>
            <w:pPr>
              <w:ind w:firstLine="1800"/>
              <w:spacing w:line="460" w:lineRule="exact"/>
              <w:rPr>
                <w:rFonts w:ascii="宋体" w:hAnsi="宋体"/>
                <w:bCs/>
                <w:sz w:val="24"/>
                <w:szCs w:val="24"/>
              </w:rPr>
            </w:pPr>
            <w:r>
              <w:rPr>
                <w:rFonts w:hint="eastAsia" w:ascii="宋体" w:hAnsi="宋体"/>
                <w:bCs/>
                <w:sz w:val="24"/>
                <w:szCs w:val="24"/>
              </w:rPr>
              <w:t xml:space="preserve">平方米</w:t>
            </w:r>
            <w:r/>
          </w:p>
        </w:tc>
      </w:tr>
      <w:tr>
        <w:trPr>
          <w:cantSplit/>
          <w:trHeight w:val="793"/>
        </w:trPr>
        <w:tc>
          <w:tcPr>
            <w:tcW w:w="1728"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vAlign w:val="center"/>
            <w:vMerge w:val="restart"/>
            <w:textDirection w:val="lrTb"/>
            <w:noWrap w:val="false"/>
          </w:tcPr>
          <w:p>
            <w:pPr>
              <w:ind w:firstLine="240"/>
              <w:spacing w:line="460" w:lineRule="exact"/>
              <w:rPr>
                <w:rFonts w:ascii="宋体" w:hAnsi="宋体"/>
                <w:bCs/>
                <w:sz w:val="24"/>
                <w:szCs w:val="24"/>
              </w:rPr>
            </w:pPr>
            <w:r>
              <w:rPr>
                <w:rFonts w:hint="eastAsia" w:ascii="宋体" w:hAnsi="宋体"/>
                <w:bCs/>
                <w:sz w:val="24"/>
                <w:szCs w:val="24"/>
              </w:rPr>
              <w:t xml:space="preserve">资产</w:t>
            </w:r>
            <w:r/>
          </w:p>
          <w:p>
            <w:pPr>
              <w:ind w:firstLine="240"/>
              <w:spacing w:line="460" w:lineRule="exact"/>
              <w:rPr>
                <w:rFonts w:ascii="宋体" w:hAnsi="宋体"/>
                <w:bCs/>
                <w:sz w:val="24"/>
                <w:szCs w:val="24"/>
              </w:rPr>
            </w:pPr>
            <w:r>
              <w:rPr>
                <w:rFonts w:hint="eastAsia" w:ascii="宋体" w:hAnsi="宋体"/>
                <w:bCs/>
                <w:sz w:val="24"/>
                <w:szCs w:val="24"/>
              </w:rPr>
              <w:t xml:space="preserve">情况</w:t>
            </w:r>
            <w:r/>
          </w:p>
        </w:tc>
        <w:tc>
          <w:tcPr>
            <w:gridSpan w:val="2"/>
            <w:tcW w:w="309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净资产：        万元</w:t>
            </w:r>
            <w:r/>
          </w:p>
        </w:tc>
        <w:tc>
          <w:tcPr>
            <w:gridSpan w:val="2"/>
            <w:tcW w:w="3190" w:type="dxa"/>
            <w:vMerge w:val="restart"/>
            <w:textDirection w:val="lrTb"/>
            <w:noWrap w:val="false"/>
          </w:tcPr>
          <w:p>
            <w:pPr>
              <w:spacing w:line="460" w:lineRule="exact"/>
              <w:rPr>
                <w:rFonts w:ascii="宋体" w:hAnsi="宋体"/>
                <w:bCs/>
                <w:sz w:val="24"/>
                <w:szCs w:val="24"/>
              </w:rPr>
            </w:pPr>
            <w:r>
              <w:rPr>
                <w:rFonts w:hint="eastAsia" w:ascii="宋体" w:hAnsi="宋体"/>
                <w:bCs/>
                <w:sz w:val="24"/>
                <w:szCs w:val="24"/>
              </w:rPr>
              <w:t xml:space="preserve">固定资产原值 ：      万元</w:t>
            </w:r>
            <w:r/>
          </w:p>
          <w:p>
            <w:pPr>
              <w:spacing w:line="460" w:lineRule="exact"/>
              <w:rPr>
                <w:rFonts w:ascii="宋体" w:hAnsi="宋体"/>
                <w:bCs/>
                <w:sz w:val="24"/>
                <w:szCs w:val="24"/>
              </w:rPr>
            </w:pPr>
            <w:r>
              <w:rPr>
                <w:rFonts w:hint="eastAsia" w:ascii="宋体" w:hAnsi="宋体"/>
                <w:bCs/>
                <w:sz w:val="24"/>
                <w:szCs w:val="24"/>
              </w:rPr>
              <w:t xml:space="preserve">固定资产净值：       万元</w:t>
            </w:r>
            <w:r/>
          </w:p>
        </w:tc>
      </w:tr>
      <w:tr>
        <w:trPr>
          <w:cantSplit/>
          <w:trHeight w:val="525"/>
        </w:trPr>
        <w:tc>
          <w:tcPr>
            <w:tcW w:w="1728"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gridSpan w:val="2"/>
            <w:tcW w:w="3098"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负 债：         万元</w:t>
            </w:r>
            <w:r/>
          </w:p>
        </w:tc>
        <w:tc>
          <w:tcPr>
            <w:gridSpan w:val="2"/>
            <w:tcW w:w="3190"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1017"/>
        </w:trPr>
        <w:tc>
          <w:tcPr>
            <w:tcW w:w="1728"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主营收入</w:t>
            </w:r>
            <w:r/>
          </w:p>
          <w:p>
            <w:pPr>
              <w:spacing w:line="460" w:lineRule="exact"/>
              <w:rPr>
                <w:rFonts w:ascii="宋体" w:hAnsi="宋体"/>
                <w:bCs/>
                <w:sz w:val="24"/>
                <w:szCs w:val="24"/>
              </w:rPr>
            </w:pPr>
            <w:r>
              <w:rPr>
                <w:rFonts w:hint="eastAsia" w:ascii="宋体" w:hAnsi="宋体"/>
                <w:bCs/>
                <w:sz w:val="24"/>
                <w:szCs w:val="24"/>
              </w:rPr>
              <w:t xml:space="preserve">（万元）</w:t>
            </w:r>
            <w:r/>
          </w:p>
        </w:tc>
        <w:tc>
          <w:tcPr>
            <w:tcW w:w="1549"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收入总额</w:t>
            </w:r>
            <w:r/>
          </w:p>
          <w:p>
            <w:pPr>
              <w:spacing w:line="460" w:lineRule="exact"/>
              <w:rPr>
                <w:rFonts w:ascii="宋体" w:hAnsi="宋体"/>
                <w:bCs/>
                <w:sz w:val="24"/>
                <w:szCs w:val="24"/>
              </w:rPr>
            </w:pPr>
            <w:r>
              <w:rPr>
                <w:rFonts w:hint="eastAsia" w:ascii="宋体" w:hAnsi="宋体"/>
                <w:bCs/>
                <w:sz w:val="24"/>
                <w:szCs w:val="24"/>
              </w:rPr>
              <w:t xml:space="preserve">（万元）</w:t>
            </w:r>
            <w:r/>
          </w:p>
        </w:tc>
        <w:tc>
          <w:tcPr>
            <w:tcW w:w="1583"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利润总额</w:t>
            </w:r>
            <w:r/>
          </w:p>
          <w:p>
            <w:pPr>
              <w:spacing w:line="460" w:lineRule="exact"/>
              <w:rPr>
                <w:rFonts w:ascii="宋体" w:hAnsi="宋体"/>
                <w:bCs/>
                <w:sz w:val="24"/>
                <w:szCs w:val="24"/>
              </w:rPr>
            </w:pPr>
            <w:r>
              <w:rPr>
                <w:rFonts w:hint="eastAsia" w:ascii="宋体" w:hAnsi="宋体"/>
                <w:bCs/>
                <w:sz w:val="24"/>
                <w:szCs w:val="24"/>
              </w:rPr>
              <w:t xml:space="preserve">（万元）</w:t>
            </w:r>
            <w:r/>
          </w:p>
        </w:tc>
        <w:tc>
          <w:tcPr>
            <w:tcW w:w="1607" w:type="dxa"/>
            <w:vAlign w:val="center"/>
            <w:textDirection w:val="lrTb"/>
            <w:noWrap w:val="false"/>
          </w:tcPr>
          <w:p>
            <w:pPr>
              <w:ind w:firstLine="240"/>
              <w:spacing w:line="460" w:lineRule="exact"/>
              <w:rPr>
                <w:rFonts w:ascii="宋体" w:hAnsi="宋体"/>
                <w:bCs/>
                <w:sz w:val="24"/>
                <w:szCs w:val="24"/>
              </w:rPr>
            </w:pPr>
            <w:r>
              <w:rPr>
                <w:rFonts w:hint="eastAsia" w:ascii="宋体" w:hAnsi="宋体"/>
                <w:bCs/>
                <w:sz w:val="24"/>
                <w:szCs w:val="24"/>
              </w:rPr>
              <w:t xml:space="preserve">净利润</w:t>
            </w:r>
            <w:r/>
          </w:p>
          <w:p>
            <w:pPr>
              <w:ind w:firstLine="240"/>
              <w:spacing w:line="460" w:lineRule="exact"/>
              <w:rPr>
                <w:rFonts w:ascii="宋体" w:hAnsi="宋体"/>
                <w:bCs/>
                <w:sz w:val="24"/>
                <w:szCs w:val="24"/>
              </w:rPr>
            </w:pPr>
            <w:r>
              <w:rPr>
                <w:rFonts w:hint="eastAsia" w:ascii="宋体" w:hAnsi="宋体"/>
                <w:bCs/>
                <w:sz w:val="24"/>
                <w:szCs w:val="24"/>
              </w:rPr>
              <w:t xml:space="preserve">（万元）</w:t>
            </w:r>
            <w:r/>
          </w:p>
        </w:tc>
      </w:tr>
      <w:tr>
        <w:trPr>
          <w:cantSplit/>
          <w:trHeight w:val="627"/>
        </w:trPr>
        <w:tc>
          <w:tcPr>
            <w:tcW w:w="1728" w:type="dxa"/>
            <w:vAlign w:val="center"/>
            <w:vMerge w:val="restart"/>
            <w:textDirection w:val="lrTb"/>
            <w:noWrap w:val="false"/>
          </w:tcPr>
          <w:p>
            <w:pPr>
              <w:ind w:firstLine="120"/>
              <w:spacing w:line="460" w:lineRule="exact"/>
              <w:rPr>
                <w:rFonts w:ascii="宋体" w:hAnsi="宋体"/>
                <w:bCs/>
                <w:sz w:val="24"/>
                <w:szCs w:val="24"/>
              </w:rPr>
            </w:pPr>
            <w:r>
              <w:rPr>
                <w:rFonts w:hint="eastAsia" w:ascii="宋体" w:hAnsi="宋体"/>
                <w:bCs/>
                <w:sz w:val="24"/>
                <w:szCs w:val="24"/>
              </w:rPr>
              <w:t xml:space="preserve">财务状况</w:t>
            </w:r>
            <w:r/>
          </w:p>
          <w:p>
            <w:pPr>
              <w:spacing w:line="460" w:lineRule="exact"/>
              <w:rPr>
                <w:rFonts w:ascii="宋体" w:hAnsi="宋体"/>
                <w:bCs/>
                <w:sz w:val="24"/>
                <w:szCs w:val="24"/>
              </w:rPr>
            </w:pPr>
            <w:r>
              <w:rPr>
                <w:rFonts w:hint="eastAsia" w:ascii="宋体" w:hAnsi="宋体"/>
                <w:bCs/>
                <w:sz w:val="24"/>
                <w:szCs w:val="24"/>
              </w:rPr>
              <w:t xml:space="preserve">（最近两年）</w:t>
            </w:r>
            <w:r/>
          </w:p>
        </w:tc>
        <w:tc>
          <w:tcPr>
            <w:tcW w:w="1380"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      年</w:t>
            </w:r>
            <w:r/>
          </w:p>
        </w:tc>
        <w:tc>
          <w:tcPr>
            <w:tcW w:w="1549"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583"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c>
          <w:tcPr>
            <w:tcW w:w="1607" w:type="dxa"/>
            <w:vAlign w:val="center"/>
            <w:textDirection w:val="lrTb"/>
            <w:noWrap w:val="false"/>
          </w:tcPr>
          <w:p>
            <w:pPr>
              <w:spacing w:line="460" w:lineRule="exact"/>
              <w:rPr>
                <w:rFonts w:ascii="宋体" w:hAnsi="宋体"/>
                <w:bCs/>
                <w:sz w:val="24"/>
                <w:szCs w:val="24"/>
              </w:rPr>
            </w:pPr>
            <w:r>
              <w:rPr>
                <w:rFonts w:ascii="宋体" w:hAnsi="宋体"/>
                <w:bCs/>
                <w:sz w:val="24"/>
                <w:szCs w:val="24"/>
              </w:rPr>
            </w:r>
            <w:r/>
          </w:p>
        </w:tc>
      </w:tr>
      <w:tr>
        <w:trPr>
          <w:cantSplit/>
          <w:trHeight w:val="658"/>
        </w:trPr>
        <w:tc>
          <w:tcPr>
            <w:tcW w:w="1728" w:type="dxa"/>
            <w:vMerge w:val="continue"/>
            <w:textDirection w:val="lrTb"/>
            <w:noWrap w:val="false"/>
          </w:tcPr>
          <w:p>
            <w:pPr>
              <w:spacing w:line="460" w:lineRule="exact"/>
              <w:rPr>
                <w:rFonts w:ascii="宋体" w:hAnsi="宋体"/>
                <w:bCs/>
                <w:sz w:val="24"/>
                <w:szCs w:val="24"/>
              </w:rPr>
            </w:pPr>
            <w:r>
              <w:rPr>
                <w:rFonts w:ascii="宋体" w:hAnsi="宋体"/>
                <w:bCs/>
                <w:sz w:val="24"/>
                <w:szCs w:val="24"/>
              </w:rPr>
            </w:r>
            <w:r/>
          </w:p>
        </w:tc>
        <w:tc>
          <w:tcPr>
            <w:tcW w:w="1380" w:type="dxa"/>
            <w:vAlign w:val="center"/>
            <w:textDirection w:val="lrTb"/>
            <w:noWrap w:val="false"/>
          </w:tcPr>
          <w:p>
            <w:pPr>
              <w:spacing w:line="460" w:lineRule="exact"/>
              <w:rPr>
                <w:rFonts w:ascii="宋体" w:hAnsi="宋体"/>
                <w:bCs/>
                <w:sz w:val="24"/>
                <w:szCs w:val="24"/>
              </w:rPr>
            </w:pPr>
            <w:r>
              <w:rPr>
                <w:rFonts w:hint="eastAsia" w:ascii="宋体" w:hAnsi="宋体"/>
                <w:bCs/>
                <w:sz w:val="24"/>
                <w:szCs w:val="24"/>
              </w:rPr>
              <w:t xml:space="preserve">      年</w:t>
            </w:r>
            <w:r/>
          </w:p>
        </w:tc>
        <w:tc>
          <w:tcPr>
            <w:tcW w:w="1549"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49"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583" w:type="dxa"/>
            <w:textDirection w:val="lrTb"/>
            <w:noWrap w:val="false"/>
          </w:tcPr>
          <w:p>
            <w:pPr>
              <w:spacing w:line="460" w:lineRule="exact"/>
              <w:rPr>
                <w:rFonts w:ascii="宋体" w:hAnsi="宋体"/>
                <w:bCs/>
                <w:sz w:val="24"/>
                <w:szCs w:val="24"/>
              </w:rPr>
            </w:pPr>
            <w:r>
              <w:rPr>
                <w:rFonts w:ascii="宋体" w:hAnsi="宋体"/>
                <w:bCs/>
                <w:sz w:val="24"/>
                <w:szCs w:val="24"/>
              </w:rPr>
            </w:r>
            <w:r/>
          </w:p>
        </w:tc>
        <w:tc>
          <w:tcPr>
            <w:tcW w:w="1607" w:type="dxa"/>
            <w:textDirection w:val="lrTb"/>
            <w:noWrap w:val="false"/>
          </w:tcPr>
          <w:p>
            <w:pPr>
              <w:spacing w:line="460" w:lineRule="exact"/>
              <w:rPr>
                <w:rFonts w:ascii="宋体" w:hAnsi="宋体"/>
                <w:bCs/>
                <w:sz w:val="24"/>
                <w:szCs w:val="24"/>
              </w:rPr>
            </w:pPr>
            <w:r>
              <w:rPr>
                <w:rFonts w:ascii="宋体" w:hAnsi="宋体"/>
                <w:bCs/>
                <w:sz w:val="24"/>
                <w:szCs w:val="24"/>
              </w:rPr>
            </w:r>
            <w:r/>
          </w:p>
        </w:tc>
      </w:tr>
    </w:tbl>
    <w:p>
      <w:pPr>
        <w:ind w:firstLine="420"/>
        <w:spacing w:line="460" w:lineRule="exact"/>
        <w:rPr>
          <w:rFonts w:ascii="宋体" w:hAnsi="宋体"/>
          <w:bCs/>
          <w:sz w:val="21"/>
          <w:szCs w:val="21"/>
        </w:rPr>
      </w:pPr>
      <w:r>
        <w:rPr>
          <w:rFonts w:hint="eastAsia" w:ascii="宋体" w:hAnsi="宋体"/>
          <w:bCs/>
          <w:sz w:val="21"/>
          <w:szCs w:val="21"/>
        </w:rPr>
        <w:t xml:space="preserve">我们保证上述声明中的资料和数据是真实的、正确的，我们同意如贵方要求，可以出示相关证明文件。</w:t>
      </w:r>
      <w:r/>
    </w:p>
    <w:p>
      <w:pPr>
        <w:spacing w:line="460" w:lineRule="exact"/>
        <w:rPr>
          <w:rFonts w:ascii="宋体" w:hAnsi="宋体"/>
          <w:bCs/>
          <w:sz w:val="21"/>
          <w:szCs w:val="21"/>
        </w:rPr>
      </w:pPr>
      <w:r>
        <w:rPr>
          <w:rFonts w:hint="eastAsia" w:ascii="宋体" w:hAnsi="宋体"/>
          <w:bCs/>
          <w:sz w:val="21"/>
          <w:szCs w:val="21"/>
        </w:rPr>
        <w:t xml:space="preserve">授权代表（签字或盖章）：</w:t>
      </w:r>
      <w:r>
        <w:rPr>
          <w:rFonts w:hint="eastAsia" w:ascii="宋体" w:hAnsi="宋体"/>
          <w:bCs/>
          <w:sz w:val="21"/>
          <w:szCs w:val="21"/>
          <w:u w:val="single"/>
        </w:rPr>
        <w:t xml:space="preserve">               </w:t>
      </w:r>
      <w:r/>
    </w:p>
    <w:p>
      <w:pPr>
        <w:spacing w:line="460" w:lineRule="exact"/>
        <w:rPr>
          <w:rFonts w:ascii="宋体" w:hAnsi="宋体"/>
          <w:bCs/>
          <w:sz w:val="21"/>
          <w:szCs w:val="21"/>
        </w:rPr>
      </w:pPr>
      <w:r>
        <w:rPr>
          <w:rFonts w:hint="eastAsia" w:ascii="宋体" w:hAnsi="宋体"/>
          <w:bCs/>
          <w:sz w:val="21"/>
          <w:szCs w:val="21"/>
        </w:rPr>
        <w:t xml:space="preserve">授权代表的职务：</w:t>
      </w:r>
      <w:r>
        <w:rPr>
          <w:rFonts w:hint="eastAsia" w:ascii="宋体" w:hAnsi="宋体"/>
          <w:bCs/>
          <w:sz w:val="21"/>
          <w:szCs w:val="21"/>
          <w:u w:val="single"/>
        </w:rPr>
        <w:t xml:space="preserve">                      </w:t>
      </w:r>
      <w:r/>
    </w:p>
    <w:p>
      <w:pPr>
        <w:spacing w:line="460" w:lineRule="exact"/>
        <w:rPr>
          <w:rFonts w:ascii="宋体" w:hAnsi="宋体"/>
          <w:bCs/>
          <w:sz w:val="21"/>
          <w:szCs w:val="21"/>
        </w:rPr>
      </w:pPr>
      <w:r>
        <w:rPr>
          <w:rFonts w:hint="eastAsia" w:ascii="宋体" w:hAnsi="宋体"/>
          <w:bCs/>
          <w:sz w:val="21"/>
          <w:szCs w:val="21"/>
        </w:rPr>
        <w:t xml:space="preserve">电话号和传真号：</w:t>
      </w:r>
      <w:r>
        <w:rPr>
          <w:rFonts w:hint="eastAsia" w:ascii="宋体" w:hAnsi="宋体"/>
          <w:bCs/>
          <w:sz w:val="21"/>
          <w:szCs w:val="21"/>
          <w:u w:val="single"/>
        </w:rPr>
        <w:t xml:space="preserve">                      </w:t>
      </w:r>
      <w:r/>
    </w:p>
    <w:p>
      <w:pPr>
        <w:spacing w:line="460" w:lineRule="exact"/>
        <w:rPr>
          <w:rFonts w:ascii="宋体" w:hAnsi="宋体"/>
          <w:bCs/>
          <w:sz w:val="21"/>
          <w:szCs w:val="21"/>
        </w:rPr>
      </w:pPr>
      <w:r>
        <w:rPr>
          <w:rFonts w:hint="eastAsia" w:ascii="宋体" w:hAnsi="宋体"/>
          <w:bCs/>
          <w:sz w:val="21"/>
          <w:szCs w:val="21"/>
        </w:rPr>
        <w:t xml:space="preserve">投标人（单位公章）：</w:t>
      </w:r>
      <w:r>
        <w:rPr>
          <w:rFonts w:hint="eastAsia" w:ascii="宋体" w:hAnsi="宋体"/>
          <w:bCs/>
          <w:sz w:val="21"/>
          <w:szCs w:val="21"/>
          <w:u w:val="single"/>
        </w:rPr>
        <w:t xml:space="preserve">                      </w:t>
      </w:r>
      <w:r>
        <w:rPr>
          <w:rFonts w:hint="eastAsia" w:ascii="宋体" w:hAnsi="宋体"/>
          <w:bCs/>
          <w:sz w:val="21"/>
          <w:szCs w:val="21"/>
        </w:rPr>
        <w:t xml:space="preserve">                 日期：</w:t>
      </w:r>
      <w:r>
        <w:rPr>
          <w:rFonts w:hint="eastAsia" w:ascii="宋体" w:hAnsi="宋体"/>
          <w:bCs/>
          <w:sz w:val="21"/>
          <w:szCs w:val="21"/>
          <w:u w:val="single"/>
        </w:rPr>
        <w:t xml:space="preserve">     </w:t>
      </w:r>
      <w:r>
        <w:rPr>
          <w:rFonts w:hint="eastAsia" w:ascii="宋体" w:hAnsi="宋体"/>
          <w:bCs/>
          <w:sz w:val="21"/>
          <w:szCs w:val="21"/>
        </w:rPr>
        <w:t xml:space="preserve">年</w:t>
      </w:r>
      <w:r>
        <w:rPr>
          <w:rFonts w:hint="eastAsia" w:ascii="宋体" w:hAnsi="宋体"/>
          <w:bCs/>
          <w:sz w:val="21"/>
          <w:szCs w:val="21"/>
          <w:u w:val="single"/>
        </w:rPr>
        <w:t xml:space="preserve">    </w:t>
      </w:r>
      <w:r>
        <w:rPr>
          <w:rFonts w:hint="eastAsia" w:ascii="宋体" w:hAnsi="宋体"/>
          <w:bCs/>
          <w:sz w:val="21"/>
          <w:szCs w:val="21"/>
        </w:rPr>
        <w:t xml:space="preserve">月</w:t>
      </w:r>
      <w:r>
        <w:rPr>
          <w:rFonts w:hint="eastAsia" w:ascii="宋体" w:hAnsi="宋体"/>
          <w:bCs/>
          <w:sz w:val="21"/>
          <w:szCs w:val="21"/>
          <w:u w:val="single"/>
        </w:rPr>
        <w:t xml:space="preserve">    </w:t>
      </w:r>
      <w:r>
        <w:rPr>
          <w:rFonts w:hint="eastAsia" w:ascii="宋体" w:hAnsi="宋体"/>
          <w:bCs/>
          <w:sz w:val="21"/>
          <w:szCs w:val="21"/>
        </w:rPr>
        <w:t xml:space="preserve">日</w:t>
      </w:r>
      <w:r/>
    </w:p>
    <w:p>
      <w:pPr>
        <w:jc w:val="center"/>
        <w:spacing w:line="420" w:lineRule="exact"/>
        <w:tabs>
          <w:tab w:val="left" w:pos="1320" w:leader="none"/>
        </w:tabs>
        <w:rPr>
          <w:rFonts w:ascii="宋体" w:hAnsi="宋体"/>
          <w:b/>
          <w:sz w:val="36"/>
          <w:szCs w:val="36"/>
        </w:rPr>
        <w:outlineLvl w:val="1"/>
      </w:pPr>
      <w:r/>
      <w:bookmarkStart w:id="68" w:name="_Toc454356739"/>
      <w:r/>
      <w:bookmarkStart w:id="69" w:name="_Toc59797310"/>
      <w:r>
        <w:rPr>
          <w:rFonts w:hint="eastAsia" w:ascii="宋体" w:hAnsi="宋体"/>
          <w:b/>
          <w:sz w:val="36"/>
          <w:szCs w:val="36"/>
        </w:rPr>
        <w:t xml:space="preserve">四、</w:t>
      </w:r>
      <w:bookmarkEnd w:id="68"/>
      <w:r/>
      <w:bookmarkEnd w:id="69"/>
      <w:r>
        <w:rPr>
          <w:rFonts w:hint="eastAsia" w:ascii="宋体" w:hAnsi="宋体"/>
          <w:b/>
          <w:sz w:val="36"/>
          <w:szCs w:val="36"/>
        </w:rPr>
        <w:t xml:space="preserve">技术参数响应及偏离表</w:t>
      </w:r>
      <w:r/>
    </w:p>
    <w:p>
      <w:pPr>
        <w:pStyle w:val="928"/>
        <w:spacing w:line="360" w:lineRule="auto"/>
        <w:rPr>
          <w:rFonts w:hAnsi="宋体" w:eastAsia="宋体"/>
          <w:sz w:val="24"/>
          <w:szCs w:val="24"/>
        </w:rPr>
      </w:pPr>
      <w:r>
        <w:rPr>
          <w:rFonts w:hAnsi="宋体" w:eastAsia="宋体"/>
          <w:sz w:val="24"/>
          <w:szCs w:val="24"/>
        </w:rPr>
      </w:r>
      <w:r/>
    </w:p>
    <w:p>
      <w:pPr>
        <w:pStyle w:val="928"/>
        <w:spacing w:line="360" w:lineRule="auto"/>
        <w:rPr>
          <w:rFonts w:hAnsi="宋体" w:eastAsia="宋体"/>
          <w:sz w:val="24"/>
          <w:szCs w:val="24"/>
          <w:u w:val="single"/>
        </w:rPr>
      </w:pPr>
      <w:r>
        <w:rPr>
          <w:rFonts w:hAnsi="宋体" w:eastAsia="宋体"/>
          <w:sz w:val="24"/>
          <w:szCs w:val="24"/>
        </w:rPr>
        <w:t xml:space="preserve">投标</w:t>
      </w:r>
      <w:r>
        <w:rPr>
          <w:rFonts w:hint="eastAsia" w:hAnsi="宋体" w:eastAsia="宋体"/>
          <w:sz w:val="24"/>
          <w:szCs w:val="24"/>
        </w:rPr>
        <w:t xml:space="preserve">人</w:t>
      </w:r>
      <w:r>
        <w:rPr>
          <w:rFonts w:hAnsi="宋体" w:eastAsia="宋体"/>
          <w:sz w:val="24"/>
          <w:szCs w:val="24"/>
        </w:rPr>
        <w:t xml:space="preserve">名称（公章）：</w:t>
      </w:r>
      <w:r>
        <w:rPr>
          <w:rFonts w:hAnsi="宋体" w:eastAsia="宋体"/>
          <w:sz w:val="24"/>
          <w:szCs w:val="24"/>
          <w:u w:val="single"/>
        </w:rPr>
        <w:t xml:space="preserve">                      </w:t>
      </w:r>
      <w:r/>
    </w:p>
    <w:p>
      <w:pPr>
        <w:pStyle w:val="928"/>
        <w:spacing w:line="360" w:lineRule="auto"/>
        <w:rPr>
          <w:rFonts w:hAnsi="宋体" w:eastAsia="宋体"/>
          <w:sz w:val="24"/>
          <w:szCs w:val="24"/>
        </w:rPr>
      </w:pPr>
      <w:r>
        <w:rPr>
          <w:rFonts w:hint="eastAsia" w:hAnsi="宋体" w:eastAsia="宋体"/>
          <w:sz w:val="24"/>
          <w:szCs w:val="24"/>
        </w:rPr>
        <w:t xml:space="preserve">                     </w:t>
      </w:r>
      <w:r/>
    </w:p>
    <w:tbl>
      <w:tblPr>
        <w:tblStyle w:val="92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22"/>
        <w:gridCol w:w="2737"/>
        <w:gridCol w:w="2978"/>
        <w:gridCol w:w="1775"/>
      </w:tblGrid>
      <w:tr>
        <w:trPr>
          <w:trHeight w:val="744"/>
        </w:trPr>
        <w:tc>
          <w:tcPr>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序号</w:t>
            </w:r>
            <w:r/>
          </w:p>
        </w:tc>
        <w:tc>
          <w:tcPr>
            <w:tcW w:w="2737"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rPr>
              <w:t xml:space="preserve">招标文件 </w:t>
            </w:r>
            <w:r/>
          </w:p>
        </w:tc>
        <w:tc>
          <w:tcPr>
            <w:tcBorders>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rPr>
              <w:t xml:space="preserve">投标文件响应</w:t>
            </w:r>
            <w:r/>
          </w:p>
        </w:tc>
        <w:tc>
          <w:tcPr>
            <w:tcW w:w="1775" w:type="dxa"/>
            <w:vAlign w:val="center"/>
            <w:textDirection w:val="lrTb"/>
            <w:noWrap w:val="false"/>
          </w:tcPr>
          <w:p>
            <w:pPr>
              <w:jc w:val="center"/>
              <w:rPr>
                <w:rFonts w:ascii="宋体" w:hAnsi="宋体"/>
                <w:sz w:val="24"/>
                <w:szCs w:val="24"/>
              </w:rPr>
            </w:pPr>
            <w:r>
              <w:rPr>
                <w:rFonts w:ascii="宋体" w:hAnsi="宋体"/>
                <w:sz w:val="24"/>
                <w:szCs w:val="24"/>
                <w:lang w:val="zh-CN"/>
              </w:rPr>
              <w:t xml:space="preserve">选择项</w:t>
            </w:r>
            <w:r/>
          </w:p>
          <w:p>
            <w:pPr>
              <w:jc w:val="center"/>
              <w:spacing w:line="420" w:lineRule="exact"/>
              <w:rPr>
                <w:rFonts w:ascii="宋体" w:hAnsi="宋体"/>
                <w:sz w:val="24"/>
                <w:szCs w:val="24"/>
              </w:rPr>
            </w:pPr>
            <w:r>
              <w:rPr>
                <w:rFonts w:ascii="宋体" w:hAnsi="宋体"/>
                <w:sz w:val="24"/>
                <w:szCs w:val="24"/>
                <w:lang w:val="zh-CN"/>
              </w:rPr>
              <w:t xml:space="preserve">（符合、正偏离</w:t>
            </w:r>
            <w:r>
              <w:rPr>
                <w:rFonts w:hint="eastAsia" w:ascii="宋体" w:hAnsi="宋体"/>
                <w:sz w:val="24"/>
                <w:szCs w:val="24"/>
                <w:lang w:val="zh-CN"/>
              </w:rPr>
              <w:t xml:space="preserve">、负偏离</w:t>
            </w:r>
            <w:r>
              <w:rPr>
                <w:rFonts w:ascii="宋体" w:hAnsi="宋体"/>
                <w:sz w:val="24"/>
                <w:szCs w:val="24"/>
                <w:lang w:val="zh-CN"/>
              </w:rPr>
              <w:t xml:space="preserve">）</w:t>
            </w:r>
            <w:r/>
          </w:p>
        </w:tc>
      </w:tr>
      <w:tr>
        <w:trPr>
          <w:trHeight w:val="744"/>
        </w:trPr>
        <w:tc>
          <w:tcPr>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27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775"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r>
        <w:trPr>
          <w:trHeight w:val="744"/>
        </w:trPr>
        <w:tc>
          <w:tcPr>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27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775"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r>
        <w:trPr>
          <w:trHeight w:val="744"/>
        </w:trPr>
        <w:tc>
          <w:tcPr>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27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775"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r>
        <w:trPr>
          <w:trHeight w:val="744"/>
        </w:trPr>
        <w:tc>
          <w:tcPr>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27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775"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r>
        <w:trPr>
          <w:trHeight w:val="744"/>
        </w:trPr>
        <w:tc>
          <w:tcPr>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27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775"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r>
        <w:trPr>
          <w:trHeight w:val="744"/>
        </w:trPr>
        <w:tc>
          <w:tcPr>
            <w:tcBorders>
              <w:top w:val="single" w:color="000000" w:sz="6" w:space="0"/>
              <w:left w:val="single" w:color="000000" w:sz="6" w:space="0"/>
              <w:bottom w:val="single" w:color="000000" w:sz="6" w:space="0"/>
              <w:right w:val="single" w:color="000000" w:sz="6" w:space="0"/>
            </w:tcBorders>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7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775"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r>
        <w:trPr>
          <w:trHeight w:val="744"/>
        </w:trPr>
        <w:tc>
          <w:tcPr>
            <w:tcBorders>
              <w:top w:val="single" w:color="000000" w:sz="6" w:space="0"/>
              <w:left w:val="single" w:color="000000" w:sz="6" w:space="0"/>
              <w:bottom w:val="single" w:color="000000" w:sz="6" w:space="0"/>
              <w:right w:val="single" w:color="000000" w:sz="6" w:space="0"/>
            </w:tcBorders>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7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775"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r>
        <w:trPr>
          <w:trHeight w:val="744"/>
        </w:trPr>
        <w:tc>
          <w:tcPr>
            <w:tcBorders>
              <w:top w:val="single" w:color="000000" w:sz="6" w:space="0"/>
              <w:left w:val="single" w:color="000000" w:sz="6" w:space="0"/>
              <w:bottom w:val="single" w:color="000000" w:sz="6" w:space="0"/>
              <w:right w:val="single" w:color="000000" w:sz="6" w:space="0"/>
            </w:tcBorders>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7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775"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r>
        <w:trPr>
          <w:trHeight w:val="744"/>
        </w:trPr>
        <w:tc>
          <w:tcPr>
            <w:tcBorders>
              <w:top w:val="single" w:color="000000" w:sz="6" w:space="0"/>
              <w:left w:val="single" w:color="000000" w:sz="6" w:space="0"/>
              <w:bottom w:val="single" w:color="000000" w:sz="6" w:space="0"/>
              <w:right w:val="single" w:color="000000" w:sz="6" w:space="0"/>
            </w:tcBorders>
            <w:tcW w:w="1222"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737"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4" w:space="0"/>
            </w:tcBorders>
            <w:tcW w:w="2978"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775"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w:t>
      </w:r>
      <w:r/>
    </w:p>
    <w:p>
      <w:pPr>
        <w:ind w:firstLine="480"/>
        <w:rPr>
          <w:rFonts w:ascii="宋体" w:hAnsi="宋体"/>
          <w:sz w:val="24"/>
          <w:szCs w:val="24"/>
        </w:rPr>
      </w:pPr>
      <w:r>
        <w:rPr>
          <w:rFonts w:hint="eastAsia" w:ascii="宋体" w:hAnsi="宋体" w:cs="宋体"/>
          <w:sz w:val="24"/>
          <w:szCs w:val="24"/>
        </w:rPr>
        <w:t xml:space="preserve">1、“正偏离、负偏离、等同于”条款须</w:t>
      </w:r>
      <w:r>
        <w:rPr>
          <w:rFonts w:hint="eastAsia" w:ascii="宋体" w:hAnsi="宋体" w:cs="宋体"/>
          <w:bCs/>
          <w:sz w:val="24"/>
        </w:rPr>
        <w:t xml:space="preserve">逐条列明，其他与招标文件</w:t>
      </w:r>
      <w:r>
        <w:rPr>
          <w:rFonts w:hint="eastAsia" w:ascii="宋体" w:hAnsi="宋体" w:cs="宋体"/>
          <w:bCs/>
          <w:sz w:val="24"/>
          <w:highlight w:val="none"/>
        </w:rPr>
        <w:t xml:space="preserve">第</w:t>
      </w:r>
      <w:r>
        <w:rPr>
          <w:rFonts w:ascii="宋体" w:hAnsi="宋体" w:cs="宋体"/>
          <w:bCs/>
          <w:sz w:val="24"/>
          <w:highlight w:val="none"/>
        </w:rPr>
        <w:t xml:space="preserve">三部分</w:t>
      </w:r>
      <w:r>
        <w:rPr>
          <w:rFonts w:hint="eastAsia" w:ascii="宋体" w:hAnsi="宋体" w:cs="宋体"/>
          <w:bCs/>
          <w:sz w:val="24"/>
        </w:rPr>
        <w:t xml:space="preserve">一致条款可不描述（不描述条款，视为承诺与招标文件第三部分一致）。</w:t>
      </w:r>
      <w:r/>
    </w:p>
    <w:p>
      <w:pPr>
        <w:numPr>
          <w:ilvl w:val="0"/>
          <w:numId w:val="8"/>
        </w:numPr>
        <w:rPr>
          <w:rFonts w:ascii="宋体" w:hAnsi="宋体"/>
          <w:sz w:val="24"/>
          <w:szCs w:val="24"/>
        </w:rPr>
      </w:pPr>
      <w:r>
        <w:rPr>
          <w:rFonts w:hint="eastAsia" w:ascii="宋体" w:hAnsi="宋体"/>
          <w:sz w:val="24"/>
          <w:szCs w:val="24"/>
        </w:rPr>
        <w:t xml:space="preserve">行数不够，可自行添加。</w:t>
      </w:r>
      <w:r/>
    </w:p>
    <w:p>
      <w:pPr>
        <w:ind w:firstLine="645"/>
        <w:spacing w:line="420" w:lineRule="auto"/>
        <w:rPr>
          <w:rFonts w:ascii="宋体" w:hAnsi="宋体"/>
          <w:sz w:val="24"/>
        </w:rPr>
      </w:pPr>
      <w:r>
        <w:rPr>
          <w:rFonts w:ascii="宋体" w:hAnsi="宋体"/>
          <w:sz w:val="24"/>
        </w:rPr>
      </w:r>
      <w:r/>
    </w:p>
    <w:p>
      <w:pPr>
        <w:ind w:firstLine="4200"/>
        <w:spacing w:line="440" w:lineRule="exact"/>
        <w:rPr>
          <w:rFonts w:ascii="宋体" w:hAnsi="宋体" w:cs="宋体"/>
          <w:sz w:val="24"/>
          <w:szCs w:val="24"/>
        </w:rPr>
      </w:pPr>
      <w:r>
        <w:rPr>
          <w:rFonts w:hint="eastAsia" w:ascii="宋体" w:hAnsi="宋体"/>
          <w:spacing w:val="20"/>
          <w:sz w:val="24"/>
        </w:rPr>
        <w:t xml:space="preserve">投标人：</w:t>
      </w:r>
      <w:r>
        <w:rPr>
          <w:rFonts w:hint="eastAsia" w:ascii="宋体" w:hAnsi="宋体"/>
          <w:spacing w:val="20"/>
          <w:sz w:val="24"/>
          <w:u w:val="single"/>
        </w:rPr>
        <w:t xml:space="preserve">（盖章）</w:t>
      </w:r>
      <w:r/>
    </w:p>
    <w:p>
      <w:pPr>
        <w:ind w:firstLine="3600"/>
        <w:spacing w:line="440" w:lineRule="exact"/>
        <w:rPr>
          <w:rFonts w:ascii="宋体" w:hAnsi="宋体" w:cs="宋体"/>
          <w:sz w:val="24"/>
          <w:szCs w:val="24"/>
        </w:rPr>
      </w:pPr>
      <w:r>
        <w:rPr>
          <w:rFonts w:ascii="宋体" w:hAnsi="宋体" w:cs="宋体"/>
          <w:sz w:val="24"/>
          <w:szCs w:val="24"/>
        </w:rPr>
      </w:r>
      <w:r/>
    </w:p>
    <w:p>
      <w:pPr>
        <w:ind w:firstLine="3600"/>
        <w:spacing w:line="440" w:lineRule="exact"/>
        <w:rPr>
          <w:rFonts w:ascii="宋体" w:hAnsi="宋体" w:cs="宋体"/>
          <w:sz w:val="24"/>
          <w:szCs w:val="24"/>
        </w:rPr>
      </w:pPr>
      <w:r>
        <w:rPr>
          <w:rFonts w:hint="eastAsia" w:ascii="宋体" w:hAnsi="宋体" w:cs="宋体"/>
          <w:sz w:val="24"/>
          <w:szCs w:val="24"/>
        </w:rPr>
        <w:t xml:space="preserve">法定代表人或授权代表</w:t>
      </w:r>
      <w:r>
        <w:rPr>
          <w:rFonts w:hint="eastAsia" w:ascii="宋体" w:hAnsi="宋体"/>
          <w:sz w:val="24"/>
        </w:rPr>
        <w:t xml:space="preserve">（签字或盖章）</w:t>
      </w:r>
      <w:r>
        <w:rPr>
          <w:rFonts w:hint="eastAsia" w:ascii="宋体" w:hAnsi="宋体" w:cs="宋体"/>
          <w:sz w:val="24"/>
          <w:szCs w:val="24"/>
        </w:rPr>
        <w:t xml:space="preserve">：</w:t>
      </w:r>
      <w:r/>
    </w:p>
    <w:p>
      <w:pPr>
        <w:pStyle w:val="928"/>
        <w:spacing w:line="360" w:lineRule="auto"/>
        <w:rPr>
          <w:rFonts w:hAnsi="宋体" w:eastAsia="宋体"/>
          <w:sz w:val="24"/>
          <w:szCs w:val="24"/>
        </w:rPr>
      </w:pPr>
      <w:r>
        <w:rPr>
          <w:rFonts w:hAnsi="宋体" w:eastAsia="宋体"/>
          <w:sz w:val="24"/>
          <w:szCs w:val="24"/>
        </w:rPr>
        <w:t xml:space="preserve">  </w:t>
      </w:r>
      <w:r/>
    </w:p>
    <w:p>
      <w:pPr>
        <w:pStyle w:val="1104"/>
        <w:ind w:firstLine="4440"/>
        <w:spacing w:line="360" w:lineRule="auto"/>
        <w:rPr>
          <w:rFonts w:ascii="宋体" w:hAnsi="宋体"/>
          <w:sz w:val="24"/>
          <w:szCs w:val="24"/>
        </w:rPr>
      </w:pPr>
      <w:r>
        <w:rPr>
          <w:rFonts w:ascii="宋体" w:hAnsi="宋体"/>
          <w:sz w:val="24"/>
          <w:szCs w:val="24"/>
        </w:rPr>
        <w:t xml:space="preserve"> 年     月 </w:t>
      </w:r>
      <w:r>
        <w:rPr>
          <w:rFonts w:hint="eastAsia" w:ascii="宋体" w:hAnsi="宋体"/>
          <w:sz w:val="24"/>
          <w:szCs w:val="24"/>
        </w:rPr>
        <w:t xml:space="preserve">    日</w:t>
      </w:r>
      <w:r/>
    </w:p>
    <w:p>
      <w:pPr>
        <w:pStyle w:val="1104"/>
        <w:ind w:firstLine="4173"/>
        <w:spacing w:line="360" w:lineRule="auto"/>
        <w:rPr>
          <w:rFonts w:ascii="宋体" w:hAnsi="宋体"/>
          <w:sz w:val="21"/>
        </w:rPr>
      </w:pPr>
      <w:r>
        <w:rPr>
          <w:rFonts w:ascii="宋体" w:hAnsi="宋体"/>
          <w:sz w:val="21"/>
        </w:rPr>
      </w:r>
      <w:r/>
    </w:p>
    <w:p>
      <w:pPr>
        <w:ind w:firstLine="2530"/>
        <w:rPr>
          <w:rFonts w:ascii="宋体" w:hAnsi="宋体"/>
          <w:sz w:val="36"/>
          <w:szCs w:val="36"/>
        </w:rPr>
      </w:pPr>
      <w:r/>
      <w:bookmarkStart w:id="70" w:name="_Toc59797312"/>
      <w:r/>
      <w:bookmarkStart w:id="71" w:name="_Toc454356741"/>
      <w:r>
        <w:rPr>
          <w:rFonts w:hint="eastAsia" w:ascii="宋体" w:hAnsi="宋体"/>
          <w:b/>
          <w:sz w:val="36"/>
          <w:szCs w:val="36"/>
        </w:rPr>
        <w:t xml:space="preserve">五、开标一览表</w:t>
      </w:r>
      <w:r>
        <w:rPr>
          <w:rFonts w:hint="eastAsia" w:ascii="宋体" w:hAnsi="宋体"/>
          <w:sz w:val="36"/>
          <w:szCs w:val="36"/>
        </w:rPr>
        <w:t xml:space="preserve">（格式）</w:t>
      </w:r>
      <w:bookmarkEnd w:id="70"/>
      <w:r/>
      <w:bookmarkEnd w:id="71"/>
      <w:r/>
      <w:r/>
    </w:p>
    <w:p>
      <w:pPr>
        <w:rPr>
          <w:rFonts w:ascii="宋体" w:hAnsi="宋体"/>
          <w:sz w:val="24"/>
          <w:szCs w:val="24"/>
        </w:rPr>
      </w:pPr>
      <w:r>
        <w:rPr>
          <w:rFonts w:ascii="宋体" w:hAnsi="宋体"/>
          <w:sz w:val="24"/>
          <w:szCs w:val="24"/>
        </w:rPr>
      </w:r>
      <w:r/>
    </w:p>
    <w:tbl>
      <w:tblPr>
        <w:tblStyle w:val="923"/>
        <w:tblW w:w="97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项目编号</w:t>
            </w:r>
            <w:r/>
          </w:p>
        </w:tc>
        <w:tc>
          <w:tcPr>
            <w:tcW w:w="8214" w:type="dxa"/>
            <w:vAlign w:val="center"/>
            <w:textDirection w:val="lrTb"/>
            <w:noWrap w:val="false"/>
          </w:tcPr>
          <w:p>
            <w:pPr>
              <w:rPr>
                <w:rFonts w:ascii="宋体" w:hAnsi="宋体"/>
                <w:sz w:val="24"/>
                <w:szCs w:val="24"/>
              </w:rPr>
            </w:pPr>
            <w:r>
              <w:rPr>
                <w:rFonts w:hint="eastAsia" w:ascii="宋体" w:hAnsi="宋体"/>
                <w:sz w:val="24"/>
                <w:szCs w:val="24"/>
              </w:rPr>
              <w:t xml:space="preserve">JSZC-320922-YTGC-G2024-0015</w:t>
            </w:r>
            <w:r/>
          </w:p>
        </w:tc>
      </w:tr>
      <w:tr>
        <w:trPr>
          <w:cantSplit/>
          <w:trHeight w:val="1014"/>
        </w:trPr>
        <w:tc>
          <w:tcPr>
            <w:tcW w:w="150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8214" w:type="dxa"/>
            <w:vAlign w:val="center"/>
            <w:textDirection w:val="lrTb"/>
            <w:noWrap w:val="false"/>
          </w:tcPr>
          <w:p>
            <w:pPr>
              <w:rPr>
                <w:rFonts w:hint="eastAsia" w:ascii="宋体" w:hAnsi="宋体" w:eastAsia="宋体"/>
                <w:sz w:val="24"/>
                <w:szCs w:val="24"/>
                <w:lang w:eastAsia="zh-CN"/>
              </w:rPr>
            </w:pPr>
            <w:r>
              <w:rPr>
                <w:rFonts w:hint="eastAsia" w:ascii="宋体" w:hAnsi="宋体"/>
                <w:sz w:val="24"/>
                <w:szCs w:val="24"/>
              </w:rPr>
              <w:t xml:space="preserve">滨海县公安局为民办实事农村道路交通安全提升项目</w:t>
            </w:r>
            <w:r>
              <w:rPr>
                <w:rFonts w:hint="eastAsia" w:ascii="宋体" w:hAnsi="宋体"/>
                <w:sz w:val="24"/>
                <w:szCs w:val="24"/>
                <w:lang w:eastAsia="zh-CN"/>
              </w:rPr>
              <w:t xml:space="preserve">（</w:t>
            </w:r>
            <w:r>
              <w:rPr>
                <w:rFonts w:hint="eastAsia" w:ascii="宋体" w:hAnsi="宋体"/>
                <w:sz w:val="24"/>
                <w:szCs w:val="24"/>
                <w:lang w:val="en-US" w:eastAsia="zh-CN"/>
              </w:rPr>
              <w:t xml:space="preserve">二次</w:t>
            </w:r>
            <w:r>
              <w:rPr>
                <w:rFonts w:hint="eastAsia" w:ascii="宋体" w:hAnsi="宋体"/>
                <w:sz w:val="24"/>
                <w:szCs w:val="24"/>
                <w:lang w:eastAsia="zh-CN"/>
              </w:rPr>
              <w:t xml:space="preserve">）</w:t>
            </w:r>
            <w:r/>
          </w:p>
        </w:tc>
      </w:tr>
      <w:tr>
        <w:trPr>
          <w:cantSplit/>
          <w:trHeight w:val="848"/>
        </w:trPr>
        <w:tc>
          <w:tcPr>
            <w:gridSpan w:val="2"/>
            <w:tcW w:w="972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投标报价（大写）：</w:t>
            </w:r>
            <w:r>
              <w:rPr>
                <w:rFonts w:hint="eastAsia" w:ascii="宋体" w:hAnsi="宋体"/>
                <w:sz w:val="24"/>
                <w:szCs w:val="24"/>
                <w:u w:val="single"/>
              </w:rPr>
              <w:t xml:space="preserve">                 </w:t>
            </w:r>
            <w:r>
              <w:rPr>
                <w:rFonts w:hint="eastAsia" w:ascii="宋体" w:hAnsi="宋体"/>
                <w:sz w:val="24"/>
                <w:szCs w:val="24"/>
              </w:rPr>
              <w:t xml:space="preserve">   小写：</w:t>
            </w:r>
            <w:r>
              <w:rPr>
                <w:rFonts w:hint="eastAsia" w:ascii="宋体" w:hAnsi="宋体"/>
                <w:sz w:val="24"/>
                <w:szCs w:val="24"/>
                <w:u w:val="single"/>
              </w:rPr>
              <w:t xml:space="preserve">                  </w:t>
            </w:r>
            <w:r/>
          </w:p>
        </w:tc>
      </w:tr>
      <w:tr>
        <w:trPr>
          <w:cantSplit/>
          <w:trHeight w:val="1155"/>
        </w:trPr>
        <w:tc>
          <w:tcPr>
            <w:gridSpan w:val="2"/>
            <w:tcW w:w="9720" w:type="dxa"/>
            <w:vAlign w:val="center"/>
            <w:textDirection w:val="lrTb"/>
            <w:noWrap w:val="false"/>
          </w:tcPr>
          <w:p>
            <w:pPr>
              <w:rPr>
                <w:rFonts w:ascii="宋体" w:hAnsi="宋体"/>
                <w:sz w:val="24"/>
                <w:szCs w:val="24"/>
              </w:rPr>
            </w:pPr>
            <w:r>
              <w:rPr>
                <w:rFonts w:hint="eastAsia" w:ascii="宋体" w:hAnsi="宋体"/>
                <w:sz w:val="24"/>
                <w:szCs w:val="24"/>
              </w:rPr>
              <w:t xml:space="preserve">合同履行期限：</w:t>
            </w:r>
            <w:r>
              <w:rPr>
                <w:rFonts w:hint="eastAsia" w:ascii="宋体" w:hAnsi="宋体"/>
                <w:sz w:val="24"/>
                <w:szCs w:val="24"/>
                <w:u w:val="single"/>
              </w:rPr>
              <w:t xml:space="preserve">    </w:t>
            </w:r>
            <w:r>
              <w:rPr>
                <w:rFonts w:hint="eastAsia" w:ascii="宋体" w:hAnsi="宋体"/>
                <w:sz w:val="24"/>
                <w:szCs w:val="24"/>
              </w:rPr>
              <w:t xml:space="preserve">日历天。</w:t>
            </w:r>
            <w:r/>
          </w:p>
        </w:tc>
      </w:tr>
      <w:tr>
        <w:trPr>
          <w:cantSplit/>
          <w:trHeight w:val="1155"/>
        </w:trPr>
        <w:tc>
          <w:tcPr>
            <w:gridSpan w:val="2"/>
            <w:tcW w:w="9720" w:type="dxa"/>
            <w:vAlign w:val="center"/>
            <w:textDirection w:val="lrTb"/>
            <w:noWrap w:val="false"/>
          </w:tcPr>
          <w:p>
            <w:pPr>
              <w:rPr>
                <w:rFonts w:ascii="宋体" w:hAnsi="宋体"/>
                <w:sz w:val="24"/>
                <w:szCs w:val="24"/>
              </w:rPr>
            </w:pPr>
            <w:r>
              <w:rPr>
                <w:rFonts w:hint="eastAsia" w:ascii="宋体" w:hAnsi="宋体"/>
                <w:sz w:val="24"/>
                <w:szCs w:val="24"/>
              </w:rPr>
              <w:t xml:space="preserve">免费质保时间：无人机项目为</w:t>
            </w:r>
            <w:r>
              <w:rPr>
                <w:rFonts w:hint="eastAsia" w:ascii="宋体" w:hAnsi="宋体"/>
                <w:sz w:val="24"/>
                <w:szCs w:val="24"/>
                <w:u w:val="single"/>
              </w:rPr>
              <w:t xml:space="preserve">   </w:t>
            </w:r>
            <w:r>
              <w:rPr>
                <w:rFonts w:hint="eastAsia" w:ascii="宋体" w:hAnsi="宋体"/>
                <w:sz w:val="24"/>
                <w:szCs w:val="24"/>
              </w:rPr>
              <w:t xml:space="preserve">年、其它项目为</w:t>
            </w:r>
            <w:r>
              <w:rPr>
                <w:rFonts w:hint="eastAsia" w:ascii="宋体" w:hAnsi="宋体"/>
                <w:sz w:val="24"/>
                <w:szCs w:val="24"/>
                <w:u w:val="single"/>
              </w:rPr>
              <w:t xml:space="preserve">     </w:t>
            </w:r>
            <w:r>
              <w:rPr>
                <w:rFonts w:hint="eastAsia" w:ascii="宋体" w:hAnsi="宋体"/>
                <w:sz w:val="24"/>
                <w:szCs w:val="24"/>
              </w:rPr>
              <w:t xml:space="preserve">年。</w:t>
            </w:r>
            <w:r/>
          </w:p>
        </w:tc>
      </w:tr>
      <w:tr>
        <w:trPr>
          <w:cantSplit/>
          <w:trHeight w:val="636"/>
        </w:trPr>
        <w:tc>
          <w:tcPr>
            <w:gridSpan w:val="2"/>
            <w:tcW w:w="9720" w:type="dxa"/>
            <w:vAlign w:val="center"/>
            <w:textDirection w:val="lrTb"/>
            <w:noWrap w:val="false"/>
          </w:tcPr>
          <w:p>
            <w:pPr>
              <w:pStyle w:val="1121"/>
              <w:rPr>
                <w:rFonts w:ascii="宋体" w:hAnsi="宋体" w:eastAsia="宋体"/>
                <w:sz w:val="24"/>
                <w:szCs w:val="24"/>
              </w:rPr>
            </w:pPr>
            <w:r>
              <w:rPr>
                <w:rFonts w:hint="eastAsia" w:ascii="宋体" w:hAnsi="宋体" w:eastAsia="宋体"/>
                <w:sz w:val="24"/>
                <w:szCs w:val="24"/>
              </w:rPr>
              <w:t xml:space="preserve">小微企业：     □是      □否          详见 </w:t>
            </w:r>
            <w:r>
              <w:rPr>
                <w:rFonts w:hint="eastAsia" w:ascii="宋体" w:hAnsi="宋体" w:eastAsia="宋体"/>
                <w:sz w:val="24"/>
                <w:szCs w:val="24"/>
                <w:u w:val="single"/>
              </w:rPr>
              <w:t xml:space="preserve">   </w:t>
            </w:r>
            <w:r>
              <w:rPr>
                <w:rFonts w:hint="eastAsia" w:ascii="宋体" w:hAnsi="宋体" w:eastAsia="宋体"/>
                <w:sz w:val="24"/>
                <w:szCs w:val="24"/>
              </w:rPr>
              <w:t xml:space="preserve">页 《中小企业声明函》</w:t>
            </w:r>
            <w:r/>
          </w:p>
        </w:tc>
      </w:tr>
      <w:tr>
        <w:trPr>
          <w:cantSplit/>
          <w:trHeight w:val="636"/>
        </w:trPr>
        <w:tc>
          <w:tcPr>
            <w:gridSpan w:val="2"/>
            <w:tcW w:w="9720" w:type="dxa"/>
            <w:vAlign w:val="center"/>
            <w:textDirection w:val="lrTb"/>
            <w:noWrap w:val="false"/>
          </w:tcPr>
          <w:p>
            <w:pPr>
              <w:pStyle w:val="1121"/>
              <w:rPr>
                <w:rFonts w:ascii="宋体" w:hAnsi="宋体" w:eastAsia="宋体"/>
                <w:sz w:val="24"/>
                <w:szCs w:val="24"/>
              </w:rPr>
            </w:pPr>
            <w:r>
              <w:rPr>
                <w:rFonts w:hint="eastAsia" w:ascii="宋体" w:hAnsi="宋体" w:eastAsia="宋体"/>
                <w:sz w:val="24"/>
                <w:szCs w:val="24"/>
              </w:rPr>
              <w:t xml:space="preserve">备注：</w:t>
            </w:r>
            <w:r/>
          </w:p>
        </w:tc>
      </w:tr>
    </w:tbl>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ind w:firstLine="6493"/>
        <w:rPr>
          <w:rFonts w:ascii="宋体" w:hAnsi="宋体"/>
          <w:bCs/>
          <w:sz w:val="24"/>
          <w:szCs w:val="24"/>
        </w:rPr>
      </w:pPr>
      <w:r>
        <w:rPr>
          <w:rFonts w:hint="eastAsia" w:ascii="宋体" w:hAnsi="宋体"/>
          <w:bCs/>
          <w:sz w:val="24"/>
          <w:szCs w:val="24"/>
        </w:rPr>
        <w:t xml:space="preserve">投标人（单位公章）：</w:t>
      </w:r>
      <w:r/>
    </w:p>
    <w:p>
      <w:pPr>
        <w:ind w:firstLine="4674"/>
        <w:rPr>
          <w:rFonts w:ascii="宋体" w:hAnsi="宋体"/>
          <w:bCs/>
          <w:sz w:val="24"/>
          <w:szCs w:val="24"/>
        </w:rPr>
      </w:pPr>
      <w:r>
        <w:rPr>
          <w:rFonts w:ascii="宋体" w:hAnsi="宋体"/>
          <w:bCs/>
          <w:sz w:val="24"/>
          <w:szCs w:val="24"/>
        </w:rPr>
      </w:r>
      <w:r/>
    </w:p>
    <w:p>
      <w:pPr>
        <w:ind w:firstLine="4674"/>
        <w:rPr>
          <w:rFonts w:ascii="宋体" w:hAnsi="宋体"/>
          <w:bCs/>
          <w:sz w:val="24"/>
          <w:szCs w:val="24"/>
        </w:rPr>
      </w:pPr>
      <w:r>
        <w:rPr>
          <w:rFonts w:ascii="宋体" w:hAnsi="宋体"/>
          <w:bCs/>
          <w:sz w:val="24"/>
          <w:szCs w:val="24"/>
        </w:rPr>
      </w:r>
      <w:r/>
    </w:p>
    <w:p>
      <w:pPr>
        <w:ind w:firstLine="4560"/>
        <w:rPr>
          <w:rFonts w:ascii="宋体" w:hAnsi="宋体"/>
          <w:sz w:val="24"/>
          <w:szCs w:val="24"/>
        </w:rPr>
      </w:pPr>
      <w:r>
        <w:rPr>
          <w:rFonts w:hint="eastAsia" w:ascii="宋体" w:hAnsi="宋体"/>
          <w:bCs/>
          <w:sz w:val="24"/>
          <w:szCs w:val="24"/>
        </w:rPr>
        <w:t xml:space="preserve">法定代表人或授权代表</w:t>
      </w:r>
      <w:r>
        <w:rPr>
          <w:rFonts w:hint="eastAsia" w:ascii="宋体" w:hAnsi="宋体"/>
          <w:sz w:val="24"/>
          <w:szCs w:val="24"/>
        </w:rPr>
        <w:t xml:space="preserve">（签字或盖章）：</w:t>
      </w:r>
      <w:r/>
    </w:p>
    <w:p>
      <w:pPr>
        <w:ind w:firstLine="6380"/>
        <w:rPr>
          <w:rFonts w:ascii="宋体" w:hAnsi="宋体"/>
          <w:b/>
          <w:sz w:val="24"/>
          <w:szCs w:val="24"/>
        </w:rPr>
      </w:pPr>
      <w:r>
        <w:rPr>
          <w:rFonts w:ascii="宋体" w:hAnsi="宋体"/>
          <w:b/>
          <w:sz w:val="24"/>
          <w:szCs w:val="24"/>
        </w:rPr>
      </w:r>
      <w:r/>
    </w:p>
    <w:p>
      <w:pPr>
        <w:ind w:firstLine="6380"/>
        <w:rPr>
          <w:rFonts w:ascii="宋体" w:hAnsi="宋体"/>
          <w:b/>
          <w:sz w:val="24"/>
          <w:szCs w:val="24"/>
        </w:rPr>
      </w:pPr>
      <w:r>
        <w:rPr>
          <w:rFonts w:ascii="宋体" w:hAnsi="宋体"/>
          <w:b/>
          <w:sz w:val="24"/>
          <w:szCs w:val="24"/>
        </w:rPr>
      </w:r>
      <w:r/>
    </w:p>
    <w:p>
      <w:pPr>
        <w:ind w:firstLine="5520"/>
        <w:rPr>
          <w:rFonts w:ascii="宋体" w:hAnsi="宋体"/>
          <w:sz w:val="24"/>
          <w:szCs w:val="24"/>
        </w:rPr>
      </w:pPr>
      <w:r>
        <w:rPr>
          <w:rFonts w:hint="eastAsia" w:ascii="宋体" w:hAnsi="宋体"/>
          <w:sz w:val="24"/>
          <w:szCs w:val="24"/>
        </w:rPr>
        <w:t xml:space="preserve"> 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584"/>
        <w:rPr>
          <w:rFonts w:ascii="宋体" w:hAnsi="宋体"/>
          <w:sz w:val="24"/>
          <w:szCs w:val="24"/>
        </w:rPr>
      </w:pPr>
      <w:r>
        <w:rPr>
          <w:rFonts w:hint="eastAsia" w:ascii="宋体" w:hAnsi="宋体"/>
          <w:sz w:val="24"/>
          <w:szCs w:val="24"/>
        </w:rPr>
        <w:t xml:space="preserve"> </w:t>
      </w:r>
      <w:r/>
    </w:p>
    <w:p>
      <w:pPr>
        <w:ind w:firstLine="4011"/>
        <w:rPr>
          <w:rFonts w:ascii="宋体" w:hAnsi="宋体"/>
          <w:sz w:val="21"/>
          <w:szCs w:val="21"/>
        </w:rPr>
      </w:pPr>
      <w:r>
        <w:rPr>
          <w:rFonts w:ascii="宋体" w:hAnsi="宋体"/>
          <w:sz w:val="21"/>
          <w:szCs w:val="21"/>
        </w:rPr>
      </w:r>
      <w:r/>
    </w:p>
    <w:p>
      <w:pPr>
        <w:ind w:left="1061" w:hanging="826"/>
        <w:spacing w:line="500" w:lineRule="exact"/>
        <w:rPr>
          <w:rFonts w:ascii="宋体" w:hAnsi="宋体"/>
          <w:bCs/>
          <w:sz w:val="24"/>
        </w:rPr>
      </w:pPr>
      <w:r>
        <w:rPr>
          <w:rFonts w:hint="eastAsia" w:ascii="宋体" w:hAnsi="宋体"/>
          <w:b/>
          <w:bCs/>
          <w:sz w:val="24"/>
          <w:szCs w:val="24"/>
        </w:rPr>
        <w:t xml:space="preserve">说明</w:t>
      </w:r>
      <w:r>
        <w:rPr>
          <w:rFonts w:hint="eastAsia" w:ascii="宋体" w:hAnsi="宋体"/>
          <w:sz w:val="24"/>
          <w:szCs w:val="24"/>
        </w:rPr>
        <w:t xml:space="preserve">：</w:t>
      </w:r>
      <w:r>
        <w:rPr>
          <w:rFonts w:hint="eastAsia" w:ascii="宋体" w:hAnsi="宋体"/>
          <w:bCs/>
          <w:sz w:val="24"/>
        </w:rPr>
        <w:t xml:space="preserve">投标人必须按表中规定格式完整、清晰、正确填写，装入投标文件；在投标文件正本中未完整、准确填写开标一览表的后果自负。</w:t>
      </w:r>
      <w:r/>
    </w:p>
    <w:p>
      <w:pPr>
        <w:pStyle w:val="1098"/>
        <w:ind w:left="1960" w:right="1960"/>
        <w:rPr>
          <w:rFonts w:hint="default"/>
        </w:rPr>
      </w:pPr>
      <w:r>
        <w:rPr>
          <w:rFonts w:hint="default"/>
        </w:rPr>
      </w:r>
      <w:r/>
    </w:p>
    <w:p>
      <w:pPr>
        <w:pStyle w:val="1098"/>
        <w:ind w:left="1960" w:right="1960"/>
        <w:rPr>
          <w:rFonts w:hint="default"/>
        </w:rPr>
      </w:pPr>
      <w:r>
        <w:rPr>
          <w:rFonts w:hint="default"/>
        </w:rPr>
      </w:r>
      <w:r/>
    </w:p>
    <w:p>
      <w:pPr>
        <w:pStyle w:val="1098"/>
        <w:ind w:left="1960" w:right="1960"/>
        <w:rPr>
          <w:rFonts w:hint="default"/>
        </w:rPr>
      </w:pPr>
      <w:r>
        <w:rPr>
          <w:rFonts w:hint="default"/>
        </w:rPr>
      </w:r>
      <w:r/>
    </w:p>
    <w:p>
      <w:pPr>
        <w:pStyle w:val="1098"/>
        <w:ind w:left="1960" w:right="1960"/>
        <w:rPr>
          <w:rFonts w:hint="default"/>
        </w:rPr>
      </w:pPr>
      <w:r>
        <w:rPr>
          <w:rFonts w:hint="default"/>
        </w:rPr>
      </w:r>
      <w:r/>
    </w:p>
    <w:p>
      <w:pPr>
        <w:pStyle w:val="1098"/>
        <w:ind w:left="1960" w:right="1960"/>
        <w:rPr>
          <w:rFonts w:hint="default"/>
        </w:rPr>
      </w:pPr>
      <w:r>
        <w:rPr>
          <w:rFonts w:hint="default"/>
        </w:rPr>
      </w:r>
      <w:r/>
    </w:p>
    <w:p>
      <w:pPr>
        <w:ind w:left="1061" w:hanging="826"/>
        <w:spacing w:line="500" w:lineRule="exact"/>
        <w:rPr>
          <w:rFonts w:ascii="宋体" w:hAnsi="宋体"/>
          <w:b/>
          <w:bCs/>
          <w:sz w:val="24"/>
          <w:szCs w:val="24"/>
        </w:rPr>
        <w:sectPr>
          <w:footnotePr/>
          <w:endnotePr/>
          <w:type w:val="nextPage"/>
          <w:pgSz w:w="11907" w:h="16840" w:orient="portrait"/>
          <w:pgMar w:top="1134" w:right="1474" w:bottom="1134" w:left="1474" w:header="624" w:footer="992" w:gutter="0"/>
          <w:cols w:num="1" w:sep="0" w:space="720" w:equalWidth="1"/>
          <w:docGrid w:linePitch="360"/>
          <w:titlePg/>
        </w:sectPr>
      </w:pPr>
      <w:r>
        <w:rPr>
          <w:rFonts w:ascii="宋体" w:hAnsi="宋体"/>
          <w:b/>
          <w:bCs/>
          <w:sz w:val="24"/>
          <w:szCs w:val="24"/>
        </w:rPr>
      </w:r>
      <w:r/>
    </w:p>
    <w:p>
      <w:pPr>
        <w:jc w:val="center"/>
        <w:spacing w:line="560" w:lineRule="exact"/>
        <w:rPr>
          <w:rFonts w:ascii="宋体" w:hAnsi="宋体" w:cs="宋体"/>
          <w:b/>
          <w:bCs/>
          <w:sz w:val="32"/>
          <w:szCs w:val="32"/>
        </w:rPr>
      </w:pPr>
      <w:r/>
      <w:bookmarkStart w:id="72" w:name="_Toc454356742"/>
      <w:r/>
      <w:bookmarkStart w:id="73" w:name="_Toc59797313"/>
      <w:r>
        <w:rPr>
          <w:rFonts w:hint="eastAsia" w:ascii="宋体" w:hAnsi="宋体"/>
          <w:b/>
          <w:sz w:val="36"/>
          <w:szCs w:val="36"/>
        </w:rPr>
        <w:t xml:space="preserve">六、</w:t>
      </w:r>
      <w:bookmarkEnd w:id="72"/>
      <w:r/>
      <w:bookmarkEnd w:id="73"/>
      <w:r/>
      <w:bookmarkStart w:id="74" w:name="_Hlt26955054"/>
      <w:r/>
      <w:bookmarkEnd w:id="74"/>
      <w:r/>
      <w:bookmarkStart w:id="75" w:name="_Toc454356743"/>
      <w:r/>
      <w:bookmarkStart w:id="76" w:name="_Toc59797314"/>
      <w:r>
        <w:rPr>
          <w:rFonts w:hint="eastAsia" w:ascii="宋体" w:hAnsi="宋体"/>
          <w:b/>
          <w:sz w:val="36"/>
          <w:szCs w:val="36"/>
        </w:rPr>
        <w:t xml:space="preserve">联合体协议（如有）</w:t>
      </w:r>
      <w:r/>
    </w:p>
    <w:p>
      <w:pPr>
        <w:ind w:firstLine="240"/>
        <w:spacing w:line="560" w:lineRule="exact"/>
        <w:rPr>
          <w:rFonts w:ascii="宋体" w:hAnsi="宋体"/>
          <w:sz w:val="24"/>
          <w:u w:val="single"/>
        </w:rPr>
      </w:pPr>
      <w:r>
        <w:rPr>
          <w:rFonts w:ascii="宋体" w:hAnsi="宋体"/>
          <w:sz w:val="24"/>
          <w:u w:val="single"/>
        </w:rPr>
      </w:r>
      <w:r/>
    </w:p>
    <w:p>
      <w:pPr>
        <w:ind w:firstLine="240"/>
        <w:spacing w:line="560" w:lineRule="exact"/>
        <w:rPr>
          <w:rFonts w:ascii="宋体" w:hAnsi="宋体"/>
          <w:sz w:val="24"/>
        </w:rPr>
      </w:pPr>
      <w:r>
        <w:rPr>
          <w:rFonts w:hint="eastAsia" w:ascii="宋体" w:hAnsi="宋体"/>
          <w:sz w:val="24"/>
          <w:u w:val="single"/>
        </w:rPr>
        <w:t xml:space="preserve">     （联合体中各供应商全称）    </w:t>
      </w:r>
      <w:r>
        <w:rPr>
          <w:rFonts w:hint="eastAsia" w:ascii="宋体" w:hAnsi="宋体"/>
          <w:sz w:val="24"/>
        </w:rPr>
        <w:t xml:space="preserve">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、我们自愿组成联合体，参加</w:t>
      </w:r>
      <w:r>
        <w:rPr>
          <w:rFonts w:hint="eastAsia" w:ascii="宋体" w:hAnsi="宋体"/>
          <w:sz w:val="24"/>
          <w:u w:val="single"/>
        </w:rPr>
        <w:t xml:space="preserve">    （采购人全称） </w:t>
      </w:r>
      <w:r>
        <w:rPr>
          <w:rFonts w:hint="eastAsia" w:ascii="宋体" w:hAnsi="宋体"/>
          <w:sz w:val="24"/>
        </w:rPr>
        <w:t xml:space="preserve">组织的</w:t>
      </w:r>
      <w:r>
        <w:rPr>
          <w:rFonts w:ascii="宋体" w:hAnsi="宋体"/>
          <w:sz w:val="24"/>
          <w:u w:val="single"/>
        </w:rPr>
        <w:t xml:space="preserve"> </w:t>
      </w:r>
      <w:r>
        <w:rPr>
          <w:rFonts w:hint="eastAsia" w:ascii="宋体" w:hAnsi="宋体"/>
          <w:sz w:val="24"/>
          <w:u w:val="single"/>
        </w:rPr>
        <w:t xml:space="preserve">    （项目全称）   </w:t>
      </w:r>
      <w:r>
        <w:rPr>
          <w:rFonts w:hint="eastAsia" w:ascii="宋体" w:hAnsi="宋体"/>
          <w:sz w:val="24"/>
        </w:rPr>
        <w:t xml:space="preserve">的政府采购活动。</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w:t>
      </w:r>
      <w:r>
        <w:rPr>
          <w:rFonts w:hint="eastAsia" w:ascii="宋体" w:hAnsi="宋体"/>
          <w:sz w:val="24"/>
          <w:u w:val="single"/>
        </w:rPr>
        <w:t xml:space="preserve">（供应商单位</w:t>
      </w:r>
      <w:r>
        <w:rPr>
          <w:rFonts w:ascii="宋体" w:hAnsi="宋体"/>
          <w:sz w:val="24"/>
          <w:u w:val="single"/>
        </w:rPr>
        <w:t xml:space="preserve">1</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w:t>
      </w:r>
      <w:r>
        <w:rPr>
          <w:rFonts w:ascii="宋体" w:hAnsi="宋体"/>
          <w:sz w:val="24"/>
          <w:u w:val="single"/>
        </w:rPr>
        <w:t xml:space="preserve">2</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部分工作，并承担相应的责任……。（注：联合体中各供应商都应明示所承担的工作和相应的责任）。</w:t>
      </w:r>
      <w:r/>
    </w:p>
    <w:p>
      <w:pPr>
        <w:spacing w:line="560" w:lineRule="exact"/>
        <w:rPr>
          <w:rFonts w:ascii="宋体" w:hAnsi="宋体"/>
          <w:sz w:val="24"/>
        </w:rPr>
      </w:pPr>
      <w:r>
        <w:rPr>
          <w:rFonts w:ascii="宋体" w:hAnsi="宋体"/>
          <w:sz w:val="24"/>
        </w:rPr>
      </w:r>
      <w:r/>
    </w:p>
    <w:p>
      <w:pPr>
        <w:ind w:firstLine="4200"/>
        <w:spacing w:line="560" w:lineRule="exact"/>
        <w:rPr>
          <w:rFonts w:ascii="宋体" w:hAnsi="宋体"/>
          <w:sz w:val="24"/>
        </w:rPr>
      </w:pPr>
      <w:r>
        <w:rPr>
          <w:rFonts w:hint="eastAsia" w:ascii="宋体" w:hAnsi="宋体"/>
          <w:sz w:val="24"/>
        </w:rPr>
        <w:t xml:space="preserve">供应商全称（公章）：</w:t>
      </w:r>
      <w:r>
        <w:rPr>
          <w:rFonts w:ascii="宋体" w:hAnsi="宋体"/>
          <w:sz w:val="24"/>
        </w:rPr>
        <w:t xml:space="preserve">     </w:t>
      </w:r>
      <w:r/>
    </w:p>
    <w:p>
      <w:pPr>
        <w:ind w:firstLine="4200"/>
        <w:spacing w:line="560" w:lineRule="exact"/>
        <w:rPr>
          <w:rFonts w:ascii="宋体" w:hAnsi="宋体"/>
          <w:sz w:val="24"/>
        </w:rPr>
      </w:pPr>
      <w:r>
        <w:rPr>
          <w:rFonts w:hint="eastAsia" w:ascii="宋体" w:hAnsi="宋体"/>
          <w:sz w:val="24"/>
        </w:rPr>
        <w:t xml:space="preserve">法定代表人或授权代表（签字）：</w:t>
      </w:r>
      <w:r>
        <w:rPr>
          <w:rFonts w:ascii="宋体" w:hAnsi="宋体"/>
          <w:sz w:val="24"/>
        </w:rPr>
        <w:t xml:space="preserve">  </w:t>
      </w:r>
      <w:r/>
    </w:p>
    <w:p>
      <w:pPr>
        <w:ind w:firstLine="4200"/>
        <w:spacing w:line="560" w:lineRule="exact"/>
        <w:rPr>
          <w:rFonts w:ascii="宋体" w:hAnsi="宋体"/>
          <w:sz w:val="24"/>
        </w:rPr>
      </w:pPr>
      <w:r>
        <w:rPr>
          <w:rFonts w:hint="eastAsia" w:ascii="宋体" w:hAnsi="宋体"/>
          <w:sz w:val="24"/>
        </w:rPr>
        <w:t xml:space="preserve">日期：</w:t>
      </w:r>
      <w:r/>
    </w:p>
    <w:p>
      <w:pPr>
        <w:ind w:firstLine="645"/>
        <w:spacing w:line="560" w:lineRule="exact"/>
        <w:rPr>
          <w:rFonts w:ascii="宋体" w:hAnsi="宋体"/>
          <w:sz w:val="24"/>
        </w:rPr>
      </w:pPr>
      <w:r>
        <w:rPr>
          <w:rFonts w:ascii="宋体" w:hAnsi="宋体"/>
          <w:sz w:val="24"/>
        </w:rPr>
      </w:r>
      <w:r/>
    </w:p>
    <w:p>
      <w:pPr>
        <w:spacing w:line="560" w:lineRule="exact"/>
        <w:rPr>
          <w:rFonts w:ascii="宋体" w:hAnsi="宋体"/>
          <w:sz w:val="24"/>
        </w:rPr>
      </w:pPr>
      <w:r>
        <w:rPr>
          <w:rFonts w:hint="eastAsia" w:ascii="宋体" w:hAnsi="宋体"/>
          <w:sz w:val="24"/>
        </w:rPr>
        <w:t xml:space="preserve">注：联合体中各供应商均须加盖单位公章，并由法定代表人或授权代表签字。</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3373"/>
        <w:rPr>
          <w:rFonts w:ascii="宋体" w:hAnsi="宋体"/>
          <w:b/>
          <w:sz w:val="32"/>
          <w:szCs w:val="32"/>
        </w:rPr>
        <w:outlineLvl w:val="1"/>
      </w:pPr>
      <w:r>
        <w:rPr>
          <w:rFonts w:ascii="宋体" w:hAnsi="宋体"/>
          <w:b/>
          <w:sz w:val="32"/>
          <w:szCs w:val="32"/>
        </w:rPr>
      </w:r>
      <w:r/>
    </w:p>
    <w:p>
      <w:pPr>
        <w:jc w:val="center"/>
        <w:rPr>
          <w:rFonts w:ascii="宋体" w:hAnsi="宋体"/>
          <w:b/>
          <w:sz w:val="36"/>
          <w:szCs w:val="36"/>
        </w:rPr>
        <w:outlineLvl w:val="1"/>
      </w:pPr>
      <w:r>
        <w:rPr>
          <w:rFonts w:ascii="宋体" w:hAnsi="宋体"/>
          <w:b/>
          <w:sz w:val="36"/>
          <w:szCs w:val="36"/>
        </w:rPr>
      </w:r>
      <w:r/>
    </w:p>
    <w:p>
      <w:pPr>
        <w:jc w:val="center"/>
        <w:rPr>
          <w:rFonts w:ascii="宋体" w:hAnsi="宋体"/>
          <w:b/>
          <w:sz w:val="36"/>
          <w:szCs w:val="36"/>
        </w:rPr>
        <w:outlineLvl w:val="1"/>
      </w:pPr>
      <w:r>
        <w:rPr>
          <w:rFonts w:ascii="宋体" w:hAnsi="宋体"/>
          <w:b/>
          <w:sz w:val="36"/>
          <w:szCs w:val="36"/>
        </w:rPr>
      </w:r>
      <w:r/>
    </w:p>
    <w:p>
      <w:pPr>
        <w:jc w:val="center"/>
        <w:rPr>
          <w:rFonts w:ascii="宋体" w:hAnsi="宋体"/>
          <w:b/>
          <w:sz w:val="36"/>
          <w:szCs w:val="36"/>
        </w:rPr>
        <w:outlineLvl w:val="1"/>
      </w:pPr>
      <w:r>
        <w:rPr>
          <w:rFonts w:ascii="宋体" w:hAnsi="宋体"/>
          <w:b/>
          <w:sz w:val="36"/>
          <w:szCs w:val="36"/>
        </w:rPr>
      </w:r>
      <w:r/>
    </w:p>
    <w:p>
      <w:pPr>
        <w:jc w:val="center"/>
        <w:rPr>
          <w:rFonts w:ascii="宋体" w:hAnsi="宋体"/>
          <w:b/>
          <w:sz w:val="36"/>
          <w:szCs w:val="36"/>
        </w:rPr>
        <w:outlineLvl w:val="1"/>
      </w:pPr>
      <w:r>
        <w:rPr>
          <w:rFonts w:ascii="宋体" w:hAnsi="宋体"/>
          <w:b/>
          <w:sz w:val="36"/>
          <w:szCs w:val="36"/>
        </w:rPr>
      </w:r>
      <w:r/>
    </w:p>
    <w:p>
      <w:pPr>
        <w:jc w:val="center"/>
        <w:rPr>
          <w:rFonts w:ascii="宋体" w:hAnsi="宋体"/>
          <w:b/>
          <w:sz w:val="36"/>
          <w:szCs w:val="36"/>
        </w:rPr>
        <w:outlineLvl w:val="1"/>
      </w:pPr>
      <w:r>
        <w:rPr>
          <w:rFonts w:ascii="宋体" w:hAnsi="宋体"/>
          <w:b/>
          <w:sz w:val="36"/>
          <w:szCs w:val="36"/>
        </w:rPr>
      </w:r>
      <w:r/>
    </w:p>
    <w:p>
      <w:pPr>
        <w:jc w:val="center"/>
        <w:rPr>
          <w:rFonts w:ascii="宋体" w:hAnsi="宋体"/>
          <w:b/>
          <w:sz w:val="36"/>
          <w:szCs w:val="36"/>
        </w:rPr>
        <w:outlineLvl w:val="1"/>
      </w:pPr>
      <w:r>
        <w:rPr>
          <w:rFonts w:ascii="宋体" w:hAnsi="宋体"/>
          <w:b/>
          <w:sz w:val="36"/>
          <w:szCs w:val="36"/>
        </w:rPr>
      </w:r>
      <w:r/>
    </w:p>
    <w:p>
      <w:pPr>
        <w:jc w:val="center"/>
        <w:rPr>
          <w:rFonts w:ascii="宋体" w:hAnsi="宋体"/>
          <w:b/>
          <w:sz w:val="36"/>
          <w:szCs w:val="36"/>
        </w:rPr>
        <w:outlineLvl w:val="1"/>
      </w:pPr>
      <w:r>
        <w:rPr>
          <w:rFonts w:ascii="宋体" w:hAnsi="宋体"/>
          <w:b/>
          <w:sz w:val="36"/>
          <w:szCs w:val="36"/>
        </w:rPr>
      </w:r>
      <w:r/>
    </w:p>
    <w:p>
      <w:pPr>
        <w:jc w:val="center"/>
        <w:rPr>
          <w:rFonts w:ascii="宋体" w:hAnsi="宋体"/>
          <w:b/>
          <w:sz w:val="36"/>
          <w:szCs w:val="36"/>
        </w:rPr>
        <w:outlineLvl w:val="1"/>
      </w:pPr>
      <w:r>
        <w:rPr>
          <w:rFonts w:ascii="宋体" w:hAnsi="宋体"/>
          <w:b/>
          <w:sz w:val="36"/>
          <w:szCs w:val="36"/>
        </w:rPr>
      </w:r>
      <w:bookmarkEnd w:id="75"/>
      <w:r/>
      <w:bookmarkEnd w:id="76"/>
      <w:r/>
      <w:r/>
    </w:p>
    <w:p>
      <w:pPr>
        <w:rPr>
          <w:rFonts w:hAnsi="宋体"/>
          <w:sz w:val="24"/>
          <w:szCs w:val="24"/>
        </w:rPr>
        <w:outlineLvl w:val="1"/>
      </w:pPr>
      <w:r>
        <w:rPr>
          <w:rFonts w:hAnsi="宋体"/>
          <w:sz w:val="24"/>
          <w:szCs w:val="24"/>
        </w:rPr>
        <w:t xml:space="preserve"> </w:t>
      </w:r>
      <w:r/>
    </w:p>
    <w:p>
      <w:pPr>
        <w:rPr>
          <w:rFonts w:ascii="宋体" w:hAnsi="宋体"/>
        </w:rPr>
        <w:outlineLvl w:val="0"/>
      </w:pPr>
      <w:r>
        <w:rPr>
          <w:rFonts w:hint="eastAsia" w:ascii="宋体" w:hAnsi="宋体"/>
        </w:rPr>
        <w:t xml:space="preserve">附件：</w:t>
      </w:r>
      <w:bookmarkStart w:id="77" w:name="_Toc197181359"/>
      <w:r/>
      <w:r/>
    </w:p>
    <w:p>
      <w:pPr>
        <w:rPr>
          <w:rFonts w:ascii="宋体" w:hAnsi="宋体"/>
          <w:sz w:val="32"/>
          <w:szCs w:val="32"/>
        </w:rPr>
      </w:pPr>
      <w:r>
        <w:rPr>
          <w:rFonts w:hint="eastAsia" w:ascii="宋体" w:hAnsi="宋体"/>
          <w:sz w:val="32"/>
          <w:szCs w:val="32"/>
        </w:rPr>
        <w:t xml:space="preserve">参加政府采购活动前 3 年内在经营活动中没有重大违法记录的书面声明(参考格式)</w:t>
      </w:r>
      <w:r/>
    </w:p>
    <w:p>
      <w:pPr>
        <w:spacing w:line="460" w:lineRule="exact"/>
        <w:rPr>
          <w:rFonts w:ascii="宋体" w:hAnsi="宋体"/>
          <w:b/>
          <w:bCs/>
          <w:sz w:val="24"/>
        </w:rPr>
      </w:pPr>
      <w:r>
        <w:rPr>
          <w:rFonts w:hint="eastAsia" w:ascii="宋体" w:hAnsi="宋体"/>
          <w:b/>
          <w:bCs/>
          <w:sz w:val="24"/>
        </w:rPr>
        <w:t xml:space="preserve">                      </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jc w:val="center"/>
        <w:spacing w:line="460" w:lineRule="exact"/>
        <w:rPr>
          <w:rFonts w:ascii="宋体" w:hAnsi="宋体"/>
          <w:b/>
          <w:bCs/>
          <w:sz w:val="44"/>
          <w:szCs w:val="44"/>
        </w:rPr>
      </w:pPr>
      <w:r>
        <w:rPr>
          <w:rFonts w:hint="eastAsia" w:ascii="宋体" w:hAnsi="宋体"/>
          <w:b/>
          <w:bCs/>
          <w:sz w:val="44"/>
          <w:szCs w:val="44"/>
        </w:rPr>
        <w:t xml:space="preserve">声  明</w:t>
      </w:r>
      <w:r/>
    </w:p>
    <w:p>
      <w:pPr>
        <w:jc w:val="center"/>
        <w:spacing w:line="460" w:lineRule="exact"/>
        <w:rPr>
          <w:rFonts w:ascii="宋体" w:hAnsi="宋体"/>
          <w:b/>
          <w:bCs/>
          <w:sz w:val="44"/>
          <w:szCs w:val="44"/>
        </w:rPr>
      </w:pPr>
      <w:r>
        <w:rPr>
          <w:rFonts w:ascii="宋体" w:hAnsi="宋体"/>
          <w:b/>
          <w:bCs/>
          <w:sz w:val="44"/>
          <w:szCs w:val="44"/>
        </w:rPr>
      </w:r>
      <w:r/>
    </w:p>
    <w:p>
      <w:pPr>
        <w:spacing w:line="360" w:lineRule="auto"/>
        <w:rPr>
          <w:rFonts w:ascii="宋体" w:hAnsi="宋体"/>
          <w:bCs/>
          <w:szCs w:val="28"/>
        </w:rPr>
      </w:pPr>
      <w:r>
        <w:rPr>
          <w:rFonts w:hint="eastAsia" w:ascii="宋体" w:hAnsi="宋体"/>
          <w:b/>
          <w:bCs/>
          <w:sz w:val="24"/>
        </w:rPr>
        <w:t xml:space="preserve">     </w:t>
      </w:r>
      <w:r>
        <w:rPr>
          <w:rFonts w:hint="eastAsia" w:ascii="宋体" w:hAnsi="宋体"/>
          <w:bCs/>
          <w:szCs w:val="28"/>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szCs w:val="28"/>
        </w:rPr>
      </w:pPr>
      <w:r>
        <w:rPr>
          <w:rFonts w:ascii="宋体" w:hAnsi="宋体"/>
          <w:bCs/>
          <w:szCs w:val="28"/>
        </w:rPr>
      </w:r>
      <w:r/>
    </w:p>
    <w:p>
      <w:pPr>
        <w:ind w:firstLine="560"/>
        <w:spacing w:line="360" w:lineRule="auto"/>
        <w:rPr>
          <w:rFonts w:ascii="宋体" w:hAnsi="宋体"/>
          <w:bCs/>
          <w:szCs w:val="28"/>
        </w:rPr>
      </w:pPr>
      <w:r>
        <w:rPr>
          <w:rFonts w:hint="eastAsia" w:ascii="宋体" w:hAnsi="宋体"/>
          <w:bCs/>
          <w:szCs w:val="28"/>
        </w:rPr>
        <w:t xml:space="preserve">我单位不存在：单位负责人为同一人或者存在直接控股、管理关系的不同供应商，参加同一合同项下的政府采购活动。为采购项目提供整体设计、规范编制或者项目管理、监理、检测等服务的供应商，再参加该采购项目的其他采购活动。</w:t>
      </w:r>
      <w:r/>
    </w:p>
    <w:p>
      <w:pPr>
        <w:ind w:firstLine="560"/>
        <w:spacing w:line="360" w:lineRule="auto"/>
        <w:rPr>
          <w:rFonts w:ascii="宋体" w:hAnsi="宋体"/>
          <w:bCs/>
          <w:szCs w:val="28"/>
        </w:rPr>
      </w:pPr>
      <w:r>
        <w:rPr>
          <w:rFonts w:ascii="宋体" w:hAnsi="宋体"/>
          <w:bCs/>
          <w:szCs w:val="28"/>
        </w:rPr>
      </w:r>
      <w:r/>
    </w:p>
    <w:p>
      <w:pPr>
        <w:ind w:firstLine="560"/>
        <w:spacing w:line="360" w:lineRule="auto"/>
        <w:rPr>
          <w:rFonts w:ascii="宋体" w:hAnsi="宋体"/>
          <w:bCs/>
          <w:szCs w:val="28"/>
        </w:rPr>
      </w:pPr>
      <w:r>
        <w:rPr>
          <w:rFonts w:hint="eastAsia" w:ascii="宋体" w:hAnsi="宋体"/>
          <w:bCs/>
          <w:szCs w:val="28"/>
        </w:rPr>
        <w:t xml:space="preserve">参加本次采购活动前3年，投标人必须为未被列入“信用中国”网站（www.creditchina.gov.cn）查询，无被列入失信被执行人、重大税收违法案件当事人名单、政府采购严重失信行为记录名单及其他不符合《中华人民共和国政府采购法》第二十二条规定条件的信用记录。</w:t>
      </w:r>
      <w:r/>
    </w:p>
    <w:p>
      <w:pPr>
        <w:spacing w:line="360" w:lineRule="auto"/>
        <w:rPr>
          <w:rFonts w:ascii="宋体" w:hAnsi="宋体"/>
          <w:bCs/>
          <w:szCs w:val="28"/>
        </w:rPr>
      </w:pPr>
      <w:r>
        <w:rPr>
          <w:rFonts w:hint="eastAsia" w:ascii="宋体" w:hAnsi="宋体"/>
          <w:bCs/>
          <w:szCs w:val="28"/>
        </w:rPr>
        <w:t xml:space="preserve">                              </w:t>
      </w:r>
      <w:r/>
    </w:p>
    <w:p>
      <w:pPr>
        <w:spacing w:line="360" w:lineRule="auto"/>
        <w:rPr>
          <w:rFonts w:ascii="宋体" w:hAnsi="宋体"/>
          <w:bCs/>
          <w:szCs w:val="28"/>
        </w:rPr>
      </w:pPr>
      <w:r>
        <w:rPr>
          <w:rFonts w:hint="eastAsia" w:ascii="宋体" w:hAnsi="宋体"/>
          <w:bCs/>
          <w:szCs w:val="28"/>
        </w:rPr>
        <w:t xml:space="preserve">                              </w:t>
      </w:r>
      <w:r/>
    </w:p>
    <w:p>
      <w:pPr>
        <w:ind w:firstLine="3920"/>
        <w:spacing w:line="360" w:lineRule="auto"/>
        <w:rPr>
          <w:rFonts w:ascii="宋体" w:hAnsi="宋体"/>
          <w:bCs/>
          <w:szCs w:val="28"/>
        </w:rPr>
      </w:pPr>
      <w:r>
        <w:rPr>
          <w:rFonts w:hint="eastAsia" w:ascii="宋体" w:hAnsi="宋体"/>
          <w:bCs/>
          <w:szCs w:val="28"/>
        </w:rPr>
        <w:t xml:space="preserve">投标人名称（公章）：</w:t>
      </w:r>
      <w:r/>
    </w:p>
    <w:p>
      <w:pPr>
        <w:jc w:val="left"/>
        <w:spacing w:line="360" w:lineRule="auto"/>
        <w:rPr>
          <w:rFonts w:ascii="宋体" w:hAnsi="宋体"/>
          <w:bCs/>
          <w:szCs w:val="28"/>
        </w:rPr>
      </w:pPr>
      <w:r>
        <w:rPr>
          <w:rFonts w:hint="eastAsia" w:ascii="宋体" w:hAnsi="宋体"/>
          <w:bCs/>
          <w:szCs w:val="28"/>
        </w:rPr>
        <w:t xml:space="preserve">                     授权代表（签字或盖章）：</w:t>
      </w:r>
      <w:r>
        <w:rPr>
          <w:rFonts w:hint="eastAsia" w:ascii="宋体" w:hAnsi="宋体"/>
          <w:bCs/>
          <w:szCs w:val="28"/>
          <w:u w:val="single"/>
        </w:rPr>
        <w:t xml:space="preserve">_______________</w:t>
      </w:r>
      <w:r/>
    </w:p>
    <w:p>
      <w:pPr>
        <w:spacing w:line="360" w:lineRule="auto"/>
        <w:rPr>
          <w:rFonts w:ascii="宋体" w:hAnsi="宋体"/>
          <w:bCs/>
          <w:szCs w:val="28"/>
        </w:rPr>
      </w:pPr>
      <w:r>
        <w:rPr>
          <w:rFonts w:hint="eastAsia" w:ascii="宋体" w:hAnsi="宋体"/>
          <w:bCs/>
          <w:szCs w:val="28"/>
        </w:rPr>
        <w:t xml:space="preserve"> </w:t>
      </w:r>
      <w:bookmarkStart w:id="78" w:name="_Toc8619"/>
      <w:r/>
      <w:bookmarkStart w:id="79" w:name="_Toc22993"/>
      <w:r/>
      <w:bookmarkStart w:id="80" w:name="_Toc22542"/>
      <w:r/>
      <w:bookmarkStart w:id="81" w:name="_Toc21534"/>
      <w:r>
        <w:rPr>
          <w:rFonts w:hint="eastAsia" w:ascii="宋体" w:hAnsi="宋体"/>
          <w:bCs/>
          <w:szCs w:val="28"/>
        </w:rPr>
        <w:t xml:space="preserve">                            日期：</w:t>
      </w:r>
      <w:r>
        <w:rPr>
          <w:rFonts w:hint="eastAsia" w:ascii="宋体" w:hAnsi="宋体"/>
          <w:bCs/>
          <w:szCs w:val="28"/>
          <w:u w:val="single"/>
        </w:rPr>
        <w:t xml:space="preserve">______</w:t>
      </w:r>
      <w:r>
        <w:rPr>
          <w:rFonts w:hint="eastAsia" w:ascii="宋体" w:hAnsi="宋体"/>
          <w:bCs/>
          <w:szCs w:val="28"/>
        </w:rPr>
        <w:t xml:space="preserve">年</w:t>
      </w:r>
      <w:r>
        <w:rPr>
          <w:rFonts w:hint="eastAsia" w:ascii="宋体" w:hAnsi="宋体"/>
          <w:bCs/>
          <w:szCs w:val="28"/>
          <w:u w:val="single"/>
        </w:rPr>
        <w:t xml:space="preserve">    </w:t>
      </w:r>
      <w:r>
        <w:rPr>
          <w:rFonts w:hint="eastAsia" w:ascii="宋体" w:hAnsi="宋体"/>
          <w:bCs/>
          <w:szCs w:val="28"/>
        </w:rPr>
        <w:t xml:space="preserve">月</w:t>
      </w:r>
      <w:r>
        <w:rPr>
          <w:rFonts w:hint="eastAsia" w:ascii="宋体" w:hAnsi="宋体"/>
          <w:bCs/>
          <w:szCs w:val="28"/>
          <w:u w:val="single"/>
        </w:rPr>
        <w:t xml:space="preserve">    </w:t>
      </w:r>
      <w:r>
        <w:rPr>
          <w:rFonts w:hint="eastAsia" w:ascii="宋体" w:hAnsi="宋体"/>
          <w:bCs/>
          <w:szCs w:val="28"/>
        </w:rPr>
        <w:t xml:space="preserve">日</w:t>
      </w:r>
      <w:bookmarkEnd w:id="78"/>
      <w:r/>
      <w:bookmarkEnd w:id="79"/>
      <w:r/>
      <w:bookmarkEnd w:id="80"/>
      <w:r/>
      <w:bookmarkEnd w:id="81"/>
      <w:r/>
      <w:bookmarkEnd w:id="77"/>
      <w:r/>
      <w:r/>
    </w:p>
    <w:p>
      <w:pPr>
        <w:jc w:val="center"/>
        <w:rPr>
          <w:rFonts w:ascii="宋体" w:hAnsi="宋体"/>
          <w:sz w:val="32"/>
          <w:szCs w:val="32"/>
        </w:rPr>
      </w:pPr>
      <w:r>
        <w:rPr>
          <w:rFonts w:ascii="宋体" w:hAnsi="宋体"/>
        </w:rPr>
        <w:br w:type="page" w:clear="all"/>
      </w:r>
      <w:r>
        <w:rPr>
          <w:rFonts w:hint="eastAsia" w:ascii="宋体" w:hAnsi="宋体"/>
          <w:b/>
          <w:bCs/>
          <w:sz w:val="44"/>
          <w:szCs w:val="44"/>
        </w:rPr>
        <w:t xml:space="preserve">具备履行合同所必需的设备和专业技术能力的书面声明</w:t>
      </w:r>
      <w:r/>
    </w:p>
    <w:p>
      <w:pPr>
        <w:ind w:firstLine="492"/>
        <w:spacing w:line="460" w:lineRule="exact"/>
        <w:rPr>
          <w:rFonts w:ascii="宋体" w:hAnsi="宋体"/>
          <w:bCs/>
          <w:szCs w:val="28"/>
        </w:rPr>
      </w:pPr>
      <w:r>
        <w:rPr>
          <w:rFonts w:ascii="宋体" w:hAnsi="宋体"/>
          <w:bCs/>
          <w:szCs w:val="28"/>
        </w:rPr>
      </w:r>
      <w:r/>
    </w:p>
    <w:p>
      <w:pPr>
        <w:ind w:firstLine="492"/>
        <w:spacing w:line="460" w:lineRule="exact"/>
        <w:rPr>
          <w:rFonts w:ascii="宋体" w:hAnsi="宋体"/>
          <w:bCs/>
          <w:szCs w:val="28"/>
        </w:rPr>
      </w:pPr>
      <w:r>
        <w:rPr>
          <w:rFonts w:hint="eastAsia" w:ascii="宋体" w:hAnsi="宋体"/>
          <w:bCs/>
          <w:szCs w:val="28"/>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8"/>
        </w:rPr>
      </w:pPr>
      <w:r>
        <w:rPr>
          <w:rFonts w:hint="eastAsia" w:ascii="宋体" w:hAnsi="宋体"/>
          <w:bCs/>
          <w:szCs w:val="28"/>
        </w:rPr>
        <w:t xml:space="preserve">主要设备有：</w:t>
      </w:r>
      <w:r>
        <w:rPr>
          <w:rFonts w:hint="eastAsia" w:ascii="宋体" w:hAnsi="宋体"/>
          <w:bCs/>
          <w:szCs w:val="28"/>
          <w:u w:val="single"/>
        </w:rPr>
        <w:t xml:space="preserve">                        </w:t>
      </w:r>
      <w:r>
        <w:rPr>
          <w:rFonts w:hint="eastAsia" w:ascii="宋体" w:hAnsi="宋体"/>
          <w:bCs/>
          <w:szCs w:val="28"/>
        </w:rPr>
        <w:t xml:space="preserve">。</w:t>
      </w:r>
      <w:r/>
    </w:p>
    <w:p>
      <w:pPr>
        <w:ind w:firstLine="492"/>
        <w:spacing w:line="460" w:lineRule="exact"/>
        <w:rPr>
          <w:rFonts w:ascii="宋体" w:hAnsi="宋体"/>
          <w:bCs/>
          <w:szCs w:val="28"/>
        </w:rPr>
      </w:pPr>
      <w:r>
        <w:rPr>
          <w:rFonts w:hint="eastAsia" w:ascii="宋体" w:hAnsi="宋体"/>
          <w:bCs/>
          <w:szCs w:val="28"/>
        </w:rPr>
        <w:t xml:space="preserve">主要专业技术能力有：</w:t>
      </w:r>
      <w:r>
        <w:rPr>
          <w:rFonts w:hint="eastAsia" w:ascii="宋体" w:hAnsi="宋体"/>
          <w:bCs/>
          <w:szCs w:val="28"/>
          <w:u w:val="single"/>
        </w:rPr>
        <w:t xml:space="preserve">                 </w:t>
      </w:r>
      <w:r>
        <w:rPr>
          <w:rFonts w:hint="eastAsia" w:ascii="宋体" w:hAnsi="宋体"/>
          <w:bCs/>
          <w:szCs w:val="28"/>
        </w:rPr>
        <w:t xml:space="preserve">。</w:t>
      </w:r>
      <w:r/>
    </w:p>
    <w:p>
      <w:pPr>
        <w:rPr>
          <w:rFonts w:ascii="宋体" w:hAnsi="宋体"/>
          <w:bCs/>
          <w:sz w:val="24"/>
        </w:rPr>
      </w:pPr>
      <w:r>
        <w:rPr>
          <w:rFonts w:hint="eastAsia" w:ascii="宋体" w:hAnsi="宋体"/>
          <w:bCs/>
          <w:szCs w:val="28"/>
        </w:rPr>
        <w:t xml:space="preserve">                               </w:t>
      </w:r>
      <w:r>
        <w:rPr>
          <w:rFonts w:hint="eastAsia" w:ascii="宋体" w:hAnsi="宋体"/>
          <w:bCs/>
          <w:sz w:val="24"/>
        </w:rPr>
        <w:t xml:space="preserve">    </w:t>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ind w:firstLine="3920"/>
        <w:spacing w:line="360" w:lineRule="auto"/>
        <w:rPr>
          <w:rFonts w:ascii="宋体" w:hAnsi="宋体"/>
          <w:bCs/>
          <w:szCs w:val="28"/>
        </w:rPr>
      </w:pPr>
      <w:r>
        <w:rPr>
          <w:rFonts w:hint="eastAsia" w:ascii="宋体" w:hAnsi="宋体"/>
          <w:bCs/>
          <w:szCs w:val="28"/>
        </w:rPr>
        <w:t xml:space="preserve">投标人名称（公章）：</w:t>
      </w:r>
      <w:r/>
    </w:p>
    <w:p>
      <w:pPr>
        <w:ind w:left="4060" w:hanging="4060"/>
        <w:jc w:val="left"/>
        <w:spacing w:line="360" w:lineRule="auto"/>
        <w:rPr>
          <w:rFonts w:ascii="宋体" w:hAnsi="宋体"/>
          <w:bCs/>
          <w:szCs w:val="28"/>
        </w:rPr>
      </w:pPr>
      <w:r>
        <w:rPr>
          <w:rFonts w:hint="eastAsia" w:ascii="宋体" w:hAnsi="宋体"/>
          <w:bCs/>
          <w:szCs w:val="28"/>
        </w:rPr>
        <w:t xml:space="preserve">                        授权代表（签字或盖章）：____________                             日期：</w:t>
      </w:r>
      <w:r>
        <w:rPr>
          <w:rFonts w:hint="eastAsia" w:ascii="宋体" w:hAnsi="宋体"/>
          <w:bCs/>
          <w:szCs w:val="28"/>
          <w:u w:val="single"/>
        </w:rPr>
        <w:t xml:space="preserve">______</w:t>
      </w:r>
      <w:r>
        <w:rPr>
          <w:rFonts w:hint="eastAsia" w:ascii="宋体" w:hAnsi="宋体"/>
          <w:bCs/>
          <w:szCs w:val="28"/>
        </w:rPr>
        <w:t xml:space="preserve">年</w:t>
      </w:r>
      <w:r>
        <w:rPr>
          <w:rFonts w:hint="eastAsia" w:ascii="宋体" w:hAnsi="宋体"/>
          <w:bCs/>
          <w:szCs w:val="28"/>
          <w:u w:val="single"/>
        </w:rPr>
        <w:t xml:space="preserve">    </w:t>
      </w:r>
      <w:r>
        <w:rPr>
          <w:rFonts w:hint="eastAsia" w:ascii="宋体" w:hAnsi="宋体"/>
          <w:bCs/>
          <w:szCs w:val="28"/>
        </w:rPr>
        <w:t xml:space="preserve">月</w:t>
      </w:r>
      <w:r>
        <w:rPr>
          <w:rFonts w:hint="eastAsia" w:ascii="宋体" w:hAnsi="宋体"/>
          <w:bCs/>
          <w:szCs w:val="28"/>
          <w:u w:val="single"/>
        </w:rPr>
        <w:t xml:space="preserve">    </w:t>
      </w:r>
      <w:r>
        <w:rPr>
          <w:rFonts w:hint="eastAsia" w:ascii="宋体" w:hAnsi="宋体"/>
          <w:bCs/>
          <w:szCs w:val="28"/>
        </w:rPr>
        <w:t xml:space="preserve">日</w:t>
      </w:r>
      <w:r/>
    </w:p>
    <w:p>
      <w:pPr>
        <w:rPr>
          <w:rFonts w:ascii="宋体" w:hAnsi="宋体"/>
        </w:rPr>
      </w:pPr>
      <w:r>
        <w:rPr>
          <w:rFonts w:ascii="宋体" w:hAnsi="宋体"/>
        </w:rPr>
      </w:r>
      <w:r/>
    </w:p>
    <w:p>
      <w:pPr>
        <w:rPr>
          <w:rFonts w:ascii="宋体" w:hAnsi="宋体"/>
        </w:rPr>
      </w:pPr>
      <w:r>
        <w:rPr>
          <w:rFonts w:ascii="宋体" w:hAnsi="宋体"/>
        </w:rPr>
      </w:r>
      <w:r/>
    </w:p>
    <w:p>
      <w:pPr>
        <w:ind w:firstLine="560"/>
        <w:jc w:val="center"/>
        <w:shd w:val="clear" w:color="auto" w:fill="ffffff"/>
        <w:widowControl/>
        <w:rPr>
          <w:rFonts w:hAnsi="宋体"/>
          <w:b/>
          <w:sz w:val="36"/>
          <w:szCs w:val="36"/>
        </w:rPr>
      </w:pPr>
      <w:r>
        <w:rPr>
          <w:rFonts w:hAnsi="宋体" w:cs="宋体"/>
          <w:b/>
          <w:color w:val="000000"/>
          <w:sz w:val="48"/>
          <w:szCs w:val="48"/>
        </w:rPr>
        <w:br w:type="page" w:clear="all"/>
      </w:r>
      <w:r>
        <w:rPr>
          <w:rFonts w:hint="eastAsia" w:hAnsi="宋体"/>
          <w:b/>
          <w:sz w:val="44"/>
          <w:szCs w:val="44"/>
        </w:rPr>
        <w:t xml:space="preserve">中小企业声明函（货物）</w:t>
      </w:r>
      <w:r/>
    </w:p>
    <w:p>
      <w:pPr>
        <w:ind w:left="357" w:right="346" w:firstLine="641"/>
        <w:spacing w:before="240" w:line="440" w:lineRule="exact"/>
        <w:rPr>
          <w:rFonts w:hAnsi="宋体" w:cs="仿宋"/>
          <w:szCs w:val="28"/>
        </w:rPr>
      </w:pPr>
      <w:r>
        <w:rPr>
          <w:rFonts w:hint="eastAsia"/>
        </w:rPr>
        <w:t xml:space="preserve">  </w:t>
      </w:r>
      <w:r>
        <w:rPr>
          <w:rFonts w:hAnsi="宋体" w:cs="仿宋"/>
          <w:szCs w:val="28"/>
        </w:rPr>
        <w:t xml:space="preserve">本公司（联合体）郑重声明，根据《政府采购促进中小企业发展管理办法》（财库</w:t>
      </w:r>
      <w:r>
        <w:rPr>
          <w:rFonts w:hAnsi="宋体" w:cs="宋体"/>
          <w:szCs w:val="28"/>
        </w:rPr>
        <w:t xml:space="preserve">﹝</w:t>
      </w:r>
      <w:r>
        <w:rPr>
          <w:rFonts w:hAnsi="宋体" w:cs="仿宋"/>
          <w:szCs w:val="28"/>
        </w:rPr>
        <w:t xml:space="preserve">2020</w:t>
      </w:r>
      <w:r>
        <w:rPr>
          <w:rFonts w:hAnsi="宋体" w:cs="宋体"/>
          <w:szCs w:val="28"/>
        </w:rPr>
        <w:t xml:space="preserve">﹞</w:t>
      </w:r>
      <w:r>
        <w:rPr>
          <w:rFonts w:hAnsi="宋体" w:cs="仿宋"/>
          <w:szCs w:val="28"/>
        </w:rPr>
        <w:t xml:space="preserve">46 号）的规定，本公司（联合体）参加</w:t>
      </w:r>
      <w:r>
        <w:rPr>
          <w:rFonts w:hAnsi="宋体" w:cs="仿宋"/>
          <w:szCs w:val="28"/>
          <w:u w:val="single"/>
        </w:rPr>
        <w:t xml:space="preserve">（单位名称）</w:t>
      </w:r>
      <w:r>
        <w:rPr>
          <w:rFonts w:hAnsi="宋体" w:cs="仿宋"/>
          <w:szCs w:val="28"/>
        </w:rPr>
        <w:t xml:space="preserve">的</w:t>
      </w:r>
      <w:r>
        <w:rPr>
          <w:rFonts w:hAnsi="宋体" w:cs="仿宋"/>
          <w:szCs w:val="28"/>
          <w:u w:val="single"/>
        </w:rPr>
        <w:t xml:space="preserve">（项目名称）</w:t>
      </w:r>
      <w:r>
        <w:rPr>
          <w:rFonts w:hAnsi="宋体" w:cs="仿宋"/>
          <w:szCs w:val="28"/>
        </w:rPr>
        <w:t xml:space="preserve">采购活动，提供的货物全部由符合政策要求的中小企业制造。相关企业（含联合体中的中小企业、签订分包意向协议的中小企业）的具体情况如下：</w:t>
      </w:r>
      <w:r/>
    </w:p>
    <w:p>
      <w:pPr>
        <w:ind w:left="357" w:right="346" w:firstLine="641"/>
        <w:spacing w:before="240" w:line="440" w:lineRule="exact"/>
        <w:rPr>
          <w:rFonts w:hAnsi="宋体"/>
          <w:szCs w:val="28"/>
        </w:rPr>
      </w:pPr>
      <w:r>
        <w:rPr>
          <w:rFonts w:hint="eastAsia" w:hAnsi="宋体"/>
          <w:szCs w:val="28"/>
        </w:rPr>
        <w:t xml:space="preserve">1、</w:t>
      </w:r>
      <w:r>
        <w:rPr>
          <w:rFonts w:hint="eastAsia" w:hAnsi="宋体"/>
          <w:szCs w:val="28"/>
          <w:u w:val="single"/>
        </w:rPr>
        <w:t xml:space="preserve">       </w:t>
      </w:r>
      <w:r>
        <w:rPr>
          <w:rFonts w:hint="eastAsia" w:hAnsi="宋体"/>
          <w:szCs w:val="28"/>
        </w:rPr>
        <w:t xml:space="preserve">， 属于</w:t>
      </w:r>
      <w:r>
        <w:rPr>
          <w:rFonts w:hint="eastAsia" w:hAnsi="宋体"/>
          <w:szCs w:val="28"/>
          <w:u w:val="single"/>
        </w:rPr>
        <w:t xml:space="preserve">（采购文件中明确的所属行业）</w:t>
      </w:r>
      <w:r>
        <w:rPr>
          <w:rFonts w:hint="eastAsia" w:hAnsi="宋体"/>
          <w:szCs w:val="28"/>
        </w:rPr>
        <w:t xml:space="preserve">行业；制造商为</w:t>
      </w:r>
      <w:r>
        <w:rPr>
          <w:rFonts w:hint="eastAsia" w:hAnsi="宋体"/>
          <w:szCs w:val="28"/>
          <w:u w:val="single"/>
        </w:rPr>
        <w:t xml:space="preserve">    （ 企业名称 ）</w:t>
      </w:r>
      <w:r>
        <w:rPr>
          <w:rFonts w:hint="eastAsia" w:hAnsi="宋体"/>
          <w:szCs w:val="28"/>
        </w:rPr>
        <w:t xml:space="preserve">，从业人员</w:t>
      </w:r>
      <w:r>
        <w:rPr>
          <w:rFonts w:hint="eastAsia" w:hAnsi="宋体"/>
          <w:szCs w:val="28"/>
          <w:u w:val="single"/>
        </w:rPr>
        <w:t xml:space="preserve">     </w:t>
      </w:r>
      <w:r>
        <w:rPr>
          <w:rFonts w:hint="eastAsia" w:hAnsi="宋体"/>
          <w:szCs w:val="28"/>
        </w:rPr>
        <w:t xml:space="preserve"> 人，营业收入为</w:t>
      </w:r>
      <w:r>
        <w:rPr>
          <w:rFonts w:hint="eastAsia" w:hAnsi="宋体"/>
          <w:szCs w:val="28"/>
          <w:u w:val="single"/>
        </w:rPr>
        <w:t xml:space="preserve">     </w:t>
      </w:r>
      <w:r>
        <w:rPr>
          <w:rFonts w:hint="eastAsia" w:hAnsi="宋体"/>
          <w:szCs w:val="28"/>
        </w:rPr>
        <w:t xml:space="preserve"> 万元，资产总额为</w:t>
      </w:r>
      <w:r>
        <w:rPr>
          <w:rFonts w:hint="eastAsia" w:hAnsi="宋体"/>
          <w:szCs w:val="28"/>
          <w:u w:val="single"/>
        </w:rPr>
        <w:t xml:space="preserve">     </w:t>
      </w:r>
      <w:r>
        <w:rPr>
          <w:rFonts w:hint="eastAsia" w:hAnsi="宋体"/>
          <w:szCs w:val="28"/>
        </w:rPr>
        <w:t xml:space="preserve">万元</w:t>
      </w:r>
      <w:r>
        <w:rPr>
          <w:rFonts w:hint="eastAsia" w:hAnsi="宋体"/>
          <w:szCs w:val="28"/>
          <w:vertAlign w:val="superscript"/>
        </w:rPr>
        <w:t xml:space="preserve">1</w:t>
      </w:r>
      <w:r>
        <w:rPr>
          <w:rFonts w:hint="eastAsia" w:hAnsi="宋体"/>
          <w:szCs w:val="28"/>
        </w:rPr>
        <w:t xml:space="preserve">，属于</w:t>
      </w:r>
      <w:r>
        <w:rPr>
          <w:rFonts w:hint="eastAsia" w:hAnsi="宋体"/>
          <w:szCs w:val="28"/>
          <w:u w:val="single"/>
        </w:rPr>
        <w:t xml:space="preserve">      （中型企业、小型企业、微型企业）  </w:t>
      </w:r>
      <w:r>
        <w:rPr>
          <w:rFonts w:hint="eastAsia" w:hAnsi="宋体"/>
          <w:szCs w:val="28"/>
        </w:rPr>
        <w:t xml:space="preserve">；</w:t>
      </w:r>
      <w:r/>
    </w:p>
    <w:p>
      <w:pPr>
        <w:ind w:left="357" w:right="346" w:firstLine="641"/>
        <w:spacing w:before="240" w:line="440" w:lineRule="exact"/>
        <w:rPr>
          <w:rFonts w:hAnsi="宋体"/>
          <w:szCs w:val="28"/>
        </w:rPr>
      </w:pPr>
      <w:r>
        <w:rPr>
          <w:rFonts w:hint="eastAsia" w:hAnsi="宋体"/>
          <w:szCs w:val="28"/>
        </w:rPr>
        <w:t xml:space="preserve"> </w:t>
      </w:r>
      <w:r/>
    </w:p>
    <w:p>
      <w:pPr>
        <w:ind w:left="357" w:right="346" w:firstLine="641"/>
        <w:spacing w:before="240" w:line="440" w:lineRule="exact"/>
        <w:rPr>
          <w:rFonts w:hAnsi="宋体"/>
          <w:szCs w:val="28"/>
        </w:rPr>
      </w:pPr>
      <w:r>
        <w:rPr>
          <w:rFonts w:hint="eastAsia" w:hAnsi="宋体"/>
          <w:szCs w:val="28"/>
        </w:rPr>
        <w:t xml:space="preserve">……</w:t>
      </w:r>
      <w:r/>
    </w:p>
    <w:p>
      <w:pPr>
        <w:ind w:left="357" w:right="346" w:firstLine="641"/>
        <w:spacing w:before="240" w:line="440" w:lineRule="exact"/>
        <w:rPr>
          <w:rFonts w:hAnsi="宋体"/>
          <w:szCs w:val="28"/>
        </w:rPr>
      </w:pPr>
      <w:r>
        <w:rPr>
          <w:rFonts w:hint="eastAsia" w:hAnsi="宋体"/>
          <w:szCs w:val="28"/>
        </w:rPr>
        <w:t xml:space="preserve">以上企业，不属于大企业的分支机构，不存在控股股东为大企业的情形，也不存在与大企业的负责人为同一人的情形。</w:t>
      </w:r>
      <w:r/>
    </w:p>
    <w:p>
      <w:pPr>
        <w:ind w:left="357" w:right="346" w:firstLine="641"/>
        <w:spacing w:before="240" w:line="440" w:lineRule="exact"/>
        <w:rPr>
          <w:rFonts w:hAnsi="宋体"/>
          <w:szCs w:val="28"/>
        </w:rPr>
      </w:pPr>
      <w:r>
        <w:rPr>
          <w:rFonts w:hint="eastAsia" w:hAnsi="宋体"/>
          <w:szCs w:val="28"/>
        </w:rPr>
        <w:t xml:space="preserve">本企业对上述声明内容的真实性负责。如有虚假，将依法承担相应责任。</w:t>
      </w:r>
      <w:r/>
    </w:p>
    <w:p>
      <w:pPr>
        <w:ind w:left="454" w:right="346" w:firstLine="3296"/>
        <w:spacing w:before="240" w:line="440" w:lineRule="exact"/>
        <w:rPr>
          <w:rFonts w:hAnsi="宋体"/>
          <w:szCs w:val="28"/>
          <w:u w:val="single"/>
        </w:rPr>
      </w:pPr>
      <w:r>
        <w:rPr>
          <w:rFonts w:hint="eastAsia" w:hAnsi="宋体"/>
          <w:szCs w:val="28"/>
        </w:rPr>
        <w:t xml:space="preserve">企业名称（盖章）：</w:t>
      </w:r>
      <w:r>
        <w:rPr>
          <w:rFonts w:hint="eastAsia" w:hAnsi="宋体"/>
          <w:szCs w:val="28"/>
          <w:u w:val="single"/>
        </w:rPr>
        <w:t xml:space="preserve">          </w:t>
      </w:r>
      <w:r/>
    </w:p>
    <w:p>
      <w:pPr>
        <w:ind w:left="454" w:right="346" w:firstLine="4836"/>
        <w:spacing w:before="240" w:line="440" w:lineRule="exact"/>
        <w:rPr>
          <w:rFonts w:hAnsi="宋体"/>
          <w:szCs w:val="28"/>
        </w:rPr>
      </w:pPr>
      <w:r>
        <w:rPr>
          <w:rFonts w:hint="eastAsia" w:hAnsi="宋体"/>
          <w:szCs w:val="28"/>
        </w:rPr>
        <w:t xml:space="preserve">日期：</w:t>
      </w:r>
      <w:r>
        <w:rPr>
          <w:rFonts w:hint="eastAsia" w:hAnsi="宋体"/>
          <w:szCs w:val="28"/>
          <w:u w:val="single"/>
        </w:rPr>
        <w:t xml:space="preserve">           </w:t>
      </w:r>
      <w:r/>
    </w:p>
    <w:p>
      <w:pPr>
        <w:spacing w:line="440" w:lineRule="exact"/>
      </w:pPr>
      <w:r>
        <w:t xml:space="preserve"> </w:t>
      </w:r>
      <w:r>
        <w:rPr>
          <w:rFonts w:hint="eastAsia"/>
        </w:rPr>
        <w:t xml:space="preserve">注：</w:t>
      </w:r>
      <w:r/>
    </w:p>
    <w:p>
      <w:pPr>
        <w:spacing w:line="440" w:lineRule="exact"/>
      </w:pPr>
      <w:r>
        <w:rPr>
          <w:rFonts w:hint="eastAsia"/>
        </w:rPr>
        <w:t xml:space="preserve">1、 1从业人员、营业收入、资产总额填报上一年度数据，无上一年度数据的新成立企业可不填报。</w:t>
      </w:r>
      <w:r/>
    </w:p>
    <w:p>
      <w:pPr>
        <w:spacing w:line="440" w:lineRule="exact"/>
        <w:rPr>
          <w:rFonts w:ascii="宋体" w:hAnsi="宋体"/>
          <w:sz w:val="24"/>
          <w:szCs w:val="21"/>
        </w:rPr>
      </w:pPr>
      <w:r>
        <w:rPr>
          <w:rFonts w:hint="eastAsia"/>
        </w:rPr>
        <w:t xml:space="preserve">2、供应商提供由省级以上监狱管理局、戒毒管理局（含新疆生产建设兵团）出具的属于监狱企业证明文件的，视同为小型和微型企业。</w:t>
      </w:r>
      <w:r/>
    </w:p>
    <w:p>
      <w:pPr>
        <w:jc w:val="center"/>
        <w:rPr>
          <w:rFonts w:ascii="宋体" w:hAnsi="宋体"/>
          <w:color w:val="000000"/>
          <w:sz w:val="32"/>
          <w:szCs w:val="32"/>
        </w:rPr>
      </w:pPr>
      <w:r>
        <w:rPr>
          <w:rFonts w:ascii="宋体" w:hAnsi="宋体"/>
          <w:sz w:val="24"/>
          <w:szCs w:val="21"/>
        </w:rPr>
        <w:br w:type="page" w:clear="all"/>
      </w:r>
      <w:r>
        <w:rPr>
          <w:rFonts w:hint="eastAsia" w:ascii="宋体" w:hAnsi="宋体"/>
          <w:b/>
          <w:bCs/>
          <w:color w:val="000000"/>
          <w:sz w:val="44"/>
          <w:szCs w:val="44"/>
        </w:rPr>
        <w:t xml:space="preserve">盐城市政府采购事前信用承诺书</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sz w:val="24"/>
        </w:rPr>
      </w:pPr>
      <w:r>
        <w:rPr>
          <w:rFonts w:hint="eastAsia" w:ascii="宋体" w:hAnsi="宋体"/>
          <w:color w:val="000000"/>
          <w:sz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sz w:val="24"/>
        </w:rPr>
      </w:pPr>
      <w:r>
        <w:rPr>
          <w:rFonts w:hint="eastAsia" w:ascii="宋体" w:hAnsi="宋体"/>
          <w:color w:val="000000"/>
          <w:sz w:val="24"/>
        </w:rPr>
        <w:t xml:space="preserve">   （六）自觉接受政府、行业组织、社会公众、新闻舆论的监督；</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sz w:val="24"/>
        </w:rPr>
      </w:pPr>
      <w:r>
        <w:rPr>
          <w:rFonts w:hint="eastAsia" w:ascii="宋体" w:hAnsi="宋体"/>
          <w:color w:val="000000"/>
          <w:sz w:val="24"/>
        </w:rPr>
        <w:t xml:space="preserve">   （八）本人已认真阅读了上述承诺，并向本单位员工作了宣传教育。</w:t>
      </w:r>
      <w:r/>
    </w:p>
    <w:p>
      <w:pPr>
        <w:jc w:val="left"/>
        <w:spacing w:line="500" w:lineRule="exact"/>
        <w:widowControl/>
        <w:rPr>
          <w:rFonts w:ascii="宋体" w:hAnsi="宋体"/>
          <w:color w:val="000000"/>
          <w:sz w:val="24"/>
        </w:rPr>
      </w:pPr>
      <w:r>
        <w:rPr>
          <w:rFonts w:ascii="宋体" w:hAnsi="宋体"/>
          <w:color w:val="000000"/>
          <w:sz w:val="24"/>
        </w:rPr>
      </w:r>
      <w:r/>
    </w:p>
    <w:p>
      <w:pPr>
        <w:jc w:val="center"/>
        <w:spacing w:line="500" w:lineRule="exact"/>
        <w:widowControl/>
        <w:rPr>
          <w:rFonts w:ascii="宋体" w:hAnsi="宋体"/>
          <w:color w:val="000000"/>
          <w:sz w:val="24"/>
        </w:rPr>
      </w:pPr>
      <w:r>
        <w:rPr>
          <w:rFonts w:hint="eastAsia" w:ascii="宋体" w:hAnsi="宋体"/>
          <w:color w:val="000000"/>
          <w:sz w:val="24"/>
        </w:rPr>
        <w:t xml:space="preserve">                 法定代表人签名：</w:t>
      </w:r>
      <w:r/>
    </w:p>
    <w:p>
      <w:pPr>
        <w:jc w:val="center"/>
        <w:spacing w:line="500" w:lineRule="exact"/>
        <w:widowControl/>
        <w:rPr>
          <w:rFonts w:ascii="宋体" w:hAnsi="宋体"/>
          <w:color w:val="000000"/>
          <w:sz w:val="24"/>
        </w:rPr>
      </w:pPr>
      <w:r>
        <w:rPr>
          <w:rFonts w:hint="eastAsia" w:ascii="宋体" w:hAnsi="宋体"/>
          <w:color w:val="000000"/>
          <w:sz w:val="24"/>
        </w:rPr>
        <w:t xml:space="preserve">                   单位名称（盖章）：</w:t>
      </w:r>
      <w:r/>
    </w:p>
    <w:p>
      <w:pPr>
        <w:jc w:val="center"/>
        <w:spacing w:line="500" w:lineRule="exact"/>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p>
      <w:pPr>
        <w:pStyle w:val="1169"/>
        <w:ind w:firstLine="480"/>
        <w:jc w:val="left"/>
        <w:rPr>
          <w:rFonts w:ascii="宋体" w:hAnsi="宋体"/>
          <w:sz w:val="24"/>
          <w:szCs w:val="21"/>
        </w:rPr>
      </w:pPr>
      <w:r>
        <w:rPr>
          <w:rFonts w:ascii="宋体" w:hAnsi="宋体"/>
          <w:sz w:val="24"/>
          <w:szCs w:val="21"/>
        </w:rPr>
      </w:r>
      <w:r/>
    </w:p>
    <w:p>
      <w:pPr>
        <w:pStyle w:val="1169"/>
        <w:ind w:firstLine="480"/>
        <w:jc w:val="left"/>
        <w:rPr>
          <w:rFonts w:ascii="宋体" w:hAnsi="宋体"/>
          <w:sz w:val="24"/>
          <w:szCs w:val="21"/>
        </w:rPr>
        <w:sectPr>
          <w:headerReference w:type="default" r:id="rId9"/>
          <w:footnotePr/>
          <w:endnotePr/>
          <w:type w:val="nextPage"/>
          <w:pgSz w:w="11907" w:h="16840" w:orient="portrait"/>
          <w:pgMar w:top="1134" w:right="1474" w:bottom="1134" w:left="1474" w:header="851" w:footer="992" w:gutter="0"/>
          <w:cols w:num="1" w:sep="0" w:space="720" w:equalWidth="1"/>
          <w:docGrid w:linePitch="360"/>
          <w:titlePg/>
        </w:sectPr>
      </w:pPr>
      <w:r>
        <w:rPr>
          <w:rFonts w:ascii="宋体" w:hAnsi="宋体"/>
          <w:sz w:val="24"/>
          <w:szCs w:val="21"/>
        </w:rPr>
      </w:r>
      <w:r/>
    </w:p>
    <w:p>
      <w:pPr>
        <w:pStyle w:val="1091"/>
        <w:jc w:val="center"/>
        <w:keepLines/>
        <w:keepNext/>
        <w:pageBreakBefore w:val="0"/>
        <w:spacing w:before="0" w:after="0" w:line="360" w:lineRule="auto"/>
        <w:widowControl w:val="off"/>
        <w:rPr>
          <w:rFonts w:ascii="黑体" w:eastAsia="黑体"/>
        </w:rPr>
      </w:pPr>
      <w:r>
        <w:rPr>
          <w:rFonts w:hint="eastAsia" w:ascii="黑体" w:eastAsia="黑体"/>
        </w:rPr>
        <w:t xml:space="preserve">第九章  投标产品品牌型号及分项报价表</w:t>
      </w:r>
      <w:r/>
    </w:p>
    <w:tbl>
      <w:tblPr>
        <w:tblStyle w:val="923"/>
        <w:tblW w:w="14038" w:type="dxa"/>
        <w:jc w:val="center"/>
        <w:tblLayout w:type="autofit"/>
        <w:tblCellMar>
          <w:left w:w="108" w:type="dxa"/>
          <w:top w:w="0" w:type="dxa"/>
          <w:right w:w="108" w:type="dxa"/>
          <w:bottom w:w="0" w:type="dxa"/>
        </w:tblCellMar>
        <w:tblLook w:val="04A0" w:firstRow="1" w:lastRow="0" w:firstColumn="1" w:lastColumn="0" w:noHBand="0" w:noVBand="1"/>
      </w:tblPr>
      <w:tblGrid>
        <w:gridCol w:w="757"/>
        <w:gridCol w:w="5022"/>
        <w:gridCol w:w="3714"/>
        <w:gridCol w:w="915"/>
        <w:gridCol w:w="1080"/>
        <w:gridCol w:w="1200"/>
        <w:gridCol w:w="1350"/>
      </w:tblGrid>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一、科技提升项目</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1、行人过街“声光电”预警提示系统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视频雷达预警一体柱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400万雷达视频预警单元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LED预警发布屏</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红蓝爆闪灯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400万球型网络摄像机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落地机箱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监控及显示设备杆件基础</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97.48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光缆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绿化带管道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路面管道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路口</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2、农村违法劝导提醒系统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非机动车一体化抓拍单元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频闪灯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扩音音柱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监控及显示设备杆件基础</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路口</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3、货车右转未停车让行抓拍设施</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货车雷达视频抓拍单元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频闪灯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LED信息发布屏</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LED信息发布屏杆件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监控及显示设备杆件基础</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60.48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4、机动车超速监测记录系统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900万环保卡口抓拍单元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测速雷达</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多功能补光灯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落地机箱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监控杆件基础</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34.56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光缆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5、不系安全带/接打电话违法抓拍类系统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900万环保卡口抓拍单元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多功能补光灯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6、非机动车逆行/在机动车道行驶违法抓拍类系统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非机动车一体化抓拍单元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频闪灯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落地机箱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监控杆件基础</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32.29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光缆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7、机动车闯红灯抓拍系统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900万电子警察抓拍单元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900万环保卡口抓拍单元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400万球型网络摄像机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ff0000"/>
                <w:sz w:val="21"/>
                <w:szCs w:val="21"/>
              </w:rPr>
            </w:pPr>
            <w:r>
              <w:rPr>
                <w:rFonts w:ascii="宋体" w:hAnsi="宋体" w:cs="宋体"/>
                <w:color w:val="ff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终端服务器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红灯信号检测器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频闪灯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多功能补光灯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16口工业级交换机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落地机箱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L型杆件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监控及显示设备杆件基础</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28.86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防雷接地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手孔井</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六类网线(设备信号)</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配线（设备电源）</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2650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配线（触发线）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配线（取电线缆）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光缆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拖拉管</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绿化带、路面管道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8、后端管理平台</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视频云存储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eastAsia="等线"/>
                <w:color w:val="000000"/>
                <w:sz w:val="21"/>
                <w:szCs w:val="21"/>
              </w:rPr>
            </w:pPr>
            <w:r>
              <w:rPr>
                <w:rFonts w:eastAsia="等线"/>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设备接入授权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云存储授权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lang w:bidi="ar"/>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lang w:bidi="ar"/>
              </w:rPr>
            </w:pPr>
            <w:r>
              <w:rPr>
                <w:rFonts w:hint="eastAsia" w:ascii="宋体" w:hAnsi="宋体" w:cs="宋体"/>
                <w:color w:val="000000"/>
                <w:sz w:val="21"/>
                <w:szCs w:val="21"/>
                <w:lang w:bidi="ar"/>
              </w:rPr>
              <w:t xml:space="preserve">运维管理服务器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lang w:bidi="ar"/>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机房配套设施</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二、警保劝导站</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1、土建部分</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劝导站房屋</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116.05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平整场地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回填方</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垫层</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水泥混凝土</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现浇构件钢筋</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2.976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2、安装部分</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空调器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电脑</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打印机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全彩监控摄像头</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电视机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会议桌凳</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饮水机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文件柜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标识、标牌</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普通音响</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市电接入</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光纤租赁费</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三、交通指挥中心</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1、大屏显示系统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室内全彩屏</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LED控制系统</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视频拼接器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接收卡</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箱体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智能配电柜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钢结构</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备品</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承重柱显示屏</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2、音响扩声系统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主扩音箱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功放</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辅助音箱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功放</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音频处理器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数字调音台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电源时序器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3、发言系统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数字发言主机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数字话筒单元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无线话筒</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天线放大器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无线讲解器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4、分布式管理系统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分布式综合管理平台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高清一体终端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ff0000"/>
                <w:sz w:val="21"/>
                <w:szCs w:val="21"/>
              </w:rPr>
            </w:pPr>
            <w:r>
              <w:rPr>
                <w:rFonts w:hint="eastAsia" w:ascii="宋体" w:hAnsi="宋体" w:cs="宋体"/>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多媒体桌插</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无线投屏</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5、物联集中控制系统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拼接中控</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VMS可视化管理系统AI语音控制软件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语音控制引擎</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控制器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触摸平板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6、操作台及配套桌椅</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主席台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半圆形操作台-5工位</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操作台-2工位</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弧形操作台-4工位</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操作台-单工位</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人体工学椅</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显示器支架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PDU电源插座</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铁皮文件柜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茶水柜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工作站</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7、维护机房</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柜式空调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UPS</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蓄电池</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电池柜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8、装饰与综合布线</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left"/>
              <w:widowControl/>
              <w:rPr>
                <w:rFonts w:ascii="宋体" w:hAnsi="宋体" w:cs="宋体"/>
                <w:color w:val="000000"/>
                <w:sz w:val="21"/>
                <w:szCs w:val="21"/>
              </w:rPr>
            </w:pPr>
            <w:r>
              <w:rPr>
                <w:rFonts w:hint="eastAsia" w:ascii="宋体" w:hAnsi="宋体" w:cs="宋体"/>
                <w:color w:val="000000"/>
                <w:sz w:val="21"/>
                <w:szCs w:val="21"/>
                <w:lang w:bidi="ar"/>
              </w:rPr>
              <w:t xml:space="preserve">装饰与综合布线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四、融媒体中心</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1、摄像机系统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4K超清摄像机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三脚架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2、导播间控制系统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内部通话系统</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主持人耳返</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4K演播室回看系统</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27英寸 4K显示器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落地支架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演播室专用22寸提词器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提词器无线远程控制器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提词器主机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3、一体化演播室系统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融合媒体制作系统</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返看监视器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4、音频设备</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播音话筒</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无线领夹话筒</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16路调音台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专业监听耳机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专业监听音箱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电源时序器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抑制器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5、录音棚设备</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音频工作站</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主录音话筒</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话筒放大器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录音笔</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6、非线性编辑设备</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4K非线性编辑系统</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7、演播室灯光系统</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超高清4K双色温演播室LED影视柔光灯 140W</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超高清4K演播室LED螺纹聚光灯 100W</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调光专用控制台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信号放大器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电源分线盒</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铝合金固定轨道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铝合金固定轨道</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方管支架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连接方管</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支架压板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连接板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轨道防撞板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轨道卡线器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万向器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灯具滑车</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电缆滑车</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标准型恒力铰链</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航空自锁电源连接器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灯具保险链</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灯号牌</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调光杆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演播室灯具专用阻燃电缆线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演播室灯具专用阻燃电缆线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演播室灯具专用阻燃信号屏蔽线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8、无人机系统</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无人机机场及配套无人机（包含操作管理平台）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rPr>
                <w:rFonts w:ascii="宋体" w:hAnsi="宋体" w:cs="宋体"/>
                <w:b/>
                <w:bCs/>
                <w:color w:val="000000"/>
                <w:sz w:val="21"/>
                <w:szCs w:val="21"/>
              </w:rPr>
            </w:pPr>
            <w:r>
              <w:rPr>
                <w:rFonts w:ascii="宋体" w:hAnsi="宋体" w:cs="宋体"/>
                <w:b/>
                <w:bCs/>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9、蓝箱制作</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定做蓝箱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抠像地胶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10、融媒体装饰</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吊顶天棚</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墙面装饰板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局部窗户封堵</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天棚喷刷涂料</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木隔断</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金属窗</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樘</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防盗门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樘</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自流坪楼地面</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金属踢脚线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地毯楼地面</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防静电活动地板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木质门带套</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樘</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11、辅助设备</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播音桌</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非编桌</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正在录制灯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安全出口指示牌</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应急照明灯</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强电-线路改造</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强电-控制配电箱</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消防-应急照明系统</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消防-安全指示系统</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弱电-网络系统</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柜式空调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挂式空调</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人脸识别智能柜主柜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智能柜副柜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558"/>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rPr>
                <w:rFonts w:ascii="等线" w:hAnsi="等线" w:eastAsia="等线" w:cs="等线"/>
                <w:color w:val="000000"/>
                <w:sz w:val="21"/>
                <w:szCs w:val="21"/>
              </w:rPr>
            </w:pPr>
            <w:r>
              <w:rPr>
                <w:rFonts w:hint="eastAsia" w:ascii="宋体" w:hAnsi="宋体" w:cs="宋体"/>
                <w:b/>
                <w:bCs/>
                <w:color w:val="000000"/>
                <w:sz w:val="21"/>
                <w:szCs w:val="21"/>
                <w:lang w:bidi="ar"/>
              </w:rPr>
              <w:t xml:space="preserve">五、</w:t>
            </w:r>
            <w:r>
              <w:rPr>
                <w:rFonts w:hint="eastAsia" w:ascii="宋体" w:hAnsi="宋体" w:cs="宋体"/>
                <w:b/>
                <w:bCs/>
                <w:sz w:val="21"/>
                <w:szCs w:val="21"/>
                <w:lang w:bidi="ar"/>
              </w:rPr>
              <w:t xml:space="preserve">镇区电动摩托车登记服务点建设</w:t>
            </w:r>
            <w:r/>
          </w:p>
        </w:tc>
      </w:tr>
      <w:tr>
        <w:trPr>
          <w:jc w:val="center"/>
          <w:trHeight w:val="49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查验用黑白打印机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PDA</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4G执法记录仪</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查验用计算机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热升华照片打印机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塑封机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查验工具</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lang w:bidi="ar"/>
              </w:rPr>
            </w:pPr>
            <w:r>
              <w:rPr>
                <w:rFonts w:hint="eastAsia" w:ascii="宋体" w:hAnsi="宋体" w:cs="宋体"/>
                <w:color w:val="000000"/>
                <w:sz w:val="21"/>
                <w:szCs w:val="21"/>
                <w:lang w:bidi="ar"/>
              </w:rPr>
              <w:t xml:space="preserve">机动车行驶证照片专用切刀</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网络枪型摄像机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枪型摄像机支架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电源适配器系列</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模拟拾音器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lang w:bidi="ar"/>
              </w:rPr>
            </w:pPr>
            <w:r>
              <w:rPr>
                <w:rFonts w:hint="eastAsia" w:ascii="宋体" w:hAnsi="宋体" w:cs="宋体"/>
                <w:color w:val="000000"/>
                <w:sz w:val="21"/>
                <w:szCs w:val="21"/>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b/>
                <w:bCs/>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ascii="宋体" w:hAnsi="宋体" w:cs="宋体"/>
                <w:b/>
                <w:bCs/>
                <w:color w:val="000000"/>
                <w:sz w:val="21"/>
                <w:szCs w:val="21"/>
              </w:rPr>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lang w:bidi="ar"/>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网络球型摄像机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球型摄像机吊支架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网络硬盘录像机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视频采集电脑</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监控专用硬盘</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千兆网络交换机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机柜专用拖线板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超五类网线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监控电源线</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PE25管</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软件安装及服务</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 w:val="21"/>
                <w:szCs w:val="21"/>
              </w:rPr>
            </w:pPr>
            <w:r>
              <w:rPr>
                <w:rFonts w:ascii="宋体" w:hAnsi="宋体" w:cs="宋体"/>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ff0000"/>
                <w:sz w:val="21"/>
                <w:szCs w:val="21"/>
                <w:lang w:bidi="ar"/>
              </w:rPr>
              <w:t xml:space="preserve">合格证条码阅读器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ff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ff0000"/>
                <w:sz w:val="21"/>
                <w:szCs w:val="21"/>
              </w:rPr>
            </w:pPr>
            <w:r>
              <w:rPr>
                <w:rFonts w:hint="eastAsia" w:ascii="宋体" w:hAnsi="宋体" w:cs="宋体"/>
                <w:color w:val="ff0000"/>
                <w:sz w:val="21"/>
                <w:szCs w:val="21"/>
                <w:lang w:bidi="ar"/>
              </w:rPr>
              <w:t xml:space="preserve">3180.00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ff0000"/>
                <w:sz w:val="21"/>
                <w:szCs w:val="21"/>
                <w:lang w:bidi="ar"/>
              </w:rPr>
              <w:t xml:space="preserve">98580.00</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ff0000"/>
                <w:sz w:val="21"/>
                <w:szCs w:val="21"/>
                <w:lang w:bidi="ar"/>
              </w:rPr>
              <w:t xml:space="preserve">驾驶证/行驶证条码阅读器</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ff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ff0000"/>
                <w:sz w:val="21"/>
                <w:szCs w:val="21"/>
              </w:rPr>
            </w:pPr>
            <w:r>
              <w:rPr>
                <w:rFonts w:hint="eastAsia" w:ascii="宋体" w:hAnsi="宋体" w:cs="宋体"/>
                <w:color w:val="ff0000"/>
                <w:sz w:val="21"/>
                <w:szCs w:val="21"/>
                <w:lang w:bidi="ar"/>
              </w:rPr>
              <w:t xml:space="preserve">980.00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ff0000"/>
                <w:sz w:val="21"/>
                <w:szCs w:val="21"/>
                <w:lang w:bidi="ar"/>
              </w:rPr>
              <w:t xml:space="preserve">4900.00</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lang w:bidi="ar"/>
              </w:rPr>
            </w:pPr>
            <w:r>
              <w:rPr>
                <w:rFonts w:hint="eastAsia" w:ascii="宋体" w:hAnsi="宋体" w:cs="宋体"/>
                <w:color w:val="000000"/>
                <w:sz w:val="21"/>
                <w:szCs w:val="21"/>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ff0000"/>
                <w:sz w:val="21"/>
                <w:szCs w:val="21"/>
                <w:lang w:bidi="ar"/>
              </w:rPr>
            </w:pPr>
            <w:r>
              <w:rPr>
                <w:rFonts w:hint="eastAsia" w:ascii="宋体" w:hAnsi="宋体" w:cs="宋体"/>
                <w:color w:val="ff0000"/>
                <w:sz w:val="21"/>
                <w:szCs w:val="21"/>
                <w:lang w:bidi="ar"/>
              </w:rPr>
              <w:t xml:space="preserve">高拍仪</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widowControl/>
              <w:rPr>
                <w:rFonts w:ascii="宋体" w:hAnsi="宋体" w:cs="宋体"/>
                <w:color w:val="000000"/>
                <w:sz w:val="21"/>
                <w:szCs w:val="21"/>
                <w:lang w:bidi="ar"/>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ff0000"/>
                <w:sz w:val="21"/>
                <w:szCs w:val="21"/>
                <w:lang w:bidi="ar"/>
              </w:rPr>
            </w:pPr>
            <w:r>
              <w:rPr>
                <w:rFonts w:hint="eastAsia" w:ascii="宋体" w:hAnsi="宋体" w:cs="宋体"/>
                <w:color w:val="ff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ff0000"/>
                <w:sz w:val="21"/>
                <w:szCs w:val="21"/>
              </w:rPr>
            </w:pPr>
            <w:r>
              <w:rPr>
                <w:rFonts w:hint="eastAsia" w:ascii="宋体" w:hAnsi="宋体" w:cs="宋体"/>
                <w:color w:val="ff0000"/>
                <w:sz w:val="21"/>
                <w:szCs w:val="21"/>
                <w:lang w:bidi="ar"/>
              </w:rPr>
              <w:t xml:space="preserve">3080.00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ff0000"/>
                <w:sz w:val="21"/>
                <w:szCs w:val="21"/>
                <w:lang w:bidi="ar"/>
              </w:rPr>
              <w:t xml:space="preserve">55440.00</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sz w:val="21"/>
                <w:szCs w:val="21"/>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ff0000"/>
                <w:sz w:val="21"/>
                <w:szCs w:val="21"/>
                <w:lang w:bidi="ar"/>
              </w:rPr>
              <w:t xml:space="preserve">交通管理证件专用打印机</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widowControl/>
              <w:rPr>
                <w:rFonts w:ascii="宋体" w:hAnsi="宋体" w:cs="宋体"/>
                <w:sz w:val="21"/>
                <w:szCs w:val="21"/>
              </w:rPr>
            </w:pPr>
            <w:r>
              <w:rPr>
                <w:rFonts w:hint="eastAsia" w:ascii="宋体" w:hAnsi="宋体" w:cs="宋体"/>
                <w:color w:val="000000"/>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ff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color w:val="ff0000"/>
                <w:sz w:val="21"/>
                <w:szCs w:val="21"/>
              </w:rPr>
            </w:pPr>
            <w:r>
              <w:rPr>
                <w:rFonts w:hint="eastAsia" w:ascii="宋体" w:hAnsi="宋体" w:cs="宋体"/>
                <w:color w:val="ff0000"/>
                <w:sz w:val="21"/>
                <w:szCs w:val="21"/>
                <w:lang w:bidi="ar"/>
              </w:rPr>
              <w:t xml:space="preserve">3980.00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color w:val="000000"/>
                <w:sz w:val="21"/>
                <w:szCs w:val="21"/>
              </w:rPr>
            </w:pPr>
            <w:r>
              <w:rPr>
                <w:rFonts w:hint="eastAsia" w:ascii="宋体" w:hAnsi="宋体" w:cs="宋体"/>
                <w:color w:val="ff0000"/>
                <w:sz w:val="21"/>
                <w:szCs w:val="21"/>
                <w:lang w:bidi="ar"/>
              </w:rPr>
              <w:t xml:space="preserve">71640.00</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jc w:val="left"/>
              <w:widowControl/>
              <w:rPr>
                <w:rFonts w:ascii="宋体" w:hAnsi="宋体" w:cs="宋体"/>
                <w:b/>
                <w:bCs/>
                <w:color w:val="000000"/>
                <w:sz w:val="21"/>
                <w:szCs w:val="21"/>
              </w:rPr>
            </w:pPr>
            <w:r>
              <w:rPr>
                <w:rFonts w:hint="eastAsia" w:ascii="宋体" w:hAnsi="宋体" w:cs="宋体"/>
                <w:b/>
                <w:bCs/>
                <w:color w:val="ff0000"/>
                <w:sz w:val="21"/>
                <w:szCs w:val="21"/>
                <w:lang w:bidi="ar"/>
              </w:rPr>
              <w:t xml:space="preserve">注：第25、26、27、28项为固定报价，4项合计230560元，根据规定，采购单位必须是公安机关，所以由甲方直接购买，投标人不得改变该固定报价，否则投标无效。</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六、监控配套标志标线</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（一）科技提升项目配套标志标线部分</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1、货车右转未停车让行</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color w:val="000000"/>
                <w:sz w:val="21"/>
                <w:szCs w:val="21"/>
                <w:lang w:bidi="ar"/>
              </w:rPr>
              <w:t xml:space="preserve">标线1</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sz w:val="21"/>
                <w:szCs w:val="21"/>
                <w:lang w:bidi="ar"/>
              </w:rPr>
              <w:t xml:space="preserve">m</w:t>
            </w:r>
            <w:r>
              <w:rPr>
                <w:rFonts w:hint="eastAsia" w:ascii="宋体" w:hAnsi="宋体" w:cs="宋体"/>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lang w:bidi="ar"/>
              </w:rPr>
              <w:t xml:space="preserve">525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lang w:bidi="ar"/>
              </w:rPr>
            </w:pPr>
            <w:r>
              <w:rPr>
                <w:rFonts w:hint="eastAsia" w:ascii="宋体" w:hAnsi="宋体" w:cs="宋体"/>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lang w:bidi="ar"/>
              </w:rPr>
            </w:pPr>
            <w:r>
              <w:rPr>
                <w:rFonts w:hint="eastAsia" w:ascii="宋体" w:hAnsi="宋体" w:cs="宋体"/>
                <w:color w:val="000000"/>
                <w:sz w:val="21"/>
                <w:szCs w:val="21"/>
                <w:lang w:bidi="ar"/>
              </w:rPr>
              <w:t xml:space="preserve">标线2</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sz w:val="21"/>
                <w:szCs w:val="21"/>
                <w:lang w:bidi="ar"/>
              </w:rPr>
              <w:t xml:space="preserve">m</w:t>
            </w:r>
            <w:r>
              <w:rPr>
                <w:rFonts w:hint="eastAsia" w:ascii="宋体" w:hAnsi="宋体" w:cs="宋体"/>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lang w:bidi="ar"/>
              </w:rPr>
              <w:t xml:space="preserve">1200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lang w:bidi="ar"/>
              </w:rPr>
            </w:pPr>
            <w:r>
              <w:rPr>
                <w:rFonts w:hint="eastAsia" w:ascii="宋体" w:hAnsi="宋体" w:cs="宋体"/>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标志1</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lang w:bidi="ar"/>
              </w:rPr>
            </w:pPr>
            <w:r>
              <w:rPr>
                <w:rFonts w:hint="eastAsia" w:ascii="宋体" w:hAnsi="宋体" w:cs="宋体"/>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标志2</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lang w:bidi="ar"/>
              </w:rPr>
            </w:pPr>
            <w:r>
              <w:rPr>
                <w:rFonts w:hint="eastAsia" w:ascii="宋体" w:hAnsi="宋体" w:cs="宋体"/>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停车让行标志牌立杆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lang w:bidi="ar"/>
              </w:rPr>
            </w:pPr>
            <w:r>
              <w:rPr>
                <w:rFonts w:hint="eastAsia" w:ascii="宋体" w:hAnsi="宋体" w:cs="宋体"/>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设备基础2</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sz w:val="21"/>
                <w:szCs w:val="21"/>
                <w:lang w:bidi="ar"/>
              </w:rPr>
              <w:t xml:space="preserve">6.48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2、机动车超速监测记录</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标志3</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标志4</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标志5</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标志6</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标志7</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限速标志杆件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测速预告标志杆件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解除限速标志立杆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设备基础4</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74.45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标线3</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m</w:t>
            </w:r>
            <w:r>
              <w:rPr>
                <w:rFonts w:hint="eastAsia" w:ascii="宋体" w:hAnsi="宋体" w:cs="宋体"/>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1600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3、非机动车逆行/在机动车道行驶违法抓拍</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标志8</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标志9</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标志立杆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设备基础5</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4、机动车闯红灯抓拍</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标志10</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（二）存量监控配套交通标志标线部分</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val="false"/>
          </w:tcPr>
          <w:p>
            <w:pPr>
              <w:jc w:val="left"/>
              <w:widowControl/>
              <w:rPr>
                <w:rFonts w:ascii="宋体" w:hAnsi="宋体" w:cs="宋体"/>
                <w:b/>
                <w:bCs/>
                <w:sz w:val="21"/>
                <w:szCs w:val="21"/>
                <w:lang w:bidi="ar"/>
              </w:rPr>
            </w:pPr>
            <w:r>
              <w:rPr>
                <w:rFonts w:hint="eastAsia" w:ascii="宋体" w:hAnsi="宋体" w:cs="宋体"/>
                <w:b/>
                <w:bCs/>
                <w:sz w:val="21"/>
                <w:szCs w:val="21"/>
                <w:lang w:bidi="ar"/>
              </w:rPr>
              <w:t xml:space="preserve">1、存量机动车超速监测配套标志标线</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lang w:bidi="ar"/>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1"/>
                <w:szCs w:val="21"/>
                <w:lang w:bidi="ar"/>
              </w:rPr>
            </w:pPr>
            <w:r>
              <w:rPr>
                <w:rFonts w:hint="eastAsia" w:ascii="宋体" w:hAnsi="宋体" w:cs="宋体"/>
                <w:b/>
                <w:bCs/>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17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标志3</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39.375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20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标志4</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15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标志5</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17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标志6</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217"/>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标志7</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限速标志杆件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187"/>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测速预告标志杆件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解除限速标志立杆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93"/>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设备基础4</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m³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97.715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124"/>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color w:val="000000"/>
                <w:sz w:val="21"/>
                <w:szCs w:val="21"/>
                <w:lang w:bidi="ar"/>
              </w:rPr>
              <w:t xml:space="preserve">标线3</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18"/>
                <w:szCs w:val="18"/>
                <w:lang w:bidi="ar"/>
              </w:rPr>
            </w:pPr>
            <w:r>
              <w:rPr>
                <w:rFonts w:hint="eastAsia" w:ascii="宋体" w:hAnsi="宋体" w:cs="宋体"/>
                <w:sz w:val="21"/>
                <w:szCs w:val="21"/>
                <w:lang w:bidi="ar"/>
              </w:rPr>
              <w:t xml:space="preserve">m</w:t>
            </w:r>
            <w:r>
              <w:rPr>
                <w:rFonts w:hint="eastAsia" w:ascii="宋体" w:hAnsi="宋体" w:cs="宋体"/>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lang w:bidi="ar"/>
              </w:rPr>
            </w:pPr>
            <w:r>
              <w:rPr>
                <w:rFonts w:hint="eastAsia" w:ascii="宋体" w:hAnsi="宋体" w:cs="宋体"/>
                <w:color w:val="000000"/>
                <w:sz w:val="21"/>
                <w:szCs w:val="21"/>
                <w:lang w:bidi="ar"/>
              </w:rPr>
              <w:t xml:space="preserve">2100</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lang w:bidi="ar"/>
              </w:rPr>
            </w:pPr>
            <w:r>
              <w:rPr>
                <w:rFonts w:ascii="宋体" w:hAnsi="宋体" w:cs="宋体"/>
                <w:b/>
                <w:bCs/>
                <w:color w:val="000000"/>
                <w:sz w:val="21"/>
                <w:szCs w:val="21"/>
                <w:lang w:bidi="ar"/>
              </w:rPr>
            </w:r>
            <w:r/>
          </w:p>
        </w:tc>
      </w:tr>
      <w:tr>
        <w:trPr>
          <w:jc w:val="center"/>
          <w:trHeight w:val="343"/>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tcPr>
          <w:p>
            <w:pPr>
              <w:jc w:val="left"/>
              <w:widowControl/>
              <w:rPr>
                <w:rFonts w:ascii="宋体" w:hAnsi="宋体" w:cs="宋体"/>
                <w:b/>
                <w:bCs/>
                <w:color w:val="000000"/>
                <w:sz w:val="21"/>
                <w:szCs w:val="21"/>
                <w:lang w:bidi="ar"/>
              </w:rPr>
            </w:pPr>
            <w:r>
              <w:rPr>
                <w:rFonts w:hint="eastAsia" w:ascii="宋体" w:hAnsi="宋体" w:cs="宋体"/>
                <w:b/>
                <w:bCs/>
                <w:sz w:val="21"/>
                <w:szCs w:val="21"/>
                <w:lang w:bidi="ar"/>
              </w:rPr>
              <w:t xml:space="preserve">2、其它监控配套标志标线</w:t>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b/>
                <w:bCs/>
                <w:color w:val="000000"/>
                <w:sz w:val="21"/>
                <w:szCs w:val="21"/>
                <w:lang w:bidi="ar"/>
              </w:rPr>
            </w:pPr>
            <w:r>
              <w:rPr>
                <w:rFonts w:hint="eastAsia" w:ascii="宋体" w:hAnsi="宋体" w:cs="宋体"/>
                <w:b/>
                <w:bCs/>
                <w:color w:val="000000"/>
                <w:sz w:val="21"/>
                <w:szCs w:val="21"/>
                <w:lang w:bidi="ar"/>
              </w:rPr>
              <w:t xml:space="preserve">综合单价</w:t>
            </w:r>
            <w:r/>
          </w:p>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 w:val="21"/>
                <w:szCs w:val="21"/>
              </w:rPr>
            </w:pPr>
            <w:r>
              <w:rPr>
                <w:rFonts w:hint="eastAsia" w:ascii="宋体" w:hAnsi="宋体" w:cs="宋体"/>
                <w:b/>
                <w:bCs/>
                <w:color w:val="000000"/>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标志11</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标志12</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标志13</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标志14</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标志15</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标志16</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标志17</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双悬臂式标志杆件</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标志立杆</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标线4</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93.6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标线5</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621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标线6</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459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sz w:val="21"/>
                <w:szCs w:val="21"/>
                <w:lang w:bidi="ar"/>
              </w:rPr>
              <w:t xml:space="preserve">标线7</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m</w:t>
            </w:r>
            <w:r>
              <w:rPr>
                <w:rFonts w:hint="eastAsia" w:ascii="宋体" w:hAnsi="宋体" w:cs="宋体"/>
                <w:color w:val="000000"/>
                <w:sz w:val="21"/>
                <w:szCs w:val="21"/>
                <w:vertAlign w:val="superscript"/>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1"/>
                <w:szCs w:val="21"/>
              </w:rPr>
            </w:pPr>
            <w:r>
              <w:rPr>
                <w:rFonts w:hint="eastAsia" w:ascii="宋体" w:hAnsi="宋体" w:cs="宋体"/>
                <w:color w:val="000000"/>
                <w:sz w:val="2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等线" w:hAnsi="等线" w:eastAsia="等线" w:cs="等线"/>
                <w:color w:val="000000"/>
                <w:sz w:val="21"/>
                <w:szCs w:val="21"/>
              </w:rPr>
            </w:pPr>
            <w:r>
              <w:rPr>
                <w:rFonts w:ascii="等线" w:hAnsi="等线" w:eastAsia="等线" w:cs="等线"/>
                <w:color w:val="000000"/>
                <w:sz w:val="21"/>
                <w:szCs w:val="21"/>
              </w:rPr>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tcPr>
          <w:p>
            <w:pPr>
              <w:jc w:val="left"/>
              <w:widowControl/>
              <w:rPr>
                <w:rFonts w:ascii="宋体" w:hAnsi="宋体" w:cs="宋体"/>
                <w:b/>
                <w:bCs/>
                <w:color w:val="000000"/>
                <w:sz w:val="21"/>
                <w:szCs w:val="21"/>
              </w:rPr>
            </w:pPr>
            <w:r>
              <w:rPr>
                <w:rFonts w:hint="eastAsia" w:ascii="宋体" w:hAnsi="宋体" w:cs="宋体"/>
                <w:b/>
                <w:bCs/>
                <w:color w:val="000000"/>
                <w:sz w:val="21"/>
                <w:szCs w:val="21"/>
                <w:lang w:bidi="ar"/>
              </w:rPr>
              <w:t xml:space="preserve">七、暂列金</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所投货物品牌(或生产企业)及型号</w:t>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1"/>
                <w:szCs w:val="21"/>
              </w:rPr>
            </w:pPr>
            <w:r>
              <w:rPr>
                <w:rFonts w:hint="eastAsia" w:ascii="宋体" w:hAnsi="宋体" w:cs="宋体"/>
                <w:b/>
                <w:bCs/>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lang w:bidi="ar"/>
              </w:rPr>
            </w:pPr>
            <w:r>
              <w:rPr>
                <w:rFonts w:hint="eastAsia" w:ascii="宋体" w:hAnsi="宋体" w:cs="宋体"/>
                <w:b/>
                <w:bCs/>
                <w:sz w:val="21"/>
                <w:szCs w:val="21"/>
                <w:lang w:bidi="ar"/>
              </w:rPr>
              <w:t xml:space="preserve">综合单价</w:t>
            </w:r>
            <w:r/>
          </w:p>
          <w:p>
            <w:pPr>
              <w:jc w:val="center"/>
              <w:widowControl/>
              <w:rPr>
                <w:rFonts w:ascii="宋体" w:hAnsi="宋体" w:cs="宋体"/>
                <w:b/>
                <w:bCs/>
                <w:sz w:val="21"/>
                <w:szCs w:val="21"/>
              </w:rPr>
            </w:pPr>
            <w:r>
              <w:rPr>
                <w:rFonts w:hint="eastAsia" w:ascii="宋体" w:hAnsi="宋体" w:cs="宋体"/>
                <w:b/>
                <w:bCs/>
                <w:sz w:val="21"/>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1"/>
                <w:szCs w:val="21"/>
              </w:rPr>
            </w:pPr>
            <w:r>
              <w:rPr>
                <w:rFonts w:hint="eastAsia" w:ascii="宋体" w:hAnsi="宋体" w:cs="宋体"/>
                <w:b/>
                <w:bCs/>
                <w:sz w:val="21"/>
                <w:szCs w:val="21"/>
                <w:lang w:bidi="ar"/>
              </w:rPr>
              <w:t xml:space="preserve">合价（元）</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1"/>
                <w:szCs w:val="21"/>
              </w:rPr>
            </w:pPr>
            <w:r>
              <w:rPr>
                <w:rFonts w:hint="eastAsia" w:ascii="宋体" w:hAnsi="宋体" w:cs="宋体"/>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暂列金</w:t>
            </w:r>
            <w:r/>
          </w:p>
        </w:tc>
        <w:tc>
          <w:tcPr>
            <w:shd w:val="clear" w:color="auto" w:fill="ffffff"/>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widowControl/>
              <w:rPr>
                <w:rFonts w:ascii="宋体" w:hAnsi="宋体" w:cs="宋体"/>
                <w:sz w:val="21"/>
                <w:szCs w:val="21"/>
              </w:rPr>
            </w:pPr>
            <w:r>
              <w:rPr>
                <w:rFonts w:ascii="宋体" w:hAnsi="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1"/>
                <w:szCs w:val="21"/>
              </w:rPr>
            </w:pPr>
            <w:r>
              <w:rPr>
                <w:rFonts w:hint="eastAsia" w:ascii="等线" w:hAnsi="等线" w:eastAsia="等线" w:cs="等线"/>
                <w:sz w:val="21"/>
                <w:szCs w:val="21"/>
              </w:rPr>
              <w:t xml:space="preserve">60000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1"/>
                <w:szCs w:val="21"/>
              </w:rPr>
            </w:pPr>
            <w:r>
              <w:rPr>
                <w:rFonts w:hint="eastAsia" w:ascii="等线" w:hAnsi="等线" w:eastAsia="等线" w:cs="等线"/>
                <w:sz w:val="21"/>
                <w:szCs w:val="21"/>
              </w:rPr>
              <w:t xml:space="preserve">60000</w:t>
            </w:r>
            <w:r/>
          </w:p>
        </w:tc>
      </w:tr>
      <w:tr>
        <w:trPr>
          <w:jc w:val="center"/>
          <w:trHeight w:val="285"/>
        </w:trPr>
        <w:tc>
          <w:tcPr>
            <w:gridSpan w:val="7"/>
            <w:shd w:val="clear" w:color="auto" w:fill="ffffff"/>
            <w:tcBorders>
              <w:top w:val="single" w:color="000000" w:sz="4" w:space="0"/>
              <w:left w:val="single" w:color="000000" w:sz="4" w:space="0"/>
              <w:bottom w:val="single" w:color="000000" w:sz="4" w:space="0"/>
              <w:right w:val="single" w:color="000000" w:sz="4" w:space="0"/>
            </w:tcBorders>
            <w:tcW w:w="14038" w:type="dxa"/>
            <w:vAlign w:val="center"/>
            <w:textDirection w:val="lrTb"/>
            <w:noWrap/>
          </w:tcPr>
          <w:p>
            <w:pPr>
              <w:jc w:val="left"/>
              <w:widowControl/>
              <w:rPr>
                <w:rFonts w:ascii="宋体" w:hAnsi="宋体" w:cs="宋体"/>
                <w:b/>
                <w:bCs/>
                <w:sz w:val="21"/>
                <w:szCs w:val="21"/>
              </w:rPr>
            </w:pPr>
            <w:r>
              <w:rPr>
                <w:rFonts w:hint="eastAsia" w:ascii="宋体" w:hAnsi="宋体" w:cs="宋体"/>
                <w:b/>
                <w:bCs/>
                <w:sz w:val="21"/>
                <w:szCs w:val="21"/>
                <w:lang w:bidi="ar"/>
              </w:rPr>
              <w:t xml:space="preserve">注：</w:t>
            </w:r>
            <w:r>
              <w:rPr>
                <w:rFonts w:hint="eastAsia" w:ascii="宋体" w:hAnsi="宋体" w:cs="宋体"/>
                <w:sz w:val="18"/>
                <w:szCs w:val="18"/>
                <w:lang w:bidi="ar"/>
              </w:rPr>
              <w:t xml:space="preserve">本项目根据甲方要求进行二次深化设计。</w:t>
            </w:r>
            <w:r/>
          </w:p>
        </w:tc>
      </w:tr>
    </w:tbl>
    <w:p>
      <w:pPr>
        <w:pStyle w:val="1098"/>
        <w:ind w:left="0" w:right="-78"/>
        <w:spacing w:after="0"/>
        <w:rPr>
          <w:rFonts w:hint="default" w:ascii="宋体" w:hAnsi="宋体" w:cs="宋体"/>
          <w:sz w:val="24"/>
          <w:szCs w:val="24"/>
        </w:rPr>
      </w:pPr>
      <w:r>
        <w:rPr>
          <w:rFonts w:ascii="宋体" w:hAnsi="宋体" w:cs="宋体"/>
          <w:sz w:val="24"/>
          <w:szCs w:val="24"/>
        </w:rPr>
        <w:t xml:space="preserve">注：</w:t>
      </w:r>
      <w:r>
        <w:rPr>
          <w:rFonts w:ascii="宋体" w:hAnsi="宋体"/>
          <w:iCs/>
          <w:sz w:val="24"/>
          <w:szCs w:val="24"/>
        </w:rPr>
        <w:t xml:space="preserve">所投货物无法填写品牌(或生产企业)及型号</w:t>
      </w:r>
      <w:r>
        <w:rPr>
          <w:rFonts w:ascii="宋体" w:hAnsi="宋体" w:cs="宋体"/>
          <w:sz w:val="24"/>
          <w:szCs w:val="24"/>
        </w:rPr>
        <w:t xml:space="preserve">的，可以打“/”或写“定制”。</w:t>
      </w:r>
      <w:r/>
    </w:p>
    <w:p>
      <w:pPr>
        <w:ind w:left="0" w:firstLine="4759"/>
        <w:rPr>
          <w:rFonts w:ascii="宋体" w:hAnsi="宋体"/>
          <w:bCs/>
          <w:sz w:val="24"/>
        </w:rPr>
      </w:pPr>
      <w:r>
        <w:rPr>
          <w:rFonts w:hint="eastAsia" w:ascii="宋体" w:hAnsi="宋体"/>
          <w:bCs/>
          <w:sz w:val="24"/>
        </w:rPr>
        <w:t xml:space="preserve">供应商名称（公章）：</w:t>
      </w:r>
      <w:r/>
    </w:p>
    <w:p>
      <w:pPr>
        <w:ind w:left="0" w:firstLine="4759"/>
        <w:jc w:val="left"/>
        <w:rPr>
          <w:rFonts w:hint="eastAsia" w:ascii="宋体" w:hAnsi="宋体"/>
          <w:sz w:val="24"/>
        </w:rPr>
      </w:pPr>
      <w:r>
        <w:rPr>
          <w:rFonts w:hint="eastAsia" w:ascii="宋体" w:hAnsi="宋体"/>
          <w:sz w:val="24"/>
        </w:rPr>
        <w:t xml:space="preserve">法定代表人或者授权代表（签字或盖章）：</w:t>
      </w:r>
      <w:r/>
    </w:p>
    <w:p>
      <w:pPr>
        <w:ind w:left="0" w:firstLine="4759"/>
        <w:jc w:val="left"/>
        <w:rPr>
          <w:rFonts w:ascii="宋体" w:hAnsi="宋体"/>
          <w:sz w:val="24"/>
          <w:szCs w:val="21"/>
        </w:rPr>
      </w:pPr>
      <w:r>
        <w:rPr>
          <w:rFonts w:hint="eastAsia" w:ascii="宋体" w:hAnsi="宋体"/>
          <w:sz w:val="24"/>
        </w:rPr>
        <w:t xml:space="preserve">日期：</w:t>
      </w:r>
      <w:r/>
    </w:p>
    <w:p>
      <w:pPr>
        <w:jc w:val="center"/>
        <w:spacing w:before="50" w:line="360" w:lineRule="auto"/>
        <w:rPr>
          <w:rFonts w:ascii="宋体" w:hAnsi="宋体"/>
          <w:b/>
          <w:sz w:val="36"/>
          <w:szCs w:val="36"/>
        </w:rPr>
        <w:sectPr>
          <w:footnotePr/>
          <w:endnotePr/>
          <w:type w:val="nextPage"/>
          <w:pgSz w:w="16840" w:h="11907" w:orient="landscape"/>
          <w:pgMar w:top="1474" w:right="1134" w:bottom="1474" w:left="1134" w:header="851" w:footer="992" w:gutter="0"/>
          <w:cols w:num="1" w:sep="0" w:space="720" w:equalWidth="1"/>
          <w:docGrid w:linePitch="360"/>
          <w:titlePg/>
        </w:sectPr>
        <w:outlineLvl w:val="0"/>
      </w:pPr>
      <w:r>
        <w:rPr>
          <w:rFonts w:ascii="宋体" w:hAnsi="宋体"/>
          <w:b/>
          <w:sz w:val="36"/>
          <w:szCs w:val="36"/>
        </w:rPr>
      </w:r>
      <w:r/>
    </w:p>
    <w:p>
      <w:pPr>
        <w:pStyle w:val="1091"/>
        <w:ind w:firstLine="2209"/>
        <w:spacing w:line="420" w:lineRule="auto"/>
        <w:rPr>
          <w:rFonts w:ascii="黑体" w:eastAsia="黑体"/>
        </w:rPr>
      </w:pPr>
      <w:r>
        <w:rPr>
          <w:rFonts w:hint="eastAsia" w:ascii="黑体" w:eastAsia="黑体"/>
        </w:rPr>
        <w:t xml:space="preserve">第六部分  主要合同条款</w:t>
      </w:r>
      <w:r/>
    </w:p>
    <w:p>
      <w:pPr>
        <w:pStyle w:val="1118"/>
        <w:rPr>
          <w:rFonts w:hAnsi="宋体" w:cs="宋体"/>
          <w:sz w:val="24"/>
          <w:szCs w:val="24"/>
        </w:rPr>
      </w:pPr>
      <w:r/>
      <w:bookmarkStart w:id="82" w:name="_Hlt16619369"/>
      <w:r/>
      <w:bookmarkEnd w:id="82"/>
      <w:r>
        <w:rPr>
          <w:rFonts w:hint="eastAsia" w:hAnsi="宋体" w:cs="宋体"/>
          <w:sz w:val="24"/>
          <w:szCs w:val="24"/>
        </w:rPr>
        <w:t xml:space="preserve">项目名称： </w:t>
      </w:r>
      <w:r>
        <w:rPr>
          <w:rFonts w:hint="eastAsia" w:hAnsi="宋体" w:cs="宋体"/>
          <w:sz w:val="24"/>
          <w:szCs w:val="24"/>
          <w:u w:val="single"/>
        </w:rPr>
        <w:t xml:space="preserve">滨海县公安局为民办实事农村道路交通安全提升项目</w:t>
      </w:r>
      <w:r>
        <w:rPr>
          <w:rFonts w:hint="eastAsia" w:hAnsi="宋体" w:cs="宋体"/>
          <w:sz w:val="24"/>
          <w:szCs w:val="24"/>
          <w:u w:val="single"/>
          <w:lang w:eastAsia="zh-CN"/>
        </w:rPr>
        <w:t xml:space="preserve">（</w:t>
      </w:r>
      <w:r>
        <w:rPr>
          <w:rFonts w:hint="eastAsia" w:hAnsi="宋体" w:cs="宋体"/>
          <w:sz w:val="24"/>
          <w:szCs w:val="24"/>
          <w:u w:val="single"/>
          <w:lang w:val="en-US" w:eastAsia="zh-CN"/>
        </w:rPr>
        <w:t xml:space="preserve">二次</w:t>
      </w:r>
      <w:r>
        <w:rPr>
          <w:rFonts w:hint="eastAsia" w:hAnsi="宋体" w:cs="宋体"/>
          <w:sz w:val="24"/>
          <w:szCs w:val="24"/>
          <w:u w:val="single"/>
          <w:lang w:eastAsia="zh-CN"/>
        </w:rPr>
        <w:t xml:space="preserve">）</w:t>
      </w:r>
      <w:r>
        <w:rPr>
          <w:rFonts w:hint="eastAsia" w:hAnsi="宋体" w:cs="宋体"/>
          <w:sz w:val="24"/>
          <w:szCs w:val="24"/>
          <w:u w:val="single"/>
        </w:rPr>
        <w:t xml:space="preserve"> </w:t>
      </w:r>
      <w:r>
        <w:rPr>
          <w:rFonts w:hint="eastAsia" w:hAnsi="宋体" w:cs="宋体"/>
          <w:sz w:val="24"/>
          <w:szCs w:val="24"/>
        </w:rPr>
        <w:t xml:space="preserve"> </w:t>
      </w:r>
      <w:r/>
    </w:p>
    <w:p>
      <w:pPr>
        <w:pStyle w:val="1118"/>
        <w:rPr>
          <w:rFonts w:hAnsi="宋体" w:cs="宋体"/>
          <w:sz w:val="24"/>
          <w:szCs w:val="24"/>
        </w:rPr>
      </w:pPr>
      <w:r>
        <w:rPr>
          <w:rFonts w:hint="eastAsia" w:hAnsi="宋体" w:cs="宋体"/>
          <w:sz w:val="24"/>
          <w:szCs w:val="24"/>
        </w:rPr>
        <w:t xml:space="preserve">项目编号： </w:t>
      </w:r>
      <w:r>
        <w:rPr>
          <w:rFonts w:hint="eastAsia" w:hAnsi="宋体" w:cs="宋体"/>
          <w:sz w:val="24"/>
          <w:szCs w:val="24"/>
          <w:u w:val="single"/>
        </w:rPr>
        <w:t xml:space="preserve">             </w:t>
      </w:r>
      <w:r>
        <w:rPr>
          <w:rFonts w:hint="eastAsia" w:hAnsi="宋体" w:cs="宋体"/>
          <w:sz w:val="24"/>
          <w:szCs w:val="24"/>
        </w:rPr>
        <w:t xml:space="preserve">  </w:t>
      </w:r>
      <w:r/>
    </w:p>
    <w:p>
      <w:pPr>
        <w:pStyle w:val="1118"/>
        <w:rPr>
          <w:rFonts w:hAnsi="宋体" w:cs="宋体"/>
          <w:sz w:val="24"/>
          <w:szCs w:val="24"/>
        </w:rPr>
      </w:pPr>
      <w:r>
        <w:rPr>
          <w:rFonts w:hint="eastAsia" w:hAnsi="宋体" w:cs="宋体"/>
          <w:sz w:val="24"/>
          <w:szCs w:val="24"/>
        </w:rPr>
        <w:t xml:space="preserve">甲方：（买方）_________</w:t>
      </w:r>
      <w:r/>
    </w:p>
    <w:p>
      <w:pPr>
        <w:pStyle w:val="1118"/>
        <w:rPr>
          <w:rFonts w:hAnsi="宋体" w:cs="宋体"/>
          <w:sz w:val="24"/>
          <w:szCs w:val="24"/>
        </w:rPr>
      </w:pPr>
      <w:r>
        <w:rPr>
          <w:rFonts w:hint="eastAsia" w:hAnsi="宋体" w:cs="宋体"/>
          <w:sz w:val="24"/>
          <w:szCs w:val="24"/>
        </w:rPr>
        <w:t xml:space="preserve">乙方：（</w:t>
      </w:r>
      <w:bookmarkStart w:id="83" w:name="_Hlk150440961"/>
      <w:r>
        <w:rPr>
          <w:rFonts w:hint="eastAsia" w:hAnsi="宋体" w:cs="宋体"/>
          <w:sz w:val="24"/>
          <w:szCs w:val="24"/>
        </w:rPr>
        <w:t xml:space="preserve">卖方</w:t>
      </w:r>
      <w:bookmarkEnd w:id="83"/>
      <w:r>
        <w:rPr>
          <w:rFonts w:hint="eastAsia" w:hAnsi="宋体" w:cs="宋体"/>
          <w:sz w:val="24"/>
          <w:szCs w:val="24"/>
        </w:rPr>
        <w:t xml:space="preserve">）_________</w:t>
      </w:r>
      <w:r/>
    </w:p>
    <w:p>
      <w:pPr>
        <w:pStyle w:val="1118"/>
        <w:ind w:firstLine="480"/>
        <w:rPr>
          <w:rFonts w:hAnsi="宋体" w:cs="宋体"/>
          <w:b/>
          <w:sz w:val="24"/>
          <w:szCs w:val="24"/>
        </w:rPr>
      </w:pPr>
      <w:r>
        <w:rPr>
          <w:rFonts w:hint="eastAsia" w:hAnsi="宋体" w:cs="宋体"/>
          <w:sz w:val="24"/>
          <w:szCs w:val="24"/>
        </w:rPr>
        <w:t xml:space="preserve">甲、乙双方根据</w:t>
      </w:r>
      <w:r>
        <w:rPr>
          <w:rFonts w:hint="eastAsia" w:hAnsi="宋体" w:cs="宋体"/>
          <w:sz w:val="24"/>
          <w:szCs w:val="24"/>
          <w:u w:val="single"/>
        </w:rPr>
        <w:t xml:space="preserve">滨海县公安局为民办实事农村道路交通安全提升项目</w:t>
      </w:r>
      <w:r>
        <w:rPr>
          <w:rFonts w:hint="eastAsia" w:hAnsi="宋体" w:cs="宋体"/>
          <w:sz w:val="24"/>
          <w:szCs w:val="24"/>
          <w:u w:val="single"/>
          <w:lang w:eastAsia="zh-CN"/>
        </w:rPr>
        <w:t xml:space="preserve">（</w:t>
      </w:r>
      <w:r>
        <w:rPr>
          <w:rFonts w:hint="eastAsia" w:hAnsi="宋体" w:cs="宋体"/>
          <w:sz w:val="24"/>
          <w:szCs w:val="24"/>
          <w:u w:val="single"/>
          <w:lang w:val="en-US" w:eastAsia="zh-CN"/>
        </w:rPr>
        <w:t xml:space="preserve">二次</w:t>
      </w:r>
      <w:r>
        <w:rPr>
          <w:rFonts w:hint="eastAsia" w:hAnsi="宋体" w:cs="宋体"/>
          <w:sz w:val="24"/>
          <w:szCs w:val="24"/>
          <w:u w:val="single"/>
          <w:lang w:eastAsia="zh-CN"/>
        </w:rPr>
        <w:t xml:space="preserve">）</w:t>
      </w:r>
      <w:r>
        <w:rPr>
          <w:rFonts w:hint="eastAsia" w:hAnsi="宋体" w:cs="宋体"/>
          <w:sz w:val="24"/>
          <w:szCs w:val="24"/>
        </w:rPr>
        <w:t xml:space="preserve">公开招标的结果，签署本合同。</w:t>
      </w:r>
      <w:r/>
    </w:p>
    <w:p>
      <w:pPr>
        <w:pStyle w:val="1118"/>
        <w:ind w:firstLine="482"/>
        <w:rPr>
          <w:rFonts w:hAnsi="宋体" w:cs="宋体"/>
          <w:b/>
          <w:sz w:val="24"/>
          <w:szCs w:val="24"/>
        </w:rPr>
      </w:pPr>
      <w:r>
        <w:rPr>
          <w:rFonts w:hint="eastAsia" w:hAnsi="宋体" w:cs="宋体"/>
          <w:b/>
          <w:sz w:val="24"/>
          <w:szCs w:val="24"/>
        </w:rPr>
        <w:t xml:space="preserve">一、货物内容</w:t>
      </w:r>
      <w:r/>
    </w:p>
    <w:p>
      <w:pPr>
        <w:pStyle w:val="1118"/>
        <w:ind w:firstLine="480"/>
        <w:rPr>
          <w:rFonts w:hAnsi="宋体" w:cs="宋体"/>
          <w:sz w:val="24"/>
          <w:szCs w:val="24"/>
          <w:u w:val="none"/>
        </w:rPr>
      </w:pPr>
      <w:r>
        <w:rPr>
          <w:rFonts w:hint="eastAsia" w:hAnsi="宋体" w:cs="宋体"/>
          <w:sz w:val="24"/>
          <w:szCs w:val="24"/>
        </w:rPr>
        <w:t xml:space="preserve">1.1项目名称：滨海县公安局为民办实事农村道路交通安全提升项</w:t>
      </w:r>
      <w:r>
        <w:rPr>
          <w:rFonts w:hint="eastAsia" w:hAnsi="宋体" w:cs="宋体"/>
          <w:sz w:val="24"/>
          <w:szCs w:val="24"/>
          <w:u w:val="none"/>
        </w:rPr>
        <w:t xml:space="preserve">目</w:t>
      </w:r>
      <w:r>
        <w:rPr>
          <w:rFonts w:hint="eastAsia" w:hAnsi="宋体" w:cs="宋体"/>
          <w:sz w:val="24"/>
          <w:szCs w:val="24"/>
          <w:u w:val="none"/>
          <w:lang w:eastAsia="zh-CN"/>
        </w:rPr>
        <w:t xml:space="preserve">（</w:t>
      </w:r>
      <w:r>
        <w:rPr>
          <w:rFonts w:hint="eastAsia" w:hAnsi="宋体" w:cs="宋体"/>
          <w:sz w:val="24"/>
          <w:szCs w:val="24"/>
          <w:u w:val="none"/>
          <w:lang w:val="en-US" w:eastAsia="zh-CN"/>
        </w:rPr>
        <w:t xml:space="preserve">二次</w:t>
      </w:r>
      <w:r>
        <w:rPr>
          <w:rFonts w:hint="eastAsia" w:hAnsi="宋体" w:cs="宋体"/>
          <w:sz w:val="24"/>
          <w:szCs w:val="24"/>
          <w:u w:val="none"/>
          <w:lang w:eastAsia="zh-CN"/>
        </w:rPr>
        <w:t xml:space="preserve">）</w:t>
      </w:r>
      <w:r/>
    </w:p>
    <w:p>
      <w:pPr>
        <w:pStyle w:val="1118"/>
        <w:ind w:firstLine="480"/>
        <w:rPr>
          <w:rFonts w:hAnsi="宋体" w:cs="宋体"/>
          <w:sz w:val="24"/>
          <w:szCs w:val="24"/>
        </w:rPr>
      </w:pPr>
      <w:r>
        <w:rPr>
          <w:rFonts w:hint="eastAsia" w:hAnsi="宋体" w:cs="宋体"/>
          <w:sz w:val="24"/>
          <w:szCs w:val="24"/>
        </w:rPr>
        <w:t xml:space="preserve">1.2项目内容：</w:t>
      </w:r>
      <w:r/>
    </w:p>
    <w:p>
      <w:pPr>
        <w:pStyle w:val="1118"/>
        <w:ind w:firstLine="480"/>
        <w:rPr>
          <w:rFonts w:hAnsi="宋体" w:cs="宋体"/>
          <w:sz w:val="24"/>
          <w:szCs w:val="24"/>
        </w:rPr>
      </w:pPr>
      <w:r>
        <w:rPr>
          <w:rFonts w:hint="eastAsia" w:hAnsi="宋体" w:cs="宋体"/>
          <w:sz w:val="24"/>
          <w:szCs w:val="24"/>
        </w:rPr>
        <w:t xml:space="preserve">1.3合同履行期限：</w:t>
      </w:r>
      <w:r/>
    </w:p>
    <w:p>
      <w:pPr>
        <w:pStyle w:val="1118"/>
        <w:ind w:firstLine="482"/>
        <w:rPr>
          <w:rFonts w:hAnsi="宋体" w:cs="宋体"/>
          <w:b/>
          <w:sz w:val="24"/>
          <w:szCs w:val="24"/>
        </w:rPr>
      </w:pPr>
      <w:r>
        <w:rPr>
          <w:rFonts w:hint="eastAsia" w:hAnsi="宋体" w:cs="宋体"/>
          <w:b/>
          <w:sz w:val="24"/>
          <w:szCs w:val="24"/>
        </w:rPr>
        <w:t xml:space="preserve">二、合同金额</w:t>
      </w:r>
      <w:r/>
    </w:p>
    <w:p>
      <w:pPr>
        <w:pStyle w:val="1118"/>
        <w:ind w:firstLine="480"/>
        <w:rPr>
          <w:rFonts w:hAnsi="宋体" w:cs="宋体"/>
          <w:sz w:val="24"/>
          <w:szCs w:val="24"/>
        </w:rPr>
      </w:pPr>
      <w:r>
        <w:rPr>
          <w:rFonts w:hint="eastAsia" w:hAnsi="宋体" w:cs="宋体"/>
          <w:sz w:val="24"/>
          <w:szCs w:val="24"/>
        </w:rPr>
        <w:t xml:space="preserve">2.1 本合同金额为（大写）：________元（_______________元）人民币或其他币种。</w:t>
      </w:r>
      <w:r/>
    </w:p>
    <w:p>
      <w:pPr>
        <w:pStyle w:val="1118"/>
        <w:ind w:firstLine="482"/>
        <w:rPr>
          <w:rFonts w:hAnsi="宋体" w:cs="宋体"/>
          <w:b/>
          <w:sz w:val="24"/>
          <w:szCs w:val="24"/>
        </w:rPr>
      </w:pPr>
      <w:r>
        <w:rPr>
          <w:rFonts w:hint="eastAsia" w:hAnsi="宋体" w:cs="宋体"/>
          <w:b/>
          <w:sz w:val="24"/>
          <w:szCs w:val="24"/>
        </w:rPr>
        <w:t xml:space="preserve">三、技术资料</w:t>
      </w:r>
      <w:r/>
    </w:p>
    <w:p>
      <w:pPr>
        <w:ind w:firstLine="480"/>
        <w:rPr>
          <w:rFonts w:ascii="宋体" w:hAnsi="宋体" w:cs="宋体"/>
          <w:sz w:val="24"/>
          <w:szCs w:val="24"/>
        </w:rPr>
      </w:pPr>
      <w:r>
        <w:rPr>
          <w:rFonts w:hint="eastAsia" w:ascii="宋体" w:hAnsi="宋体" w:cs="宋体"/>
          <w:sz w:val="24"/>
          <w:szCs w:val="24"/>
        </w:rPr>
        <w:t xml:space="preserve">3.1 乙方应按招标文件规定的时间向甲方提供使用货物的有关技术资料。</w:t>
      </w:r>
      <w:r/>
    </w:p>
    <w:p>
      <w:pPr>
        <w:ind w:firstLine="480"/>
        <w:rPr>
          <w:rFonts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pStyle w:val="1118"/>
        <w:ind w:firstLine="482"/>
        <w:rPr>
          <w:rFonts w:hAnsi="宋体" w:cs="宋体"/>
          <w:b/>
          <w:sz w:val="24"/>
          <w:szCs w:val="24"/>
        </w:rPr>
      </w:pPr>
      <w:r>
        <w:rPr>
          <w:rFonts w:hint="eastAsia" w:hAnsi="宋体" w:cs="宋体"/>
          <w:b/>
          <w:sz w:val="24"/>
          <w:szCs w:val="24"/>
        </w:rPr>
        <w:t xml:space="preserve">四、知识产权</w:t>
      </w:r>
      <w:r/>
    </w:p>
    <w:p>
      <w:pPr>
        <w:ind w:firstLine="480"/>
        <w:rPr>
          <w:rFonts w:ascii="宋体" w:hAnsi="宋体" w:cs="宋体"/>
          <w:sz w:val="24"/>
          <w:szCs w:val="24"/>
        </w:rPr>
      </w:pPr>
      <w:r>
        <w:rPr>
          <w:rFonts w:hint="eastAsia" w:ascii="宋体" w:hAnsi="宋体" w:cs="宋体"/>
          <w:sz w:val="24"/>
          <w:szCs w:val="24"/>
        </w:rPr>
        <w:t xml:space="preserve">4.1 乙方应保证甲方在使用、接受本合同货物和服务或其任何一部分时不受第三方提出侵犯其专利权、版权、商标权和工业设计权等知识产权的起诉；一旦出现侵权，由乙方负全部责任，包括合同到期后的继续使用。</w:t>
      </w:r>
      <w:r/>
    </w:p>
    <w:p>
      <w:pPr>
        <w:pStyle w:val="1118"/>
        <w:ind w:firstLine="482"/>
        <w:rPr>
          <w:rFonts w:hAnsi="宋体" w:cs="宋体"/>
          <w:b/>
          <w:sz w:val="24"/>
          <w:szCs w:val="24"/>
        </w:rPr>
      </w:pPr>
      <w:r>
        <w:rPr>
          <w:rFonts w:hint="eastAsia" w:hAnsi="宋体" w:cs="宋体"/>
          <w:b/>
          <w:sz w:val="24"/>
          <w:szCs w:val="24"/>
        </w:rPr>
        <w:t xml:space="preserve">五、产权担保</w:t>
      </w:r>
      <w:r/>
    </w:p>
    <w:p>
      <w:pPr>
        <w:ind w:firstLine="480"/>
        <w:rPr>
          <w:rFonts w:ascii="宋体" w:hAnsi="宋体" w:cs="宋体"/>
          <w:sz w:val="24"/>
          <w:szCs w:val="24"/>
        </w:rPr>
      </w:pPr>
      <w:r>
        <w:rPr>
          <w:rFonts w:hint="eastAsia" w:ascii="宋体" w:hAnsi="宋体" w:cs="宋体"/>
          <w:sz w:val="24"/>
          <w:szCs w:val="24"/>
        </w:rPr>
        <w:t xml:space="preserve">5.1 乙方保证所交付的货物的所有权完全属于乙方且无任何抵押、查封等产权瑕疵。</w:t>
      </w:r>
      <w:r/>
    </w:p>
    <w:p>
      <w:pPr>
        <w:pStyle w:val="1118"/>
        <w:ind w:firstLine="482"/>
        <w:rPr>
          <w:rFonts w:hAnsi="宋体" w:cs="宋体"/>
          <w:b/>
          <w:sz w:val="24"/>
          <w:szCs w:val="24"/>
        </w:rPr>
      </w:pPr>
      <w:r>
        <w:rPr>
          <w:rFonts w:hint="eastAsia" w:hAnsi="宋体" w:cs="宋体"/>
          <w:b/>
          <w:sz w:val="24"/>
          <w:szCs w:val="24"/>
        </w:rPr>
        <w:t xml:space="preserve">六、履约保证金</w:t>
      </w:r>
      <w:r/>
    </w:p>
    <w:p>
      <w:pPr>
        <w:ind w:firstLine="480"/>
        <w:jc w:val="left"/>
        <w:tabs>
          <w:tab w:val="left" w:pos="900" w:leader="none"/>
        </w:tabs>
        <w:rPr>
          <w:rFonts w:hAnsi="宋体" w:cs="宋体"/>
          <w:sz w:val="24"/>
          <w:szCs w:val="24"/>
        </w:rPr>
      </w:pPr>
      <w:r>
        <w:rPr>
          <w:rFonts w:hint="eastAsia" w:hAnsi="宋体" w:cs="宋体"/>
          <w:sz w:val="24"/>
          <w:szCs w:val="24"/>
        </w:rPr>
        <w:t xml:space="preserve">6.1</w:t>
      </w:r>
      <w:r>
        <w:rPr>
          <w:rFonts w:hint="eastAsia" w:ascii="宋体" w:hAnsi="宋体" w:cs="宋体"/>
          <w:sz w:val="24"/>
          <w:szCs w:val="24"/>
        </w:rPr>
        <w:t xml:space="preserve"> </w:t>
      </w:r>
      <w:r>
        <w:rPr>
          <w:rFonts w:hint="eastAsia" w:ascii="宋体" w:hAnsi="宋体"/>
          <w:sz w:val="24"/>
        </w:rPr>
        <w:t xml:space="preserve">签订合同前，乙方须向甲方交纳履约保证金（人民币：大写</w:t>
      </w:r>
      <w:r>
        <w:rPr>
          <w:rFonts w:hint="eastAsia" w:ascii="宋体" w:hAnsi="宋体"/>
          <w:sz w:val="24"/>
          <w:u w:val="single"/>
        </w:rPr>
        <w:t xml:space="preserve">           </w:t>
      </w:r>
      <w:r>
        <w:rPr>
          <w:rFonts w:ascii="Arial" w:hAnsi="Arial" w:cs="Arial"/>
          <w:sz w:val="24"/>
        </w:rPr>
        <w:t xml:space="preserve">¥</w:t>
      </w:r>
      <w:r>
        <w:rPr>
          <w:rFonts w:hint="eastAsia" w:ascii="宋体" w:hAnsi="宋体"/>
          <w:sz w:val="24"/>
          <w:u w:val="single"/>
        </w:rPr>
        <w:t xml:space="preserve">         </w:t>
      </w:r>
      <w:r>
        <w:rPr>
          <w:rFonts w:hint="eastAsia" w:ascii="宋体" w:hAnsi="宋体"/>
          <w:sz w:val="24"/>
        </w:rPr>
        <w:t xml:space="preserve">元，以支票、汇票、本票或者金融机构、担保机构出具的保函等非现金形式提交）。</w:t>
      </w:r>
      <w:r/>
    </w:p>
    <w:p>
      <w:pPr>
        <w:ind w:firstLine="480"/>
        <w:tabs>
          <w:tab w:val="left" w:pos="900" w:leader="none"/>
        </w:tabs>
        <w:rPr>
          <w:rFonts w:ascii="宋体" w:hAnsi="宋体"/>
          <w:sz w:val="24"/>
          <w:lang w:val="zh-CN"/>
        </w:rPr>
      </w:pPr>
      <w:r>
        <w:rPr>
          <w:rFonts w:hint="eastAsia" w:ascii="宋体" w:hAnsi="宋体"/>
          <w:sz w:val="24"/>
        </w:rPr>
        <w:t xml:space="preserve">6.2</w:t>
      </w:r>
      <w:r>
        <w:rPr>
          <w:rFonts w:hint="eastAsia" w:ascii="宋体" w:hAnsi="宋体" w:cs="宋体"/>
          <w:sz w:val="24"/>
          <w:szCs w:val="24"/>
        </w:rPr>
        <w:t xml:space="preserve"> </w:t>
      </w:r>
      <w:r>
        <w:rPr>
          <w:rFonts w:hint="eastAsia" w:ascii="宋体" w:hAnsi="宋体"/>
          <w:sz w:val="24"/>
        </w:rPr>
        <w:t xml:space="preserve">乙方</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甲方</w:t>
      </w:r>
      <w:r>
        <w:rPr>
          <w:rFonts w:hint="eastAsia" w:ascii="宋体" w:hAnsi="宋体"/>
          <w:sz w:val="24"/>
          <w:lang w:val="zh-CN"/>
        </w:rPr>
        <w:t xml:space="preserve">提交本单位有效期内的第三方信用报告，且信用评级在AA级及以上的，</w:t>
      </w:r>
      <w:r>
        <w:rPr>
          <w:rFonts w:hint="eastAsia" w:ascii="宋体" w:hAnsi="宋体"/>
          <w:sz w:val="24"/>
        </w:rPr>
        <w:t xml:space="preserve">乙方</w:t>
      </w:r>
      <w:r>
        <w:rPr>
          <w:rFonts w:hint="eastAsia" w:ascii="宋体" w:hAnsi="宋体"/>
          <w:sz w:val="24"/>
          <w:lang w:val="zh-CN"/>
        </w:rPr>
        <w:t xml:space="preserve">可享受政府采购供应商履约保证金减免（即为全免）政策（具体减免政策请参见滨办通〔2021〕73号文件）。信用报告是指</w:t>
      </w:r>
      <w:r>
        <w:rPr>
          <w:rFonts w:hint="eastAsia" w:ascii="宋体" w:hAnsi="宋体"/>
          <w:sz w:val="24"/>
        </w:rPr>
        <w:t xml:space="preserve">乙方</w:t>
      </w:r>
      <w:r>
        <w:rPr>
          <w:rFonts w:hint="eastAsia" w:ascii="宋体" w:hAnsi="宋体"/>
          <w:sz w:val="24"/>
          <w:lang w:val="zh-CN"/>
        </w:rPr>
        <w:t xml:space="preserve">委托经信用管理部门备案的第三方信用服务机构，按照相关标准出具的综合性信用评价报告。办理第三方信用报告的具体事项请咨询滨海县信用办，联系电话：0515-68982013。</w:t>
      </w:r>
      <w:r/>
    </w:p>
    <w:p>
      <w:pPr>
        <w:ind w:firstLine="480"/>
        <w:tabs>
          <w:tab w:val="left" w:pos="900" w:leader="none"/>
        </w:tabs>
        <w:rPr>
          <w:rFonts w:ascii="宋体" w:hAnsi="宋体"/>
          <w:sz w:val="24"/>
          <w:lang w:val="zh-CN"/>
        </w:rPr>
      </w:pPr>
      <w:r>
        <w:rPr>
          <w:rFonts w:hint="eastAsia" w:ascii="宋体" w:hAnsi="宋体"/>
          <w:sz w:val="24"/>
        </w:rPr>
        <w:t xml:space="preserve">6.3</w:t>
      </w:r>
      <w:r>
        <w:rPr>
          <w:rFonts w:hint="eastAsia" w:ascii="宋体" w:hAnsi="宋体" w:cs="宋体"/>
          <w:sz w:val="24"/>
          <w:szCs w:val="24"/>
        </w:rPr>
        <w:t xml:space="preserve"> </w:t>
      </w:r>
      <w:r>
        <w:rPr>
          <w:rFonts w:hint="eastAsia" w:ascii="宋体" w:hAnsi="宋体"/>
          <w:sz w:val="24"/>
          <w:lang w:val="zh-CN"/>
        </w:rPr>
        <w:t xml:space="preserve">履约保证金用以约束</w:t>
      </w:r>
      <w:r>
        <w:rPr>
          <w:rFonts w:hint="eastAsia" w:ascii="宋体" w:hAnsi="宋体"/>
          <w:sz w:val="24"/>
        </w:rPr>
        <w:t xml:space="preserve">乙方</w:t>
      </w:r>
      <w:r>
        <w:rPr>
          <w:rFonts w:hint="eastAsia" w:ascii="宋体" w:hAnsi="宋体"/>
          <w:sz w:val="24"/>
          <w:lang w:val="zh-CN"/>
        </w:rPr>
        <w:t xml:space="preserve">在合同履行中的行为，弥补合同执行中由于</w:t>
      </w:r>
      <w:r>
        <w:rPr>
          <w:rFonts w:hint="eastAsia" w:ascii="宋体" w:hAnsi="宋体"/>
          <w:sz w:val="24"/>
        </w:rPr>
        <w:t xml:space="preserve">乙方</w:t>
      </w:r>
      <w:r>
        <w:rPr>
          <w:rFonts w:hint="eastAsia" w:ascii="宋体" w:hAnsi="宋体"/>
          <w:sz w:val="24"/>
          <w:lang w:val="zh-CN"/>
        </w:rPr>
        <w:t xml:space="preserve">自身行为可能给</w:t>
      </w:r>
      <w:r>
        <w:rPr>
          <w:rFonts w:hint="eastAsia" w:ascii="宋体" w:hAnsi="宋体"/>
          <w:sz w:val="24"/>
        </w:rPr>
        <w:t xml:space="preserve">甲方</w:t>
      </w:r>
      <w:r>
        <w:rPr>
          <w:rFonts w:hint="eastAsia" w:ascii="宋体" w:hAnsi="宋体"/>
          <w:sz w:val="24"/>
          <w:lang w:val="zh-CN"/>
        </w:rPr>
        <w:t xml:space="preserve">带来的各种损失。</w:t>
      </w:r>
      <w:r>
        <w:rPr>
          <w:rFonts w:hint="eastAsia" w:ascii="宋体" w:hAnsi="宋体"/>
          <w:sz w:val="24"/>
        </w:rPr>
        <w:t xml:space="preserve">乙方履行合同</w:t>
      </w:r>
      <w:r>
        <w:rPr>
          <w:rFonts w:hint="eastAsia" w:ascii="宋体" w:hAnsi="宋体"/>
          <w:sz w:val="24"/>
          <w:lang w:val="zh-CN"/>
        </w:rPr>
        <w:t xml:space="preserve">违约时，</w:t>
      </w:r>
      <w:r>
        <w:rPr>
          <w:rFonts w:hint="eastAsia" w:ascii="宋体" w:hAnsi="宋体"/>
          <w:sz w:val="24"/>
        </w:rPr>
        <w:t xml:space="preserve">甲方</w:t>
      </w:r>
      <w:r>
        <w:rPr>
          <w:rFonts w:hint="eastAsia" w:ascii="宋体" w:hAnsi="宋体"/>
          <w:sz w:val="24"/>
          <w:lang w:val="zh-CN"/>
        </w:rPr>
        <w:t xml:space="preserve">按合同约定扣除全部或部分履约保证金。如违约给</w:t>
      </w:r>
      <w:r>
        <w:rPr>
          <w:rFonts w:hint="eastAsia" w:ascii="宋体" w:hAnsi="宋体"/>
          <w:sz w:val="24"/>
        </w:rPr>
        <w:t xml:space="preserve">甲方</w:t>
      </w:r>
      <w:r>
        <w:rPr>
          <w:rFonts w:hint="eastAsia" w:ascii="宋体" w:hAnsi="宋体"/>
          <w:sz w:val="24"/>
          <w:lang w:val="zh-CN"/>
        </w:rPr>
        <w:t xml:space="preserve">造成的损失超过履约保证金的，还应当依法赔偿超过部分的损失。</w:t>
      </w:r>
      <w:r/>
    </w:p>
    <w:p>
      <w:pPr>
        <w:ind w:firstLine="480"/>
        <w:tabs>
          <w:tab w:val="left" w:pos="900" w:leader="none"/>
        </w:tabs>
        <w:rPr>
          <w:rFonts w:ascii="宋体" w:hAnsi="宋体"/>
          <w:sz w:val="24"/>
          <w:lang w:val="zh-CN"/>
        </w:rPr>
      </w:pPr>
      <w:r>
        <w:rPr>
          <w:rFonts w:hint="eastAsia" w:ascii="宋体" w:hAnsi="宋体"/>
          <w:sz w:val="24"/>
        </w:rPr>
        <w:t xml:space="preserve">6.4</w:t>
      </w:r>
      <w:r>
        <w:rPr>
          <w:rFonts w:hint="eastAsia" w:ascii="宋体" w:hAnsi="宋体" w:cs="宋体"/>
          <w:sz w:val="24"/>
          <w:szCs w:val="24"/>
        </w:rPr>
        <w:t xml:space="preserve"> </w:t>
      </w:r>
      <w:r>
        <w:rPr>
          <w:rFonts w:hint="eastAsia" w:ascii="宋体" w:hAnsi="宋体"/>
          <w:sz w:val="24"/>
          <w:lang w:val="zh-CN"/>
        </w:rPr>
        <w:t xml:space="preserve">履约保证金的退还：</w:t>
      </w:r>
      <w:r/>
    </w:p>
    <w:p>
      <w:pPr>
        <w:ind w:firstLine="480"/>
        <w:tabs>
          <w:tab w:val="left" w:pos="900" w:leader="none"/>
        </w:tabs>
        <w:rPr>
          <w:rFonts w:ascii="宋体" w:hAnsi="宋体"/>
          <w:sz w:val="24"/>
          <w:lang w:val="zh-CN"/>
        </w:rPr>
      </w:pPr>
      <w:r>
        <w:rPr>
          <w:rFonts w:hint="eastAsia" w:ascii="宋体" w:hAnsi="宋体"/>
          <w:sz w:val="24"/>
        </w:rPr>
        <w:t xml:space="preserve">6.4.1 </w:t>
      </w:r>
      <w:r>
        <w:rPr>
          <w:rFonts w:hint="eastAsia" w:ascii="宋体" w:hAnsi="宋体"/>
          <w:sz w:val="24"/>
          <w:lang w:val="zh-CN"/>
        </w:rPr>
        <w:t xml:space="preserve">方式：退还至</w:t>
      </w:r>
      <w:r>
        <w:rPr>
          <w:rFonts w:hint="eastAsia" w:ascii="宋体" w:hAnsi="宋体"/>
          <w:sz w:val="24"/>
        </w:rPr>
        <w:t xml:space="preserve">乙方</w:t>
      </w:r>
      <w:r>
        <w:rPr>
          <w:rFonts w:hint="eastAsia" w:ascii="宋体" w:hAnsi="宋体"/>
          <w:sz w:val="24"/>
          <w:lang w:val="zh-CN"/>
        </w:rPr>
        <w:t xml:space="preserve">缴纳履约保证金的账户。</w:t>
      </w:r>
      <w:r>
        <w:rPr>
          <w:rFonts w:hint="eastAsia" w:ascii="宋体" w:hAnsi="宋体"/>
          <w:sz w:val="24"/>
        </w:rPr>
        <w:t xml:space="preserve">如为</w:t>
      </w:r>
      <w:r>
        <w:rPr>
          <w:rFonts w:hint="eastAsia" w:ascii="宋体" w:hAnsi="宋体"/>
          <w:sz w:val="24"/>
          <w:lang w:val="zh-CN"/>
        </w:rPr>
        <w:t xml:space="preserve">保函，在到期</w:t>
      </w:r>
      <w:r>
        <w:rPr>
          <w:rFonts w:hint="eastAsia" w:ascii="宋体" w:hAnsi="宋体"/>
          <w:sz w:val="24"/>
        </w:rPr>
        <w:t xml:space="preserve">时</w:t>
      </w:r>
      <w:r>
        <w:rPr>
          <w:rFonts w:hint="eastAsia" w:ascii="宋体" w:hAnsi="宋体"/>
          <w:sz w:val="24"/>
          <w:lang w:val="zh-CN"/>
        </w:rPr>
        <w:t xml:space="preserve">自行失效。</w:t>
      </w:r>
      <w:r/>
    </w:p>
    <w:p>
      <w:pPr>
        <w:ind w:firstLine="480"/>
        <w:tabs>
          <w:tab w:val="left" w:pos="900" w:leader="none"/>
        </w:tabs>
        <w:rPr>
          <w:rFonts w:ascii="宋体" w:hAnsi="宋体"/>
          <w:sz w:val="24"/>
        </w:rPr>
      </w:pPr>
      <w:r>
        <w:rPr>
          <w:rFonts w:hint="eastAsia" w:ascii="宋体" w:hAnsi="宋体"/>
          <w:sz w:val="24"/>
        </w:rPr>
        <w:t xml:space="preserve">6.4.2 </w:t>
      </w:r>
      <w:r>
        <w:rPr>
          <w:rFonts w:hint="eastAsia" w:ascii="宋体" w:hAnsi="宋体"/>
          <w:sz w:val="24"/>
          <w:lang w:val="zh-CN"/>
        </w:rPr>
        <w:t xml:space="preserve">时间：</w:t>
      </w:r>
      <w:r>
        <w:rPr>
          <w:rFonts w:hint="eastAsia" w:ascii="宋体" w:hAnsi="宋体"/>
          <w:sz w:val="24"/>
        </w:rPr>
        <w:t xml:space="preserve">至</w:t>
      </w:r>
      <w:r>
        <w:rPr>
          <w:rFonts w:hint="eastAsia" w:ascii="宋体" w:hAnsi="宋体"/>
          <w:sz w:val="24"/>
          <w:lang w:val="zh-CN"/>
        </w:rPr>
        <w:t xml:space="preserve">验收合格且</w:t>
      </w:r>
      <w:r>
        <w:rPr>
          <w:rFonts w:hint="eastAsia" w:ascii="宋体" w:hAnsi="宋体"/>
          <w:sz w:val="24"/>
        </w:rPr>
        <w:t xml:space="preserve">甲方</w:t>
      </w:r>
      <w:r>
        <w:rPr>
          <w:rFonts w:hint="eastAsia" w:ascii="宋体" w:hAnsi="宋体"/>
          <w:sz w:val="24"/>
          <w:lang w:val="zh-CN"/>
        </w:rPr>
        <w:t xml:space="preserve">收到发票后</w:t>
      </w:r>
      <w:r>
        <w:rPr>
          <w:rFonts w:hint="eastAsia" w:ascii="宋体" w:hAnsi="宋体"/>
          <w:sz w:val="24"/>
        </w:rPr>
        <w:t xml:space="preserve">10个工作日内。</w:t>
      </w:r>
      <w:r/>
    </w:p>
    <w:p>
      <w:pPr>
        <w:ind w:firstLine="480"/>
        <w:tabs>
          <w:tab w:val="left" w:pos="900" w:leader="none"/>
        </w:tabs>
        <w:rPr>
          <w:rFonts w:ascii="宋体" w:hAnsi="宋体"/>
          <w:sz w:val="24"/>
          <w:lang w:val="zh-CN"/>
        </w:rPr>
      </w:pPr>
      <w:r>
        <w:rPr>
          <w:rFonts w:hint="eastAsia" w:ascii="宋体" w:hAnsi="宋体"/>
          <w:sz w:val="24"/>
        </w:rPr>
        <w:t xml:space="preserve">6.4.3 </w:t>
      </w:r>
      <w:r>
        <w:rPr>
          <w:rFonts w:hint="eastAsia" w:ascii="宋体" w:hAnsi="宋体"/>
          <w:sz w:val="24"/>
          <w:lang w:val="zh-CN"/>
        </w:rPr>
        <w:t xml:space="preserve">条件：按合同要求全部履约完成并经</w:t>
      </w:r>
      <w:r>
        <w:rPr>
          <w:rFonts w:hint="eastAsia" w:ascii="宋体" w:hAnsi="宋体"/>
          <w:sz w:val="24"/>
        </w:rPr>
        <w:t xml:space="preserve">甲方</w:t>
      </w:r>
      <w:r>
        <w:rPr>
          <w:rFonts w:hint="eastAsia" w:ascii="宋体" w:hAnsi="宋体"/>
          <w:sz w:val="24"/>
          <w:lang w:val="zh-CN"/>
        </w:rPr>
        <w:t xml:space="preserve">验收合格，且</w:t>
      </w:r>
      <w:r>
        <w:rPr>
          <w:rFonts w:hint="eastAsia" w:ascii="宋体" w:hAnsi="宋体"/>
          <w:sz w:val="24"/>
        </w:rPr>
        <w:t xml:space="preserve">甲方</w:t>
      </w:r>
      <w:r>
        <w:rPr>
          <w:rFonts w:hint="eastAsia" w:ascii="宋体" w:hAnsi="宋体"/>
          <w:sz w:val="24"/>
          <w:lang w:val="zh-CN"/>
        </w:rPr>
        <w:t xml:space="preserve">收到</w:t>
      </w:r>
      <w:r>
        <w:rPr>
          <w:rFonts w:hint="eastAsia" w:ascii="宋体" w:hAnsi="宋体"/>
          <w:sz w:val="24"/>
        </w:rPr>
        <w:t xml:space="preserve">乙方</w:t>
      </w:r>
      <w:r>
        <w:rPr>
          <w:rFonts w:hint="eastAsia" w:ascii="宋体" w:hAnsi="宋体"/>
          <w:sz w:val="24"/>
          <w:lang w:val="zh-CN"/>
        </w:rPr>
        <w:t xml:space="preserve">出具的发票。</w:t>
      </w:r>
      <w:r/>
    </w:p>
    <w:p>
      <w:pPr>
        <w:ind w:firstLine="480"/>
        <w:tabs>
          <w:tab w:val="left" w:pos="900" w:leader="none"/>
        </w:tabs>
        <w:rPr>
          <w:rFonts w:ascii="宋体" w:hAnsi="宋体"/>
          <w:sz w:val="24"/>
          <w:lang w:val="zh-CN"/>
        </w:rPr>
      </w:pPr>
      <w:r>
        <w:rPr>
          <w:rFonts w:hint="eastAsia" w:ascii="宋体" w:hAnsi="宋体"/>
          <w:sz w:val="24"/>
        </w:rPr>
        <w:t xml:space="preserve">6.4.4 </w:t>
      </w:r>
      <w:r>
        <w:rPr>
          <w:rFonts w:hint="eastAsia" w:ascii="宋体" w:hAnsi="宋体"/>
          <w:sz w:val="24"/>
          <w:lang w:val="zh-CN"/>
        </w:rPr>
        <w:t xml:space="preserve">不予退还情形：</w:t>
      </w:r>
      <w:r/>
    </w:p>
    <w:p>
      <w:pPr>
        <w:ind w:firstLine="480"/>
        <w:tabs>
          <w:tab w:val="left" w:pos="900" w:leader="none"/>
        </w:tabs>
        <w:rPr>
          <w:rFonts w:ascii="宋体" w:hAnsi="宋体"/>
          <w:sz w:val="24"/>
          <w:lang w:val="zh-CN"/>
        </w:rPr>
      </w:pPr>
      <w:r>
        <w:rPr>
          <w:rFonts w:hint="eastAsia" w:ascii="宋体" w:hAnsi="宋体"/>
          <w:sz w:val="24"/>
          <w:lang w:val="zh-CN"/>
        </w:rPr>
        <w:t xml:space="preserve">除不可抗力情况外，</w:t>
      </w:r>
      <w:r>
        <w:rPr>
          <w:rFonts w:hint="eastAsia" w:ascii="宋体" w:hAnsi="宋体"/>
          <w:sz w:val="24"/>
        </w:rPr>
        <w:t xml:space="preserve">乙方</w:t>
      </w:r>
      <w:r>
        <w:rPr>
          <w:rFonts w:hint="eastAsia" w:ascii="宋体" w:hAnsi="宋体"/>
          <w:sz w:val="24"/>
          <w:lang w:val="zh-CN"/>
        </w:rPr>
        <w:t xml:space="preserve">出现下列情形之一的，</w:t>
      </w:r>
      <w:r>
        <w:rPr>
          <w:rFonts w:hint="eastAsia" w:ascii="宋体" w:hAnsi="宋体"/>
          <w:sz w:val="24"/>
        </w:rPr>
        <w:t xml:space="preserve">其履约保证金，甲方</w:t>
      </w:r>
      <w:r>
        <w:rPr>
          <w:rFonts w:hint="eastAsia" w:ascii="宋体" w:hAnsi="宋体"/>
          <w:sz w:val="24"/>
          <w:lang w:val="zh-CN"/>
        </w:rPr>
        <w:t xml:space="preserve">将视情节</w:t>
      </w:r>
      <w:r>
        <w:rPr>
          <w:rFonts w:hint="eastAsia" w:ascii="宋体" w:hAnsi="宋体"/>
          <w:sz w:val="24"/>
        </w:rPr>
        <w:t xml:space="preserve">决定不予退还或部分不予退还。</w:t>
      </w:r>
      <w:r/>
    </w:p>
    <w:p>
      <w:pPr>
        <w:ind w:firstLine="480"/>
        <w:tabs>
          <w:tab w:val="left" w:pos="900" w:leader="none"/>
        </w:tabs>
        <w:rPr>
          <w:rFonts w:ascii="宋体" w:hAnsi="宋体"/>
          <w:sz w:val="24"/>
          <w:lang w:val="zh-CN"/>
        </w:rPr>
      </w:pPr>
      <w:r>
        <w:rPr>
          <w:rFonts w:hint="eastAsia" w:ascii="宋体" w:hAnsi="宋体"/>
          <w:sz w:val="24"/>
        </w:rPr>
        <w:t xml:space="preserve">6.4.4.1 </w:t>
      </w:r>
      <w:r>
        <w:rPr>
          <w:rFonts w:hint="eastAsia" w:ascii="宋体" w:hAnsi="宋体"/>
          <w:sz w:val="24"/>
          <w:lang w:val="zh-CN"/>
        </w:rPr>
        <w:t xml:space="preserve">中标人无正当理由拒绝签订合同的，或者在签订合同时向</w:t>
      </w:r>
      <w:r>
        <w:rPr>
          <w:rFonts w:hint="eastAsia" w:ascii="宋体" w:hAnsi="宋体"/>
          <w:sz w:val="24"/>
        </w:rPr>
        <w:t xml:space="preserve">采购</w:t>
      </w:r>
      <w:r>
        <w:rPr>
          <w:rFonts w:hint="eastAsia" w:ascii="宋体" w:hAnsi="宋体"/>
          <w:sz w:val="24"/>
          <w:lang w:val="zh-CN"/>
        </w:rPr>
        <w:t xml:space="preserve">人提出附加条件或者更改合同实质性内容要求的；</w:t>
      </w:r>
      <w:r/>
    </w:p>
    <w:p>
      <w:pPr>
        <w:ind w:firstLine="480"/>
        <w:tabs>
          <w:tab w:val="left" w:pos="900" w:leader="none"/>
        </w:tabs>
        <w:rPr>
          <w:rFonts w:ascii="宋体" w:hAnsi="宋体"/>
          <w:sz w:val="24"/>
          <w:lang w:val="zh-CN"/>
        </w:rPr>
      </w:pPr>
      <w:r>
        <w:rPr>
          <w:rFonts w:hint="eastAsia" w:ascii="宋体" w:hAnsi="宋体"/>
          <w:sz w:val="24"/>
        </w:rPr>
        <w:t xml:space="preserve">6.4.4.2 </w:t>
      </w:r>
      <w:r>
        <w:rPr>
          <w:rFonts w:hint="eastAsia" w:ascii="宋体" w:hAnsi="宋体"/>
          <w:sz w:val="24"/>
          <w:lang w:val="zh-CN"/>
        </w:rPr>
        <w:t xml:space="preserve">中标人不履行与</w:t>
      </w:r>
      <w:r>
        <w:rPr>
          <w:rFonts w:hint="eastAsia" w:ascii="宋体" w:hAnsi="宋体"/>
          <w:sz w:val="24"/>
        </w:rPr>
        <w:t xml:space="preserve">采购</w:t>
      </w:r>
      <w:r>
        <w:rPr>
          <w:rFonts w:hint="eastAsia" w:ascii="宋体" w:hAnsi="宋体"/>
          <w:sz w:val="24"/>
          <w:lang w:val="zh-CN"/>
        </w:rPr>
        <w:t xml:space="preserve">人订立的合同的；</w:t>
      </w:r>
      <w:r/>
    </w:p>
    <w:p>
      <w:pPr>
        <w:ind w:firstLine="480"/>
        <w:tabs>
          <w:tab w:val="left" w:pos="900" w:leader="none"/>
        </w:tabs>
        <w:rPr>
          <w:rFonts w:ascii="宋体" w:hAnsi="宋体"/>
          <w:sz w:val="24"/>
          <w:lang w:val="zh-CN"/>
        </w:rPr>
      </w:pPr>
      <w:r>
        <w:rPr>
          <w:rFonts w:hint="eastAsia" w:ascii="宋体" w:hAnsi="宋体"/>
          <w:sz w:val="24"/>
        </w:rPr>
        <w:t xml:space="preserve">6.4.4.3 乙方</w:t>
      </w:r>
      <w:r>
        <w:rPr>
          <w:rFonts w:hint="eastAsia" w:ascii="宋体" w:hAnsi="宋体"/>
          <w:sz w:val="24"/>
          <w:lang w:val="zh-CN"/>
        </w:rPr>
        <w:t xml:space="preserve">所供货物</w:t>
      </w:r>
      <w:r>
        <w:rPr>
          <w:rFonts w:hint="eastAsia" w:ascii="宋体" w:hAnsi="宋体"/>
          <w:sz w:val="24"/>
        </w:rPr>
        <w:t xml:space="preserve">或服务</w:t>
      </w:r>
      <w:r>
        <w:rPr>
          <w:rFonts w:hint="eastAsia" w:ascii="宋体" w:hAnsi="宋体"/>
          <w:sz w:val="24"/>
          <w:lang w:val="zh-CN"/>
        </w:rPr>
        <w:t xml:space="preserve">不符合招标文件规定要求的；</w:t>
      </w:r>
      <w:r/>
    </w:p>
    <w:p>
      <w:pPr>
        <w:ind w:firstLine="480"/>
        <w:tabs>
          <w:tab w:val="left" w:pos="900" w:leader="none"/>
        </w:tabs>
        <w:rPr>
          <w:rFonts w:ascii="宋体" w:hAnsi="宋体"/>
          <w:sz w:val="24"/>
          <w:lang w:val="zh-CN"/>
        </w:rPr>
      </w:pPr>
      <w:r>
        <w:rPr>
          <w:rFonts w:hint="eastAsia" w:ascii="宋体" w:hAnsi="宋体"/>
          <w:sz w:val="24"/>
        </w:rPr>
        <w:t xml:space="preserve">6.4.4.4 乙方</w:t>
      </w:r>
      <w:r>
        <w:rPr>
          <w:rFonts w:hint="eastAsia" w:ascii="宋体" w:hAnsi="宋体"/>
          <w:sz w:val="24"/>
          <w:lang w:val="zh-CN"/>
        </w:rPr>
        <w:t xml:space="preserve">采取欺骗、弄虚作假方式投标的或与其它投标人串通投标的；</w:t>
      </w:r>
      <w:r/>
    </w:p>
    <w:p>
      <w:pPr>
        <w:ind w:firstLine="480"/>
        <w:tabs>
          <w:tab w:val="left" w:pos="900" w:leader="none"/>
        </w:tabs>
        <w:rPr>
          <w:rFonts w:ascii="宋体" w:hAnsi="宋体"/>
          <w:sz w:val="24"/>
          <w:lang w:val="zh-CN"/>
        </w:rPr>
      </w:pPr>
      <w:r>
        <w:rPr>
          <w:rFonts w:hint="eastAsia" w:ascii="宋体" w:hAnsi="宋体"/>
          <w:sz w:val="24"/>
        </w:rPr>
        <w:t xml:space="preserve">6.4.4.5 乙方将合同内容转包、违法分包的；</w:t>
      </w:r>
      <w:r/>
    </w:p>
    <w:p>
      <w:pPr>
        <w:ind w:firstLine="480"/>
        <w:tabs>
          <w:tab w:val="left" w:pos="900" w:leader="none"/>
        </w:tabs>
        <w:rPr>
          <w:rFonts w:ascii="宋体" w:hAnsi="宋体"/>
          <w:sz w:val="24"/>
          <w:lang w:val="zh-CN"/>
        </w:rPr>
      </w:pPr>
      <w:r>
        <w:rPr>
          <w:rFonts w:hint="eastAsia" w:ascii="宋体" w:hAnsi="宋体"/>
          <w:sz w:val="24"/>
        </w:rPr>
        <w:t xml:space="preserve">6.4.4.6 乙方</w:t>
      </w:r>
      <w:r>
        <w:rPr>
          <w:rFonts w:hint="eastAsia" w:ascii="宋体" w:hAnsi="宋体"/>
          <w:sz w:val="24"/>
          <w:lang w:val="zh-CN"/>
        </w:rPr>
        <w:t xml:space="preserve">故意捏造事实或伪造证明材料，进行虚假恶意投诉或反映的。</w:t>
      </w:r>
      <w:r/>
    </w:p>
    <w:p>
      <w:pPr>
        <w:ind w:firstLine="480"/>
        <w:tabs>
          <w:tab w:val="left" w:pos="900" w:leader="none"/>
        </w:tabs>
        <w:rPr>
          <w:rFonts w:ascii="宋体" w:hAnsi="宋体"/>
          <w:sz w:val="24"/>
          <w:lang w:val="zh-CN"/>
        </w:rPr>
      </w:pPr>
      <w:r>
        <w:rPr>
          <w:rFonts w:hint="eastAsia" w:ascii="宋体" w:hAnsi="宋体"/>
          <w:sz w:val="24"/>
        </w:rPr>
        <w:t xml:space="preserve">6.5 </w:t>
      </w:r>
      <w:r>
        <w:rPr>
          <w:rFonts w:hint="eastAsia" w:ascii="宋体" w:hAnsi="宋体"/>
          <w:sz w:val="24"/>
          <w:lang w:val="zh-CN"/>
        </w:rPr>
        <w:t xml:space="preserve">逾期退还的违约责任：</w:t>
      </w:r>
      <w:r>
        <w:rPr>
          <w:rFonts w:hint="eastAsia" w:ascii="宋体" w:hAnsi="宋体"/>
          <w:sz w:val="24"/>
        </w:rPr>
        <w:t xml:space="preserve">甲方逾期无故未退还</w:t>
      </w:r>
      <w:r>
        <w:rPr>
          <w:rFonts w:hint="eastAsia" w:ascii="宋体" w:hAnsi="宋体"/>
          <w:sz w:val="24"/>
          <w:lang w:val="zh-CN"/>
        </w:rPr>
        <w:t xml:space="preserve">履约保证金</w:t>
      </w:r>
      <w:r>
        <w:rPr>
          <w:rFonts w:hint="eastAsia" w:ascii="宋体" w:hAnsi="宋体"/>
          <w:sz w:val="24"/>
        </w:rPr>
        <w:t xml:space="preserve">的，按中国人民银行同期贷款基准利率上浮20%后的利率支付超期资金占用费，但因供应商自身原因导致无法及时退还的除外。</w:t>
      </w:r>
      <w:r/>
    </w:p>
    <w:p>
      <w:pPr>
        <w:pStyle w:val="1118"/>
        <w:ind w:firstLine="482"/>
        <w:rPr>
          <w:rFonts w:hAnsi="宋体" w:cs="宋体"/>
          <w:b/>
          <w:sz w:val="24"/>
          <w:szCs w:val="24"/>
        </w:rPr>
      </w:pPr>
      <w:r>
        <w:rPr>
          <w:rFonts w:hint="eastAsia" w:hAnsi="宋体" w:cs="宋体"/>
          <w:b/>
          <w:sz w:val="24"/>
          <w:szCs w:val="24"/>
        </w:rPr>
        <w:t xml:space="preserve">七、转包或分包</w:t>
      </w:r>
      <w:r/>
    </w:p>
    <w:p>
      <w:pPr>
        <w:ind w:firstLine="480"/>
        <w:rPr>
          <w:rFonts w:ascii="宋体" w:hAnsi="宋体" w:cs="宋体"/>
          <w:sz w:val="24"/>
          <w:szCs w:val="24"/>
        </w:rPr>
      </w:pPr>
      <w:r>
        <w:rPr>
          <w:rFonts w:hint="eastAsia" w:ascii="宋体" w:hAnsi="宋体" w:cs="宋体"/>
          <w:sz w:val="24"/>
          <w:szCs w:val="24"/>
        </w:rPr>
        <w:t xml:space="preserve">7.1 本合同范围的货物，应由乙方直接供应，不得转让他人供应；</w:t>
      </w:r>
      <w:r/>
    </w:p>
    <w:p>
      <w:pPr>
        <w:ind w:firstLine="480"/>
        <w:rPr>
          <w:rFonts w:ascii="宋体" w:hAnsi="宋体" w:cs="宋体"/>
          <w:sz w:val="24"/>
          <w:szCs w:val="24"/>
        </w:rPr>
      </w:pPr>
      <w:r>
        <w:rPr>
          <w:rFonts w:hint="eastAsia" w:ascii="宋体" w:hAnsi="宋体" w:cs="宋体"/>
          <w:sz w:val="24"/>
          <w:szCs w:val="24"/>
        </w:rPr>
        <w:t xml:space="preserve">7.2 除非得到甲方的书面同意，乙方不得部分分包给他人供应。</w:t>
      </w:r>
      <w:r/>
    </w:p>
    <w:p>
      <w:pPr>
        <w:ind w:firstLine="480"/>
        <w:rPr>
          <w:rFonts w:ascii="宋体" w:hAnsi="宋体" w:cs="宋体"/>
          <w:sz w:val="24"/>
          <w:szCs w:val="24"/>
        </w:rPr>
      </w:pPr>
      <w:r>
        <w:rPr>
          <w:rFonts w:hint="eastAsia" w:ascii="宋体" w:hAnsi="宋体" w:cs="宋体"/>
          <w:sz w:val="24"/>
          <w:szCs w:val="24"/>
        </w:rPr>
        <w:t xml:space="preserve">7.3 如有转让和未经甲方同意的分包行为，甲方有权给予终止合同。</w:t>
      </w:r>
      <w:r/>
    </w:p>
    <w:p>
      <w:pPr>
        <w:pStyle w:val="1118"/>
        <w:ind w:firstLine="482"/>
        <w:rPr>
          <w:rFonts w:hAnsi="宋体" w:cs="宋体"/>
          <w:b/>
          <w:sz w:val="24"/>
          <w:szCs w:val="24"/>
        </w:rPr>
      </w:pPr>
      <w:r>
        <w:rPr>
          <w:rFonts w:hint="eastAsia" w:hAnsi="宋体" w:cs="宋体"/>
          <w:b/>
          <w:sz w:val="24"/>
          <w:szCs w:val="24"/>
        </w:rPr>
        <w:t xml:space="preserve">八、质保期</w:t>
      </w:r>
      <w:r/>
    </w:p>
    <w:p>
      <w:pPr>
        <w:ind w:firstLine="480"/>
        <w:rPr>
          <w:rFonts w:ascii="宋体" w:hAnsi="宋体" w:cs="宋体"/>
          <w:sz w:val="24"/>
          <w:szCs w:val="24"/>
        </w:rPr>
      </w:pPr>
      <w:r>
        <w:rPr>
          <w:rFonts w:hint="eastAsia" w:ascii="宋体" w:hAnsi="宋体" w:cs="宋体"/>
          <w:sz w:val="24"/>
          <w:szCs w:val="24"/>
        </w:rPr>
        <w:t xml:space="preserve">8.1 免费质保</w:t>
      </w:r>
      <w:r>
        <w:rPr>
          <w:rFonts w:hint="eastAsia" w:ascii="宋体" w:hAnsi="宋体" w:cs="宋体"/>
          <w:sz w:val="24"/>
          <w:szCs w:val="24"/>
          <w:highlight w:val="none"/>
        </w:rPr>
        <w:t xml:space="preserve">期：</w:t>
      </w:r>
      <w:r>
        <w:rPr>
          <w:rFonts w:hint="eastAsia" w:ascii="宋体" w:hAnsi="宋体" w:cs="宋体"/>
          <w:color w:val="000000"/>
          <w:sz w:val="24"/>
          <w:szCs w:val="24"/>
          <w:highlight w:val="none"/>
        </w:rPr>
        <w:t xml:space="preserve">无人机项目为3年，其它项目为5年</w:t>
      </w:r>
      <w:r>
        <w:rPr>
          <w:rFonts w:hint="eastAsia" w:ascii="宋体" w:hAnsi="宋体" w:cs="宋体"/>
          <w:sz w:val="24"/>
          <w:szCs w:val="24"/>
          <w:highlight w:val="none"/>
        </w:rPr>
        <w:t xml:space="preserve">（无人机自</w:t>
      </w:r>
      <w:r>
        <w:rPr>
          <w:rFonts w:hint="eastAsia" w:ascii="宋体" w:hAnsi="宋体" w:cs="宋体"/>
          <w:sz w:val="24"/>
          <w:szCs w:val="24"/>
        </w:rPr>
        <w:t xml:space="preserve">交货验收合格之日起计，其它项目自项目全部验收合格之日起计）。</w:t>
      </w:r>
      <w:r/>
    </w:p>
    <w:p>
      <w:pPr>
        <w:pStyle w:val="1118"/>
        <w:ind w:firstLine="482"/>
        <w:rPr>
          <w:rFonts w:hAnsi="宋体" w:cs="宋体"/>
          <w:b/>
          <w:sz w:val="24"/>
          <w:szCs w:val="24"/>
        </w:rPr>
      </w:pPr>
      <w:r>
        <w:rPr>
          <w:rFonts w:hint="eastAsia" w:hAnsi="宋体" w:cs="宋体"/>
          <w:b/>
          <w:sz w:val="24"/>
          <w:szCs w:val="24"/>
        </w:rPr>
        <w:t xml:space="preserve">九、交货期、交货方式及交货地点</w:t>
      </w:r>
      <w:r/>
    </w:p>
    <w:p>
      <w:pPr>
        <w:ind w:firstLine="480"/>
        <w:rPr>
          <w:rFonts w:ascii="宋体" w:hAnsi="宋体" w:cs="宋体"/>
          <w:sz w:val="24"/>
          <w:szCs w:val="24"/>
        </w:rPr>
      </w:pPr>
      <w:r>
        <w:rPr>
          <w:rFonts w:hint="eastAsia" w:ascii="宋体" w:hAnsi="宋体" w:cs="宋体"/>
          <w:sz w:val="24"/>
          <w:szCs w:val="24"/>
        </w:rPr>
        <w:t xml:space="preserve">9.1 交货期（含安装调试工期）：合同签订后90日历天内必须按甲方要求将货物送到指定地点，安装调试完毕（如是甲方的原因可延期）。</w:t>
      </w:r>
      <w:r/>
    </w:p>
    <w:p>
      <w:pPr>
        <w:ind w:firstLine="480"/>
        <w:rPr>
          <w:rFonts w:ascii="宋体" w:hAnsi="宋体" w:cs="宋体"/>
          <w:sz w:val="24"/>
          <w:szCs w:val="24"/>
        </w:rPr>
      </w:pPr>
      <w:r>
        <w:rPr>
          <w:rFonts w:hint="eastAsia" w:ascii="宋体" w:hAnsi="宋体" w:cs="宋体"/>
          <w:sz w:val="24"/>
          <w:szCs w:val="24"/>
        </w:rPr>
        <w:t xml:space="preserve">9.2 检测和验收：</w:t>
      </w:r>
      <w:r/>
    </w:p>
    <w:p>
      <w:pPr>
        <w:ind w:firstLine="480"/>
        <w:rPr>
          <w:rFonts w:ascii="宋体" w:hAnsi="宋体" w:cs="宋体"/>
          <w:sz w:val="24"/>
          <w:szCs w:val="24"/>
        </w:rPr>
      </w:pPr>
      <w:r>
        <w:rPr>
          <w:rFonts w:hint="eastAsia" w:ascii="宋体" w:hAnsi="宋体" w:cs="宋体"/>
          <w:sz w:val="24"/>
          <w:szCs w:val="24"/>
        </w:rPr>
        <w:t xml:space="preserve">9.2.1 乙方货物进场时须经甲方检查后方可拆封，并提供货物的质量检验合格证。如有防伪证书、随机软件、装箱单、质保单、保修卡、中文说明书等资料，还须提供且应完整无缺。</w:t>
      </w:r>
      <w:r/>
    </w:p>
    <w:p>
      <w:pPr>
        <w:ind w:firstLine="480"/>
        <w:rPr>
          <w:rFonts w:ascii="宋体" w:hAnsi="宋体" w:cs="宋体"/>
          <w:sz w:val="24"/>
          <w:szCs w:val="24"/>
        </w:rPr>
      </w:pPr>
      <w:r>
        <w:rPr>
          <w:rFonts w:hint="eastAsia" w:ascii="宋体" w:hAnsi="宋体" w:cs="宋体"/>
          <w:sz w:val="24"/>
          <w:szCs w:val="24"/>
        </w:rPr>
        <w:t xml:space="preserve">9.2.2 货物的最终验收，待项目建设完毕、乙方申请后，由甲方邀请专业人员，会同相关部门人员共同按招标文件、投标文件和合同等对所供货物的品质、性能、技术参数等进行全面验收。</w:t>
      </w:r>
      <w:r/>
    </w:p>
    <w:p>
      <w:pPr>
        <w:ind w:firstLine="480"/>
        <w:rPr>
          <w:rFonts w:ascii="宋体" w:hAnsi="宋体" w:cs="宋体"/>
          <w:sz w:val="24"/>
          <w:szCs w:val="24"/>
        </w:rPr>
      </w:pPr>
      <w:r>
        <w:rPr>
          <w:rFonts w:hint="eastAsia" w:ascii="宋体" w:hAnsi="宋体" w:cs="宋体"/>
          <w:sz w:val="24"/>
          <w:szCs w:val="24"/>
        </w:rPr>
        <w:t xml:space="preserve">9.2.3 在货物进场、安装调试过程、最终验收时，甲方如认为质量不合格，可委托具备该货物（材料、设备）检测能力的检测机构对其质量进行检测。如检测结果合格，其检测费由甲方承担；如检测结果不合格，其检测费由乙方承担，同时承担合同规定的其它责任。</w:t>
      </w:r>
      <w:r/>
    </w:p>
    <w:p>
      <w:pPr>
        <w:ind w:firstLine="480"/>
        <w:rPr>
          <w:rFonts w:ascii="宋体" w:hAnsi="宋体" w:cs="宋体"/>
          <w:sz w:val="24"/>
          <w:szCs w:val="24"/>
        </w:rPr>
      </w:pPr>
      <w:r>
        <w:rPr>
          <w:rFonts w:hint="eastAsia" w:ascii="宋体" w:hAnsi="宋体" w:cs="宋体"/>
          <w:sz w:val="24"/>
          <w:szCs w:val="24"/>
        </w:rPr>
        <w:t xml:space="preserve">9.2.4 乙方必须按生产厂家产品说明书的规定提供随机备品、配件。</w:t>
      </w:r>
      <w:r/>
    </w:p>
    <w:p>
      <w:pPr>
        <w:ind w:firstLine="480"/>
        <w:rPr>
          <w:rFonts w:ascii="宋体" w:hAnsi="宋体" w:cs="宋体"/>
          <w:sz w:val="24"/>
          <w:szCs w:val="24"/>
        </w:rPr>
      </w:pPr>
      <w:r>
        <w:rPr>
          <w:rFonts w:hint="eastAsia" w:ascii="宋体" w:hAnsi="宋体" w:cs="宋体"/>
          <w:sz w:val="24"/>
          <w:szCs w:val="24"/>
        </w:rPr>
        <w:t xml:space="preserve">9.2.5 乙方所有用于道路交通安全建设的各项产品、软件、平台，应满足现行国家强制性标准要求及公安部、江苏省、盐城市相关文件要求，严格保障公安网络和数据安全，</w:t>
      </w:r>
      <w:r>
        <w:rPr>
          <w:rFonts w:ascii="宋体" w:hAnsi="宋体" w:cs="宋体"/>
          <w:sz w:val="24"/>
          <w:szCs w:val="24"/>
        </w:rPr>
        <w:t xml:space="preserve">视频图像设备应满足公安网络安全要求和设备准入要求，符合相关标准和自主可控安全要求</w:t>
      </w:r>
      <w:r>
        <w:rPr>
          <w:rFonts w:hint="eastAsia" w:ascii="宋体" w:hAnsi="宋体" w:cs="宋体"/>
          <w:sz w:val="24"/>
          <w:szCs w:val="24"/>
        </w:rPr>
        <w:t xml:space="preserve">，满足公安机关交通管理平台备案要求，应达到GB35114规定的A级及以上标准。</w:t>
      </w:r>
      <w:r/>
    </w:p>
    <w:p>
      <w:pPr>
        <w:ind w:firstLine="480"/>
        <w:rPr>
          <w:rFonts w:ascii="宋体" w:hAnsi="宋体" w:cs="宋体"/>
          <w:sz w:val="24"/>
          <w:szCs w:val="24"/>
        </w:rPr>
      </w:pPr>
      <w:r>
        <w:rPr>
          <w:rFonts w:hint="eastAsia" w:ascii="宋体" w:hAnsi="宋体" w:cs="宋体"/>
          <w:sz w:val="24"/>
          <w:szCs w:val="24"/>
        </w:rPr>
        <w:t xml:space="preserve">9.3 交货地点：滨海县公安局。</w:t>
      </w:r>
      <w:r/>
    </w:p>
    <w:p>
      <w:pPr>
        <w:pStyle w:val="1118"/>
        <w:ind w:firstLine="482"/>
        <w:rPr>
          <w:rFonts w:hAnsi="宋体" w:cs="宋体"/>
          <w:b/>
          <w:sz w:val="24"/>
          <w:szCs w:val="24"/>
        </w:rPr>
      </w:pPr>
      <w:r>
        <w:rPr>
          <w:rFonts w:hint="eastAsia" w:hAnsi="宋体" w:cs="宋体"/>
          <w:b/>
          <w:sz w:val="24"/>
          <w:szCs w:val="24"/>
        </w:rPr>
        <w:t xml:space="preserve">十、货款支付</w:t>
      </w:r>
      <w:r/>
    </w:p>
    <w:p>
      <w:pPr>
        <w:ind w:firstLine="480"/>
        <w:rPr>
          <w:rFonts w:ascii="宋体" w:hAnsi="宋体" w:cs="宋体"/>
          <w:sz w:val="24"/>
          <w:szCs w:val="24"/>
          <w:lang w:bidi="ar"/>
        </w:rPr>
      </w:pPr>
      <w:r>
        <w:rPr>
          <w:rFonts w:hAnsi="宋体"/>
          <w:bCs/>
          <w:sz w:val="24"/>
          <w:szCs w:val="24"/>
        </w:rPr>
        <w:t xml:space="preserve">10.1 付款方式：</w:t>
      </w:r>
      <w:r>
        <w:rPr>
          <w:rFonts w:hint="eastAsia" w:ascii="宋体" w:hAnsi="宋体" w:cs="宋体"/>
          <w:sz w:val="24"/>
          <w:szCs w:val="24"/>
          <w:lang w:bidi="ar"/>
        </w:rPr>
        <w:t xml:space="preserve">合同签订后支付合同总额的10%作为预付款（中标人须提供合同总价10%的银行保函）；工程竣工、备案成功、经验收合格后，支付至合同总额的50%（扣除违约金，如有）；剩余款项前四年以合同总额每年支付10%（扣除违约金，如有），第五年以审计总额支付前期剩余款项（扣除违约金，如有）。</w:t>
      </w:r>
      <w:r/>
    </w:p>
    <w:p>
      <w:pPr>
        <w:ind w:firstLine="480"/>
        <w:rPr>
          <w:rFonts w:ascii="宋体" w:hAnsi="宋体" w:cs="宋体"/>
          <w:sz w:val="24"/>
          <w:szCs w:val="24"/>
          <w:lang w:bidi="ar"/>
        </w:rPr>
      </w:pPr>
      <w:r>
        <w:rPr>
          <w:rFonts w:hint="eastAsia" w:ascii="宋体" w:hAnsi="宋体" w:cs="宋体"/>
          <w:sz w:val="24"/>
          <w:szCs w:val="24"/>
          <w:lang w:bidi="ar"/>
        </w:rPr>
        <w:t xml:space="preserve">注：原则上收到发票后10个工作日内支付。</w:t>
      </w:r>
      <w:r/>
    </w:p>
    <w:p>
      <w:pPr>
        <w:ind w:firstLine="480"/>
        <w:rPr>
          <w:rFonts w:ascii="宋体" w:hAnsi="宋体" w:cs="宋体"/>
          <w:sz w:val="24"/>
          <w:szCs w:val="24"/>
        </w:rPr>
      </w:pPr>
      <w:r>
        <w:rPr>
          <w:rFonts w:hint="eastAsia" w:ascii="宋体" w:hAnsi="宋体" w:cs="宋体"/>
          <w:sz w:val="24"/>
          <w:szCs w:val="24"/>
        </w:rPr>
        <w:t xml:space="preserve">10.2当采购数量与实际使用数量不一致时，乙方应根据实际使用量供货，合同的最终结算金额按实际使用量乘以成交单价进行计算。</w:t>
      </w:r>
      <w:r/>
    </w:p>
    <w:p>
      <w:pPr>
        <w:ind w:firstLine="480"/>
        <w:rPr>
          <w:rFonts w:ascii="宋体" w:hAnsi="宋体" w:cs="宋体"/>
          <w:sz w:val="24"/>
          <w:szCs w:val="24"/>
        </w:rPr>
      </w:pPr>
      <w:r>
        <w:rPr>
          <w:rFonts w:hint="eastAsia" w:ascii="宋体" w:hAnsi="宋体" w:cs="宋体"/>
          <w:sz w:val="24"/>
          <w:szCs w:val="24"/>
        </w:rPr>
        <w:t xml:space="preserve">10.3如需向与财政部门签署融资合作协议的银行办理授信申请的，需在协作银行开立结算户作为回款专用户，作为该笔合同唯一的收款帐户，供货结束货款结算时，财政部门将政府采购款项直接支付到该账户。</w:t>
      </w:r>
      <w:r/>
    </w:p>
    <w:p>
      <w:pPr>
        <w:ind w:firstLine="480"/>
        <w:rPr>
          <w:rFonts w:ascii="宋体" w:hAnsi="宋体" w:cs="宋体"/>
          <w:sz w:val="24"/>
          <w:szCs w:val="24"/>
        </w:rPr>
      </w:pPr>
      <w:r>
        <w:rPr>
          <w:rFonts w:hint="eastAsia" w:ascii="宋体" w:hAnsi="宋体" w:cs="宋体"/>
          <w:sz w:val="24"/>
          <w:szCs w:val="24"/>
        </w:rPr>
        <w:t xml:space="preserve">10.4对于满足合同约定支付条件的，</w:t>
      </w:r>
      <w:r>
        <w:rPr>
          <w:rFonts w:hint="eastAsia" w:ascii="宋体" w:hAnsi="宋体"/>
          <w:sz w:val="24"/>
        </w:rPr>
        <w:t xml:space="preserve">甲方</w:t>
      </w:r>
      <w:r>
        <w:rPr>
          <w:rFonts w:hint="eastAsia" w:ascii="宋体" w:hAnsi="宋体" w:cs="宋体"/>
          <w:sz w:val="24"/>
          <w:szCs w:val="24"/>
        </w:rPr>
        <w:t xml:space="preserve">应当自收到发票后15日内将资金支付到合同约定的供应商账户。</w:t>
      </w:r>
      <w:r/>
    </w:p>
    <w:p>
      <w:pPr>
        <w:pStyle w:val="1118"/>
        <w:ind w:firstLine="482"/>
        <w:rPr>
          <w:rFonts w:hAnsi="宋体" w:cs="宋体"/>
          <w:b/>
          <w:sz w:val="24"/>
          <w:szCs w:val="24"/>
        </w:rPr>
      </w:pPr>
      <w:r>
        <w:rPr>
          <w:rFonts w:hint="eastAsia" w:hAnsi="宋体" w:cs="宋体"/>
          <w:b/>
          <w:sz w:val="24"/>
          <w:szCs w:val="24"/>
        </w:rPr>
        <w:t xml:space="preserve">十一.税费</w:t>
      </w:r>
      <w:r/>
    </w:p>
    <w:p>
      <w:pPr>
        <w:ind w:firstLine="480"/>
        <w:rPr>
          <w:rFonts w:ascii="宋体" w:hAnsi="宋体" w:cs="宋体"/>
          <w:sz w:val="24"/>
          <w:szCs w:val="24"/>
        </w:rPr>
      </w:pPr>
      <w:r>
        <w:rPr>
          <w:rFonts w:hint="eastAsia" w:ascii="宋体" w:hAnsi="宋体" w:cs="宋体"/>
          <w:sz w:val="24"/>
          <w:szCs w:val="24"/>
        </w:rPr>
        <w:t xml:space="preserve">本合同执行中相关的一切税费均由乙方负担。</w:t>
      </w:r>
      <w:r/>
    </w:p>
    <w:p>
      <w:pPr>
        <w:pStyle w:val="1118"/>
        <w:ind w:firstLine="482"/>
        <w:rPr>
          <w:rFonts w:hAnsi="宋体" w:cs="宋体"/>
          <w:b/>
          <w:sz w:val="24"/>
          <w:szCs w:val="24"/>
        </w:rPr>
      </w:pPr>
      <w:r>
        <w:rPr>
          <w:rFonts w:hint="eastAsia" w:hAnsi="宋体" w:cs="宋体"/>
          <w:b/>
          <w:sz w:val="24"/>
          <w:szCs w:val="24"/>
        </w:rPr>
        <w:t xml:space="preserve">十二、质量保证及售后服务</w:t>
      </w:r>
      <w:r/>
    </w:p>
    <w:p>
      <w:pPr>
        <w:ind w:firstLine="480"/>
        <w:rPr>
          <w:rFonts w:ascii="宋体" w:hAnsi="宋体" w:cs="宋体"/>
          <w:sz w:val="24"/>
          <w:szCs w:val="24"/>
        </w:rPr>
      </w:pPr>
      <w:r>
        <w:rPr>
          <w:rFonts w:hint="eastAsia" w:ascii="宋体" w:hAnsi="宋体" w:cs="宋体"/>
          <w:sz w:val="24"/>
          <w:szCs w:val="24"/>
        </w:rPr>
        <w:t xml:space="preserve">12.1 乙方应按招标文件规定的货物性能、技术要求、质量标准向甲方提供未经使用的、在公开招标之日后生产的全新产品。</w:t>
      </w:r>
      <w:r/>
    </w:p>
    <w:p>
      <w:pPr>
        <w:ind w:firstLine="480"/>
        <w:rPr>
          <w:rFonts w:ascii="宋体" w:hAnsi="宋体" w:cs="宋体"/>
          <w:sz w:val="24"/>
          <w:szCs w:val="24"/>
        </w:rPr>
      </w:pPr>
      <w:r>
        <w:rPr>
          <w:rFonts w:hint="eastAsia" w:ascii="宋体" w:hAnsi="宋体" w:cs="宋体"/>
          <w:sz w:val="24"/>
          <w:szCs w:val="24"/>
        </w:rPr>
        <w:t xml:space="preserve">12.2 乙方提供的货物在质量期内因货物本身的质量问题造成一切损失和责任，由乙方全部承担，根据实际情况，经双方协商，可按以下办法处理：</w:t>
      </w:r>
      <w:r/>
    </w:p>
    <w:p>
      <w:pPr>
        <w:ind w:firstLine="480"/>
        <w:rPr>
          <w:rFonts w:ascii="宋体" w:hAnsi="宋体" w:cs="宋体"/>
          <w:sz w:val="24"/>
          <w:szCs w:val="24"/>
        </w:rPr>
      </w:pPr>
      <w:r>
        <w:rPr>
          <w:rFonts w:hint="eastAsia" w:ascii="宋体" w:hAnsi="宋体" w:cs="宋体"/>
          <w:sz w:val="24"/>
          <w:szCs w:val="24"/>
        </w:rPr>
        <w:t xml:space="preserve">⑴调换：由乙方承担所发生的全部费用。</w:t>
      </w:r>
      <w:r/>
    </w:p>
    <w:p>
      <w:pPr>
        <w:ind w:firstLine="480"/>
        <w:rPr>
          <w:rFonts w:ascii="宋体" w:hAnsi="宋体" w:cs="宋体"/>
          <w:sz w:val="24"/>
          <w:szCs w:val="24"/>
        </w:rPr>
      </w:pPr>
      <w:r>
        <w:rPr>
          <w:rFonts w:hint="eastAsia" w:ascii="宋体" w:hAnsi="宋体" w:cs="宋体"/>
          <w:sz w:val="24"/>
          <w:szCs w:val="24"/>
        </w:rPr>
        <w:t xml:space="preserve">⑵贬值处理：由甲乙双方合议定价。</w:t>
      </w:r>
      <w:r/>
    </w:p>
    <w:p>
      <w:pPr>
        <w:ind w:firstLine="480"/>
        <w:rPr>
          <w:rFonts w:ascii="宋体" w:hAnsi="宋体" w:cs="宋体"/>
          <w:sz w:val="24"/>
          <w:szCs w:val="24"/>
        </w:rPr>
      </w:pPr>
      <w:r>
        <w:rPr>
          <w:rFonts w:hint="eastAsia" w:ascii="宋体" w:hAnsi="宋体" w:cs="宋体"/>
          <w:sz w:val="24"/>
          <w:szCs w:val="24"/>
        </w:rPr>
        <w:t xml:space="preserve">⑶退货处理：乙方应退还甲方支付的合同款，同时应承担该货物的直接费用（运输、保险、检验、货款利息及银行手续费等）。</w:t>
      </w:r>
      <w:r/>
    </w:p>
    <w:p>
      <w:pPr>
        <w:ind w:firstLine="480"/>
        <w:rPr>
          <w:rFonts w:ascii="宋体" w:hAnsi="宋体" w:cs="宋体"/>
          <w:sz w:val="24"/>
          <w:szCs w:val="24"/>
        </w:rPr>
      </w:pPr>
      <w:r>
        <w:rPr>
          <w:rFonts w:hint="eastAsia" w:ascii="宋体" w:hAnsi="宋体" w:cs="宋体"/>
          <w:sz w:val="24"/>
          <w:szCs w:val="24"/>
        </w:rPr>
        <w:t xml:space="preserve">12.3 </w:t>
      </w:r>
      <w:r>
        <w:rPr>
          <w:rFonts w:hint="eastAsia" w:ascii="宋体" w:hAnsi="宋体" w:cs="宋体"/>
          <w:sz w:val="24"/>
          <w:szCs w:val="24"/>
          <w:highlight w:val="yellow"/>
        </w:rPr>
        <w:t xml:space="preserve">乙方应当在基坑和地下管线开挖前向道路相关主权部门申请，取得书面批复、向甲方和监理单位报备后方可施工；基坑和管道应符合道路主权部门关于上口平面深度要求（如无明确要求，应在所在平面下不小于50厘米），原则上不得在绿化带的横断面中间位置；所有检查井应采用加强型井盖，井上沿应高于所在平面不小于10厘米，内外水泥砂浆粉刷，底部有排水孔，外观有“滨海公安交警”标识和管线走向示意箭头（用红色油漆着色）</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12.4 如在使用过程中发生质量问题，乙方在接到甲方通知后在</w:t>
      </w:r>
      <w:r>
        <w:rPr>
          <w:rFonts w:hint="eastAsia" w:ascii="宋体" w:hAnsi="宋体" w:cs="宋体"/>
          <w:sz w:val="24"/>
          <w:szCs w:val="24"/>
          <w:u w:val="single"/>
        </w:rPr>
        <w:t xml:space="preserve">24</w:t>
      </w:r>
      <w:r>
        <w:rPr>
          <w:rFonts w:hint="eastAsia" w:ascii="宋体" w:hAnsi="宋体" w:cs="宋体"/>
          <w:sz w:val="24"/>
          <w:szCs w:val="24"/>
        </w:rPr>
        <w:t xml:space="preserve">小时内到达甲方现场。</w:t>
      </w:r>
      <w:r/>
    </w:p>
    <w:p>
      <w:pPr>
        <w:ind w:firstLine="480"/>
        <w:rPr>
          <w:rFonts w:ascii="宋体" w:hAnsi="宋体" w:cs="宋体"/>
          <w:sz w:val="24"/>
          <w:szCs w:val="24"/>
        </w:rPr>
      </w:pPr>
      <w:r>
        <w:rPr>
          <w:rFonts w:hint="eastAsia" w:ascii="宋体" w:hAnsi="宋体" w:cs="宋体"/>
          <w:sz w:val="24"/>
          <w:szCs w:val="24"/>
        </w:rPr>
        <w:t xml:space="preserve">12.5 在质保期内，乙方应对货物出现的质量及安全问题负责处理解决并承担一切费用。</w:t>
      </w:r>
      <w:r/>
    </w:p>
    <w:p>
      <w:pPr>
        <w:pStyle w:val="1118"/>
        <w:ind w:firstLine="482"/>
        <w:rPr>
          <w:rFonts w:hAnsi="宋体" w:cs="宋体"/>
          <w:b/>
          <w:sz w:val="24"/>
          <w:szCs w:val="24"/>
        </w:rPr>
      </w:pPr>
      <w:r>
        <w:rPr>
          <w:rFonts w:hint="eastAsia" w:hAnsi="宋体" w:cs="宋体"/>
          <w:b/>
          <w:sz w:val="24"/>
          <w:szCs w:val="24"/>
        </w:rPr>
        <w:t xml:space="preserve">十三、调试和验收</w:t>
      </w:r>
      <w:r/>
    </w:p>
    <w:p>
      <w:pPr>
        <w:ind w:firstLine="480"/>
        <w:rPr>
          <w:rFonts w:ascii="宋体" w:hAnsi="宋体" w:cs="宋体"/>
          <w:sz w:val="24"/>
          <w:szCs w:val="24"/>
        </w:rPr>
      </w:pPr>
      <w:r>
        <w:rPr>
          <w:rFonts w:hint="eastAsia" w:ascii="宋体" w:hAnsi="宋体" w:cs="宋体"/>
          <w:sz w:val="24"/>
          <w:szCs w:val="24"/>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rPr>
          <w:rFonts w:ascii="宋体" w:hAnsi="宋体" w:cs="宋体"/>
          <w:sz w:val="24"/>
          <w:szCs w:val="24"/>
        </w:rPr>
      </w:pPr>
      <w:r>
        <w:rPr>
          <w:rFonts w:hint="eastAsia" w:ascii="宋体" w:hAnsi="宋体" w:cs="宋体"/>
          <w:sz w:val="24"/>
          <w:szCs w:val="24"/>
        </w:rPr>
        <w:t xml:space="preserve">13.2 乙方交货前应对产品作出全面检查和对验收文件进行整理，并列出清单，作为甲方收货验收和使用的技术条件依据，检验的结果应随货物交甲方。</w:t>
      </w:r>
      <w:r/>
    </w:p>
    <w:p>
      <w:pPr>
        <w:ind w:firstLine="480"/>
        <w:rPr>
          <w:rFonts w:ascii="宋体" w:hAnsi="宋体" w:cs="宋体"/>
          <w:sz w:val="24"/>
          <w:szCs w:val="24"/>
        </w:rPr>
      </w:pPr>
      <w:r>
        <w:rPr>
          <w:rFonts w:hint="eastAsia" w:ascii="宋体" w:hAnsi="宋体" w:cs="宋体"/>
          <w:sz w:val="24"/>
          <w:szCs w:val="24"/>
        </w:rPr>
        <w:t xml:space="preserve">13.3</w:t>
      </w:r>
      <w:r>
        <w:rPr>
          <w:rFonts w:ascii="宋体" w:hAnsi="宋体" w:cs="宋体"/>
          <w:sz w:val="24"/>
          <w:szCs w:val="24"/>
        </w:rPr>
        <w:t xml:space="preserve"> </w:t>
      </w:r>
      <w:r>
        <w:rPr>
          <w:rFonts w:hint="eastAsia" w:ascii="宋体" w:hAnsi="宋体" w:cs="宋体"/>
          <w:sz w:val="24"/>
          <w:szCs w:val="24"/>
        </w:rPr>
        <w:t xml:space="preserve">乙方对提供的货物使用技术，通过发放资料和指导形式，进行宣传推广甲方才做最终验收。</w:t>
      </w:r>
      <w:r/>
    </w:p>
    <w:p>
      <w:pPr>
        <w:ind w:firstLine="480"/>
        <w:rPr>
          <w:rFonts w:ascii="宋体" w:hAnsi="宋体" w:cs="宋体"/>
          <w:sz w:val="24"/>
          <w:szCs w:val="24"/>
        </w:rPr>
      </w:pPr>
      <w:r>
        <w:rPr>
          <w:rFonts w:hint="eastAsia" w:ascii="宋体" w:hAnsi="宋体" w:cs="宋体"/>
          <w:sz w:val="24"/>
          <w:szCs w:val="24"/>
        </w:rPr>
        <w:t xml:space="preserve">13.4 验收时乙方必须在现场，验收完毕后作出验收结果报告。</w:t>
      </w:r>
      <w:r/>
    </w:p>
    <w:p>
      <w:pPr>
        <w:ind w:firstLine="480"/>
        <w:rPr>
          <w:rFonts w:ascii="宋体" w:hAnsi="宋体" w:cs="宋体"/>
          <w:sz w:val="24"/>
          <w:szCs w:val="24"/>
        </w:rPr>
      </w:pPr>
      <w:r>
        <w:rPr>
          <w:rFonts w:hint="eastAsia" w:ascii="宋体" w:hAnsi="宋体" w:cs="宋体"/>
          <w:sz w:val="24"/>
          <w:szCs w:val="24"/>
        </w:rPr>
        <w:t xml:space="preserve">13.5 </w:t>
      </w:r>
      <w:r>
        <w:rPr>
          <w:rFonts w:hint="eastAsia" w:ascii="宋体" w:hAnsi="宋体" w:cs="宋体"/>
          <w:sz w:val="24"/>
          <w:szCs w:val="24"/>
          <w:highlight w:val="yellow"/>
          <w:lang w:bidi="ar"/>
        </w:rPr>
        <w:t xml:space="preserve">验收所产生费用由乙方承担，支付方式为：由甲方从乙方待付货款中支付给相关验收人。</w:t>
      </w:r>
      <w:r/>
    </w:p>
    <w:p>
      <w:pPr>
        <w:pStyle w:val="1118"/>
        <w:ind w:firstLine="482"/>
        <w:rPr>
          <w:rFonts w:hAnsi="宋体" w:cs="宋体"/>
          <w:b/>
          <w:sz w:val="24"/>
          <w:szCs w:val="24"/>
        </w:rPr>
      </w:pPr>
      <w:r>
        <w:rPr>
          <w:rFonts w:hint="eastAsia" w:hAnsi="宋体" w:cs="宋体"/>
          <w:b/>
          <w:sz w:val="24"/>
          <w:szCs w:val="24"/>
        </w:rPr>
        <w:t xml:space="preserve">十四、货物包装、发运及运输</w:t>
      </w:r>
      <w:r/>
    </w:p>
    <w:p>
      <w:pPr>
        <w:ind w:firstLine="480"/>
        <w:rPr>
          <w:rFonts w:ascii="宋体" w:hAnsi="宋体" w:cs="宋体"/>
          <w:sz w:val="24"/>
          <w:szCs w:val="24"/>
        </w:rPr>
      </w:pPr>
      <w:r>
        <w:rPr>
          <w:rFonts w:hint="eastAsia" w:ascii="宋体" w:hAnsi="宋体" w:cs="宋体"/>
          <w:sz w:val="24"/>
          <w:szCs w:val="24"/>
        </w:rPr>
        <w:t xml:space="preserve">14.1 乙方应在货物发运前对其进行满足运输距离、防潮、防震、和防破损装卸等要求包装，以保证货物安全运达甲方指定地点。</w:t>
      </w:r>
      <w:r/>
    </w:p>
    <w:p>
      <w:pPr>
        <w:ind w:firstLine="480"/>
        <w:rPr>
          <w:rFonts w:ascii="宋体" w:hAnsi="宋体" w:cs="宋体"/>
          <w:sz w:val="24"/>
          <w:szCs w:val="24"/>
        </w:rPr>
      </w:pPr>
      <w:r>
        <w:rPr>
          <w:rFonts w:hint="eastAsia" w:ascii="宋体" w:hAnsi="宋体" w:cs="宋体"/>
          <w:sz w:val="24"/>
          <w:szCs w:val="24"/>
        </w:rPr>
        <w:t xml:space="preserve">14.2 使用说明书、质量检验证明书、随配附件和工具以及清单一并附于货物内。</w:t>
      </w:r>
      <w:r/>
    </w:p>
    <w:p>
      <w:pPr>
        <w:ind w:firstLine="480"/>
        <w:rPr>
          <w:rFonts w:ascii="宋体" w:hAnsi="宋体" w:cs="宋体"/>
          <w:sz w:val="24"/>
          <w:szCs w:val="24"/>
        </w:rPr>
      </w:pPr>
      <w:r>
        <w:rPr>
          <w:rFonts w:hint="eastAsia" w:ascii="宋体" w:hAnsi="宋体" w:cs="宋体"/>
          <w:sz w:val="24"/>
          <w:szCs w:val="24"/>
        </w:rPr>
        <w:t xml:space="preserve">14.3 乙方在货物发运手续办理完毕后24小时内或货到甲方48小时前通知甲方，以准备接货。</w:t>
      </w:r>
      <w:r/>
    </w:p>
    <w:p>
      <w:pPr>
        <w:ind w:firstLine="480"/>
        <w:rPr>
          <w:rFonts w:ascii="宋体" w:hAnsi="宋体" w:cs="宋体"/>
          <w:sz w:val="24"/>
          <w:szCs w:val="24"/>
        </w:rPr>
      </w:pPr>
      <w:r>
        <w:rPr>
          <w:rFonts w:hint="eastAsia" w:ascii="宋体" w:hAnsi="宋体" w:cs="宋体"/>
          <w:sz w:val="24"/>
          <w:szCs w:val="24"/>
        </w:rPr>
        <w:t xml:space="preserve">14.4 货物在交付甲方前发生的风险均由乙方负责。</w:t>
      </w:r>
      <w:r/>
    </w:p>
    <w:p>
      <w:pPr>
        <w:ind w:firstLine="480"/>
        <w:rPr>
          <w:rFonts w:ascii="宋体" w:hAnsi="宋体" w:cs="宋体"/>
          <w:sz w:val="24"/>
          <w:szCs w:val="24"/>
        </w:rPr>
      </w:pPr>
      <w:r>
        <w:rPr>
          <w:rFonts w:hint="eastAsia" w:ascii="宋体" w:hAnsi="宋体" w:cs="宋体"/>
          <w:sz w:val="24"/>
          <w:szCs w:val="24"/>
        </w:rPr>
        <w:t xml:space="preserve">14.5 货物在规定的交付期限内由乙方送达甲方指定的地点视为交付，乙方同时需通知甲方货物已送达。</w:t>
      </w:r>
      <w:r/>
    </w:p>
    <w:p>
      <w:pPr>
        <w:pStyle w:val="1118"/>
        <w:ind w:firstLine="482"/>
        <w:rPr>
          <w:rFonts w:hAnsi="宋体" w:cs="宋体"/>
          <w:b/>
          <w:sz w:val="24"/>
          <w:szCs w:val="24"/>
        </w:rPr>
      </w:pPr>
      <w:r>
        <w:rPr>
          <w:rFonts w:hint="eastAsia" w:hAnsi="宋体" w:cs="宋体"/>
          <w:b/>
          <w:sz w:val="24"/>
          <w:szCs w:val="24"/>
        </w:rPr>
        <w:t xml:space="preserve">十五、违约责任</w:t>
      </w:r>
      <w:r/>
    </w:p>
    <w:p>
      <w:pPr>
        <w:ind w:firstLine="480"/>
        <w:rPr>
          <w:rFonts w:ascii="宋体" w:hAnsi="宋体" w:cs="宋体"/>
          <w:sz w:val="24"/>
          <w:szCs w:val="24"/>
        </w:rPr>
      </w:pPr>
      <w:r>
        <w:rPr>
          <w:rFonts w:hint="eastAsia" w:ascii="宋体" w:hAnsi="宋体" w:cs="宋体"/>
          <w:sz w:val="24"/>
          <w:szCs w:val="24"/>
        </w:rPr>
        <w:t xml:space="preserve">15.1 甲方无正当理由拒收货物的，甲方向乙方偿付拒收货款总值的百分之五违约金。</w:t>
      </w:r>
      <w:r/>
    </w:p>
    <w:p>
      <w:pPr>
        <w:ind w:firstLine="480"/>
        <w:rPr>
          <w:rFonts w:ascii="宋体" w:hAnsi="宋体" w:cs="宋体"/>
          <w:sz w:val="24"/>
          <w:szCs w:val="24"/>
        </w:rPr>
      </w:pPr>
      <w:r>
        <w:rPr>
          <w:rFonts w:hint="eastAsia" w:ascii="宋体" w:hAnsi="宋体" w:cs="宋体"/>
          <w:sz w:val="24"/>
          <w:szCs w:val="24"/>
        </w:rPr>
        <w:t xml:space="preserve">15.2 甲方无故逾期验收和办理货款支付手续的，甲方应按逾期付款总额每日万分之五向乙方支付违约金。</w:t>
      </w:r>
      <w:r/>
    </w:p>
    <w:p>
      <w:pPr>
        <w:ind w:firstLine="480"/>
        <w:rPr>
          <w:rFonts w:ascii="宋体" w:hAnsi="宋体" w:cs="宋体"/>
          <w:sz w:val="24"/>
          <w:szCs w:val="24"/>
        </w:rPr>
      </w:pPr>
      <w:r>
        <w:rPr>
          <w:rFonts w:hint="eastAsia" w:ascii="宋体" w:hAnsi="宋体" w:cs="宋体"/>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rPr>
          <w:rFonts w:ascii="宋体" w:hAnsi="宋体" w:cs="宋体"/>
          <w:sz w:val="24"/>
          <w:szCs w:val="24"/>
        </w:rPr>
      </w:pPr>
      <w:r>
        <w:rPr>
          <w:rFonts w:hint="eastAsia" w:ascii="宋体" w:hAnsi="宋体" w:cs="宋体"/>
          <w:sz w:val="24"/>
          <w:szCs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rPr>
          <w:rFonts w:ascii="宋体" w:hAnsi="宋体" w:cs="宋体"/>
          <w:sz w:val="24"/>
          <w:szCs w:val="24"/>
        </w:rPr>
      </w:pPr>
      <w:r>
        <w:rPr>
          <w:rFonts w:hint="eastAsia" w:ascii="宋体" w:hAnsi="宋体" w:cs="宋体"/>
          <w:sz w:val="24"/>
          <w:szCs w:val="24"/>
        </w:rPr>
        <w:t xml:space="preserve">15.5 除不可抗力原因外，乙方不能按期供货、安装调试完毕的，向甲方每日偿付合同总价万分之三的违约金，由甲方从待付货款中扣除；给甲方造成损失的，甲方有权追索。</w:t>
      </w:r>
      <w:r/>
    </w:p>
    <w:p>
      <w:pPr>
        <w:ind w:firstLine="480"/>
        <w:rPr>
          <w:rFonts w:ascii="宋体" w:hAnsi="宋体" w:cs="宋体"/>
          <w:sz w:val="24"/>
          <w:szCs w:val="24"/>
        </w:rPr>
      </w:pPr>
      <w:r>
        <w:rPr>
          <w:rFonts w:hint="eastAsia" w:ascii="宋体" w:hAnsi="宋体" w:cs="宋体"/>
          <w:sz w:val="24"/>
          <w:szCs w:val="24"/>
        </w:rPr>
        <w:t xml:space="preserve">15.6 </w:t>
      </w:r>
      <w:r>
        <w:rPr>
          <w:rFonts w:hint="eastAsia" w:ascii="宋体" w:hAnsi="宋体" w:cs="宋体"/>
          <w:sz w:val="24"/>
          <w:szCs w:val="24"/>
          <w:highlight w:val="yellow"/>
        </w:rPr>
        <w:t xml:space="preserve">乙方应有至少2名工程师（科技提升项目方向1名、交通指挥中心和融媒体方向1名）携带相应检修装备驻场维护（自行食宿、在滨海县公安局日常办公）</w:t>
      </w:r>
      <w:r>
        <w:rPr>
          <w:rFonts w:hint="eastAsia" w:ascii="宋体" w:hAnsi="宋体" w:cs="宋体"/>
          <w:sz w:val="24"/>
          <w:szCs w:val="24"/>
        </w:rPr>
        <w:t xml:space="preserve">，如在规定响应时间内不能到场检查并完成维修、维护的，每处向甲方每日偿付合同总值万分之一的违约金，由甲方从待付货款中扣除。</w:t>
      </w:r>
      <w:r/>
    </w:p>
    <w:p>
      <w:pPr>
        <w:ind w:firstLine="480"/>
        <w:rPr>
          <w:rFonts w:ascii="宋体" w:hAnsi="宋体" w:cs="宋体"/>
          <w:sz w:val="24"/>
          <w:szCs w:val="24"/>
        </w:rPr>
      </w:pPr>
      <w:r>
        <w:rPr>
          <w:rFonts w:hint="eastAsia" w:ascii="宋体" w:hAnsi="宋体" w:cs="宋体"/>
          <w:sz w:val="24"/>
          <w:szCs w:val="24"/>
        </w:rPr>
        <w:t xml:space="preserve">15.7 </w:t>
      </w:r>
      <w:r>
        <w:rPr>
          <w:rFonts w:hint="eastAsia" w:ascii="宋体" w:hAnsi="宋体"/>
          <w:sz w:val="24"/>
        </w:rPr>
        <w:t xml:space="preserve">乙方</w:t>
      </w:r>
      <w:r>
        <w:rPr>
          <w:rFonts w:hint="eastAsia" w:ascii="宋体" w:hAnsi="宋体" w:cs="宋体"/>
          <w:sz w:val="24"/>
          <w:szCs w:val="24"/>
        </w:rPr>
        <w:t xml:space="preserve">不能履行售后服务条款的，按违约处理。</w:t>
      </w:r>
      <w:r/>
    </w:p>
    <w:p>
      <w:pPr>
        <w:ind w:firstLine="480"/>
        <w:rPr>
          <w:rFonts w:ascii="宋体" w:hAnsi="宋体" w:cs="宋体"/>
          <w:sz w:val="24"/>
          <w:szCs w:val="24"/>
        </w:rPr>
      </w:pPr>
      <w:r>
        <w:rPr>
          <w:rFonts w:hint="eastAsia" w:ascii="宋体" w:hAnsi="宋体" w:cs="宋体"/>
          <w:sz w:val="24"/>
          <w:szCs w:val="24"/>
        </w:rPr>
        <w:t xml:space="preserve">15.7 </w:t>
      </w:r>
      <w:r>
        <w:rPr>
          <w:rFonts w:hint="eastAsia" w:ascii="宋体" w:hAnsi="宋体"/>
          <w:sz w:val="24"/>
        </w:rPr>
        <w:t xml:space="preserve">乙方</w:t>
      </w:r>
      <w:r>
        <w:rPr>
          <w:rFonts w:hint="eastAsia" w:ascii="宋体" w:hAnsi="宋体" w:cs="宋体"/>
          <w:sz w:val="24"/>
          <w:szCs w:val="24"/>
        </w:rPr>
        <w:t xml:space="preserve">违反相关保密规定的，甲方有权立即终止合同，并视后果、造成影响等追究法律责任和要求经济赔偿。</w:t>
      </w:r>
      <w:r/>
    </w:p>
    <w:p>
      <w:pPr>
        <w:pStyle w:val="1118"/>
        <w:ind w:firstLine="482"/>
        <w:rPr>
          <w:rFonts w:hAnsi="宋体" w:cs="宋体"/>
          <w:b/>
          <w:sz w:val="24"/>
          <w:szCs w:val="24"/>
        </w:rPr>
      </w:pPr>
      <w:r>
        <w:rPr>
          <w:rFonts w:hint="eastAsia" w:hAnsi="宋体" w:cs="宋体"/>
          <w:b/>
          <w:sz w:val="24"/>
          <w:szCs w:val="24"/>
        </w:rPr>
        <w:t xml:space="preserve">十六、不可抗力事件处理</w:t>
      </w:r>
      <w:r/>
    </w:p>
    <w:p>
      <w:pPr>
        <w:ind w:firstLine="480"/>
        <w:rPr>
          <w:rFonts w:ascii="宋体" w:hAnsi="宋体" w:cs="宋体"/>
          <w:sz w:val="24"/>
          <w:szCs w:val="24"/>
        </w:rPr>
      </w:pPr>
      <w:r>
        <w:rPr>
          <w:rFonts w:hint="eastAsia" w:ascii="宋体" w:hAnsi="宋体" w:cs="宋体"/>
          <w:sz w:val="24"/>
          <w:szCs w:val="24"/>
        </w:rPr>
        <w:t xml:space="preserve">16.1 在合同有效期内，任何一方因不可抗力事件导致不能履行合同，则合同履行期可延长，其延长期与不可抗力影响期相同。</w:t>
      </w:r>
      <w:r/>
    </w:p>
    <w:p>
      <w:pPr>
        <w:ind w:firstLine="480"/>
        <w:rPr>
          <w:rFonts w:ascii="宋体" w:hAnsi="宋体" w:cs="宋体"/>
          <w:sz w:val="24"/>
          <w:szCs w:val="24"/>
        </w:rPr>
      </w:pPr>
      <w:r>
        <w:rPr>
          <w:rFonts w:hint="eastAsia" w:ascii="宋体" w:hAnsi="宋体" w:cs="宋体"/>
          <w:sz w:val="24"/>
          <w:szCs w:val="24"/>
        </w:rPr>
        <w:t xml:space="preserve">16.2 不可抗力事件发生后，应立即通知对方，并寄送有关权威机构出具的证明。</w:t>
      </w:r>
      <w:r/>
    </w:p>
    <w:p>
      <w:pPr>
        <w:ind w:firstLine="480"/>
        <w:rPr>
          <w:rFonts w:ascii="宋体" w:hAnsi="宋体" w:cs="宋体"/>
          <w:sz w:val="24"/>
          <w:szCs w:val="24"/>
        </w:rPr>
      </w:pPr>
      <w:r>
        <w:rPr>
          <w:rFonts w:hint="eastAsia" w:ascii="宋体" w:hAnsi="宋体" w:cs="宋体"/>
          <w:sz w:val="24"/>
          <w:szCs w:val="24"/>
        </w:rPr>
        <w:t xml:space="preserve">16.3 不可抗力事件延续120天以上，双方应通过友好协商，确定是否继续履行合同。</w:t>
      </w:r>
      <w:r/>
    </w:p>
    <w:p>
      <w:pPr>
        <w:pStyle w:val="1118"/>
        <w:ind w:firstLine="482"/>
        <w:rPr>
          <w:rFonts w:hAnsi="宋体" w:cs="宋体"/>
          <w:b/>
          <w:sz w:val="24"/>
          <w:szCs w:val="24"/>
        </w:rPr>
      </w:pPr>
      <w:r>
        <w:rPr>
          <w:rFonts w:hint="eastAsia" w:hAnsi="宋体" w:cs="宋体"/>
          <w:b/>
          <w:sz w:val="24"/>
          <w:szCs w:val="24"/>
        </w:rPr>
        <w:t xml:space="preserve">十七、诉讼</w:t>
      </w:r>
      <w:r/>
    </w:p>
    <w:p>
      <w:pPr>
        <w:ind w:firstLine="480"/>
        <w:rPr>
          <w:rFonts w:ascii="宋体" w:hAnsi="宋体" w:cs="宋体"/>
          <w:sz w:val="24"/>
          <w:szCs w:val="24"/>
        </w:rPr>
      </w:pPr>
      <w:r>
        <w:rPr>
          <w:rFonts w:hint="eastAsia" w:ascii="宋体" w:hAnsi="宋体" w:cs="宋体"/>
          <w:sz w:val="24"/>
          <w:szCs w:val="24"/>
        </w:rPr>
        <w:t xml:space="preserve">双方在执行合同中所发生的一切争议，应通过协商解决。如协商不成，可向合同签订地法院起诉，合同签订地在此约定为盐城市滨海县。</w:t>
      </w:r>
      <w:r/>
    </w:p>
    <w:p>
      <w:pPr>
        <w:pStyle w:val="1118"/>
        <w:ind w:firstLine="482"/>
        <w:rPr>
          <w:rFonts w:hAnsi="宋体" w:cs="宋体"/>
          <w:b/>
          <w:sz w:val="24"/>
          <w:szCs w:val="24"/>
        </w:rPr>
      </w:pPr>
      <w:r>
        <w:rPr>
          <w:rFonts w:hint="eastAsia" w:hAnsi="宋体" w:cs="宋体"/>
          <w:b/>
          <w:sz w:val="24"/>
          <w:szCs w:val="24"/>
        </w:rPr>
        <w:t xml:space="preserve">十八、合同生效及其它</w:t>
      </w:r>
      <w:r/>
    </w:p>
    <w:p>
      <w:pPr>
        <w:ind w:firstLine="480"/>
        <w:rPr>
          <w:rFonts w:ascii="宋体" w:hAnsi="宋体" w:cs="宋体"/>
          <w:sz w:val="24"/>
          <w:szCs w:val="24"/>
        </w:rPr>
      </w:pPr>
      <w:r>
        <w:rPr>
          <w:rFonts w:hint="eastAsia" w:ascii="宋体" w:hAnsi="宋体" w:cs="宋体"/>
          <w:sz w:val="24"/>
          <w:szCs w:val="24"/>
        </w:rPr>
        <w:t xml:space="preserve">18.1 合同经双方法定代表人或授权委托代表人签字并加盖单位公章后生效。</w:t>
      </w:r>
      <w:r/>
    </w:p>
    <w:p>
      <w:pPr>
        <w:ind w:firstLine="480"/>
        <w:rPr>
          <w:rFonts w:ascii="宋体" w:hAnsi="宋体" w:cs="宋体"/>
          <w:sz w:val="24"/>
          <w:szCs w:val="24"/>
        </w:rPr>
      </w:pPr>
      <w:r>
        <w:rPr>
          <w:rFonts w:hint="eastAsia" w:ascii="宋体" w:hAnsi="宋体" w:cs="宋体"/>
          <w:sz w:val="24"/>
          <w:szCs w:val="24"/>
        </w:rPr>
        <w:t xml:space="preserve">18.2合同未尽事宜，遵照《民法典》有关条文执行。</w:t>
      </w:r>
      <w:r/>
    </w:p>
    <w:p>
      <w:pPr>
        <w:ind w:firstLine="480"/>
        <w:rPr>
          <w:rFonts w:ascii="宋体" w:hAnsi="宋体" w:cs="宋体"/>
          <w:sz w:val="24"/>
          <w:szCs w:val="24"/>
        </w:rPr>
      </w:pPr>
      <w:r>
        <w:rPr>
          <w:rFonts w:hint="eastAsia" w:ascii="宋体" w:hAnsi="宋体" w:cs="宋体"/>
          <w:sz w:val="24"/>
          <w:szCs w:val="24"/>
        </w:rPr>
        <w:t xml:space="preserve">18.3 合同正本一式肆份，具有同等法律效力，甲方、乙方及双方各执贰份。</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pStyle w:val="1118"/>
        <w:ind w:hanging="480"/>
        <w:rPr>
          <w:rFonts w:hAnsi="宋体" w:cs="宋体"/>
          <w:sz w:val="24"/>
          <w:szCs w:val="24"/>
        </w:rPr>
      </w:pPr>
      <w:r>
        <w:rPr>
          <w:rFonts w:hint="eastAsia" w:hAnsi="宋体" w:cs="宋体"/>
          <w:sz w:val="24"/>
          <w:szCs w:val="24"/>
        </w:rPr>
        <w:t xml:space="preserve">  </w:t>
      </w:r>
      <w:r>
        <w:rPr>
          <w:rFonts w:hint="eastAsia" w:hAnsi="宋体" w:cs="宋体"/>
          <w:sz w:val="24"/>
          <w:szCs w:val="24"/>
          <w:lang w:val="en-US" w:eastAsia="zh-CN"/>
        </w:rPr>
        <w:t xml:space="preserve">    </w:t>
      </w:r>
      <w:r>
        <w:rPr>
          <w:rFonts w:hint="eastAsia" w:hAnsi="宋体" w:cs="宋体"/>
          <w:sz w:val="24"/>
          <w:szCs w:val="24"/>
        </w:rPr>
        <w:t xml:space="preserve">甲方：                                   乙方： </w:t>
      </w:r>
      <w:r/>
    </w:p>
    <w:p>
      <w:pPr>
        <w:pStyle w:val="1118"/>
        <w:rPr>
          <w:rFonts w:hAnsi="宋体" w:cs="宋体"/>
          <w:sz w:val="24"/>
          <w:szCs w:val="24"/>
        </w:rPr>
      </w:pPr>
      <w:r>
        <w:rPr>
          <w:rFonts w:hint="eastAsia" w:hAnsi="宋体" w:cs="宋体"/>
          <w:sz w:val="24"/>
          <w:szCs w:val="24"/>
        </w:rPr>
        <w:t xml:space="preserve">  地址：                                   地址： </w:t>
      </w:r>
      <w:r/>
    </w:p>
    <w:p>
      <w:pPr>
        <w:pStyle w:val="1118"/>
        <w:rPr>
          <w:rFonts w:hAnsi="宋体" w:cs="宋体"/>
          <w:sz w:val="24"/>
          <w:szCs w:val="24"/>
        </w:rPr>
      </w:pPr>
      <w:r>
        <w:rPr>
          <w:rFonts w:hint="eastAsia" w:hAnsi="宋体" w:cs="宋体"/>
          <w:sz w:val="24"/>
          <w:szCs w:val="24"/>
        </w:rPr>
        <w:t xml:space="preserve">  法定代表人或授权代表：                   法定代表人或授权代表：</w:t>
      </w:r>
      <w:r/>
    </w:p>
    <w:p>
      <w:pPr>
        <w:pStyle w:val="1118"/>
        <w:rPr>
          <w:rFonts w:hAnsi="宋体" w:cs="宋体"/>
          <w:sz w:val="24"/>
          <w:szCs w:val="24"/>
        </w:rPr>
      </w:pPr>
      <w:r>
        <w:rPr>
          <w:rFonts w:hint="eastAsia" w:hAnsi="宋体" w:cs="宋体"/>
          <w:sz w:val="24"/>
          <w:szCs w:val="24"/>
        </w:rPr>
        <w:t xml:space="preserve">  联系电话：                               联系电话：</w:t>
      </w:r>
      <w:r/>
    </w:p>
    <w:p>
      <w:pPr>
        <w:pStyle w:val="1118"/>
        <w:rPr>
          <w:rFonts w:hAnsi="宋体" w:cs="宋体"/>
          <w:sz w:val="24"/>
          <w:szCs w:val="24"/>
        </w:rPr>
      </w:pPr>
      <w:r>
        <w:rPr>
          <w:rFonts w:hAnsi="宋体" w:cs="宋体"/>
          <w:sz w:val="24"/>
          <w:szCs w:val="24"/>
        </w:rPr>
      </w:r>
      <w:r/>
    </w:p>
    <w:p>
      <w:pPr>
        <w:pStyle w:val="1118"/>
        <w:rPr>
          <w:rFonts w:hAnsi="宋体" w:cs="宋体"/>
          <w:sz w:val="24"/>
          <w:szCs w:val="24"/>
        </w:rPr>
      </w:pPr>
      <w:r>
        <w:rPr>
          <w:rFonts w:hAnsi="宋体" w:cs="宋体"/>
          <w:sz w:val="24"/>
          <w:szCs w:val="24"/>
        </w:rPr>
      </w:r>
      <w:r/>
    </w:p>
    <w:p>
      <w:pPr>
        <w:pStyle w:val="1118"/>
        <w:rPr>
          <w:rFonts w:hAnsi="宋体" w:cs="宋体"/>
          <w:sz w:val="24"/>
          <w:szCs w:val="24"/>
        </w:rPr>
      </w:pPr>
      <w:r>
        <w:rPr>
          <w:rFonts w:hint="eastAsia" w:hAnsi="宋体" w:cs="宋体"/>
        </w:rPr>
        <w:t xml:space="preserve">                                        </w:t>
      </w:r>
      <w:r>
        <w:rPr>
          <w:rFonts w:hint="eastAsia" w:hAnsi="宋体" w:cs="宋体"/>
          <w:sz w:val="24"/>
          <w:szCs w:val="24"/>
        </w:rPr>
        <w:t xml:space="preserve">  签订日期：        年    月    日</w:t>
      </w:r>
      <w:r/>
    </w:p>
    <w:p>
      <w:pPr>
        <w:pStyle w:val="1118"/>
        <w:spacing w:before="120" w:after="120" w:line="360" w:lineRule="auto"/>
        <w:rPr>
          <w:rFonts w:hAnsi="宋体" w:cs="宋体"/>
          <w:sz w:val="24"/>
          <w:szCs w:val="24"/>
        </w:rPr>
      </w:pPr>
      <w:r>
        <w:rPr>
          <w:rFonts w:hAnsi="宋体" w:cs="宋体"/>
          <w:sz w:val="24"/>
          <w:szCs w:val="24"/>
        </w:rPr>
      </w:r>
      <w:r/>
    </w:p>
    <w:p>
      <w:pPr>
        <w:spacing w:before="50" w:line="360" w:lineRule="auto"/>
        <w:rPr>
          <w:rFonts w:ascii="宋体" w:hAnsi="宋体"/>
          <w:b/>
          <w:sz w:val="36"/>
          <w:szCs w:val="36"/>
        </w:rPr>
        <w:outlineLvl w:val="0"/>
      </w:pPr>
      <w:r>
        <w:rPr>
          <w:rFonts w:ascii="宋体" w:hAnsi="宋体"/>
          <w:b/>
          <w:sz w:val="36"/>
          <w:szCs w:val="36"/>
        </w:rPr>
      </w:r>
      <w:r/>
    </w:p>
    <w:p>
      <w:pPr>
        <w:jc w:val="center"/>
        <w:spacing w:before="50" w:line="360" w:lineRule="auto"/>
        <w:rPr>
          <w:rFonts w:ascii="宋体" w:hAnsi="宋体"/>
          <w:b/>
          <w:sz w:val="36"/>
          <w:szCs w:val="36"/>
        </w:rPr>
        <w:outlineLvl w:val="0"/>
      </w:pPr>
      <w:r>
        <w:rPr>
          <w:rFonts w:ascii="宋体" w:hAnsi="宋体"/>
          <w:b/>
          <w:sz w:val="36"/>
          <w:szCs w:val="36"/>
        </w:rPr>
      </w:r>
      <w:r/>
    </w:p>
    <w:p>
      <w:pPr>
        <w:jc w:val="center"/>
        <w:spacing w:before="50" w:line="360" w:lineRule="auto"/>
        <w:rPr>
          <w:rFonts w:ascii="宋体" w:hAnsi="宋体"/>
          <w:b/>
          <w:sz w:val="36"/>
          <w:szCs w:val="36"/>
        </w:rPr>
        <w:outlineLvl w:val="0"/>
      </w:pPr>
      <w:r>
        <w:rPr>
          <w:rFonts w:ascii="宋体" w:hAnsi="宋体"/>
          <w:b/>
          <w:sz w:val="36"/>
          <w:szCs w:val="36"/>
        </w:rPr>
      </w:r>
      <w:r/>
    </w:p>
    <w:p>
      <w:pPr>
        <w:jc w:val="center"/>
        <w:spacing w:before="50" w:line="360" w:lineRule="auto"/>
        <w:rPr>
          <w:rFonts w:ascii="宋体" w:hAnsi="宋体"/>
          <w:b/>
          <w:sz w:val="36"/>
          <w:szCs w:val="36"/>
        </w:rPr>
        <w:outlineLvl w:val="0"/>
      </w:pPr>
      <w:r>
        <w:rPr>
          <w:rFonts w:ascii="宋体" w:hAnsi="宋体"/>
          <w:b/>
          <w:sz w:val="36"/>
          <w:szCs w:val="36"/>
        </w:rPr>
      </w:r>
      <w:r/>
    </w:p>
    <w:p>
      <w:pPr>
        <w:spacing w:before="50" w:line="360" w:lineRule="auto"/>
        <w:rPr>
          <w:rFonts w:ascii="宋体" w:hAnsi="宋体"/>
          <w:b/>
          <w:sz w:val="36"/>
          <w:szCs w:val="36"/>
        </w:rPr>
        <w:outlineLvl w:val="0"/>
      </w:pPr>
      <w:r>
        <w:rPr>
          <w:rFonts w:ascii="宋体" w:hAnsi="宋体"/>
          <w:b/>
          <w:sz w:val="36"/>
          <w:szCs w:val="36"/>
        </w:rPr>
      </w:r>
      <w:r/>
    </w:p>
    <w:p>
      <w:pPr>
        <w:pStyle w:val="1118"/>
        <w:spacing w:before="120" w:after="120"/>
        <w:rPr>
          <w:rFonts w:hAnsi="宋体"/>
          <w:sz w:val="28"/>
          <w:szCs w:val="28"/>
        </w:rPr>
      </w:pPr>
      <w:r>
        <w:rPr>
          <w:rFonts w:hAnsi="宋体"/>
          <w:sz w:val="28"/>
          <w:szCs w:val="28"/>
        </w:rPr>
      </w:r>
      <w:r/>
    </w:p>
    <w:sectPr>
      <w:footnotePr/>
      <w:endnotePr/>
      <w:type w:val="nextPage"/>
      <w:pgSz w:w="11907" w:h="16840" w:orient="portrait"/>
      <w:pgMar w:top="1134" w:right="1474" w:bottom="1134" w:left="147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Calibri Light">
    <w:panose1 w:val="020F0302020204030204"/>
  </w:font>
  <w:font w:name="Helvetica">
    <w:panose1 w:val="020B0604020202020204"/>
  </w:font>
  <w:font w:name="方正书宋简体">
    <w:panose1 w:val="020B0503020202020204"/>
  </w:font>
  <w:font w:name="Tahoma">
    <w:panose1 w:val="020B0604030504040204"/>
  </w:font>
  <w:font w:name="等线">
    <w:panose1 w:val="02010600030101010101"/>
  </w:font>
  <w:font w:name="仿宋">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ˎ̥">
    <w:panose1 w:val="020B0503020202020204"/>
  </w:font>
  <w:font w:name="Courier New">
    <w:panose1 w:val="02070309020205020404"/>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1"/>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left" w:pos="2341" w:leader="none"/>
        <w:tab w:val="center" w:pos="458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1"/>
                          </w:pPr>
                          <w:r>
                            <w:fldChar w:fldCharType="begin"/>
                          </w:r>
                          <w:r>
                            <w:instrText xml:space="preserve"> PAGE  \* MERGEFORMAT </w:instrText>
                          </w:r>
                          <w:r>
                            <w:fldChar w:fldCharType="separate"/>
                          </w:r>
                          <w:r>
                            <w:t xml:space="preserve">47</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47</w:t>
                    </w:r>
                    <w:r>
                      <w:fldChar w:fldCharType="end"/>
                    </w:r>
                    <w:r/>
                  </w:p>
                </w:txbxContent>
              </v:textbox>
            </v:shape>
          </w:pict>
        </mc:Fallback>
      </mc:AlternateContent>
    </w:r>
    <w:r>
      <w:rPr>
        <w:rFonts w:hint="eastAsia"/>
        <w:b/>
        <w:i/>
        <w:sz w:val="20"/>
      </w:rPr>
      <w:tab/>
    </w:r>
    <w:r>
      <w:rPr>
        <w:rFonts w:hint="eastAsia"/>
        <w:b/>
        <w:i/>
        <w:sz w:val="20"/>
      </w:rPr>
      <w:tab/>
    </w:r>
    <w:r>
      <w:rPr>
        <w:rFonts w:hint="eastAsia"/>
        <w:b/>
        <w:i/>
        <w:sz w:val="20"/>
      </w:rPr>
      <w:tab/>
    </w:r>
    <w:r>
      <w:rPr>
        <w:b/>
        <w:i/>
        <w:sz w:val="20"/>
      </w:rPr>
      <w:t xml:space="preserve"> </w:t>
    </w:r>
    <w:r/>
  </w:p>
  <w:p>
    <w:pP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1"/>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1"/>
                          </w:pPr>
                          <w:r>
                            <w:fldChar w:fldCharType="begin"/>
                          </w:r>
                          <w:r>
                            <w:instrText xml:space="preserve"> PAGE  \* MERGEFORMAT </w:instrText>
                          </w:r>
                          <w:r>
                            <w:fldChar w:fldCharType="separate"/>
                          </w:r>
                          <w:r>
                            <w:t xml:space="preserve">154</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154</w:t>
                    </w:r>
                    <w:r>
                      <w:fldChar w:fldCharType="end"/>
                    </w:r>
                    <w:r/>
                  </w:p>
                </w:txbxContent>
              </v:textbox>
            </v:shape>
          </w:pict>
        </mc:Fallback>
      </mc:AlternateContent>
    </w:r>
    <w:r>
      <w:rPr>
        <w:b/>
        <w:i/>
        <w:sz w:val="20"/>
      </w:rPr>
      <w:t xml:space="preserve"> </w:t>
    </w:r>
    <w:r/>
  </w:p>
  <w:p>
    <w:pPr>
      <w:rPr>
        <w:b/>
        <w:i/>
      </w:rPr>
    </w:pP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1"/>
                          </w:pPr>
                          <w:r>
                            <w:fldChar w:fldCharType="begin"/>
                          </w:r>
                          <w:r>
                            <w:instrText xml:space="preserve"> PAGE  \* MERGEFORMAT </w:instrText>
                          </w:r>
                          <w:r>
                            <w:fldChar w:fldCharType="separate"/>
                          </w:r>
                          <w:r>
                            <w:t xml:space="preserve">150</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fldChar w:fldCharType="begin"/>
                    </w:r>
                    <w:r>
                      <w:instrText xml:space="preserve"> PAGE  \* MERGEFORMAT </w:instrText>
                    </w:r>
                    <w:r>
                      <w:fldChar w:fldCharType="separate"/>
                    </w:r>
                    <w:r>
                      <w:t xml:space="preserve">150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06"/>
      <w:isLgl w:val="false"/>
      <w:suff w:val="space"/>
      <w:lvlText w:val="图%1."/>
      <w:lvlJc w:val="left"/>
      <w:pPr>
        <w:ind w:left="2263" w:hanging="420"/>
      </w:pPr>
    </w:lvl>
    <w:lvl w:ilvl="1">
      <w:start w:val="1"/>
      <w:numFmt w:val="lowerLetter"/>
      <w:isLgl w:val="false"/>
      <w:suff w:val="tab"/>
      <w:lvlText w:val="%2)"/>
      <w:lvlJc w:val="left"/>
      <w:pPr>
        <w:ind w:left="2683" w:hanging="420"/>
      </w:pPr>
    </w:lvl>
    <w:lvl w:ilvl="2">
      <w:start w:val="1"/>
      <w:numFmt w:val="lowerRoman"/>
      <w:isLgl w:val="false"/>
      <w:suff w:val="tab"/>
      <w:lvlText w:val="%3."/>
      <w:lvlJc w:val="right"/>
      <w:pPr>
        <w:ind w:left="3103" w:hanging="420"/>
      </w:pPr>
    </w:lvl>
    <w:lvl w:ilvl="3">
      <w:start w:val="1"/>
      <w:numFmt w:val="decimal"/>
      <w:isLgl w:val="false"/>
      <w:suff w:val="tab"/>
      <w:lvlText w:val="%4."/>
      <w:lvlJc w:val="left"/>
      <w:pPr>
        <w:ind w:left="3523" w:hanging="420"/>
      </w:pPr>
    </w:lvl>
    <w:lvl w:ilvl="4">
      <w:start w:val="1"/>
      <w:numFmt w:val="lowerLetter"/>
      <w:isLgl w:val="false"/>
      <w:suff w:val="tab"/>
      <w:lvlText w:val="%5)"/>
      <w:lvlJc w:val="left"/>
      <w:pPr>
        <w:ind w:left="3943" w:hanging="420"/>
      </w:pPr>
    </w:lvl>
    <w:lvl w:ilvl="5">
      <w:start w:val="1"/>
      <w:numFmt w:val="lowerRoman"/>
      <w:isLgl w:val="false"/>
      <w:suff w:val="tab"/>
      <w:lvlText w:val="%6."/>
      <w:lvlJc w:val="right"/>
      <w:pPr>
        <w:ind w:left="4363" w:hanging="420"/>
      </w:pPr>
    </w:lvl>
    <w:lvl w:ilvl="6">
      <w:start w:val="1"/>
      <w:numFmt w:val="decimal"/>
      <w:isLgl w:val="false"/>
      <w:suff w:val="tab"/>
      <w:lvlText w:val="%7."/>
      <w:lvlJc w:val="left"/>
      <w:pPr>
        <w:ind w:left="4783" w:hanging="420"/>
      </w:pPr>
    </w:lvl>
    <w:lvl w:ilvl="7">
      <w:start w:val="1"/>
      <w:numFmt w:val="lowerLetter"/>
      <w:isLgl w:val="false"/>
      <w:suff w:val="tab"/>
      <w:lvlText w:val="%8)"/>
      <w:lvlJc w:val="left"/>
      <w:pPr>
        <w:ind w:left="5203" w:hanging="420"/>
      </w:pPr>
    </w:lvl>
    <w:lvl w:ilvl="8">
      <w:start w:val="1"/>
      <w:numFmt w:val="lowerRoman"/>
      <w:isLgl w:val="false"/>
      <w:suff w:val="tab"/>
      <w:lvlText w:val="%9."/>
      <w:lvlJc w:val="right"/>
      <w:pPr>
        <w:ind w:left="5623" w:hanging="420"/>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ascii="Arial" w:hAnsi="Arial" w:eastAsia="宋体"/>
        <w:b/>
        <w:sz w:val="44"/>
      </w:rPr>
    </w:lvl>
    <w:lvl w:ilvl="1">
      <w:start w:val="1"/>
      <w:numFmt w:val="decimal"/>
      <w:isLgl w:val="false"/>
      <w:suff w:val="tab"/>
      <w:lvlText w:val="%1.%2."/>
      <w:lvlJc w:val="left"/>
      <w:pPr>
        <w:ind w:left="567" w:hanging="567"/>
        <w:tabs>
          <w:tab w:val="left" w:pos="567" w:leader="none"/>
        </w:tabs>
      </w:pPr>
      <w:rPr>
        <w:rFonts w:hint="eastAsia" w:ascii="Arial" w:hAnsi="Arial" w:eastAsia="宋体"/>
        <w:b/>
        <w:sz w:val="36"/>
      </w:rPr>
    </w:lvl>
    <w:lvl w:ilvl="2">
      <w:start w:val="1"/>
      <w:numFmt w:val="decimal"/>
      <w:isLgl w:val="false"/>
      <w:suff w:val="tab"/>
      <w:lvlText w:val="%1.%2.%3."/>
      <w:lvlJc w:val="left"/>
      <w:pPr>
        <w:ind w:left="709" w:hanging="709"/>
        <w:tabs>
          <w:tab w:val="left" w:pos="709" w:leader="none"/>
        </w:tabs>
      </w:pPr>
      <w:rPr>
        <w:rFonts w:hint="eastAsia" w:ascii="Arial" w:hAnsi="Arial" w:eastAsia="宋体"/>
        <w:b/>
        <w:sz w:val="32"/>
      </w:rPr>
    </w:lvl>
    <w:lvl w:ilvl="3">
      <w:start w:val="1"/>
      <w:numFmt w:val="decimal"/>
      <w:isLgl w:val="false"/>
      <w:suff w:val="tab"/>
      <w:lvlText w:val="%1.%2.%3.%4."/>
      <w:lvlJc w:val="left"/>
      <w:pPr>
        <w:ind w:left="851" w:hanging="851"/>
        <w:tabs>
          <w:tab w:val="left" w:pos="851" w:leader="none"/>
        </w:tabs>
      </w:pPr>
      <w:rPr>
        <w:rFonts w:hint="eastAsia" w:ascii="Arial" w:hAnsi="Arial" w:eastAsia="宋体"/>
        <w:b/>
        <w:sz w:val="30"/>
      </w:rPr>
    </w:lvl>
    <w:lvl w:ilvl="4">
      <w:start w:val="1"/>
      <w:numFmt w:val="decimal"/>
      <w:isLgl w:val="false"/>
      <w:suff w:val="tab"/>
      <w:lvlText w:val="%1.%2.%3.%4.%5."/>
      <w:lvlJc w:val="left"/>
      <w:pPr>
        <w:ind w:left="992" w:hanging="992"/>
        <w:tabs>
          <w:tab w:val="left" w:pos="992" w:leader="none"/>
        </w:tabs>
      </w:pPr>
      <w:rPr>
        <w:rFonts w:hint="eastAsia" w:ascii="Arial" w:hAnsi="Arial" w:eastAsia="宋体"/>
        <w:b/>
        <w:sz w:val="28"/>
      </w:rPr>
    </w:lvl>
    <w:lvl w:ilvl="5">
      <w:start w:val="1"/>
      <w:numFmt w:val="decimal"/>
      <w:isLgl w:val="false"/>
      <w:suff w:val="tab"/>
      <w:lvlText w:val="%1.%2.%3.%4.%5.%6."/>
      <w:lvlJc w:val="left"/>
      <w:pPr>
        <w:ind w:left="1134" w:hanging="1134"/>
        <w:tabs>
          <w:tab w:val="left" w:pos="1134" w:leader="none"/>
        </w:tabs>
      </w:pPr>
      <w:rPr>
        <w:rFonts w:hint="eastAsia" w:ascii="Arial" w:hAnsi="Arial" w:eastAsia="宋体"/>
        <w:b/>
        <w:sz w:val="24"/>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840" w:hanging="360"/>
        <w:tabs>
          <w:tab w:val="left" w:pos="84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 w:ilvl="0">
        <w:start w:val="1"/>
        <w:numFmt w:val="decimal"/>
        <w:pStyle w:val="1152"/>
        <w:isLgl w:val="false"/>
        <w:suff w:val="tab"/>
        <w:lvlText w:val="%1."/>
        <w:lvlJc w:val="left"/>
        <w:pPr>
          <w:ind w:left="425" w:hanging="425"/>
          <w:tabs>
            <w:tab w:val="left" w:pos="425" w:leader="none"/>
          </w:tabs>
        </w:pPr>
        <w:rPr>
          <w:rFonts w:hint="eastAsia" w:ascii="Arial" w:hAnsi="Arial" w:eastAsia="宋体"/>
          <w:b/>
          <w:sz w:val="44"/>
        </w:rPr>
      </w:lvl>
    </w:lvlOverride>
    <w:lvlOverride w:ilvl="1">
      <w:lvl w:ilvl="1">
        <w:start w:val="1"/>
        <w:numFmt w:val="decimal"/>
        <w:pStyle w:val="1154"/>
        <w:isLgl w:val="false"/>
        <w:suff w:val="tab"/>
        <w:lvlText w:val="%1.%2."/>
        <w:lvlJc w:val="left"/>
        <w:pPr>
          <w:ind w:left="567" w:hanging="567"/>
          <w:tabs>
            <w:tab w:val="left" w:pos="567" w:leader="none"/>
          </w:tabs>
        </w:pPr>
        <w:rPr>
          <w:rFonts w:hint="eastAsia" w:ascii="Arial" w:hAnsi="Arial" w:eastAsia="宋体"/>
          <w:b/>
          <w:sz w:val="36"/>
        </w:rPr>
      </w:lvl>
    </w:lvlOverride>
    <w:lvlOverride w:ilvl="2">
      <w:lvl w:ilvl="2">
        <w:start w:val="1"/>
        <w:numFmt w:val="decimal"/>
        <w:pStyle w:val="1156"/>
        <w:isLgl w:val="false"/>
        <w:suff w:val="tab"/>
        <w:lvlText w:val="%1.%2.%3."/>
        <w:lvlJc w:val="left"/>
        <w:pPr>
          <w:ind w:left="851" w:hanging="709"/>
          <w:tabs>
            <w:tab w:val="left" w:pos="709" w:leader="none"/>
          </w:tabs>
        </w:pPr>
        <w:rPr>
          <w:rFonts w:hint="eastAsia" w:ascii="Arial" w:hAnsi="Arial" w:eastAsia="宋体"/>
          <w:b/>
          <w:sz w:val="32"/>
        </w:rPr>
      </w:lvl>
    </w:lvlOverride>
    <w:lvlOverride w:ilvl="3">
      <w:lvl w:ilvl="3">
        <w:start w:val="1"/>
        <w:numFmt w:val="decimal"/>
        <w:pStyle w:val="1158"/>
        <w:isLgl w:val="false"/>
        <w:suff w:val="tab"/>
        <w:lvlText w:val="%1.%2.%3.%4."/>
        <w:lvlJc w:val="left"/>
        <w:pPr>
          <w:ind w:left="0" w:firstLine="567"/>
          <w:tabs>
            <w:tab w:val="left" w:pos="851" w:leader="none"/>
          </w:tabs>
        </w:pPr>
        <w:rPr>
          <w:rFonts w:hint="eastAsia" w:ascii="Arial" w:hAnsi="Arial" w:eastAsia="宋体"/>
          <w:b/>
          <w:sz w:val="32"/>
        </w:rPr>
      </w:lvl>
    </w:lvlOverride>
    <w:lvlOverride w:ilvl="4">
      <w:lvl w:ilvl="4">
        <w:start w:val="1"/>
        <w:numFmt w:val="decimal"/>
        <w:pStyle w:val="1159"/>
        <w:isLgl w:val="false"/>
        <w:suff w:val="tab"/>
        <w:lvlText w:val="%1.%2.%3.%4.%5."/>
        <w:lvlJc w:val="left"/>
        <w:pPr>
          <w:ind w:left="170" w:hanging="170"/>
          <w:tabs>
            <w:tab w:val="left" w:pos="992" w:leader="none"/>
          </w:tabs>
        </w:pPr>
        <w:rPr>
          <w:rFonts w:hint="eastAsia" w:ascii="Arial" w:hAnsi="Arial" w:eastAsia="宋体"/>
          <w:b/>
          <w:sz w:val="32"/>
        </w:rPr>
      </w:lvl>
    </w:lvlOverride>
    <w:lvlOverride w:ilvl="5">
      <w:lvl w:ilvl="5">
        <w:start w:val="1"/>
        <w:numFmt w:val="decimal"/>
        <w:pStyle w:val="1160"/>
        <w:isLgl w:val="false"/>
        <w:suff w:val="tab"/>
        <w:lvlText w:val="%1.%2.%3.%4.%5.%6."/>
        <w:lvlJc w:val="left"/>
        <w:pPr>
          <w:ind w:left="1134" w:hanging="1134"/>
          <w:tabs>
            <w:tab w:val="left" w:pos="1134" w:leader="none"/>
          </w:tabs>
        </w:pPr>
        <w:rPr>
          <w:rFonts w:hint="eastAsia" w:ascii="Arial" w:hAnsi="Arial" w:eastAsia="宋体"/>
          <w:b/>
          <w:sz w:val="32"/>
        </w:rPr>
      </w:lvl>
    </w:lvlOverride>
    <w:lvlOverride w:ilvl="6">
      <w:lvl w:ilvl="6">
        <w:start w:val="1"/>
        <w:numFmt w:val="decimal"/>
        <w:pStyle w:val="1161"/>
        <w:isLgl w:val="false"/>
        <w:suff w:val="tab"/>
        <w:lvlText w:val="%1.%2.%3.%4.%5.%6.%7."/>
        <w:lvlJc w:val="left"/>
        <w:pPr>
          <w:ind w:left="1276" w:hanging="1276"/>
          <w:tabs>
            <w:tab w:val="left" w:pos="1276" w:leader="none"/>
          </w:tabs>
        </w:pPr>
        <w:rPr>
          <w:rFonts w:hint="eastAsia"/>
        </w:rPr>
      </w:lvl>
    </w:lvlOverride>
    <w:lvlOverride w:ilvl="7">
      <w:lvl w:ilvl="7">
        <w:start w:val="1"/>
        <w:numFmt w:val="decimal"/>
        <w:pStyle w:val="1162"/>
        <w:isLgl w:val="false"/>
        <w:suff w:val="tab"/>
        <w:lvlText w:val="%1.%2.%3.%4.%5.%6.%7.%8."/>
        <w:lvlJc w:val="left"/>
        <w:pPr>
          <w:ind w:left="1418" w:hanging="1418"/>
          <w:tabs>
            <w:tab w:val="left" w:pos="1418" w:leader="none"/>
          </w:tabs>
        </w:pPr>
        <w:rPr>
          <w:rFonts w:hint="eastAsia"/>
        </w:rPr>
      </w:lvl>
    </w:lvlOverride>
    <w:lvlOverride w:ilvl="8">
      <w:lvl w:ilvl="8">
        <w:start w:val="1"/>
        <w:numFmt w:val="decimal"/>
        <w:pStyle w:val="1163"/>
        <w:isLgl w:val="false"/>
        <w:suff w:val="tab"/>
        <w:lvlText w:val="%1.%2.%3.%4.%5.%6.%7.%8.%9."/>
        <w:lvlJc w:val="left"/>
        <w:pPr>
          <w:ind w:left="1559" w:hanging="1559"/>
          <w:tabs>
            <w:tab w:val="left" w:pos="1559" w:leader="none"/>
          </w:tabs>
        </w:pPr>
        <w:rPr>
          <w:rFonts w:hint="eastAsia"/>
        </w:rPr>
      </w:lvl>
    </w:lvlOverride>
  </w:num>
  <w:num w:numId="3">
    <w:abstractNumId w:val="6"/>
  </w:num>
  <w:num w:numId="4">
    <w:abstractNumId w:val="3"/>
  </w:num>
  <w:num w:numId="5">
    <w:abstractNumId w:val="1"/>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7">
    <w:name w:val="Heading 1 Char"/>
    <w:basedOn w:val="922"/>
    <w:link w:val="913"/>
    <w:uiPriority w:val="9"/>
    <w:rPr>
      <w:rFonts w:ascii="Arial" w:hAnsi="Arial" w:eastAsia="Arial" w:cs="Arial"/>
      <w:sz w:val="40"/>
      <w:szCs w:val="40"/>
    </w:rPr>
  </w:style>
  <w:style w:type="character" w:styleId="878">
    <w:name w:val="Heading 2 Char"/>
    <w:basedOn w:val="922"/>
    <w:link w:val="914"/>
    <w:uiPriority w:val="9"/>
    <w:rPr>
      <w:rFonts w:ascii="Arial" w:hAnsi="Arial" w:eastAsia="Arial" w:cs="Arial"/>
      <w:sz w:val="34"/>
    </w:rPr>
  </w:style>
  <w:style w:type="character" w:styleId="879">
    <w:name w:val="Heading 3 Char"/>
    <w:basedOn w:val="922"/>
    <w:link w:val="915"/>
    <w:uiPriority w:val="9"/>
    <w:rPr>
      <w:rFonts w:ascii="Arial" w:hAnsi="Arial" w:eastAsia="Arial" w:cs="Arial"/>
      <w:sz w:val="30"/>
      <w:szCs w:val="30"/>
    </w:rPr>
  </w:style>
  <w:style w:type="character" w:styleId="880">
    <w:name w:val="Heading 4 Char"/>
    <w:basedOn w:val="922"/>
    <w:link w:val="916"/>
    <w:uiPriority w:val="9"/>
    <w:rPr>
      <w:rFonts w:ascii="Arial" w:hAnsi="Arial" w:eastAsia="Arial" w:cs="Arial"/>
      <w:b/>
      <w:bCs/>
      <w:sz w:val="26"/>
      <w:szCs w:val="26"/>
    </w:rPr>
  </w:style>
  <w:style w:type="character" w:styleId="881">
    <w:name w:val="Heading 5 Char"/>
    <w:basedOn w:val="922"/>
    <w:link w:val="917"/>
    <w:uiPriority w:val="9"/>
    <w:rPr>
      <w:rFonts w:ascii="Arial" w:hAnsi="Arial" w:eastAsia="Arial" w:cs="Arial"/>
      <w:b/>
      <w:bCs/>
      <w:sz w:val="24"/>
      <w:szCs w:val="24"/>
    </w:rPr>
  </w:style>
  <w:style w:type="character" w:styleId="882">
    <w:name w:val="Heading 6 Char"/>
    <w:basedOn w:val="922"/>
    <w:link w:val="918"/>
    <w:uiPriority w:val="9"/>
    <w:rPr>
      <w:rFonts w:ascii="Arial" w:hAnsi="Arial" w:eastAsia="Arial" w:cs="Arial"/>
      <w:b/>
      <w:bCs/>
      <w:sz w:val="22"/>
      <w:szCs w:val="22"/>
    </w:rPr>
  </w:style>
  <w:style w:type="character" w:styleId="883">
    <w:name w:val="Heading 7 Char"/>
    <w:basedOn w:val="922"/>
    <w:link w:val="919"/>
    <w:uiPriority w:val="9"/>
    <w:rPr>
      <w:rFonts w:ascii="Arial" w:hAnsi="Arial" w:eastAsia="Arial" w:cs="Arial"/>
      <w:b/>
      <w:bCs/>
      <w:i/>
      <w:iCs/>
      <w:sz w:val="22"/>
      <w:szCs w:val="22"/>
    </w:rPr>
  </w:style>
  <w:style w:type="character" w:styleId="884">
    <w:name w:val="Heading 8 Char"/>
    <w:basedOn w:val="922"/>
    <w:link w:val="920"/>
    <w:uiPriority w:val="9"/>
    <w:rPr>
      <w:rFonts w:ascii="Arial" w:hAnsi="Arial" w:eastAsia="Arial" w:cs="Arial"/>
      <w:i/>
      <w:iCs/>
      <w:sz w:val="22"/>
      <w:szCs w:val="22"/>
    </w:rPr>
  </w:style>
  <w:style w:type="character" w:styleId="885">
    <w:name w:val="Heading 9 Char"/>
    <w:basedOn w:val="922"/>
    <w:link w:val="921"/>
    <w:uiPriority w:val="9"/>
    <w:rPr>
      <w:rFonts w:ascii="Arial" w:hAnsi="Arial" w:eastAsia="Arial" w:cs="Arial"/>
      <w:i/>
      <w:iCs/>
      <w:sz w:val="21"/>
      <w:szCs w:val="21"/>
    </w:rPr>
  </w:style>
  <w:style w:type="character" w:styleId="886">
    <w:name w:val="Title Char"/>
    <w:basedOn w:val="922"/>
    <w:link w:val="942"/>
    <w:uiPriority w:val="10"/>
    <w:rPr>
      <w:sz w:val="48"/>
      <w:szCs w:val="48"/>
    </w:rPr>
  </w:style>
  <w:style w:type="character" w:styleId="887">
    <w:name w:val="Quote Char"/>
    <w:link w:val="958"/>
    <w:uiPriority w:val="29"/>
    <w:rPr>
      <w:i/>
    </w:rPr>
  </w:style>
  <w:style w:type="character" w:styleId="888">
    <w:name w:val="Intense Quote Char"/>
    <w:link w:val="960"/>
    <w:uiPriority w:val="30"/>
    <w:rPr>
      <w:i/>
    </w:rPr>
  </w:style>
  <w:style w:type="character" w:styleId="889">
    <w:name w:val="Caption Char"/>
    <w:basedOn w:val="925"/>
    <w:link w:val="931"/>
    <w:uiPriority w:val="99"/>
  </w:style>
  <w:style w:type="table" w:styleId="890">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9">
    <w:name w:val="Footnote Text Char"/>
    <w:link w:val="936"/>
    <w:uiPriority w:val="99"/>
    <w:rPr>
      <w:sz w:val="18"/>
    </w:rPr>
  </w:style>
  <w:style w:type="character" w:styleId="910">
    <w:name w:val="Endnote Text Char"/>
    <w:link w:val="930"/>
    <w:uiPriority w:val="99"/>
    <w:rPr>
      <w:sz w:val="20"/>
    </w:rPr>
  </w:style>
  <w:style w:type="paragraph" w:styleId="911">
    <w:name w:val="TOC Heading"/>
    <w:uiPriority w:val="39"/>
    <w:unhideWhenUsed/>
  </w:style>
  <w:style w:type="paragraph" w:styleId="912" w:default="1">
    <w:name w:val="Normal"/>
    <w:uiPriority w:val="0"/>
    <w:qFormat/>
    <w:pPr>
      <w:jc w:val="both"/>
      <w:widowControl w:val="off"/>
    </w:pPr>
    <w:rPr>
      <w:rFonts w:ascii="Times New Roman" w:hAnsi="Times New Roman" w:eastAsia="宋体" w:cs="Times New Roman"/>
      <w:sz w:val="28"/>
      <w:lang w:val="en-US" w:eastAsia="zh-CN" w:bidi="ar-SA"/>
    </w:rPr>
  </w:style>
  <w:style w:type="paragraph" w:styleId="913">
    <w:name w:val="Heading 1"/>
    <w:basedOn w:val="912"/>
    <w:next w:val="912"/>
    <w:link w:val="947"/>
    <w:uiPriority w:val="9"/>
    <w:qFormat/>
    <w:pPr>
      <w:keepLines/>
      <w:keepNext/>
      <w:spacing w:before="480" w:after="200"/>
      <w:outlineLvl w:val="0"/>
    </w:pPr>
    <w:rPr>
      <w:rFonts w:ascii="Arial" w:hAnsi="Arial" w:eastAsia="Arial" w:cs="Arial"/>
      <w:sz w:val="40"/>
      <w:szCs w:val="40"/>
    </w:rPr>
  </w:style>
  <w:style w:type="paragraph" w:styleId="914">
    <w:name w:val="Heading 2"/>
    <w:basedOn w:val="912"/>
    <w:next w:val="912"/>
    <w:link w:val="948"/>
    <w:uiPriority w:val="9"/>
    <w:unhideWhenUsed/>
    <w:qFormat/>
    <w:pPr>
      <w:keepLines/>
      <w:keepNext/>
      <w:spacing w:before="360" w:after="200"/>
      <w:outlineLvl w:val="1"/>
    </w:pPr>
    <w:rPr>
      <w:rFonts w:ascii="Arial" w:hAnsi="Arial" w:eastAsia="Arial" w:cs="Arial"/>
      <w:sz w:val="34"/>
    </w:rPr>
  </w:style>
  <w:style w:type="paragraph" w:styleId="915">
    <w:name w:val="Heading 3"/>
    <w:basedOn w:val="912"/>
    <w:next w:val="912"/>
    <w:link w:val="949"/>
    <w:uiPriority w:val="9"/>
    <w:unhideWhenUsed/>
    <w:qFormat/>
    <w:pPr>
      <w:keepLines/>
      <w:keepNext/>
      <w:spacing w:before="320" w:after="200"/>
      <w:outlineLvl w:val="2"/>
    </w:pPr>
    <w:rPr>
      <w:rFonts w:ascii="Arial" w:hAnsi="Arial" w:eastAsia="Arial" w:cs="Arial"/>
      <w:sz w:val="30"/>
      <w:szCs w:val="30"/>
    </w:rPr>
  </w:style>
  <w:style w:type="paragraph" w:styleId="916">
    <w:name w:val="Heading 4"/>
    <w:basedOn w:val="912"/>
    <w:next w:val="912"/>
    <w:link w:val="950"/>
    <w:uiPriority w:val="9"/>
    <w:unhideWhenUsed/>
    <w:qFormat/>
    <w:pPr>
      <w:keepLines/>
      <w:keepNext/>
      <w:spacing w:before="320" w:after="200"/>
      <w:outlineLvl w:val="3"/>
    </w:pPr>
    <w:rPr>
      <w:rFonts w:ascii="Arial" w:hAnsi="Arial" w:eastAsia="Arial" w:cs="Arial"/>
      <w:b/>
      <w:bCs/>
      <w:sz w:val="26"/>
      <w:szCs w:val="26"/>
    </w:rPr>
  </w:style>
  <w:style w:type="paragraph" w:styleId="917">
    <w:name w:val="Heading 5"/>
    <w:basedOn w:val="912"/>
    <w:next w:val="912"/>
    <w:link w:val="951"/>
    <w:uiPriority w:val="9"/>
    <w:unhideWhenUsed/>
    <w:qFormat/>
    <w:pPr>
      <w:keepLines/>
      <w:keepNext/>
      <w:spacing w:before="320" w:after="200"/>
      <w:outlineLvl w:val="4"/>
    </w:pPr>
    <w:rPr>
      <w:rFonts w:ascii="Arial" w:hAnsi="Arial" w:eastAsia="Arial" w:cs="Arial"/>
      <w:b/>
      <w:bCs/>
      <w:sz w:val="24"/>
      <w:szCs w:val="24"/>
    </w:rPr>
  </w:style>
  <w:style w:type="paragraph" w:styleId="918">
    <w:name w:val="Heading 6"/>
    <w:basedOn w:val="912"/>
    <w:next w:val="912"/>
    <w:link w:val="952"/>
    <w:uiPriority w:val="9"/>
    <w:unhideWhenUsed/>
    <w:qFormat/>
    <w:pPr>
      <w:keepLines/>
      <w:keepNext/>
      <w:spacing w:before="320" w:after="200"/>
      <w:outlineLvl w:val="5"/>
    </w:pPr>
    <w:rPr>
      <w:rFonts w:ascii="Arial" w:hAnsi="Arial" w:eastAsia="Arial" w:cs="Arial"/>
      <w:b/>
      <w:bCs/>
      <w:sz w:val="22"/>
      <w:szCs w:val="22"/>
    </w:rPr>
  </w:style>
  <w:style w:type="paragraph" w:styleId="919">
    <w:name w:val="Heading 7"/>
    <w:basedOn w:val="912"/>
    <w:next w:val="912"/>
    <w:link w:val="953"/>
    <w:uiPriority w:val="9"/>
    <w:unhideWhenUsed/>
    <w:qFormat/>
    <w:pPr>
      <w:keepLines/>
      <w:keepNext/>
      <w:spacing w:before="320" w:after="200"/>
      <w:outlineLvl w:val="6"/>
    </w:pPr>
    <w:rPr>
      <w:rFonts w:ascii="Arial" w:hAnsi="Arial" w:eastAsia="Arial" w:cs="Arial"/>
      <w:b/>
      <w:bCs/>
      <w:i/>
      <w:iCs/>
      <w:sz w:val="22"/>
      <w:szCs w:val="22"/>
    </w:rPr>
  </w:style>
  <w:style w:type="paragraph" w:styleId="920">
    <w:name w:val="Heading 8"/>
    <w:basedOn w:val="912"/>
    <w:next w:val="912"/>
    <w:link w:val="954"/>
    <w:uiPriority w:val="9"/>
    <w:unhideWhenUsed/>
    <w:qFormat/>
    <w:pPr>
      <w:keepLines/>
      <w:keepNext/>
      <w:spacing w:before="320" w:after="200"/>
      <w:outlineLvl w:val="7"/>
    </w:pPr>
    <w:rPr>
      <w:rFonts w:ascii="Arial" w:hAnsi="Arial" w:eastAsia="Arial" w:cs="Arial"/>
      <w:i/>
      <w:iCs/>
      <w:sz w:val="22"/>
      <w:szCs w:val="22"/>
    </w:rPr>
  </w:style>
  <w:style w:type="paragraph" w:styleId="921">
    <w:name w:val="Heading 9"/>
    <w:basedOn w:val="912"/>
    <w:next w:val="912"/>
    <w:link w:val="955"/>
    <w:uiPriority w:val="9"/>
    <w:unhideWhenUsed/>
    <w:qFormat/>
    <w:pPr>
      <w:keepLines/>
      <w:keepNext/>
      <w:spacing w:before="320" w:after="200"/>
      <w:outlineLvl w:val="8"/>
    </w:pPr>
    <w:rPr>
      <w:rFonts w:ascii="Arial" w:hAnsi="Arial" w:eastAsia="Arial" w:cs="Arial"/>
      <w:i/>
      <w:iCs/>
      <w:sz w:val="21"/>
      <w:szCs w:val="21"/>
    </w:rPr>
  </w:style>
  <w:style w:type="character" w:styleId="922" w:default="1">
    <w:name w:val="Default Paragraph Font"/>
    <w:uiPriority w:val="1"/>
    <w:semiHidden/>
    <w:unhideWhenUsed/>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toc 7"/>
    <w:basedOn w:val="912"/>
    <w:next w:val="912"/>
    <w:uiPriority w:val="39"/>
    <w:unhideWhenUsed/>
    <w:qFormat/>
    <w:pPr>
      <w:ind w:left="1701"/>
      <w:spacing w:after="57"/>
    </w:pPr>
  </w:style>
  <w:style w:type="paragraph" w:styleId="925">
    <w:name w:val="Caption"/>
    <w:basedOn w:val="912"/>
    <w:next w:val="912"/>
    <w:uiPriority w:val="35"/>
    <w:semiHidden/>
    <w:unhideWhenUsed/>
    <w:qFormat/>
    <w:pPr>
      <w:spacing w:line="276" w:lineRule="auto"/>
    </w:pPr>
    <w:rPr>
      <w:b/>
      <w:bCs/>
      <w:color w:val="4f81bd"/>
      <w:sz w:val="18"/>
      <w:szCs w:val="18"/>
    </w:rPr>
  </w:style>
  <w:style w:type="paragraph" w:styleId="926">
    <w:name w:val="toc 5"/>
    <w:basedOn w:val="912"/>
    <w:next w:val="912"/>
    <w:uiPriority w:val="39"/>
    <w:unhideWhenUsed/>
    <w:qFormat/>
    <w:pPr>
      <w:ind w:left="1134"/>
      <w:spacing w:after="57"/>
    </w:pPr>
  </w:style>
  <w:style w:type="paragraph" w:styleId="927">
    <w:name w:val="toc 3"/>
    <w:basedOn w:val="912"/>
    <w:next w:val="912"/>
    <w:uiPriority w:val="39"/>
    <w:unhideWhenUsed/>
    <w:qFormat/>
    <w:pPr>
      <w:ind w:left="567"/>
      <w:spacing w:after="57"/>
    </w:pPr>
  </w:style>
  <w:style w:type="paragraph" w:styleId="928">
    <w:name w:val="Plain Text"/>
    <w:basedOn w:val="912"/>
    <w:link w:val="1168"/>
    <w:uiPriority w:val="0"/>
    <w:qFormat/>
    <w:pPr>
      <w:jc w:val="left"/>
      <w:widowControl/>
    </w:pPr>
    <w:rPr>
      <w:rFonts w:ascii="宋体" w:hAnsi="Courier New" w:eastAsia="楷体_GB2312"/>
      <w:sz w:val="26"/>
    </w:rPr>
  </w:style>
  <w:style w:type="paragraph" w:styleId="929">
    <w:name w:val="toc 8"/>
    <w:basedOn w:val="912"/>
    <w:next w:val="912"/>
    <w:uiPriority w:val="39"/>
    <w:unhideWhenUsed/>
    <w:qFormat/>
    <w:pPr>
      <w:ind w:left="1984"/>
      <w:spacing w:after="57"/>
    </w:pPr>
  </w:style>
  <w:style w:type="paragraph" w:styleId="930">
    <w:name w:val="endnote text"/>
    <w:basedOn w:val="912"/>
    <w:link w:val="1089"/>
    <w:uiPriority w:val="99"/>
    <w:semiHidden/>
    <w:unhideWhenUsed/>
    <w:qFormat/>
    <w:rPr>
      <w:sz w:val="20"/>
    </w:rPr>
  </w:style>
  <w:style w:type="paragraph" w:styleId="931">
    <w:name w:val="Footer"/>
    <w:basedOn w:val="912"/>
    <w:link w:val="962"/>
    <w:uiPriority w:val="99"/>
    <w:unhideWhenUsed/>
    <w:qFormat/>
    <w:pPr>
      <w:tabs>
        <w:tab w:val="center" w:pos="7143" w:leader="none"/>
        <w:tab w:val="right" w:pos="14287" w:leader="none"/>
      </w:tabs>
    </w:pPr>
  </w:style>
  <w:style w:type="paragraph" w:styleId="932">
    <w:name w:val="Header"/>
    <w:basedOn w:val="912"/>
    <w:uiPriority w:val="99"/>
    <w:unhideWhenUsed/>
    <w:qFormat/>
    <w:pPr>
      <w:tabs>
        <w:tab w:val="center" w:pos="7143" w:leader="none"/>
        <w:tab w:val="right" w:pos="14287" w:leader="none"/>
      </w:tabs>
    </w:pPr>
  </w:style>
  <w:style w:type="paragraph" w:styleId="933">
    <w:name w:val="toc 1"/>
    <w:basedOn w:val="912"/>
    <w:next w:val="912"/>
    <w:uiPriority w:val="39"/>
    <w:unhideWhenUsed/>
    <w:qFormat/>
    <w:pPr>
      <w:spacing w:after="57"/>
    </w:pPr>
  </w:style>
  <w:style w:type="paragraph" w:styleId="934">
    <w:name w:val="toc 4"/>
    <w:basedOn w:val="912"/>
    <w:next w:val="912"/>
    <w:uiPriority w:val="39"/>
    <w:unhideWhenUsed/>
    <w:qFormat/>
    <w:pPr>
      <w:ind w:left="850"/>
      <w:spacing w:after="57"/>
    </w:pPr>
  </w:style>
  <w:style w:type="paragraph" w:styleId="935">
    <w:name w:val="Subtitle"/>
    <w:basedOn w:val="912"/>
    <w:next w:val="912"/>
    <w:uiPriority w:val="11"/>
    <w:qFormat/>
    <w:pPr>
      <w:spacing w:before="200" w:after="200"/>
    </w:pPr>
    <w:rPr>
      <w:sz w:val="24"/>
      <w:szCs w:val="24"/>
    </w:rPr>
  </w:style>
  <w:style w:type="paragraph" w:styleId="936">
    <w:name w:val="footnote text"/>
    <w:basedOn w:val="912"/>
    <w:link w:val="1088"/>
    <w:uiPriority w:val="99"/>
    <w:semiHidden/>
    <w:unhideWhenUsed/>
    <w:qFormat/>
    <w:pPr>
      <w:spacing w:after="40"/>
    </w:pPr>
    <w:rPr>
      <w:sz w:val="18"/>
    </w:rPr>
  </w:style>
  <w:style w:type="paragraph" w:styleId="937">
    <w:name w:val="toc 6"/>
    <w:basedOn w:val="912"/>
    <w:next w:val="912"/>
    <w:uiPriority w:val="39"/>
    <w:unhideWhenUsed/>
    <w:qFormat/>
    <w:pPr>
      <w:ind w:left="1417"/>
      <w:spacing w:after="57"/>
    </w:pPr>
  </w:style>
  <w:style w:type="paragraph" w:styleId="938">
    <w:name w:val="table of figures"/>
    <w:basedOn w:val="912"/>
    <w:next w:val="912"/>
    <w:uiPriority w:val="99"/>
    <w:unhideWhenUsed/>
    <w:qFormat/>
  </w:style>
  <w:style w:type="paragraph" w:styleId="939">
    <w:name w:val="toc 2"/>
    <w:basedOn w:val="912"/>
    <w:next w:val="912"/>
    <w:uiPriority w:val="39"/>
    <w:unhideWhenUsed/>
    <w:qFormat/>
    <w:pPr>
      <w:ind w:left="283"/>
      <w:spacing w:after="57"/>
    </w:pPr>
  </w:style>
  <w:style w:type="paragraph" w:styleId="940">
    <w:name w:val="toc 9"/>
    <w:basedOn w:val="912"/>
    <w:next w:val="912"/>
    <w:uiPriority w:val="39"/>
    <w:unhideWhenUsed/>
    <w:qFormat/>
    <w:pPr>
      <w:ind w:left="2268"/>
      <w:spacing w:after="57"/>
    </w:pPr>
  </w:style>
  <w:style w:type="paragraph" w:styleId="941">
    <w:name w:val="Normal (Web)"/>
    <w:basedOn w:val="912"/>
    <w:uiPriority w:val="0"/>
    <w:qFormat/>
    <w:pPr>
      <w:jc w:val="left"/>
      <w:widowControl/>
    </w:pPr>
    <w:rPr>
      <w:rFonts w:ascii="ˎ̥" w:hAnsi="ˎ̥" w:cs="宋体"/>
      <w:color w:val="000000"/>
      <w:sz w:val="13"/>
      <w:szCs w:val="13"/>
    </w:rPr>
  </w:style>
  <w:style w:type="paragraph" w:styleId="942">
    <w:name w:val="Title"/>
    <w:basedOn w:val="912"/>
    <w:next w:val="912"/>
    <w:link w:val="957"/>
    <w:uiPriority w:val="10"/>
    <w:qFormat/>
    <w:pPr>
      <w:contextualSpacing/>
      <w:spacing w:before="300" w:after="200"/>
    </w:pPr>
    <w:rPr>
      <w:sz w:val="48"/>
      <w:szCs w:val="48"/>
    </w:rPr>
  </w:style>
  <w:style w:type="table" w:styleId="9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semiHidden/>
    <w:unhideWhenUsed/>
    <w:qFormat/>
    <w:rPr>
      <w:vertAlign w:val="superscript"/>
    </w:rPr>
  </w:style>
  <w:style w:type="character" w:styleId="945">
    <w:name w:val="Hyperlink"/>
    <w:uiPriority w:val="99"/>
    <w:unhideWhenUsed/>
    <w:qFormat/>
    <w:rPr>
      <w:color w:val="0000ff"/>
      <w:u w:val="single"/>
    </w:rPr>
  </w:style>
  <w:style w:type="character" w:styleId="946">
    <w:name w:val="footnote reference"/>
    <w:uiPriority w:val="99"/>
    <w:unhideWhenUsed/>
    <w:qFormat/>
    <w:rPr>
      <w:vertAlign w:val="superscript"/>
    </w:rPr>
  </w:style>
  <w:style w:type="character" w:styleId="947" w:customStyle="1">
    <w:name w:val="标题 1 Char1"/>
    <w:link w:val="913"/>
    <w:uiPriority w:val="9"/>
    <w:qFormat/>
    <w:rPr>
      <w:rFonts w:ascii="Arial" w:hAnsi="Arial" w:eastAsia="Arial" w:cs="Arial"/>
      <w:sz w:val="40"/>
      <w:szCs w:val="40"/>
    </w:rPr>
  </w:style>
  <w:style w:type="character" w:styleId="948" w:customStyle="1">
    <w:name w:val="标题 2 Char1"/>
    <w:link w:val="914"/>
    <w:uiPriority w:val="9"/>
    <w:qFormat/>
    <w:rPr>
      <w:rFonts w:ascii="Arial" w:hAnsi="Arial" w:eastAsia="Arial" w:cs="Arial"/>
      <w:sz w:val="34"/>
    </w:rPr>
  </w:style>
  <w:style w:type="character" w:styleId="949" w:customStyle="1">
    <w:name w:val="标题 3 Char1"/>
    <w:link w:val="915"/>
    <w:uiPriority w:val="9"/>
    <w:qFormat/>
    <w:rPr>
      <w:rFonts w:ascii="Arial" w:hAnsi="Arial" w:eastAsia="Arial" w:cs="Arial"/>
      <w:sz w:val="30"/>
      <w:szCs w:val="30"/>
    </w:rPr>
  </w:style>
  <w:style w:type="character" w:styleId="950" w:customStyle="1">
    <w:name w:val="标题 4 Char"/>
    <w:link w:val="916"/>
    <w:uiPriority w:val="9"/>
    <w:qFormat/>
    <w:rPr>
      <w:rFonts w:ascii="Arial" w:hAnsi="Arial" w:eastAsia="Arial" w:cs="Arial"/>
      <w:b/>
      <w:bCs/>
      <w:sz w:val="26"/>
      <w:szCs w:val="26"/>
    </w:rPr>
  </w:style>
  <w:style w:type="character" w:styleId="951" w:customStyle="1">
    <w:name w:val="标题 5 Char"/>
    <w:link w:val="917"/>
    <w:uiPriority w:val="9"/>
    <w:qFormat/>
    <w:rPr>
      <w:rFonts w:ascii="Arial" w:hAnsi="Arial" w:eastAsia="Arial" w:cs="Arial"/>
      <w:b/>
      <w:bCs/>
      <w:sz w:val="24"/>
      <w:szCs w:val="24"/>
    </w:rPr>
  </w:style>
  <w:style w:type="character" w:styleId="952" w:customStyle="1">
    <w:name w:val="标题 6 Char"/>
    <w:link w:val="918"/>
    <w:uiPriority w:val="9"/>
    <w:qFormat/>
    <w:rPr>
      <w:rFonts w:ascii="Arial" w:hAnsi="Arial" w:eastAsia="Arial" w:cs="Arial"/>
      <w:b/>
      <w:bCs/>
      <w:sz w:val="22"/>
      <w:szCs w:val="22"/>
    </w:rPr>
  </w:style>
  <w:style w:type="character" w:styleId="953" w:customStyle="1">
    <w:name w:val="标题 7 Char"/>
    <w:link w:val="919"/>
    <w:uiPriority w:val="9"/>
    <w:qFormat/>
    <w:rPr>
      <w:rFonts w:ascii="Arial" w:hAnsi="Arial" w:eastAsia="Arial" w:cs="Arial"/>
      <w:b/>
      <w:bCs/>
      <w:i/>
      <w:iCs/>
      <w:sz w:val="22"/>
      <w:szCs w:val="22"/>
    </w:rPr>
  </w:style>
  <w:style w:type="character" w:styleId="954" w:customStyle="1">
    <w:name w:val="标题 8 Char"/>
    <w:link w:val="920"/>
    <w:uiPriority w:val="9"/>
    <w:qFormat/>
    <w:rPr>
      <w:rFonts w:ascii="Arial" w:hAnsi="Arial" w:eastAsia="Arial" w:cs="Arial"/>
      <w:i/>
      <w:iCs/>
      <w:sz w:val="22"/>
      <w:szCs w:val="22"/>
    </w:rPr>
  </w:style>
  <w:style w:type="character" w:styleId="955" w:customStyle="1">
    <w:name w:val="标题 9 Char"/>
    <w:link w:val="921"/>
    <w:uiPriority w:val="9"/>
    <w:qFormat/>
    <w:rPr>
      <w:rFonts w:ascii="Arial" w:hAnsi="Arial" w:eastAsia="Arial" w:cs="Arial"/>
      <w:i/>
      <w:iCs/>
      <w:sz w:val="21"/>
      <w:szCs w:val="21"/>
    </w:rPr>
  </w:style>
  <w:style w:type="paragraph" w:styleId="956">
    <w:name w:val="No Spacing"/>
    <w:uiPriority w:val="1"/>
    <w:qFormat/>
    <w:rPr>
      <w:rFonts w:ascii="Times New Roman" w:hAnsi="Times New Roman" w:eastAsia="宋体" w:cs="Times New Roman"/>
      <w:lang w:val="en-US" w:eastAsia="zh-CN" w:bidi="ar-SA"/>
    </w:rPr>
  </w:style>
  <w:style w:type="character" w:styleId="957" w:customStyle="1">
    <w:name w:val="标题 Char1"/>
    <w:link w:val="942"/>
    <w:uiPriority w:val="10"/>
    <w:qFormat/>
    <w:rPr>
      <w:sz w:val="48"/>
      <w:szCs w:val="48"/>
    </w:rPr>
  </w:style>
  <w:style w:type="paragraph" w:styleId="958">
    <w:name w:val="Quote"/>
    <w:basedOn w:val="912"/>
    <w:next w:val="912"/>
    <w:link w:val="959"/>
    <w:uiPriority w:val="29"/>
    <w:qFormat/>
    <w:pPr>
      <w:ind w:left="720" w:right="720"/>
    </w:pPr>
    <w:rPr>
      <w:i/>
    </w:rPr>
  </w:style>
  <w:style w:type="character" w:styleId="959" w:customStyle="1">
    <w:name w:val="引用 Char"/>
    <w:link w:val="958"/>
    <w:uiPriority w:val="29"/>
    <w:qFormat/>
    <w:rPr>
      <w:i/>
    </w:rPr>
  </w:style>
  <w:style w:type="paragraph" w:styleId="960">
    <w:name w:val="Intense Quote"/>
    <w:basedOn w:val="912"/>
    <w:next w:val="912"/>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customStyle="1">
    <w:name w:val="明显引用 Char"/>
    <w:link w:val="960"/>
    <w:uiPriority w:val="30"/>
    <w:qFormat/>
    <w:rPr>
      <w:i/>
    </w:rPr>
  </w:style>
  <w:style w:type="character" w:styleId="962" w:customStyle="1">
    <w:name w:val="页脚 Char1"/>
    <w:link w:val="931"/>
    <w:uiPriority w:val="99"/>
    <w:qFormat/>
  </w:style>
  <w:style w:type="table" w:styleId="96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6" w:customStyle="1">
    <w:name w:val="无格式表格 31"/>
    <w:uiPriority w:val="99"/>
    <w:qFormat/>
    <w:tblPr>
      <w:tblCellMar>
        <w:left w:w="0" w:type="dxa"/>
        <w:top w:w="0" w:type="dxa"/>
        <w:right w:w="0" w:type="dxa"/>
        <w:bottom w:w="0" w:type="dxa"/>
      </w:tblCellMar>
    </w:tblPr>
  </w:style>
  <w:style w:type="table" w:styleId="967" w:customStyle="1">
    <w:name w:val="无格式表格 41"/>
    <w:uiPriority w:val="99"/>
    <w:qFormat/>
    <w:tblPr>
      <w:tblCellMar>
        <w:left w:w="0" w:type="dxa"/>
        <w:top w:w="0" w:type="dxa"/>
        <w:right w:w="0" w:type="dxa"/>
        <w:bottom w:w="0" w:type="dxa"/>
      </w:tblCellMar>
    </w:tblPr>
  </w:style>
  <w:style w:type="table" w:styleId="968" w:customStyle="1">
    <w:name w:val="无格式表格 51"/>
    <w:uiPriority w:val="99"/>
    <w:qFormat/>
    <w:tblPr>
      <w:tblCellMar>
        <w:left w:w="0" w:type="dxa"/>
        <w:top w:w="0" w:type="dxa"/>
        <w:right w:w="0" w:type="dxa"/>
        <w:bottom w:w="0" w:type="dxa"/>
      </w:tblCellMar>
    </w:tblPr>
  </w:style>
  <w:style w:type="table" w:styleId="96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7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9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8" w:customStyle="1">
    <w:name w:val="清单表 1 浅色1"/>
    <w:uiPriority w:val="99"/>
    <w:qFormat/>
    <w:tblPr>
      <w:tblCellMar>
        <w:left w:w="0" w:type="dxa"/>
        <w:top w:w="0" w:type="dxa"/>
        <w:right w:w="0" w:type="dxa"/>
        <w:bottom w:w="0" w:type="dxa"/>
      </w:tblCellMar>
    </w:tblPr>
  </w:style>
  <w:style w:type="table" w:styleId="1019" w:customStyle="1">
    <w:name w:val="List Table 1 Light - Accent 1"/>
    <w:uiPriority w:val="99"/>
    <w:qFormat/>
    <w:tblPr>
      <w:tblCellMar>
        <w:left w:w="0" w:type="dxa"/>
        <w:top w:w="0" w:type="dxa"/>
        <w:right w:w="0" w:type="dxa"/>
        <w:bottom w:w="0" w:type="dxa"/>
      </w:tblCellMar>
    </w:tblPr>
  </w:style>
  <w:style w:type="table" w:styleId="1020" w:customStyle="1">
    <w:name w:val="List Table 1 Light - Accent 2"/>
    <w:uiPriority w:val="99"/>
    <w:qFormat/>
    <w:tblPr>
      <w:tblCellMar>
        <w:left w:w="0" w:type="dxa"/>
        <w:top w:w="0" w:type="dxa"/>
        <w:right w:w="0" w:type="dxa"/>
        <w:bottom w:w="0" w:type="dxa"/>
      </w:tblCellMar>
    </w:tblPr>
  </w:style>
  <w:style w:type="table" w:styleId="1021" w:customStyle="1">
    <w:name w:val="List Table 1 Light - Accent 3"/>
    <w:uiPriority w:val="99"/>
    <w:qFormat/>
    <w:tblPr>
      <w:tblCellMar>
        <w:left w:w="0" w:type="dxa"/>
        <w:top w:w="0" w:type="dxa"/>
        <w:right w:w="0" w:type="dxa"/>
        <w:bottom w:w="0" w:type="dxa"/>
      </w:tblCellMar>
    </w:tblPr>
  </w:style>
  <w:style w:type="table" w:styleId="1022" w:customStyle="1">
    <w:name w:val="List Table 1 Light - Accent 4"/>
    <w:uiPriority w:val="99"/>
    <w:qFormat/>
    <w:tblPr>
      <w:tblCellMar>
        <w:left w:w="0" w:type="dxa"/>
        <w:top w:w="0" w:type="dxa"/>
        <w:right w:w="0" w:type="dxa"/>
        <w:bottom w:w="0" w:type="dxa"/>
      </w:tblCellMar>
    </w:tblPr>
  </w:style>
  <w:style w:type="table" w:styleId="1023" w:customStyle="1">
    <w:name w:val="List Table 1 Light - Accent 5"/>
    <w:uiPriority w:val="99"/>
    <w:qFormat/>
    <w:tblPr>
      <w:tblCellMar>
        <w:left w:w="0" w:type="dxa"/>
        <w:top w:w="0" w:type="dxa"/>
        <w:right w:w="0" w:type="dxa"/>
        <w:bottom w:w="0" w:type="dxa"/>
      </w:tblCellMar>
    </w:tblPr>
  </w:style>
  <w:style w:type="table" w:styleId="1024" w:customStyle="1">
    <w:name w:val="List Table 1 Light - Accent 6"/>
    <w:uiPriority w:val="99"/>
    <w:qFormat/>
    <w:tblPr>
      <w:tblCellMar>
        <w:left w:w="0" w:type="dxa"/>
        <w:top w:w="0" w:type="dxa"/>
        <w:right w:w="0" w:type="dxa"/>
        <w:bottom w:w="0" w:type="dxa"/>
      </w:tblCellMar>
    </w:tblPr>
  </w:style>
  <w:style w:type="table" w:styleId="102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3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4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5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5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5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5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5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6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6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6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6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7" w:customStyle="1">
    <w:name w:val="Lined - Accent"/>
    <w:uiPriority w:val="99"/>
    <w:qFormat/>
    <w:rPr>
      <w:color w:val="404040"/>
    </w:rPr>
    <w:tblPr>
      <w:tblCellMar>
        <w:left w:w="0" w:type="dxa"/>
        <w:top w:w="0" w:type="dxa"/>
        <w:right w:w="0" w:type="dxa"/>
        <w:bottom w:w="0" w:type="dxa"/>
      </w:tblCellMar>
    </w:tblPr>
  </w:style>
  <w:style w:type="table" w:styleId="1068" w:customStyle="1">
    <w:name w:val="Lined - Accent 1"/>
    <w:uiPriority w:val="99"/>
    <w:qFormat/>
    <w:rPr>
      <w:color w:val="404040"/>
    </w:rPr>
    <w:tblPr>
      <w:tblCellMar>
        <w:left w:w="0" w:type="dxa"/>
        <w:top w:w="0" w:type="dxa"/>
        <w:right w:w="0" w:type="dxa"/>
        <w:bottom w:w="0" w:type="dxa"/>
      </w:tblCellMar>
    </w:tblPr>
  </w:style>
  <w:style w:type="table" w:styleId="1069" w:customStyle="1">
    <w:name w:val="Lined - Accent 2"/>
    <w:uiPriority w:val="99"/>
    <w:qFormat/>
    <w:rPr>
      <w:color w:val="404040"/>
    </w:rPr>
    <w:tblPr>
      <w:tblCellMar>
        <w:left w:w="0" w:type="dxa"/>
        <w:top w:w="0" w:type="dxa"/>
        <w:right w:w="0" w:type="dxa"/>
        <w:bottom w:w="0" w:type="dxa"/>
      </w:tblCellMar>
    </w:tblPr>
  </w:style>
  <w:style w:type="table" w:styleId="1070" w:customStyle="1">
    <w:name w:val="Lined - Accent 3"/>
    <w:uiPriority w:val="99"/>
    <w:qFormat/>
    <w:rPr>
      <w:color w:val="404040"/>
    </w:rPr>
    <w:tblPr>
      <w:tblCellMar>
        <w:left w:w="0" w:type="dxa"/>
        <w:top w:w="0" w:type="dxa"/>
        <w:right w:w="0" w:type="dxa"/>
        <w:bottom w:w="0" w:type="dxa"/>
      </w:tblCellMar>
    </w:tblPr>
  </w:style>
  <w:style w:type="table" w:styleId="1071" w:customStyle="1">
    <w:name w:val="Lined - Accent 4"/>
    <w:uiPriority w:val="99"/>
    <w:qFormat/>
    <w:rPr>
      <w:color w:val="404040"/>
    </w:rPr>
    <w:tblPr>
      <w:tblCellMar>
        <w:left w:w="0" w:type="dxa"/>
        <w:top w:w="0" w:type="dxa"/>
        <w:right w:w="0" w:type="dxa"/>
        <w:bottom w:w="0" w:type="dxa"/>
      </w:tblCellMar>
    </w:tblPr>
  </w:style>
  <w:style w:type="table" w:styleId="1072" w:customStyle="1">
    <w:name w:val="Lined - Accent 5"/>
    <w:uiPriority w:val="99"/>
    <w:qFormat/>
    <w:rPr>
      <w:color w:val="404040"/>
    </w:rPr>
    <w:tblPr>
      <w:tblCellMar>
        <w:left w:w="0" w:type="dxa"/>
        <w:top w:w="0" w:type="dxa"/>
        <w:right w:w="0" w:type="dxa"/>
        <w:bottom w:w="0" w:type="dxa"/>
      </w:tblCellMar>
    </w:tblPr>
  </w:style>
  <w:style w:type="table" w:styleId="1073" w:customStyle="1">
    <w:name w:val="Lined - Accent 6"/>
    <w:uiPriority w:val="99"/>
    <w:qFormat/>
    <w:rPr>
      <w:color w:val="404040"/>
    </w:rPr>
    <w:tblPr>
      <w:tblCellMar>
        <w:left w:w="0" w:type="dxa"/>
        <w:top w:w="0" w:type="dxa"/>
        <w:right w:w="0" w:type="dxa"/>
        <w:bottom w:w="0" w:type="dxa"/>
      </w:tblCellMar>
    </w:tblPr>
  </w:style>
  <w:style w:type="table" w:styleId="107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8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8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8" w:customStyle="1">
    <w:name w:val="脚注文本 Char"/>
    <w:link w:val="936"/>
    <w:uiPriority w:val="99"/>
    <w:qFormat/>
    <w:rPr>
      <w:sz w:val="18"/>
    </w:rPr>
  </w:style>
  <w:style w:type="character" w:styleId="1089" w:customStyle="1">
    <w:name w:val="尾注文本 Char"/>
    <w:link w:val="930"/>
    <w:uiPriority w:val="99"/>
    <w:qFormat/>
    <w:rPr>
      <w:sz w:val="20"/>
    </w:rPr>
  </w:style>
  <w:style w:type="paragraph" w:styleId="1090" w:customStyle="1">
    <w:name w:val="TOC 标题1"/>
    <w:uiPriority w:val="39"/>
    <w:unhideWhenUsed/>
    <w:qFormat/>
    <w:rPr>
      <w:rFonts w:ascii="Times New Roman" w:hAnsi="Times New Roman" w:eastAsia="宋体" w:cs="Times New Roman"/>
      <w:lang w:val="en-US" w:eastAsia="zh-CN" w:bidi="ar-SA"/>
    </w:rPr>
  </w:style>
  <w:style w:type="paragraph" w:styleId="1091" w:customStyle="1">
    <w:name w:val="标题 11"/>
    <w:basedOn w:val="912"/>
    <w:next w:val="912"/>
    <w:link w:val="1099"/>
    <w:uiPriority w:val="0"/>
    <w:qFormat/>
    <w:pPr>
      <w:keepLines/>
      <w:keepNext/>
      <w:spacing w:before="340" w:after="330" w:line="578" w:lineRule="auto"/>
      <w:outlineLvl w:val="0"/>
    </w:pPr>
    <w:rPr>
      <w:b/>
      <w:bCs/>
      <w:sz w:val="44"/>
      <w:szCs w:val="44"/>
    </w:rPr>
  </w:style>
  <w:style w:type="paragraph" w:styleId="1092" w:customStyle="1">
    <w:name w:val="标题 21"/>
    <w:basedOn w:val="912"/>
    <w:next w:val="912"/>
    <w:link w:val="1100"/>
    <w:uiPriority w:val="0"/>
    <w:qFormat/>
    <w:pPr>
      <w:keepLines/>
      <w:keepNext/>
      <w:spacing w:before="260" w:after="260" w:line="416" w:lineRule="auto"/>
      <w:outlineLvl w:val="1"/>
    </w:pPr>
    <w:rPr>
      <w:rFonts w:ascii="Arial" w:hAnsi="Arial" w:eastAsia="黑体"/>
      <w:b/>
      <w:bCs/>
      <w:sz w:val="32"/>
      <w:szCs w:val="32"/>
    </w:rPr>
  </w:style>
  <w:style w:type="paragraph" w:styleId="1093" w:customStyle="1">
    <w:name w:val="标题 31"/>
    <w:basedOn w:val="912"/>
    <w:next w:val="912"/>
    <w:link w:val="1101"/>
    <w:uiPriority w:val="0"/>
    <w:qFormat/>
    <w:pPr>
      <w:keepLines/>
      <w:keepNext/>
      <w:spacing w:before="260" w:after="260" w:line="416" w:lineRule="auto"/>
      <w:outlineLvl w:val="2"/>
    </w:pPr>
    <w:rPr>
      <w:rFonts w:ascii="Arial" w:hAnsi="Arial"/>
      <w:b/>
      <w:bCs/>
      <w:sz w:val="24"/>
      <w:szCs w:val="32"/>
    </w:rPr>
  </w:style>
  <w:style w:type="paragraph" w:styleId="1094" w:customStyle="1">
    <w:name w:val="标题 41"/>
    <w:basedOn w:val="912"/>
    <w:next w:val="912"/>
    <w:uiPriority w:val="0"/>
    <w:qFormat/>
    <w:pPr>
      <w:keepLines/>
      <w:keepNext/>
      <w:spacing w:before="280" w:after="290" w:line="376" w:lineRule="auto"/>
      <w:outlineLvl w:val="3"/>
    </w:pPr>
    <w:rPr>
      <w:rFonts w:ascii="Arial" w:hAnsi="Arial" w:eastAsia="黑体"/>
      <w:b/>
      <w:bCs/>
      <w:szCs w:val="28"/>
    </w:rPr>
  </w:style>
  <w:style w:type="paragraph" w:styleId="1095" w:customStyle="1">
    <w:name w:val="标题 51"/>
    <w:basedOn w:val="912"/>
    <w:next w:val="912"/>
    <w:uiPriority w:val="0"/>
    <w:qFormat/>
    <w:pPr>
      <w:ind w:left="1008" w:hanging="1008"/>
      <w:keepLines/>
      <w:keepNext/>
      <w:spacing w:before="280" w:after="290" w:line="372" w:lineRule="auto"/>
      <w:tabs>
        <w:tab w:val="left" w:pos="1008" w:leader="none"/>
      </w:tabs>
      <w:outlineLvl w:val="4"/>
    </w:pPr>
    <w:rPr>
      <w:b/>
      <w:bCs/>
      <w:sz w:val="24"/>
      <w:szCs w:val="28"/>
    </w:rPr>
  </w:style>
  <w:style w:type="character" w:styleId="1096" w:customStyle="1">
    <w:name w:val="默认段落字体1"/>
    <w:uiPriority w:val="0"/>
    <w:qFormat/>
    <w:rPr>
      <w:rFonts w:ascii="Times New Roman" w:hAnsi="Times New Roman" w:eastAsia="宋体" w:cs="Times New Roman"/>
    </w:rPr>
  </w:style>
  <w:style w:type="table" w:styleId="1097" w:customStyle="1">
    <w:name w:val="普通表格1"/>
    <w:uiPriority w:val="0"/>
    <w:qFormat/>
    <w:tblPr>
      <w:tblCellMar>
        <w:left w:w="0" w:type="dxa"/>
        <w:top w:w="0" w:type="dxa"/>
        <w:right w:w="0" w:type="dxa"/>
        <w:bottom w:w="0" w:type="dxa"/>
      </w:tblCellMar>
    </w:tblPr>
  </w:style>
  <w:style w:type="paragraph" w:styleId="1098" w:customStyle="1">
    <w:name w:val="文本块1"/>
    <w:basedOn w:val="912"/>
    <w:uiPriority w:val="0"/>
    <w:unhideWhenUsed/>
    <w:qFormat/>
    <w:pPr>
      <w:ind w:left="1440"/>
      <w:spacing w:after="120"/>
    </w:pPr>
    <w:rPr>
      <w:rFonts w:hint="eastAsia"/>
      <w:szCs w:val="21"/>
    </w:rPr>
  </w:style>
  <w:style w:type="character" w:styleId="1099" w:customStyle="1">
    <w:name w:val="标题 1 Char"/>
    <w:link w:val="1091"/>
    <w:uiPriority w:val="0"/>
    <w:qFormat/>
    <w:rPr>
      <w:rFonts w:ascii="Times New Roman" w:hAnsi="Times New Roman" w:eastAsia="宋体" w:cs="Times New Roman"/>
      <w:b/>
      <w:bCs/>
      <w:sz w:val="44"/>
      <w:szCs w:val="44"/>
    </w:rPr>
  </w:style>
  <w:style w:type="character" w:styleId="1100" w:customStyle="1">
    <w:name w:val="标题 2 Char"/>
    <w:link w:val="1092"/>
    <w:uiPriority w:val="0"/>
    <w:qFormat/>
    <w:rPr>
      <w:rFonts w:ascii="Arial" w:hAnsi="Arial" w:eastAsia="黑体" w:cs="Times New Roman"/>
      <w:b/>
      <w:bCs/>
      <w:sz w:val="32"/>
      <w:szCs w:val="32"/>
    </w:rPr>
  </w:style>
  <w:style w:type="character" w:styleId="1101" w:customStyle="1">
    <w:name w:val="标题 3 Char"/>
    <w:link w:val="1093"/>
    <w:uiPriority w:val="0"/>
    <w:qFormat/>
    <w:rPr>
      <w:rFonts w:ascii="Arial" w:hAnsi="Arial" w:eastAsia="宋体" w:cs="Times New Roman"/>
      <w:b/>
      <w:bCs/>
      <w:sz w:val="24"/>
      <w:szCs w:val="32"/>
    </w:rPr>
  </w:style>
  <w:style w:type="paragraph" w:styleId="1102" w:customStyle="1">
    <w:name w:val="目录 71"/>
    <w:basedOn w:val="912"/>
    <w:next w:val="912"/>
    <w:uiPriority w:val="0"/>
    <w:qFormat/>
    <w:pPr>
      <w:ind w:left="1680"/>
      <w:jc w:val="left"/>
    </w:pPr>
    <w:rPr>
      <w:sz w:val="18"/>
      <w:szCs w:val="18"/>
    </w:rPr>
  </w:style>
  <w:style w:type="paragraph" w:styleId="1103" w:customStyle="1">
    <w:name w:val="引文目录1"/>
    <w:basedOn w:val="912"/>
    <w:next w:val="912"/>
    <w:uiPriority w:val="0"/>
    <w:qFormat/>
    <w:pPr>
      <w:ind w:left="420"/>
    </w:pPr>
  </w:style>
  <w:style w:type="paragraph" w:styleId="1104" w:customStyle="1">
    <w:name w:val="正文缩进1"/>
    <w:basedOn w:val="912"/>
    <w:link w:val="1105"/>
    <w:uiPriority w:val="0"/>
    <w:qFormat/>
    <w:pPr>
      <w:ind w:firstLine="420"/>
    </w:pPr>
  </w:style>
  <w:style w:type="character" w:styleId="1105" w:customStyle="1">
    <w:name w:val="正文缩进 Char"/>
    <w:link w:val="1104"/>
    <w:uiPriority w:val="0"/>
    <w:qFormat/>
    <w:rPr>
      <w:rFonts w:ascii="Times New Roman" w:hAnsi="Times New Roman" w:eastAsia="宋体" w:cs="Times New Roman"/>
      <w:sz w:val="28"/>
      <w:lang w:val="en-US" w:eastAsia="zh-CN" w:bidi="ar-SA"/>
    </w:rPr>
  </w:style>
  <w:style w:type="paragraph" w:styleId="1106" w:customStyle="1">
    <w:name w:val="题注1"/>
    <w:basedOn w:val="912"/>
    <w:next w:val="912"/>
    <w:link w:val="1107"/>
    <w:uiPriority w:val="0"/>
    <w:qFormat/>
    <w:pPr>
      <w:numPr>
        <w:ilvl w:val="0"/>
        <w:numId w:val="1"/>
      </w:numPr>
      <w:ind w:left="0" w:firstLine="0"/>
      <w:jc w:val="center"/>
      <w:spacing w:line="360" w:lineRule="auto"/>
    </w:pPr>
    <w:rPr>
      <w:rFonts w:ascii="Arial Unicode MS" w:hAnsi="Arial Unicode MS" w:eastAsia="Arial Unicode MS"/>
      <w:sz w:val="21"/>
      <w:szCs w:val="22"/>
    </w:rPr>
  </w:style>
  <w:style w:type="character" w:styleId="1107" w:customStyle="1">
    <w:name w:val="题注 Char"/>
    <w:link w:val="1106"/>
    <w:uiPriority w:val="0"/>
    <w:qFormat/>
    <w:rPr>
      <w:rFonts w:ascii="Arial Unicode MS" w:hAnsi="Arial Unicode MS" w:eastAsia="Arial Unicode MS" w:cs="Times New Roman"/>
      <w:sz w:val="21"/>
      <w:szCs w:val="22"/>
    </w:rPr>
  </w:style>
  <w:style w:type="paragraph" w:styleId="1108" w:customStyle="1">
    <w:name w:val="文档结构图1"/>
    <w:basedOn w:val="912"/>
    <w:link w:val="1109"/>
    <w:uiPriority w:val="0"/>
    <w:qFormat/>
    <w:pPr>
      <w:shd w:val="clear" w:color="auto" w:fill="000080"/>
    </w:pPr>
  </w:style>
  <w:style w:type="character" w:styleId="1109" w:customStyle="1">
    <w:name w:val="文档结构图 Char"/>
    <w:link w:val="1108"/>
    <w:uiPriority w:val="0"/>
    <w:qFormat/>
    <w:rPr>
      <w:rFonts w:ascii="Times New Roman" w:hAnsi="Times New Roman" w:eastAsia="宋体" w:cs="Times New Roman"/>
      <w:sz w:val="28"/>
      <w:shd w:val="clear" w:color="auto" w:fill="000080"/>
    </w:rPr>
  </w:style>
  <w:style w:type="paragraph" w:styleId="1110" w:customStyle="1">
    <w:name w:val="批注文字1"/>
    <w:basedOn w:val="912"/>
    <w:uiPriority w:val="0"/>
    <w:qFormat/>
    <w:pPr>
      <w:jc w:val="left"/>
    </w:pPr>
  </w:style>
  <w:style w:type="paragraph" w:styleId="1111" w:customStyle="1">
    <w:name w:val="正文文本 31"/>
    <w:basedOn w:val="912"/>
    <w:uiPriority w:val="0"/>
    <w:qFormat/>
    <w:pPr>
      <w:spacing w:after="120"/>
    </w:pPr>
    <w:rPr>
      <w:rFonts w:ascii="Arial" w:hAnsi="Arial" w:cs="Arial"/>
      <w:b/>
      <w:bCs/>
      <w:color w:val="000000"/>
      <w:spacing w:val="8"/>
      <w:sz w:val="16"/>
      <w:szCs w:val="16"/>
    </w:rPr>
  </w:style>
  <w:style w:type="paragraph" w:styleId="1112" w:customStyle="1">
    <w:name w:val="正文文本1"/>
    <w:basedOn w:val="912"/>
    <w:link w:val="1113"/>
    <w:uiPriority w:val="0"/>
    <w:qFormat/>
    <w:pPr>
      <w:spacing w:after="120"/>
    </w:pPr>
    <w:rPr>
      <w:sz w:val="21"/>
      <w:szCs w:val="24"/>
    </w:rPr>
  </w:style>
  <w:style w:type="character" w:styleId="1113" w:customStyle="1">
    <w:name w:val="正文文本 Char"/>
    <w:link w:val="1112"/>
    <w:uiPriority w:val="0"/>
    <w:qFormat/>
    <w:rPr>
      <w:rFonts w:ascii="Times New Roman" w:hAnsi="Times New Roman" w:eastAsia="宋体" w:cs="Times New Roman"/>
      <w:sz w:val="21"/>
      <w:szCs w:val="24"/>
    </w:rPr>
  </w:style>
  <w:style w:type="paragraph" w:styleId="1114" w:customStyle="1">
    <w:name w:val="正文文本缩进1"/>
    <w:basedOn w:val="912"/>
    <w:link w:val="1115"/>
    <w:uiPriority w:val="0"/>
    <w:qFormat/>
    <w:pPr>
      <w:ind w:firstLine="600"/>
      <w:spacing w:line="360" w:lineRule="auto"/>
    </w:pPr>
    <w:rPr>
      <w:rFonts w:ascii="仿宋_GB2312" w:eastAsia="仿宋_GB2312"/>
      <w:sz w:val="30"/>
    </w:rPr>
  </w:style>
  <w:style w:type="character" w:styleId="1115" w:customStyle="1">
    <w:name w:val="正文文本缩进 Char"/>
    <w:link w:val="1114"/>
    <w:uiPriority w:val="0"/>
    <w:qFormat/>
    <w:rPr>
      <w:rFonts w:ascii="仿宋_GB2312" w:hAnsi="Times New Roman" w:eastAsia="仿宋_GB2312" w:cs="Times New Roman"/>
      <w:sz w:val="30"/>
      <w:lang w:val="en-US" w:eastAsia="zh-CN" w:bidi="ar-SA"/>
    </w:rPr>
  </w:style>
  <w:style w:type="paragraph" w:styleId="1116" w:customStyle="1">
    <w:name w:val="目录 51"/>
    <w:basedOn w:val="912"/>
    <w:next w:val="912"/>
    <w:uiPriority w:val="0"/>
    <w:qFormat/>
    <w:pPr>
      <w:ind w:left="1120"/>
      <w:jc w:val="left"/>
    </w:pPr>
    <w:rPr>
      <w:sz w:val="18"/>
      <w:szCs w:val="18"/>
    </w:rPr>
  </w:style>
  <w:style w:type="paragraph" w:styleId="1117" w:customStyle="1">
    <w:name w:val="目录 31"/>
    <w:basedOn w:val="912"/>
    <w:next w:val="912"/>
    <w:uiPriority w:val="39"/>
    <w:qFormat/>
    <w:pPr>
      <w:ind w:left="560"/>
      <w:jc w:val="left"/>
    </w:pPr>
    <w:rPr>
      <w:i/>
      <w:iCs/>
      <w:sz w:val="20"/>
    </w:rPr>
  </w:style>
  <w:style w:type="paragraph" w:styleId="1118" w:customStyle="1">
    <w:name w:val="纯文本1"/>
    <w:basedOn w:val="912"/>
    <w:link w:val="1119"/>
    <w:uiPriority w:val="0"/>
    <w:qFormat/>
    <w:rPr>
      <w:rFonts w:ascii="宋体" w:hAnsi="Courier New" w:cs="Courier New"/>
      <w:sz w:val="21"/>
      <w:szCs w:val="21"/>
    </w:rPr>
  </w:style>
  <w:style w:type="character" w:styleId="1119" w:customStyle="1">
    <w:name w:val="纯文本 Char"/>
    <w:link w:val="1118"/>
    <w:uiPriority w:val="0"/>
    <w:qFormat/>
    <w:rPr>
      <w:rFonts w:ascii="宋体" w:hAnsi="Courier New" w:eastAsia="宋体" w:cs="Courier New"/>
      <w:sz w:val="21"/>
      <w:szCs w:val="21"/>
      <w:lang w:val="en-US" w:eastAsia="zh-CN" w:bidi="ar-SA"/>
    </w:rPr>
  </w:style>
  <w:style w:type="paragraph" w:styleId="1120" w:customStyle="1">
    <w:name w:val="目录 81"/>
    <w:basedOn w:val="912"/>
    <w:next w:val="912"/>
    <w:uiPriority w:val="0"/>
    <w:qFormat/>
    <w:pPr>
      <w:ind w:left="1960"/>
      <w:jc w:val="left"/>
    </w:pPr>
    <w:rPr>
      <w:sz w:val="18"/>
      <w:szCs w:val="18"/>
    </w:rPr>
  </w:style>
  <w:style w:type="paragraph" w:styleId="1121" w:customStyle="1">
    <w:name w:val="日期1"/>
    <w:basedOn w:val="912"/>
    <w:next w:val="912"/>
    <w:uiPriority w:val="0"/>
    <w:qFormat/>
    <w:rPr>
      <w:rFonts w:ascii="仿宋_GB2312" w:eastAsia="仿宋_GB2312"/>
      <w:sz w:val="30"/>
    </w:rPr>
  </w:style>
  <w:style w:type="paragraph" w:styleId="1122" w:customStyle="1">
    <w:name w:val="正文文本缩进 21"/>
    <w:basedOn w:val="912"/>
    <w:link w:val="1123"/>
    <w:uiPriority w:val="0"/>
    <w:qFormat/>
    <w:pPr>
      <w:ind w:left="420"/>
      <w:spacing w:after="120" w:line="480" w:lineRule="auto"/>
    </w:pPr>
    <w:rPr>
      <w:sz w:val="21"/>
      <w:szCs w:val="24"/>
    </w:rPr>
  </w:style>
  <w:style w:type="character" w:styleId="1123" w:customStyle="1">
    <w:name w:val="正文文本缩进 2 Char"/>
    <w:link w:val="1122"/>
    <w:uiPriority w:val="0"/>
    <w:qFormat/>
    <w:rPr>
      <w:rFonts w:ascii="Times New Roman" w:hAnsi="Times New Roman" w:eastAsia="宋体" w:cs="Times New Roman"/>
      <w:sz w:val="21"/>
      <w:szCs w:val="24"/>
    </w:rPr>
  </w:style>
  <w:style w:type="paragraph" w:styleId="1124" w:customStyle="1">
    <w:name w:val="批注框文本1"/>
    <w:basedOn w:val="912"/>
    <w:link w:val="1125"/>
    <w:uiPriority w:val="0"/>
    <w:qFormat/>
    <w:rPr>
      <w:sz w:val="18"/>
      <w:szCs w:val="18"/>
    </w:rPr>
  </w:style>
  <w:style w:type="character" w:styleId="1125" w:customStyle="1">
    <w:name w:val="批注框文本 Char"/>
    <w:link w:val="1124"/>
    <w:uiPriority w:val="0"/>
    <w:qFormat/>
    <w:rPr>
      <w:rFonts w:ascii="Times New Roman" w:hAnsi="Times New Roman" w:eastAsia="宋体" w:cs="Times New Roman"/>
      <w:sz w:val="18"/>
      <w:szCs w:val="18"/>
    </w:rPr>
  </w:style>
  <w:style w:type="paragraph" w:styleId="1126" w:customStyle="1">
    <w:name w:val="页脚1"/>
    <w:basedOn w:val="912"/>
    <w:link w:val="1127"/>
    <w:uiPriority w:val="0"/>
    <w:qFormat/>
    <w:pPr>
      <w:jc w:val="left"/>
      <w:tabs>
        <w:tab w:val="center" w:pos="4153" w:leader="none"/>
        <w:tab w:val="right" w:pos="8306" w:leader="none"/>
      </w:tabs>
    </w:pPr>
    <w:rPr>
      <w:sz w:val="18"/>
    </w:rPr>
  </w:style>
  <w:style w:type="character" w:styleId="1127" w:customStyle="1">
    <w:name w:val="页脚 Char"/>
    <w:link w:val="1126"/>
    <w:uiPriority w:val="0"/>
    <w:qFormat/>
    <w:rPr>
      <w:rFonts w:ascii="Times New Roman" w:hAnsi="Times New Roman" w:eastAsia="宋体" w:cs="Times New Roman"/>
      <w:sz w:val="18"/>
    </w:rPr>
  </w:style>
  <w:style w:type="paragraph" w:styleId="1128" w:customStyle="1">
    <w:name w:val="页眉1"/>
    <w:basedOn w:val="912"/>
    <w:link w:val="1129"/>
    <w:uiPriority w:val="0"/>
    <w:qFormat/>
    <w:pPr>
      <w:jc w:val="center"/>
      <w:tabs>
        <w:tab w:val="center" w:pos="4153" w:leader="none"/>
        <w:tab w:val="right" w:pos="8306" w:leader="none"/>
      </w:tabs>
      <w:pBdr>
        <w:bottom w:val="single" w:color="000000" w:sz="6" w:space="1"/>
      </w:pBdr>
    </w:pPr>
    <w:rPr>
      <w:sz w:val="18"/>
    </w:rPr>
  </w:style>
  <w:style w:type="character" w:styleId="1129" w:customStyle="1">
    <w:name w:val="页眉 Char"/>
    <w:link w:val="1128"/>
    <w:uiPriority w:val="0"/>
    <w:qFormat/>
    <w:rPr>
      <w:rFonts w:ascii="Times New Roman" w:hAnsi="Times New Roman" w:eastAsia="宋体" w:cs="Times New Roman"/>
      <w:sz w:val="18"/>
    </w:rPr>
  </w:style>
  <w:style w:type="paragraph" w:styleId="1130" w:customStyle="1">
    <w:name w:val="目录 11"/>
    <w:basedOn w:val="912"/>
    <w:next w:val="912"/>
    <w:uiPriority w:val="39"/>
    <w:qFormat/>
    <w:pPr>
      <w:jc w:val="left"/>
      <w:spacing w:before="120" w:after="120"/>
    </w:pPr>
    <w:rPr>
      <w:b/>
      <w:bCs/>
      <w:caps/>
    </w:rPr>
  </w:style>
  <w:style w:type="paragraph" w:styleId="1131" w:customStyle="1">
    <w:name w:val="目录 41"/>
    <w:basedOn w:val="912"/>
    <w:next w:val="912"/>
    <w:uiPriority w:val="0"/>
    <w:qFormat/>
    <w:pPr>
      <w:ind w:left="840"/>
      <w:jc w:val="left"/>
    </w:pPr>
    <w:rPr>
      <w:sz w:val="18"/>
      <w:szCs w:val="18"/>
    </w:rPr>
  </w:style>
  <w:style w:type="paragraph" w:styleId="1132" w:customStyle="1">
    <w:name w:val="副标题1"/>
    <w:basedOn w:val="912"/>
    <w:next w:val="912"/>
    <w:link w:val="1133"/>
    <w:uiPriority w:val="0"/>
    <w:qFormat/>
    <w:pPr>
      <w:jc w:val="left"/>
      <w:spacing w:before="240" w:after="60" w:line="312" w:lineRule="auto"/>
      <w:outlineLvl w:val="1"/>
    </w:pPr>
    <w:rPr>
      <w:rFonts w:ascii="Cambria" w:hAnsi="Cambria"/>
      <w:b/>
      <w:bCs/>
      <w:sz w:val="32"/>
      <w:szCs w:val="32"/>
    </w:rPr>
  </w:style>
  <w:style w:type="character" w:styleId="1133" w:customStyle="1">
    <w:name w:val="副标题 Char"/>
    <w:link w:val="1132"/>
    <w:uiPriority w:val="0"/>
    <w:qFormat/>
    <w:rPr>
      <w:rFonts w:ascii="Cambria" w:hAnsi="Cambria" w:eastAsia="宋体" w:cs="Times New Roman"/>
      <w:b/>
      <w:bCs/>
      <w:sz w:val="32"/>
      <w:szCs w:val="32"/>
    </w:rPr>
  </w:style>
  <w:style w:type="paragraph" w:styleId="1134" w:customStyle="1">
    <w:name w:val="目录 61"/>
    <w:basedOn w:val="912"/>
    <w:next w:val="912"/>
    <w:uiPriority w:val="0"/>
    <w:qFormat/>
    <w:pPr>
      <w:ind w:left="1400"/>
      <w:jc w:val="left"/>
    </w:pPr>
    <w:rPr>
      <w:sz w:val="18"/>
      <w:szCs w:val="18"/>
    </w:rPr>
  </w:style>
  <w:style w:type="paragraph" w:styleId="1135" w:customStyle="1">
    <w:name w:val="目录 21"/>
    <w:basedOn w:val="912"/>
    <w:next w:val="912"/>
    <w:uiPriority w:val="39"/>
    <w:qFormat/>
    <w:pPr>
      <w:ind w:left="280"/>
      <w:jc w:val="left"/>
    </w:pPr>
    <w:rPr>
      <w:smallCaps/>
    </w:rPr>
  </w:style>
  <w:style w:type="paragraph" w:styleId="1136" w:customStyle="1">
    <w:name w:val="目录 91"/>
    <w:basedOn w:val="912"/>
    <w:next w:val="912"/>
    <w:uiPriority w:val="0"/>
    <w:qFormat/>
    <w:pPr>
      <w:ind w:left="2240"/>
      <w:jc w:val="left"/>
    </w:pPr>
    <w:rPr>
      <w:sz w:val="18"/>
      <w:szCs w:val="18"/>
    </w:rPr>
  </w:style>
  <w:style w:type="paragraph" w:styleId="1137" w:customStyle="1">
    <w:name w:val="普通(网站)1"/>
    <w:basedOn w:val="912"/>
    <w:uiPriority w:val="0"/>
    <w:qFormat/>
    <w:pPr>
      <w:jc w:val="left"/>
      <w:spacing w:before="100" w:beforeAutospacing="1" w:after="100" w:afterAutospacing="1"/>
      <w:widowControl/>
    </w:pPr>
    <w:rPr>
      <w:rFonts w:ascii="宋体" w:hAnsi="宋体" w:cs="宋体"/>
      <w:sz w:val="24"/>
      <w:lang w:eastAsia="ko-KR"/>
    </w:rPr>
  </w:style>
  <w:style w:type="paragraph" w:styleId="1138" w:customStyle="1">
    <w:name w:val="索引 11"/>
    <w:basedOn w:val="912"/>
    <w:next w:val="912"/>
    <w:uiPriority w:val="0"/>
    <w:qFormat/>
    <w:pPr>
      <w:spacing w:after="156" w:line="360" w:lineRule="exact"/>
    </w:pPr>
    <w:rPr>
      <w:rFonts w:ascii="仿宋_GB2312" w:eastAsia="仿宋_GB2312"/>
      <w:sz w:val="24"/>
      <w:szCs w:val="24"/>
    </w:rPr>
  </w:style>
  <w:style w:type="paragraph" w:styleId="1139" w:customStyle="1">
    <w:name w:val="标题1"/>
    <w:basedOn w:val="912"/>
    <w:next w:val="912"/>
    <w:link w:val="1140"/>
    <w:uiPriority w:val="0"/>
    <w:qFormat/>
    <w:pPr>
      <w:jc w:val="center"/>
      <w:spacing w:before="240" w:after="60"/>
      <w:widowControl/>
      <w:outlineLvl w:val="0"/>
    </w:pPr>
    <w:rPr>
      <w:rFonts w:ascii="Cambria" w:hAnsi="Cambria"/>
      <w:b/>
      <w:bCs/>
      <w:sz w:val="32"/>
      <w:szCs w:val="32"/>
      <w:lang w:eastAsia="en-US" w:bidi="en-US"/>
    </w:rPr>
  </w:style>
  <w:style w:type="character" w:styleId="1140" w:customStyle="1">
    <w:name w:val="标题 Char"/>
    <w:link w:val="1139"/>
    <w:uiPriority w:val="0"/>
    <w:qFormat/>
    <w:rPr>
      <w:rFonts w:ascii="Cambria" w:hAnsi="Cambria" w:eastAsia="宋体" w:cs="Times New Roman"/>
      <w:b/>
      <w:bCs/>
      <w:sz w:val="32"/>
      <w:szCs w:val="32"/>
      <w:lang w:val="en-US" w:eastAsia="en-US" w:bidi="en-US"/>
    </w:rPr>
  </w:style>
  <w:style w:type="paragraph" w:styleId="1141" w:customStyle="1">
    <w:name w:val="批注主题1"/>
    <w:basedOn w:val="1110"/>
    <w:next w:val="1110"/>
    <w:uiPriority w:val="0"/>
    <w:qFormat/>
    <w:rPr>
      <w:b/>
      <w:bCs/>
    </w:rPr>
  </w:style>
  <w:style w:type="paragraph" w:styleId="1142" w:customStyle="1">
    <w:name w:val="正文首行缩进1"/>
    <w:basedOn w:val="1112"/>
    <w:link w:val="1143"/>
    <w:uiPriority w:val="0"/>
    <w:qFormat/>
    <w:pPr>
      <w:ind w:firstLine="420"/>
    </w:pPr>
    <w:rPr>
      <w:sz w:val="28"/>
      <w:szCs w:val="20"/>
    </w:rPr>
  </w:style>
  <w:style w:type="character" w:styleId="1143" w:customStyle="1">
    <w:name w:val="正文首行缩进 Char"/>
    <w:link w:val="1142"/>
    <w:uiPriority w:val="0"/>
    <w:qFormat/>
    <w:rPr>
      <w:rFonts w:ascii="Times New Roman" w:hAnsi="Times New Roman" w:eastAsia="宋体" w:cs="Times New Roman"/>
      <w:sz w:val="28"/>
    </w:rPr>
  </w:style>
  <w:style w:type="paragraph" w:styleId="1144" w:customStyle="1">
    <w:name w:val="正文首行缩进 21"/>
    <w:basedOn w:val="1114"/>
    <w:next w:val="912"/>
    <w:link w:val="1145"/>
    <w:uiPriority w:val="99"/>
    <w:unhideWhenUsed/>
    <w:qFormat/>
    <w:pPr>
      <w:ind w:left="420" w:firstLine="420"/>
      <w:spacing w:after="120" w:line="240" w:lineRule="auto"/>
    </w:pPr>
    <w:rPr>
      <w:rFonts w:ascii="Times New Roman" w:eastAsia="宋体"/>
      <w:sz w:val="28"/>
    </w:rPr>
  </w:style>
  <w:style w:type="character" w:styleId="1145" w:customStyle="1">
    <w:name w:val="正文首行缩进 2 Char"/>
    <w:link w:val="1144"/>
    <w:uiPriority w:val="99"/>
    <w:qFormat/>
    <w:rPr>
      <w:rFonts w:ascii="仿宋_GB2312" w:hAnsi="Times New Roman" w:eastAsia="仿宋_GB2312" w:cs="Times New Roman"/>
      <w:sz w:val="28"/>
      <w:lang w:val="en-US" w:eastAsia="zh-CN" w:bidi="ar-SA"/>
    </w:rPr>
  </w:style>
  <w:style w:type="table" w:styleId="1146" w:customStyle="1">
    <w:name w:val="网格型1"/>
    <w:basedOn w:val="1097"/>
    <w:uiPriority w:val="0"/>
    <w:qFormat/>
    <w:pPr>
      <w:jc w:val="both"/>
      <w:widowControl w:val="off"/>
    </w:pPr>
    <w:tblPr>
      <w:tblCellMar>
        <w:left w:w="0" w:type="dxa"/>
        <w:top w:w="0" w:type="dxa"/>
        <w:right w:w="0" w:type="dxa"/>
        <w:bottom w:w="0" w:type="dxa"/>
      </w:tblCellMar>
    </w:tblPr>
  </w:style>
  <w:style w:type="character" w:styleId="1147" w:customStyle="1">
    <w:name w:val="页码1"/>
    <w:uiPriority w:val="0"/>
    <w:qFormat/>
    <w:rPr>
      <w:rFonts w:ascii="Times New Roman" w:hAnsi="Times New Roman" w:eastAsia="宋体" w:cs="Times New Roman"/>
    </w:rPr>
  </w:style>
  <w:style w:type="character" w:styleId="1148" w:customStyle="1">
    <w:name w:val="访问过的超链接1"/>
    <w:uiPriority w:val="0"/>
    <w:qFormat/>
    <w:rPr>
      <w:rFonts w:ascii="Times New Roman" w:hAnsi="Times New Roman" w:eastAsia="宋体" w:cs="Times New Roman"/>
      <w:color w:val="800080"/>
      <w:u w:val="single"/>
    </w:rPr>
  </w:style>
  <w:style w:type="character" w:styleId="1149" w:customStyle="1">
    <w:name w:val="超链接1"/>
    <w:uiPriority w:val="99"/>
    <w:qFormat/>
    <w:rPr>
      <w:rFonts w:ascii="Times New Roman" w:hAnsi="Times New Roman" w:eastAsia="宋体" w:cs="Times New Roman"/>
      <w:color w:val="0000ff"/>
      <w:u w:val="single"/>
    </w:rPr>
  </w:style>
  <w:style w:type="character" w:styleId="1150" w:customStyle="1">
    <w:name w:val="批注引用1"/>
    <w:uiPriority w:val="0"/>
    <w:qFormat/>
    <w:rPr>
      <w:rFonts w:ascii="Times New Roman" w:hAnsi="Times New Roman" w:eastAsia="宋体" w:cs="Times New Roman"/>
      <w:sz w:val="21"/>
      <w:szCs w:val="21"/>
    </w:rPr>
  </w:style>
  <w:style w:type="character" w:styleId="1151" w:customStyle="1">
    <w:name w:val="样式1 字符"/>
    <w:link w:val="1152"/>
    <w:uiPriority w:val="0"/>
    <w:qFormat/>
    <w:rPr>
      <w:rFonts w:ascii="Arial" w:hAnsi="Arial" w:eastAsia="宋体" w:cs="Times New Roman"/>
      <w:b/>
      <w:sz w:val="32"/>
      <w:szCs w:val="32"/>
    </w:rPr>
  </w:style>
  <w:style w:type="paragraph" w:styleId="1152" w:customStyle="1">
    <w:name w:val="样式1"/>
    <w:basedOn w:val="912"/>
    <w:link w:val="1151"/>
    <w:uiPriority w:val="0"/>
    <w:qFormat/>
    <w:pPr>
      <w:numPr>
        <w:ilvl w:val="0"/>
        <w:numId w:val="2"/>
      </w:numPr>
      <w:jc w:val="left"/>
      <w:spacing w:before="340" w:after="340" w:line="360" w:lineRule="auto"/>
      <w:widowControl/>
      <w:outlineLvl w:val="0"/>
    </w:pPr>
    <w:rPr>
      <w:rFonts w:ascii="Arial" w:hAnsi="Arial"/>
      <w:b/>
      <w:sz w:val="32"/>
      <w:szCs w:val="32"/>
    </w:rPr>
  </w:style>
  <w:style w:type="character" w:styleId="1153" w:customStyle="1">
    <w:name w:val="样式2 字符"/>
    <w:link w:val="1154"/>
    <w:uiPriority w:val="0"/>
    <w:qFormat/>
    <w:rPr>
      <w:rFonts w:ascii="Arial" w:hAnsi="Arial" w:eastAsia="宋体" w:cs="Times New Roman"/>
      <w:b/>
      <w:sz w:val="32"/>
      <w:szCs w:val="32"/>
    </w:rPr>
  </w:style>
  <w:style w:type="paragraph" w:styleId="1154" w:customStyle="1">
    <w:name w:val="样式2"/>
    <w:basedOn w:val="912"/>
    <w:link w:val="1153"/>
    <w:uiPriority w:val="0"/>
    <w:qFormat/>
    <w:pPr>
      <w:numPr>
        <w:ilvl w:val="1"/>
        <w:numId w:val="2"/>
      </w:numPr>
      <w:spacing w:before="280" w:after="280" w:line="360" w:lineRule="auto"/>
      <w:widowControl/>
      <w:outlineLvl w:val="1"/>
    </w:pPr>
    <w:rPr>
      <w:rFonts w:ascii="Arial" w:hAnsi="Arial"/>
      <w:b/>
      <w:sz w:val="32"/>
      <w:szCs w:val="32"/>
    </w:rPr>
  </w:style>
  <w:style w:type="character" w:styleId="1155" w:customStyle="1">
    <w:name w:val="样式3 字符"/>
    <w:link w:val="1156"/>
    <w:uiPriority w:val="0"/>
    <w:qFormat/>
    <w:rPr>
      <w:rFonts w:ascii="Arial" w:hAnsi="Arial" w:eastAsia="宋体" w:cs="Times New Roman"/>
      <w:b/>
      <w:sz w:val="32"/>
      <w:szCs w:val="32"/>
    </w:rPr>
  </w:style>
  <w:style w:type="paragraph" w:styleId="1156" w:customStyle="1">
    <w:name w:val="样式3"/>
    <w:basedOn w:val="912"/>
    <w:link w:val="1155"/>
    <w:uiPriority w:val="0"/>
    <w:qFormat/>
    <w:pPr>
      <w:numPr>
        <w:ilvl w:val="2"/>
        <w:numId w:val="2"/>
      </w:numPr>
      <w:ind w:left="709"/>
      <w:jc w:val="left"/>
      <w:spacing w:before="220" w:after="220" w:line="360" w:lineRule="auto"/>
      <w:widowControl/>
      <w:outlineLvl w:val="2"/>
    </w:pPr>
    <w:rPr>
      <w:rFonts w:ascii="Arial" w:hAnsi="Arial"/>
      <w:b/>
      <w:sz w:val="32"/>
      <w:szCs w:val="32"/>
    </w:rPr>
  </w:style>
  <w:style w:type="character" w:styleId="1157" w:customStyle="1">
    <w:name w:val="样式4 字符"/>
    <w:link w:val="1158"/>
    <w:uiPriority w:val="0"/>
    <w:qFormat/>
    <w:rPr>
      <w:rFonts w:ascii="Arial" w:hAnsi="Arial" w:eastAsia="宋体" w:cs="Times New Roman"/>
      <w:b/>
      <w:sz w:val="32"/>
      <w:szCs w:val="32"/>
    </w:rPr>
  </w:style>
  <w:style w:type="paragraph" w:styleId="1158" w:customStyle="1">
    <w:name w:val="样式4"/>
    <w:basedOn w:val="912"/>
    <w:link w:val="1157"/>
    <w:uiPriority w:val="0"/>
    <w:qFormat/>
    <w:pPr>
      <w:numPr>
        <w:ilvl w:val="3"/>
        <w:numId w:val="2"/>
      </w:numPr>
      <w:ind w:left="1418" w:hanging="851"/>
      <w:jc w:val="left"/>
      <w:spacing w:before="160" w:after="160" w:line="360" w:lineRule="auto"/>
      <w:widowControl/>
      <w:tabs>
        <w:tab w:val="left" w:pos="1418" w:leader="none"/>
      </w:tabs>
      <w:outlineLvl w:val="3"/>
    </w:pPr>
    <w:rPr>
      <w:rFonts w:ascii="Arial" w:hAnsi="Arial"/>
      <w:b/>
      <w:sz w:val="32"/>
      <w:szCs w:val="32"/>
    </w:rPr>
  </w:style>
  <w:style w:type="paragraph" w:styleId="1159" w:customStyle="1">
    <w:name w:val="样式5"/>
    <w:basedOn w:val="912"/>
    <w:uiPriority w:val="0"/>
    <w:qFormat/>
    <w:pPr>
      <w:numPr>
        <w:ilvl w:val="4"/>
        <w:numId w:val="2"/>
      </w:numPr>
      <w:jc w:val="left"/>
      <w:spacing w:before="160" w:after="160" w:line="360" w:lineRule="auto"/>
      <w:widowControl/>
      <w:outlineLvl w:val="4"/>
    </w:pPr>
    <w:rPr>
      <w:rFonts w:ascii="Arial" w:hAnsi="Arial"/>
      <w:b/>
      <w:sz w:val="32"/>
      <w:szCs w:val="32"/>
    </w:rPr>
  </w:style>
  <w:style w:type="paragraph" w:styleId="1160" w:customStyle="1">
    <w:name w:val="样式6"/>
    <w:basedOn w:val="912"/>
    <w:uiPriority w:val="0"/>
    <w:qFormat/>
    <w:pPr>
      <w:numPr>
        <w:ilvl w:val="5"/>
        <w:numId w:val="2"/>
      </w:numPr>
      <w:jc w:val="left"/>
      <w:spacing w:before="160" w:after="160" w:line="360" w:lineRule="auto"/>
      <w:widowControl/>
      <w:outlineLvl w:val="5"/>
    </w:pPr>
    <w:rPr>
      <w:rFonts w:ascii="Arial" w:hAnsi="Arial"/>
      <w:b/>
      <w:sz w:val="32"/>
      <w:szCs w:val="32"/>
    </w:rPr>
  </w:style>
  <w:style w:type="paragraph" w:styleId="1161" w:customStyle="1">
    <w:name w:val="样式7"/>
    <w:basedOn w:val="912"/>
    <w:uiPriority w:val="0"/>
    <w:qFormat/>
    <w:pPr>
      <w:numPr>
        <w:ilvl w:val="6"/>
        <w:numId w:val="2"/>
      </w:numPr>
      <w:jc w:val="left"/>
      <w:spacing w:before="160" w:after="160" w:line="360" w:lineRule="auto"/>
      <w:widowControl/>
      <w:outlineLvl w:val="6"/>
    </w:pPr>
    <w:rPr>
      <w:rFonts w:ascii="Arial" w:hAnsi="Arial"/>
      <w:b/>
      <w:sz w:val="32"/>
      <w:szCs w:val="32"/>
    </w:rPr>
  </w:style>
  <w:style w:type="paragraph" w:styleId="1162" w:customStyle="1">
    <w:name w:val="样式8"/>
    <w:basedOn w:val="912"/>
    <w:uiPriority w:val="0"/>
    <w:qFormat/>
    <w:pPr>
      <w:numPr>
        <w:ilvl w:val="7"/>
        <w:numId w:val="2"/>
      </w:numPr>
      <w:jc w:val="left"/>
      <w:spacing w:before="160" w:after="160" w:line="360" w:lineRule="auto"/>
      <w:widowControl/>
      <w:outlineLvl w:val="7"/>
    </w:pPr>
    <w:rPr>
      <w:rFonts w:ascii="Arial" w:hAnsi="Arial"/>
      <w:b/>
      <w:sz w:val="32"/>
      <w:szCs w:val="32"/>
    </w:rPr>
  </w:style>
  <w:style w:type="paragraph" w:styleId="1163" w:customStyle="1">
    <w:name w:val="样式9"/>
    <w:basedOn w:val="912"/>
    <w:uiPriority w:val="0"/>
    <w:qFormat/>
    <w:pPr>
      <w:numPr>
        <w:ilvl w:val="8"/>
        <w:numId w:val="2"/>
      </w:numPr>
      <w:jc w:val="left"/>
      <w:spacing w:before="160" w:after="160" w:line="360" w:lineRule="auto"/>
      <w:widowControl/>
      <w:outlineLvl w:val="8"/>
    </w:pPr>
    <w:rPr>
      <w:rFonts w:ascii="Arial" w:hAnsi="Arial"/>
      <w:b/>
      <w:sz w:val="32"/>
      <w:szCs w:val="32"/>
    </w:rPr>
  </w:style>
  <w:style w:type="paragraph" w:styleId="1164" w:customStyle="1">
    <w:name w:val="列出段落1"/>
    <w:basedOn w:val="912"/>
    <w:uiPriority w:val="0"/>
    <w:qFormat/>
    <w:pPr>
      <w:ind w:firstLine="420"/>
    </w:pPr>
    <w:rPr>
      <w:rFonts w:ascii="Calibri" w:hAnsi="Calibri"/>
      <w:sz w:val="22"/>
      <w:szCs w:val="22"/>
    </w:rPr>
  </w:style>
  <w:style w:type="paragraph" w:styleId="1165" w:customStyle="1">
    <w:name w:val="正文空2格  1."/>
    <w:basedOn w:val="912"/>
    <w:uiPriority w:val="0"/>
    <w:qFormat/>
    <w:pPr>
      <w:ind w:firstLine="480"/>
      <w:spacing w:line="360" w:lineRule="auto"/>
    </w:pPr>
    <w:rPr>
      <w:rFonts w:ascii="宋体" w:hAnsi="Calibri" w:eastAsia="仿宋" w:cs="宋体"/>
      <w:szCs w:val="28"/>
    </w:rPr>
  </w:style>
  <w:style w:type="paragraph" w:styleId="1166" w:customStyle="1">
    <w:name w:val="p0"/>
    <w:basedOn w:val="912"/>
    <w:uiPriority w:val="0"/>
    <w:qFormat/>
    <w:pPr>
      <w:widowControl/>
    </w:pPr>
    <w:rPr>
      <w:sz w:val="21"/>
      <w:szCs w:val="21"/>
    </w:rPr>
  </w:style>
  <w:style w:type="paragraph" w:styleId="1167" w:customStyle="1">
    <w:name w:val="普通正文"/>
    <w:basedOn w:val="912"/>
    <w:uiPriority w:val="0"/>
    <w:qFormat/>
    <w:pPr>
      <w:ind w:firstLine="480"/>
      <w:jc w:val="left"/>
      <w:spacing w:before="120" w:after="120" w:line="360" w:lineRule="auto"/>
    </w:pPr>
    <w:rPr>
      <w:rFonts w:ascii="Arial" w:hAnsi="Arial"/>
      <w:sz w:val="24"/>
      <w:szCs w:val="24"/>
    </w:rPr>
  </w:style>
  <w:style w:type="character" w:styleId="1168" w:customStyle="1">
    <w:name w:val="纯文本 Char2"/>
    <w:link w:val="928"/>
    <w:uiPriority w:val="0"/>
    <w:qFormat/>
    <w:rPr>
      <w:rFonts w:ascii="宋体" w:hAnsi="Courier New" w:eastAsia="楷体_GB2312" w:cs="Times New Roman"/>
      <w:sz w:val="26"/>
      <w:lang w:val="en-US" w:eastAsia="zh-CN" w:bidi="ar-SA"/>
    </w:rPr>
  </w:style>
  <w:style w:type="paragraph" w:styleId="1169" w:customStyle="1">
    <w:name w:val="Char"/>
    <w:basedOn w:val="912"/>
    <w:uiPriority w:val="0"/>
    <w:qFormat/>
    <w:pPr>
      <w:ind w:firstLine="200"/>
      <w:tabs>
        <w:tab w:val="left" w:pos="360" w:leader="none"/>
      </w:tabs>
    </w:pPr>
    <w:rPr>
      <w:szCs w:val="30"/>
    </w:rPr>
  </w:style>
  <w:style w:type="character" w:styleId="1170" w:customStyle="1">
    <w:name w:val="H3 Char"/>
    <w:uiPriority w:val="0"/>
    <w:qFormat/>
    <w:rPr>
      <w:rFonts w:ascii="Times New Roman" w:hAnsi="Times New Roman" w:eastAsia="宋体" w:cs="Times New Roman"/>
      <w:b/>
      <w:bCs/>
      <w:sz w:val="32"/>
      <w:szCs w:val="32"/>
      <w:lang w:val="en-US" w:eastAsia="zh-CN" w:bidi="ar-SA"/>
    </w:rPr>
  </w:style>
  <w:style w:type="character" w:styleId="1171" w:customStyle="1">
    <w:name w:val="15"/>
    <w:uiPriority w:val="0"/>
    <w:qFormat/>
    <w:rPr>
      <w:rFonts w:ascii="Times New Roman" w:hAnsi="Times New Roman" w:eastAsia="宋体" w:cs="Times New Roman"/>
      <w:b/>
      <w:bCs/>
      <w:sz w:val="20"/>
      <w:szCs w:val="20"/>
    </w:rPr>
  </w:style>
  <w:style w:type="character" w:styleId="1172" w:customStyle="1">
    <w:name w:val="*正文 Char"/>
    <w:link w:val="1173"/>
    <w:uiPriority w:val="0"/>
    <w:qFormat/>
    <w:rPr>
      <w:rFonts w:ascii="宋体" w:hAnsi="宋体" w:eastAsia="宋体" w:cs="Times New Roman"/>
      <w:szCs w:val="24"/>
      <w:lang w:bidi="ar-SA"/>
    </w:rPr>
  </w:style>
  <w:style w:type="paragraph" w:styleId="1173" w:customStyle="1">
    <w:name w:val="*正文"/>
    <w:basedOn w:val="912"/>
    <w:link w:val="1172"/>
    <w:uiPriority w:val="0"/>
    <w:qFormat/>
    <w:pPr>
      <w:ind w:firstLine="200"/>
      <w:spacing w:line="360" w:lineRule="auto"/>
    </w:pPr>
    <w:rPr>
      <w:rFonts w:ascii="宋体" w:hAnsi="宋体"/>
      <w:sz w:val="20"/>
      <w:szCs w:val="24"/>
    </w:rPr>
  </w:style>
  <w:style w:type="paragraph" w:styleId="1174" w:customStyle="1">
    <w:name w:val="Char Char Char Char Char Char Char Char Char Char"/>
    <w:basedOn w:val="912"/>
    <w:uiPriority w:val="0"/>
    <w:qFormat/>
    <w:pPr>
      <w:jc w:val="left"/>
      <w:spacing w:after="160" w:line="240" w:lineRule="exact"/>
      <w:widowControl/>
    </w:pPr>
    <w:rPr>
      <w:sz w:val="21"/>
      <w:szCs w:val="24"/>
    </w:rPr>
  </w:style>
  <w:style w:type="paragraph" w:styleId="1175" w:customStyle="1">
    <w:name w:val="默认段落字体 Para Char Char Char Char Char Char Char"/>
    <w:basedOn w:val="912"/>
    <w:uiPriority w:val="0"/>
    <w:qFormat/>
    <w:pPr>
      <w:spacing w:line="360" w:lineRule="auto"/>
    </w:pPr>
    <w:rPr>
      <w:rFonts w:ascii="Tahoma" w:hAnsi="Tahoma"/>
      <w:sz w:val="24"/>
    </w:rPr>
  </w:style>
  <w:style w:type="paragraph" w:styleId="1176" w:customStyle="1">
    <w:name w:val="省厅正文"/>
    <w:basedOn w:val="912"/>
    <w:uiPriority w:val="0"/>
    <w:qFormat/>
    <w:pPr>
      <w:ind w:firstLine="640"/>
      <w:spacing w:line="336" w:lineRule="auto"/>
    </w:pPr>
    <w:rPr>
      <w:rFonts w:eastAsia="仿宋_GB2312"/>
      <w:sz w:val="32"/>
      <w:szCs w:val="32"/>
    </w:rPr>
  </w:style>
  <w:style w:type="paragraph" w:styleId="1177" w:customStyle="1">
    <w:name w:val="font6"/>
    <w:basedOn w:val="912"/>
    <w:uiPriority w:val="0"/>
    <w:qFormat/>
    <w:pPr>
      <w:jc w:val="left"/>
      <w:spacing w:before="100" w:beforeAutospacing="1" w:after="100" w:afterAutospacing="1"/>
      <w:widowControl/>
    </w:pPr>
    <w:rPr>
      <w:rFonts w:hint="eastAsia" w:ascii="宋体" w:hAnsi="宋体"/>
      <w:szCs w:val="28"/>
      <w:u w:val="single"/>
    </w:rPr>
  </w:style>
  <w:style w:type="paragraph" w:styleId="1178" w:customStyle="1">
    <w:name w:val="Char1 Char Char Char"/>
    <w:basedOn w:val="912"/>
    <w:uiPriority w:val="0"/>
    <w:qFormat/>
    <w:rPr>
      <w:rFonts w:ascii="Tahoma" w:hAnsi="Tahoma"/>
      <w:sz w:val="30"/>
      <w:szCs w:val="30"/>
    </w:rPr>
  </w:style>
  <w:style w:type="paragraph" w:styleId="1179" w:customStyle="1">
    <w:name w:val="附件正文"/>
    <w:basedOn w:val="912"/>
    <w:uiPriority w:val="0"/>
    <w:qFormat/>
    <w:pPr>
      <w:ind w:firstLine="540"/>
      <w:spacing w:line="500" w:lineRule="exact"/>
    </w:pPr>
    <w:rPr>
      <w:sz w:val="24"/>
    </w:rPr>
  </w:style>
  <w:style w:type="paragraph" w:styleId="1180" w:customStyle="1">
    <w:name w:val="段"/>
    <w:uiPriority w:val="0"/>
    <w:qFormat/>
    <w:pPr>
      <w:ind w:firstLine="200"/>
      <w:jc w:val="both"/>
    </w:pPr>
    <w:rPr>
      <w:rFonts w:ascii="宋体" w:hAnsi="Times New Roman" w:eastAsia="宋体" w:cs="Times New Roman"/>
      <w:sz w:val="21"/>
      <w:lang w:val="en-US" w:eastAsia="zh-CN" w:bidi="ar-SA"/>
    </w:rPr>
  </w:style>
  <w:style w:type="paragraph" w:styleId="1181" w:customStyle="1">
    <w:name w:val="默认段落字体 Para Char Char Char1 Char"/>
    <w:basedOn w:val="912"/>
    <w:uiPriority w:val="0"/>
    <w:qFormat/>
    <w:pPr>
      <w:ind w:left="420" w:firstLine="420"/>
      <w:spacing w:line="360" w:lineRule="auto"/>
    </w:pPr>
    <w:rPr>
      <w:sz w:val="24"/>
      <w:szCs w:val="21"/>
    </w:rPr>
  </w:style>
  <w:style w:type="paragraph" w:styleId="1182" w:customStyle="1">
    <w:name w:val="Char Char1 Char"/>
    <w:basedOn w:val="912"/>
    <w:uiPriority w:val="0"/>
    <w:qFormat/>
    <w:pPr>
      <w:jc w:val="left"/>
      <w:spacing w:after="160" w:line="240" w:lineRule="exact"/>
      <w:widowControl/>
    </w:pPr>
    <w:rPr>
      <w:sz w:val="21"/>
    </w:rPr>
  </w:style>
  <w:style w:type="paragraph" w:styleId="1183" w:customStyle="1">
    <w:name w:val="列表1）"/>
    <w:basedOn w:val="1104"/>
    <w:uiPriority w:val="0"/>
    <w:qFormat/>
    <w:pPr>
      <w:ind w:firstLine="540"/>
      <w:spacing w:before="10" w:line="360" w:lineRule="auto"/>
    </w:pPr>
    <w:rPr>
      <w:rFonts w:ascii="Verdana" w:hAnsi="Verdana"/>
      <w:sz w:val="24"/>
      <w:szCs w:val="24"/>
    </w:rPr>
  </w:style>
  <w:style w:type="paragraph" w:styleId="1184" w:customStyle="1">
    <w:name w:val="省厅标题3"/>
    <w:basedOn w:val="912"/>
    <w:uiPriority w:val="0"/>
    <w:qFormat/>
    <w:pPr>
      <w:ind w:firstLine="640"/>
      <w:spacing w:line="336" w:lineRule="auto"/>
      <w:outlineLvl w:val="2"/>
    </w:pPr>
    <w:rPr>
      <w:rFonts w:eastAsia="仿宋_GB2312"/>
      <w:sz w:val="32"/>
      <w:szCs w:val="32"/>
    </w:rPr>
  </w:style>
  <w:style w:type="paragraph" w:styleId="1185" w:customStyle="1">
    <w:name w:val="Char Char Char Char"/>
    <w:basedOn w:val="1108"/>
    <w:uiPriority w:val="0"/>
    <w:qFormat/>
    <w:pPr>
      <w:spacing w:line="360" w:lineRule="auto"/>
    </w:pPr>
    <w:rPr>
      <w:rFonts w:ascii="Tahoma" w:hAnsi="Tahoma"/>
      <w:sz w:val="24"/>
      <w:szCs w:val="24"/>
    </w:rPr>
  </w:style>
  <w:style w:type="paragraph" w:styleId="1186" w:customStyle="1">
    <w:name w:val="_Style 24"/>
    <w:basedOn w:val="912"/>
    <w:uiPriority w:val="0"/>
    <w:qFormat/>
    <w:pPr>
      <w:jc w:val="left"/>
      <w:spacing w:after="160" w:line="240" w:lineRule="exact"/>
      <w:widowControl/>
    </w:pPr>
    <w:rPr>
      <w:sz w:val="21"/>
    </w:rPr>
  </w:style>
  <w:style w:type="paragraph" w:styleId="1187" w:customStyle="1">
    <w:name w:val="Char1"/>
    <w:basedOn w:val="912"/>
    <w:uiPriority w:val="0"/>
    <w:qFormat/>
    <w:rPr>
      <w:sz w:val="21"/>
      <w:szCs w:val="24"/>
    </w:rPr>
  </w:style>
  <w:style w:type="paragraph" w:styleId="1188" w:customStyle="1">
    <w:name w:val="列出段落11"/>
    <w:basedOn w:val="912"/>
    <w:uiPriority w:val="0"/>
    <w:qFormat/>
    <w:pPr>
      <w:ind w:firstLine="420"/>
    </w:pPr>
    <w:rPr>
      <w:rFonts w:ascii="Calibri" w:hAnsi="Calibri"/>
      <w:sz w:val="21"/>
      <w:szCs w:val="22"/>
    </w:rPr>
  </w:style>
  <w:style w:type="paragraph" w:styleId="1189" w:customStyle="1">
    <w:name w:val="1"/>
    <w:basedOn w:val="912"/>
    <w:next w:val="1118"/>
    <w:uiPriority w:val="0"/>
    <w:qFormat/>
    <w:pPr>
      <w:ind w:firstLine="420"/>
      <w:spacing w:line="360" w:lineRule="atLeast"/>
    </w:pPr>
    <w:rPr>
      <w:rFonts w:hint="eastAsia" w:ascii="方正书宋简体" w:hAnsi="华文中宋" w:eastAsia="方正书宋简体"/>
      <w:sz w:val="21"/>
    </w:rPr>
  </w:style>
  <w:style w:type="paragraph" w:styleId="1190" w:customStyle="1">
    <w:name w:val="样式 样式 正文内容 + 首行缩进:  1.92 字符 + 首行缩进:  1.92 字符"/>
    <w:basedOn w:val="912"/>
    <w:uiPriority w:val="0"/>
    <w:qFormat/>
    <w:pPr>
      <w:ind w:firstLine="192"/>
      <w:spacing w:before="100" w:beforeAutospacing="1" w:after="100" w:afterAutospacing="1" w:line="360" w:lineRule="auto"/>
    </w:pPr>
    <w:rPr>
      <w:sz w:val="24"/>
    </w:rPr>
  </w:style>
  <w:style w:type="character" w:styleId="1191" w:customStyle="1">
    <w:name w:val="Char Char11"/>
    <w:uiPriority w:val="0"/>
    <w:qFormat/>
    <w:rPr>
      <w:rFonts w:ascii="Arial" w:hAnsi="Arial" w:eastAsia="宋体" w:cs="Times New Roman"/>
      <w:b/>
      <w:bCs/>
      <w:sz w:val="24"/>
      <w:szCs w:val="32"/>
    </w:rPr>
  </w:style>
  <w:style w:type="character" w:styleId="1192" w:customStyle="1">
    <w:name w:val="Char Char8"/>
    <w:uiPriority w:val="0"/>
    <w:qFormat/>
    <w:rPr>
      <w:rFonts w:ascii="Times New Roman" w:hAnsi="Times New Roman" w:eastAsia="宋体" w:cs="Times New Roman"/>
      <w:sz w:val="28"/>
      <w:lang w:val="en-US" w:eastAsia="zh-CN" w:bidi="ar-SA"/>
    </w:rPr>
  </w:style>
  <w:style w:type="character" w:styleId="1193" w:customStyle="1">
    <w:name w:val="Char Char5"/>
    <w:uiPriority w:val="0"/>
    <w:qFormat/>
    <w:rPr>
      <w:rFonts w:ascii="宋体" w:hAnsi="Courier New" w:eastAsia="宋体" w:cs="Courier New"/>
      <w:sz w:val="21"/>
      <w:szCs w:val="21"/>
      <w:lang w:val="en-US" w:eastAsia="zh-CN" w:bidi="ar-SA"/>
    </w:rPr>
  </w:style>
  <w:style w:type="paragraph" w:styleId="1194" w:customStyle="1">
    <w:name w:val="_Style 10"/>
    <w:basedOn w:val="912"/>
    <w:uiPriority w:val="0"/>
    <w:qFormat/>
    <w:pPr>
      <w:spacing w:line="360" w:lineRule="auto"/>
    </w:pPr>
  </w:style>
  <w:style w:type="paragraph" w:styleId="1195"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96" w:customStyle="1">
    <w:name w:val="Body 1"/>
    <w:uiPriority w:val="0"/>
    <w:qFormat/>
    <w:pPr>
      <w:outlineLvl w:val="0"/>
    </w:pPr>
    <w:rPr>
      <w:rFonts w:ascii="Helvetica" w:hAnsi="Helvetica" w:eastAsia="Arial Unicode MS" w:cs="Times New Roman"/>
      <w:b/>
      <w:color w:val="000000"/>
      <w:lang w:val="en-US" w:eastAsia="zh-CN" w:bidi="ar-SA"/>
    </w:rPr>
  </w:style>
  <w:style w:type="paragraph" w:styleId="1197">
    <w:name w:val="List Paragraph"/>
    <w:basedOn w:val="912"/>
    <w:uiPriority w:val="0"/>
    <w:qFormat/>
    <w:pPr>
      <w:ind w:firstLine="420"/>
    </w:pPr>
    <w:rPr>
      <w:sz w:val="21"/>
      <w:szCs w:val="21"/>
    </w:rPr>
  </w:style>
  <w:style w:type="character" w:styleId="1198" w:customStyle="1">
    <w:name w:val="font11"/>
    <w:uiPriority w:val="0"/>
    <w:qFormat/>
    <w:rPr>
      <w:rFonts w:hint="eastAsia" w:ascii="宋体" w:hAnsi="宋体" w:eastAsia="宋体" w:cs="Times New Roman"/>
      <w:color w:val="000000"/>
      <w:sz w:val="24"/>
      <w:szCs w:val="24"/>
      <w:u w:val="none"/>
    </w:rPr>
  </w:style>
  <w:style w:type="character" w:styleId="1199" w:customStyle="1">
    <w:name w:val="font01"/>
    <w:uiPriority w:val="0"/>
    <w:qFormat/>
    <w:rPr>
      <w:rFonts w:ascii="Times New Roman" w:hAnsi="Times New Roman" w:eastAsia="宋体" w:cs="Times New Roman"/>
      <w:color w:val="000000"/>
      <w:sz w:val="24"/>
      <w:szCs w:val="24"/>
      <w:u w:val="none"/>
    </w:rPr>
  </w:style>
  <w:style w:type="character" w:styleId="1200" w:customStyle="1">
    <w:name w:val="font21"/>
    <w:uiPriority w:val="0"/>
    <w:qFormat/>
    <w:rPr>
      <w:rFonts w:hint="eastAsia" w:ascii="宋体" w:hAnsi="宋体" w:eastAsia="宋体" w:cs="Times New Roman"/>
      <w:b/>
      <w:bCs/>
      <w:color w:val="000000"/>
      <w:sz w:val="24"/>
      <w:szCs w:val="24"/>
      <w:u w:val="none"/>
    </w:rPr>
  </w:style>
  <w:style w:type="paragraph" w:styleId="1201" w:customStyle="1">
    <w:name w:val="纯文本2"/>
    <w:basedOn w:val="912"/>
    <w:uiPriority w:val="0"/>
    <w:qFormat/>
    <w:rPr>
      <w:rFonts w:hint="eastAsia" w:ascii="宋体" w:hAnsi="Courier New" w:eastAsia="楷体_GB2312"/>
    </w:rPr>
  </w:style>
  <w:style w:type="character" w:styleId="1202" w:customStyle="1">
    <w:name w:val="16"/>
    <w:uiPriority w:val="0"/>
    <w:qFormat/>
    <w:rPr>
      <w:rFonts w:hint="eastAsia" w:ascii="宋体" w:hAnsi="宋体" w:eastAsia="宋体" w:cs="Times New Roman"/>
      <w:b/>
      <w:bCs/>
      <w:color w:val="000000"/>
      <w:sz w:val="22"/>
      <w:szCs w:val="22"/>
    </w:rPr>
  </w:style>
  <w:style w:type="character" w:styleId="1203" w:customStyle="1">
    <w:name w:val="正文缩进 Char1"/>
    <w:uiPriority w:val="0"/>
    <w:qFormat/>
    <w:rPr>
      <w:rFonts w:ascii="Times New Roman" w:hAnsi="Times New Roman" w:eastAsia="宋体" w:cs="Times New Roman"/>
      <w:sz w:val="28"/>
      <w:lang w:val="en-US" w:eastAsia="zh-CN" w:bidi="ar-SA"/>
    </w:rPr>
  </w:style>
  <w:style w:type="paragraph" w:styleId="1204" w:customStyle="1">
    <w:name w:val="首行缩进"/>
    <w:basedOn w:val="912"/>
    <w:uiPriority w:val="0"/>
    <w:qFormat/>
    <w:pPr>
      <w:ind w:firstLine="420"/>
      <w:spacing w:line="360" w:lineRule="auto"/>
    </w:pPr>
    <w:rPr>
      <w:sz w:val="21"/>
    </w:rPr>
  </w:style>
  <w:style w:type="character" w:styleId="1205" w:customStyle="1">
    <w:name w:val="NormalCharacter1"/>
    <w:uiPriority w:val="0"/>
    <w:qFormat/>
    <w:rPr>
      <w:rFonts w:ascii="Times New Roman" w:hAnsi="Times New Roman" w:eastAsia="宋体" w:cs="Times New Roman"/>
    </w:rPr>
  </w:style>
  <w:style w:type="paragraph" w:styleId="1206" w:customStyle="1">
    <w:name w:val="TOC 标题11"/>
    <w:basedOn w:val="1091"/>
    <w:next w:val="912"/>
    <w:uiPriority w:val="0"/>
    <w:qFormat/>
    <w:pPr>
      <w:ind w:left="432" w:hanging="432"/>
      <w:jc w:val="left"/>
      <w:keepLines w:val="0"/>
      <w:spacing w:before="480" w:after="0" w:line="276" w:lineRule="auto"/>
      <w:tabs>
        <w:tab w:val="left" w:pos="432" w:leader="none"/>
      </w:tabs>
      <w:outlineLvl w:val="9"/>
    </w:pPr>
    <w:rPr>
      <w:rFonts w:ascii="Calibri Light" w:hAnsi="Calibri Light"/>
      <w:b w:val="0"/>
      <w:bCs w:val="0"/>
      <w:color w:val="2e75b5"/>
      <w:sz w:val="28"/>
      <w:szCs w:val="28"/>
    </w:rPr>
  </w:style>
  <w:style w:type="character" w:styleId="1207" w:customStyle="1">
    <w:name w:val="标题 1 Char Char"/>
    <w:uiPriority w:val="0"/>
    <w:qFormat/>
    <w:rPr>
      <w:rFonts w:ascii="Times New Roman" w:hAnsi="Times New Roman" w:eastAsia="宋体" w:cs="Times New Roman"/>
      <w:b/>
      <w:spacing w:val="-2"/>
      <w:sz w:val="24"/>
      <w:lang w:val="en-US" w:eastAsia="zh-CN" w:bidi="ar-SA"/>
    </w:rPr>
  </w:style>
  <w:style w:type="character" w:styleId="1208" w:customStyle="1">
    <w:name w:val="Subtitle Char1"/>
    <w:uiPriority w:val="0"/>
    <w:qFormat/>
    <w:rPr>
      <w:rFonts w:ascii="Cambria" w:hAnsi="Cambria" w:eastAsia="宋体" w:cs="Times New Roman"/>
      <w:b/>
      <w:bCs/>
      <w:sz w:val="32"/>
      <w:szCs w:val="32"/>
    </w:rPr>
  </w:style>
  <w:style w:type="character" w:styleId="1209" w:customStyle="1">
    <w:name w:val="Header Char"/>
    <w:uiPriority w:val="0"/>
    <w:qFormat/>
    <w:rPr>
      <w:rFonts w:ascii="Times New Roman" w:hAnsi="Times New Roman" w:eastAsia="宋体" w:cs="Times New Roman"/>
      <w:sz w:val="18"/>
      <w:lang w:val="en-US" w:eastAsia="zh-CN"/>
    </w:rPr>
  </w:style>
  <w:style w:type="character" w:styleId="1210" w:customStyle="1">
    <w:name w:val="Footer Char"/>
    <w:uiPriority w:val="0"/>
    <w:qFormat/>
    <w:rPr>
      <w:rFonts w:ascii="Times New Roman" w:hAnsi="Times New Roman" w:eastAsia="宋体" w:cs="Times New Roman"/>
      <w:sz w:val="18"/>
      <w:lang w:val="en-US" w:eastAsia="zh-CN"/>
    </w:rPr>
  </w:style>
  <w:style w:type="character" w:styleId="1211" w:customStyle="1">
    <w:name w:val="Subtitle Char"/>
    <w:uiPriority w:val="0"/>
    <w:qFormat/>
    <w:rPr>
      <w:rFonts w:ascii="Cambria" w:hAnsi="Cambria" w:eastAsia="华文中宋" w:cs="Times New Roman"/>
      <w:b/>
      <w:sz w:val="32"/>
    </w:rPr>
  </w:style>
  <w:style w:type="paragraph" w:styleId="1212" w:customStyle="1">
    <w:name w:val="pa-23"/>
    <w:uiPriority w:val="0"/>
    <w:qFormat/>
    <w:pPr>
      <w:spacing w:line="280" w:lineRule="atLeast"/>
    </w:pPr>
    <w:rPr>
      <w:rFonts w:ascii="宋体" w:hAnsi="宋体" w:eastAsia="宋体" w:cs="宋体"/>
      <w:sz w:val="24"/>
      <w:szCs w:val="24"/>
      <w:lang w:val="en-US" w:eastAsia="zh-CN" w:bidi="ar-SA"/>
    </w:rPr>
  </w:style>
  <w:style w:type="paragraph" w:styleId="1213" w:customStyle="1">
    <w:name w:val="正"/>
    <w:basedOn w:val="912"/>
    <w:uiPriority w:val="0"/>
    <w:qFormat/>
    <w:pPr>
      <w:ind w:left="360" w:hanging="360"/>
      <w:spacing w:line="360" w:lineRule="auto"/>
    </w:pPr>
    <w:rPr>
      <w:sz w:val="24"/>
      <w:szCs w:val="24"/>
    </w:rPr>
  </w:style>
  <w:style w:type="paragraph" w:styleId="1214" w:customStyle="1">
    <w:name w:val="Char Char7 Char"/>
    <w:basedOn w:val="912"/>
    <w:uiPriority w:val="0"/>
    <w:qFormat/>
    <w:pPr>
      <w:ind w:left="420" w:firstLine="270"/>
      <w:tabs>
        <w:tab w:val="left" w:pos="425" w:leader="none"/>
      </w:tabs>
    </w:pPr>
    <w:rPr>
      <w:sz w:val="21"/>
    </w:rPr>
  </w:style>
  <w:style w:type="character" w:styleId="1215" w:customStyle="1">
    <w:name w:val="副标题 Char1"/>
    <w:uiPriority w:val="0"/>
    <w:qFormat/>
    <w:rPr>
      <w:rFonts w:ascii="Cambria" w:hAnsi="Cambria" w:eastAsia="宋体" w:cs="Times New Roman"/>
      <w:b/>
      <w:bCs/>
      <w:sz w:val="32"/>
      <w:szCs w:val="32"/>
    </w:rPr>
  </w:style>
  <w:style w:type="paragraph" w:styleId="1216" w:customStyle="1">
    <w:name w:val="Char Char1 Char Char Char Char Char Char Char1"/>
    <w:basedOn w:val="912"/>
    <w:uiPriority w:val="0"/>
    <w:qFormat/>
    <w:rPr>
      <w:sz w:val="21"/>
    </w:rPr>
  </w:style>
  <w:style w:type="paragraph" w:styleId="1217" w:customStyle="1">
    <w:name w:val="Char Char7 Char1"/>
    <w:basedOn w:val="912"/>
    <w:uiPriority w:val="0"/>
    <w:qFormat/>
    <w:pPr>
      <w:ind w:left="420" w:firstLine="270"/>
      <w:tabs>
        <w:tab w:val="left" w:pos="425" w:leader="none"/>
      </w:tabs>
    </w:pPr>
    <w:rPr>
      <w:sz w:val="21"/>
    </w:rPr>
  </w:style>
  <w:style w:type="paragraph" w:styleId="1218" w:customStyle="1">
    <w:name w:val="默认段落字体 Para Char Char Char Char"/>
    <w:basedOn w:val="912"/>
    <w:uiPriority w:val="0"/>
    <w:qFormat/>
    <w:rPr>
      <w:sz w:val="21"/>
    </w:rPr>
  </w:style>
  <w:style w:type="paragraph" w:styleId="1219" w:customStyle="1">
    <w:name w:val="无间隔11"/>
    <w:uiPriority w:val="0"/>
    <w:qFormat/>
    <w:pPr>
      <w:jc w:val="both"/>
      <w:widowControl w:val="off"/>
    </w:pPr>
    <w:rPr>
      <w:rFonts w:ascii="Calibri" w:hAnsi="Calibri" w:eastAsia="宋体" w:cs="Times New Roman"/>
      <w:sz w:val="21"/>
      <w:szCs w:val="22"/>
      <w:lang w:val="en-US" w:eastAsia="zh-CN" w:bidi="ar-SA"/>
    </w:rPr>
  </w:style>
  <w:style w:type="paragraph" w:styleId="1220" w:customStyle="1">
    <w:name w:val="Char Char1 Char Char Char Char Char Char Char"/>
    <w:basedOn w:val="912"/>
    <w:uiPriority w:val="0"/>
    <w:qFormat/>
    <w:rPr>
      <w:sz w:val="21"/>
    </w:rPr>
  </w:style>
  <w:style w:type="character" w:styleId="1221" w:customStyle="1">
    <w:name w:val="font41"/>
    <w:uiPriority w:val="0"/>
    <w:qFormat/>
    <w:rPr>
      <w:rFonts w:hint="eastAsia" w:ascii="宋体" w:hAnsi="宋体" w:eastAsia="宋体" w:cs="宋体"/>
      <w:color w:val="000000"/>
      <w:sz w:val="16"/>
      <w:szCs w:val="16"/>
      <w:u w:val="none"/>
    </w:rPr>
  </w:style>
  <w:style w:type="character" w:styleId="1222" w:customStyle="1">
    <w:name w:val="font31"/>
    <w:uiPriority w:val="0"/>
    <w:qFormat/>
    <w:rPr>
      <w:rFonts w:hint="eastAsia" w:ascii="宋体" w:hAnsi="宋体" w:eastAsia="宋体" w:cs="宋体"/>
      <w:color w:val="000000"/>
      <w:sz w:val="16"/>
      <w:szCs w:val="16"/>
      <w:u w:val="none"/>
    </w:rPr>
  </w:style>
  <w:style w:type="paragraph" w:styleId="1223" w:customStyle="1">
    <w:name w:val="正文1"/>
    <w:uiPriority w:val="0"/>
    <w:qFormat/>
    <w:rPr>
      <w:rFonts w:ascii="Times New Roman" w:hAnsi="Times New Roman" w:eastAsia="Times New Roman" w:cs="Times New Roman"/>
      <w:sz w:val="24"/>
      <w:szCs w:val="24"/>
      <w:lang w:val="en-US" w:eastAsia="zh-CN" w:bidi="ar-SA"/>
    </w:rPr>
  </w:style>
  <w:style w:type="character" w:styleId="1224" w:customStyle="1">
    <w:name w:val="font71"/>
    <w:uiPriority w:val="0"/>
    <w:qFormat/>
    <w:rPr>
      <w:rFonts w:hint="eastAsia" w:ascii="宋体" w:hAnsi="宋体" w:eastAsia="宋体" w:cs="宋体"/>
      <w:color w:val="ff0000"/>
      <w:sz w:val="21"/>
      <w:szCs w:val="21"/>
      <w:u w:val="none"/>
    </w:rPr>
  </w:style>
  <w:style w:type="character" w:styleId="1225" w:customStyle="1">
    <w:name w:val="font51"/>
    <w:uiPriority w:val="0"/>
    <w:qFormat/>
    <w:rPr>
      <w:rFonts w:hint="eastAsia" w:ascii="宋体" w:hAnsi="宋体" w:eastAsia="宋体" w:cs="宋体"/>
      <w:color w:val="000000"/>
      <w:sz w:val="21"/>
      <w:szCs w:val="21"/>
      <w:u w:val="none"/>
    </w:rPr>
  </w:style>
  <w:style w:type="paragraph" w:styleId="1226" w:customStyle="1">
    <w:name w:val="Table Paragraph"/>
    <w:basedOn w:val="912"/>
    <w:uiPriority w:val="0"/>
    <w:qFormat/>
    <w:rPr>
      <w:sz w:val="21"/>
    </w:rPr>
  </w:style>
  <w:style w:type="paragraph" w:styleId="1227" w:customStyle="1">
    <w:name w:val="BodyText1"/>
    <w:basedOn w:val="912"/>
    <w:link w:val="1228"/>
    <w:uiPriority w:val="0"/>
    <w:qFormat/>
    <w:pPr>
      <w:spacing w:after="120"/>
      <w:widowControl/>
    </w:pPr>
    <w:rPr>
      <w:sz w:val="21"/>
    </w:rPr>
  </w:style>
  <w:style w:type="character" w:styleId="1228" w:customStyle="1">
    <w:name w:val="UserStyle_4"/>
    <w:link w:val="1227"/>
    <w:uiPriority w:val="0"/>
    <w:qFormat/>
    <w:rPr>
      <w:rFonts w:ascii="Times New Roman" w:hAnsi="Times New Roman" w:eastAsia="宋体" w:cs="Times New Roman"/>
      <w:sz w:val="21"/>
    </w:rPr>
  </w:style>
  <w:style w:type="paragraph" w:styleId="1229" w:customStyle="1">
    <w:name w:val="Normal_3"/>
    <w:uiPriority w:val="0"/>
    <w:qFormat/>
    <w:rPr>
      <w:rFonts w:ascii="Times New Roman" w:hAnsi="Times New Roman" w:eastAsia="Times New Roman" w:cs="Times New Roman"/>
      <w:sz w:val="24"/>
      <w:szCs w:val="24"/>
      <w:lang w:val="en-US" w:eastAsia="zh-CN" w:bidi="ar-SA"/>
    </w:rPr>
  </w:style>
  <w:style w:type="paragraph" w:styleId="1230" w:customStyle="1">
    <w:name w:val="列出段落4"/>
    <w:basedOn w:val="912"/>
    <w:uiPriority w:val="0"/>
    <w:qFormat/>
    <w:pPr>
      <w:ind w:firstLine="420"/>
    </w:pPr>
    <w:rPr>
      <w:rFonts w:ascii="Calibri" w:hAnsi="Calibri"/>
      <w:sz w:val="21"/>
      <w:szCs w:val="24"/>
    </w:rPr>
  </w:style>
  <w:style w:type="paragraph" w:styleId="1231" w:customStyle="1">
    <w:name w:val="样式10"/>
    <w:basedOn w:val="912"/>
    <w:link w:val="1232"/>
    <w:uiPriority w:val="0"/>
    <w:qFormat/>
    <w:pPr>
      <w:ind w:firstLine="560"/>
    </w:pPr>
    <w:rPr>
      <w:rFonts w:ascii="华文仿宋" w:hAnsi="华文仿宋" w:eastAsia="华文仿宋"/>
      <w:szCs w:val="28"/>
    </w:rPr>
  </w:style>
  <w:style w:type="character" w:styleId="1232" w:customStyle="1">
    <w:name w:val="样式10 字符"/>
    <w:link w:val="1231"/>
    <w:uiPriority w:val="0"/>
    <w:qFormat/>
    <w:rPr>
      <w:rFonts w:ascii="华文仿宋" w:hAnsi="华文仿宋" w:eastAsia="华文仿宋" w:cs="Times New Roman"/>
      <w:sz w:val="28"/>
      <w:szCs w:val="28"/>
    </w:rPr>
  </w:style>
  <w:style w:type="paragraph" w:styleId="1233" w:customStyle="1">
    <w:name w:val="_Style 9"/>
    <w:basedOn w:val="1112"/>
    <w:next w:val="1142"/>
    <w:uiPriority w:val="0"/>
    <w:qFormat/>
    <w:pPr>
      <w:ind w:firstLine="420"/>
    </w:pPr>
    <w:rPr>
      <w:rFonts w:ascii="Calibri" w:hAnsi="Calibri"/>
      <w:sz w:val="28"/>
    </w:rPr>
  </w:style>
  <w:style w:type="character" w:styleId="1234" w:customStyle="1">
    <w:name w:val="样式 首行缩进:  0 字符 Char"/>
    <w:link w:val="1235"/>
    <w:uiPriority w:val="0"/>
    <w:qFormat/>
    <w:rPr>
      <w:rFonts w:ascii="Times New Roman" w:hAnsi="Times New Roman" w:eastAsia="宋体" w:cs="Times New Roman"/>
      <w:sz w:val="24"/>
    </w:rPr>
  </w:style>
  <w:style w:type="paragraph" w:styleId="1235" w:customStyle="1">
    <w:name w:val="样式 首行缩进:  0 字符"/>
    <w:basedOn w:val="912"/>
    <w:link w:val="1234"/>
    <w:uiPriority w:val="0"/>
    <w:qFormat/>
    <w:pPr>
      <w:ind w:firstLine="200"/>
      <w:spacing w:line="360" w:lineRule="auto"/>
    </w:pPr>
    <w:rPr>
      <w:sz w:val="24"/>
    </w:rPr>
  </w:style>
  <w:style w:type="paragraph" w:styleId="1236" w:customStyle="1">
    <w:name w:val="xl63"/>
    <w:basedOn w:val="9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7" w:customStyle="1">
    <w:name w:val="xl64"/>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8" w:customStyle="1">
    <w:name w:val="xl65"/>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9" w:customStyle="1">
    <w:name w:val="xl66"/>
    <w:basedOn w:val="91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240" w:customStyle="1">
    <w:name w:val="xl67"/>
    <w:basedOn w:val="9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1241" w:customStyle="1">
    <w:name w:val="纯文本 Char1"/>
    <w:uiPriority w:val="0"/>
    <w:qFormat/>
    <w:rPr>
      <w:rFonts w:ascii="宋体" w:hAnsi="Courier New" w:eastAsia="宋体" w:cs="Courier New"/>
      <w:sz w:val="21"/>
      <w:szCs w:val="21"/>
      <w:lang w:val="en-US" w:eastAsia="zh-CN" w:bidi="ar-SA"/>
    </w:rPr>
  </w:style>
  <w:style w:type="paragraph" w:styleId="1242" w:customStyle="1">
    <w:name w:val="_Style 3"/>
    <w:basedOn w:val="912"/>
    <w:uiPriority w:val="0"/>
    <w:qFormat/>
    <w:rPr>
      <w:rFonts w:ascii="Calibri" w:hAnsi="Calibri"/>
      <w:sz w:val="21"/>
      <w:szCs w:val="21"/>
    </w:rPr>
  </w:style>
  <w:style w:type="character" w:styleId="1243" w:customStyle="1">
    <w:name w:val="grame"/>
    <w:uiPriority w:val="0"/>
    <w:qFormat/>
  </w:style>
  <w:style w:type="character" w:styleId="1244" w:customStyle="1">
    <w:name w:val="纯文本 字符1"/>
    <w:uiPriority w:val="0"/>
    <w:qFormat/>
    <w:rPr>
      <w:rFonts w:ascii="宋体" w:hAnsi="Courier New" w:eastAsia="宋体" w:cs="Courier New"/>
      <w:sz w:val="21"/>
      <w:szCs w:val="21"/>
      <w:lang w:val="en-US" w:eastAsia="zh-CN" w:bidi="ar-SA"/>
    </w:rPr>
  </w:style>
  <w:style w:type="character" w:styleId="1245" w:customStyle="1">
    <w:name w:val="font81"/>
    <w:uiPriority w:val="0"/>
    <w:qFormat/>
    <w:rPr>
      <w:rFonts w:ascii="Calibri" w:hAnsi="Calibri" w:cs="Calibri"/>
      <w:color w:val="000000"/>
      <w:sz w:val="22"/>
      <w:szCs w:val="22"/>
      <w:u w:val="none"/>
    </w:rPr>
  </w:style>
  <w:style w:type="character" w:styleId="1246" w:customStyle="1">
    <w:name w:val="font91"/>
    <w:uiPriority w:val="0"/>
    <w:qFormat/>
    <w:rPr>
      <w:rFonts w:ascii="Calibri" w:hAnsi="Calibri" w:cs="Calibri"/>
      <w:color w:val="000000"/>
      <w:sz w:val="22"/>
      <w:szCs w:val="22"/>
      <w:u w:val="none"/>
    </w:rPr>
  </w:style>
  <w:style w:type="character" w:styleId="1247" w:customStyle="1">
    <w:name w:val="font101"/>
    <w:uiPriority w:val="0"/>
    <w:qFormat/>
    <w:rPr>
      <w:rFonts w:ascii="Calibri" w:hAnsi="Calibri" w:cs="Calibri"/>
      <w:color w:val="000000"/>
      <w:sz w:val="22"/>
      <w:szCs w:val="22"/>
      <w:u w:val="none"/>
    </w:rPr>
  </w:style>
  <w:style w:type="numbering" w:styleId="12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jpg"/><Relationship Id="rId26" Type="http://schemas.openxmlformats.org/officeDocument/2006/relationships/image" Target="media/image10.jpg"/><Relationship Id="rId27" Type="http://schemas.openxmlformats.org/officeDocument/2006/relationships/image" Target="media/image11.jpg"/><Relationship Id="rId28" Type="http://schemas.openxmlformats.org/officeDocument/2006/relationships/image" Target="media/image1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3074"/>
    <customShpInfo spid="_x0000_s3073"/>
    <customShpInfo spid="_x0000_s3076"/>
    <customShpInfo spid="_x0000_s3075"/>
    <customShpInfo spid="_x0000_s3078"/>
    <customShpInfo spid="_x0000_s307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刘帆</dc:creator>
  <cp:lastModifiedBy>王莉亚</cp:lastModifiedBy>
  <cp:revision>31</cp:revision>
  <dcterms:created xsi:type="dcterms:W3CDTF">2024-04-27T08:36:00Z</dcterms:created>
  <dcterms:modified xsi:type="dcterms:W3CDTF">2024-06-17T02:04:44Z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624EC77B953C46689FA5E66D47F339C5_12</vt:lpwstr>
  </property>
</Properties>
</file>