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jc w:val="righ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政府采购</w:t>
      </w:r>
      <w:r/>
    </w:p>
    <w:p>
      <w:pPr>
        <w:pStyle w:val="1116"/>
        <w:ind w:firstLine="0"/>
        <w:jc w:val="right"/>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p>
      <w:pPr>
        <w:pStyle w:val="1116"/>
        <w:ind w:firstLine="0"/>
        <w:jc w:val="center"/>
        <w:rPr>
          <w:rFonts w:hint="eastAsia" w:ascii="宋体" w:hAnsi="宋体" w:cs="宋体"/>
          <w:b/>
          <w:bCs/>
          <w:color w:val="auto"/>
          <w:sz w:val="84"/>
          <w:highlight w:val="none"/>
        </w:rPr>
      </w:pPr>
      <w:r>
        <w:rPr>
          <w:rFonts w:hint="eastAsia" w:ascii="宋体" w:hAnsi="宋体" w:cs="宋体"/>
          <w:b/>
          <w:bCs/>
          <w:color w:val="auto"/>
          <w:sz w:val="84"/>
          <w:highlight w:val="none"/>
        </w:rPr>
      </w:r>
      <w:r/>
    </w:p>
    <w:p>
      <w:pPr>
        <w:pStyle w:val="1116"/>
        <w:ind w:firstLine="0"/>
        <w:jc w:val="center"/>
        <w:rPr>
          <w:rFonts w:hint="eastAsia" w:ascii="宋体" w:hAnsi="宋体" w:cs="宋体"/>
          <w:b/>
          <w:bCs/>
          <w:color w:val="auto"/>
          <w:sz w:val="84"/>
          <w:highlight w:val="none"/>
        </w:rPr>
      </w:pPr>
      <w:r>
        <w:rPr>
          <w:rFonts w:hint="eastAsia" w:ascii="宋体" w:hAnsi="宋体" w:cs="宋体"/>
          <w:b/>
          <w:bCs/>
          <w:color w:val="auto"/>
          <w:sz w:val="84"/>
          <w:highlight w:val="none"/>
        </w:rPr>
        <w:t xml:space="preserve">招　标　文　件</w:t>
      </w:r>
      <w:r/>
    </w:p>
    <w:p>
      <w:pPr>
        <w:ind w:firstLine="2249"/>
        <w:jc w:val="left"/>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r>
      <w:r/>
    </w:p>
    <w:tbl>
      <w:tblPr>
        <w:tblStyle w:val="84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cs="宋体"/>
                <w:color w:val="auto"/>
                <w:sz w:val="36"/>
                <w:szCs w:val="36"/>
                <w:highlight w:val="none"/>
              </w:rPr>
            </w:pPr>
            <w:r>
              <w:rPr>
                <w:rFonts w:hint="eastAsia" w:ascii="宋体" w:hAnsi="宋体" w:cs="宋体"/>
                <w:b/>
                <w:bCs/>
                <w:color w:val="auto"/>
                <w:sz w:val="32"/>
                <w:highlight w:val="none"/>
              </w:rPr>
              <w:t xml:space="preserve">宿豫区绿化管养项目（2024年至2026年）</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lang w:eastAsia="zh-CN"/>
              </w:rPr>
            </w:pPr>
            <w:r>
              <w:rPr>
                <w:rFonts w:hint="eastAsia" w:ascii="宋体" w:hAnsi="宋体" w:cs="宋体"/>
                <w:b/>
                <w:bCs/>
                <w:color w:val="auto"/>
                <w:sz w:val="32"/>
                <w:szCs w:val="24"/>
                <w:highlight w:val="none"/>
                <w:lang w:eastAsia="zh-CN"/>
              </w:rPr>
              <w:t xml:space="preserve">JSZC-321311-JSKJ-G2024-0072</w:t>
            </w:r>
            <w:r/>
          </w:p>
        </w:tc>
      </w:tr>
    </w:tbl>
    <w:p>
      <w:pPr>
        <w:jc w:val="center"/>
        <w:spacing w:before="120" w:after="120" w:line="360" w:lineRule="auto"/>
        <w:rPr>
          <w:rFonts w:hint="eastAsia" w:ascii="宋体" w:hAnsi="宋体" w:cs="宋体"/>
          <w:b/>
          <w:color w:val="auto"/>
          <w:sz w:val="30"/>
          <w:szCs w:val="30"/>
          <w:highlight w:val="none"/>
        </w:rPr>
      </w:pPr>
      <w:r>
        <w:rPr>
          <w:rFonts w:hint="eastAsia" w:ascii="宋体" w:hAnsi="宋体" w:cs="宋体"/>
          <w:b/>
          <w:bCs/>
          <w:color w:val="auto"/>
          <w:sz w:val="32"/>
          <w:szCs w:val="24"/>
          <w:highlight w:val="none"/>
        </w:rPr>
        <w:t xml:space="preserve">（</w:t>
      </w:r>
      <w:r>
        <w:rPr>
          <w:rFonts w:hint="eastAsia" w:ascii="宋体" w:hAnsi="宋体" w:cs="宋体"/>
          <w:b/>
          <w:bCs/>
          <w:color w:val="auto"/>
          <w:sz w:val="32"/>
          <w:szCs w:val="24"/>
          <w:highlight w:val="none"/>
          <w:u w:val="single"/>
        </w:rPr>
        <w:t xml:space="preserve">服务</w:t>
      </w:r>
      <w:r>
        <w:rPr>
          <w:rFonts w:hint="eastAsia" w:ascii="宋体" w:hAnsi="宋体" w:cs="宋体"/>
          <w:b/>
          <w:bCs/>
          <w:color w:val="auto"/>
          <w:sz w:val="32"/>
          <w:szCs w:val="24"/>
          <w:highlight w:val="none"/>
        </w:rPr>
        <w:t xml:space="preserve">类项目，</w:t>
      </w:r>
      <w:r>
        <w:rPr>
          <w:rFonts w:hint="eastAsia" w:ascii="宋体" w:hAnsi="宋体" w:cs="宋体"/>
          <w:b/>
          <w:bCs/>
          <w:color w:val="auto"/>
          <w:sz w:val="32"/>
          <w:szCs w:val="24"/>
          <w:highlight w:val="none"/>
          <w:u w:val="single"/>
        </w:rPr>
        <w:t xml:space="preserve">非</w:t>
      </w:r>
      <w:r>
        <w:rPr>
          <w:rFonts w:hint="eastAsia" w:ascii="宋体" w:hAnsi="宋体" w:cs="宋体"/>
          <w:b/>
          <w:bCs/>
          <w:color w:val="auto"/>
          <w:sz w:val="32"/>
          <w:szCs w:val="24"/>
          <w:highlight w:val="none"/>
        </w:rPr>
        <w:t xml:space="preserve">专门面向中小企业）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46"/>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宿迁市宿豫区住房和城乡建设局</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江苏科建工程项目管理有限公司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line="500" w:lineRule="exact"/>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日  期：</w:t>
            </w: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after="156"/>
              <w:rPr>
                <w:rFonts w:hint="eastAsia" w:ascii="宋体" w:hAnsi="宋体" w:cs="宋体"/>
                <w:b/>
                <w:bCs/>
                <w:color w:val="auto"/>
                <w:sz w:val="32"/>
                <w:szCs w:val="24"/>
                <w:highlight w:val="none"/>
              </w:rPr>
            </w:pPr>
            <w:r/>
            <w:bookmarkStart w:id="0" w:name="EB0fd9ce30eb754b71a75bf113b0320af1"/>
            <w:r/>
            <w:bookmarkEnd w:id="0"/>
            <w:r>
              <w:rPr>
                <w:rFonts w:hint="eastAsia" w:ascii="宋体" w:hAnsi="宋体" w:cs="宋体"/>
                <w:b/>
                <w:bCs/>
                <w:color w:val="auto"/>
                <w:sz w:val="32"/>
                <w:szCs w:val="24"/>
                <w:highlight w:val="none"/>
              </w:rPr>
              <w:t xml:space="preserve">2024年</w:t>
            </w:r>
            <w:r>
              <w:rPr>
                <w:rFonts w:hint="eastAsia" w:ascii="宋体" w:hAnsi="宋体" w:cs="宋体"/>
                <w:b/>
                <w:bCs/>
                <w:color w:val="auto"/>
                <w:sz w:val="32"/>
                <w:szCs w:val="24"/>
                <w:highlight w:val="none"/>
                <w:lang w:val="en-US" w:eastAsia="zh-CN"/>
              </w:rPr>
              <w:t xml:space="preserve">11</w:t>
            </w:r>
            <w:r>
              <w:rPr>
                <w:rFonts w:hint="eastAsia" w:ascii="宋体" w:hAnsi="宋体" w:cs="宋体"/>
                <w:b/>
                <w:bCs/>
                <w:color w:val="auto"/>
                <w:sz w:val="32"/>
                <w:szCs w:val="24"/>
                <w:highlight w:val="none"/>
              </w:rPr>
              <w:t xml:space="preserve">月</w:t>
            </w:r>
            <w:r>
              <w:rPr>
                <w:rFonts w:hint="eastAsia" w:ascii="宋体" w:hAnsi="宋体" w:cs="宋体"/>
                <w:b/>
                <w:bCs/>
                <w:color w:val="auto"/>
                <w:sz w:val="32"/>
                <w:szCs w:val="24"/>
                <w:highlight w:val="none"/>
                <w:lang w:val="en-US" w:eastAsia="zh-CN"/>
              </w:rPr>
              <w:t xml:space="preserve">18</w:t>
            </w:r>
            <w:r>
              <w:rPr>
                <w:rFonts w:hint="eastAsia" w:ascii="宋体" w:hAnsi="宋体" w:cs="宋体"/>
                <w:b/>
                <w:bCs/>
                <w:color w:val="auto"/>
                <w:sz w:val="32"/>
                <w:szCs w:val="24"/>
                <w:highlight w:val="none"/>
              </w:rPr>
              <w:t xml:space="preserve">日</w:t>
            </w:r>
            <w:r/>
          </w:p>
        </w:tc>
      </w:tr>
    </w:tbl>
    <w:p>
      <w:pPr>
        <w:pStyle w:val="1116"/>
        <w:ind w:firstLine="2249"/>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116"/>
        <w:ind w:firstLine="0"/>
        <w:jc w:val="both"/>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b/>
          <w:color w:val="auto"/>
          <w:sz w:val="28"/>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1077" w:gutter="0"/>
          <w:cols w:num="1" w:sep="0" w:space="1701" w:equalWidth="1"/>
          <w:docGrid w:linePitch="360"/>
          <w:titlePg/>
        </w:sectPr>
      </w:pPr>
      <w:r/>
      <w:bookmarkStart w:id="1" w:name="_Toc120614210"/>
      <w:r/>
      <w:bookmarkStart w:id="2" w:name="_Toc479757206"/>
      <w:r/>
      <w:bookmarkStart w:id="3" w:name="_Toc16938516"/>
      <w:r/>
      <w:bookmarkStart w:id="4" w:name="_Toc513029200"/>
      <w:r/>
      <w:bookmarkStart w:id="5" w:name="_Toc523127445"/>
      <w:r/>
      <w:bookmarkStart w:id="6" w:name="_Toc20823272"/>
      <w:r/>
      <w:r/>
    </w:p>
    <w:p>
      <w:pPr>
        <w:pStyle w:val="1068"/>
        <w:jc w:val="center"/>
        <w:tabs>
          <w:tab w:val="right" w:pos="8953" w:leader="hyphen"/>
        </w:tabs>
        <w:rPr>
          <w:rFonts w:hint="eastAsia" w:cs="宋体"/>
          <w:b/>
          <w:bCs/>
          <w:color w:val="auto"/>
          <w:sz w:val="52"/>
          <w:szCs w:val="52"/>
          <w:highlight w:val="none"/>
        </w:rPr>
      </w:pPr>
      <w:r>
        <w:rPr>
          <w:rFonts w:hint="eastAsia" w:cs="宋体"/>
          <w:b/>
          <w:bCs/>
          <w:color w:val="auto"/>
          <w:sz w:val="52"/>
          <w:szCs w:val="52"/>
          <w:highlight w:val="none"/>
        </w:rPr>
        <w:t xml:space="preserve">总 目 录</w:t>
      </w:r>
      <w:r/>
    </w:p>
    <w:p>
      <w:pPr>
        <w:pStyle w:val="857"/>
        <w:tabs>
          <w:tab w:val="right" w:pos="8733" w:leader="dot"/>
        </w:tabs>
        <w:rPr>
          <w:color w:val="auto"/>
          <w:highlight w:val="none"/>
        </w:rPr>
      </w:pPr>
      <w:r>
        <w:rPr>
          <w:rFonts w:hint="eastAsia" w:cs="宋体"/>
          <w:color w:val="auto"/>
          <w:highlight w:val="none"/>
        </w:rPr>
        <w:fldChar w:fldCharType="begin"/>
      </w:r>
      <w:r>
        <w:rPr>
          <w:rFonts w:hint="eastAsia" w:cs="宋体"/>
          <w:color w:val="auto"/>
          <w:highlight w:val="none"/>
        </w:rPr>
        <w:instrText xml:space="preserve">TOC \o "1-2" \h \u </w:instrText>
      </w:r>
      <w:r>
        <w:rPr>
          <w:rFonts w:hint="eastAsia" w:cs="宋体"/>
          <w:color w:val="auto"/>
          <w:highlight w:val="none"/>
        </w:rPr>
        <w:fldChar w:fldCharType="separate"/>
      </w:r>
      <w:r>
        <w:rPr>
          <w:rFonts w:hint="eastAsia" w:cs="宋体"/>
          <w:color w:val="auto"/>
          <w:highlight w:val="none"/>
        </w:rPr>
        <w:fldChar w:fldCharType="begin"/>
      </w:r>
      <w:r>
        <w:rPr>
          <w:rFonts w:hint="eastAsia" w:cs="宋体"/>
          <w:color w:val="auto"/>
          <w:highlight w:val="none"/>
        </w:rPr>
        <w:instrText xml:space="preserve"> HYPERLINK \l _Toc9847 </w:instrText>
      </w:r>
      <w:r>
        <w:rPr>
          <w:rFonts w:hint="eastAsia" w:cs="宋体"/>
          <w:color w:val="auto"/>
          <w:highlight w:val="none"/>
        </w:rPr>
        <w:fldChar w:fldCharType="separate"/>
      </w:r>
      <w:r>
        <w:rPr>
          <w:rFonts w:hint="eastAsia" w:ascii="宋体" w:hAnsi="宋体" w:eastAsia="宋体" w:cs="宋体"/>
          <w:bCs/>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_Toc9847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s="宋体"/>
          <w:color w:val="auto"/>
          <w:highlight w:val="none"/>
        </w:rPr>
        <w:fldChar w:fldCharType="end"/>
      </w:r>
      <w:r/>
    </w:p>
    <w:p>
      <w:pPr>
        <w:pStyle w:val="857"/>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_Toc23114 </w:instrText>
      </w:r>
      <w:r>
        <w:rPr>
          <w:rFonts w:hint="eastAsia" w:ascii="宋体" w:hAnsi="宋体" w:cs="宋体"/>
          <w:color w:val="auto"/>
          <w:highlight w:val="none"/>
        </w:rPr>
        <w:fldChar w:fldCharType="separate"/>
      </w:r>
      <w:r>
        <w:rPr>
          <w:rFonts w:hint="eastAsia" w:ascii="宋体" w:hAnsi="宋体" w:eastAsia="宋体" w:cs="宋体"/>
          <w:bCs/>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_Toc23114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_Toc8220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_Toc8220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_Toc12532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_Toc12532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_Toc1270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_Toc1270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_Toc11520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_Toc11520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_Toc24990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_Toc24990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_Toc12995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_Toc12995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_Toc21196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_Toc21196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cs="宋体"/>
          <w:color w:val="auto"/>
          <w:highlight w:val="none"/>
        </w:rPr>
        <w:fldChar w:fldCharType="end"/>
      </w:r>
      <w:r/>
    </w:p>
    <w:p>
      <w:pPr>
        <w:pStyle w:val="857"/>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_Toc22264 </w:instrText>
      </w:r>
      <w:r>
        <w:rPr>
          <w:rFonts w:hint="eastAsia" w:ascii="宋体" w:hAnsi="宋体" w:cs="宋体"/>
          <w:color w:val="auto"/>
          <w:highlight w:val="none"/>
        </w:rPr>
        <w:fldChar w:fldCharType="separate"/>
      </w:r>
      <w:r>
        <w:rPr>
          <w:rFonts w:hint="eastAsia" w:ascii="宋体" w:hAnsi="宋体" w:eastAsia="宋体" w:cs="宋体"/>
          <w:bCs w:val="0"/>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_Toc22264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cs="宋体"/>
          <w:color w:val="auto"/>
          <w:highlight w:val="none"/>
        </w:rPr>
        <w:fldChar w:fldCharType="end"/>
      </w:r>
      <w:r/>
    </w:p>
    <w:p>
      <w:pPr>
        <w:pStyle w:val="857"/>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_Toc397 </w:instrText>
      </w:r>
      <w:r>
        <w:rPr>
          <w:rFonts w:hint="eastAsia" w:ascii="宋体" w:hAnsi="宋体" w:cs="宋体"/>
          <w:color w:val="auto"/>
          <w:highlight w:val="none"/>
        </w:rPr>
        <w:fldChar w:fldCharType="separate"/>
      </w:r>
      <w:r>
        <w:rPr>
          <w:rFonts w:hint="eastAsia" w:hAnsi="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_Toc397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cs="宋体"/>
          <w:color w:val="auto"/>
          <w:highlight w:val="none"/>
        </w:rPr>
        <w:fldChar w:fldCharType="end"/>
      </w:r>
      <w:r/>
    </w:p>
    <w:p>
      <w:pPr>
        <w:pStyle w:val="857"/>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_Toc28855 </w:instrText>
      </w:r>
      <w:r>
        <w:rPr>
          <w:rFonts w:hint="eastAsia" w:ascii="宋体" w:hAnsi="宋体" w:cs="宋体"/>
          <w:color w:val="auto"/>
          <w:highlight w:val="none"/>
        </w:rPr>
        <w:fldChar w:fldCharType="separate"/>
      </w:r>
      <w:r>
        <w:rPr>
          <w:rFonts w:hint="eastAsia" w:ascii="宋体" w:hAnsi="宋体" w:eastAsia="宋体" w:cs="宋体"/>
          <w:bCs/>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_Toc28855 \h </w:instrText>
      </w:r>
      <w:r>
        <w:rPr>
          <w:color w:val="auto"/>
          <w:highlight w:val="none"/>
        </w:rPr>
        <w:fldChar w:fldCharType="separate"/>
      </w:r>
      <w:r>
        <w:rPr>
          <w:color w:val="auto"/>
          <w:highlight w:val="none"/>
        </w:rPr>
        <w:t xml:space="preserve">76</w:t>
      </w:r>
      <w:r>
        <w:rPr>
          <w:color w:val="auto"/>
          <w:highlight w:val="none"/>
        </w:rPr>
        <w:fldChar w:fldCharType="end"/>
      </w:r>
      <w:r>
        <w:rPr>
          <w:rFonts w:hint="eastAsia" w:ascii="宋体" w:hAnsi="宋体" w:cs="宋体"/>
          <w:color w:val="auto"/>
          <w:highlight w:val="none"/>
        </w:rPr>
        <w:fldChar w:fldCharType="end"/>
      </w:r>
      <w:r/>
    </w:p>
    <w:p>
      <w:pPr>
        <w:pStyle w:val="857"/>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_Toc23017 </w:instrText>
      </w:r>
      <w:r>
        <w:rPr>
          <w:rFonts w:hint="eastAsia" w:ascii="宋体" w:hAnsi="宋体" w:cs="宋体"/>
          <w:color w:val="auto"/>
          <w:highlight w:val="none"/>
        </w:rPr>
        <w:fldChar w:fldCharType="separate"/>
      </w:r>
      <w:r>
        <w:rPr>
          <w:rFonts w:hint="eastAsia" w:ascii="宋体" w:hAnsi="宋体" w:eastAsia="宋体" w:cs="宋体"/>
          <w:bCs/>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_Toc23017 \h </w:instrText>
      </w:r>
      <w:r>
        <w:rPr>
          <w:color w:val="auto"/>
          <w:highlight w:val="none"/>
        </w:rPr>
        <w:fldChar w:fldCharType="separate"/>
      </w:r>
      <w:r>
        <w:rPr>
          <w:color w:val="auto"/>
          <w:highlight w:val="none"/>
        </w:rPr>
        <w:t xml:space="preserve">82</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_Toc12272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投标文件目录</w:t>
      </w:r>
      <w:r>
        <w:rPr>
          <w:color w:val="auto"/>
          <w:highlight w:val="none"/>
        </w:rPr>
        <w:tab/>
      </w:r>
      <w:r>
        <w:rPr>
          <w:color w:val="auto"/>
          <w:highlight w:val="none"/>
        </w:rPr>
        <w:fldChar w:fldCharType="begin"/>
      </w:r>
      <w:r>
        <w:rPr>
          <w:color w:val="auto"/>
          <w:highlight w:val="none"/>
        </w:rPr>
        <w:instrText xml:space="preserve"> PAGEREF _Toc12272 \h </w:instrText>
      </w:r>
      <w:r>
        <w:rPr>
          <w:color w:val="auto"/>
          <w:highlight w:val="none"/>
        </w:rPr>
        <w:fldChar w:fldCharType="separate"/>
      </w:r>
      <w:r>
        <w:rPr>
          <w:color w:val="auto"/>
          <w:highlight w:val="none"/>
        </w:rPr>
        <w:t xml:space="preserve">83</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_Toc6138 </w:instrText>
      </w:r>
      <w:r>
        <w:rPr>
          <w:rFonts w:hint="eastAsia" w:ascii="宋体" w:hAnsi="宋体" w:cs="宋体"/>
          <w:color w:val="auto"/>
          <w:highlight w:val="none"/>
        </w:rPr>
        <w:fldChar w:fldCharType="separate"/>
      </w:r>
      <w:r>
        <w:rPr>
          <w:rFonts w:hint="eastAsia" w:ascii="宋体" w:hAnsi="宋体" w:eastAsia="宋体" w:cs="宋体"/>
          <w:color w:val="auto"/>
          <w:szCs w:val="32"/>
          <w:highlight w:val="none"/>
        </w:rPr>
        <w:t xml:space="preserve">一、投标声明及承诺函</w:t>
      </w:r>
      <w:r>
        <w:rPr>
          <w:color w:val="auto"/>
          <w:highlight w:val="none"/>
        </w:rPr>
        <w:tab/>
      </w:r>
      <w:r>
        <w:rPr>
          <w:color w:val="auto"/>
          <w:highlight w:val="none"/>
        </w:rPr>
        <w:fldChar w:fldCharType="begin"/>
      </w:r>
      <w:r>
        <w:rPr>
          <w:color w:val="auto"/>
          <w:highlight w:val="none"/>
        </w:rPr>
        <w:instrText xml:space="preserve"> PAGEREF _Toc6138 \h </w:instrText>
      </w:r>
      <w:r>
        <w:rPr>
          <w:color w:val="auto"/>
          <w:highlight w:val="none"/>
        </w:rPr>
        <w:fldChar w:fldCharType="separate"/>
      </w:r>
      <w:r>
        <w:rPr>
          <w:color w:val="auto"/>
          <w:highlight w:val="none"/>
        </w:rPr>
        <w:t xml:space="preserve">84</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_Toc1199 </w:instrText>
      </w:r>
      <w:r>
        <w:rPr>
          <w:rFonts w:hint="eastAsia" w:ascii="宋体" w:hAnsi="宋体" w:cs="宋体"/>
          <w:color w:val="auto"/>
          <w:highlight w:val="none"/>
        </w:rPr>
        <w:fldChar w:fldCharType="separate"/>
      </w:r>
      <w:r>
        <w:rPr>
          <w:rFonts w:hint="eastAsia" w:ascii="宋体" w:hAnsi="宋体" w:eastAsia="宋体" w:cs="宋体"/>
          <w:color w:val="auto"/>
          <w:szCs w:val="32"/>
          <w:highlight w:val="none"/>
        </w:rPr>
        <w:t xml:space="preserve">二、投标人基本情况</w:t>
      </w:r>
      <w:r>
        <w:rPr>
          <w:color w:val="auto"/>
          <w:highlight w:val="none"/>
        </w:rPr>
        <w:tab/>
      </w:r>
      <w:r>
        <w:rPr>
          <w:color w:val="auto"/>
          <w:highlight w:val="none"/>
        </w:rPr>
        <w:fldChar w:fldCharType="begin"/>
      </w:r>
      <w:r>
        <w:rPr>
          <w:color w:val="auto"/>
          <w:highlight w:val="none"/>
        </w:rPr>
        <w:instrText xml:space="preserve"> PAGEREF _Toc1199 \h </w:instrText>
      </w:r>
      <w:r>
        <w:rPr>
          <w:color w:val="auto"/>
          <w:highlight w:val="none"/>
        </w:rPr>
        <w:fldChar w:fldCharType="separate"/>
      </w:r>
      <w:r>
        <w:rPr>
          <w:color w:val="auto"/>
          <w:highlight w:val="none"/>
        </w:rPr>
        <w:t xml:space="preserve">85</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_Toc26247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_Toc26247 \h </w:instrText>
      </w:r>
      <w:r>
        <w:rPr>
          <w:color w:val="auto"/>
          <w:highlight w:val="none"/>
        </w:rPr>
        <w:fldChar w:fldCharType="separate"/>
      </w:r>
      <w:r>
        <w:rPr>
          <w:color w:val="auto"/>
          <w:highlight w:val="none"/>
        </w:rPr>
        <w:t xml:space="preserve">86</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_Toc17863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_Toc17863 \h </w:instrText>
      </w:r>
      <w:r>
        <w:rPr>
          <w:color w:val="auto"/>
          <w:highlight w:val="none"/>
        </w:rPr>
        <w:fldChar w:fldCharType="separate"/>
      </w:r>
      <w:r>
        <w:rPr>
          <w:color w:val="auto"/>
          <w:highlight w:val="none"/>
        </w:rPr>
        <w:t xml:space="preserve">87</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_Toc25500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五、开标一览表</w:t>
      </w:r>
      <w:r>
        <w:rPr>
          <w:color w:val="auto"/>
          <w:highlight w:val="none"/>
        </w:rPr>
        <w:tab/>
      </w:r>
      <w:r>
        <w:rPr>
          <w:color w:val="auto"/>
          <w:highlight w:val="none"/>
        </w:rPr>
        <w:fldChar w:fldCharType="begin"/>
      </w:r>
      <w:r>
        <w:rPr>
          <w:color w:val="auto"/>
          <w:highlight w:val="none"/>
        </w:rPr>
        <w:instrText xml:space="preserve"> PAGEREF _Toc25500 \h </w:instrText>
      </w:r>
      <w:r>
        <w:rPr>
          <w:color w:val="auto"/>
          <w:highlight w:val="none"/>
        </w:rPr>
        <w:fldChar w:fldCharType="separate"/>
      </w:r>
      <w:r>
        <w:rPr>
          <w:color w:val="auto"/>
          <w:highlight w:val="none"/>
        </w:rPr>
        <w:t xml:space="preserve">88</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_Toc14741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六、投标报价明细表</w:t>
      </w:r>
      <w:r>
        <w:rPr>
          <w:color w:val="auto"/>
          <w:highlight w:val="none"/>
        </w:rPr>
        <w:tab/>
      </w:r>
      <w:r>
        <w:rPr>
          <w:color w:val="auto"/>
          <w:highlight w:val="none"/>
        </w:rPr>
        <w:fldChar w:fldCharType="begin"/>
      </w:r>
      <w:r>
        <w:rPr>
          <w:color w:val="auto"/>
          <w:highlight w:val="none"/>
        </w:rPr>
        <w:instrText xml:space="preserve"> PAGEREF _Toc14741 \h </w:instrText>
      </w:r>
      <w:r>
        <w:rPr>
          <w:color w:val="auto"/>
          <w:highlight w:val="none"/>
        </w:rPr>
        <w:fldChar w:fldCharType="separate"/>
      </w:r>
      <w:r>
        <w:rPr>
          <w:color w:val="auto"/>
          <w:highlight w:val="none"/>
        </w:rPr>
        <w:t xml:space="preserve">89</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_Toc17075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6.1报价一览表</w:t>
      </w:r>
      <w:r>
        <w:rPr>
          <w:color w:val="auto"/>
          <w:highlight w:val="none"/>
        </w:rPr>
        <w:tab/>
      </w:r>
      <w:r>
        <w:rPr>
          <w:color w:val="auto"/>
          <w:highlight w:val="none"/>
        </w:rPr>
        <w:fldChar w:fldCharType="begin"/>
      </w:r>
      <w:r>
        <w:rPr>
          <w:color w:val="auto"/>
          <w:highlight w:val="none"/>
        </w:rPr>
        <w:instrText xml:space="preserve"> PAGEREF _Toc17075 \h </w:instrText>
      </w:r>
      <w:r>
        <w:rPr>
          <w:color w:val="auto"/>
          <w:highlight w:val="none"/>
        </w:rPr>
        <w:fldChar w:fldCharType="separate"/>
      </w:r>
      <w:r>
        <w:rPr>
          <w:color w:val="auto"/>
          <w:highlight w:val="none"/>
        </w:rPr>
        <w:t xml:space="preserve">89</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_Toc31213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6.2分项明细报价表</w:t>
      </w:r>
      <w:r>
        <w:rPr>
          <w:color w:val="auto"/>
          <w:highlight w:val="none"/>
        </w:rPr>
        <w:tab/>
      </w:r>
      <w:r>
        <w:rPr>
          <w:color w:val="auto"/>
          <w:highlight w:val="none"/>
        </w:rPr>
        <w:fldChar w:fldCharType="begin"/>
      </w:r>
      <w:r>
        <w:rPr>
          <w:color w:val="auto"/>
          <w:highlight w:val="none"/>
        </w:rPr>
        <w:instrText xml:space="preserve"> PAGEREF _Toc31213 \h </w:instrText>
      </w:r>
      <w:r>
        <w:rPr>
          <w:color w:val="auto"/>
          <w:highlight w:val="none"/>
        </w:rPr>
        <w:fldChar w:fldCharType="separate"/>
      </w:r>
      <w:r>
        <w:rPr>
          <w:color w:val="auto"/>
          <w:highlight w:val="none"/>
        </w:rPr>
        <w:t xml:space="preserve">90</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_Toc16754 </w:instrText>
      </w:r>
      <w:r>
        <w:rPr>
          <w:rFonts w:hint="eastAsia" w:ascii="宋体" w:hAnsi="宋体" w:cs="宋体"/>
          <w:color w:val="auto"/>
          <w:highlight w:val="none"/>
        </w:rPr>
        <w:fldChar w:fldCharType="separate"/>
      </w:r>
      <w:r>
        <w:rPr>
          <w:rFonts w:hint="eastAsia" w:ascii="宋体" w:hAnsi="宋体" w:cs="宋体"/>
          <w:color w:val="auto"/>
          <w:szCs w:val="32"/>
          <w:highlight w:val="none"/>
        </w:rPr>
        <w:t xml:space="preserve">七、中小企业声明函（服务）</w:t>
      </w:r>
      <w:r>
        <w:rPr>
          <w:color w:val="auto"/>
          <w:highlight w:val="none"/>
        </w:rPr>
        <w:tab/>
      </w:r>
      <w:r>
        <w:rPr>
          <w:color w:val="auto"/>
          <w:highlight w:val="none"/>
        </w:rPr>
        <w:fldChar w:fldCharType="begin"/>
      </w:r>
      <w:r>
        <w:rPr>
          <w:color w:val="auto"/>
          <w:highlight w:val="none"/>
        </w:rPr>
        <w:instrText xml:space="preserve"> PAGEREF _Toc16754 \h </w:instrText>
      </w:r>
      <w:r>
        <w:rPr>
          <w:color w:val="auto"/>
          <w:highlight w:val="none"/>
        </w:rPr>
        <w:fldChar w:fldCharType="separate"/>
      </w:r>
      <w:r>
        <w:rPr>
          <w:color w:val="auto"/>
          <w:highlight w:val="none"/>
        </w:rPr>
        <w:t xml:space="preserve">115</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_Toc13434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八、</w:t>
      </w:r>
      <w:r>
        <w:rPr>
          <w:rFonts w:hint="eastAsia" w:ascii="宋体" w:hAnsi="宋体" w:cs="宋体"/>
          <w:bCs/>
          <w:color w:val="auto"/>
          <w:szCs w:val="32"/>
          <w:highlight w:val="none"/>
          <w:lang w:eastAsia="zh-CN"/>
        </w:rPr>
        <w:t xml:space="preserve">技术要求响应及偏离表</w:t>
      </w:r>
      <w:r>
        <w:rPr>
          <w:color w:val="auto"/>
          <w:highlight w:val="none"/>
        </w:rPr>
        <w:tab/>
      </w:r>
      <w:r>
        <w:rPr>
          <w:color w:val="auto"/>
          <w:highlight w:val="none"/>
        </w:rPr>
        <w:fldChar w:fldCharType="begin"/>
      </w:r>
      <w:r>
        <w:rPr>
          <w:color w:val="auto"/>
          <w:highlight w:val="none"/>
        </w:rPr>
        <w:instrText xml:space="preserve"> PAGEREF _Toc13434 \h </w:instrText>
      </w:r>
      <w:r>
        <w:rPr>
          <w:color w:val="auto"/>
          <w:highlight w:val="none"/>
        </w:rPr>
        <w:fldChar w:fldCharType="separate"/>
      </w:r>
      <w:r>
        <w:rPr>
          <w:color w:val="auto"/>
          <w:highlight w:val="none"/>
        </w:rPr>
        <w:t xml:space="preserve">117</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_Toc2825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九、项目组人员</w:t>
      </w:r>
      <w:r>
        <w:rPr>
          <w:color w:val="auto"/>
          <w:highlight w:val="none"/>
        </w:rPr>
        <w:tab/>
      </w:r>
      <w:r>
        <w:rPr>
          <w:color w:val="auto"/>
          <w:highlight w:val="none"/>
        </w:rPr>
        <w:fldChar w:fldCharType="begin"/>
      </w:r>
      <w:r>
        <w:rPr>
          <w:color w:val="auto"/>
          <w:highlight w:val="none"/>
        </w:rPr>
        <w:instrText xml:space="preserve"> PAGEREF _Toc2825 \h </w:instrText>
      </w:r>
      <w:r>
        <w:rPr>
          <w:color w:val="auto"/>
          <w:highlight w:val="none"/>
        </w:rPr>
        <w:fldChar w:fldCharType="separate"/>
      </w:r>
      <w:r>
        <w:rPr>
          <w:color w:val="auto"/>
          <w:highlight w:val="none"/>
        </w:rPr>
        <w:t xml:space="preserve">118</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_Toc4888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_Toc4888 \h </w:instrText>
      </w:r>
      <w:r>
        <w:rPr>
          <w:color w:val="auto"/>
          <w:highlight w:val="none"/>
        </w:rPr>
        <w:fldChar w:fldCharType="separate"/>
      </w:r>
      <w:r>
        <w:rPr>
          <w:color w:val="auto"/>
          <w:highlight w:val="none"/>
        </w:rPr>
        <w:t xml:space="preserve">119</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_Toc18346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十</w:t>
      </w:r>
      <w:r>
        <w:rPr>
          <w:rFonts w:hint="eastAsia" w:ascii="宋体" w:hAnsi="宋体" w:cs="宋体"/>
          <w:bCs/>
          <w:color w:val="auto"/>
          <w:szCs w:val="32"/>
          <w:highlight w:val="none"/>
          <w:lang w:eastAsia="zh-CN"/>
        </w:rPr>
        <w:t xml:space="preserve">一</w:t>
      </w:r>
      <w:r>
        <w:rPr>
          <w:rFonts w:hint="eastAsia" w:ascii="宋体" w:hAnsi="宋体" w:cs="宋体"/>
          <w:bCs/>
          <w:color w:val="auto"/>
          <w:szCs w:val="32"/>
          <w:highlight w:val="none"/>
        </w:rPr>
        <w:t xml:space="preserve">、承诺函</w:t>
      </w:r>
      <w:r>
        <w:rPr>
          <w:color w:val="auto"/>
          <w:highlight w:val="none"/>
        </w:rPr>
        <w:tab/>
      </w:r>
      <w:r>
        <w:rPr>
          <w:color w:val="auto"/>
          <w:highlight w:val="none"/>
        </w:rPr>
        <w:fldChar w:fldCharType="begin"/>
      </w:r>
      <w:r>
        <w:rPr>
          <w:color w:val="auto"/>
          <w:highlight w:val="none"/>
        </w:rPr>
        <w:instrText xml:space="preserve"> PAGEREF _Toc18346 \h </w:instrText>
      </w:r>
      <w:r>
        <w:rPr>
          <w:color w:val="auto"/>
          <w:highlight w:val="none"/>
        </w:rPr>
        <w:fldChar w:fldCharType="separate"/>
      </w:r>
      <w:r>
        <w:rPr>
          <w:color w:val="auto"/>
          <w:highlight w:val="none"/>
        </w:rPr>
        <w:t xml:space="preserve">120</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_Toc13288 </w:instrText>
      </w:r>
      <w:r>
        <w:rPr>
          <w:rFonts w:hint="eastAsia" w:ascii="宋体" w:hAnsi="宋体" w:cs="宋体"/>
          <w:color w:val="auto"/>
          <w:highlight w:val="none"/>
        </w:rPr>
        <w:fldChar w:fldCharType="separate"/>
      </w: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、投标所需其他材料</w:t>
      </w:r>
      <w:r>
        <w:rPr>
          <w:color w:val="auto"/>
          <w:highlight w:val="none"/>
        </w:rPr>
        <w:tab/>
      </w:r>
      <w:r>
        <w:rPr>
          <w:color w:val="auto"/>
          <w:highlight w:val="none"/>
        </w:rPr>
        <w:fldChar w:fldCharType="begin"/>
      </w:r>
      <w:r>
        <w:rPr>
          <w:color w:val="auto"/>
          <w:highlight w:val="none"/>
        </w:rPr>
        <w:instrText xml:space="preserve"> PAGEREF _Toc13288 \h </w:instrText>
      </w:r>
      <w:r>
        <w:rPr>
          <w:color w:val="auto"/>
          <w:highlight w:val="none"/>
        </w:rPr>
        <w:fldChar w:fldCharType="separate"/>
      </w:r>
      <w:r>
        <w:rPr>
          <w:color w:val="auto"/>
          <w:highlight w:val="none"/>
        </w:rPr>
        <w:t xml:space="preserve">121</w:t>
      </w:r>
      <w:r>
        <w:rPr>
          <w:color w:val="auto"/>
          <w:highlight w:val="none"/>
        </w:rPr>
        <w:fldChar w:fldCharType="end"/>
      </w:r>
      <w:r>
        <w:rPr>
          <w:rFonts w:hint="eastAsia" w:ascii="宋体" w:hAnsi="宋体" w:cs="宋体"/>
          <w:color w:val="auto"/>
          <w:highlight w:val="none"/>
        </w:rPr>
        <w:fldChar w:fldCharType="end"/>
      </w:r>
      <w:r/>
    </w:p>
    <w:p>
      <w:pPr>
        <w:pStyle w:val="863"/>
        <w:tabs>
          <w:tab w:val="right" w:pos="8733" w:leader="dot"/>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_Toc16575 </w:instrText>
      </w:r>
      <w:r>
        <w:rPr>
          <w:rFonts w:hint="eastAsia" w:ascii="宋体" w:hAnsi="宋体" w:cs="宋体"/>
          <w:color w:val="auto"/>
          <w:highlight w:val="none"/>
        </w:rPr>
        <w:fldChar w:fldCharType="separate"/>
      </w:r>
      <w:r>
        <w:rPr>
          <w:rFonts w:hint="eastAsia" w:ascii="宋体" w:hAnsi="宋体" w:cs="宋体"/>
          <w:bCs/>
          <w:color w:val="auto"/>
          <w:szCs w:val="32"/>
          <w:highlight w:val="none"/>
        </w:rPr>
        <w:t xml:space="preserve">十</w:t>
      </w:r>
      <w:r>
        <w:rPr>
          <w:rFonts w:hint="eastAsia" w:ascii="宋体" w:hAnsi="宋体" w:cs="宋体"/>
          <w:bCs/>
          <w:color w:val="auto"/>
          <w:szCs w:val="32"/>
          <w:highlight w:val="none"/>
          <w:lang w:eastAsia="zh-CN"/>
        </w:rPr>
        <w:t xml:space="preserve">三</w:t>
      </w:r>
      <w:r>
        <w:rPr>
          <w:rFonts w:hint="eastAsia" w:ascii="宋体" w:hAnsi="宋体" w:cs="宋体"/>
          <w:bCs/>
          <w:color w:val="auto"/>
          <w:szCs w:val="32"/>
          <w:highlight w:val="none"/>
        </w:rPr>
        <w:t xml:space="preserve">、质疑函范本</w:t>
      </w:r>
      <w:r>
        <w:rPr>
          <w:color w:val="auto"/>
          <w:highlight w:val="none"/>
        </w:rPr>
        <w:tab/>
      </w:r>
      <w:r>
        <w:rPr>
          <w:color w:val="auto"/>
          <w:highlight w:val="none"/>
        </w:rPr>
        <w:fldChar w:fldCharType="begin"/>
      </w:r>
      <w:r>
        <w:rPr>
          <w:color w:val="auto"/>
          <w:highlight w:val="none"/>
        </w:rPr>
        <w:instrText xml:space="preserve"> PAGEREF _Toc16575 \h </w:instrText>
      </w:r>
      <w:r>
        <w:rPr>
          <w:color w:val="auto"/>
          <w:highlight w:val="none"/>
        </w:rPr>
        <w:fldChar w:fldCharType="separate"/>
      </w:r>
      <w:r>
        <w:rPr>
          <w:color w:val="auto"/>
          <w:highlight w:val="none"/>
        </w:rPr>
        <w:t xml:space="preserve">122</w:t>
      </w:r>
      <w:r>
        <w:rPr>
          <w:color w:val="auto"/>
          <w:highlight w:val="none"/>
        </w:rPr>
        <w:fldChar w:fldCharType="end"/>
      </w:r>
      <w:r>
        <w:rPr>
          <w:rFonts w:hint="eastAsia" w:ascii="宋体" w:hAnsi="宋体" w:cs="宋体"/>
          <w:color w:val="auto"/>
          <w:highlight w:val="none"/>
        </w:rPr>
        <w:fldChar w:fldCharType="end"/>
      </w:r>
      <w:r/>
    </w:p>
    <w:p>
      <w:pPr>
        <w:rPr>
          <w:rFonts w:hint="eastAsia" w:ascii="宋体" w:hAnsi="宋体" w:cs="宋体"/>
          <w:color w:val="auto"/>
          <w:highlight w:val="none"/>
        </w:rPr>
      </w:pPr>
      <w:r>
        <w:rPr>
          <w:rFonts w:hint="eastAsia" w:ascii="宋体" w:hAnsi="宋体" w:cs="宋体"/>
          <w:color w:val="auto"/>
          <w:highlight w:val="none"/>
        </w:rPr>
        <w:fldChar w:fldCharType="end"/>
      </w:r>
      <w:r/>
    </w:p>
    <w:p>
      <w:pPr>
        <w:pStyle w:val="1018"/>
        <w:rPr>
          <w:rFonts w:hint="eastAsia" w:ascii="宋体" w:hAnsi="宋体" w:eastAsia="宋体" w:cs="宋体"/>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585" w:header="851" w:footer="1020" w:gutter="0"/>
          <w:pgNumType w:start="1"/>
          <w:cols w:num="1" w:sep="0" w:space="1701" w:equalWidth="1"/>
          <w:docGrid w:linePitch="360"/>
        </w:sectPr>
      </w:pPr>
      <w:r/>
      <w:bookmarkStart w:id="7" w:name="_Toc9847"/>
      <w:r/>
      <w:r/>
    </w:p>
    <w:p>
      <w:pPr>
        <w:pStyle w:val="1018"/>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第一章  </w:t>
      </w:r>
      <w:bookmarkEnd w:id="1"/>
      <w:r>
        <w:rPr>
          <w:rFonts w:hint="eastAsia" w:ascii="宋体" w:hAnsi="宋体" w:eastAsia="宋体" w:cs="宋体"/>
          <w:b/>
          <w:bCs/>
          <w:color w:val="auto"/>
          <w:sz w:val="44"/>
          <w:szCs w:val="44"/>
          <w:highlight w:val="none"/>
        </w:rPr>
        <w:t xml:space="preserve">投标邀请</w:t>
      </w:r>
      <w:bookmarkEnd w:id="7"/>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u w:val="single"/>
        </w:rPr>
        <w:t xml:space="preserve">宿迁市宿豫区住房和城乡建设局</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u w:val="single"/>
        </w:rPr>
        <w:t xml:space="preserve">江苏科建工程项目管理有限公司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u w:val="single"/>
        </w:rPr>
        <w:t xml:space="preserve">宿豫区绿化管养项目（2024年至2026年）(</w:t>
      </w:r>
      <w:r>
        <w:rPr>
          <w:rFonts w:hint="eastAsia" w:ascii="宋体" w:hAnsi="宋体" w:cs="宋体"/>
          <w:color w:val="auto"/>
          <w:sz w:val="28"/>
          <w:szCs w:val="28"/>
          <w:highlight w:val="none"/>
          <w:u w:val="single"/>
          <w:lang w:eastAsia="zh-CN"/>
        </w:rPr>
        <w:t xml:space="preserve">JSZC-321311-JSKJ-G2024-0072</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项目进行公开招标采购，欢迎符合条件的投标人投标。</w:t>
      </w:r>
      <w:r/>
    </w:p>
    <w:p>
      <w:pPr>
        <w:ind w:firstLine="560"/>
        <w:spacing w:line="500" w:lineRule="exact"/>
        <w:rPr>
          <w:rFonts w:hint="eastAsia"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500" w:lineRule="exact"/>
        <w:rPr>
          <w:rFonts w:hint="eastAsia" w:ascii="宋体" w:hAnsi="宋体" w:cs="宋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u w:val="single"/>
        </w:rPr>
        <w:t xml:space="preserve"> 宿豫区绿化管养项目（2024年至2026年）</w:t>
      </w:r>
      <w:r>
        <w:rPr>
          <w:rFonts w:hint="eastAsia" w:ascii="宋体" w:hAnsi="宋体" w:cs="宋体"/>
          <w:color w:val="auto"/>
          <w:sz w:val="28"/>
          <w:szCs w:val="28"/>
          <w:highlight w:val="none"/>
        </w:rPr>
        <w:t xml:space="preserve"> 招标项目的潜在投标人可在</w:t>
      </w:r>
      <w:r>
        <w:rPr>
          <w:rFonts w:hint="eastAsia" w:ascii="宋体" w:hAnsi="宋体" w:cs="宋体"/>
          <w:color w:val="auto"/>
          <w:sz w:val="28"/>
          <w:szCs w:val="28"/>
          <w:highlight w:val="none"/>
          <w:u w:val="single"/>
        </w:rPr>
        <w:t xml:space="preserve">“宿迁市政府采购网”自行免费下载</w:t>
      </w:r>
      <w:r>
        <w:rPr>
          <w:rFonts w:hint="eastAsia" w:ascii="宋体" w:hAnsi="宋体" w:cs="宋体"/>
          <w:color w:val="auto"/>
          <w:sz w:val="28"/>
          <w:szCs w:val="28"/>
          <w:highlight w:val="none"/>
        </w:rPr>
        <w:t xml:space="preserve">招标文件，并于</w:t>
      </w:r>
      <w:r>
        <w:rPr>
          <w:rFonts w:hint="eastAsia" w:ascii="宋体" w:hAnsi="宋体" w:cs="宋体"/>
          <w:color w:val="auto"/>
          <w:sz w:val="28"/>
          <w:szCs w:val="28"/>
          <w:highlight w:val="none"/>
          <w:u w:val="single"/>
        </w:rPr>
        <w:t xml:space="preserve">2024</w:t>
      </w:r>
      <w:r>
        <w:rPr>
          <w:rFonts w:hint="eastAsia" w:ascii="宋体" w:hAnsi="宋体" w:cs="宋体"/>
          <w:bCs/>
          <w:color w:val="auto"/>
          <w:sz w:val="28"/>
          <w:szCs w:val="28"/>
          <w:highlight w:val="none"/>
        </w:rPr>
        <w:t xml:space="preserve">年</w:t>
      </w:r>
      <w:r>
        <w:rPr>
          <w:rFonts w:hint="eastAsia" w:ascii="宋体" w:hAnsi="宋体" w:cs="宋体"/>
          <w:bCs/>
          <w:color w:val="auto"/>
          <w:sz w:val="28"/>
          <w:szCs w:val="28"/>
          <w:highlight w:val="none"/>
          <w:u w:val="single"/>
          <w:lang w:val="en-US" w:eastAsia="zh-CN"/>
        </w:rPr>
        <w:t xml:space="preserve">12</w:t>
      </w:r>
      <w:r>
        <w:rPr>
          <w:rFonts w:hint="eastAsia" w:ascii="宋体" w:hAnsi="宋体" w:cs="宋体"/>
          <w:bCs/>
          <w:color w:val="auto"/>
          <w:sz w:val="28"/>
          <w:szCs w:val="28"/>
          <w:highlight w:val="none"/>
        </w:rPr>
        <w:t xml:space="preserve">月</w:t>
      </w:r>
      <w:r>
        <w:rPr>
          <w:rFonts w:hint="eastAsia" w:ascii="宋体" w:hAnsi="宋体" w:cs="宋体"/>
          <w:bCs/>
          <w:color w:val="auto"/>
          <w:sz w:val="28"/>
          <w:szCs w:val="28"/>
          <w:highlight w:val="none"/>
          <w:u w:val="single"/>
          <w:lang w:val="en-US" w:eastAsia="zh-CN"/>
        </w:rPr>
        <w:t xml:space="preserve">9</w:t>
      </w:r>
      <w:r>
        <w:rPr>
          <w:rFonts w:hint="eastAsia" w:ascii="宋体" w:hAnsi="宋体" w:cs="宋体"/>
          <w:bCs/>
          <w:color w:val="auto"/>
          <w:sz w:val="28"/>
          <w:szCs w:val="28"/>
          <w:highlight w:val="none"/>
        </w:rPr>
        <w:t xml:space="preserve">日</w:t>
      </w:r>
      <w:r>
        <w:rPr>
          <w:rFonts w:hint="eastAsia" w:ascii="宋体" w:hAnsi="宋体" w:cs="宋体"/>
          <w:bCs/>
          <w:color w:val="auto"/>
          <w:sz w:val="28"/>
          <w:szCs w:val="28"/>
          <w:highlight w:val="none"/>
          <w:u w:val="single"/>
        </w:rPr>
        <w:t xml:space="preserve">9</w:t>
      </w:r>
      <w:r>
        <w:rPr>
          <w:rFonts w:hint="eastAsia" w:ascii="宋体" w:hAnsi="宋体" w:cs="宋体"/>
          <w:bCs/>
          <w:color w:val="auto"/>
          <w:sz w:val="28"/>
          <w:szCs w:val="28"/>
          <w:highlight w:val="none"/>
        </w:rPr>
        <w:t xml:space="preserve">时</w:t>
      </w:r>
      <w:r>
        <w:rPr>
          <w:rFonts w:hint="eastAsia" w:ascii="宋体" w:hAnsi="宋体" w:cs="宋体"/>
          <w:bCs/>
          <w:color w:val="auto"/>
          <w:sz w:val="28"/>
          <w:szCs w:val="28"/>
          <w:highlight w:val="none"/>
          <w:u w:val="single"/>
        </w:rPr>
        <w:t xml:space="preserve">30</w:t>
      </w:r>
      <w:r>
        <w:rPr>
          <w:rFonts w:hint="eastAsia" w:ascii="宋体" w:hAnsi="宋体" w:cs="宋体"/>
          <w:bCs/>
          <w:color w:val="auto"/>
          <w:sz w:val="28"/>
          <w:szCs w:val="28"/>
          <w:highlight w:val="none"/>
        </w:rPr>
        <w:t xml:space="preserve">分（北京时间）前递交投标文件</w:t>
      </w:r>
      <w:r>
        <w:rPr>
          <w:rFonts w:hint="eastAsia" w:ascii="宋体" w:hAnsi="宋体" w:cs="宋体"/>
          <w:color w:val="auto"/>
          <w:sz w:val="28"/>
          <w:szCs w:val="28"/>
          <w:highlight w:val="none"/>
        </w:rPr>
        <w:t xml:space="preserve">。</w:t>
      </w:r>
      <w:r>
        <w:rPr>
          <w:rFonts w:hint="eastAsia" w:ascii="宋体" w:hAnsi="宋体" w:cs="宋体"/>
          <w:bCs/>
          <w:color w:val="auto"/>
          <w:sz w:val="28"/>
          <w:szCs w:val="28"/>
          <w:highlight w:val="none"/>
        </w:rPr>
      </w:r>
      <w:r/>
    </w:p>
    <w:p>
      <w:pPr>
        <w:ind w:firstLine="562"/>
        <w:spacing w:line="500" w:lineRule="exact"/>
        <w:rPr>
          <w:rFonts w:hint="eastAsia" w:ascii="宋体" w:hAnsi="宋体" w:cs="宋体"/>
          <w:b/>
          <w:bCs/>
          <w:color w:val="auto"/>
          <w:sz w:val="28"/>
          <w:szCs w:val="28"/>
          <w:highlight w:val="none"/>
        </w:rPr>
      </w:pPr>
      <w:r/>
      <w:bookmarkStart w:id="8" w:name="_Toc38985263"/>
      <w:r/>
      <w:bookmarkStart w:id="9" w:name="_Toc35393790"/>
      <w:r/>
      <w:bookmarkStart w:id="10" w:name="_Toc28359002"/>
      <w:r/>
      <w:bookmarkStart w:id="11" w:name="_Toc28359079"/>
      <w:r/>
      <w:bookmarkStart w:id="12" w:name="_Toc35393621"/>
      <w:r/>
      <w:bookmarkStart w:id="13" w:name="_Hlk24379207"/>
      <w:r>
        <w:rPr>
          <w:rFonts w:hint="eastAsia" w:ascii="宋体" w:hAnsi="宋体" w:cs="宋体"/>
          <w:b/>
          <w:bCs/>
          <w:color w:val="auto"/>
          <w:sz w:val="28"/>
          <w:szCs w:val="28"/>
          <w:highlight w:val="none"/>
        </w:rPr>
        <w:t xml:space="preserve">一、项目基本情况</w:t>
      </w:r>
      <w:bookmarkEnd w:id="8"/>
      <w:r/>
      <w:bookmarkEnd w:id="9"/>
      <w:r/>
      <w:bookmarkEnd w:id="10"/>
      <w:r/>
      <w:bookmarkEnd w:id="11"/>
      <w:r/>
      <w:bookmarkEnd w:id="12"/>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JSZC-321311-JSKJ-G2024-0072</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2.项目名称：宿豫区绿化管养项目（2024年至2026年）</w:t>
      </w:r>
      <w:bookmarkEnd w:id="13"/>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3.预算金额：</w:t>
      </w:r>
      <w:r>
        <w:rPr>
          <w:rFonts w:hint="eastAsia" w:ascii="宋体" w:hAnsi="宋体" w:cs="宋体"/>
          <w:color w:val="auto"/>
          <w:sz w:val="28"/>
          <w:szCs w:val="28"/>
          <w:highlight w:val="none"/>
          <w:u w:val="none"/>
        </w:rPr>
        <w:t xml:space="preserve">6370</w:t>
      </w:r>
      <w:r>
        <w:rPr>
          <w:rFonts w:hint="eastAsia" w:ascii="宋体" w:hAnsi="宋体" w:cs="宋体"/>
          <w:color w:val="auto"/>
          <w:sz w:val="28"/>
          <w:szCs w:val="28"/>
          <w:highlight w:val="none"/>
        </w:rPr>
        <w:t xml:space="preserve">万元</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rPr>
        <w:t xml:space="preserve">最高限价（如有）：5857万元</w:t>
      </w:r>
      <w:r>
        <w:rPr>
          <w:rFonts w:hint="eastAsia" w:ascii="宋体" w:hAnsi="宋体" w:cs="宋体"/>
          <w:color w:val="auto"/>
          <w:sz w:val="28"/>
          <w:szCs w:val="28"/>
          <w:highlight w:val="none"/>
        </w:rPr>
      </w:r>
      <w:r/>
    </w:p>
    <w:p>
      <w:pPr>
        <w:ind w:firstLine="560"/>
        <w:spacing w:line="50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5.采购需求（简介）：宿豫区绿化管养项目（2024年至2026年），本次招标宿豫区</w:t>
      </w:r>
      <w:r>
        <w:rPr>
          <w:rFonts w:hint="eastAsia" w:ascii="宋体" w:hAnsi="宋体" w:cs="宋体"/>
          <w:color w:val="auto"/>
          <w:sz w:val="28"/>
          <w:szCs w:val="28"/>
          <w:highlight w:val="none"/>
          <w:lang w:eastAsia="zh-CN"/>
        </w:rPr>
        <w:t xml:space="preserve">部分</w:t>
      </w:r>
      <w:r>
        <w:rPr>
          <w:rFonts w:hint="eastAsia" w:ascii="宋体" w:hAnsi="宋体" w:cs="宋体"/>
          <w:color w:val="auto"/>
          <w:sz w:val="28"/>
          <w:szCs w:val="28"/>
          <w:highlight w:val="none"/>
        </w:rPr>
        <w:t xml:space="preserve">绿地绿化养护、保洁、安保等和管养范围内部分城市绿地提升改造设计的一体化服务。详细内容见本招标文件第四章。 </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6.合同履行期限：合同生效之日起</w:t>
      </w:r>
      <w:r>
        <w:rPr>
          <w:rFonts w:hint="eastAsia" w:ascii="宋体" w:hAnsi="宋体" w:cs="宋体"/>
          <w:color w:val="auto"/>
          <w:sz w:val="28"/>
          <w:szCs w:val="28"/>
          <w:highlight w:val="none"/>
          <w:u w:val="single"/>
        </w:rPr>
        <w:t xml:space="preserve">3</w:t>
      </w:r>
      <w:r>
        <w:rPr>
          <w:rFonts w:hint="eastAsia" w:ascii="宋体" w:hAnsi="宋体" w:cs="宋体"/>
          <w:color w:val="auto"/>
          <w:sz w:val="28"/>
          <w:szCs w:val="28"/>
          <w:highlight w:val="none"/>
        </w:rPr>
        <w:t xml:space="preserve">年，每块绿地管养期以实际接收管养的时间为准，具体管养期限详见明细报价表。 </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7.本项目</w:t>
      </w:r>
      <w:r>
        <w:rPr>
          <w:rFonts w:hint="eastAsia" w:ascii="宋体" w:hAnsi="宋体" w:cs="宋体"/>
          <w:color w:val="auto"/>
          <w:sz w:val="28"/>
          <w:szCs w:val="28"/>
          <w:highlight w:val="none"/>
          <w:u w:val="single"/>
        </w:rPr>
        <w:t xml:space="preserve">不接受</w:t>
      </w:r>
      <w:r>
        <w:rPr>
          <w:rFonts w:hint="eastAsia" w:ascii="宋体" w:hAnsi="宋体" w:cs="宋体"/>
          <w:color w:val="auto"/>
          <w:sz w:val="28"/>
          <w:szCs w:val="28"/>
          <w:highlight w:val="none"/>
        </w:rPr>
        <w:t xml:space="preserve">联合体投标。</w:t>
      </w:r>
      <w:r/>
    </w:p>
    <w:p>
      <w:pPr>
        <w:ind w:firstLine="562"/>
        <w:spacing w:line="500" w:lineRule="exact"/>
        <w:rPr>
          <w:rFonts w:hint="eastAsia" w:ascii="宋体" w:hAnsi="宋体" w:cs="宋体"/>
          <w:b/>
          <w:bCs/>
          <w:color w:val="auto"/>
          <w:sz w:val="28"/>
          <w:szCs w:val="28"/>
          <w:highlight w:val="none"/>
        </w:rPr>
      </w:pPr>
      <w:r/>
      <w:bookmarkStart w:id="14" w:name="_Toc38985264"/>
      <w:r/>
      <w:bookmarkStart w:id="15" w:name="_Toc28359003"/>
      <w:r/>
      <w:bookmarkStart w:id="16" w:name="_Toc35393791"/>
      <w:r/>
      <w:bookmarkStart w:id="17" w:name="_Toc28359080"/>
      <w:r/>
      <w:bookmarkStart w:id="18" w:name="_Toc35393622"/>
      <w:r>
        <w:rPr>
          <w:rFonts w:hint="eastAsia" w:ascii="宋体" w:hAnsi="宋体" w:cs="宋体"/>
          <w:b/>
          <w:bCs/>
          <w:color w:val="auto"/>
          <w:sz w:val="28"/>
          <w:szCs w:val="28"/>
          <w:highlight w:val="none"/>
        </w:rPr>
        <w:t xml:space="preserve">二、申请人的资格要求</w:t>
      </w:r>
      <w:bookmarkEnd w:id="14"/>
      <w:r/>
      <w:bookmarkEnd w:id="15"/>
      <w:r/>
      <w:bookmarkEnd w:id="16"/>
      <w:r/>
      <w:bookmarkEnd w:id="17"/>
      <w:r/>
      <w:bookmarkEnd w:id="18"/>
      <w:r/>
      <w:r/>
    </w:p>
    <w:p>
      <w:pPr>
        <w:ind w:firstLine="560"/>
        <w:spacing w:line="500" w:lineRule="exact"/>
        <w:rPr>
          <w:rFonts w:hint="eastAsia" w:ascii="宋体" w:hAnsi="宋体" w:cs="宋体"/>
          <w:color w:val="auto"/>
          <w:sz w:val="28"/>
          <w:szCs w:val="28"/>
          <w:highlight w:val="none"/>
        </w:rPr>
      </w:pPr>
      <w:r/>
      <w:bookmarkStart w:id="19" w:name="_Toc35393623"/>
      <w:r/>
      <w:bookmarkStart w:id="20" w:name="_Toc38985265"/>
      <w:r/>
      <w:bookmarkStart w:id="21" w:name="_Toc28359081"/>
      <w:r/>
      <w:bookmarkStart w:id="22" w:name="_Toc35393792"/>
      <w:r/>
      <w:bookmarkStart w:id="23" w:name="_Toc28359004"/>
      <w:r>
        <w:rPr>
          <w:rFonts w:hint="eastAsia" w:ascii="宋体" w:hAnsi="宋体" w:cs="宋体"/>
          <w:color w:val="auto"/>
          <w:sz w:val="28"/>
          <w:szCs w:val="28"/>
          <w:highlight w:val="none"/>
        </w:rPr>
        <w:t xml:space="preserve">（一）通用资格要求</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1.具备《中华人民共和国政府采购法》第二十二条第一款规定的6项条件（按要求提供投标声明及承诺函）。</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2.信用信息。信用信息查询渠道：“信用中国”网（www.creditchina.gov.cn）、“中国政府采购”网（www.ccgp.gov.cn）、江苏政府采购网（www.ccgp-jiangsu.gov.cn）。</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3.落实政府采购政策需满足的资格要求：无。</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（二）本项目的特定资格要求：无。</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三、获取招标文件</w:t>
      </w:r>
      <w:bookmarkEnd w:id="19"/>
      <w:r/>
      <w:bookmarkEnd w:id="20"/>
      <w:r/>
      <w:bookmarkEnd w:id="21"/>
      <w:r/>
      <w:bookmarkEnd w:id="22"/>
      <w:r/>
      <w:bookmarkEnd w:id="23"/>
      <w:r/>
      <w:r/>
    </w:p>
    <w:p>
      <w:pPr>
        <w:ind w:firstLine="560"/>
        <w:spacing w:line="500" w:lineRule="exact"/>
        <w:rPr>
          <w:rFonts w:hint="eastAsia" w:ascii="宋体" w:hAnsi="宋体" w:cs="宋体"/>
          <w:color w:val="auto"/>
          <w:sz w:val="28"/>
          <w:szCs w:val="28"/>
          <w:highlight w:val="none"/>
        </w:rPr>
      </w:pPr>
      <w:r/>
      <w:bookmarkStart w:id="24" w:name="_Toc28359082"/>
      <w:r/>
      <w:bookmarkStart w:id="25" w:name="_Toc28359005"/>
      <w:r/>
      <w:bookmarkStart w:id="26" w:name="_Toc35393793"/>
      <w:r/>
      <w:bookmarkStart w:id="27" w:name="_Toc38985266"/>
      <w:r/>
      <w:bookmarkStart w:id="28" w:name="_Toc35393624"/>
      <w:r>
        <w:rPr>
          <w:rFonts w:hint="eastAsia" w:ascii="宋体" w:hAnsi="宋体" w:cs="宋体"/>
          <w:color w:val="auto"/>
          <w:sz w:val="28"/>
          <w:szCs w:val="28"/>
          <w:highlight w:val="none"/>
        </w:rPr>
        <w:t xml:space="preserve">1.时间：</w:t>
      </w:r>
      <w:r>
        <w:rPr>
          <w:rFonts w:hint="eastAsia" w:ascii="宋体" w:hAnsi="宋体" w:cs="宋体"/>
          <w:color w:val="auto"/>
          <w:sz w:val="28"/>
          <w:szCs w:val="28"/>
          <w:highlight w:val="none"/>
        </w:rPr>
        <w:t xml:space="preserve">自</w:t>
      </w:r>
      <w:r>
        <w:rPr>
          <w:rFonts w:hint="eastAsia" w:ascii="宋体" w:hAnsi="宋体" w:cs="宋体"/>
          <w:color w:val="auto"/>
          <w:sz w:val="28"/>
          <w:szCs w:val="28"/>
          <w:highlight w:val="none"/>
        </w:rPr>
        <w:t xml:space="preserve">招标</w:t>
      </w:r>
      <w:r>
        <w:rPr>
          <w:rFonts w:hint="eastAsia" w:ascii="宋体" w:hAnsi="宋体" w:cs="宋体"/>
          <w:color w:val="auto"/>
          <w:sz w:val="28"/>
          <w:szCs w:val="28"/>
          <w:highlight w:val="none"/>
        </w:rPr>
        <w:t xml:space="preserve">文件公告发布之日起5个工作日</w:t>
      </w:r>
      <w:r>
        <w:rPr>
          <w:rFonts w:hint="eastAsia" w:ascii="宋体" w:hAnsi="宋体" w:cs="宋体"/>
          <w:color w:val="auto"/>
          <w:sz w:val="28"/>
          <w:szCs w:val="28"/>
          <w:highlight w:val="none"/>
        </w:rPr>
        <w:t xml:space="preserve">。</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60"/>
        <w:spacing w:line="500" w:lineRule="exact"/>
        <w:rPr>
          <w:rFonts w:hint="eastAsia" w:ascii="宋体" w:hAnsi="宋体" w:cs="宋体"/>
          <w:color w:val="auto"/>
          <w:sz w:val="28"/>
          <w:szCs w:val="28"/>
          <w:highlight w:val="none"/>
        </w:rPr>
      </w:pPr>
      <w:r/>
      <w:bookmarkStart w:id="29" w:name="EB0c44ff4da61f4af989d119fe214be450"/>
      <w:r>
        <w:rPr>
          <w:rFonts w:hint="eastAsia" w:ascii="宋体" w:hAnsi="宋体" w:cs="宋体"/>
          <w:color w:val="auto"/>
          <w:sz w:val="28"/>
          <w:szCs w:val="28"/>
          <w:highlight w:val="none"/>
        </w:rPr>
        <w:t xml:space="preserve">3.本项目共分1个包</w:t>
      </w:r>
      <w:bookmarkEnd w:id="29"/>
      <w:r>
        <w:rPr>
          <w:rFonts w:hint="eastAsia" w:ascii="宋体" w:hAnsi="宋体" w:cs="宋体"/>
          <w:color w:val="auto"/>
          <w:sz w:val="28"/>
          <w:szCs w:val="28"/>
          <w:highlight w:val="none"/>
        </w:rPr>
        <w:t xml:space="preserve">，拟采购1名中标人。投标人未按要求获取招标文件导致无法投标的，后果自负（其投标文件不予接受）。</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四、提交投标文件</w:t>
      </w:r>
      <w:bookmarkEnd w:id="24"/>
      <w:r/>
      <w:bookmarkEnd w:id="25"/>
      <w:r>
        <w:rPr>
          <w:rFonts w:hint="eastAsia" w:ascii="宋体" w:hAnsi="宋体" w:cs="宋体"/>
          <w:b/>
          <w:bCs/>
          <w:color w:val="auto"/>
          <w:sz w:val="28"/>
          <w:szCs w:val="28"/>
          <w:highlight w:val="none"/>
        </w:rPr>
        <w:t xml:space="preserve">截止时间、开标时间和地点</w:t>
      </w:r>
      <w:bookmarkEnd w:id="26"/>
      <w:r/>
      <w:bookmarkEnd w:id="27"/>
      <w:r/>
      <w:bookmarkEnd w:id="28"/>
      <w:r/>
      <w:r/>
    </w:p>
    <w:p>
      <w:pPr>
        <w:ind w:firstLine="560"/>
        <w:spacing w:line="500" w:lineRule="exact"/>
        <w:rPr>
          <w:rFonts w:hint="eastAsia"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提交投标文件截止时间、开标时间：</w:t>
      </w:r>
      <w:r>
        <w:rPr>
          <w:rFonts w:hint="eastAsia" w:ascii="宋体" w:hAnsi="宋体" w:cs="宋体"/>
          <w:color w:val="auto"/>
          <w:sz w:val="28"/>
          <w:szCs w:val="28"/>
          <w:highlight w:val="none"/>
          <w:u w:val="none"/>
        </w:rPr>
        <w:t xml:space="preserve">2024</w:t>
      </w:r>
      <w:r>
        <w:rPr>
          <w:rFonts w:hint="eastAsia" w:ascii="宋体" w:hAnsi="宋体" w:cs="宋体"/>
          <w:color w:val="auto"/>
          <w:sz w:val="28"/>
          <w:szCs w:val="28"/>
          <w:highlight w:val="none"/>
          <w:u w:val="none"/>
          <w:lang w:eastAsia="zh-CN"/>
        </w:rPr>
        <w:t xml:space="preserve">年</w:t>
      </w:r>
      <w:r>
        <w:rPr>
          <w:rFonts w:hint="eastAsia" w:ascii="宋体" w:hAnsi="宋体" w:cs="宋体"/>
          <w:bCs/>
          <w:color w:val="auto"/>
          <w:sz w:val="28"/>
          <w:szCs w:val="28"/>
          <w:highlight w:val="none"/>
          <w:u w:val="none"/>
          <w:lang w:val="en-US" w:eastAsia="zh-CN"/>
        </w:rPr>
        <w:t xml:space="preserve">12</w:t>
      </w:r>
      <w:r>
        <w:rPr>
          <w:rFonts w:hint="eastAsia" w:ascii="宋体" w:hAnsi="宋体" w:cs="宋体"/>
          <w:bCs/>
          <w:color w:val="auto"/>
          <w:sz w:val="28"/>
          <w:szCs w:val="28"/>
          <w:highlight w:val="none"/>
          <w:u w:val="none"/>
        </w:rPr>
        <w:t xml:space="preserve">月</w:t>
      </w:r>
      <w:r>
        <w:rPr>
          <w:rFonts w:hint="eastAsia" w:ascii="宋体" w:hAnsi="宋体" w:cs="宋体"/>
          <w:bCs/>
          <w:color w:val="auto"/>
          <w:sz w:val="28"/>
          <w:szCs w:val="28"/>
          <w:highlight w:val="none"/>
          <w:u w:val="none"/>
          <w:lang w:val="en-US" w:eastAsia="zh-CN"/>
        </w:rPr>
        <w:t xml:space="preserve">9</w:t>
      </w:r>
      <w:r>
        <w:rPr>
          <w:rFonts w:hint="eastAsia" w:ascii="宋体" w:hAnsi="宋体" w:cs="宋体"/>
          <w:bCs/>
          <w:color w:val="auto"/>
          <w:sz w:val="28"/>
          <w:szCs w:val="28"/>
          <w:highlight w:val="none"/>
          <w:u w:val="none"/>
        </w:rPr>
        <w:t xml:space="preserve">日</w:t>
      </w:r>
      <w:r>
        <w:rPr>
          <w:rFonts w:hint="eastAsia" w:ascii="宋体" w:hAnsi="宋体" w:cs="宋体"/>
          <w:bCs/>
          <w:color w:val="auto"/>
          <w:sz w:val="28"/>
          <w:szCs w:val="28"/>
          <w:highlight w:val="none"/>
          <w:u w:val="none"/>
        </w:rPr>
        <w:t xml:space="preserve">9</w:t>
      </w:r>
      <w:r>
        <w:rPr>
          <w:rFonts w:hint="eastAsia" w:ascii="宋体" w:hAnsi="宋体" w:cs="宋体"/>
          <w:bCs/>
          <w:color w:val="auto"/>
          <w:sz w:val="28"/>
          <w:szCs w:val="28"/>
          <w:highlight w:val="none"/>
          <w:u w:val="none"/>
        </w:rPr>
        <w:t xml:space="preserve">时</w:t>
      </w:r>
      <w:r>
        <w:rPr>
          <w:rFonts w:hint="eastAsia" w:ascii="宋体" w:hAnsi="宋体" w:cs="宋体"/>
          <w:bCs/>
          <w:color w:val="auto"/>
          <w:sz w:val="28"/>
          <w:szCs w:val="28"/>
          <w:highlight w:val="none"/>
          <w:u w:val="none"/>
        </w:rPr>
        <w:t xml:space="preserve">30</w:t>
      </w:r>
      <w:r>
        <w:rPr>
          <w:rFonts w:hint="eastAsia" w:ascii="宋体" w:hAnsi="宋体" w:cs="宋体"/>
          <w:bCs/>
          <w:color w:val="auto"/>
          <w:sz w:val="28"/>
          <w:szCs w:val="28"/>
          <w:highlight w:val="none"/>
          <w:u w:val="none"/>
        </w:rPr>
        <w:t xml:space="preserve">分</w:t>
      </w:r>
      <w:r>
        <w:rPr>
          <w:rFonts w:hint="eastAsia" w:ascii="宋体" w:hAnsi="宋体" w:cs="宋体"/>
          <w:bCs/>
          <w:color w:val="auto"/>
          <w:sz w:val="28"/>
          <w:szCs w:val="28"/>
          <w:highlight w:val="none"/>
        </w:rPr>
        <w:t xml:space="preserve">（北京时间）</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2.地点：“苏采云”政府采购交易系统网上开标大厅。</w:t>
      </w:r>
      <w:r/>
    </w:p>
    <w:p>
      <w:pPr>
        <w:ind w:firstLine="562"/>
        <w:spacing w:line="500" w:lineRule="exact"/>
        <w:rPr>
          <w:rFonts w:hint="eastAsia" w:ascii="宋体" w:hAnsi="宋体" w:cs="宋体"/>
          <w:b/>
          <w:bCs/>
          <w:color w:val="auto"/>
          <w:sz w:val="28"/>
          <w:szCs w:val="28"/>
          <w:highlight w:val="none"/>
        </w:rPr>
      </w:pPr>
      <w:r/>
      <w:bookmarkStart w:id="30" w:name="_Toc35393625"/>
      <w:r/>
      <w:bookmarkStart w:id="31" w:name="_Toc38985267"/>
      <w:r/>
      <w:bookmarkStart w:id="32" w:name="_Toc28359007"/>
      <w:r/>
      <w:bookmarkStart w:id="33" w:name="_Toc28359084"/>
      <w:r/>
      <w:bookmarkStart w:id="34" w:name="_Toc35393794"/>
      <w:r>
        <w:rPr>
          <w:rFonts w:hint="eastAsia" w:ascii="宋体" w:hAnsi="宋体" w:cs="宋体"/>
          <w:b/>
          <w:bCs/>
          <w:color w:val="auto"/>
          <w:sz w:val="28"/>
          <w:szCs w:val="28"/>
          <w:highlight w:val="none"/>
        </w:rPr>
        <w:t xml:space="preserve">五、公告期限</w:t>
      </w:r>
      <w:bookmarkEnd w:id="30"/>
      <w:r/>
      <w:bookmarkEnd w:id="31"/>
      <w:r/>
      <w:bookmarkEnd w:id="32"/>
      <w:r/>
      <w:bookmarkEnd w:id="33"/>
      <w:r/>
      <w:bookmarkEnd w:id="34"/>
      <w:r/>
      <w:r/>
    </w:p>
    <w:p>
      <w:pPr>
        <w:ind w:firstLine="560"/>
        <w:spacing w:line="500" w:lineRule="exact"/>
        <w:rPr>
          <w:rFonts w:hint="eastAsia" w:ascii="宋体" w:hAnsi="宋体" w:cs="宋体"/>
          <w:color w:val="auto"/>
          <w:sz w:val="28"/>
          <w:szCs w:val="28"/>
          <w:highlight w:val="none"/>
        </w:rPr>
      </w:pPr>
      <w:r/>
      <w:bookmarkStart w:id="35" w:name="_Toc35393795"/>
      <w:r/>
      <w:bookmarkStart w:id="36" w:name="_Toc38985268"/>
      <w:r/>
      <w:bookmarkStart w:id="37" w:name="_Toc35393626"/>
      <w:r>
        <w:rPr>
          <w:rFonts w:hint="eastAsia" w:ascii="宋体" w:hAnsi="宋体" w:cs="宋体"/>
          <w:color w:val="auto"/>
          <w:sz w:val="28"/>
          <w:szCs w:val="28"/>
          <w:highlight w:val="none"/>
        </w:rPr>
        <w:t xml:space="preserve">自本公告发布之日起5个工作日。</w:t>
      </w:r>
      <w:r>
        <w:rPr>
          <w:rFonts w:hint="eastAsia" w:ascii="宋体" w:hAnsi="宋体" w:cs="宋体"/>
          <w:color w:val="auto"/>
          <w:sz w:val="28"/>
          <w:szCs w:val="28"/>
          <w:highlight w:val="none"/>
        </w:rPr>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招标公告发布媒体：宿迁市政府采购网、宿迁市公共资源交易平台、江苏省财政部门指定的媒体。</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六、其他补充事宜</w:t>
      </w:r>
      <w:bookmarkEnd w:id="35"/>
      <w:r/>
      <w:bookmarkEnd w:id="36"/>
      <w:r/>
      <w:bookmarkEnd w:id="37"/>
      <w:r/>
      <w:r/>
    </w:p>
    <w:p>
      <w:pPr>
        <w:ind w:firstLine="560"/>
        <w:spacing w:line="500" w:lineRule="exact"/>
        <w:rPr>
          <w:rFonts w:hint="eastAsia" w:ascii="宋体" w:hAnsi="宋体" w:cs="宋体"/>
          <w:color w:val="auto"/>
          <w:sz w:val="28"/>
          <w:szCs w:val="28"/>
          <w:highlight w:val="none"/>
        </w:rPr>
      </w:pPr>
      <w:r/>
      <w:bookmarkStart w:id="38" w:name="EB64e1f522fd8c43fcb4d3ba471386b3e7"/>
      <w:r/>
      <w:bookmarkStart w:id="39" w:name="_Toc28359085"/>
      <w:r/>
      <w:bookmarkStart w:id="40" w:name="_Toc28359008"/>
      <w:r/>
      <w:bookmarkStart w:id="41" w:name="_Toc35393796"/>
      <w:r/>
      <w:bookmarkStart w:id="42" w:name="_Toc35393627"/>
      <w:r/>
      <w:bookmarkStart w:id="43" w:name="_Toc38985269"/>
      <w:r>
        <w:rPr>
          <w:rFonts w:hint="eastAsia" w:ascii="宋体" w:hAnsi="宋体" w:cs="宋体"/>
          <w:color w:val="auto"/>
          <w:sz w:val="28"/>
          <w:szCs w:val="28"/>
          <w:highlight w:val="none"/>
        </w:rPr>
        <w:t xml:space="preserve">1.财政部门监督电话：0527-84465519。</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2.“CA”数字证书办理：“苏采云”系统目前仅支持“苏采云”系统下的意源CA。省内各地区办理的“苏采云”系统下的意源CA全省通用。宿迁地区CA数字证书办理联系方式：18762803891。</w:t>
      </w:r>
      <w:r/>
    </w:p>
    <w:p>
      <w:pPr>
        <w:pStyle w:val="1103"/>
        <w:ind w:firstLine="560"/>
        <w:spacing w:line="500" w:lineRule="exact"/>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 xml:space="preserve">3.宿迁地区“苏采云”技术支持客服电话：0527-84225125、0519-86722806。</w:t>
      </w:r>
      <w:r/>
    </w:p>
    <w:p>
      <w:pPr>
        <w:pStyle w:val="1103"/>
        <w:ind w:firstLine="560"/>
        <w:spacing w:line="500" w:lineRule="exact"/>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 xml:space="preserve">4.如果投标人通过苏采云系统参与政府采购项目，相关操作手册详见链接：</w:t>
      </w:r>
      <w:r>
        <w:rPr>
          <w:rFonts w:hint="eastAsia" w:ascii="宋体" w:hAnsi="宋体" w:eastAsia="宋体" w:cs="宋体"/>
          <w:color w:val="auto"/>
          <w:spacing w:val="-6"/>
          <w:sz w:val="28"/>
          <w:szCs w:val="28"/>
          <w:highlight w:val="none"/>
          <w:lang w:val="en-US"/>
        </w:rPr>
        <w:t xml:space="preserve">http://www.ccgp-jiangsu.gov.cn/jiangsu/zlxz/ee/ee3a4bc5a3454aa2b0d9312230633ce9.html。</w:t>
      </w:r>
      <w:bookmarkEnd w:id="38"/>
      <w:r/>
      <w:r/>
    </w:p>
    <w:p>
      <w:pPr>
        <w:ind w:firstLine="560"/>
        <w:spacing w:line="500" w:lineRule="exact"/>
        <w:rPr>
          <w:rFonts w:hint="eastAsia" w:ascii="宋体" w:hAnsi="宋体" w:cs="宋体"/>
          <w:b/>
          <w:bCs/>
          <w:iCs/>
          <w:color w:val="auto"/>
          <w:sz w:val="28"/>
          <w:szCs w:val="28"/>
          <w:highlight w:val="none"/>
        </w:rPr>
      </w:pPr>
      <w:r>
        <w:rPr>
          <w:rFonts w:hint="eastAsia" w:ascii="宋体" w:hAnsi="宋体" w:cs="宋体"/>
          <w:color w:val="auto"/>
          <w:sz w:val="28"/>
          <w:szCs w:val="28"/>
          <w:highlight w:val="none"/>
        </w:rPr>
        <w:t xml:space="preserve">5.现场勘察及答疑：本项目不组织集中勘察及答疑，投标人如对采购需求有疑问，请咨询采购单位联系人。 </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七、本次招标联系方式</w:t>
      </w:r>
      <w:bookmarkEnd w:id="39"/>
      <w:r/>
      <w:bookmarkEnd w:id="40"/>
      <w:r/>
      <w:bookmarkEnd w:id="41"/>
      <w:r/>
      <w:bookmarkEnd w:id="42"/>
      <w:r/>
      <w:bookmarkEnd w:id="43"/>
      <w:r/>
      <w:r/>
    </w:p>
    <w:p>
      <w:pPr>
        <w:ind w:firstLine="560"/>
        <w:jc w:val="left"/>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p>
    <w:p>
      <w:pPr>
        <w:ind w:firstLine="560"/>
        <w:jc w:val="left"/>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 称：宿迁市宿豫区住房和城乡建设局</w:t>
      </w:r>
      <w:r/>
    </w:p>
    <w:p>
      <w:pPr>
        <w:ind w:firstLine="560"/>
        <w:jc w:val="left"/>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地址：宿迁市宿豫区创新大厦</w:t>
      </w:r>
      <w:r/>
    </w:p>
    <w:p>
      <w:pPr>
        <w:ind w:firstLine="560"/>
        <w:jc w:val="left"/>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联系人：徐菁</w:t>
      </w:r>
      <w:r/>
    </w:p>
    <w:p>
      <w:pPr>
        <w:ind w:firstLine="560"/>
        <w:jc w:val="left"/>
        <w:spacing w:line="50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联系方式：</w:t>
      </w:r>
      <w:bookmarkStart w:id="44" w:name="_Toc28359009"/>
      <w:r/>
      <w:bookmarkStart w:id="45" w:name="_Toc28359086"/>
      <w:r>
        <w:rPr>
          <w:rFonts w:hint="eastAsia" w:ascii="宋体" w:hAnsi="宋体" w:cs="宋体"/>
          <w:color w:val="auto"/>
          <w:sz w:val="28"/>
          <w:szCs w:val="28"/>
          <w:highlight w:val="none"/>
        </w:rPr>
        <w:t xml:space="preserve">0527-84465250</w:t>
      </w:r>
      <w:r/>
    </w:p>
    <w:p>
      <w:pPr>
        <w:ind w:firstLine="560"/>
        <w:jc w:val="left"/>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bookmarkEnd w:id="44"/>
      <w:r/>
      <w:bookmarkEnd w:id="45"/>
      <w:r>
        <w:rPr>
          <w:rFonts w:hint="eastAsia" w:ascii="宋体" w:hAnsi="宋体" w:cs="宋体"/>
          <w:color w:val="auto"/>
          <w:sz w:val="28"/>
          <w:szCs w:val="28"/>
          <w:highlight w:val="none"/>
        </w:rPr>
        <w:t xml:space="preserve">采购代理机构信息</w:t>
      </w:r>
      <w:r/>
    </w:p>
    <w:p>
      <w:pPr>
        <w:ind w:firstLine="560"/>
        <w:jc w:val="left"/>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  称：江苏科建工程项目管理有限公司</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址：宿迁电子商务产业园恒通大厦507B室</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联系人：赵飞飞</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w:t>
      </w:r>
      <w:bookmarkStart w:id="46" w:name="_Toc28359010"/>
      <w:r/>
      <w:bookmarkStart w:id="47" w:name="_Toc28359087"/>
      <w:r>
        <w:rPr>
          <w:rFonts w:hint="eastAsia" w:ascii="宋体" w:hAnsi="宋体" w:cs="宋体"/>
          <w:color w:val="auto"/>
          <w:sz w:val="28"/>
          <w:szCs w:val="28"/>
          <w:highlight w:val="none"/>
        </w:rPr>
        <w:t xml:space="preserve">0527-88988618</w:t>
      </w:r>
      <w:bookmarkEnd w:id="46"/>
      <w:r/>
      <w:bookmarkEnd w:id="47"/>
      <w:r/>
      <w:r/>
    </w:p>
    <w:p>
      <w:pPr>
        <w:ind w:firstLine="560"/>
        <w:jc w:val="left"/>
        <w:spacing w:line="50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3.项目联系方式</w:t>
      </w:r>
      <w:r/>
    </w:p>
    <w:p>
      <w:pPr>
        <w:ind w:firstLine="560"/>
        <w:jc w:val="left"/>
        <w:spacing w:line="50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项目联系人：赵飞飞</w:t>
      </w:r>
      <w:r/>
    </w:p>
    <w:p>
      <w:pPr>
        <w:ind w:firstLine="560"/>
        <w:jc w:val="left"/>
        <w:spacing w:line="50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电话：</w:t>
      </w:r>
      <w:r>
        <w:rPr>
          <w:rFonts w:hint="eastAsia" w:ascii="宋体" w:hAnsi="宋体" w:cs="宋体"/>
          <w:color w:val="auto"/>
          <w:sz w:val="28"/>
          <w:szCs w:val="28"/>
          <w:highlight w:val="none"/>
        </w:rPr>
        <w:t xml:space="preserve">0527-88988618</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八、其他</w:t>
      </w:r>
      <w:r/>
    </w:p>
    <w:p>
      <w:pPr>
        <w:ind w:firstLine="560"/>
        <w:spacing w:line="500" w:lineRule="exact"/>
        <w:rPr>
          <w:rFonts w:hint="eastAsia" w:ascii="宋体" w:hAnsi="宋体" w:cs="宋体"/>
          <w:iCs/>
          <w:color w:val="auto"/>
          <w:sz w:val="28"/>
          <w:szCs w:val="28"/>
          <w:highlight w:val="none"/>
        </w:rPr>
      </w:pPr>
      <w:r>
        <w:rPr>
          <w:rFonts w:hint="eastAsia" w:ascii="宋体" w:hAnsi="宋体" w:cs="宋体"/>
          <w:iCs/>
          <w:color w:val="auto"/>
          <w:sz w:val="28"/>
          <w:szCs w:val="28"/>
          <w:highlight w:val="none"/>
        </w:rPr>
        <w:t xml:space="preserve">1、有关本次招标的事项若存在变动或修改，敬请及时关注“宿迁市政府采购网”等平台更正公告。</w:t>
      </w:r>
      <w:r/>
    </w:p>
    <w:p>
      <w:pPr>
        <w:ind w:firstLine="562"/>
        <w:spacing w:line="500" w:lineRule="exact"/>
        <w:tabs>
          <w:tab w:val="left" w:pos="900" w:leader="none"/>
        </w:tabs>
        <w:rPr>
          <w:rFonts w:hint="eastAsia" w:ascii="宋体" w:hAnsi="宋体" w:cs="宋体"/>
          <w:bCs/>
          <w:color w:val="auto"/>
          <w:sz w:val="24"/>
          <w:szCs w:val="24"/>
          <w:highlight w:val="none"/>
        </w:rPr>
      </w:pPr>
      <w:r>
        <w:rPr>
          <w:rFonts w:hint="eastAsia" w:ascii="宋体" w:hAnsi="宋体" w:cs="宋体"/>
          <w:iCs/>
          <w:color w:val="auto"/>
          <w:sz w:val="28"/>
          <w:szCs w:val="28"/>
          <w:highlight w:val="none"/>
        </w:rPr>
        <w:t xml:space="preserve">2、</w:t>
      </w:r>
      <w:r>
        <w:rPr>
          <w:rFonts w:hint="eastAsia" w:ascii="宋体" w:hAnsi="宋体" w:cs="宋体"/>
          <w:bCs/>
          <w:color w:val="auto"/>
          <w:sz w:val="28"/>
          <w:szCs w:val="28"/>
          <w:highlight w:val="none"/>
        </w:rPr>
        <w:t xml:space="preserve">本次招标不收取投标保证金。</w:t>
      </w:r>
      <w:r/>
    </w:p>
    <w:p>
      <w:pPr>
        <w:pStyle w:val="1018"/>
        <w:rPr>
          <w:rFonts w:hint="eastAsia" w:ascii="宋体" w:hAnsi="宋体" w:eastAsia="宋体" w:cs="宋体"/>
          <w:b/>
          <w:bCs/>
          <w:color w:val="auto"/>
          <w:highlight w:val="none"/>
        </w:rPr>
      </w:pPr>
      <w:r/>
      <w:bookmarkStart w:id="48" w:name="_Toc120614211"/>
      <w:r>
        <w:rPr>
          <w:rFonts w:hint="eastAsia" w:ascii="宋体" w:hAnsi="宋体" w:eastAsia="宋体" w:cs="宋体"/>
          <w:color w:val="auto"/>
          <w:highlight w:val="none"/>
        </w:rPr>
        <w:br w:type="page" w:clear="all"/>
      </w:r>
      <w:bookmarkStart w:id="49" w:name="_Toc23114"/>
      <w:r>
        <w:rPr>
          <w:rFonts w:hint="eastAsia" w:ascii="宋体" w:hAnsi="宋体" w:eastAsia="宋体" w:cs="宋体"/>
          <w:b/>
          <w:bCs/>
          <w:color w:val="auto"/>
          <w:sz w:val="44"/>
          <w:szCs w:val="44"/>
          <w:highlight w:val="none"/>
        </w:rPr>
        <w:t xml:space="preserve">第二章  </w:t>
      </w:r>
      <w:bookmarkEnd w:id="2"/>
      <w:r/>
      <w:bookmarkEnd w:id="3"/>
      <w:r/>
      <w:bookmarkEnd w:id="4"/>
      <w:r/>
      <w:bookmarkEnd w:id="5"/>
      <w:r/>
      <w:bookmarkEnd w:id="6"/>
      <w:r/>
      <w:bookmarkEnd w:id="48"/>
      <w:r/>
      <w:bookmarkStart w:id="50" w:name="_Toc513029202"/>
      <w:r/>
      <w:bookmarkStart w:id="51" w:name="_Toc120614213"/>
      <w:r/>
      <w:bookmarkStart w:id="52" w:name="_Toc16938518"/>
      <w:r/>
      <w:bookmarkStart w:id="53" w:name="_Toc20823274"/>
      <w:r>
        <w:rPr>
          <w:rFonts w:hint="eastAsia" w:ascii="宋体" w:hAnsi="宋体" w:eastAsia="宋体" w:cs="宋体"/>
          <w:b/>
          <w:bCs/>
          <w:color w:val="auto"/>
          <w:sz w:val="44"/>
          <w:szCs w:val="44"/>
          <w:highlight w:val="none"/>
        </w:rPr>
        <w:t xml:space="preserve">投标人须知</w:t>
      </w:r>
      <w:bookmarkEnd w:id="49"/>
      <w:r/>
      <w:bookmarkEnd w:id="50"/>
      <w:r/>
      <w:bookmarkEnd w:id="51"/>
      <w:r/>
      <w:bookmarkEnd w:id="52"/>
      <w:r/>
      <w:bookmarkEnd w:id="53"/>
      <w:r/>
      <w:r/>
    </w:p>
    <w:p>
      <w:pPr>
        <w:pStyle w:val="1019"/>
        <w:ind w:firstLine="883"/>
        <w:spacing w:before="290" w:after="0" w:line="500" w:lineRule="exact"/>
        <w:rPr>
          <w:rFonts w:hint="eastAsia" w:ascii="宋体" w:hAnsi="宋体" w:eastAsia="宋体" w:cs="宋体"/>
          <w:color w:val="auto"/>
          <w:highlight w:val="none"/>
        </w:rPr>
      </w:pPr>
      <w:r/>
      <w:bookmarkStart w:id="54" w:name="_Toc8220"/>
      <w:r/>
      <w:bookmarkStart w:id="55" w:name="_Toc513029203"/>
      <w:r/>
      <w:bookmarkStart w:id="56" w:name="_Toc20823275"/>
      <w:r/>
      <w:bookmarkStart w:id="57" w:name="_Toc16938519"/>
      <w:r/>
      <w:bookmarkStart w:id="58" w:name="_Toc120614214"/>
      <w:r>
        <w:rPr>
          <w:rFonts w:hint="eastAsia" w:ascii="宋体" w:hAnsi="宋体" w:eastAsia="宋体" w:cs="宋体"/>
          <w:color w:val="auto"/>
          <w:highlight w:val="none"/>
        </w:rPr>
        <w:t xml:space="preserve">一、总则</w:t>
      </w:r>
      <w:bookmarkEnd w:id="54"/>
      <w:r/>
      <w:bookmarkEnd w:id="55"/>
      <w:r/>
      <w:bookmarkEnd w:id="56"/>
      <w:r/>
      <w:bookmarkEnd w:id="57"/>
      <w:r/>
      <w:bookmarkEnd w:id="58"/>
      <w:r/>
      <w:r/>
    </w:p>
    <w:p>
      <w:pPr>
        <w:ind w:firstLine="562"/>
        <w:spacing w:line="500" w:lineRule="exact"/>
        <w:rPr>
          <w:rFonts w:hint="eastAsia" w:ascii="宋体" w:hAnsi="宋体" w:cs="宋体"/>
          <w:b/>
          <w:bCs/>
          <w:color w:val="auto"/>
          <w:sz w:val="28"/>
          <w:szCs w:val="28"/>
          <w:highlight w:val="none"/>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宋体" w:hAnsi="宋体" w:cs="宋体"/>
          <w:b/>
          <w:bCs/>
          <w:color w:val="auto"/>
          <w:sz w:val="28"/>
          <w:szCs w:val="28"/>
          <w:highlight w:val="none"/>
        </w:rPr>
        <w:t xml:space="preserve">1</w:t>
      </w:r>
      <w:bookmarkEnd w:id="60"/>
      <w:r>
        <w:rPr>
          <w:rFonts w:hint="eastAsia" w:ascii="宋体" w:hAnsi="宋体" w:cs="宋体"/>
          <w:b/>
          <w:bCs/>
          <w:color w:val="auto"/>
          <w:sz w:val="28"/>
          <w:szCs w:val="28"/>
          <w:highlight w:val="none"/>
        </w:rPr>
        <w:t xml:space="preserve">、招标方式</w:t>
      </w:r>
      <w:bookmarkEnd w:id="61"/>
      <w:r/>
      <w:bookmarkEnd w:id="62"/>
      <w:r/>
      <w:bookmarkEnd w:id="63"/>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ind w:firstLine="562"/>
        <w:spacing w:line="500" w:lineRule="exact"/>
        <w:rPr>
          <w:rFonts w:hint="eastAsia" w:ascii="宋体" w:hAnsi="宋体" w:cs="宋体"/>
          <w:b/>
          <w:bCs/>
          <w:color w:val="auto"/>
          <w:sz w:val="28"/>
          <w:szCs w:val="28"/>
          <w:highlight w:val="none"/>
        </w:rPr>
      </w:pPr>
      <w:r/>
      <w:bookmarkStart w:id="64" w:name="_Toc513029205"/>
      <w:r/>
      <w:bookmarkStart w:id="65" w:name="_Toc20823277"/>
      <w:r/>
      <w:bookmarkStart w:id="66" w:name="_Toc16938521"/>
      <w:r>
        <w:rPr>
          <w:rFonts w:hint="eastAsia" w:ascii="宋体" w:hAnsi="宋体" w:cs="宋体"/>
          <w:b/>
          <w:bCs/>
          <w:color w:val="auto"/>
          <w:sz w:val="28"/>
          <w:szCs w:val="28"/>
          <w:highlight w:val="none"/>
        </w:rPr>
        <w:t xml:space="preserve">2、合格的投标人</w:t>
      </w:r>
      <w:bookmarkEnd w:id="64"/>
      <w:r/>
      <w:bookmarkEnd w:id="65"/>
      <w:r/>
      <w:bookmarkEnd w:id="66"/>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2.1满足招标公告中投标人的资格要求的规定。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p>
    <w:p>
      <w:pPr>
        <w:ind w:firstLine="562"/>
        <w:spacing w:line="500" w:lineRule="exact"/>
        <w:rPr>
          <w:rFonts w:hint="eastAsia" w:ascii="宋体" w:hAnsi="宋体" w:cs="宋体"/>
          <w:b/>
          <w:bCs/>
          <w:color w:val="auto"/>
          <w:sz w:val="28"/>
          <w:szCs w:val="28"/>
          <w:highlight w:val="none"/>
        </w:rPr>
      </w:pPr>
      <w:r/>
      <w:bookmarkStart w:id="67" w:name="_Toc16938522"/>
      <w:r/>
      <w:bookmarkStart w:id="68" w:name="_Toc20823278"/>
      <w:r/>
      <w:bookmarkStart w:id="69" w:name="_Toc513029206"/>
      <w:r>
        <w:rPr>
          <w:rFonts w:hint="eastAsia" w:ascii="宋体" w:hAnsi="宋体" w:cs="宋体"/>
          <w:b/>
          <w:bCs/>
          <w:color w:val="auto"/>
          <w:sz w:val="28"/>
          <w:szCs w:val="28"/>
          <w:highlight w:val="none"/>
        </w:rPr>
        <w:t xml:space="preserve">3、适用法律</w:t>
      </w:r>
      <w:bookmarkEnd w:id="67"/>
      <w:r/>
      <w:bookmarkEnd w:id="68"/>
      <w:r/>
      <w:bookmarkEnd w:id="69"/>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562"/>
        <w:spacing w:line="500" w:lineRule="exact"/>
        <w:rPr>
          <w:rFonts w:hint="eastAsia" w:ascii="宋体" w:hAnsi="宋体" w:cs="宋体"/>
          <w:b/>
          <w:bCs/>
          <w:color w:val="auto"/>
          <w:sz w:val="28"/>
          <w:szCs w:val="28"/>
          <w:highlight w:val="none"/>
        </w:rPr>
      </w:pPr>
      <w:r/>
      <w:bookmarkStart w:id="70" w:name="_Toc16938523"/>
      <w:r/>
      <w:bookmarkStart w:id="71" w:name="_Toc462564067"/>
      <w:r/>
      <w:bookmarkStart w:id="72" w:name="_Toc513029207"/>
      <w:r/>
      <w:bookmarkStart w:id="73" w:name="_Toc20823279"/>
      <w:r>
        <w:rPr>
          <w:rFonts w:hint="eastAsia" w:ascii="宋体" w:hAnsi="宋体" w:cs="宋体"/>
          <w:b/>
          <w:bCs/>
          <w:color w:val="auto"/>
          <w:sz w:val="28"/>
          <w:szCs w:val="28"/>
          <w:highlight w:val="none"/>
        </w:rPr>
        <w:t xml:space="preserve">4、投标费用</w:t>
      </w:r>
      <w:bookmarkEnd w:id="70"/>
      <w:r/>
      <w:bookmarkEnd w:id="71"/>
      <w:r/>
      <w:bookmarkEnd w:id="72"/>
      <w:r/>
      <w:bookmarkEnd w:id="73"/>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color w:val="auto"/>
          <w:sz w:val="24"/>
          <w:highlight w:val="none"/>
          <w:u w:val="single"/>
        </w:rPr>
        <w:t xml:space="preserve">江苏科建工程项目管理有限公司</w:t>
      </w:r>
      <w:r>
        <w:rPr>
          <w:rFonts w:hint="eastAsia" w:ascii="宋体" w:hAnsi="宋体" w:cs="宋体"/>
          <w:color w:val="auto"/>
          <w:sz w:val="24"/>
          <w:highlight w:val="none"/>
        </w:rPr>
        <w:t xml:space="preserve">（以下简称采购代理机构）在任何情况下均无义务和责任承担这些费用。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4.2代理费用收取方式及标准：按以下第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 种方式执行</w:t>
      </w:r>
      <w:r/>
    </w:p>
    <w:p>
      <w:pPr>
        <w:ind w:firstLine="480"/>
        <w:spacing w:line="5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4.2.1无需支付；</w:t>
      </w:r>
      <w:r/>
    </w:p>
    <w:p>
      <w:pPr>
        <w:pStyle w:val="1103"/>
        <w:ind w:firstLine="480"/>
        <w:spacing w:line="500" w:lineRule="exact"/>
        <w:rPr>
          <w:rFonts w:hint="eastAsia"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lang w:val="zh-CN"/>
        </w:rPr>
        <w:t xml:space="preserve">4.2.2采购人支付，具体方式及标准为：按照江苏省招标投标协会《江苏省招标代理服务收费的指导意见》(苏招协【2022】002号)的收费标准</w:t>
      </w:r>
      <w:r>
        <w:rPr>
          <w:rFonts w:hint="eastAsia" w:ascii="宋体" w:hAnsi="宋体" w:eastAsia="宋体" w:cs="宋体"/>
          <w:color w:val="auto"/>
          <w:sz w:val="24"/>
          <w:szCs w:val="21"/>
          <w:highlight w:val="none"/>
          <w:lang w:val="en-US"/>
        </w:rPr>
        <w:t xml:space="preserve">。 </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5、招标文件的约束力</w:t>
      </w:r>
      <w:r/>
    </w:p>
    <w:p>
      <w:pPr>
        <w:ind w:firstLine="480"/>
        <w:spacing w:line="5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 投标人一旦参加本项目采购活动，即被认为接受了本招标文件的规定和约束。</w:t>
      </w:r>
      <w:r/>
    </w:p>
    <w:p>
      <w:pPr>
        <w:pStyle w:val="1019"/>
        <w:ind w:firstLine="883"/>
        <w:spacing w:before="290" w:after="0" w:line="500" w:lineRule="exact"/>
        <w:rPr>
          <w:rFonts w:hint="eastAsia" w:ascii="宋体" w:hAnsi="宋体" w:eastAsia="宋体" w:cs="宋体"/>
          <w:color w:val="auto"/>
          <w:highlight w:val="none"/>
        </w:rPr>
      </w:pPr>
      <w:r/>
      <w:bookmarkStart w:id="74" w:name="_Toc16938525"/>
      <w:r/>
      <w:bookmarkStart w:id="75" w:name="_Toc20823281"/>
      <w:r/>
      <w:bookmarkStart w:id="76" w:name="_Toc120614215"/>
      <w:r/>
      <w:bookmarkStart w:id="77" w:name="_Toc513029209"/>
      <w:r/>
      <w:bookmarkStart w:id="78" w:name="_Toc12532"/>
      <w:r>
        <w:rPr>
          <w:rFonts w:hint="eastAsia" w:ascii="宋体" w:hAnsi="宋体" w:eastAsia="宋体" w:cs="宋体"/>
          <w:color w:val="auto"/>
          <w:highlight w:val="none"/>
        </w:rPr>
        <w:t xml:space="preserve">二、招标文件</w:t>
      </w:r>
      <w:bookmarkEnd w:id="74"/>
      <w:r/>
      <w:bookmarkEnd w:id="75"/>
      <w:r/>
      <w:bookmarkEnd w:id="76"/>
      <w:r/>
      <w:bookmarkEnd w:id="77"/>
      <w:r/>
      <w:bookmarkEnd w:id="78"/>
      <w:r/>
      <w:r/>
    </w:p>
    <w:p>
      <w:pPr>
        <w:ind w:firstLine="562"/>
        <w:spacing w:line="500" w:lineRule="exact"/>
        <w:rPr>
          <w:rFonts w:hint="eastAsia" w:ascii="宋体" w:hAnsi="宋体" w:cs="宋体"/>
          <w:b/>
          <w:bCs/>
          <w:color w:val="auto"/>
          <w:sz w:val="28"/>
          <w:szCs w:val="28"/>
          <w:highlight w:val="none"/>
        </w:rPr>
      </w:pPr>
      <w:r/>
      <w:bookmarkStart w:id="79" w:name="_Toc20823282"/>
      <w:r/>
      <w:bookmarkStart w:id="80" w:name="_Toc513029210"/>
      <w:r/>
      <w:bookmarkStart w:id="81" w:name="_Toc16938526"/>
      <w:r>
        <w:rPr>
          <w:rFonts w:hint="eastAsia" w:ascii="宋体" w:hAnsi="宋体" w:cs="宋体"/>
          <w:b/>
          <w:bCs/>
          <w:color w:val="auto"/>
          <w:sz w:val="28"/>
          <w:szCs w:val="28"/>
          <w:highlight w:val="none"/>
        </w:rPr>
        <w:t xml:space="preserve">6、招标文件构成</w:t>
      </w:r>
      <w:bookmarkEnd w:id="79"/>
      <w:r/>
      <w:bookmarkEnd w:id="80"/>
      <w:r/>
      <w:bookmarkEnd w:id="81"/>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 招标文件由以下部分组成：</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请仔细检查招标文件是否齐全，如有缺漏请立即与采购代理机构联系解决。</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spacing w:line="500" w:lineRule="exact"/>
        <w:rPr>
          <w:rFonts w:hint="eastAsia" w:ascii="宋体" w:hAnsi="宋体" w:cs="宋体"/>
          <w:b/>
          <w:bCs/>
          <w:color w:val="auto"/>
          <w:sz w:val="28"/>
          <w:szCs w:val="28"/>
          <w:highlight w:val="none"/>
        </w:rPr>
      </w:pPr>
      <w:r/>
      <w:bookmarkStart w:id="82" w:name="_Toc20823283"/>
      <w:r/>
      <w:bookmarkStart w:id="83" w:name="_Toc16938527"/>
      <w:r/>
      <w:bookmarkStart w:id="84" w:name="_Toc513029211"/>
      <w:r/>
      <w:bookmarkStart w:id="85" w:name="_Toc462564070"/>
      <w:r>
        <w:rPr>
          <w:rFonts w:hint="eastAsia" w:ascii="宋体" w:hAnsi="宋体" w:cs="宋体"/>
          <w:b/>
          <w:bCs/>
          <w:color w:val="auto"/>
          <w:sz w:val="28"/>
          <w:szCs w:val="28"/>
          <w:highlight w:val="none"/>
        </w:rPr>
        <w:t xml:space="preserve">7、招标文件的澄清</w:t>
      </w:r>
      <w:bookmarkEnd w:id="82"/>
      <w:r/>
      <w:bookmarkEnd w:id="83"/>
      <w:r/>
      <w:bookmarkEnd w:id="84"/>
      <w:r/>
      <w:bookmarkEnd w:id="85"/>
      <w:r/>
      <w:r/>
    </w:p>
    <w:p>
      <w:pPr>
        <w:ind w:firstLine="480"/>
        <w:spacing w:line="500" w:lineRule="exact"/>
        <w:rPr>
          <w:rFonts w:hint="eastAsia" w:ascii="宋体" w:hAnsi="宋体" w:cs="宋体"/>
          <w:color w:val="auto"/>
          <w:sz w:val="24"/>
          <w:szCs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w:t>
      </w:r>
      <w:r>
        <w:rPr>
          <w:rFonts w:hint="eastAsia" w:ascii="宋体" w:hAnsi="宋体" w:cs="宋体"/>
          <w:color w:val="auto"/>
          <w:sz w:val="24"/>
          <w:highlight w:val="none"/>
        </w:rPr>
        <w:t xml:space="preserve">按招标公告中的通讯地址，以书面形式通知采购代理机构。</w:t>
      </w:r>
      <w:r/>
    </w:p>
    <w:p>
      <w:pPr>
        <w:ind w:firstLine="562"/>
        <w:spacing w:line="500" w:lineRule="exact"/>
        <w:rPr>
          <w:rFonts w:hint="eastAsia" w:ascii="宋体" w:hAnsi="宋体" w:cs="宋体"/>
          <w:b/>
          <w:bCs/>
          <w:color w:val="auto"/>
          <w:sz w:val="28"/>
          <w:szCs w:val="28"/>
          <w:highlight w:val="none"/>
        </w:rPr>
      </w:pPr>
      <w:r/>
      <w:bookmarkStart w:id="86" w:name="_Toc16938528"/>
      <w:r/>
      <w:bookmarkStart w:id="87" w:name="_Toc513029212"/>
      <w:r/>
      <w:bookmarkStart w:id="88" w:name="_Toc20823284"/>
      <w:r/>
      <w:bookmarkStart w:id="89" w:name="_Toc462564071"/>
      <w:r>
        <w:rPr>
          <w:rFonts w:hint="eastAsia" w:ascii="宋体" w:hAnsi="宋体" w:cs="宋体"/>
          <w:b/>
          <w:bCs/>
          <w:color w:val="auto"/>
          <w:sz w:val="28"/>
          <w:szCs w:val="28"/>
          <w:highlight w:val="none"/>
        </w:rPr>
        <w:t xml:space="preserve">8、招标文件的修改</w:t>
      </w:r>
      <w:bookmarkEnd w:id="86"/>
      <w:r/>
      <w:bookmarkEnd w:id="87"/>
      <w:r/>
      <w:bookmarkEnd w:id="88"/>
      <w:r/>
      <w:bookmarkEnd w:id="89"/>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8.2 在投标截止时间前，采购代理机构可以对招标文件进行修改。</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8.3 采购代理机构有权按照法定的要求推迟投标截止日期和开标日期。</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8.4招标文件的修改将在原公告媒体上发布更正公告，补充文件将作为招标文件的组成部分，并对投标人具有约束力。</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1019"/>
        <w:ind w:firstLine="883"/>
        <w:spacing w:before="290" w:after="0" w:line="500" w:lineRule="exact"/>
        <w:rPr>
          <w:rFonts w:hint="eastAsia" w:ascii="宋体" w:hAnsi="宋体" w:eastAsia="宋体" w:cs="宋体"/>
          <w:color w:val="auto"/>
          <w:highlight w:val="none"/>
        </w:rPr>
      </w:pPr>
      <w:r/>
      <w:bookmarkStart w:id="90" w:name="_Toc120614216"/>
      <w:r/>
      <w:bookmarkStart w:id="91" w:name="_Toc16938529"/>
      <w:r/>
      <w:bookmarkStart w:id="92" w:name="_Toc462564072"/>
      <w:r/>
      <w:bookmarkStart w:id="93" w:name="_Toc1270"/>
      <w:r/>
      <w:bookmarkStart w:id="94" w:name="_Toc20823285"/>
      <w:r/>
      <w:bookmarkStart w:id="95" w:name="_Toc513029213"/>
      <w:r>
        <w:rPr>
          <w:rFonts w:hint="eastAsia" w:ascii="宋体" w:hAnsi="宋体" w:eastAsia="宋体" w:cs="宋体"/>
          <w:color w:val="auto"/>
          <w:highlight w:val="none"/>
        </w:rPr>
        <w:t xml:space="preserve">三、投标文件的编制</w:t>
      </w:r>
      <w:bookmarkEnd w:id="90"/>
      <w:r/>
      <w:bookmarkEnd w:id="91"/>
      <w:r/>
      <w:bookmarkEnd w:id="92"/>
      <w:r/>
      <w:bookmarkEnd w:id="93"/>
      <w:r/>
      <w:bookmarkEnd w:id="94"/>
      <w:r/>
      <w:bookmarkEnd w:id="95"/>
      <w:r/>
      <w:r/>
    </w:p>
    <w:p>
      <w:pPr>
        <w:ind w:firstLine="562"/>
        <w:spacing w:line="500" w:lineRule="exact"/>
        <w:rPr>
          <w:rFonts w:hint="eastAsia" w:ascii="宋体" w:hAnsi="宋体" w:cs="宋体"/>
          <w:b/>
          <w:bCs/>
          <w:color w:val="auto"/>
          <w:sz w:val="28"/>
          <w:szCs w:val="28"/>
          <w:highlight w:val="none"/>
        </w:rPr>
      </w:pPr>
      <w:r/>
      <w:bookmarkStart w:id="96" w:name="_Toc513029214"/>
      <w:r/>
      <w:bookmarkStart w:id="97" w:name="_Toc20823286"/>
      <w:r/>
      <w:bookmarkStart w:id="98" w:name="_Toc16938530"/>
      <w:r/>
      <w:bookmarkStart w:id="99" w:name="_Toc462564073"/>
      <w:r>
        <w:rPr>
          <w:rFonts w:hint="eastAsia" w:ascii="宋体" w:hAnsi="宋体" w:cs="宋体"/>
          <w:b/>
          <w:bCs/>
          <w:color w:val="auto"/>
          <w:sz w:val="28"/>
          <w:szCs w:val="28"/>
          <w:highlight w:val="none"/>
        </w:rPr>
        <w:t xml:space="preserve">9、投标文件的语言及度量衡单位</w:t>
      </w:r>
      <w:bookmarkEnd w:id="96"/>
      <w:r/>
      <w:bookmarkEnd w:id="97"/>
      <w:r/>
      <w:bookmarkEnd w:id="98"/>
      <w:r/>
      <w:bookmarkEnd w:id="99"/>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9.2</w:t>
      </w:r>
      <w:r>
        <w:rPr>
          <w:rFonts w:hint="eastAsia" w:ascii="宋体" w:hAnsi="宋体" w:cs="宋体"/>
          <w:color w:val="auto"/>
          <w:sz w:val="24"/>
          <w:highlight w:val="none"/>
        </w:rPr>
        <w:t xml:space="preserve"> 除技术性能另有规定外，投标文件所使用的度量衡单位，均须采用国家法定计量单位。</w:t>
      </w:r>
      <w:r/>
    </w:p>
    <w:p>
      <w:pPr>
        <w:ind w:firstLine="562"/>
        <w:spacing w:line="500" w:lineRule="exact"/>
        <w:rPr>
          <w:rFonts w:hint="eastAsia" w:ascii="宋体" w:hAnsi="宋体" w:cs="宋体"/>
          <w:b/>
          <w:bCs/>
          <w:color w:val="auto"/>
          <w:sz w:val="28"/>
          <w:szCs w:val="28"/>
          <w:highlight w:val="none"/>
        </w:rPr>
      </w:pPr>
      <w:r/>
      <w:bookmarkStart w:id="100" w:name="_Toc16938531"/>
      <w:r/>
      <w:bookmarkStart w:id="101" w:name="_Toc20823287"/>
      <w:r/>
      <w:bookmarkStart w:id="102" w:name="_Toc462564074"/>
      <w:r/>
      <w:bookmarkStart w:id="103" w:name="_Toc513029215"/>
      <w:r>
        <w:rPr>
          <w:rFonts w:hint="eastAsia" w:ascii="宋体" w:hAnsi="宋体" w:cs="宋体"/>
          <w:b/>
          <w:bCs/>
          <w:color w:val="auto"/>
          <w:sz w:val="28"/>
          <w:szCs w:val="28"/>
          <w:highlight w:val="none"/>
        </w:rPr>
        <w:t xml:space="preserve">10、投标文件构成</w:t>
      </w:r>
      <w:bookmarkEnd w:id="100"/>
      <w:r/>
      <w:bookmarkEnd w:id="101"/>
      <w:r/>
      <w:bookmarkEnd w:id="102"/>
      <w:r/>
      <w:bookmarkEnd w:id="103"/>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各投标人在编制投标文件时请按照招标文件第六</w:t>
      </w:r>
      <w:r>
        <w:rPr>
          <w:rFonts w:hint="eastAsia" w:ascii="宋体" w:hAnsi="宋体" w:cs="宋体"/>
          <w:bCs/>
          <w:color w:val="auto"/>
          <w:sz w:val="24"/>
          <w:highlight w:val="none"/>
        </w:rPr>
        <w:t xml:space="preserve">章</w:t>
      </w:r>
      <w:r>
        <w:rPr>
          <w:rFonts w:hint="eastAsia" w:ascii="宋体" w:hAnsi="宋体" w:cs="宋体"/>
          <w:bCs/>
          <w:color w:val="auto"/>
          <w:sz w:val="24"/>
          <w:highlight w:val="none"/>
          <w:lang w:val="zh-CN"/>
        </w:rPr>
        <w:t xml:space="preserve">规定的格式进行，混乱的编排导致投标文件被误读或评委会查找不到有效文件是投标人的风险。</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10.2 如标书制作工具中格式和内容与“宿迁市政府采购网”发布的招标文件不一致，请以“宿迁市政府采购网”发布的招标文件为准。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10.6中标后按相关要求提供与电子投标文件一致的纸质打印投标文件2份。 </w:t>
      </w:r>
      <w:r/>
    </w:p>
    <w:p>
      <w:pPr>
        <w:ind w:firstLine="482"/>
        <w:spacing w:line="500" w:lineRule="exact"/>
        <w:rPr>
          <w:rFonts w:hint="eastAsia" w:ascii="宋体" w:hAnsi="宋体" w:cs="宋体"/>
          <w:b/>
          <w:color w:val="auto"/>
          <w:sz w:val="24"/>
          <w:highlight w:val="none"/>
        </w:rPr>
      </w:pPr>
      <w:r/>
      <w:bookmarkStart w:id="104" w:name="EBc50e2bb832bb43068403b10c1cce6141"/>
      <w:r>
        <w:rPr>
          <w:rFonts w:hint="eastAsia" w:ascii="宋体" w:hAnsi="宋体" w:cs="宋体"/>
          <w:b/>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4"/>
      <w:r/>
      <w:r/>
    </w:p>
    <w:p>
      <w:pPr>
        <w:ind w:firstLine="562"/>
        <w:spacing w:line="500" w:lineRule="exact"/>
        <w:rPr>
          <w:rFonts w:hint="eastAsia" w:ascii="宋体" w:hAnsi="宋体" w:cs="宋体"/>
          <w:b/>
          <w:bCs/>
          <w:color w:val="auto"/>
          <w:sz w:val="28"/>
          <w:szCs w:val="28"/>
          <w:highlight w:val="none"/>
        </w:rPr>
      </w:pPr>
      <w:r/>
      <w:bookmarkStart w:id="105" w:name="_Hlt26954838"/>
      <w:r/>
      <w:bookmarkEnd w:id="105"/>
      <w:r/>
      <w:bookmarkStart w:id="106" w:name="_Hlt26670360"/>
      <w:r/>
      <w:bookmarkEnd w:id="106"/>
      <w:r/>
      <w:bookmarkStart w:id="107" w:name="_Hlt26668975"/>
      <w:r/>
      <w:bookmarkEnd w:id="107"/>
      <w:r/>
      <w:bookmarkStart w:id="108" w:name="_Toc513029219"/>
      <w:r/>
      <w:bookmarkStart w:id="109" w:name="_Toc49090507"/>
      <w:r/>
      <w:bookmarkStart w:id="110" w:name="_Toc513029216"/>
      <w:r/>
      <w:bookmarkStart w:id="111" w:name="_Toc49090509"/>
      <w:r/>
      <w:bookmarkStart w:id="112" w:name="_Toc14577354"/>
      <w:r/>
      <w:bookmarkStart w:id="113" w:name="_Toc14577357"/>
      <w:r>
        <w:rPr>
          <w:rFonts w:hint="eastAsia" w:ascii="宋体" w:hAnsi="宋体" w:cs="宋体"/>
          <w:b/>
          <w:bCs/>
          <w:color w:val="auto"/>
          <w:sz w:val="28"/>
          <w:szCs w:val="28"/>
          <w:highlight w:val="none"/>
        </w:rPr>
        <w:t xml:space="preserve">11、证明投标人及投标标的符合招标文件规定的文件</w:t>
      </w:r>
      <w:bookmarkEnd w:id="108"/>
      <w:r/>
      <w:bookmarkEnd w:id="109"/>
      <w:r/>
      <w:bookmarkEnd w:id="110"/>
      <w:r/>
      <w:bookmarkEnd w:id="111"/>
      <w:r/>
      <w:bookmarkEnd w:id="112"/>
      <w:r/>
      <w:bookmarkEnd w:id="113"/>
      <w:r/>
      <w:bookmarkStart w:id="114" w:name="_Toc14577355"/>
      <w:r/>
      <w:bookmarkStart w:id="115" w:name="_Toc4909050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12、投标分项报价</w:t>
      </w:r>
      <w:bookmarkEnd w:id="114"/>
      <w:r/>
      <w:bookmarkStart w:id="116" w:name="_Hlt26670373"/>
      <w:r/>
      <w:bookmarkEnd w:id="116"/>
      <w:r>
        <w:rPr>
          <w:rFonts w:hint="eastAsia" w:ascii="宋体" w:hAnsi="宋体" w:cs="宋体"/>
          <w:b/>
          <w:bCs/>
          <w:color w:val="auto"/>
          <w:sz w:val="28"/>
          <w:szCs w:val="28"/>
          <w:highlight w:val="none"/>
        </w:rPr>
        <w:t xml:space="preserve">表</w:t>
      </w:r>
      <w:bookmarkEnd w:id="115"/>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12.1</w:t>
      </w:r>
      <w:r>
        <w:rPr>
          <w:rFonts w:hint="eastAsia" w:ascii="宋体" w:hAnsi="宋体" w:cs="宋体"/>
          <w:color w:val="auto"/>
          <w:sz w:val="24"/>
          <w:highlight w:val="none"/>
        </w:rPr>
        <w:t xml:space="preserve"> 投</w:t>
      </w:r>
      <w:bookmarkStart w:id="117" w:name="_Hlt26954840"/>
      <w:r/>
      <w:bookmarkEnd w:id="117"/>
      <w:r>
        <w:rPr>
          <w:rFonts w:hint="eastAsia" w:ascii="宋体" w:hAnsi="宋体" w:cs="宋体"/>
          <w:color w:val="auto"/>
          <w:sz w:val="24"/>
          <w:highlight w:val="none"/>
        </w:rPr>
        <w:t xml:space="preserve">标人应按照招标文件规定格式填报投标分项报价表</w:t>
      </w:r>
      <w:bookmarkStart w:id="118" w:name="_Hlt26670399"/>
      <w:r/>
      <w:bookmarkEnd w:id="118"/>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12.2</w:t>
      </w:r>
      <w:r>
        <w:rPr>
          <w:rFonts w:hint="eastAsia" w:ascii="宋体" w:hAnsi="宋体" w:cs="宋体"/>
          <w:bCs/>
          <w:color w:val="auto"/>
          <w:sz w:val="24"/>
          <w:highlight w:val="none"/>
        </w:rPr>
        <w:t xml:space="preserve">投标货币。投标文件中的单价和总价无特殊规定的采用人民币报价，以元为单位标注。</w:t>
      </w:r>
      <w:r>
        <w:rPr>
          <w:rFonts w:hint="eastAsia" w:ascii="宋体" w:hAnsi="宋体" w:cs="宋体"/>
          <w:color w:val="auto"/>
          <w:sz w:val="24"/>
          <w:highlight w:val="none"/>
        </w:rPr>
        <w:t xml:space="preserve">招标文件中另有规定的按规定执行。</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12.3本项目不接受备选的投标方案或有选择的报价，只允许有一个报价。投标报价内容包括：</w:t>
      </w:r>
      <w:r>
        <w:rPr>
          <w:rFonts w:hint="eastAsia" w:ascii="宋体" w:hAnsi="宋体" w:cs="宋体"/>
          <w:color w:val="auto"/>
          <w:sz w:val="24"/>
          <w:szCs w:val="24"/>
          <w:highlight w:val="none"/>
        </w:rPr>
        <w:t xml:space="preserve">采购人需求的服务（包含与服务相关的货物）价格、人工费、管养费、草花栽植费用、树穴盖板等设施安装费用、街头绿地节日氛围营造费用、设计费、税金以及交付使用过程中涉及到的其他一切费用。</w:t>
      </w:r>
      <w:r/>
    </w:p>
    <w:p>
      <w:pPr>
        <w:ind w:firstLine="562"/>
        <w:spacing w:line="500" w:lineRule="exact"/>
        <w:rPr>
          <w:rFonts w:hint="eastAsia" w:ascii="宋体" w:hAnsi="宋体" w:cs="宋体"/>
          <w:b/>
          <w:bCs/>
          <w:color w:val="auto"/>
          <w:sz w:val="28"/>
          <w:szCs w:val="28"/>
          <w:highlight w:val="none"/>
        </w:rPr>
      </w:pPr>
      <w:r/>
      <w:bookmarkStart w:id="119" w:name="_Hlt26954846"/>
      <w:r/>
      <w:bookmarkEnd w:id="119"/>
      <w:r/>
      <w:bookmarkStart w:id="120" w:name="_Hlt26670486"/>
      <w:r/>
      <w:bookmarkEnd w:id="120"/>
      <w:r/>
      <w:bookmarkStart w:id="121" w:name="_Hlt26954844"/>
      <w:r/>
      <w:bookmarkEnd w:id="121"/>
      <w:r/>
      <w:bookmarkStart w:id="122" w:name="_Hlt26954731"/>
      <w:r/>
      <w:bookmarkEnd w:id="122"/>
      <w:r/>
      <w:bookmarkStart w:id="123" w:name="_Hlt26668983"/>
      <w:r/>
      <w:bookmarkEnd w:id="123"/>
      <w:r/>
      <w:bookmarkStart w:id="124" w:name="_Hlt26954842"/>
      <w:r/>
      <w:bookmarkEnd w:id="124"/>
      <w:r/>
      <w:bookmarkStart w:id="125" w:name="_Hlt26954848"/>
      <w:r/>
      <w:bookmarkEnd w:id="125"/>
      <w:r/>
      <w:bookmarkStart w:id="126" w:name="_Hlt26670403"/>
      <w:r/>
      <w:bookmarkEnd w:id="126"/>
      <w:r/>
      <w:bookmarkStart w:id="127" w:name="_Hlt26670425"/>
      <w:r/>
      <w:bookmarkEnd w:id="127"/>
      <w:r/>
      <w:bookmarkStart w:id="128" w:name="_Hlt26670482"/>
      <w:r/>
      <w:bookmarkEnd w:id="128"/>
      <w:r>
        <w:rPr>
          <w:rFonts w:hint="eastAsia" w:ascii="宋体" w:hAnsi="宋体" w:cs="宋体"/>
          <w:b/>
          <w:bCs/>
          <w:color w:val="auto"/>
          <w:sz w:val="28"/>
          <w:szCs w:val="28"/>
          <w:highlight w:val="none"/>
        </w:rPr>
        <w:t xml:space="preserve">13、</w:t>
      </w:r>
      <w:r>
        <w:rPr>
          <w:rFonts w:hint="eastAsia" w:ascii="宋体" w:hAnsi="宋体" w:cs="宋体"/>
          <w:b/>
          <w:bCs/>
          <w:color w:val="auto"/>
          <w:sz w:val="28"/>
          <w:szCs w:val="28"/>
          <w:highlight w:val="none"/>
          <w:lang w:eastAsia="zh-CN"/>
        </w:rPr>
        <w:t xml:space="preserve">技术要求响应及偏离表</w:t>
      </w:r>
      <w:r>
        <w:rPr>
          <w:rFonts w:hint="eastAsia" w:ascii="宋体" w:hAnsi="宋体" w:cs="宋体"/>
          <w:b/>
          <w:bCs/>
          <w:color w:val="auto"/>
          <w:sz w:val="28"/>
          <w:szCs w:val="28"/>
          <w:highlight w:val="none"/>
        </w:rPr>
        <w:t xml:space="preserve">、商务要求响应及偏离表</w:t>
      </w:r>
      <w:r/>
    </w:p>
    <w:p>
      <w:pPr>
        <w:ind w:firstLine="480"/>
        <w:spacing w:line="500" w:lineRule="exact"/>
        <w:rPr>
          <w:rFonts w:hint="eastAsia" w:ascii="宋体" w:hAnsi="宋体" w:cs="宋体"/>
          <w:color w:val="auto"/>
          <w:sz w:val="24"/>
          <w:highlight w:val="none"/>
          <w:lang w:val="zh-CN"/>
        </w:rPr>
      </w:pPr>
      <w:r/>
      <w:bookmarkStart w:id="129" w:name="_Toc14577359"/>
      <w:r/>
      <w:bookmarkStart w:id="130" w:name="_Toc49090510"/>
      <w:r>
        <w:rPr>
          <w:rFonts w:hint="eastAsia" w:ascii="宋体" w:hAnsi="宋体" w:cs="宋体"/>
          <w:bCs/>
          <w:color w:val="auto"/>
          <w:sz w:val="24"/>
          <w:highlight w:val="none"/>
          <w:lang w:val="zh-CN"/>
        </w:rPr>
        <w:t xml:space="preserve">13.1</w:t>
      </w:r>
      <w:r>
        <w:rPr>
          <w:rFonts w:hint="eastAsia" w:ascii="宋体" w:hAnsi="宋体" w:cs="宋体"/>
          <w:color w:val="auto"/>
          <w:sz w:val="24"/>
          <w:highlight w:val="none"/>
          <w:lang w:val="zh-CN"/>
        </w:rPr>
        <w:t xml:space="preserve"> 投标人需对招标文件中的技术要求与商务要求作出响应或偏离，并说明原因。</w:t>
      </w:r>
      <w:r/>
    </w:p>
    <w:p>
      <w:pPr>
        <w:ind w:firstLine="480"/>
        <w:spacing w:line="500" w:lineRule="exact"/>
        <w:tabs>
          <w:tab w:val="left" w:pos="103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13.2 投标人可在投标文件中提供认为需要的其他技术文件或说明。</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14、投标声明及承诺函和开标一览表</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14.1</w:t>
      </w:r>
      <w:r>
        <w:rPr>
          <w:rFonts w:hint="eastAsia" w:ascii="宋体" w:hAnsi="宋体" w:cs="宋体"/>
          <w:color w:val="auto"/>
          <w:sz w:val="24"/>
          <w:highlight w:val="none"/>
        </w:rPr>
        <w:t xml:space="preserve"> 投标人应按照招标文件中提供的格式完整、正确填写投标声明及承诺函、开标一览表。</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14.2</w:t>
      </w:r>
      <w:r>
        <w:rPr>
          <w:rFonts w:hint="eastAsia" w:ascii="宋体" w:hAnsi="宋体" w:cs="宋体"/>
          <w:color w:val="auto"/>
          <w:sz w:val="24"/>
          <w:highlight w:val="none"/>
        </w:rPr>
        <w:t xml:space="preserve"> 对于采用货币报价的项目，</w:t>
      </w:r>
      <w:r>
        <w:rPr>
          <w:rFonts w:hint="eastAsia" w:ascii="宋体" w:hAnsi="宋体" w:cs="宋体"/>
          <w:bCs/>
          <w:color w:val="auto"/>
          <w:sz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highlight w:val="none"/>
        </w:rPr>
        <w:t xml:space="preserve">，但评标时按开标一览表中价格为准</w:t>
      </w:r>
      <w:r>
        <w:rPr>
          <w:rFonts w:hint="eastAsia" w:ascii="宋体" w:hAnsi="宋体" w:cs="宋体"/>
          <w:b/>
          <w:bCs/>
          <w:color w:val="auto"/>
          <w:sz w:val="24"/>
          <w:highlight w:val="none"/>
        </w:rPr>
        <w:t xml:space="preserve">。</w:t>
      </w:r>
      <w:bookmarkEnd w:id="129"/>
      <w:r/>
      <w:bookmarkEnd w:id="130"/>
      <w:r/>
      <w:r/>
    </w:p>
    <w:p>
      <w:pPr>
        <w:ind w:firstLine="562"/>
        <w:spacing w:line="500" w:lineRule="exact"/>
        <w:rPr>
          <w:rFonts w:hint="eastAsia" w:ascii="宋体" w:hAnsi="宋体" w:cs="宋体"/>
          <w:b/>
          <w:bCs/>
          <w:color w:val="auto"/>
          <w:sz w:val="28"/>
          <w:szCs w:val="28"/>
          <w:highlight w:val="none"/>
        </w:rPr>
      </w:pPr>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ascii="宋体" w:hAnsi="宋体" w:cs="宋体"/>
          <w:b/>
          <w:bCs/>
          <w:color w:val="auto"/>
          <w:sz w:val="28"/>
          <w:szCs w:val="28"/>
          <w:highlight w:val="none"/>
        </w:rPr>
        <w:t xml:space="preserve">15、投标有效期</w:t>
      </w:r>
      <w:bookmarkEnd w:id="134"/>
      <w:r/>
      <w:bookmarkEnd w:id="135"/>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15.1</w:t>
      </w:r>
      <w:r>
        <w:rPr>
          <w:rFonts w:hint="eastAsia" w:ascii="宋体" w:hAnsi="宋体" w:cs="宋体"/>
          <w:bCs/>
          <w:color w:val="auto"/>
          <w:sz w:val="24"/>
          <w:highlight w:val="none"/>
        </w:rPr>
        <w:t xml:space="preserve"> 投标有效期为开标之日后</w:t>
      </w:r>
      <w:r>
        <w:rPr>
          <w:rFonts w:hint="eastAsia" w:ascii="宋体" w:hAnsi="宋体" w:cs="宋体"/>
          <w:b/>
          <w:color w:val="auto"/>
          <w:sz w:val="24"/>
          <w:highlight w:val="none"/>
          <w:u w:val="single"/>
        </w:rPr>
        <w:t xml:space="preserve">六十（60）天</w:t>
      </w:r>
      <w:r>
        <w:rPr>
          <w:rFonts w:hint="eastAsia" w:ascii="宋体" w:hAnsi="宋体" w:cs="宋体"/>
          <w:bCs/>
          <w:color w:val="auto"/>
          <w:sz w:val="24"/>
          <w:highlight w:val="none"/>
        </w:rPr>
        <w:t xml:space="preserve">。投标有效期比规定短的将被视为未实质性响应招标文件而予以拒绝。</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16、投标有效期的延长</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16.1</w:t>
      </w:r>
      <w:r>
        <w:rPr>
          <w:rFonts w:hint="eastAsia" w:ascii="宋体" w:hAnsi="宋体" w:cs="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16.2中标人的投标文件作为项目服务合同的附件，其有效期至中标人全部合同义务履行完毕为止。 </w:t>
      </w:r>
      <w:r/>
    </w:p>
    <w:p>
      <w:pPr>
        <w:pStyle w:val="1019"/>
        <w:ind w:firstLine="883"/>
        <w:spacing w:before="290" w:after="0" w:line="500" w:lineRule="exact"/>
        <w:rPr>
          <w:rFonts w:hint="eastAsia" w:ascii="宋体" w:hAnsi="宋体" w:eastAsia="宋体" w:cs="宋体"/>
          <w:color w:val="auto"/>
          <w:highlight w:val="none"/>
        </w:rPr>
      </w:pPr>
      <w:r/>
      <w:bookmarkStart w:id="136" w:name="_Hlt26954739"/>
      <w:r/>
      <w:bookmarkEnd w:id="136"/>
      <w:r/>
      <w:bookmarkStart w:id="137" w:name="_Hlt26954852"/>
      <w:r/>
      <w:bookmarkEnd w:id="137"/>
      <w:r/>
      <w:bookmarkStart w:id="138" w:name="_Toc11520"/>
      <w:r/>
      <w:bookmarkStart w:id="139" w:name="_Toc513029224"/>
      <w:r/>
      <w:bookmarkStart w:id="140" w:name="_Toc16938540"/>
      <w:r/>
      <w:bookmarkStart w:id="141" w:name="_Toc120614217"/>
      <w:r/>
      <w:bookmarkStart w:id="142" w:name="_Toc20823296"/>
      <w:r>
        <w:rPr>
          <w:rFonts w:hint="eastAsia" w:ascii="宋体" w:hAnsi="宋体" w:eastAsia="宋体" w:cs="宋体"/>
          <w:color w:val="auto"/>
          <w:highlight w:val="none"/>
        </w:rPr>
        <w:t xml:space="preserve">四、投标文件的递交</w:t>
      </w:r>
      <w:bookmarkEnd w:id="138"/>
      <w:r/>
      <w:bookmarkEnd w:id="139"/>
      <w:r/>
      <w:bookmarkEnd w:id="140"/>
      <w:r/>
      <w:bookmarkEnd w:id="141"/>
      <w:r/>
      <w:bookmarkEnd w:id="142"/>
      <w:r/>
      <w:r/>
    </w:p>
    <w:p>
      <w:pPr>
        <w:ind w:firstLine="562"/>
        <w:spacing w:line="500" w:lineRule="exact"/>
        <w:rPr>
          <w:rFonts w:hint="eastAsia" w:ascii="宋体" w:hAnsi="宋体" w:cs="宋体"/>
          <w:b/>
          <w:bCs/>
          <w:color w:val="auto"/>
          <w:sz w:val="28"/>
          <w:szCs w:val="28"/>
          <w:highlight w:val="none"/>
        </w:rPr>
      </w:pPr>
      <w:r/>
      <w:bookmarkStart w:id="143" w:name="_Toc462564084"/>
      <w:r/>
      <w:bookmarkStart w:id="144" w:name="_Toc513029225"/>
      <w:r/>
      <w:bookmarkStart w:id="145" w:name="_Toc20823297"/>
      <w:r/>
      <w:bookmarkStart w:id="146" w:name="_Toc16938541"/>
      <w:r>
        <w:rPr>
          <w:rFonts w:hint="eastAsia" w:ascii="宋体" w:hAnsi="宋体" w:cs="宋体"/>
          <w:b/>
          <w:bCs/>
          <w:color w:val="auto"/>
          <w:sz w:val="28"/>
          <w:szCs w:val="28"/>
          <w:highlight w:val="none"/>
        </w:rPr>
        <w:t xml:space="preserve">17、投标文件</w:t>
      </w:r>
      <w:bookmarkEnd w:id="143"/>
      <w:r/>
      <w:bookmarkEnd w:id="144"/>
      <w:r/>
      <w:bookmarkEnd w:id="145"/>
      <w:r/>
      <w:bookmarkEnd w:id="146"/>
      <w:r>
        <w:rPr>
          <w:rFonts w:hint="eastAsia" w:ascii="宋体" w:hAnsi="宋体" w:cs="宋体"/>
          <w:b/>
          <w:bCs/>
          <w:color w:val="auto"/>
          <w:sz w:val="28"/>
          <w:szCs w:val="28"/>
          <w:highlight w:val="none"/>
        </w:rPr>
        <w:t xml:space="preserve">的递交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17.1投标人应当按照《操作手册》规定，在投标截止时间前制作并上传电子投标文件。</w:t>
      </w:r>
      <w:bookmarkStart w:id="147" w:name="_Toc513029226"/>
      <w:r/>
      <w:bookmarkStart w:id="148" w:name="_Toc20823298"/>
      <w:r/>
      <w:bookmarkStart w:id="149" w:name="_Toc16938542"/>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17.2投标人通过“苏采云”系统不见面开标大厅在线参与开标活动。（具体操作详见《“苏采云”系统投标人操作手册》，网址链接</w:t>
      </w:r>
      <w:r>
        <w:rPr>
          <w:rFonts w:hint="eastAsia" w:ascii="宋体" w:hAnsi="宋体" w:cs="宋体"/>
          <w:color w:val="auto"/>
          <w:sz w:val="22"/>
          <w:szCs w:val="20"/>
          <w:highlight w:val="none"/>
        </w:rPr>
        <w:t xml:space="preserve">http://www.ccgp-jiangsu.gov.cn//webfile/jiangsu/202311/1699268553318052447.pdf）</w:t>
      </w:r>
      <w:r>
        <w:rPr>
          <w:rFonts w:hint="eastAsia" w:ascii="宋体" w:hAnsi="宋体" w:cs="宋体"/>
          <w:color w:val="auto"/>
          <w:sz w:val="22"/>
          <w:szCs w:val="20"/>
          <w:highlight w:val="none"/>
          <w:lang w:eastAsia="zh-CN"/>
        </w:rPr>
        <w:t xml:space="preserve">。</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18、投标截止</w:t>
      </w:r>
      <w:bookmarkEnd w:id="147"/>
      <w:r/>
      <w:bookmarkEnd w:id="148"/>
      <w:r/>
      <w:bookmarkEnd w:id="149"/>
      <w:r>
        <w:rPr>
          <w:rFonts w:hint="eastAsia" w:ascii="宋体" w:hAnsi="宋体" w:cs="宋体"/>
          <w:b/>
          <w:bCs/>
          <w:color w:val="auto"/>
          <w:sz w:val="28"/>
          <w:szCs w:val="28"/>
          <w:highlight w:val="none"/>
        </w:rPr>
        <w:t xml:space="preserve">时间</w:t>
      </w:r>
      <w:r/>
    </w:p>
    <w:p>
      <w:pPr>
        <w:ind w:firstLine="480"/>
        <w:spacing w:line="500" w:lineRule="exact"/>
        <w:rPr>
          <w:rFonts w:hint="eastAsia" w:ascii="宋体" w:hAnsi="宋体" w:cs="宋体"/>
          <w:bCs/>
          <w:iCs/>
          <w:color w:val="auto"/>
          <w:sz w:val="24"/>
          <w:highlight w:val="none"/>
        </w:rPr>
      </w:pPr>
      <w:r>
        <w:rPr>
          <w:rFonts w:hint="eastAsia" w:ascii="宋体" w:hAnsi="宋体" w:cs="宋体"/>
          <w:iCs/>
          <w:color w:val="auto"/>
          <w:sz w:val="24"/>
          <w:highlight w:val="none"/>
        </w:rPr>
        <w:t xml:space="preserve">18.1</w:t>
      </w:r>
      <w:r>
        <w:rPr>
          <w:rFonts w:hint="eastAsia" w:ascii="宋体" w:hAnsi="宋体" w:cs="宋体"/>
          <w:bCs/>
          <w:iCs/>
          <w:color w:val="auto"/>
          <w:sz w:val="24"/>
          <w:highlight w:val="none"/>
        </w:rPr>
        <w:t xml:space="preserve"> 投标人上传电子投标文件的时间不得迟于招标公告中规定的投标截止时间。</w:t>
      </w:r>
      <w:r/>
    </w:p>
    <w:p>
      <w:pPr>
        <w:ind w:firstLine="480"/>
        <w:spacing w:line="500" w:lineRule="exact"/>
        <w:rPr>
          <w:rFonts w:hint="eastAsia" w:ascii="宋体" w:hAnsi="宋体" w:cs="宋体"/>
          <w:bCs/>
          <w:i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18.2</w:t>
      </w:r>
      <w:r>
        <w:rPr>
          <w:rFonts w:hint="eastAsia" w:ascii="宋体" w:hAnsi="宋体" w:cs="宋体"/>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ind w:firstLine="562"/>
        <w:spacing w:line="500" w:lineRule="exact"/>
        <w:rPr>
          <w:rFonts w:hint="eastAsia" w:ascii="宋体" w:hAnsi="宋体" w:cs="宋体"/>
          <w:b/>
          <w:bCs/>
          <w:color w:val="auto"/>
          <w:sz w:val="28"/>
          <w:szCs w:val="28"/>
          <w:highlight w:val="none"/>
        </w:rPr>
      </w:pPr>
      <w:r/>
      <w:bookmarkStart w:id="150" w:name="_Toc16938543"/>
      <w:r/>
      <w:bookmarkStart w:id="151" w:name="_Toc513029227"/>
      <w:r/>
      <w:bookmarkStart w:id="152" w:name="_Toc20823299"/>
      <w:r>
        <w:rPr>
          <w:rFonts w:hint="eastAsia" w:ascii="宋体" w:hAnsi="宋体" w:cs="宋体"/>
          <w:b/>
          <w:bCs/>
          <w:color w:val="auto"/>
          <w:sz w:val="28"/>
          <w:szCs w:val="28"/>
          <w:highlight w:val="none"/>
        </w:rPr>
        <w:t xml:space="preserve">19、投标文件</w:t>
      </w:r>
      <w:bookmarkEnd w:id="150"/>
      <w:r/>
      <w:bookmarkEnd w:id="151"/>
      <w:r/>
      <w:bookmarkEnd w:id="152"/>
      <w:r>
        <w:rPr>
          <w:rFonts w:hint="eastAsia" w:ascii="宋体" w:hAnsi="宋体" w:cs="宋体"/>
          <w:b/>
          <w:bCs/>
          <w:color w:val="auto"/>
          <w:sz w:val="28"/>
          <w:szCs w:val="28"/>
          <w:highlight w:val="none"/>
        </w:rPr>
        <w:t xml:space="preserve">的拒收</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19.1</w:t>
      </w:r>
      <w:r>
        <w:rPr>
          <w:rFonts w:hint="eastAsia" w:ascii="宋体" w:hAnsi="宋体" w:cs="宋体"/>
          <w:bCs/>
          <w:color w:val="auto"/>
          <w:sz w:val="24"/>
          <w:highlight w:val="none"/>
        </w:rPr>
        <w:t xml:space="preserve">采购代理机构拒绝接收在其规定的投标截止时间后上传的任何投标文件。</w:t>
      </w:r>
      <w:r/>
    </w:p>
    <w:p>
      <w:pPr>
        <w:ind w:firstLine="562"/>
        <w:spacing w:line="500" w:lineRule="exact"/>
        <w:rPr>
          <w:rFonts w:hint="eastAsia" w:ascii="宋体" w:hAnsi="宋体" w:cs="宋体"/>
          <w:b/>
          <w:bCs/>
          <w:color w:val="auto"/>
          <w:sz w:val="28"/>
          <w:szCs w:val="28"/>
          <w:highlight w:val="none"/>
        </w:rPr>
      </w:pPr>
      <w:r/>
      <w:bookmarkStart w:id="153" w:name="_Toc16938544"/>
      <w:r/>
      <w:bookmarkStart w:id="154" w:name="_Toc20823300"/>
      <w:r/>
      <w:bookmarkStart w:id="155" w:name="_Toc513029228"/>
      <w:r>
        <w:rPr>
          <w:rFonts w:hint="eastAsia" w:ascii="宋体" w:hAnsi="宋体" w:cs="宋体"/>
          <w:b/>
          <w:bCs/>
          <w:color w:val="auto"/>
          <w:sz w:val="28"/>
          <w:szCs w:val="28"/>
          <w:highlight w:val="none"/>
        </w:rPr>
        <w:t xml:space="preserve">20、投标文件的撤回和修改</w:t>
      </w:r>
      <w:bookmarkEnd w:id="153"/>
      <w:r/>
      <w:bookmarkEnd w:id="154"/>
      <w:r/>
      <w:bookmarkEnd w:id="15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20.1 投标文件的撤回</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20.1.1 电子投标文件的撤回</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20.1.2 投标人撤回电子投标文件，则认为其不再参与本项目投标活动。</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 投标文件的修改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20.2.2</w:t>
      </w:r>
      <w:r>
        <w:rPr>
          <w:rFonts w:hint="eastAsia" w:ascii="宋体" w:hAnsi="宋体" w:cs="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20.3</w:t>
      </w:r>
      <w:r>
        <w:rPr>
          <w:rFonts w:hint="eastAsia" w:ascii="宋体" w:hAnsi="宋体" w:cs="宋体"/>
          <w:bCs/>
          <w:color w:val="auto"/>
          <w:sz w:val="24"/>
          <w:highlight w:val="none"/>
        </w:rPr>
        <w:t xml:space="preserve"> 在投标截止时间至招标文件中规定的投标有效期满之间的这段时间内，投标人不得撤回其投标。</w:t>
      </w:r>
      <w:r/>
    </w:p>
    <w:p>
      <w:pPr>
        <w:pStyle w:val="1019"/>
        <w:ind w:firstLine="883"/>
        <w:spacing w:before="290" w:after="0" w:line="500" w:lineRule="exact"/>
        <w:rPr>
          <w:rFonts w:hint="eastAsia" w:ascii="宋体" w:hAnsi="宋体" w:eastAsia="宋体" w:cs="宋体"/>
          <w:color w:val="auto"/>
          <w:highlight w:val="none"/>
        </w:rPr>
      </w:pPr>
      <w:r/>
      <w:bookmarkStart w:id="156" w:name="_Toc24990"/>
      <w:r/>
      <w:bookmarkStart w:id="157" w:name="_Toc120614218"/>
      <w:r/>
      <w:bookmarkStart w:id="158" w:name="_Toc513029229"/>
      <w:r/>
      <w:bookmarkStart w:id="159" w:name="_Toc16938545"/>
      <w:r/>
      <w:bookmarkStart w:id="160" w:name="_Toc20823301"/>
      <w:r>
        <w:rPr>
          <w:rFonts w:hint="eastAsia" w:ascii="宋体" w:hAnsi="宋体" w:eastAsia="宋体" w:cs="宋体"/>
          <w:color w:val="auto"/>
          <w:highlight w:val="none"/>
        </w:rPr>
        <w:t xml:space="preserve">五、开标与评标</w:t>
      </w:r>
      <w:bookmarkEnd w:id="156"/>
      <w:r/>
      <w:bookmarkEnd w:id="157"/>
      <w:r/>
      <w:bookmarkEnd w:id="158"/>
      <w:r/>
      <w:bookmarkEnd w:id="159"/>
      <w:r/>
      <w:bookmarkEnd w:id="160"/>
      <w:r/>
      <w:r/>
    </w:p>
    <w:p>
      <w:pPr>
        <w:ind w:firstLine="562"/>
        <w:spacing w:line="500" w:lineRule="exact"/>
        <w:rPr>
          <w:rFonts w:hint="eastAsia" w:ascii="宋体" w:hAnsi="宋体" w:cs="宋体"/>
          <w:b/>
          <w:bCs/>
          <w:color w:val="auto"/>
          <w:sz w:val="28"/>
          <w:szCs w:val="28"/>
          <w:highlight w:val="none"/>
        </w:rPr>
      </w:pPr>
      <w:r/>
      <w:bookmarkStart w:id="161" w:name="_Toc20823302"/>
      <w:r/>
      <w:bookmarkStart w:id="162" w:name="_Toc513029230"/>
      <w:r/>
      <w:bookmarkStart w:id="163" w:name="_Toc16938546"/>
      <w:r>
        <w:rPr>
          <w:rFonts w:hint="eastAsia" w:ascii="宋体" w:hAnsi="宋体" w:cs="宋体"/>
          <w:b/>
          <w:bCs/>
          <w:color w:val="auto"/>
          <w:sz w:val="28"/>
          <w:szCs w:val="28"/>
          <w:highlight w:val="none"/>
        </w:rPr>
        <w:t xml:space="preserve">21、开标</w:t>
      </w:r>
      <w:bookmarkEnd w:id="161"/>
      <w:r/>
      <w:bookmarkEnd w:id="162"/>
      <w:r/>
      <w:bookmarkEnd w:id="163"/>
      <w:r/>
      <w:r/>
    </w:p>
    <w:p>
      <w:pPr>
        <w:pStyle w:val="1149"/>
        <w:spacing w:line="500" w:lineRule="exact"/>
        <w:rPr>
          <w:rFonts w:hint="eastAsia" w:ascii="宋体" w:hAnsi="宋体" w:cs="宋体"/>
          <w:color w:val="auto"/>
          <w:sz w:val="24"/>
          <w:highlight w:val="none"/>
          <w:lang w:val="en-US"/>
        </w:rPr>
      </w:pPr>
      <w:r>
        <w:rPr>
          <w:rFonts w:hint="eastAsia" w:ascii="宋体" w:hAnsi="宋体" w:cs="宋体"/>
          <w:color w:val="auto"/>
          <w:sz w:val="24"/>
          <w:highlight w:val="none"/>
        </w:rPr>
        <w:t xml:space="preserve">21.1</w:t>
      </w:r>
      <w:r>
        <w:rPr>
          <w:rFonts w:hint="eastAsia" w:ascii="宋体" w:hAnsi="宋体" w:cs="宋体"/>
          <w:bCs/>
          <w:color w:val="auto"/>
          <w:sz w:val="24"/>
          <w:highlight w:val="none"/>
        </w:rPr>
        <w:t xml:space="preserve"> 采购代理机构将在招标公告中规定的时间和地点组织公开开标</w:t>
      </w:r>
      <w:r>
        <w:rPr>
          <w:rFonts w:hint="eastAsia" w:ascii="宋体" w:hAnsi="宋体" w:cs="宋体"/>
          <w:color w:val="auto"/>
          <w:sz w:val="24"/>
          <w:highlight w:val="none"/>
          <w:lang w:val="en-US"/>
        </w:rPr>
        <w:t xml:space="preserve">。投标人应当按照《“苏采云”系统供应商操作手册》规定，参加开标活动和在“苏采云”系统规定的时间内对投标文件进行解密。</w:t>
      </w:r>
      <w:r/>
    </w:p>
    <w:p>
      <w:pPr>
        <w:pStyle w:val="1149"/>
        <w:spacing w:line="500" w:lineRule="exact"/>
        <w:rPr>
          <w:rFonts w:hint="eastAsia" w:ascii="宋体" w:hAnsi="宋体" w:cs="宋体"/>
          <w:color w:val="auto"/>
          <w:sz w:val="24"/>
          <w:szCs w:val="24"/>
          <w:highlight w:val="none"/>
        </w:rPr>
      </w:pPr>
      <w:r>
        <w:rPr>
          <w:rFonts w:hint="eastAsia" w:ascii="宋体" w:hAnsi="宋体" w:cs="宋体"/>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00" w:lineRule="exact"/>
        <w:rPr>
          <w:rFonts w:hint="eastAsia" w:ascii="宋体" w:hAnsi="宋体" w:cs="宋体"/>
          <w:color w:val="auto"/>
          <w:highlight w:val="none"/>
        </w:rPr>
      </w:pPr>
      <w:r>
        <w:rPr>
          <w:rFonts w:hint="eastAsia" w:ascii="宋体" w:hAnsi="宋体" w:cs="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562"/>
        <w:spacing w:line="500" w:lineRule="exact"/>
        <w:rPr>
          <w:rFonts w:hint="eastAsia" w:ascii="宋体" w:hAnsi="宋体" w:cs="宋体"/>
          <w:b/>
          <w:bCs/>
          <w:color w:val="auto"/>
          <w:sz w:val="28"/>
          <w:szCs w:val="28"/>
          <w:highlight w:val="none"/>
        </w:rPr>
      </w:pPr>
      <w:r/>
      <w:bookmarkStart w:id="164" w:name="_Toc20823303"/>
      <w:r/>
      <w:bookmarkStart w:id="165" w:name="_Toc513029231"/>
      <w:r/>
      <w:bookmarkStart w:id="166" w:name="_Toc16938547"/>
      <w:r>
        <w:rPr>
          <w:rFonts w:hint="eastAsia" w:ascii="宋体" w:hAnsi="宋体" w:cs="宋体"/>
          <w:b/>
          <w:bCs/>
          <w:color w:val="auto"/>
          <w:sz w:val="28"/>
          <w:szCs w:val="28"/>
          <w:highlight w:val="none"/>
        </w:rPr>
        <w:t xml:space="preserve">22、评委会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开标后，采购代理机构将立即组织评委会（以下简称评委会）进行评标。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评委会由采购人代表和有关技术、经济等方面的专家组成，且人员构成符合政府采购有关规定。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22.3评委会独立工作，负责评审所有投标文件并确定中标侯选人。</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23、评标过程的保密与公正</w:t>
      </w:r>
      <w:bookmarkEnd w:id="164"/>
      <w:r/>
      <w:bookmarkEnd w:id="165"/>
      <w:r/>
      <w:bookmarkEnd w:id="166"/>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23.1</w:t>
      </w:r>
      <w:r>
        <w:rPr>
          <w:rFonts w:hint="eastAsia" w:ascii="宋体" w:hAnsi="宋体" w:cs="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采购代理机构和评委会不向未中标的投标人解释未中标原因，也不公布评标过程中的相关细节。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562"/>
        <w:spacing w:line="500" w:lineRule="exact"/>
        <w:rPr>
          <w:rFonts w:hint="eastAsia" w:ascii="宋体" w:hAnsi="宋体" w:cs="宋体"/>
          <w:b/>
          <w:bCs/>
          <w:color w:val="auto"/>
          <w:sz w:val="28"/>
          <w:szCs w:val="28"/>
          <w:highlight w:val="none"/>
        </w:rPr>
      </w:pPr>
      <w:r/>
      <w:bookmarkStart w:id="167" w:name="_Toc20823304"/>
      <w:r/>
      <w:bookmarkStart w:id="168" w:name="_Toc513029232"/>
      <w:r/>
      <w:bookmarkStart w:id="169" w:name="_Toc16938548"/>
      <w:r>
        <w:rPr>
          <w:rFonts w:hint="eastAsia" w:ascii="宋体" w:hAnsi="宋体" w:cs="宋体"/>
          <w:b/>
          <w:bCs/>
          <w:color w:val="auto"/>
          <w:sz w:val="28"/>
          <w:szCs w:val="28"/>
          <w:highlight w:val="none"/>
        </w:rPr>
        <w:t xml:space="preserve">24、投标文件的澄清</w:t>
      </w:r>
      <w:bookmarkEnd w:id="167"/>
      <w:r/>
      <w:bookmarkEnd w:id="168"/>
      <w:r/>
      <w:bookmarkEnd w:id="16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pStyle w:val="1149"/>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24.2需要投标人进行澄清、说明和补正的，</w:t>
      </w:r>
      <w:r>
        <w:rPr>
          <w:rFonts w:hint="eastAsia" w:ascii="宋体" w:hAnsi="宋体" w:cs="宋体"/>
          <w:color w:val="auto"/>
          <w:sz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highlight w:val="none"/>
          <w:lang w:val="en-US"/>
        </w:rPr>
        <w:t xml:space="preserve">在规定时间内</w:t>
      </w:r>
      <w:r>
        <w:rPr>
          <w:rFonts w:hint="eastAsia" w:ascii="宋体" w:hAnsi="宋体" w:cs="宋体"/>
          <w:color w:val="auto"/>
          <w:sz w:val="24"/>
          <w:szCs w:val="24"/>
          <w:highlight w:val="none"/>
          <w:lang w:val="en-US"/>
        </w:rPr>
        <w:t xml:space="preserve">通过</w:t>
      </w:r>
      <w:r>
        <w:rPr>
          <w:rFonts w:hint="eastAsia" w:ascii="宋体" w:hAnsi="宋体" w:cs="宋体"/>
          <w:color w:val="auto"/>
          <w:sz w:val="24"/>
          <w:highlight w:val="none"/>
          <w:lang w:val="en-US"/>
        </w:rPr>
        <w:t xml:space="preserve">“苏采云”系统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pStyle w:val="1149"/>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接到评委会澄清、说明和补正要求的投标人如未按规定做出澄清、说明和补正，其风险由投标人自行承担。</w:t>
      </w:r>
      <w:r/>
    </w:p>
    <w:p>
      <w:pPr>
        <w:ind w:firstLine="562"/>
        <w:spacing w:line="500" w:lineRule="exact"/>
        <w:rPr>
          <w:rFonts w:hint="eastAsia" w:ascii="宋体" w:hAnsi="宋体" w:cs="宋体"/>
          <w:b/>
          <w:bCs/>
          <w:color w:val="auto"/>
          <w:sz w:val="28"/>
          <w:szCs w:val="28"/>
          <w:highlight w:val="none"/>
        </w:rPr>
      </w:pPr>
      <w:r/>
      <w:bookmarkStart w:id="170" w:name="_Toc513029233"/>
      <w:r/>
      <w:bookmarkStart w:id="171" w:name="_Toc16938549"/>
      <w:r/>
      <w:bookmarkStart w:id="172" w:name="_Toc20823305"/>
      <w:r>
        <w:rPr>
          <w:rFonts w:hint="eastAsia" w:ascii="宋体" w:hAnsi="宋体" w:cs="宋体"/>
          <w:b/>
          <w:bCs/>
          <w:color w:val="auto"/>
          <w:sz w:val="28"/>
          <w:szCs w:val="28"/>
          <w:highlight w:val="none"/>
        </w:rPr>
        <w:t xml:space="preserve">25、对投标文件的初审</w:t>
      </w:r>
      <w:bookmarkEnd w:id="170"/>
      <w:r/>
      <w:bookmarkEnd w:id="171"/>
      <w:r/>
      <w:bookmarkEnd w:id="172"/>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25.1</w:t>
      </w:r>
      <w:r>
        <w:rPr>
          <w:rFonts w:hint="eastAsia" w:ascii="宋体" w:hAnsi="宋体" w:cs="宋体"/>
          <w:bCs/>
          <w:color w:val="auto"/>
          <w:sz w:val="24"/>
          <w:highlight w:val="none"/>
        </w:rPr>
        <w:t xml:space="preserve">投标文件初审分为资格审查和符合性审查。</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25.1.1 资格审查：依据法律法规和招标文件的规定，</w:t>
      </w:r>
      <w:r>
        <w:rPr>
          <w:rFonts w:hint="eastAsia" w:ascii="宋体" w:hAnsi="宋体" w:cs="宋体"/>
          <w:color w:val="auto"/>
          <w:sz w:val="24"/>
          <w:highlight w:val="none"/>
        </w:rPr>
        <w:t xml:space="preserve">由采购人或其委托的代理机构对投标文件中的资格证明文件进行审查，以确定投标人是否具备投标资格。</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25.1.3对各投标人符合性审查过程中，对初步被认定为无效投标者，由评委会组长或采购人代表将集体意见通过</w:t>
      </w:r>
      <w:r>
        <w:rPr>
          <w:rFonts w:hint="eastAsia" w:ascii="宋体" w:hAnsi="宋体" w:cs="宋体"/>
          <w:color w:val="auto"/>
          <w:sz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25.4</w:t>
      </w:r>
      <w:r>
        <w:rPr>
          <w:rFonts w:hint="eastAsia" w:ascii="宋体" w:hAnsi="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（2）大写金额和小写金额不一致的，以大写金额为准。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同时出现两种以上错误的，按照前款规定的顺序修正。</w:t>
      </w:r>
      <w:r/>
    </w:p>
    <w:p>
      <w:pPr>
        <w:ind w:firstLine="480"/>
        <w:spacing w:line="5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25.5 </w:t>
      </w:r>
      <w:r>
        <w:rPr>
          <w:rFonts w:hint="eastAsia" w:ascii="宋体" w:hAnsi="宋体" w:cs="宋体"/>
          <w:bCs/>
          <w:color w:val="auto"/>
          <w:sz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告知投标人，调整后的价格应对投标人具有约束力。如果投标人不接受修正后的价格，则其投标将被拒绝。</w:t>
      </w:r>
      <w:r/>
    </w:p>
    <w:p>
      <w:pPr>
        <w:ind w:firstLine="480"/>
        <w:spacing w:line="500" w:lineRule="exact"/>
        <w:rPr>
          <w:rFonts w:hint="eastAsia" w:ascii="宋体" w:hAnsi="宋体" w:cs="宋体"/>
          <w:color w:val="auto"/>
          <w:sz w:val="24"/>
          <w:highlight w:val="none"/>
        </w:rPr>
      </w:pPr>
      <w:r/>
      <w:bookmarkStart w:id="173" w:name="_Toc16938550"/>
      <w:r/>
      <w:bookmarkStart w:id="174" w:name="_Toc20823306"/>
      <w:r/>
      <w:bookmarkStart w:id="175" w:name="_Toc513029234"/>
      <w:r>
        <w:rPr>
          <w:rFonts w:hint="eastAsia" w:ascii="宋体" w:hAnsi="宋体" w:cs="宋体"/>
          <w:color w:val="auto"/>
          <w:sz w:val="24"/>
          <w:highlight w:val="none"/>
        </w:rPr>
        <w:t xml:space="preserve">25.6投标人在开、评标全过程中应应随时保持系统在线，及时在</w:t>
      </w:r>
      <w:r>
        <w:rPr>
          <w:rFonts w:hint="eastAsia" w:ascii="宋体" w:hAnsi="宋体" w:cs="宋体"/>
          <w:color w:val="auto"/>
          <w:sz w:val="24"/>
          <w:szCs w:val="24"/>
          <w:highlight w:val="none"/>
        </w:rPr>
        <w:t xml:space="preserve">“苏采云”系统</w:t>
      </w:r>
      <w:r>
        <w:rPr>
          <w:rFonts w:hint="eastAsia" w:ascii="宋体" w:hAnsi="宋体" w:cs="宋体"/>
          <w:color w:val="auto"/>
          <w:sz w:val="24"/>
          <w:highlight w:val="none"/>
        </w:rPr>
        <w:t xml:space="preserve">查阅、答复相关信息。</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26、</w:t>
      </w:r>
      <w:bookmarkEnd w:id="173"/>
      <w:r/>
      <w:bookmarkEnd w:id="174"/>
      <w:r/>
      <w:bookmarkEnd w:id="175"/>
      <w:r>
        <w:rPr>
          <w:rFonts w:hint="eastAsia" w:ascii="宋体" w:hAnsi="宋体" w:cs="宋体"/>
          <w:b/>
          <w:bCs/>
          <w:color w:val="auto"/>
          <w:sz w:val="28"/>
          <w:szCs w:val="28"/>
          <w:highlight w:val="none"/>
        </w:rPr>
        <w:t xml:space="preserve">无效投标条款和废标条款</w:t>
      </w:r>
      <w:r/>
    </w:p>
    <w:p>
      <w:pPr>
        <w:ind w:firstLine="480"/>
        <w:spacing w:line="500" w:lineRule="exact"/>
        <w:rPr>
          <w:rFonts w:hint="eastAsia" w:ascii="宋体" w:hAnsi="宋体" w:cs="宋体"/>
          <w:bCs/>
          <w:color w:val="auto"/>
          <w:sz w:val="24"/>
          <w:highlight w:val="none"/>
        </w:rPr>
      </w:pPr>
      <w:r/>
      <w:bookmarkStart w:id="176" w:name="_Toc513029235"/>
      <w:r/>
      <w:bookmarkStart w:id="177" w:name="_Toc20823307"/>
      <w:r/>
      <w:bookmarkStart w:id="178" w:name="_Toc16938551"/>
      <w:r>
        <w:rPr>
          <w:rFonts w:hint="eastAsia" w:ascii="宋体" w:hAnsi="宋体" w:cs="宋体"/>
          <w:bCs/>
          <w:color w:val="auto"/>
          <w:sz w:val="24"/>
          <w:highlight w:val="none"/>
        </w:rPr>
        <w:t xml:space="preserve">26.1无效投标条款</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26</w:t>
      </w:r>
      <w:r>
        <w:rPr>
          <w:rFonts w:hint="eastAsia" w:ascii="宋体" w:hAnsi="宋体" w:cs="宋体"/>
          <w:bCs/>
          <w:color w:val="auto"/>
          <w:sz w:val="24"/>
          <w:szCs w:val="24"/>
          <w:highlight w:val="none"/>
        </w:rPr>
        <w:t xml:space="preserve">.1.1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26.1.2 投标人未按照招标文件要求上传电子投标文件的。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26.1.3同一投标人提交两个（含两个）以上不同的投标报价的。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26.1.4投标人不具备招标文件中规定资格要求的。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26.1.5投标人的报价超过了采购预算或最高限价的。</w:t>
      </w:r>
      <w:r/>
    </w:p>
    <w:p>
      <w:pPr>
        <w:ind w:firstLine="480"/>
        <w:spacing w:line="500" w:lineRule="exact"/>
        <w:rPr>
          <w:rFonts w:hint="eastAsia" w:ascii="宋体" w:hAnsi="宋体" w:cs="宋体"/>
          <w:bCs/>
          <w:i/>
          <w:color w:val="auto"/>
          <w:sz w:val="24"/>
          <w:highlight w:val="none"/>
          <w:u w:val="single"/>
        </w:rPr>
      </w:pPr>
      <w:r>
        <w:rPr>
          <w:rFonts w:hint="eastAsia" w:ascii="宋体" w:hAnsi="宋体" w:cs="宋体"/>
          <w:bCs/>
          <w:color w:val="auto"/>
          <w:sz w:val="24"/>
          <w:highlight w:val="none"/>
        </w:rPr>
        <w:t xml:space="preserve">26.1.6未通过符合性审查的。</w:t>
      </w:r>
      <w:r/>
    </w:p>
    <w:p>
      <w:pPr>
        <w:ind w:firstLine="480"/>
        <w:spacing w:line="500" w:lineRule="exact"/>
        <w:rPr>
          <w:rFonts w:hint="eastAsia" w:ascii="宋体" w:hAnsi="宋体" w:cs="宋体"/>
          <w:bCs/>
          <w:i/>
          <w:color w:val="auto"/>
          <w:sz w:val="24"/>
          <w:highlight w:val="none"/>
          <w:u w:val="single"/>
        </w:rPr>
      </w:pPr>
      <w:r>
        <w:rPr>
          <w:rFonts w:hint="eastAsia" w:ascii="宋体" w:hAnsi="宋体" w:cs="宋体"/>
          <w:bCs/>
          <w:color w:val="auto"/>
          <w:sz w:val="24"/>
          <w:highlight w:val="none"/>
        </w:rPr>
        <w:t xml:space="preserve">26.1.7不符合招标文件中规定的实质性要求和条件的</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rPr>
        <w:t xml:space="preserve">打“★”内容为实质性要求和条件）。</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26.1.9 投标文件含有采购人不能接受的附加条件的。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要求其在合理的时间内提供说明，必要时提交相关证明材料；投标人不能证明其报价合理性的，评委会应当将其作为无效投标处理。</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lang w:val="zh-CN"/>
        </w:rPr>
        <w:t xml:space="preserve">26.1.11本项目采购产品被财政部、国家发改委、生态环境部等列入“节能产品品目清单”、“环境标志产品品目清单”强制采购范围，而</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人所</w:t>
      </w:r>
      <w:r>
        <w:rPr>
          <w:rFonts w:hint="eastAsia" w:ascii="宋体" w:hAnsi="宋体" w:cs="宋体"/>
          <w:color w:val="auto"/>
          <w:sz w:val="24"/>
          <w:highlight w:val="none"/>
        </w:rPr>
        <w:t xml:space="preserve">投</w:t>
      </w:r>
      <w:r>
        <w:rPr>
          <w:rFonts w:hint="eastAsia" w:ascii="宋体" w:hAnsi="宋体" w:cs="宋体"/>
          <w:color w:val="auto"/>
          <w:sz w:val="24"/>
          <w:highlight w:val="none"/>
          <w:lang w:val="zh-CN"/>
        </w:rPr>
        <w:t xml:space="preserve">产品不在强制采购范围内的。（所</w:t>
      </w:r>
      <w:r>
        <w:rPr>
          <w:rFonts w:hint="eastAsia" w:ascii="宋体" w:hAnsi="宋体" w:cs="宋体"/>
          <w:color w:val="auto"/>
          <w:sz w:val="24"/>
          <w:highlight w:val="none"/>
        </w:rPr>
        <w:t xml:space="preserve">投</w:t>
      </w:r>
      <w:r>
        <w:rPr>
          <w:rFonts w:hint="eastAsia" w:ascii="宋体" w:hAnsi="宋体" w:cs="宋体"/>
          <w:color w:val="auto"/>
          <w:sz w:val="24"/>
          <w:highlight w:val="none"/>
          <w:lang w:val="zh-CN"/>
        </w:rPr>
        <w:t xml:space="preserve">产品如属于政府强制采购节能产品品目清单范围内，</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文件中必须提供国家确定的认证机构出具的、处于有效期之内的该节能产品认证证书图片）。</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26.1.12 投标文件未按照招标文件要求加盖CA电子公章的。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26.1.13其他法律、法规及本招标文件规定的属无效投标的情形。</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26.2废标条款</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26.2.1符合专业条件的投标人或者对招标文件作实质响应的投标人不足三家的。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26.2.2出现影响采购公正的违法、违规行为的。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26.2.3因重大变故，采购任务取消的。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26.2.4评委会认定招标文件存在歧义、重大缺陷导致评审工作无法进行。</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系统故障原因造成开标不成功的。</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26.3 投标截止时间结束后参加投标的投标人不足三家的处理：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1019"/>
        <w:ind w:firstLine="883"/>
        <w:spacing w:before="290" w:after="0" w:line="500" w:lineRule="exact"/>
        <w:rPr>
          <w:rFonts w:hint="eastAsia" w:ascii="宋体" w:hAnsi="宋体" w:eastAsia="宋体" w:cs="宋体"/>
          <w:color w:val="auto"/>
          <w:highlight w:val="none"/>
        </w:rPr>
      </w:pPr>
      <w:r/>
      <w:bookmarkStart w:id="179" w:name="_Toc120614219"/>
      <w:r/>
      <w:bookmarkStart w:id="180" w:name="_Toc12995"/>
      <w:r>
        <w:rPr>
          <w:rFonts w:hint="eastAsia" w:ascii="宋体" w:hAnsi="宋体" w:eastAsia="宋体" w:cs="宋体"/>
          <w:color w:val="auto"/>
          <w:highlight w:val="none"/>
        </w:rPr>
        <w:t xml:space="preserve">六、</w:t>
      </w:r>
      <w:bookmarkEnd w:id="176"/>
      <w:r/>
      <w:bookmarkEnd w:id="177"/>
      <w:r/>
      <w:bookmarkEnd w:id="178"/>
      <w:r>
        <w:rPr>
          <w:rFonts w:hint="eastAsia" w:ascii="宋体" w:hAnsi="宋体" w:eastAsia="宋体" w:cs="宋体"/>
          <w:color w:val="auto"/>
          <w:highlight w:val="none"/>
        </w:rPr>
        <w:t xml:space="preserve">定标</w:t>
      </w:r>
      <w:bookmarkEnd w:id="179"/>
      <w:r/>
      <w:bookmarkEnd w:id="180"/>
      <w:r/>
      <w:r/>
    </w:p>
    <w:p>
      <w:pPr>
        <w:ind w:firstLine="562"/>
        <w:spacing w:line="500" w:lineRule="exact"/>
        <w:rPr>
          <w:rFonts w:hint="eastAsia" w:ascii="宋体" w:hAnsi="宋体" w:cs="宋体"/>
          <w:b/>
          <w:bCs/>
          <w:color w:val="auto"/>
          <w:sz w:val="28"/>
          <w:szCs w:val="28"/>
          <w:highlight w:val="none"/>
        </w:rPr>
      </w:pPr>
      <w:r/>
      <w:bookmarkStart w:id="181" w:name="_Toc513029238"/>
      <w:r/>
      <w:bookmarkStart w:id="182" w:name="_Toc16938554"/>
      <w:r/>
      <w:bookmarkStart w:id="183" w:name="_Toc20823310"/>
      <w:r>
        <w:rPr>
          <w:rFonts w:hint="eastAsia" w:ascii="宋体" w:hAnsi="宋体" w:cs="宋体"/>
          <w:b/>
          <w:bCs/>
          <w:color w:val="auto"/>
          <w:sz w:val="28"/>
          <w:szCs w:val="28"/>
          <w:highlight w:val="none"/>
        </w:rPr>
        <w:t xml:space="preserve">27、</w:t>
      </w:r>
      <w:bookmarkEnd w:id="181"/>
      <w:r>
        <w:rPr>
          <w:rFonts w:hint="eastAsia" w:ascii="宋体" w:hAnsi="宋体" w:cs="宋体"/>
          <w:b/>
          <w:bCs/>
          <w:color w:val="auto"/>
          <w:sz w:val="28"/>
          <w:szCs w:val="28"/>
          <w:highlight w:val="none"/>
        </w:rPr>
        <w:t xml:space="preserve">确定</w:t>
      </w:r>
      <w:bookmarkEnd w:id="182"/>
      <w:r/>
      <w:bookmarkEnd w:id="183"/>
      <w:r>
        <w:rPr>
          <w:rFonts w:hint="eastAsia" w:ascii="宋体" w:hAnsi="宋体" w:cs="宋体"/>
          <w:b/>
          <w:bCs/>
          <w:color w:val="auto"/>
          <w:sz w:val="28"/>
          <w:szCs w:val="28"/>
          <w:highlight w:val="none"/>
        </w:rPr>
        <w:t xml:space="preserve">中标单位</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27.1中标候选人的选取原则和数量见招标文件第五章规定。 </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27.2 按以下第</w:t>
      </w:r>
      <w:r>
        <w:rPr>
          <w:rFonts w:hint="eastAsia" w:ascii="宋体" w:hAnsi="宋体" w:cs="宋体"/>
          <w:bCs/>
          <w:color w:val="auto"/>
          <w:sz w:val="24"/>
          <w:highlight w:val="none"/>
          <w:u w:val="single"/>
          <w:lang w:val="zh-CN"/>
        </w:rPr>
        <w:t xml:space="preserve">（</w:t>
      </w:r>
      <w:r>
        <w:rPr>
          <w:rFonts w:hint="eastAsia" w:ascii="宋体" w:hAnsi="宋体" w:cs="宋体"/>
          <w:bCs/>
          <w:color w:val="auto"/>
          <w:sz w:val="24"/>
          <w:highlight w:val="none"/>
          <w:u w:val="single"/>
        </w:rPr>
        <w:t xml:space="preserve">2</w:t>
      </w:r>
      <w:r>
        <w:rPr>
          <w:rFonts w:hint="eastAsia" w:ascii="宋体" w:hAnsi="宋体" w:cs="宋体"/>
          <w:bCs/>
          <w:color w:val="auto"/>
          <w:sz w:val="24"/>
          <w:highlight w:val="none"/>
          <w:u w:val="single"/>
          <w:lang w:val="zh-CN"/>
        </w:rPr>
        <w:t xml:space="preserve">）</w:t>
      </w:r>
      <w:r>
        <w:rPr>
          <w:rFonts w:hint="eastAsia" w:ascii="宋体" w:hAnsi="宋体" w:cs="宋体"/>
          <w:bCs/>
          <w:color w:val="auto"/>
          <w:sz w:val="24"/>
          <w:highlight w:val="none"/>
          <w:lang w:val="zh-CN"/>
        </w:rPr>
        <w:t xml:space="preserve">种方式确定中标人</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（1）评委会直接确定排名第一的中标候选人为中标人；</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（2）采购人在评委会推荐的中标候选人中按顺序确定中标人。</w:t>
      </w:r>
      <w:r/>
    </w:p>
    <w:p>
      <w:pPr>
        <w:ind w:firstLine="480"/>
        <w:spacing w:line="500" w:lineRule="exact"/>
        <w:rPr>
          <w:rFonts w:hint="eastAsia" w:ascii="宋体" w:hAnsi="宋体" w:cs="宋体"/>
          <w:color w:val="auto"/>
          <w:highlight w:val="none"/>
        </w:rPr>
      </w:pPr>
      <w:r>
        <w:rPr>
          <w:rFonts w:hint="eastAsia" w:ascii="宋体" w:hAnsi="宋体" w:cs="宋体"/>
          <w:bCs/>
          <w:color w:val="auto"/>
          <w:sz w:val="24"/>
          <w:highlight w:val="none"/>
          <w:lang w:val="zh-CN"/>
        </w:rPr>
        <w:t xml:space="preserve">按第</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CN"/>
        </w:rPr>
        <w:t xml:space="preserve">种方式确定中标人的，</w:t>
      </w: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27.3 </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  若有充分证据证明，中标人出现下列情况之一的，一经查实，将被取消中标资格：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27.4.1提供虚假材料谋取中标的。</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27.4.2向采购人、采购代理机构行贿或者提供其他不正当利益的。</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27.4.3属于本文件规定的无效条件，但在评标过程中又未被评委会发现的。</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27.4.4与采购人或者其他投标人恶意串通的。</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27.4.5采取不正当手段诋毁、排挤其他投标人的。</w:t>
      </w:r>
      <w:r/>
    </w:p>
    <w:p>
      <w:pPr>
        <w:ind w:firstLine="480"/>
        <w:spacing w:line="500" w:lineRule="exact"/>
        <w:rPr>
          <w:rFonts w:hint="eastAsia" w:ascii="宋体" w:hAnsi="宋体" w:cs="宋体"/>
          <w:color w:val="auto"/>
          <w:sz w:val="24"/>
          <w:szCs w:val="24"/>
          <w:highlight w:val="none"/>
        </w:rPr>
      </w:pPr>
      <w:r/>
      <w:bookmarkStart w:id="184" w:name="_Toc200451960"/>
      <w:r>
        <w:rPr>
          <w:rFonts w:hint="eastAsia" w:ascii="宋体" w:hAnsi="宋体" w:cs="宋体"/>
          <w:color w:val="auto"/>
          <w:sz w:val="24"/>
          <w:szCs w:val="24"/>
          <w:highlight w:val="none"/>
        </w:rPr>
        <w:t xml:space="preserve">27.5 有下列情形之一的，视为投标人串通投标，投标无效：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27.5.1不同投标人的投标文件由同一单位或者个人编制。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27.5.2不同投标人委托同一单位或者个人办理投标事宜。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27.5.4不同投标人的投标文件异常一致或者投标报价呈规律性差异。</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28、质疑处理</w:t>
      </w:r>
      <w:bookmarkEnd w:id="18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28.2.2对采购过程提出质疑的，为各采购程序环节结束之日；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 投标人应以书面形式向采购人或者其委托的采购代理机构提出质疑。质疑超出采购机构代理范围的，投标人应当向采购人提出。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接收质疑函的方式：现场接收或邮寄接收。</w:t>
      </w:r>
      <w:r/>
    </w:p>
    <w:p>
      <w:pPr>
        <w:ind w:firstLine="480"/>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联系部门：宿迁市宿豫区住房和城乡建设局（或江苏科建工程项目管理有限公司）</w:t>
      </w:r>
      <w:r/>
    </w:p>
    <w:p>
      <w:pPr>
        <w:ind w:firstLine="480"/>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联系电话：0527-84465250（或0527-88988618）</w:t>
      </w:r>
      <w:r/>
    </w:p>
    <w:p>
      <w:pPr>
        <w:ind w:firstLine="480"/>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通讯地址：宿迁市宿豫区创新大厦（或宿迁电子商务产业园恒通大厦507B室）</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 以下情形的质疑不予受理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28.5.2 超出政府采购法定期限的质疑。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28.5.4 未参加投标活动的投标人或在投标活动中自身权益未受到损害的投标人所提出的质疑。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28.5.5投标人组成联合体参加投标，联合体中任何一方或多方未按要求签字、盖章、加盖公章的质疑。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29、中标通知书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1019"/>
        <w:ind w:firstLine="883"/>
        <w:spacing w:before="290" w:after="0" w:line="500" w:lineRule="exact"/>
        <w:rPr>
          <w:rFonts w:hint="eastAsia" w:ascii="宋体" w:hAnsi="宋体" w:eastAsia="宋体" w:cs="宋体"/>
          <w:color w:val="auto"/>
          <w:highlight w:val="none"/>
        </w:rPr>
      </w:pPr>
      <w:r/>
      <w:bookmarkStart w:id="185" w:name="_Toc120614220"/>
      <w:r/>
      <w:bookmarkStart w:id="186" w:name="_Toc21196"/>
      <w:r/>
      <w:bookmarkStart w:id="187" w:name="_Toc16938552"/>
      <w:r/>
      <w:bookmarkStart w:id="188" w:name="_Toc20823308"/>
      <w:r/>
      <w:bookmarkStart w:id="189" w:name="_Toc513029236"/>
      <w:r>
        <w:rPr>
          <w:rFonts w:hint="eastAsia" w:ascii="宋体" w:hAnsi="宋体" w:eastAsia="宋体" w:cs="宋体"/>
          <w:color w:val="auto"/>
          <w:highlight w:val="none"/>
        </w:rPr>
        <w:t xml:space="preserve">七、授予合同</w:t>
      </w:r>
      <w:bookmarkEnd w:id="185"/>
      <w:r/>
      <w:bookmarkEnd w:id="186"/>
      <w:r/>
      <w:bookmarkEnd w:id="187"/>
      <w:r/>
      <w:bookmarkEnd w:id="188"/>
      <w:r/>
      <w:bookmarkEnd w:id="189"/>
      <w:r/>
      <w:r/>
    </w:p>
    <w:p>
      <w:pPr>
        <w:ind w:firstLine="562"/>
        <w:spacing w:line="500" w:lineRule="exact"/>
        <w:rPr>
          <w:rFonts w:hint="eastAsia" w:ascii="宋体" w:hAnsi="宋体" w:cs="宋体"/>
          <w:b/>
          <w:bCs/>
          <w:color w:val="auto"/>
          <w:sz w:val="28"/>
          <w:szCs w:val="28"/>
          <w:highlight w:val="none"/>
        </w:rPr>
      </w:pPr>
      <w:r/>
      <w:bookmarkStart w:id="190" w:name="_Toc16938553"/>
      <w:r/>
      <w:bookmarkStart w:id="191" w:name="_Toc513029237"/>
      <w:r/>
      <w:bookmarkStart w:id="192" w:name="_Toc20823309"/>
      <w:r>
        <w:rPr>
          <w:rFonts w:hint="eastAsia" w:ascii="宋体" w:hAnsi="宋体" w:cs="宋体"/>
          <w:b/>
          <w:bCs/>
          <w:color w:val="auto"/>
          <w:sz w:val="28"/>
          <w:szCs w:val="28"/>
          <w:highlight w:val="none"/>
        </w:rPr>
        <w:t xml:space="preserve">30. 签订合同</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szCs w:val="24"/>
          <w:highlight w:val="none"/>
        </w:rPr>
        <w:t xml:space="preserve">30</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30.4本项目的非主体、非关键性工作是否允许分包按以下第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ind w:firstLine="480"/>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30.4履约保证金</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按照以下第</w:t>
      </w:r>
      <w:r>
        <w:rPr>
          <w:rFonts w:hint="eastAsia" w:ascii="宋体" w:hAnsi="宋体" w:cs="宋体"/>
          <w:bCs/>
          <w:color w:val="auto"/>
          <w:sz w:val="24"/>
          <w:highlight w:val="none"/>
          <w:u w:val="single"/>
        </w:rPr>
        <w:t xml:space="preserve">（1）</w:t>
      </w:r>
      <w:r>
        <w:rPr>
          <w:rFonts w:hint="eastAsia" w:ascii="宋体" w:hAnsi="宋体" w:cs="宋体"/>
          <w:bCs/>
          <w:color w:val="auto"/>
          <w:sz w:val="24"/>
          <w:highlight w:val="none"/>
          <w:lang w:val="zh-CN"/>
        </w:rPr>
        <w:t xml:space="preserve">方式确定履约保证收取方式。</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(1)不收取履约保证金。</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(2)履约保证金应在采购合同签订前提交，履约保证金的金额：</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lang w:val="zh-CN"/>
        </w:rPr>
        <w:t xml:space="preserve">按采购合同总价的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履约保证金退还的条件：按以下方式实行：</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服务类项目，项目履约期满评价合格，出具</w:t>
      </w:r>
      <w:r>
        <w:rPr>
          <w:rFonts w:hint="eastAsia" w:ascii="宋体" w:hAnsi="宋体" w:cs="宋体"/>
          <w:bCs/>
          <w:color w:val="auto"/>
          <w:sz w:val="24"/>
          <w:highlight w:val="none"/>
        </w:rPr>
        <w:t xml:space="preserve">验收报告（</w:t>
      </w:r>
      <w:r>
        <w:rPr>
          <w:rFonts w:hint="eastAsia" w:ascii="宋体" w:hAnsi="宋体" w:cs="宋体"/>
          <w:bCs/>
          <w:color w:val="auto"/>
          <w:sz w:val="24"/>
          <w:highlight w:val="none"/>
          <w:lang w:val="zh-CN"/>
        </w:rPr>
        <w:t xml:space="preserve">履约评价报告</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zh-CN"/>
        </w:rPr>
        <w:t xml:space="preserve">及履约保证金收据申请退付；</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履约保证金退还时间：采购单位收到投标人退付申请后5个工作日内退还；</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31、服务（包含与服务相关的货物）的追加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90"/>
      <w:r/>
      <w:bookmarkEnd w:id="191"/>
      <w:r/>
      <w:bookmarkEnd w:id="192"/>
      <w:r/>
      <w:r/>
    </w:p>
    <w:p>
      <w:pPr>
        <w:ind w:firstLine="562"/>
        <w:spacing w:line="500" w:lineRule="exact"/>
        <w:rPr>
          <w:rFonts w:hint="eastAsia" w:ascii="宋体" w:hAnsi="宋体" w:cs="宋体"/>
          <w:b/>
          <w:bCs/>
          <w:color w:val="auto"/>
          <w:sz w:val="28"/>
          <w:szCs w:val="28"/>
          <w:highlight w:val="none"/>
        </w:rPr>
      </w:pPr>
      <w:r/>
      <w:bookmarkStart w:id="193" w:name="_Toc16938558"/>
      <w:r/>
      <w:bookmarkStart w:id="194" w:name="_Toc120614221"/>
      <w:r/>
      <w:bookmarkStart w:id="195" w:name="_Toc513029242"/>
      <w:r/>
      <w:bookmarkStart w:id="196" w:name="_Toc479757207"/>
      <w:r/>
      <w:bookmarkStart w:id="197" w:name="_Toc20823314"/>
      <w:r>
        <w:rPr>
          <w:rFonts w:hint="eastAsia" w:ascii="宋体" w:hAnsi="宋体" w:cs="宋体"/>
          <w:b/>
          <w:bCs/>
          <w:color w:val="auto"/>
          <w:sz w:val="28"/>
          <w:szCs w:val="28"/>
          <w:highlight w:val="none"/>
        </w:rPr>
        <w:t xml:space="preserve">32、政府采购履约资金扶持政策</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32.1依</w:t>
      </w:r>
      <w:r>
        <w:rPr>
          <w:rFonts w:hint="eastAsia" w:ascii="宋体" w:hAnsi="宋体" w:cs="宋体"/>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33、验收及付款</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33.2采购人可以邀请参加本项目的其他投标人或者第三方机构参与验收。参与验收的投标人或者第三方机构的意见作为验收书的参考资料一并存档。</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33.3严格按照采购合同开展履约验收。采购人成立验收小组，按照采购合同的约定对供应商履约情况进行验收。验收结束后，应当出具验收书，由验收双方共同签署。验收结果与采购合同约定的资金支付挂钩。履约验收的各项资料应当存档备查。</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62"/>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34、付款</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bookmarkStart w:id="198" w:name="EBec7f529f50594afd871ea9378869e456"/>
      <w:r>
        <w:rPr>
          <w:rFonts w:hint="eastAsia" w:ascii="宋体" w:hAnsi="宋体" w:cs="宋体"/>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98"/>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预付款：合同金额的</w:t>
      </w:r>
      <w:bookmarkStart w:id="199" w:name="EBe373fd05aa034cc3a1a41aadf8509e01"/>
      <w:r>
        <w:rPr>
          <w:rFonts w:hint="eastAsia" w:ascii="宋体" w:hAnsi="宋体" w:cs="宋体"/>
          <w:bCs/>
          <w:color w:val="auto"/>
          <w:sz w:val="24"/>
          <w:highlight w:val="none"/>
          <w:u w:val="single"/>
        </w:rPr>
        <w:t xml:space="preserve">10</w:t>
      </w:r>
      <w:r>
        <w:rPr>
          <w:rFonts w:hint="eastAsia" w:ascii="宋体" w:hAnsi="宋体" w:cs="宋体"/>
          <w:bCs/>
          <w:color w:val="auto"/>
          <w:sz w:val="24"/>
          <w:highlight w:val="none"/>
        </w:rPr>
        <w:t xml:space="preserve">%</w:t>
      </w:r>
      <w:bookmarkEnd w:id="199"/>
      <w:r>
        <w:rPr>
          <w:rFonts w:hint="eastAsia" w:ascii="宋体" w:hAnsi="宋体" w:cs="宋体"/>
          <w:bCs/>
          <w:color w:val="auto"/>
          <w:sz w:val="24"/>
          <w:highlight w:val="none"/>
        </w:rPr>
        <w:t xml:space="preserve">，合同签订后按规定支付；</w:t>
      </w:r>
      <w:r>
        <w:rPr>
          <w:rFonts w:hint="eastAsia" w:ascii="宋体" w:hAnsi="宋体" w:cs="宋体"/>
          <w:color w:val="auto"/>
          <w:sz w:val="24"/>
          <w:highlight w:val="none"/>
        </w:rPr>
        <w:t xml:space="preserve">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进度款：</w:t>
      </w:r>
      <w:bookmarkStart w:id="200" w:name="EB5e42c1c1be704ecfa15d9f8f317e8f12"/>
      <w:r/>
      <w:bookmarkEnd w:id="200"/>
      <w:r>
        <w:rPr>
          <w:rFonts w:hint="eastAsia" w:ascii="宋体" w:hAnsi="宋体" w:cs="宋体"/>
          <w:bCs/>
          <w:color w:val="auto"/>
          <w:sz w:val="24"/>
          <w:highlight w:val="none"/>
          <w:lang w:eastAsia="zh-CN"/>
        </w:rPr>
        <w:t xml:space="preserve">现有绿化管养和物业服务合同到期后陆续移交，按照实际接收和完成的管养服务时长和面积计算实际发生的费用，按月考核，按季度拨付，根据实际管养、施工情况和考核结果，拨付扣除预付款之后（每次扣除预付款比例为预付款*10%）的经费。付款时由中标人提供正规发票后进行拨付</w:t>
      </w:r>
      <w:r>
        <w:rPr>
          <w:rFonts w:hint="eastAsia" w:ascii="宋体" w:hAnsi="宋体" w:cs="宋体"/>
          <w:bCs/>
          <w:color w:val="auto"/>
          <w:sz w:val="24"/>
          <w:highlight w:val="none"/>
        </w:rPr>
        <w:t xml:space="preserve">。</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例：</w:t>
      </w:r>
      <w:r>
        <w:rPr>
          <w:rFonts w:hint="eastAsia" w:ascii="宋体" w:hAnsi="宋体" w:cs="宋体"/>
          <w:bCs/>
          <w:color w:val="auto"/>
          <w:sz w:val="24"/>
          <w:highlight w:val="none"/>
          <w:lang w:eastAsia="zh-CN"/>
        </w:rPr>
        <w:t xml:space="preserve">管养第一年第一次拨付度经费为500万，则本次实际拨付经费为：500-（预付款*10%）</w:t>
      </w:r>
      <w:r>
        <w:rPr>
          <w:rFonts w:hint="eastAsia" w:ascii="宋体" w:hAnsi="宋体" w:cs="宋体"/>
          <w:bCs/>
          <w:color w:val="auto"/>
          <w:sz w:val="24"/>
          <w:highlight w:val="none"/>
        </w:rPr>
        <w:t xml:space="preserve">。</w:t>
      </w:r>
      <w:r/>
    </w:p>
    <w:p>
      <w:pPr>
        <w:ind w:firstLine="480"/>
        <w:spacing w:line="500" w:lineRule="exact"/>
        <w:rPr>
          <w:rFonts w:hint="eastAsia" w:ascii="宋体" w:hAnsi="宋体" w:cs="宋体"/>
          <w:bCs/>
          <w:color w:val="auto"/>
          <w:sz w:val="24"/>
          <w:highlight w:val="none"/>
        </w:rPr>
      </w:pPr>
      <w:r/>
      <w:bookmarkStart w:id="201" w:name="EB11398ec6946f4019bc4c35221e27b04f"/>
      <w:r>
        <w:rPr>
          <w:rFonts w:hint="eastAsia" w:ascii="宋体" w:hAnsi="宋体" w:cs="宋体"/>
          <w:bCs/>
          <w:color w:val="auto"/>
          <w:sz w:val="24"/>
          <w:highlight w:val="none"/>
        </w:rPr>
        <w:t xml:space="preserve">注：在签订合同时，中标人明确表示无需预付款或者主动要求降低预付款比例的金额，采购人可不适用预付款规定。</w:t>
      </w:r>
      <w:bookmarkEnd w:id="201"/>
      <w:r/>
      <w:r/>
    </w:p>
    <w:p>
      <w:pPr>
        <w:pStyle w:val="101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Start w:id="202" w:name="_Toc22264"/>
      <w:r>
        <w:rPr>
          <w:rFonts w:hint="eastAsia" w:ascii="宋体" w:hAnsi="宋体" w:eastAsia="宋体" w:cs="宋体"/>
          <w:b/>
          <w:bCs w:val="0"/>
          <w:color w:val="auto"/>
          <w:sz w:val="44"/>
          <w:highlight w:val="none"/>
        </w:rPr>
        <w:t xml:space="preserve">第三章  合同</w:t>
      </w:r>
      <w:bookmarkEnd w:id="193"/>
      <w:r/>
      <w:bookmarkEnd w:id="194"/>
      <w:r/>
      <w:bookmarkEnd w:id="195"/>
      <w:r/>
      <w:bookmarkEnd w:id="196"/>
      <w:r/>
      <w:bookmarkEnd w:id="197"/>
      <w:r>
        <w:rPr>
          <w:rFonts w:hint="eastAsia" w:ascii="宋体" w:hAnsi="宋体" w:eastAsia="宋体" w:cs="宋体"/>
          <w:b/>
          <w:bCs w:val="0"/>
          <w:color w:val="auto"/>
          <w:sz w:val="44"/>
          <w:highlight w:val="none"/>
        </w:rPr>
        <w:t xml:space="preserve">文本</w:t>
      </w:r>
      <w:bookmarkEnd w:id="202"/>
      <w:r/>
      <w:r/>
    </w:p>
    <w:p>
      <w:pPr>
        <w:ind w:firstLine="480"/>
        <w:spacing w:line="500" w:lineRule="exact"/>
        <w:rPr>
          <w:rFonts w:hint="eastAsia" w:ascii="宋体" w:hAnsi="宋体" w:cs="宋体"/>
          <w:bCs/>
          <w:color w:val="auto"/>
          <w:sz w:val="24"/>
          <w:highlight w:val="none"/>
        </w:rPr>
      </w:pPr>
      <w:r/>
      <w:bookmarkStart w:id="203" w:name="_Toc513029243"/>
      <w:r/>
      <w:bookmarkStart w:id="204" w:name="_Toc20823315"/>
      <w:r/>
      <w:bookmarkStart w:id="205" w:name="_Toc16938559"/>
      <w:r>
        <w:rPr>
          <w:rFonts w:hint="eastAsia" w:ascii="宋体" w:hAnsi="宋体" w:cs="宋体"/>
          <w:bCs/>
          <w:color w:val="auto"/>
          <w:sz w:val="24"/>
          <w:highlight w:val="none"/>
        </w:rPr>
        <w:t xml:space="preserve">以下为中标后签定本项目合同的通用条款，中标人不得提出实质性的修改。</w:t>
      </w:r>
      <w:r/>
    </w:p>
    <w:p>
      <w:pPr>
        <w:jc w:val="center"/>
        <w:spacing w:before="145" w:after="145"/>
        <w:rPr>
          <w:rFonts w:hint="eastAsia" w:ascii="宋体" w:hAnsi="宋体" w:cs="宋体"/>
          <w:b/>
          <w:bCs/>
          <w:color w:val="auto"/>
          <w:sz w:val="30"/>
          <w:szCs w:val="20"/>
          <w:highlight w:val="none"/>
        </w:rPr>
      </w:pPr>
      <w:r>
        <w:rPr>
          <w:rFonts w:hint="eastAsia" w:ascii="宋体" w:hAnsi="宋体" w:cs="宋体"/>
          <w:b/>
          <w:color w:val="auto"/>
          <w:sz w:val="30"/>
          <w:highlight w:val="none"/>
        </w:rPr>
        <w:t xml:space="preserve">江苏省政府采购合同（服务）（合同编号）</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项目名称：宿豫区绿化管养项目（2024年至2026年）  </w:t>
      </w:r>
      <w:r/>
    </w:p>
    <w:p>
      <w:pPr>
        <w:pStyle w:val="1055"/>
        <w:ind w:firstLine="480"/>
        <w:spacing w:line="500" w:lineRule="exact"/>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JSZC-321311-JSKJ-G2024-0072</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甲方（买方）：_________</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乙方（卖方）：_________</w:t>
      </w:r>
      <w:r/>
    </w:p>
    <w:p>
      <w:pPr>
        <w:pStyle w:val="1055"/>
        <w:ind w:firstLine="480"/>
        <w:spacing w:line="500" w:lineRule="exact"/>
        <w:rPr>
          <w:rFonts w:hint="eastAsia" w:hAnsi="宋体" w:cs="宋体"/>
          <w:b/>
          <w:color w:val="auto"/>
          <w:sz w:val="24"/>
          <w:szCs w:val="24"/>
          <w:highlight w:val="none"/>
        </w:rPr>
      </w:pPr>
      <w:r>
        <w:rPr>
          <w:rFonts w:hint="eastAsia" w:hAnsi="宋体" w:cs="宋体"/>
          <w:color w:val="auto"/>
          <w:sz w:val="24"/>
          <w:szCs w:val="24"/>
          <w:highlight w:val="none"/>
        </w:rPr>
        <w:t xml:space="preserve">甲、乙双方根据</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项目公开招标的结果，签署本合同。</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一、合同内容</w:t>
      </w:r>
      <w:r/>
    </w:p>
    <w:p>
      <w:pPr>
        <w:pStyle w:val="1055"/>
        <w:ind w:firstLine="480"/>
        <w:spacing w:line="500" w:lineRule="exact"/>
        <w:rPr>
          <w:rFonts w:hint="eastAsia" w:hAnsi="宋体" w:cs="宋体"/>
          <w:color w:val="auto"/>
          <w:sz w:val="24"/>
          <w:szCs w:val="24"/>
          <w:highlight w:val="none"/>
          <w:u w:val="single"/>
        </w:rPr>
      </w:pPr>
      <w:r>
        <w:rPr>
          <w:rFonts w:hint="eastAsia" w:hAnsi="宋体" w:cs="宋体"/>
          <w:color w:val="auto"/>
          <w:sz w:val="24"/>
          <w:szCs w:val="24"/>
          <w:highlight w:val="none"/>
        </w:rPr>
        <w:t xml:space="preserve">1.1 项目概要：</w:t>
      </w:r>
      <w:r>
        <w:rPr>
          <w:rFonts w:hint="eastAsia" w:hAnsi="宋体" w:cs="宋体"/>
          <w:color w:val="auto"/>
          <w:sz w:val="24"/>
          <w:szCs w:val="24"/>
          <w:highlight w:val="none"/>
          <w:u w:val="single"/>
        </w:rPr>
        <w:t xml:space="preserve">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1.2 服务质量标准：</w:t>
      </w:r>
      <w:r>
        <w:rPr>
          <w:rFonts w:hint="eastAsia" w:hAnsi="宋体" w:cs="宋体"/>
          <w:color w:val="auto"/>
          <w:sz w:val="24"/>
          <w:szCs w:val="24"/>
          <w:highlight w:val="none"/>
          <w:u w:val="single"/>
        </w:rPr>
        <w:t xml:space="preserve">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1.3 标的数量（规模）：</w:t>
      </w:r>
      <w:r>
        <w:rPr>
          <w:rFonts w:hint="eastAsia" w:hAnsi="宋体" w:cs="宋体"/>
          <w:color w:val="auto"/>
          <w:sz w:val="24"/>
          <w:szCs w:val="24"/>
          <w:highlight w:val="none"/>
          <w:u w:val="single"/>
        </w:rPr>
        <w:t xml:space="preserve">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 履行时间（期限）：</w:t>
      </w:r>
      <w:r>
        <w:rPr>
          <w:rFonts w:hint="eastAsia" w:hAnsi="宋体" w:cs="宋体"/>
          <w:color w:val="auto"/>
          <w:sz w:val="24"/>
          <w:szCs w:val="24"/>
          <w:highlight w:val="none"/>
          <w:u w:val="single"/>
        </w:rPr>
        <w:t xml:space="preserve">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1.5 履行地点：</w:t>
      </w:r>
      <w:r>
        <w:rPr>
          <w:rFonts w:hint="eastAsia" w:hAnsi="宋体" w:cs="宋体"/>
          <w:color w:val="auto"/>
          <w:sz w:val="24"/>
          <w:szCs w:val="24"/>
          <w:highlight w:val="none"/>
          <w:u w:val="single"/>
        </w:rPr>
        <w:t xml:space="preserve">                  </w:t>
      </w:r>
      <w:r/>
    </w:p>
    <w:p>
      <w:pPr>
        <w:pStyle w:val="1055"/>
        <w:ind w:firstLine="480"/>
        <w:spacing w:line="500" w:lineRule="exact"/>
        <w:rPr>
          <w:rFonts w:hint="eastAsia" w:hAnsi="宋体" w:cs="宋体"/>
          <w:color w:val="auto"/>
          <w:sz w:val="24"/>
          <w:szCs w:val="24"/>
          <w:highlight w:val="none"/>
          <w:u w:val="single"/>
        </w:rPr>
      </w:pPr>
      <w:r>
        <w:rPr>
          <w:rFonts w:hint="eastAsia" w:hAnsi="宋体" w:cs="宋体"/>
          <w:color w:val="auto"/>
          <w:sz w:val="24"/>
          <w:szCs w:val="24"/>
          <w:highlight w:val="none"/>
        </w:rPr>
        <w:t xml:space="preserve">1.6履行方式：</w:t>
      </w:r>
      <w:r>
        <w:rPr>
          <w:rFonts w:hint="eastAsia" w:hAnsi="宋体" w:cs="宋体"/>
          <w:color w:val="auto"/>
          <w:sz w:val="24"/>
          <w:szCs w:val="24"/>
          <w:highlight w:val="none"/>
          <w:u w:val="single"/>
        </w:rPr>
        <w:t xml:space="preserve">                  </w:t>
      </w:r>
      <w:r/>
    </w:p>
    <w:p>
      <w:pPr>
        <w:pStyle w:val="1055"/>
        <w:ind w:firstLine="480"/>
        <w:spacing w:line="500" w:lineRule="exact"/>
        <w:rPr>
          <w:rFonts w:hint="eastAsia" w:hAnsi="宋体" w:cs="宋体"/>
          <w:color w:val="auto"/>
          <w:sz w:val="24"/>
          <w:szCs w:val="24"/>
          <w:highlight w:val="none"/>
          <w:u w:val="single"/>
        </w:rPr>
      </w:pPr>
      <w:r>
        <w:rPr>
          <w:rFonts w:hint="eastAsia" w:hAnsi="宋体" w:cs="宋体"/>
          <w:color w:val="auto"/>
          <w:sz w:val="24"/>
          <w:szCs w:val="24"/>
          <w:highlight w:val="none"/>
        </w:rPr>
        <w:t xml:space="preserve">1.7标的需执行的国家相关标准、行业标准、地方标准：</w:t>
      </w:r>
      <w:r>
        <w:rPr>
          <w:rFonts w:hint="eastAsia" w:hAnsi="宋体" w:cs="宋体"/>
          <w:color w:val="auto"/>
          <w:sz w:val="24"/>
          <w:szCs w:val="24"/>
          <w:highlight w:val="none"/>
          <w:u w:val="single"/>
        </w:rPr>
        <w:t xml:space="preserve">             </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二、合同金额</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2.1 本合同金额为（大写）：__________圆（__________元）人民币或其他币种。</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三、技术资料</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3.1乙方应按招标文件规定的时间向甲方提供服务（包含与服务相关的货物）的有关技术资料。</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四、知识产权</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55"/>
        <w:ind w:firstLine="482"/>
        <w:spacing w:line="500" w:lineRule="exact"/>
        <w:rPr>
          <w:rFonts w:hint="eastAsia" w:hAnsi="宋体" w:cs="宋体"/>
          <w:color w:val="auto"/>
          <w:sz w:val="24"/>
          <w:szCs w:val="24"/>
          <w:highlight w:val="none"/>
          <w:u w:val="single"/>
        </w:rPr>
      </w:pPr>
      <w:r>
        <w:rPr>
          <w:rFonts w:hint="eastAsia" w:hAnsi="宋体" w:cs="宋体"/>
          <w:b/>
          <w:color w:val="auto"/>
          <w:sz w:val="24"/>
          <w:szCs w:val="24"/>
          <w:highlight w:val="none"/>
        </w:rPr>
        <w:t xml:space="preserve">五、产权担保</w:t>
      </w:r>
      <w:r/>
    </w:p>
    <w:p>
      <w:pPr>
        <w:pStyle w:val="1055"/>
        <w:ind w:firstLine="480"/>
        <w:spacing w:line="500" w:lineRule="exact"/>
        <w:rPr>
          <w:rFonts w:hint="eastAsia" w:hAnsi="宋体" w:cs="宋体"/>
          <w:bCs/>
          <w:color w:val="auto"/>
          <w:sz w:val="24"/>
          <w:highlight w:val="none"/>
          <w:lang w:val="zh-CN"/>
        </w:rPr>
      </w:pPr>
      <w:r>
        <w:rPr>
          <w:rFonts w:hint="eastAsia" w:hAnsi="宋体" w:cs="宋体"/>
          <w:bCs/>
          <w:color w:val="auto"/>
          <w:sz w:val="24"/>
          <w:highlight w:val="none"/>
          <w:lang w:val="zh-CN"/>
        </w:rPr>
        <w:t xml:space="preserve">5.1 乙方保证所交付的服务（包含与服务相关的货物）的所有权完全属于乙方且无任何抵押、查封等产权瑕疵。</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六、履约保证金</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不收取履约保证金。</w:t>
      </w:r>
      <w:r/>
    </w:p>
    <w:p>
      <w:pPr>
        <w:ind w:firstLine="482"/>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七、合同转包或分包</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7.1乙方不得将合同标的转包给他人履行。</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7.2乙方不得将合同标的分包给他人履行。</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7.3乙方如有转包或未经甲方同意的分包行为，甲方有权解除合同。</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八、合同款项支付</w:t>
      </w:r>
      <w:r/>
    </w:p>
    <w:p>
      <w:pPr>
        <w:pStyle w:val="1055"/>
        <w:ind w:firstLine="480"/>
        <w:spacing w:line="5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8.1合同款项的支付方式及进度安排</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资金支付的方式：</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按照以下确定的付款方式，甲方及时办理付款手续。对于满足合同约定支付条件的，自收到发票后10个工作日内将资金支付到合同约定的乙方账户或乙方数字人民币账户。</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预付款，</w:t>
      </w:r>
      <w:r>
        <w:rPr>
          <w:rFonts w:hint="eastAsia" w:ascii="宋体" w:hAnsi="宋体" w:cs="宋体"/>
          <w:bCs/>
          <w:color w:val="auto"/>
          <w:sz w:val="24"/>
          <w:highlight w:val="none"/>
          <w:lang w:val="zh-CN"/>
        </w:rPr>
        <w:t xml:space="preserve">签订合同后内支付合同总价款的</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val="zh-CN"/>
        </w:rPr>
        <w:t xml:space="preserve">0%；</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进度款：</w:t>
      </w:r>
      <w:r>
        <w:rPr>
          <w:rFonts w:hint="eastAsia" w:ascii="宋体" w:hAnsi="宋体" w:cs="宋体"/>
          <w:bCs/>
          <w:color w:val="auto"/>
          <w:sz w:val="24"/>
          <w:highlight w:val="none"/>
          <w:lang w:eastAsia="zh-CN"/>
        </w:rPr>
        <w:t xml:space="preserve">现有绿化管养和物业服务合同到期后陆续移交，按照实际接收和完成的管养服务时长和面积计算实际发生的费用，按月考核，按季度拨付，根据实际管养、施工情况和考核结果，拨付扣除预付款之后（每次扣除预付款比例为预付款*10%）的经费。付款时由中标人提供正规发票后进行拨付</w:t>
      </w:r>
      <w:r>
        <w:rPr>
          <w:rFonts w:hint="eastAsia" w:ascii="宋体" w:hAnsi="宋体" w:cs="宋体"/>
          <w:bCs/>
          <w:color w:val="auto"/>
          <w:sz w:val="24"/>
          <w:highlight w:val="none"/>
        </w:rPr>
        <w:t xml:space="preserve">。</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例：</w:t>
      </w:r>
      <w:r>
        <w:rPr>
          <w:rFonts w:hint="eastAsia" w:ascii="宋体" w:hAnsi="宋体" w:cs="宋体"/>
          <w:bCs/>
          <w:color w:val="auto"/>
          <w:sz w:val="24"/>
          <w:highlight w:val="none"/>
          <w:lang w:eastAsia="zh-CN"/>
        </w:rPr>
        <w:t xml:space="preserve">管养第一年第一次拨付度经费为500万，则本次实际拨付经费为：500-（预付款*10%）</w:t>
      </w:r>
      <w:r>
        <w:rPr>
          <w:rFonts w:hint="eastAsia" w:ascii="宋体" w:hAnsi="宋体" w:cs="宋体"/>
          <w:bCs/>
          <w:color w:val="auto"/>
          <w:sz w:val="24"/>
          <w:highlight w:val="none"/>
        </w:rPr>
        <w:t xml:space="preserve">。</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资金支付的</w:t>
      </w:r>
      <w:r>
        <w:rPr>
          <w:rFonts w:hint="eastAsia" w:ascii="宋体" w:hAnsi="宋体" w:cs="宋体"/>
          <w:bCs/>
          <w:color w:val="auto"/>
          <w:sz w:val="24"/>
          <w:highlight w:val="none"/>
        </w:rPr>
        <w:t xml:space="preserve">时间</w:t>
      </w:r>
      <w:r>
        <w:rPr>
          <w:rFonts w:hint="eastAsia" w:ascii="宋体" w:hAnsi="宋体" w:cs="宋体"/>
          <w:bCs/>
          <w:color w:val="auto"/>
          <w:sz w:val="24"/>
          <w:highlight w:val="none"/>
          <w:lang w:val="zh-CN"/>
        </w:rPr>
        <w:t xml:space="preserve">：</w:t>
      </w:r>
      <w:r>
        <w:rPr>
          <w:rFonts w:hint="eastAsia" w:ascii="宋体" w:hAnsi="宋体" w:cs="宋体"/>
          <w:bCs/>
          <w:color w:val="auto"/>
          <w:sz w:val="24"/>
          <w:highlight w:val="none"/>
        </w:rPr>
        <w:t xml:space="preserve">收到</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发票10个工作日内</w:t>
      </w:r>
      <w:r>
        <w:rPr>
          <w:rFonts w:hint="eastAsia" w:ascii="宋体" w:hAnsi="宋体" w:cs="宋体"/>
          <w:bCs/>
          <w:color w:val="auto"/>
          <w:sz w:val="24"/>
          <w:highlight w:val="none"/>
          <w:lang w:val="zh-CN"/>
        </w:rPr>
        <w:t xml:space="preserve">。</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资金支付</w:t>
      </w:r>
      <w:r>
        <w:rPr>
          <w:rFonts w:hint="eastAsia" w:ascii="宋体" w:hAnsi="宋体" w:cs="宋体"/>
          <w:bCs/>
          <w:color w:val="auto"/>
          <w:sz w:val="24"/>
          <w:highlight w:val="none"/>
        </w:rPr>
        <w:t xml:space="preserve">的条件：满足相应阶段的要求且收到</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发票。</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九、合同实施清单（详见投标文件格式的明细报价表清单）</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十、甲、乙双方现场管理人员名单及责任条款</w:t>
      </w:r>
      <w:r/>
    </w:p>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现场管理人员名单</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2071"/>
        <w:gridCol w:w="3713"/>
        <w:gridCol w:w="2163"/>
      </w:tblGrid>
      <w:tr>
        <w:trPr>
          <w:trHeight w:val="448"/>
        </w:trPr>
        <w:tc>
          <w:tcPr>
            <w:tcW w:w="73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序号</w:t>
            </w:r>
            <w:r/>
          </w:p>
        </w:tc>
        <w:tc>
          <w:tcPr>
            <w:tcW w:w="207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甲、乙主体</w:t>
            </w:r>
            <w:r/>
          </w:p>
        </w:tc>
        <w:tc>
          <w:tcPr>
            <w:tcW w:w="371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单位名称</w:t>
            </w:r>
            <w:r/>
          </w:p>
        </w:tc>
        <w:tc>
          <w:tcPr>
            <w:tcW w:w="216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现场管理人员名单</w:t>
            </w:r>
            <w:r/>
          </w:p>
        </w:tc>
      </w:tr>
      <w:tr>
        <w:trPr>
          <w:trHeight w:val="108"/>
        </w:trPr>
        <w:tc>
          <w:tcPr>
            <w:tcW w:w="73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1</w:t>
            </w:r>
            <w:r/>
          </w:p>
        </w:tc>
        <w:tc>
          <w:tcPr>
            <w:tcW w:w="2071" w:type="dxa"/>
            <w:vAlign w:val="center"/>
            <w:textDirection w:val="lrTb"/>
            <w:noWrap w:val="false"/>
          </w:tcPr>
          <w:p>
            <w:pPr>
              <w:pStyle w:val="1178"/>
              <w:jc w:val="center"/>
              <w:rPr>
                <w:rFonts w:hint="eastAsia" w:ascii="宋体" w:hAnsi="宋体" w:cs="宋体"/>
                <w:color w:val="auto"/>
                <w:highlight w:val="none"/>
              </w:rPr>
            </w:pPr>
            <w:r>
              <w:rPr>
                <w:rFonts w:hint="eastAsia" w:ascii="宋体" w:hAnsi="宋体" w:cs="宋体"/>
                <w:color w:val="auto"/>
                <w:highlight w:val="none"/>
              </w:rPr>
              <w:t xml:space="preserve">甲方</w:t>
            </w:r>
            <w:r/>
          </w:p>
        </w:tc>
        <w:tc>
          <w:tcPr>
            <w:tcW w:w="371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宿迁市宿豫区住房和城乡建设局</w:t>
            </w:r>
            <w:r/>
          </w:p>
        </w:tc>
        <w:tc>
          <w:tcPr>
            <w:tcW w:w="216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rHeight w:val="90"/>
        </w:trPr>
        <w:tc>
          <w:tcPr>
            <w:tcW w:w="73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2</w:t>
            </w:r>
            <w:r/>
          </w:p>
        </w:tc>
        <w:tc>
          <w:tcPr>
            <w:tcW w:w="207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乙方</w:t>
            </w:r>
            <w:r/>
          </w:p>
        </w:tc>
        <w:tc>
          <w:tcPr>
            <w:tcW w:w="371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216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rHeight w:val="896"/>
        </w:trPr>
        <w:tc>
          <w:tcPr>
            <w:tcW w:w="73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3</w:t>
            </w:r>
            <w:r/>
          </w:p>
        </w:tc>
        <w:tc>
          <w:tcPr>
            <w:tcW w:w="2071"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其他与本项目相关的管理人员</w:t>
            </w:r>
            <w:r/>
          </w:p>
        </w:tc>
        <w:tc>
          <w:tcPr>
            <w:tcW w:w="371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2163" w:type="dxa"/>
            <w:vAlign w:val="center"/>
            <w:textDirection w:val="lrTb"/>
            <w:noWrap w:val="false"/>
          </w:tcPr>
          <w:p>
            <w:pPr>
              <w:pStyle w:val="1176"/>
              <w:jc w:val="center"/>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bl>
    <w:p>
      <w:pPr>
        <w:pStyle w:val="1176"/>
        <w:ind w:left="420"/>
        <w:spacing w:before="0" w:beforeAutospacing="0" w:after="0" w:afterAutospacing="0" w:line="400" w:lineRule="exact"/>
        <w:rPr>
          <w:rFonts w:hint="eastAsia" w:hAnsi="宋体" w:eastAsia="宋体" w:cs="宋体"/>
          <w:b/>
          <w:color w:val="auto"/>
          <w:szCs w:val="24"/>
          <w:highlight w:val="none"/>
        </w:rPr>
      </w:pPr>
      <w:r>
        <w:rPr>
          <w:rFonts w:hint="eastAsia" w:hAnsi="宋体" w:eastAsia="宋体" w:cs="宋体"/>
          <w:b/>
          <w:color w:val="auto"/>
          <w:szCs w:val="24"/>
          <w:highlight w:val="none"/>
        </w:rPr>
        <w:t xml:space="preserve">十一、乙方须按下列约定，实现管理目标</w:t>
      </w:r>
      <w:r/>
    </w:p>
    <w:p>
      <w:pPr>
        <w:pStyle w:val="1176"/>
        <w:ind w:firstLine="482"/>
        <w:jc w:val="both"/>
        <w:spacing w:before="0" w:beforeAutospacing="0" w:after="0" w:afterAutospacing="0" w:line="400" w:lineRule="exact"/>
        <w:widowControl w:val="off"/>
        <w:rPr>
          <w:rFonts w:hint="eastAsia" w:hAnsi="宋体" w:eastAsia="宋体" w:cs="宋体"/>
          <w:b/>
          <w:color w:val="auto"/>
          <w:szCs w:val="24"/>
          <w:highlight w:val="none"/>
        </w:rPr>
      </w:pPr>
      <w:r>
        <w:rPr>
          <w:rFonts w:hint="eastAsia" w:hAnsi="宋体" w:eastAsia="宋体" w:cs="宋体"/>
          <w:b/>
          <w:color w:val="auto"/>
          <w:szCs w:val="24"/>
          <w:highlight w:val="none"/>
        </w:rPr>
        <w:t xml:space="preserve">11.1服务人员配置及要求</w:t>
      </w:r>
      <w:r/>
    </w:p>
    <w:tbl>
      <w:tblPr>
        <w:tblStyle w:val="846"/>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13"/>
        <w:gridCol w:w="2466"/>
        <w:gridCol w:w="1766"/>
        <w:gridCol w:w="1459"/>
        <w:gridCol w:w="2337"/>
      </w:tblGrid>
      <w:tr>
        <w:trPr>
          <w:trHeight w:val="4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人员名单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备注（人员资格证书等）</w:t>
            </w:r>
            <w:r/>
          </w:p>
        </w:tc>
      </w:tr>
      <w:tr>
        <w:trPr>
          <w:trHeight w:val="33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1"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管理人员</w:t>
            </w:r>
            <w:r/>
          </w:p>
        </w:tc>
      </w:tr>
      <w:tr>
        <w:trP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项目总负责人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片区负责人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数字城管问题处理专员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6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41"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其他人员</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修剪技术工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绿化工（保洁员）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公厕保洁员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保安队长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监控员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保安员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志愿者服务站管理员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水面保洁员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船员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垃圾中转员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1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水电工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零星维修工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r>
        <w:trPr>
          <w:trHeight w:val="1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3"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6" w:type="dxa"/>
            <w:vAlign w:val="center"/>
            <w:textDirection w:val="lrTb"/>
            <w:noWrap w:val="false"/>
          </w:tcPr>
          <w:p>
            <w:pPr>
              <w:pStyle w:val="1176"/>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消防设施操作员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6" w:type="dxa"/>
            <w:vAlign w:val="center"/>
            <w:textDirection w:val="lrTb"/>
            <w:noWrap w:val="false"/>
          </w:tcPr>
          <w:p>
            <w:pPr>
              <w:pStyle w:val="1164"/>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9" w:type="dxa"/>
            <w:vAlign w:val="center"/>
            <w:textDirection w:val="lrTb"/>
            <w:noWrap w:val="false"/>
          </w:tcPr>
          <w:p>
            <w:pPr>
              <w:pStyle w:val="1176"/>
              <w:ind w:firstLine="420"/>
              <w:jc w:val="center"/>
              <w:spacing w:before="0" w:beforeAutospacing="0" w:after="0" w:afterAutospacing="0"/>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7" w:type="dxa"/>
            <w:vAlign w:val="center"/>
            <w:textDirection w:val="lrTb"/>
            <w:noWrap w:val="false"/>
          </w:tcPr>
          <w:p>
            <w:pPr>
              <w:pStyle w:val="1176"/>
              <w:ind w:firstLine="420"/>
              <w:jc w:val="center"/>
              <w:spacing w:before="0" w:beforeAutospacing="0" w:after="0" w:afterAutospacing="0" w:line="5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bl>
    <w:p>
      <w:pPr>
        <w:pStyle w:val="1176"/>
        <w:ind w:firstLine="482"/>
        <w:jc w:val="both"/>
        <w:spacing w:before="0" w:beforeAutospacing="0" w:after="0" w:afterAutospacing="0" w:line="520" w:lineRule="exact"/>
        <w:widowControl w:val="off"/>
        <w:rPr>
          <w:rFonts w:hint="eastAsia" w:hAnsi="宋体" w:eastAsia="宋体" w:cs="宋体"/>
          <w:b/>
          <w:color w:val="auto"/>
          <w:szCs w:val="24"/>
          <w:highlight w:val="none"/>
        </w:rPr>
      </w:pPr>
      <w:r>
        <w:rPr>
          <w:rFonts w:hint="eastAsia" w:hAnsi="宋体" w:eastAsia="宋体" w:cs="宋体"/>
          <w:b/>
          <w:color w:val="auto"/>
          <w:szCs w:val="24"/>
          <w:highlight w:val="none"/>
        </w:rPr>
        <w:t xml:space="preserve">11.2技术支持团队人员配置</w:t>
      </w:r>
      <w:r/>
    </w:p>
    <w:tbl>
      <w:tblPr>
        <w:tblStyle w:val="846"/>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535"/>
        <w:gridCol w:w="692"/>
        <w:gridCol w:w="1348"/>
        <w:gridCol w:w="1895"/>
        <w:gridCol w:w="2255"/>
      </w:tblGrid>
      <w:tr>
        <w:trPr>
          <w:trHeight w:val="394"/>
        </w:trPr>
        <w:tc>
          <w:tcPr>
            <w:tcW w:w="775" w:type="dxa"/>
            <w:vAlign w:val="center"/>
            <w:textDirection w:val="lrTb"/>
            <w:noWrap w:val="false"/>
          </w:tcPr>
          <w:p>
            <w:pPr>
              <w:pStyle w:val="1178"/>
              <w:jc w:val="center"/>
              <w:spacing w:line="400" w:lineRule="exact"/>
              <w:rPr>
                <w:rFonts w:hint="eastAsia" w:ascii="宋体" w:hAnsi="宋体" w:cs="宋体"/>
                <w:color w:val="auto"/>
                <w:sz w:val="24"/>
                <w:highlight w:val="none"/>
              </w:rPr>
            </w:pPr>
            <w:r/>
            <w:bookmarkStart w:id="206" w:name="_Toc14815"/>
            <w:r>
              <w:rPr>
                <w:rFonts w:hint="eastAsia" w:ascii="宋体" w:hAnsi="宋体" w:cs="宋体"/>
                <w:color w:val="auto"/>
                <w:sz w:val="24"/>
                <w:highlight w:val="none"/>
              </w:rPr>
              <w:t xml:space="preserve">序号</w:t>
            </w:r>
            <w:bookmarkEnd w:id="206"/>
            <w:r/>
            <w:r/>
          </w:p>
        </w:tc>
        <w:tc>
          <w:tcPr>
            <w:tcW w:w="1535" w:type="dxa"/>
            <w:vAlign w:val="center"/>
            <w:textDirection w:val="lrTb"/>
            <w:noWrap w:val="false"/>
          </w:tcPr>
          <w:p>
            <w:pPr>
              <w:pStyle w:val="1178"/>
              <w:jc w:val="center"/>
              <w:spacing w:line="400" w:lineRule="exact"/>
              <w:rPr>
                <w:rFonts w:hint="eastAsia" w:ascii="宋体" w:hAnsi="宋体" w:cs="宋体"/>
                <w:color w:val="auto"/>
                <w:sz w:val="24"/>
                <w:highlight w:val="none"/>
              </w:rPr>
            </w:pPr>
            <w:r/>
            <w:bookmarkStart w:id="207" w:name="_Toc15269"/>
            <w:r>
              <w:rPr>
                <w:rFonts w:hint="eastAsia" w:ascii="宋体" w:hAnsi="宋体" w:cs="宋体"/>
                <w:color w:val="auto"/>
                <w:sz w:val="24"/>
                <w:highlight w:val="none"/>
              </w:rPr>
              <w:t xml:space="preserve">岗位名称</w:t>
            </w:r>
            <w:bookmarkEnd w:id="207"/>
            <w:r/>
            <w:r/>
          </w:p>
        </w:tc>
        <w:tc>
          <w:tcPr>
            <w:tcW w:w="692" w:type="dxa"/>
            <w:vAlign w:val="center"/>
            <w:textDirection w:val="lrTb"/>
            <w:noWrap w:val="false"/>
          </w:tcPr>
          <w:p>
            <w:pPr>
              <w:pStyle w:val="1178"/>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人数</w:t>
            </w:r>
            <w:r/>
          </w:p>
        </w:tc>
        <w:tc>
          <w:tcPr>
            <w:tcW w:w="1348" w:type="dxa"/>
            <w:vAlign w:val="center"/>
            <w:textDirection w:val="lrTb"/>
            <w:noWrap w:val="false"/>
          </w:tcPr>
          <w:p>
            <w:pPr>
              <w:pStyle w:val="1178"/>
              <w:jc w:val="center"/>
              <w:spacing w:line="400" w:lineRule="exact"/>
              <w:rPr>
                <w:rFonts w:hint="eastAsia" w:ascii="宋体" w:hAnsi="宋体" w:cs="宋体"/>
                <w:color w:val="auto"/>
                <w:sz w:val="24"/>
                <w:highlight w:val="none"/>
              </w:rPr>
            </w:pPr>
            <w:r/>
            <w:bookmarkStart w:id="208" w:name="_Toc5066"/>
            <w:r>
              <w:rPr>
                <w:rFonts w:hint="eastAsia" w:ascii="宋体" w:hAnsi="宋体" w:cs="宋体"/>
                <w:color w:val="auto"/>
                <w:sz w:val="24"/>
                <w:highlight w:val="none"/>
              </w:rPr>
              <w:t xml:space="preserve">年龄</w:t>
            </w:r>
            <w:bookmarkEnd w:id="208"/>
            <w:r/>
            <w:r/>
          </w:p>
        </w:tc>
        <w:tc>
          <w:tcPr>
            <w:tcW w:w="1895" w:type="dxa"/>
            <w:vAlign w:val="center"/>
            <w:textDirection w:val="lrTb"/>
            <w:noWrap w:val="false"/>
          </w:tcPr>
          <w:p>
            <w:pPr>
              <w:pStyle w:val="1178"/>
              <w:jc w:val="center"/>
              <w:spacing w:line="400" w:lineRule="exact"/>
              <w:rPr>
                <w:rFonts w:hint="eastAsia" w:ascii="宋体" w:hAnsi="宋体" w:cs="宋体"/>
                <w:color w:val="auto"/>
                <w:sz w:val="24"/>
                <w:highlight w:val="none"/>
              </w:rPr>
            </w:pPr>
            <w:r/>
            <w:bookmarkStart w:id="209" w:name="_Toc24858"/>
            <w:r>
              <w:rPr>
                <w:rFonts w:hint="eastAsia" w:ascii="宋体" w:hAnsi="宋体" w:cs="宋体"/>
                <w:color w:val="auto"/>
                <w:sz w:val="24"/>
                <w:highlight w:val="none"/>
              </w:rPr>
              <w:t xml:space="preserve">资格</w:t>
            </w:r>
            <w:bookmarkEnd w:id="209"/>
            <w:r>
              <w:rPr>
                <w:rFonts w:hint="eastAsia" w:ascii="宋体" w:hAnsi="宋体" w:cs="宋体"/>
                <w:color w:val="auto"/>
                <w:sz w:val="24"/>
                <w:highlight w:val="none"/>
              </w:rPr>
              <w:t xml:space="preserve">证书等</w:t>
            </w:r>
            <w:r/>
          </w:p>
        </w:tc>
        <w:tc>
          <w:tcPr>
            <w:tcW w:w="2255" w:type="dxa"/>
            <w:vAlign w:val="center"/>
            <w:textDirection w:val="lrTb"/>
            <w:noWrap w:val="false"/>
          </w:tcPr>
          <w:p>
            <w:pPr>
              <w:pStyle w:val="1178"/>
              <w:jc w:val="center"/>
              <w:spacing w:line="400" w:lineRule="exact"/>
              <w:rPr>
                <w:rFonts w:hint="eastAsia" w:ascii="宋体" w:hAnsi="宋体" w:cs="宋体"/>
                <w:color w:val="auto"/>
                <w:sz w:val="24"/>
                <w:highlight w:val="none"/>
              </w:rPr>
            </w:pPr>
            <w:r/>
            <w:bookmarkStart w:id="210" w:name="_Toc7525"/>
            <w:r>
              <w:rPr>
                <w:rFonts w:hint="eastAsia" w:ascii="宋体" w:hAnsi="宋体" w:cs="宋体"/>
                <w:color w:val="auto"/>
                <w:sz w:val="24"/>
                <w:highlight w:val="none"/>
              </w:rPr>
              <w:t xml:space="preserve">其他要求</w:t>
            </w:r>
            <w:bookmarkEnd w:id="210"/>
            <w:r/>
            <w:r/>
          </w:p>
        </w:tc>
      </w:tr>
      <w:tr>
        <w:trPr>
          <w:trHeight w:val="394"/>
        </w:trPr>
        <w:tc>
          <w:tcPr>
            <w:tcW w:w="775" w:type="dxa"/>
            <w:textDirection w:val="lrTb"/>
            <w:noWrap w:val="false"/>
          </w:tcPr>
          <w:p>
            <w:pPr>
              <w:pStyle w:val="1178"/>
              <w:jc w:val="center"/>
              <w:spacing w:line="400" w:lineRule="exact"/>
              <w:rPr>
                <w:rFonts w:hint="eastAsia" w:ascii="宋体" w:hAnsi="宋体" w:cs="宋体"/>
                <w:color w:val="auto"/>
                <w:sz w:val="24"/>
                <w:highlight w:val="none"/>
              </w:rPr>
            </w:pPr>
            <w:r/>
            <w:bookmarkStart w:id="211" w:name="_Toc18884"/>
            <w:r>
              <w:rPr>
                <w:rFonts w:hint="eastAsia" w:ascii="宋体" w:hAnsi="宋体" w:cs="宋体"/>
                <w:color w:val="auto"/>
                <w:sz w:val="24"/>
                <w:highlight w:val="none"/>
              </w:rPr>
              <w:t xml:space="preserve">1</w:t>
            </w:r>
            <w:bookmarkEnd w:id="211"/>
            <w:r/>
            <w:r/>
          </w:p>
        </w:tc>
        <w:tc>
          <w:tcPr>
            <w:tcW w:w="1535" w:type="dxa"/>
            <w:vAlign w:val="center"/>
            <w:textDirection w:val="lrTb"/>
            <w:noWrap w:val="false"/>
          </w:tcPr>
          <w:p>
            <w:pPr>
              <w:pStyle w:val="1165"/>
              <w:jc w:val="center"/>
              <w:widowControl/>
              <w:rPr>
                <w:rFonts w:hint="eastAsia" w:ascii="宋体" w:hAnsi="宋体" w:cs="宋体"/>
                <w:color w:val="auto"/>
                <w:sz w:val="24"/>
                <w:highlight w:val="none"/>
              </w:rPr>
            </w:pPr>
            <w:r>
              <w:rPr>
                <w:rFonts w:hint="eastAsia" w:ascii="宋体" w:hAnsi="宋体" w:cs="宋体"/>
                <w:color w:val="auto"/>
                <w:szCs w:val="21"/>
                <w:highlight w:val="none"/>
              </w:rPr>
              <w:t xml:space="preserve">景观设计专家</w:t>
            </w:r>
            <w:r/>
          </w:p>
        </w:tc>
        <w:tc>
          <w:tcPr>
            <w:tcW w:w="692"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color w:val="auto"/>
                <w:szCs w:val="21"/>
                <w:highlight w:val="none"/>
              </w:rPr>
              <w:t xml:space="preserve">1</w:t>
            </w:r>
            <w:r/>
          </w:p>
        </w:tc>
        <w:tc>
          <w:tcPr>
            <w:tcW w:w="1348"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9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55" w:type="dxa"/>
            <w:vMerge w:val="restart"/>
            <w:textDirection w:val="lrTb"/>
            <w:noWrap w:val="false"/>
          </w:tcPr>
          <w:p>
            <w:pPr>
              <w:pStyle w:val="1178"/>
              <w:jc w:val="left"/>
              <w:spacing w:line="400" w:lineRule="exact"/>
              <w:rPr>
                <w:rFonts w:hint="eastAsia" w:ascii="宋体" w:hAnsi="宋体" w:cs="宋体"/>
                <w:b/>
                <w:bCs/>
                <w:color w:val="auto"/>
                <w:sz w:val="24"/>
                <w:highlight w:val="none"/>
              </w:rPr>
            </w:pPr>
            <w:r>
              <w:rPr>
                <w:rFonts w:hint="eastAsia" w:ascii="宋体" w:hAnsi="宋体" w:cs="宋体"/>
                <w:color w:val="auto"/>
                <w:szCs w:val="21"/>
                <w:highlight w:val="none"/>
              </w:rPr>
              <w:t xml:space="preserve">1.为本管养项目提供技术咨询服务，会诊、解决管养现场出现的各类技术难题；2.为科研课题提供技术支持。</w:t>
            </w:r>
            <w:r/>
          </w:p>
        </w:tc>
      </w:tr>
      <w:tr>
        <w:trPr>
          <w:trHeight w:val="394"/>
        </w:trPr>
        <w:tc>
          <w:tcPr>
            <w:tcW w:w="775" w:type="dxa"/>
            <w:textDirection w:val="lrTb"/>
            <w:noWrap w:val="false"/>
          </w:tcPr>
          <w:p>
            <w:pPr>
              <w:pStyle w:val="1178"/>
              <w:jc w:val="center"/>
              <w:spacing w:line="400" w:lineRule="exact"/>
              <w:rPr>
                <w:rFonts w:hint="eastAsia" w:ascii="宋体" w:hAnsi="宋体" w:cs="宋体"/>
                <w:color w:val="auto"/>
                <w:sz w:val="24"/>
                <w:highlight w:val="none"/>
              </w:rPr>
            </w:pPr>
            <w:r/>
            <w:bookmarkStart w:id="212" w:name="_Toc5437"/>
            <w:r>
              <w:rPr>
                <w:rFonts w:hint="eastAsia" w:ascii="宋体" w:hAnsi="宋体" w:cs="宋体"/>
                <w:color w:val="auto"/>
                <w:sz w:val="24"/>
                <w:highlight w:val="none"/>
              </w:rPr>
              <w:t xml:space="preserve">2</w:t>
            </w:r>
            <w:bookmarkEnd w:id="212"/>
            <w:r/>
            <w:r/>
          </w:p>
        </w:tc>
        <w:tc>
          <w:tcPr>
            <w:tcW w:w="1535" w:type="dxa"/>
            <w:vAlign w:val="center"/>
            <w:textDirection w:val="lrTb"/>
            <w:noWrap w:val="false"/>
          </w:tcPr>
          <w:p>
            <w:pPr>
              <w:pStyle w:val="1165"/>
              <w:jc w:val="center"/>
              <w:widowControl/>
              <w:rPr>
                <w:rFonts w:hint="eastAsia" w:ascii="宋体" w:hAnsi="宋体" w:cs="宋体"/>
                <w:color w:val="auto"/>
                <w:sz w:val="24"/>
                <w:highlight w:val="none"/>
              </w:rPr>
            </w:pPr>
            <w:r>
              <w:rPr>
                <w:rFonts w:hint="eastAsia" w:ascii="宋体" w:hAnsi="宋体" w:cs="宋体"/>
                <w:color w:val="auto"/>
                <w:szCs w:val="21"/>
                <w:highlight w:val="none"/>
              </w:rPr>
              <w:t xml:space="preserve">园林专家</w:t>
            </w:r>
            <w:r/>
          </w:p>
        </w:tc>
        <w:tc>
          <w:tcPr>
            <w:tcW w:w="692"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color w:val="auto"/>
                <w:szCs w:val="21"/>
                <w:highlight w:val="none"/>
              </w:rPr>
              <w:t xml:space="preserve">2</w:t>
            </w:r>
            <w:r/>
          </w:p>
        </w:tc>
        <w:tc>
          <w:tcPr>
            <w:tcW w:w="1348"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9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55" w:type="dxa"/>
            <w:vMerge w:val="continue"/>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424"/>
        </w:trPr>
        <w:tc>
          <w:tcPr>
            <w:tcW w:w="775" w:type="dxa"/>
            <w:textDirection w:val="lrTb"/>
            <w:noWrap w:val="false"/>
          </w:tcPr>
          <w:p>
            <w:pPr>
              <w:pStyle w:val="1178"/>
              <w:jc w:val="center"/>
              <w:spacing w:line="400" w:lineRule="exact"/>
              <w:rPr>
                <w:rFonts w:hint="eastAsia" w:ascii="宋体" w:hAnsi="宋体" w:cs="宋体"/>
                <w:color w:val="auto"/>
                <w:sz w:val="24"/>
                <w:highlight w:val="none"/>
              </w:rPr>
            </w:pPr>
            <w:r/>
            <w:bookmarkStart w:id="213" w:name="_Toc2149"/>
            <w:r>
              <w:rPr>
                <w:rFonts w:hint="eastAsia" w:ascii="宋体" w:hAnsi="宋体" w:cs="宋体"/>
                <w:color w:val="auto"/>
                <w:sz w:val="24"/>
                <w:highlight w:val="none"/>
              </w:rPr>
              <w:t xml:space="preserve">3</w:t>
            </w:r>
            <w:bookmarkEnd w:id="213"/>
            <w:r/>
            <w:r/>
          </w:p>
        </w:tc>
        <w:tc>
          <w:tcPr>
            <w:tcW w:w="1535" w:type="dxa"/>
            <w:vAlign w:val="center"/>
            <w:textDirection w:val="lrTb"/>
            <w:noWrap w:val="false"/>
          </w:tcPr>
          <w:p>
            <w:pPr>
              <w:pStyle w:val="1165"/>
              <w:jc w:val="center"/>
              <w:widowControl/>
              <w:rPr>
                <w:rFonts w:hint="eastAsia" w:ascii="宋体" w:hAnsi="宋体" w:cs="宋体"/>
                <w:color w:val="auto"/>
                <w:sz w:val="24"/>
                <w:highlight w:val="none"/>
              </w:rPr>
            </w:pPr>
            <w:r>
              <w:rPr>
                <w:rFonts w:hint="eastAsia" w:ascii="宋体" w:hAnsi="宋体" w:cs="宋体"/>
                <w:color w:val="auto"/>
                <w:szCs w:val="21"/>
                <w:highlight w:val="none"/>
              </w:rPr>
              <w:t xml:space="preserve">园艺专家</w:t>
            </w:r>
            <w:r/>
          </w:p>
        </w:tc>
        <w:tc>
          <w:tcPr>
            <w:tcW w:w="692"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color w:val="auto"/>
                <w:szCs w:val="21"/>
                <w:highlight w:val="none"/>
              </w:rPr>
              <w:t xml:space="preserve">1</w:t>
            </w:r>
            <w:r/>
          </w:p>
        </w:tc>
        <w:tc>
          <w:tcPr>
            <w:tcW w:w="1348"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9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55" w:type="dxa"/>
            <w:vMerge w:val="continue"/>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404"/>
        </w:trPr>
        <w:tc>
          <w:tcPr>
            <w:tcW w:w="775" w:type="dxa"/>
            <w:textDirection w:val="lrTb"/>
            <w:noWrap w:val="false"/>
          </w:tcPr>
          <w:p>
            <w:pPr>
              <w:pStyle w:val="1178"/>
              <w:jc w:val="center"/>
              <w:spacing w:line="400" w:lineRule="exact"/>
              <w:rPr>
                <w:rFonts w:hint="eastAsia" w:ascii="宋体" w:hAnsi="宋体" w:cs="宋体"/>
                <w:color w:val="auto"/>
                <w:sz w:val="24"/>
                <w:highlight w:val="none"/>
              </w:rPr>
            </w:pPr>
            <w:r/>
            <w:bookmarkStart w:id="214" w:name="_Toc5773"/>
            <w:r>
              <w:rPr>
                <w:rFonts w:hint="eastAsia" w:ascii="宋体" w:hAnsi="宋体" w:cs="宋体"/>
                <w:color w:val="auto"/>
                <w:sz w:val="24"/>
                <w:highlight w:val="none"/>
              </w:rPr>
              <w:t xml:space="preserve">4</w:t>
            </w:r>
            <w:bookmarkEnd w:id="214"/>
            <w:r/>
            <w:r/>
          </w:p>
        </w:tc>
        <w:tc>
          <w:tcPr>
            <w:tcW w:w="1535" w:type="dxa"/>
            <w:vAlign w:val="center"/>
            <w:textDirection w:val="lrTb"/>
            <w:noWrap w:val="false"/>
          </w:tcPr>
          <w:p>
            <w:pPr>
              <w:pStyle w:val="1165"/>
              <w:jc w:val="center"/>
              <w:widowControl/>
              <w:rPr>
                <w:rFonts w:hint="eastAsia" w:ascii="宋体" w:hAnsi="宋体" w:cs="宋体"/>
                <w:color w:val="auto"/>
                <w:sz w:val="24"/>
                <w:highlight w:val="none"/>
              </w:rPr>
            </w:pPr>
            <w:r>
              <w:rPr>
                <w:rFonts w:hint="eastAsia" w:ascii="宋体" w:hAnsi="宋体" w:cs="宋体"/>
                <w:color w:val="auto"/>
                <w:szCs w:val="21"/>
                <w:highlight w:val="none"/>
              </w:rPr>
              <w:t xml:space="preserve">病虫害专家</w:t>
            </w:r>
            <w:r/>
          </w:p>
        </w:tc>
        <w:tc>
          <w:tcPr>
            <w:tcW w:w="692"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color w:val="auto"/>
                <w:szCs w:val="21"/>
                <w:highlight w:val="none"/>
              </w:rPr>
              <w:t xml:space="preserve">1</w:t>
            </w:r>
            <w:r/>
          </w:p>
        </w:tc>
        <w:tc>
          <w:tcPr>
            <w:tcW w:w="1348"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9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55" w:type="dxa"/>
            <w:vMerge w:val="continue"/>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404"/>
        </w:trPr>
        <w:tc>
          <w:tcPr>
            <w:tcW w:w="775" w:type="dxa"/>
            <w:textDirection w:val="lrTb"/>
            <w:noWrap w:val="false"/>
          </w:tcPr>
          <w:p>
            <w:pPr>
              <w:pStyle w:val="1178"/>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535" w:type="dxa"/>
            <w:vAlign w:val="center"/>
            <w:textDirection w:val="lrTb"/>
            <w:noWrap w:val="false"/>
          </w:tcPr>
          <w:p>
            <w:pPr>
              <w:pStyle w:val="1165"/>
              <w:jc w:val="center"/>
              <w:widowControl/>
              <w:rPr>
                <w:rFonts w:hint="eastAsia" w:ascii="宋体" w:hAnsi="宋体" w:cs="宋体"/>
                <w:color w:val="auto"/>
                <w:sz w:val="24"/>
                <w:highlight w:val="none"/>
              </w:rPr>
            </w:pPr>
            <w:r>
              <w:rPr>
                <w:rFonts w:hint="eastAsia" w:ascii="宋体" w:hAnsi="宋体" w:cs="宋体"/>
                <w:color w:val="auto"/>
                <w:szCs w:val="21"/>
                <w:highlight w:val="none"/>
              </w:rPr>
              <w:t xml:space="preserve">林业专家</w:t>
            </w:r>
            <w:r/>
          </w:p>
        </w:tc>
        <w:tc>
          <w:tcPr>
            <w:tcW w:w="692"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color w:val="auto"/>
                <w:szCs w:val="21"/>
                <w:highlight w:val="none"/>
              </w:rPr>
              <w:t xml:space="preserve">1</w:t>
            </w:r>
            <w:r/>
          </w:p>
        </w:tc>
        <w:tc>
          <w:tcPr>
            <w:tcW w:w="1348" w:type="dxa"/>
            <w:vAlign w:val="center"/>
            <w:textDirection w:val="lrTb"/>
            <w:noWrap w:val="false"/>
          </w:tcPr>
          <w:p>
            <w:pPr>
              <w:pStyle w:val="1165"/>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9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55" w:type="dxa"/>
            <w:vMerge w:val="continue"/>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404"/>
        </w:trPr>
        <w:tc>
          <w:tcPr>
            <w:tcW w:w="775" w:type="dxa"/>
            <w:textDirection w:val="lrTb"/>
            <w:noWrap w:val="false"/>
          </w:tcPr>
          <w:p>
            <w:pPr>
              <w:pStyle w:val="1178"/>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535" w:type="dxa"/>
            <w:textDirection w:val="lrTb"/>
            <w:noWrap w:val="false"/>
          </w:tcPr>
          <w:p>
            <w:pPr>
              <w:pStyle w:val="1178"/>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692"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348"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9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55" w:type="dxa"/>
            <w:textDirection w:val="lrTb"/>
            <w:noWrap w:val="false"/>
          </w:tcPr>
          <w:p>
            <w:pPr>
              <w:pStyle w:val="1178"/>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pStyle w:val="1176"/>
        <w:ind w:firstLine="482"/>
        <w:jc w:val="both"/>
        <w:spacing w:before="0" w:beforeAutospacing="0" w:after="0" w:afterAutospacing="0" w:line="520" w:lineRule="exact"/>
        <w:widowControl w:val="off"/>
        <w:rPr>
          <w:rFonts w:hint="eastAsia" w:hAnsi="宋体" w:eastAsia="宋体" w:cs="宋体"/>
          <w:b/>
          <w:color w:val="auto"/>
          <w:szCs w:val="24"/>
          <w:highlight w:val="none"/>
        </w:rPr>
      </w:pPr>
      <w:r>
        <w:rPr>
          <w:rFonts w:hint="eastAsia" w:hAnsi="宋体" w:eastAsia="宋体" w:cs="宋体"/>
          <w:b/>
          <w:color w:val="auto"/>
          <w:szCs w:val="24"/>
          <w:highlight w:val="none"/>
        </w:rPr>
        <w:t xml:space="preserve">11.3设备配置及要求</w:t>
      </w:r>
      <w:r/>
    </w:p>
    <w:tbl>
      <w:tblPr>
        <w:tblStyle w:val="846"/>
        <w:tblW w:w="8571" w:type="dxa"/>
        <w:tblInd w:w="-15" w:type="dxa"/>
        <w:tblLayout w:type="fixed"/>
        <w:tblCellMar>
          <w:left w:w="15" w:type="dxa"/>
          <w:top w:w="15" w:type="dxa"/>
          <w:right w:w="15" w:type="dxa"/>
          <w:bottom w:w="0" w:type="dxa"/>
        </w:tblCellMar>
        <w:tblLook w:val="04A0" w:firstRow="1" w:lastRow="0" w:firstColumn="1" w:lastColumn="0" w:noHBand="0" w:noVBand="1"/>
      </w:tblPr>
      <w:tblGrid>
        <w:gridCol w:w="628"/>
        <w:gridCol w:w="3015"/>
        <w:gridCol w:w="1934"/>
        <w:gridCol w:w="1426"/>
        <w:gridCol w:w="1568"/>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数量</w:t>
            </w:r>
            <w:r/>
          </w:p>
        </w:tc>
      </w:tr>
      <w:tr>
        <w:trPr>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标准洒水车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高射程打药机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喷射高度大于30m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车载雾炮机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喷射高度大于30m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叶片灰尘冲洗机械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绿篱修剪机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jc w:val="center"/>
              <w:spacing w:line="360" w:lineRule="exact"/>
              <w:widowControl/>
              <w:rPr>
                <w:rFonts w:hint="eastAsia" w:ascii="宋体" w:hAnsi="宋体" w:cs="宋体"/>
                <w:color w:val="auto"/>
                <w:sz w:val="22"/>
                <w:szCs w:val="22"/>
                <w:highlight w:val="none"/>
              </w:rPr>
            </w:pPr>
            <w:r>
              <w:rPr>
                <w:rFonts w:hint="eastAsia" w:hAnsi="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草坪旋耕机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jc w:val="center"/>
              <w:spacing w:line="360" w:lineRule="exact"/>
              <w:widowControl/>
              <w:rPr>
                <w:rFonts w:hint="eastAsia" w:ascii="宋体" w:hAnsi="宋体" w:cs="宋体"/>
                <w:color w:val="auto"/>
                <w:sz w:val="22"/>
                <w:szCs w:val="22"/>
                <w:highlight w:val="none"/>
              </w:rPr>
            </w:pPr>
            <w:r>
              <w:rPr>
                <w:rFonts w:hint="eastAsia" w:hAnsi="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草坪修剪机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jc w:val="center"/>
              <w:spacing w:line="360" w:lineRule="exact"/>
              <w:widowControl/>
              <w:rPr>
                <w:rFonts w:hint="eastAsia" w:ascii="宋体" w:hAnsi="宋体" w:cs="宋体"/>
                <w:color w:val="auto"/>
                <w:sz w:val="22"/>
                <w:szCs w:val="22"/>
                <w:highlight w:val="none"/>
              </w:rPr>
            </w:pPr>
            <w:r>
              <w:rPr>
                <w:rFonts w:hint="eastAsia" w:hAnsi="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油锯和高枝油锯（或电动高枝锯）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吸叶机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园林吹风机或鼓风机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施肥打孔机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地面打孔施肥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树枝树叶粉碎机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登高作业机械（最大作业高度大于25m）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2轮巡查电动车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园内运送机械设备车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公园内日用的动力三轮车（容量大于2吨）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厢式货车（容量大于8吨）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手推式汽油打药机（大于160L）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修枝剪、高枝剪等其他园林养护工具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水泵及浇灌皮管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高空作业车（最大作业高度大于25m）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有人驾驶清扫车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无人植保机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无人巡侦机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6"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5"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潜水式水泵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4"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按需配置，公园内已配置</w:t>
            </w:r>
            <w:r>
              <w:rPr>
                <w:rFonts w:hint="eastAsia" w:hAnsi="宋体" w:eastAsia="宋体" w:cs="宋体"/>
                <w:color w:val="auto"/>
                <w:sz w:val="22"/>
                <w:szCs w:val="22"/>
                <w:highlight w:val="none"/>
                <w:u w:val="single"/>
              </w:rPr>
              <w:t xml:space="preserve">   </w:t>
            </w:r>
            <w:r>
              <w:rPr>
                <w:rFonts w:hint="eastAsia" w:hAnsi="宋体" w:eastAsia="宋体" w:cs="宋体"/>
                <w:color w:val="auto"/>
                <w:sz w:val="22"/>
                <w:szCs w:val="22"/>
                <w:highlight w:val="none"/>
              </w:rPr>
              <w:t xml:space="preserve">台潜水泵，乙方负责维护维修和更新</w:t>
            </w:r>
            <w:r/>
          </w:p>
        </w:tc>
      </w:tr>
    </w:tbl>
    <w:p>
      <w:pPr>
        <w:pStyle w:val="1176"/>
        <w:ind w:firstLine="482"/>
        <w:jc w:val="both"/>
        <w:spacing w:before="0" w:beforeAutospacing="0" w:after="0" w:afterAutospacing="0" w:line="520" w:lineRule="exact"/>
        <w:widowControl w:val="off"/>
        <w:rPr>
          <w:rFonts w:hint="eastAsia" w:hAnsi="宋体" w:eastAsia="宋体" w:cs="宋体"/>
          <w:b/>
          <w:color w:val="auto"/>
          <w:szCs w:val="24"/>
          <w:highlight w:val="none"/>
        </w:rPr>
      </w:pPr>
      <w:r>
        <w:rPr>
          <w:rFonts w:hint="eastAsia" w:hAnsi="宋体" w:eastAsia="宋体" w:cs="宋体"/>
          <w:b/>
          <w:color w:val="auto"/>
          <w:szCs w:val="24"/>
          <w:highlight w:val="none"/>
        </w:rPr>
        <w:t xml:space="preserve">11.4工种设备配备及要求</w:t>
      </w:r>
      <w:r/>
    </w:p>
    <w:tbl>
      <w:tblPr>
        <w:tblStyle w:val="846"/>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18"/>
        <w:gridCol w:w="1336"/>
        <w:gridCol w:w="5262"/>
        <w:gridCol w:w="979"/>
        <w:gridCol w:w="603"/>
      </w:tblGrid>
      <w:tr>
        <w:trPr>
          <w:trHeight w:val="259"/>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序号</w:t>
            </w:r>
            <w:r/>
          </w:p>
        </w:tc>
        <w:tc>
          <w:tcPr>
            <w:tcMar>
              <w:left w:w="15" w:type="dxa"/>
              <w:top w:w="15" w:type="dxa"/>
              <w:right w:w="15" w:type="dxa"/>
            </w:tcMar>
            <w:tcW w:w="1336"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名称</w:t>
            </w:r>
            <w:r/>
          </w:p>
        </w:tc>
        <w:tc>
          <w:tcPr>
            <w:tcMar>
              <w:left w:w="15" w:type="dxa"/>
              <w:top w:w="15" w:type="dxa"/>
              <w:right w:w="15" w:type="dxa"/>
            </w:tcMar>
            <w:tcW w:w="5262"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要求</w:t>
            </w:r>
            <w:r/>
          </w:p>
        </w:tc>
        <w:tc>
          <w:tcPr>
            <w:tcMar>
              <w:left w:w="15" w:type="dxa"/>
              <w:top w:w="15" w:type="dxa"/>
              <w:right w:w="15" w:type="dxa"/>
            </w:tcMar>
            <w:tcW w:w="979"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数量</w:t>
            </w:r>
            <w:r/>
          </w:p>
        </w:tc>
        <w:tc>
          <w:tcPr>
            <w:tcMar>
              <w:left w:w="15" w:type="dxa"/>
              <w:top w:w="15" w:type="dxa"/>
              <w:right w:w="15" w:type="dxa"/>
            </w:tcMar>
            <w:tcW w:w="603"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单位</w:t>
            </w:r>
            <w:r/>
          </w:p>
        </w:tc>
      </w:tr>
      <w:tr>
        <w:trPr>
          <w:trHeight w:val="270"/>
        </w:trPr>
        <w:tc>
          <w:tcPr>
            <w:gridSpan w:val="5"/>
            <w:tcMar>
              <w:left w:w="15" w:type="dxa"/>
              <w:top w:w="15" w:type="dxa"/>
              <w:right w:w="15" w:type="dxa"/>
            </w:tcMar>
            <w:tcW w:w="859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保安设备</w:t>
            </w:r>
            <w:r/>
          </w:p>
        </w:tc>
      </w:tr>
      <w:tr>
        <w:trPr>
          <w:trHeight w:val="28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2轮巡逻自行车和电动自行车</w:t>
            </w:r>
            <w:r/>
          </w:p>
        </w:tc>
        <w:tc>
          <w:tcPr>
            <w:tcMar>
              <w:left w:w="15" w:type="dxa"/>
              <w:top w:w="15" w:type="dxa"/>
              <w:right w:w="15" w:type="dxa"/>
            </w:tcMar>
            <w:tcW w:w="5262" w:type="dxa"/>
            <w:vAlign w:val="center"/>
            <w:textDirection w:val="lrTb"/>
            <w:noWrap w:val="false"/>
          </w:tcPr>
          <w:p>
            <w:pPr>
              <w:pStyle w:val="850"/>
              <w:numPr>
                <w:ilvl w:val="0"/>
                <w:numId w:val="4"/>
              </w:num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全新采购，统一设计喷涂“XX物业管理”标识，款式需经采购人审核同意。</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2.合同期内，外观及使用功能良好，表面无掉漆、无破损。部分车辆交由采购人用于日常巡查，由物业负责维保。</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162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2</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3轮运输电瓶车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1.全新采购，按采购人要求统一设计喷涂“XX公园”标识，款式需经采购人审核同意。</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2.合同期内，外观及使用功能良好，表面无掉漆、无破损。其中一辆交由采购人用于日常巡查，由物业负责维保，不得上路作业。</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54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3</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4轮电动冲洗车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全新，具有道路洒水、高压冲洗、消防灭火功能，载水量不低于1吨，不得上路作业。</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54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4轮巡逻电动车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全新，具有警示喇叭及夜间灯光,带扬声器播放文明引导广播。配灭火器和救生圈，不得上路作业。</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54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5</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巡逻、救援快艇</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载人量至少四人，时速不低于40公里/时，8成新，使用功能良好，按采购人要求统一标识。</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艘</w:t>
            </w:r>
            <w:r/>
          </w:p>
        </w:tc>
      </w:tr>
      <w:tr>
        <w:trPr>
          <w:trHeight w:val="54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6</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保安服装</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每年发放夏装、春秋装、冬装每人每季至少2套（需按采购人要求采购）</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套</w:t>
            </w:r>
            <w:r/>
          </w:p>
        </w:tc>
      </w:tr>
      <w:tr>
        <w:trPr>
          <w:trHeight w:val="27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7</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考勤机</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得力品牌 扫脸、指纹一体机。</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台</w:t>
            </w:r>
            <w:r/>
          </w:p>
        </w:tc>
      </w:tr>
      <w:tr>
        <w:trPr>
          <w:trHeight w:val="135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8</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对讲机等执勤设备</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按岗位需求配备（不低于十五台），合同期内使用功能良好，信号覆盖面积不得低于5公里，且对讲清晰、信号不中断。对讲机、肩灯、手电筒等执勤设备按岗位需求配备，合同期内使用功能良好，信号覆盖面积不得低于10公里，且对讲清晰、信号不中断。</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台</w:t>
            </w:r>
            <w:r/>
          </w:p>
        </w:tc>
      </w:tr>
      <w:tr>
        <w:trPr>
          <w:trHeight w:val="27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9</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扬声器</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带U盘播放功能，合同期内使用功能良好。</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个</w:t>
            </w:r>
            <w:r/>
          </w:p>
        </w:tc>
      </w:tr>
      <w:tr>
        <w:trPr>
          <w:trHeight w:val="54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10</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劳保用品</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雨衣、雨鞋、手套、毛巾等，至少每半年发放一次；坏损能及时更新，夏季发放防暑降温物资。</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套</w:t>
            </w:r>
            <w:r/>
          </w:p>
        </w:tc>
      </w:tr>
      <w:tr>
        <w:trPr>
          <w:trHeight w:val="27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11</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高压冲洗设备</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全新，具有道路洒水、高压冲洗、消防灭火功能</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台</w:t>
            </w:r>
            <w:r/>
          </w:p>
        </w:tc>
      </w:tr>
      <w:tr>
        <w:trPr>
          <w:trHeight w:val="27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12</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救援设施</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（救援绳、救生圈等）运河岸边设置，间距为30米</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套</w:t>
            </w:r>
            <w:r/>
          </w:p>
        </w:tc>
      </w:tr>
      <w:tr>
        <w:trPr>
          <w:trHeight w:val="270"/>
        </w:trPr>
        <w:tc>
          <w:tcPr>
            <w:tcMar>
              <w:left w:w="15" w:type="dxa"/>
              <w:top w:w="15" w:type="dxa"/>
              <w:right w:w="15" w:type="dxa"/>
            </w:tcMar>
            <w:tcW w:w="41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13</w:t>
            </w:r>
            <w:r/>
          </w:p>
        </w:tc>
        <w:tc>
          <w:tcPr>
            <w:tcMar>
              <w:left w:w="15" w:type="dxa"/>
              <w:top w:w="15" w:type="dxa"/>
              <w:right w:w="15" w:type="dxa"/>
            </w:tcMar>
            <w:tcW w:w="1336"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防恐器械</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防暴脚叉、防爆棍、伸缩钢叉、防暴盾牌、防刺服等</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件</w:t>
            </w:r>
            <w:r/>
          </w:p>
        </w:tc>
      </w:tr>
      <w:tr>
        <w:trPr>
          <w:trHeight w:val="270"/>
        </w:trPr>
        <w:tc>
          <w:tcPr>
            <w:gridSpan w:val="5"/>
            <w:tcMar>
              <w:left w:w="15" w:type="dxa"/>
              <w:top w:w="15" w:type="dxa"/>
              <w:right w:w="15" w:type="dxa"/>
            </w:tcMar>
            <w:tcW w:w="859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保洁设备</w:t>
            </w:r>
            <w:r/>
          </w:p>
        </w:tc>
      </w:tr>
      <w:tr>
        <w:trPr>
          <w:trHeight w:val="135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1</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垃圾转运车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1.带斗货车兼垃圾车（箱体容量不低于5m³，载重不低于1吨）（维修、运输等均可使用）。</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2.不列入该规定垃圾车数量内。</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3.合同期内保持垃圾外运车辆外观及使用功能良好，样式新颖。</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150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2</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水面保洁船</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1.其中一艘长度≥10米、宽度≥2米，具有动力设施，发动机马力不低于40HP，船只前段安装自动收割传输系统。</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2.主要用于日常水面垃圾清洁、水草打捞，燃油、维修保养等费用投标人自行考虑。款式需经采购人审核同意。</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3.合同期内保持外观及使用功能良好。</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艘</w:t>
            </w:r>
            <w:r/>
          </w:p>
        </w:tc>
      </w:tr>
      <w:tr>
        <w:trPr>
          <w:trHeight w:val="9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3</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小型半自动水草收割船</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水草装载量不低于2吨，双明轮液压推进、收集舱前端底部安装切割装置，不锈钢收集带输送，能根据水深调节收集深度，自驾驶装置，人员防落水保护护栏等，时速不低于15km/h。</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艘</w:t>
            </w:r>
            <w:r/>
          </w:p>
        </w:tc>
      </w:tr>
      <w:tr>
        <w:trPr>
          <w:trHeight w:val="505"/>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4</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保洁车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8成新，带斗专用保洁车（箱体容量不低于0.6m³，载重不低于100kg），可放置保洁工具，车辆样式需经采购人审核。</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27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5</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防水裤</w:t>
            </w:r>
            <w:r/>
          </w:p>
        </w:tc>
        <w:tc>
          <w:tcPr>
            <w:tcMar>
              <w:left w:w="15" w:type="dxa"/>
              <w:top w:w="15" w:type="dxa"/>
              <w:right w:w="15" w:type="dxa"/>
            </w:tcMar>
            <w:tcW w:w="5262" w:type="dxa"/>
            <w:vAlign w:val="center"/>
            <w:vMerge w:val="restart"/>
            <w:textDirection w:val="lrTb"/>
            <w:noWrap w:val="false"/>
          </w:tcPr>
          <w:p>
            <w:pPr>
              <w:pStyle w:val="1178"/>
              <w:jc w:val="left"/>
              <w:widowControl/>
              <w:rPr>
                <w:rFonts w:hint="eastAsia" w:ascii="宋体" w:hAnsi="宋体" w:cs="宋体"/>
                <w:color w:val="auto"/>
                <w:sz w:val="22"/>
                <w:highlight w:val="none"/>
              </w:rPr>
            </w:pPr>
            <w:r>
              <w:rPr>
                <w:rFonts w:hint="eastAsia" w:ascii="宋体" w:hAnsi="宋体" w:cs="宋体"/>
                <w:color w:val="auto"/>
                <w:sz w:val="22"/>
                <w:highlight w:val="none"/>
              </w:rPr>
              <w:t xml:space="preserve">坏损及时更新，按需配置</w:t>
            </w:r>
            <w:r/>
          </w:p>
        </w:tc>
        <w:tc>
          <w:tcPr>
            <w:tcMar>
              <w:left w:w="15" w:type="dxa"/>
              <w:top w:w="15" w:type="dxa"/>
              <w:right w:w="15" w:type="dxa"/>
            </w:tcMar>
            <w:tcW w:w="979"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t xml:space="preserve">按需配置</w:t>
            </w:r>
            <w:r/>
          </w:p>
        </w:tc>
        <w:tc>
          <w:tcPr>
            <w:tcMar>
              <w:left w:w="15" w:type="dxa"/>
              <w:top w:w="15" w:type="dxa"/>
              <w:right w:w="15" w:type="dxa"/>
            </w:tcMar>
            <w:tcW w:w="603"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7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6</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劳保用品</w:t>
            </w:r>
            <w:r/>
          </w:p>
        </w:tc>
        <w:tc>
          <w:tcPr>
            <w:tcMar>
              <w:left w:w="15" w:type="dxa"/>
              <w:top w:w="15" w:type="dxa"/>
              <w:right w:w="15" w:type="dxa"/>
            </w:tcMar>
            <w:tcW w:w="5262" w:type="dxa"/>
            <w:vAlign w:val="center"/>
            <w:vMerge w:val="continue"/>
            <w:textDirection w:val="lrTb"/>
            <w:noWrap w:val="false"/>
          </w:tcPr>
          <w:p>
            <w:pPr>
              <w:pStyle w:val="1178"/>
              <w:jc w:val="left"/>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979"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t xml:space="preserve">按需配置</w:t>
            </w:r>
            <w:r/>
          </w:p>
        </w:tc>
        <w:tc>
          <w:tcPr>
            <w:tcMar>
              <w:left w:w="15" w:type="dxa"/>
              <w:top w:w="15" w:type="dxa"/>
              <w:right w:w="15" w:type="dxa"/>
            </w:tcMar>
            <w:tcW w:w="603"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7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7</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保洁工具</w:t>
            </w:r>
            <w:r/>
          </w:p>
        </w:tc>
        <w:tc>
          <w:tcPr>
            <w:tcMar>
              <w:left w:w="15" w:type="dxa"/>
              <w:top w:w="15" w:type="dxa"/>
              <w:right w:w="15" w:type="dxa"/>
            </w:tcMar>
            <w:tcW w:w="5262" w:type="dxa"/>
            <w:vAlign w:val="center"/>
            <w:vMerge w:val="continue"/>
            <w:textDirection w:val="lrTb"/>
            <w:noWrap w:val="false"/>
          </w:tcPr>
          <w:p>
            <w:pPr>
              <w:pStyle w:val="1178"/>
              <w:jc w:val="left"/>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979"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t xml:space="preserve">按需配置</w:t>
            </w:r>
            <w:r/>
          </w:p>
        </w:tc>
        <w:tc>
          <w:tcPr>
            <w:tcMar>
              <w:left w:w="15" w:type="dxa"/>
              <w:top w:w="15" w:type="dxa"/>
              <w:right w:w="15" w:type="dxa"/>
            </w:tcMar>
            <w:tcW w:w="603"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7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8</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除四害设备及药物</w:t>
            </w:r>
            <w:r/>
          </w:p>
        </w:tc>
        <w:tc>
          <w:tcPr>
            <w:tcMar>
              <w:left w:w="15" w:type="dxa"/>
              <w:top w:w="15" w:type="dxa"/>
              <w:right w:w="15" w:type="dxa"/>
            </w:tcMar>
            <w:tcW w:w="5262" w:type="dxa"/>
            <w:vAlign w:val="center"/>
            <w:vMerge w:val="continue"/>
            <w:textDirection w:val="lrTb"/>
            <w:noWrap w:val="false"/>
          </w:tcPr>
          <w:p>
            <w:pPr>
              <w:pStyle w:val="1178"/>
              <w:jc w:val="left"/>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979"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t xml:space="preserve">按需配置</w:t>
            </w:r>
            <w:r/>
          </w:p>
        </w:tc>
        <w:tc>
          <w:tcPr>
            <w:tcMar>
              <w:left w:w="15" w:type="dxa"/>
              <w:top w:w="15" w:type="dxa"/>
              <w:right w:w="15" w:type="dxa"/>
            </w:tcMar>
            <w:tcW w:w="603" w:type="dxa"/>
            <w:vAlign w:val="center"/>
            <w:textDirection w:val="lrTb"/>
            <w:noWrap w:val="false"/>
          </w:tcPr>
          <w:p>
            <w:pPr>
              <w:pStyle w:val="1178"/>
              <w:jc w:val="cente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81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9</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保洁服装</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全新，每年发放夏装、春秋装、冬装每人每季至少2套。（材质及款式需按采购人要求采购，雨衣按需增加配备，坏损后及时更新）</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套</w:t>
            </w:r>
            <w:r/>
          </w:p>
        </w:tc>
      </w:tr>
      <w:tr>
        <w:trPr>
          <w:trHeight w:val="27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10</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活动脚手架</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用于木质结构及门窗保洁和维修工作</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个</w:t>
            </w:r>
            <w:r/>
          </w:p>
        </w:tc>
      </w:tr>
      <w:tr>
        <w:trPr>
          <w:trHeight w:val="54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11</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厕所耗材</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地刷、抹布、洗衣粉、草酸、拖把、蚊香、卫生球、纸篓、垃圾袋及卫生纸等按采购人要求按需提供</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270"/>
        </w:trPr>
        <w:tc>
          <w:tcPr>
            <w:gridSpan w:val="5"/>
            <w:tcMar>
              <w:left w:w="15" w:type="dxa"/>
              <w:top w:w="15" w:type="dxa"/>
              <w:right w:w="15" w:type="dxa"/>
            </w:tcMar>
            <w:tcW w:w="8598" w:type="dxa"/>
            <w:vAlign w:val="center"/>
            <w:textDirection w:val="lrTb"/>
            <w:noWrap w:val="false"/>
          </w:tcPr>
          <w:p>
            <w:pPr>
              <w:pStyle w:val="1178"/>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维修工设备</w:t>
            </w:r>
            <w:r/>
          </w:p>
        </w:tc>
      </w:tr>
      <w:tr>
        <w:trPr>
          <w:trHeight w:val="81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1</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工作服和劳保用品</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夏装、春秋装、冬装每人每季至少2套；手套、口罩、毛巾等，至少每半年发放一次；夏季发放防暑降温物资。</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326"/>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2</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维修工具和设备</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1.中标人自行配备公园给排水、强弱电、铁质、木质、石质等材料维修所使用的工具。</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2.中标人自行采购或租赁公园维修中需使用的发电机、电焊机、氩弧焊机、热熔机、熔纤机、电镐、两用电钻、切割机等设备，按需增配相关工具，及时更新丢失及坏损工具。</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3.中标人所配备的维修工具无法完成相应维修保养工作时，中标人需自行租赁、借用相应维修机械（如叉车、吊车、挖机、装载机、平台车、顶管机等），相应费用由中标人自行承担。</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08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3</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维修材料</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中标人按需常备零星维修材料及简单耗材，如油漆、水泥，各类胶水、胶带，螺丝、螺帽、钉子、锁、彩旗、扎丝、焊条等简单耗材以及各类型号的快速接、阀门等维修材料。</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108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4</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小型维修车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1.经采购人审核同意后配备</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2.带斗电动车，维修工工作用车，用于维修材料运输。</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3.合同期内使用功能良好。</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54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5</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安全防护用品</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绝缘服装、绝缘手套、绝缘鞋等按需配备，合同期内使用功能良好，及时更新。</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81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6</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带斗维修车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1.全新采购，款式经采购人审核同意后采购。</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2.用于维修材料运输。</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3.合同期内使用功能良好。</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辆</w:t>
            </w:r>
            <w:r/>
          </w:p>
        </w:tc>
      </w:tr>
      <w:tr>
        <w:trPr>
          <w:trHeight w:val="661"/>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7</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高空作业平台</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1.自行走、电动剪叉式液压升降平台，最小升高不低于8米。</w:t>
            </w:r>
            <w:r/>
          </w:p>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2.使用功能良好，8成新。</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81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8</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其他设备</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维修须使用的吊车、叉车、挖机、装载车等，中标人须根据实际情况外租使用，可能产生的费用纳入本项目合同价款中，采购人不再额外支付。</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按需配备</w:t>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540"/>
        </w:trPr>
        <w:tc>
          <w:tcPr>
            <w:tcMar>
              <w:left w:w="15" w:type="dxa"/>
              <w:top w:w="15" w:type="dxa"/>
              <w:right w:w="15" w:type="dxa"/>
            </w:tcMar>
            <w:tcW w:w="418"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9</w:t>
            </w:r>
            <w:r/>
          </w:p>
        </w:tc>
        <w:tc>
          <w:tcPr>
            <w:tcMar>
              <w:left w:w="15" w:type="dxa"/>
              <w:top w:w="15" w:type="dxa"/>
              <w:right w:w="15" w:type="dxa"/>
            </w:tcMar>
            <w:tcW w:w="1336"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Cs w:val="21"/>
                <w:highlight w:val="none"/>
              </w:rPr>
              <w:t xml:space="preserve">维修货车</w:t>
            </w:r>
            <w:r/>
          </w:p>
        </w:tc>
        <w:tc>
          <w:tcPr>
            <w:tcMar>
              <w:left w:w="15" w:type="dxa"/>
              <w:top w:w="15" w:type="dxa"/>
              <w:right w:w="15" w:type="dxa"/>
            </w:tcMar>
            <w:tcW w:w="5262" w:type="dxa"/>
            <w:vAlign w:val="center"/>
            <w:textDirection w:val="lrTb"/>
            <w:noWrap w:val="false"/>
          </w:tcPr>
          <w:p>
            <w:pPr>
              <w:pStyle w:val="850"/>
              <w:jc w:val="left"/>
              <w:widowControl/>
              <w:rPr>
                <w:rFonts w:hint="eastAsia" w:ascii="宋体" w:hAnsi="宋体" w:cs="宋体"/>
                <w:color w:val="auto"/>
                <w:sz w:val="22"/>
                <w:highlight w:val="none"/>
              </w:rPr>
            </w:pPr>
            <w:r>
              <w:rPr>
                <w:rFonts w:hint="eastAsia" w:ascii="宋体" w:hAnsi="宋体" w:cs="宋体"/>
                <w:color w:val="auto"/>
                <w:szCs w:val="21"/>
                <w:highlight w:val="none"/>
              </w:rPr>
              <w:t xml:space="preserve">经采购人审核同意后采购。带斗电动车，维修工工作用车，用于维修材料运输。合同期内使用功能良好。</w:t>
            </w:r>
            <w:r/>
          </w:p>
        </w:tc>
        <w:tc>
          <w:tcPr>
            <w:tcMar>
              <w:left w:w="15" w:type="dxa"/>
              <w:top w:w="15" w:type="dxa"/>
              <w:right w:w="15" w:type="dxa"/>
            </w:tcMar>
            <w:tcW w:w="979"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c>
          <w:tcPr>
            <w:tcMar>
              <w:left w:w="15" w:type="dxa"/>
              <w:top w:w="15" w:type="dxa"/>
              <w:right w:w="15" w:type="dxa"/>
            </w:tcMar>
            <w:tcW w:w="603" w:type="dxa"/>
            <w:vAlign w:val="center"/>
            <w:textDirection w:val="lrTb"/>
            <w:noWrap w:val="false"/>
          </w:tcPr>
          <w:p>
            <w:pPr>
              <w:pStyle w:val="850"/>
              <w:jc w:val="center"/>
              <w:widowControl/>
              <w:rPr>
                <w:rFonts w:hint="eastAsia" w:ascii="宋体" w:hAnsi="宋体" w:cs="宋体"/>
                <w:color w:val="auto"/>
                <w:sz w:val="22"/>
                <w:highlight w:val="none"/>
              </w:rPr>
            </w:pPr>
            <w:r>
              <w:rPr>
                <w:rFonts w:hint="eastAsia" w:ascii="宋体" w:hAnsi="宋体" w:cs="宋体"/>
                <w:color w:val="auto"/>
                <w:sz w:val="22"/>
                <w:highlight w:val="none"/>
              </w:rPr>
            </w:r>
            <w:r/>
          </w:p>
        </w:tc>
      </w:tr>
    </w:tbl>
    <w:p>
      <w:pPr>
        <w:ind w:firstLine="482"/>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十二、税费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12.1本合同执行中相关的一切税费均由乙方负担。</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十三、项目验收</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13.1 甲方依法组织履约验收工作。</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十四、违约责任</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14.1 甲方无正当理由拒绝接受乙方提供服务的，甲方向乙方偿付拒绝接受服务合同价款总值</w:t>
      </w:r>
      <w:r>
        <w:rPr>
          <w:rFonts w:hint="eastAsia" w:hAnsi="宋体" w:cs="宋体"/>
          <w:color w:val="auto"/>
          <w:sz w:val="24"/>
          <w:szCs w:val="24"/>
          <w:highlight w:val="none"/>
          <w:u w:val="single"/>
          <w:lang w:val="en-US" w:eastAsia="zh-CN"/>
        </w:rPr>
        <w:t xml:space="preserve">1‰</w:t>
      </w:r>
      <w:r>
        <w:rPr>
          <w:rFonts w:hint="eastAsia" w:hAnsi="宋体" w:cs="宋体"/>
          <w:color w:val="auto"/>
          <w:sz w:val="24"/>
          <w:szCs w:val="24"/>
          <w:highlight w:val="none"/>
        </w:rPr>
        <w:t xml:space="preserve">的违约金。</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14.2 甲方无故逾期验收和办理合同款项支付手</w:t>
      </w:r>
      <w:bookmarkStart w:id="714" w:name="_GoBack"/>
      <w:r/>
      <w:bookmarkEnd w:id="714"/>
      <w:r>
        <w:rPr>
          <w:rFonts w:hint="eastAsia" w:hAnsi="宋体" w:cs="宋体"/>
          <w:color w:val="auto"/>
          <w:sz w:val="24"/>
          <w:szCs w:val="24"/>
          <w:highlight w:val="none"/>
        </w:rPr>
        <w:t xml:space="preserve">续的,甲方应按逾期付款总额</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每日向乙方支付违约金。</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auto"/>
          <w:sz w:val="24"/>
          <w:szCs w:val="24"/>
          <w:highlight w:val="none"/>
          <w:u w:val="single"/>
          <w:lang w:val="en-US" w:eastAsia="zh-CN"/>
        </w:rPr>
        <w:t xml:space="preserve">10%</w:t>
      </w:r>
      <w:r>
        <w:rPr>
          <w:rFonts w:hint="eastAsia" w:hAnsi="宋体" w:cs="宋体"/>
          <w:color w:val="auto"/>
          <w:sz w:val="24"/>
          <w:szCs w:val="24"/>
          <w:highlight w:val="none"/>
        </w:rPr>
        <w:t xml:space="preserve">的违约金，如造成甲方损失超过违约金的，超出部分由乙方继续承担赔偿责任。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14.4 乙方所提供服务的标准不符合合同规定及招标文件规定标准的，甲方有权拒绝接受服务，并可单方面解除合同。</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14.5在履约期间，乙方必须按月发放人员工资，不得低于宿迁市最低工资标准；每月发放工资清单及时上报甲方核查不得出现虚假、遗漏等情况。否则，由此产生的一切经济损失和法律责任由乙方承担。出现此情况达到三次以上的，甲方有权单方终止合同，清退乙方出场。</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14.6无论任何原因，乙方不履行本合同规定的义务，致使工作延误，甲方有权要求其强制履行或解除合同，并要求乙方等额赔偿由此造成的一切损失.</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14.7本项目不得转让分包，如有发生，甲方有权终止该协议并由乙方承担由此造成的一切损失。</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14.8本合同所涉及到的违约金直接从所拨付的管养费中扣除。</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十五、考核标准</w:t>
      </w:r>
      <w:r/>
    </w:p>
    <w:p>
      <w:pPr>
        <w:pStyle w:val="1055"/>
        <w:ind w:firstLine="480"/>
        <w:spacing w:line="500" w:lineRule="exact"/>
        <w:rPr>
          <w:rFonts w:hint="eastAsia" w:hAnsi="宋体" w:cs="宋体"/>
          <w:color w:val="auto"/>
          <w:sz w:val="24"/>
          <w:szCs w:val="24"/>
          <w:highlight w:val="none"/>
        </w:rPr>
      </w:pPr>
      <w:r/>
      <w:bookmarkStart w:id="215" w:name="_Toc9463"/>
      <w:r/>
      <w:bookmarkStart w:id="216" w:name="_Toc25035"/>
      <w:r/>
      <w:bookmarkStart w:id="217" w:name="_Toc16496"/>
      <w:r/>
      <w:bookmarkStart w:id="218" w:name="_Toc20089"/>
      <w:r/>
      <w:bookmarkStart w:id="219" w:name="_Toc25727"/>
      <w:r/>
      <w:bookmarkStart w:id="220" w:name="_Toc17788"/>
      <w:r/>
      <w:bookmarkStart w:id="221" w:name="_Toc4902"/>
      <w:r/>
      <w:bookmarkStart w:id="222" w:name="_Toc24738"/>
      <w:r>
        <w:rPr>
          <w:rFonts w:hint="eastAsia" w:hAnsi="宋体" w:cs="宋体"/>
          <w:color w:val="auto"/>
          <w:sz w:val="24"/>
          <w:szCs w:val="24"/>
          <w:highlight w:val="none"/>
        </w:rPr>
        <w:t xml:space="preserve">考核办法分为以下五种：日常考核、定期考核、专项考核、直接扣费考核和失信行为考核。</w:t>
      </w:r>
      <w:bookmarkEnd w:id="215"/>
      <w:r/>
      <w:bookmarkEnd w:id="216"/>
      <w:r/>
      <w:bookmarkEnd w:id="217"/>
      <w:r/>
      <w:bookmarkEnd w:id="218"/>
      <w:r/>
      <w:bookmarkEnd w:id="219"/>
      <w:r/>
      <w:bookmarkEnd w:id="220"/>
      <w:r>
        <w:rPr>
          <w:rFonts w:hint="eastAsia" w:hAnsi="宋体" w:cs="宋体"/>
          <w:color w:val="auto"/>
          <w:sz w:val="24"/>
          <w:szCs w:val="24"/>
          <w:highlight w:val="none"/>
        </w:rPr>
        <w:t xml:space="preserve">月考核成绩为前三项考核综合得出，计算公式为：日常考核得分*70%+定期考核分数*30%+专项考核分数。</w:t>
      </w:r>
      <w:bookmarkEnd w:id="221"/>
      <w:r/>
      <w:bookmarkEnd w:id="222"/>
      <w:r/>
      <w:r/>
    </w:p>
    <w:p>
      <w:pPr>
        <w:pStyle w:val="1179"/>
        <w:ind w:firstLine="482"/>
        <w:keepLines w:val="0"/>
        <w:keepNext w:val="0"/>
        <w:pageBreakBefore w:val="0"/>
        <w:spacing w:line="500" w:lineRule="exact"/>
        <w:shd w:val="clear" w:color="auto" w:fill="ffffff"/>
        <w:widowControl w:val="off"/>
        <w:rPr>
          <w:rFonts w:hint="eastAsia" w:ascii="宋体" w:hAnsi="宋体" w:cs="宋体"/>
          <w:color w:val="auto"/>
          <w:sz w:val="24"/>
          <w:highlight w:val="none"/>
        </w:rPr>
      </w:pPr>
      <w:r/>
      <w:bookmarkStart w:id="223" w:name="_Toc10522"/>
      <w:r/>
      <w:bookmarkStart w:id="224" w:name="_Toc33"/>
      <w:r>
        <w:rPr>
          <w:rFonts w:hint="eastAsia" w:ascii="宋体" w:hAnsi="宋体" w:cs="宋体"/>
          <w:b/>
          <w:bCs/>
          <w:color w:val="auto"/>
          <w:sz w:val="24"/>
          <w:highlight w:val="none"/>
        </w:rPr>
        <w:t xml:space="preserve">1、日常考核、定期考核</w:t>
      </w:r>
      <w:r>
        <w:rPr>
          <w:rFonts w:hint="eastAsia" w:ascii="宋体" w:hAnsi="宋体" w:cs="宋体"/>
          <w:color w:val="auto"/>
          <w:sz w:val="24"/>
          <w:highlight w:val="none"/>
        </w:rPr>
        <w:t xml:space="preserve">：以百分制计分，日常考核占70%，定期考核占30%；</w:t>
      </w:r>
      <w:r>
        <w:rPr>
          <w:rFonts w:hint="eastAsia" w:ascii="宋体" w:hAnsi="宋体" w:cs="宋体"/>
          <w:b/>
          <w:bCs/>
          <w:color w:val="auto"/>
          <w:sz w:val="24"/>
          <w:highlight w:val="none"/>
        </w:rPr>
        <w:t xml:space="preserve">日常考核</w:t>
      </w:r>
      <w:r>
        <w:rPr>
          <w:rFonts w:hint="eastAsia" w:ascii="宋体" w:hAnsi="宋体" w:cs="宋体"/>
          <w:color w:val="auto"/>
          <w:sz w:val="24"/>
          <w:highlight w:val="none"/>
        </w:rPr>
        <w:t xml:space="preserve">为采购人现场监管人员日常巡查考核记录，每半月汇总一次，月末以两次汇总成绩的平均数为该月日常考核得分；</w:t>
      </w:r>
      <w:r>
        <w:rPr>
          <w:rFonts w:hint="eastAsia" w:ascii="宋体" w:hAnsi="宋体" w:cs="宋体"/>
          <w:b/>
          <w:bCs/>
          <w:color w:val="auto"/>
          <w:sz w:val="24"/>
          <w:highlight w:val="none"/>
        </w:rPr>
        <w:t xml:space="preserve">定期考核</w:t>
      </w:r>
      <w:r>
        <w:rPr>
          <w:rFonts w:hint="eastAsia" w:ascii="宋体" w:hAnsi="宋体" w:cs="宋体"/>
          <w:b/>
          <w:bCs/>
          <w:color w:val="auto"/>
          <w:sz w:val="24"/>
          <w:highlight w:val="none"/>
          <w:lang w:val="en-US" w:eastAsia="zh-CN"/>
        </w:rPr>
        <w:t xml:space="preserve">为</w:t>
      </w:r>
      <w:r>
        <w:rPr>
          <w:rFonts w:hint="eastAsia" w:ascii="宋体" w:hAnsi="宋体" w:cs="宋体"/>
          <w:color w:val="auto"/>
          <w:sz w:val="24"/>
          <w:highlight w:val="none"/>
        </w:rPr>
        <w:t xml:space="preserve">每1-2个月开展1次，由采购人牵头组织，现场管理部门参与，如定期考核每两个月开展一次，则定期考核成绩按30%折算后计入当月和前一月的月考核成绩。</w:t>
      </w:r>
      <w:bookmarkEnd w:id="223"/>
      <w:r/>
      <w:bookmarkEnd w:id="224"/>
      <w:r/>
      <w:r/>
    </w:p>
    <w:p>
      <w:pPr>
        <w:pStyle w:val="1179"/>
        <w:ind w:firstLine="480"/>
        <w:keepLines w:val="0"/>
        <w:keepNext w:val="0"/>
        <w:pageBreakBefore w:val="0"/>
        <w:spacing w:line="500" w:lineRule="exact"/>
        <w:shd w:val="clear" w:color="auto" w:fill="ffffff"/>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1.1日常考核表</w:t>
      </w:r>
      <w:r/>
    </w:p>
    <w:tbl>
      <w:tblPr>
        <w:tblStyle w:val="846"/>
        <w:tblW w:w="9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6729"/>
        <w:gridCol w:w="496"/>
        <w:gridCol w:w="496"/>
        <w:gridCol w:w="545"/>
        <w:gridCol w:w="459"/>
      </w:tblGrid>
      <w:tr>
        <w:trPr>
          <w:jc w:val="center"/>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考核时间</w:t>
            </w:r>
            <w:r/>
          </w:p>
        </w:tc>
        <w:tc>
          <w:tcPr>
            <w:tcW w:w="6729"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评分标准</w:t>
            </w:r>
            <w:r/>
          </w:p>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（总100分）</w:t>
            </w:r>
            <w:r/>
          </w:p>
        </w:tc>
        <w:tc>
          <w:tcPr>
            <w:tcW w:w="496"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存在问题</w:t>
            </w:r>
            <w:r/>
          </w:p>
        </w:tc>
        <w:tc>
          <w:tcPr>
            <w:tcW w:w="496"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扣分值</w:t>
            </w:r>
            <w:r/>
          </w:p>
        </w:tc>
        <w:tc>
          <w:tcPr>
            <w:tcW w:w="545"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整改期限</w:t>
            </w:r>
            <w:r/>
          </w:p>
        </w:tc>
        <w:tc>
          <w:tcPr>
            <w:tcW w:w="459"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备注</w:t>
            </w:r>
            <w:r/>
          </w:p>
        </w:tc>
      </w:tr>
      <w:tr>
        <w:trPr>
          <w:jc w:val="center"/>
          <w:trHeight w:val="1295"/>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6729"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按《宿迁市城市园林绿化分级管养标准》、《宿迁市城市园林绿化管养导则》和国家、省、市园林绿化、物业管理、消防安全等相关标准进行管理和养护，每发生1例不符合要求的，首次予以指出并限期整改，再次发生除限期整改外，视情节严重程度，扣1-3分</w:t>
            </w:r>
            <w:r/>
          </w:p>
        </w:tc>
        <w:tc>
          <w:tcPr>
            <w:tcW w:w="496"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96"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545"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9"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631"/>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6729"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日常考核已扣分的限期整改问题，逾期未整改到位的，按前次扣分值2倍扣分，并继续限期整改到位</w:t>
            </w:r>
            <w:r/>
          </w:p>
        </w:tc>
        <w:tc>
          <w:tcPr>
            <w:tcW w:w="496"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96"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545"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9"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301"/>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6729"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同一地点、同一问题、反复交办3次以上未落实到位的，扣20分</w:t>
            </w:r>
            <w:r/>
          </w:p>
        </w:tc>
        <w:tc>
          <w:tcPr>
            <w:tcW w:w="496"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96"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545"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9"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376"/>
        </w:trPr>
        <w:tc>
          <w:tcPr>
            <w:gridSpan w:val="2"/>
            <w:tcW w:w="7186"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合  计</w:t>
            </w:r>
            <w:r/>
          </w:p>
        </w:tc>
        <w:tc>
          <w:tcPr>
            <w:tcW w:w="496"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96"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545"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9"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583"/>
        </w:trPr>
        <w:tc>
          <w:tcPr>
            <w:gridSpan w:val="2"/>
            <w:tcW w:w="7186"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月日常考核得分（100-扣分值合计）</w:t>
            </w:r>
            <w:r/>
          </w:p>
        </w:tc>
        <w:tc>
          <w:tcPr>
            <w:gridSpan w:val="4"/>
            <w:tcW w:w="1996" w:type="dxa"/>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r>
    </w:tbl>
    <w:p>
      <w:pPr>
        <w:pStyle w:val="1180"/>
        <w:ind w:firstLine="120"/>
        <w:jc w:val="left"/>
        <w:spacing w:line="500" w:lineRule="exact"/>
        <w:shd w:val="clear" w:color="auto" w:fill="ffff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考核人：                       被考核人：</w:t>
      </w:r>
      <w:r/>
    </w:p>
    <w:p>
      <w:pPr>
        <w:pStyle w:val="1179"/>
        <w:ind w:firstLine="24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1.2定期考核表</w:t>
      </w:r>
      <w:r/>
    </w:p>
    <w:tbl>
      <w:tblPr>
        <w:tblStyle w:val="846"/>
        <w:tblW w:w="9061" w:type="dxa"/>
        <w:jc w:val="center"/>
        <w:tblLayout w:type="fixed"/>
        <w:tblCellMar>
          <w:left w:w="108" w:type="dxa"/>
          <w:top w:w="0" w:type="dxa"/>
          <w:right w:w="108" w:type="dxa"/>
          <w:bottom w:w="0" w:type="dxa"/>
        </w:tblCellMar>
        <w:tblLook w:val="04A0" w:firstRow="1" w:lastRow="0" w:firstColumn="1" w:lastColumn="0" w:noHBand="0" w:noVBand="1"/>
      </w:tblPr>
      <w:tblGrid>
        <w:gridCol w:w="1597"/>
        <w:gridCol w:w="515"/>
        <w:gridCol w:w="4290"/>
        <w:gridCol w:w="663"/>
        <w:gridCol w:w="962"/>
        <w:gridCol w:w="438"/>
        <w:gridCol w:w="596"/>
      </w:tblGrid>
      <w:tr>
        <w:trPr>
          <w:jc w:val="center"/>
          <w:trHeight w:val="279"/>
          <w:tblHeader/>
        </w:trPr>
        <w:tc>
          <w:tcPr>
            <w:tcBorders>
              <w:top w:val="single" w:color="000000" w:sz="8" w:space="0"/>
              <w:left w:val="single" w:color="000000" w:sz="8" w:space="0"/>
              <w:bottom w:val="none" w:color="000000" w:sz="4" w:space="0"/>
              <w:right w:val="single" w:color="000000" w:sz="8"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15"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290"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c>
          <w:tcPr>
            <w:gridSpan w:val="2"/>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625" w:type="dxa"/>
            <w:vAlign w:val="center"/>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分值（分）</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38"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96"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90"/>
          <w:tblHeader/>
        </w:trPr>
        <w:tc>
          <w:tcPr>
            <w:tcBorders>
              <w:top w:val="none" w:color="000000" w:sz="4" w:space="0"/>
              <w:left w:val="single" w:color="000000" w:sz="8" w:space="0"/>
              <w:bottom w:val="single" w:color="auto" w:sz="4" w:space="0"/>
              <w:right w:val="single" w:color="000000" w:sz="8" w:space="0"/>
            </w:tcBorders>
            <w:tcW w:w="1597" w:type="dxa"/>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15" w:type="dxa"/>
            <w:vAlign w:val="center"/>
            <w:vMerge w:val="continue"/>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290" w:type="dxa"/>
            <w:vAlign w:val="center"/>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8" w:space="0"/>
              <w:bottom w:val="single" w:color="auto" w:sz="4" w:space="0"/>
              <w:right w:val="single" w:color="000000" w:sz="8" w:space="0"/>
            </w:tcBorders>
            <w:tcMar>
              <w:left w:w="108" w:type="dxa"/>
              <w:top w:w="0" w:type="dxa"/>
              <w:right w:w="108" w:type="dxa"/>
              <w:bottom w:w="0" w:type="dxa"/>
            </w:tcMar>
            <w:tcW w:w="663" w:type="dxa"/>
            <w:vAlign w:val="center"/>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一级</w:t>
            </w:r>
            <w:r/>
          </w:p>
        </w:tc>
        <w:tc>
          <w:tcPr>
            <w:tcBorders>
              <w:top w:val="single" w:color="000000" w:sz="4" w:space="0"/>
              <w:left w:val="single" w:color="000000" w:sz="8" w:space="0"/>
              <w:bottom w:val="single" w:color="auto" w:sz="4"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二、三级</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38" w:type="dxa"/>
            <w:vAlign w:val="center"/>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96" w:type="dxa"/>
            <w:vAlign w:val="center"/>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49"/>
        </w:trPr>
        <w:tc>
          <w:tcPr>
            <w:tcBorders>
              <w:top w:val="single" w:color="auto" w:sz="4" w:space="0"/>
              <w:left w:val="single" w:color="auto" w:sz="4" w:space="0"/>
              <w:bottom w:val="single" w:color="auto" w:sz="4" w:space="0"/>
              <w:right w:val="single" w:color="auto"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整体形象</w:t>
            </w:r>
            <w:r/>
          </w:p>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整体景观效果较好，绿篱色块、草坪、花卉等生长茂盛，植物层次控制良好，乔灌木修剪及时得当，景观设施完整，及时修复。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single" w:color="auto" w:sz="4" w:space="0"/>
              <w:left w:val="single" w:color="auto" w:sz="4" w:space="0"/>
              <w:bottom w:val="single" w:color="000000" w:sz="4" w:space="0"/>
              <w:right w:val="single" w:color="000000" w:sz="8"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人员着装整齐、佩戴上岗证，不迟到早退、不脱岗、不酒后上岗，工作期间不坐、卧，不做与工作无关的事，文明管理，不讲粗话、脏话，不与游人争吵；养护工具不乱摆乱放，养护车辆不乱停乱放。</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single" w:color="000000" w:sz="4" w:space="0"/>
              <w:left w:val="single" w:color="000000" w:sz="4" w:space="0"/>
              <w:bottom w:val="none" w:color="000000" w:sz="4" w:space="0"/>
              <w:right w:val="single" w:color="000000"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绿化养护</w:t>
            </w:r>
            <w:r/>
          </w:p>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（一级管养20分，二、三级管养25分）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修剪不到位，乔灌木根颈部处理不到位，有下垂枝影响通行，草坪未切边或切边不齐不美的，杂草清除不到位；根据实际情况酌情扣分。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269"/>
        </w:trPr>
        <w:tc>
          <w:tcPr>
            <w:tcBorders>
              <w:top w:val="none" w:color="000000" w:sz="4" w:space="0"/>
              <w:left w:val="single" w:color="000000" w:sz="4" w:space="0"/>
              <w:bottom w:val="non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病虫害防治未达要求的，每例扣1分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none" w:color="000000" w:sz="4" w:space="0"/>
              <w:left w:val="single" w:color="000000" w:sz="4" w:space="0"/>
              <w:bottom w:val="singl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在绿地内乱搭乱建的；树体上有附着物的；树木歪斜未扶正的；受损绿地未及时修复或补植的，修复作业不规范的；根据实际情况酌情扣分。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322"/>
        </w:trPr>
        <w:tc>
          <w:tcPr>
            <w:tcBorders>
              <w:top w:val="single" w:color="000000" w:sz="4" w:space="0"/>
              <w:left w:val="single" w:color="000000" w:sz="4" w:space="0"/>
              <w:bottom w:val="none" w:color="000000" w:sz="4" w:space="0"/>
              <w:right w:val="single" w:color="000000"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保洁和设施维护（一级管养15分，二、三级管养20分）</w:t>
            </w:r>
            <w:r/>
          </w:p>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无塑膜、无纸屑、无果皮、无烟头、无便迹、无油迹污渍、无杂物、无绿化管养衍生物等；</w:t>
            </w:r>
            <w:r>
              <w:rPr>
                <w:rFonts w:hint="eastAsia" w:ascii="宋体" w:hAnsi="宋体" w:cs="宋体"/>
                <w:color w:val="auto"/>
                <w:spacing w:val="-6"/>
                <w:sz w:val="18"/>
                <w:szCs w:val="18"/>
                <w:highlight w:val="none"/>
              </w:rPr>
              <w:t xml:space="preserve">水面无垃圾、无大片水草及其他衍生物；</w:t>
            </w:r>
            <w:r>
              <w:rPr>
                <w:rFonts w:hint="eastAsia" w:ascii="宋体" w:hAnsi="宋体" w:cs="宋体"/>
                <w:color w:val="auto"/>
                <w:sz w:val="18"/>
                <w:szCs w:val="18"/>
                <w:highlight w:val="none"/>
              </w:rPr>
              <w:t xml:space="preserve">保洁垃圾未做到及时清理，垃圾箱外溢，管养废弃物未入袋收集随意堆放在地面的；根据实际情况酌情扣分。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none" w:color="000000" w:sz="4" w:space="0"/>
              <w:left w:val="single" w:color="000000" w:sz="4" w:space="0"/>
              <w:bottom w:val="non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pacing w:val="-6"/>
                <w:sz w:val="18"/>
                <w:szCs w:val="18"/>
                <w:highlight w:val="none"/>
              </w:rPr>
            </w:pPr>
            <w:r>
              <w:rPr>
                <w:rFonts w:hint="eastAsia" w:ascii="宋体" w:hAnsi="宋体" w:cs="宋体"/>
                <w:color w:val="auto"/>
                <w:sz w:val="18"/>
                <w:szCs w:val="18"/>
                <w:highlight w:val="none"/>
              </w:rPr>
              <w:t xml:space="preserve">各类设施、园林建筑等功能正常，外观完好，清洁卫生，定期擦洗，无张贴刻画现象</w:t>
            </w:r>
            <w:r>
              <w:rPr>
                <w:rFonts w:hint="eastAsia" w:ascii="宋体" w:hAnsi="宋体" w:cs="宋体"/>
                <w:color w:val="auto"/>
                <w:spacing w:val="-6"/>
                <w:sz w:val="18"/>
                <w:szCs w:val="18"/>
                <w:highlight w:val="none"/>
              </w:rPr>
              <w:t xml:space="preserve">，</w:t>
            </w:r>
            <w:r>
              <w:rPr>
                <w:rFonts w:hint="eastAsia" w:ascii="宋体" w:hAnsi="宋体" w:cs="宋体"/>
                <w:color w:val="auto"/>
                <w:sz w:val="18"/>
                <w:szCs w:val="18"/>
                <w:highlight w:val="none"/>
              </w:rPr>
              <w:t xml:space="preserve">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80"/>
        </w:trPr>
        <w:tc>
          <w:tcPr>
            <w:tcBorders>
              <w:top w:val="none" w:color="000000" w:sz="4" w:space="0"/>
              <w:left w:val="single" w:color="000000" w:sz="4" w:space="0"/>
              <w:bottom w:val="singl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公厕所需的蚊香、卫生球、纸篓、垃圾袋及卫生纸等应配备放置到位；公厕设施维修及时，维修期间设置规范公告牌；根据实际情况酌情扣分。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57"/>
        </w:trPr>
        <w:tc>
          <w:tcPr>
            <w:tcBorders>
              <w:top w:val="single" w:color="000000" w:sz="4" w:space="0"/>
              <w:left w:val="single" w:color="000000" w:sz="4" w:space="0"/>
              <w:bottom w:val="none" w:color="000000" w:sz="4" w:space="0"/>
              <w:right w:val="single" w:color="000000"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保安（一级管养10分）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停车场管理不到位，车辆未停放在规定区域或停放不整齐的，根据实际情况酌情扣分。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18"/>
        </w:trPr>
        <w:tc>
          <w:tcPr>
            <w:tcBorders>
              <w:top w:val="none" w:color="000000" w:sz="4" w:space="0"/>
              <w:left w:val="single" w:color="000000" w:sz="4" w:space="0"/>
              <w:bottom w:val="single" w:color="000000" w:sz="4" w:space="0"/>
              <w:right w:val="single" w:color="000000" w:sz="4" w:space="0"/>
            </w:tcBorders>
            <w:tcW w:w="1597" w:type="dxa"/>
            <w:vAlign w:val="center"/>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游客在广场、道路、座椅等随意躺卧的或未在规定区域垂钓的，保安未进行文明劝导的，根据实际情况酌情扣分。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其它（5分）</w:t>
            </w:r>
            <w:r/>
          </w:p>
        </w:tc>
        <w:tc>
          <w:tcPr>
            <w:tcBorders>
              <w:top w:val="single" w:color="000000" w:sz="8" w:space="0"/>
              <w:left w:val="single" w:color="000000" w:sz="4" w:space="0"/>
              <w:bottom w:val="single" w:color="000000" w:sz="4" w:space="0"/>
              <w:right w:val="single" w:color="000000" w:sz="8" w:space="0"/>
            </w:tcBorders>
            <w:tcMar>
              <w:left w:w="108" w:type="dxa"/>
              <w:top w:w="0" w:type="dxa"/>
              <w:right w:w="108" w:type="dxa"/>
              <w:bottom w:w="0" w:type="dxa"/>
            </w:tcMar>
            <w:tcW w:w="515"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现场还存在其他管养质量和管理问题的，根据实际情况酌情扣分。</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199"/>
        </w:trPr>
        <w:tc>
          <w:tcPr>
            <w:gridSpan w:val="2"/>
            <w:tcW w:w="211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合计</w:t>
            </w:r>
            <w:r/>
          </w:p>
        </w:tc>
        <w:tc>
          <w:tcPr>
            <w:tcMar>
              <w:left w:w="108" w:type="dxa"/>
              <w:top w:w="0" w:type="dxa"/>
              <w:right w:w="108" w:type="dxa"/>
              <w:bottom w:w="0" w:type="dxa"/>
            </w:tcMar>
            <w:tcW w:w="4290"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256"/>
        </w:trPr>
        <w:tc>
          <w:tcPr>
            <w:gridSpan w:val="2"/>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得分</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3"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bl>
    <w:p>
      <w:pPr>
        <w:pStyle w:val="1179"/>
        <w:ind w:firstLine="420"/>
        <w:spacing w:line="400" w:lineRule="exact"/>
        <w:shd w:val="clear" w:color="auto" w:fill="ffffff"/>
        <w:rPr>
          <w:rFonts w:hint="eastAsia" w:ascii="宋体" w:hAnsi="宋体" w:cs="宋体"/>
          <w:color w:val="auto"/>
          <w:sz w:val="24"/>
          <w:highlight w:val="none"/>
        </w:rPr>
      </w:pPr>
      <w:r/>
      <w:bookmarkStart w:id="225" w:name="_Toc24561"/>
      <w:r/>
      <w:bookmarkStart w:id="226" w:name="_Toc24919"/>
      <w:r/>
      <w:bookmarkStart w:id="227" w:name="_Toc31827"/>
      <w:r/>
      <w:bookmarkStart w:id="228" w:name="_Toc6949"/>
      <w:r/>
      <w:bookmarkStart w:id="229" w:name="_Toc12519"/>
      <w:r/>
      <w:bookmarkStart w:id="230" w:name="_Toc17470"/>
      <w:r/>
      <w:bookmarkStart w:id="231" w:name="_Toc9058"/>
      <w:r>
        <w:rPr>
          <w:rFonts w:hint="eastAsia" w:ascii="宋体" w:hAnsi="宋体" w:cs="宋体"/>
          <w:color w:val="auto"/>
          <w:szCs w:val="21"/>
          <w:highlight w:val="none"/>
        </w:rPr>
        <w:t xml:space="preserve">考核组：                                      被考核人：</w:t>
      </w:r>
      <w:bookmarkEnd w:id="225"/>
      <w:r/>
      <w:bookmarkEnd w:id="226"/>
      <w:r/>
      <w:bookmarkEnd w:id="227"/>
      <w:r/>
      <w:bookmarkEnd w:id="228"/>
      <w:r/>
      <w:bookmarkEnd w:id="229"/>
      <w:r/>
      <w:bookmarkEnd w:id="230"/>
      <w:r/>
      <w:bookmarkEnd w:id="231"/>
      <w:r/>
      <w:r/>
    </w:p>
    <w:p>
      <w:pPr>
        <w:pStyle w:val="1179"/>
        <w:ind w:firstLine="482"/>
        <w:spacing w:line="400" w:lineRule="exact"/>
        <w:shd w:val="clear" w:color="auto" w:fill="ffffff"/>
        <w:rPr>
          <w:rFonts w:hint="eastAsia" w:ascii="宋体" w:hAnsi="宋体" w:cs="宋体"/>
          <w:color w:val="auto"/>
          <w:sz w:val="24"/>
          <w:highlight w:val="none"/>
        </w:rPr>
      </w:pPr>
      <w:r/>
      <w:bookmarkStart w:id="232" w:name="_Toc6008"/>
      <w:r/>
      <w:bookmarkStart w:id="233" w:name="_Toc23029"/>
      <w:r/>
      <w:bookmarkStart w:id="234" w:name="_Toc4981"/>
      <w:r/>
      <w:bookmarkStart w:id="235" w:name="_Toc644"/>
      <w:r/>
      <w:bookmarkStart w:id="236" w:name="_Toc25430"/>
      <w:r/>
      <w:bookmarkStart w:id="237" w:name="_Toc32064"/>
      <w:r/>
      <w:bookmarkStart w:id="238" w:name="_Toc28473"/>
      <w:r/>
      <w:bookmarkStart w:id="239" w:name="_Toc21070"/>
      <w:r>
        <w:rPr>
          <w:rFonts w:hint="eastAsia" w:ascii="宋体" w:hAnsi="宋体" w:cs="宋体"/>
          <w:b/>
          <w:bCs/>
          <w:color w:val="auto"/>
          <w:sz w:val="24"/>
          <w:highlight w:val="none"/>
        </w:rPr>
        <w:t xml:space="preserve">2、专项考核：</w:t>
      </w:r>
      <w:r>
        <w:rPr>
          <w:rFonts w:hint="eastAsia" w:ascii="宋体" w:hAnsi="宋体" w:cs="宋体"/>
          <w:color w:val="auto"/>
          <w:sz w:val="24"/>
          <w:highlight w:val="none"/>
        </w:rPr>
        <w:t xml:space="preserve">专项考核分为扣分和加分两种情况，得分以片区为单位每月汇总一次，在某片区日常考核和定期考核汇总核算分数的基础上直接扣除或增加相应分数，得出某片区最终月度考核分数（专项考核表详见合同附件）；</w:t>
      </w:r>
      <w:bookmarkEnd w:id="232"/>
      <w:r/>
      <w:bookmarkEnd w:id="233"/>
      <w:r/>
      <w:bookmarkEnd w:id="234"/>
      <w:r/>
      <w:bookmarkEnd w:id="235"/>
      <w:r/>
      <w:bookmarkEnd w:id="236"/>
      <w:r/>
      <w:bookmarkEnd w:id="237"/>
      <w:r/>
      <w:bookmarkEnd w:id="238"/>
      <w:r/>
      <w:bookmarkEnd w:id="239"/>
      <w:r/>
      <w:r/>
    </w:p>
    <w:p>
      <w:pPr>
        <w:pStyle w:val="1179"/>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2.1专项考核扣分项</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2.1.1建立完整的管养工作档案，甲方在抽查检查时不能及时提供或缺失的，每例扣1分（包括台账、管养巡查日志、工作总结计划、专项工作安排、人员管理考核培训材料等）。</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2.1.2未按要求报送工作总结计划的，每次扣1分。</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2.1.3未及时完成甲方下达的各项任务的，每例扣1～5分；未按时按要求完成采购人发出的合同内提升改造设计任务的，每例扣1～5分。</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2.1.4未经甲方同意，擅自砍伐、移植或更换养护范围内的树木，改变绿地原貌的，每例扣3～10分。</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2.1.5对毁绿、占绿（包括审批移植超范围施工）的行为，未在第一时间（当日17:30之前发生的需当日处置，当日17:30以后发生的需在次日12:00之前处置）内发现并制止、上报甲方现场负责人及相关执法单位的，每次扣3～5分。管养单位只上报甲方现场负责人但未作实质性处置的视为未有效制止毁绿，每例扣4分，并负责无偿恢复被毁绿地。</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2.1.6因养护管理不善，发生人员伤亡、财产损失后未处理或处理不妥造成投诉的或不良影响的，每例扣3～10分。如乙方未及时发现树木倒伏、主干或枝条折断等问题，对树木倒伏、折断的24小时内未采取扶正、支撑、修剪等措施加以补救、积极处理，导致倒、断树伤人或绿化被人为损坏未获赔偿的，由乙方负赔偿责任。</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2.1.7对群众来信、来访、投诉电话中反映的投诉、批评、数字城管工单等问题，每逾期回复1次扣1分，经查实属管养单位疏于养护管理导致的，24小时内无故未整改到位的每例扣2分。</w:t>
      </w:r>
      <w:r/>
    </w:p>
    <w:p>
      <w:pPr>
        <w:pStyle w:val="1179"/>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2.1.8对甲方所需技术支持事项，不能在规定时间内组成专家技术团队到场服务的，每例扣3分。</w:t>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2.2专项考核奖励加分项</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2.2.1重大活动时能及时完成上级布置的养护任务或其它临时突击增加的任务，完成及时得到表扬的每例加1～3分；能高标准及时完成布置的设计任务并得到表扬的每例加1～3分。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2.2.2对于新闻媒体</w:t>
      </w:r>
      <w:r>
        <w:rPr>
          <w:rFonts w:hint="eastAsia" w:ascii="宋体" w:hAnsi="宋体" w:cs="宋体"/>
          <w:color w:val="auto"/>
          <w:sz w:val="24"/>
          <w:highlight w:val="none"/>
          <w:lang w:val="en-US" w:eastAsia="zh-CN"/>
        </w:rPr>
        <w:t xml:space="preserve">报道，</w:t>
      </w:r>
      <w:r>
        <w:rPr>
          <w:rFonts w:hint="eastAsia" w:ascii="宋体" w:hAnsi="宋体" w:cs="宋体"/>
          <w:color w:val="auto"/>
          <w:sz w:val="24"/>
          <w:highlight w:val="none"/>
        </w:rPr>
        <w:t xml:space="preserve">市、区、局领导</w:t>
      </w:r>
      <w:r>
        <w:rPr>
          <w:rFonts w:hint="eastAsia" w:ascii="宋体" w:hAnsi="宋体" w:cs="宋体"/>
          <w:color w:val="auto"/>
          <w:sz w:val="24"/>
          <w:highlight w:val="none"/>
          <w:lang w:val="en-US" w:eastAsia="zh-CN"/>
        </w:rPr>
        <w:t xml:space="preserve">及其他单位</w:t>
      </w:r>
      <w:r>
        <w:rPr>
          <w:rFonts w:hint="eastAsia" w:ascii="宋体" w:hAnsi="宋体" w:cs="宋体"/>
          <w:color w:val="auto"/>
          <w:sz w:val="24"/>
          <w:highlight w:val="none"/>
        </w:rPr>
        <w:t xml:space="preserve">提出表扬嘉奖的，每例加2分。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2.2.3上班期间有好人好事、见义勇为行为的，每例加1-2分。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2.2.4能及时发现养护范围之内出现的问题，并且针对提出有效可行新办法新措施的，每例加1～3分；能主动研究分析，针对管养问题，提出有效设计方案从根源上解决管养问题的，每例加1～3分。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2.2.5及时发现、妥善处置毁绿占绿行为，措施得力，保护绿地不受侵占的，为甲方挽回财产损失的，每例加1～3分。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2.2.6甲方不定期对所布置的调查统计、突击活动等阶段性工作完成情况评比，从完成及时、成果准确、质量优良的片区中选出最优者，予以每例加1分奖励；甲方布置的临时性工作，能够积极予以落实，并在约定的期限内高质量完成的，予以每例加1分奖励。</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2.2.7积极处理本服务范围内非乙方原因发生的数字城管工单、市民投诉等问题的，每例加1～3分。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2.2.8积极采取措施应急排险，处理本服务范围内的突发事件，使公众人身和财产免受损失的，每例加1～3分。</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2.2.9管养期内，按照业主方要求，3年内完成2个科研课题选题和研究工作的，完成并发表，每完成1个，自完成当月起连续3个月各片区考核各加10分，如完成时间所在月份至合同期满不足3个月的，则按实际剩余的月份加分。</w:t>
      </w:r>
      <w:r/>
    </w:p>
    <w:p>
      <w:pPr>
        <w:pStyle w:val="1179"/>
        <w:ind w:firstLine="482"/>
        <w:spacing w:line="400" w:lineRule="exact"/>
        <w:shd w:val="clear" w:color="auto" w:fill="ffffff"/>
        <w:rPr>
          <w:rFonts w:hint="eastAsia" w:ascii="宋体" w:hAnsi="宋体" w:cs="宋体"/>
          <w:color w:val="auto"/>
          <w:sz w:val="24"/>
          <w:highlight w:val="none"/>
        </w:rPr>
      </w:pPr>
      <w:r/>
      <w:bookmarkStart w:id="240" w:name="_Toc8126"/>
      <w:r/>
      <w:bookmarkStart w:id="241" w:name="_Toc19852"/>
      <w:r/>
      <w:bookmarkStart w:id="242" w:name="_Toc27704"/>
      <w:r/>
      <w:bookmarkStart w:id="243" w:name="_Toc1904"/>
      <w:r/>
      <w:bookmarkStart w:id="244" w:name="_Toc21302"/>
      <w:r/>
      <w:bookmarkStart w:id="245" w:name="_Toc13218"/>
      <w:r/>
      <w:bookmarkStart w:id="246" w:name="_Toc14620"/>
      <w:r/>
      <w:bookmarkStart w:id="247" w:name="_Toc22569"/>
      <w:r>
        <w:rPr>
          <w:rFonts w:hint="eastAsia" w:ascii="宋体" w:hAnsi="宋体" w:cs="宋体"/>
          <w:b/>
          <w:bCs/>
          <w:color w:val="auto"/>
          <w:sz w:val="24"/>
          <w:highlight w:val="none"/>
        </w:rPr>
        <w:t xml:space="preserve">3、直接扣费考核：</w:t>
      </w:r>
      <w:r>
        <w:rPr>
          <w:rFonts w:hint="eastAsia" w:ascii="宋体" w:hAnsi="宋体" w:cs="宋体"/>
          <w:color w:val="auto"/>
          <w:sz w:val="24"/>
          <w:highlight w:val="none"/>
        </w:rPr>
        <w:t xml:space="preserve">分片区按月累计，在当月按月度综合得分计算得出的月度管养费中直接扣除相应费用。</w:t>
      </w:r>
      <w:bookmarkEnd w:id="240"/>
      <w:r/>
      <w:bookmarkEnd w:id="241"/>
      <w:r/>
      <w:bookmarkEnd w:id="242"/>
      <w:r/>
      <w:bookmarkEnd w:id="243"/>
      <w:r/>
      <w:bookmarkEnd w:id="244"/>
      <w:r/>
      <w:bookmarkEnd w:id="245"/>
      <w:r/>
      <w:bookmarkEnd w:id="246"/>
      <w:r/>
      <w:bookmarkEnd w:id="247"/>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3.1管理工作考核</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3.1.1乙方进入各公园片区后在2周内熟悉各公园范围、工作内容、重点事项，1个月内做出完善、切实可行的内部人事制度、考核制度、奖惩制度、服务方案、建立公园钥匙管理制度、房屋巡查制度、岗位分布及调整方案等整套服务配套资料报甲方现场负责人审核，如报送内容不符合要求，限1周内整改到位，未按要求整改到位的，扣除违约金1000 元/天。</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3.1.2各片区负责人和各管理人员按时参加由甲方现场负责人召开的养护例会和各种必须参加的考核等会议，特殊情况不能参加的，本人必须提前履行请假手续，经甲方现场负责人同意后，方可委托其他人代替参加，30天内仅限委托他人参加一次，违反本项扣除5000元/人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3.1.3公园片区各负责人严格执行每月例会制度，组织召开现场人员会议，总结当月工作、做好下月工作安排、反馈甲方工作要求、倾听意见和建议，并做好记录上报甲方现场负责人，如未按要求及时上报，扣除违约金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3.1.4严格做好各项总结及计划上报工作，本周总结和下周计划在每周五上午下班前报送，月度总结和下月计划应在每月28日前报送甲方现场负责人，未及时上报或编写质量较差、内容不全面的扣除500元/次，并重新编写至满足甲方要求为止。</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3.1.5公园片区内，每月在片区内组织一次安全演练和开展一次公园安全隐患排查，做好记录、留存照片上报甲方现场负责人，未及时、认真开展的，扣除1000元/次。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不得发生在办公场所私拉乱接线路、违规使用大功率电器、使用明火、聚餐饮酒等行为，造成损失由乙方负责赔偿；未造成损失的，乙方应当立即整改到位，如有发现以上行为，扣除违约金1000元/次。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重视接待、创建等工作，在接待前积极主动开展环境整理、点位布置、展牌摆放、接待通知、线路巡查、重点工作重点岗位交办等工作，接待前30 分钟确保接待线路上车辆管理、施工管理、安全管理、垂钓管理、垃圾清理、喷泉及音乐开放、不文明行为管理等工作全面落实到位，并持续维护至接待完成，如不到位，扣除3000元/次，对出问题的岗位进行问责，并报甲方处理结果。</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乙方未按照合同约定的服务期限提供服务的，除甲方原因或不可抗力外，应向甲方支付违约金，以每片区为单位，每少提供服务一天，按该片区管养费的1‰支付违约金，如超过 7日，除支付违约金外，甲方有权解除合同。</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3.1.10合同期内，未按业主要求完成科研课题选题和研究，完成并发表，扣除合同总管养费的0.5%。</w:t>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3.2人员考核</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3.2.1</w:t>
      </w:r>
      <w:r>
        <w:rPr>
          <w:rFonts w:hint="eastAsia" w:ascii="宋体" w:hAnsi="宋体" w:cs="宋体"/>
          <w:color w:val="auto"/>
          <w:sz w:val="24"/>
          <w:highlight w:val="none"/>
          <w:lang w:val="en-US" w:eastAsia="zh-CN"/>
        </w:rPr>
        <w:t xml:space="preserve">管理</w:t>
      </w:r>
      <w:r>
        <w:rPr>
          <w:rFonts w:hint="eastAsia" w:ascii="宋体" w:hAnsi="宋体" w:cs="宋体"/>
          <w:color w:val="auto"/>
          <w:sz w:val="24"/>
          <w:highlight w:val="none"/>
        </w:rPr>
        <w:t xml:space="preserve">人员缺岗的，扣除500元/人次，如因电子工牌故障导致人员考核信息不准确的，按人员缺岗处理，以片区为单位连续3个月累计超过5人次缺岗的，再扣除违约金5000元。</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3.2.2项目管理人员保持24小时手机畅通，电话联系不上致使延误工作的，扣除1000元/次。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3.2.3所有工作人员须服从甲方现场工作安排，文明开展工作，不得出现辱骂、威胁、殴打、诽谤甲方人员，不得造谣传谣、抹黑采购人公众形象，工作过程中不得与市民、游客发生吵架、斗殴等行为，如有发生须立即辞退涉事人员，且不再录用，并扣除10000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3.2.4进场后，不得随意更换管理人员，因特殊情况确需更换的，应提前5天以书面形式通知甲方，拟更换的人员经甲方同意后方可到岗，履行前任的义务，各岗位管理人员中标服务期内仅限各更换一次（甲方要求更换的除外），擅自更换或后期再次更换，扣除100000元/人次；其中任意1个管理岗位更换次数达三次（含）以上的，甲方单方有权立即终止本合同，清退出场，按合同结清当期已发生管养款，如已支付预付款的，乙方须退还扣除已发生管养款后的预付款，由此产生的一切法律责任和经济损失均由乙方承担。</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3.2.5甲方有权要求更换不称职的管理人员或工作人员，如乙方拒不按要求更换到位的，扣除50000元/人次，甲方有权单方面立即终止本项目合同，清退出场，按合同结清当期已发生项目管养款，如已支付预付款的，乙方须退还扣除已发生管养款后的预付款，由此产生的一切法律责任和经济损失均由乙方承担。</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3.2.6合同期内，所有人员不得兼职其他项目，每发生一例，按5000元/人/天扣除。</w:t>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3.3设备考核</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乙方提供的设施设备如不符合采购需求，须在30日内重新采购到位，如不到位扣除违约金2000元/天。经甲方验收通过的设施设备，应专供于本项目，其它机械设备如管养作业中有需要，乙方也可租用，租用的机械设备需使用时应提前安排，所有设施设备需保持8成新，不得出现因机械设备不到位影响工作的情况，如有则扣除违约金5000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设施设备工具及耗材未在清单中详细罗列的，按养护要求充足提供，甲方有权根据实际需求，要求乙方增加设备、耗材的品种和数量，因此产生的所有费用包含在本项目的报价内，拒不增加导致无法达到工作要求的，扣除10000元/次。</w:t>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3.4管养工作考核</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因管养工作不到位出现问题，被外来检查、媒体曝光通报批评、群众投诉、信访举报或主管部门领导交办管养不到位问题的扣除1000元/次；被局领导交办管养不到位问题的扣除5000元/次；被市领导、区领导交办管养不到位问题的扣除10000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3.4.2严格执行施肥工作的统一安排，原则上园林绿化苗木每年施基肥1次，追肥根据不同植物品种需求，每年至少1次，每季度初报送季度肥料使用计划表（肥料品种、数量、施肥地点、施肥苗木品种等），经甲方现场负责人审核通过后进行采购施用，按计划施用肥料，不施肥或偷工减料的，一经查实，扣除5000元/次，并在规定时间内补施到位，如未在规定时间内按要求补施的，每逾期1天扣除200元；严格控制肥料使用量并结合实际需求施肥，过量施肥造成苗木损伤的由乙方赔偿。</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3.4.3每年秋季及时进行黑麦草复播，确保冬季草坪观赏效果，如未按要求复播黑麦草或效果不佳，黑麦草出苗率低于85%的，每次考核发现效果不佳草坪面积大于等于1000㎡的，乙方须支付违约金10000元/次，面积小于1000㎡的，扣除3000元/次，并无条件整改到位。</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3.4.4乙方应及时安排各阶段重点工作（如秋季落叶打扫工作、夏秋季水草打捞工作、冬季树木涂白、公园公厕防寒保暖），及时落实秋冬季、祭祀期、春节等期间防火预防措施，及时做好雨雪、大风等恶劣天气应对准备及灾情统计、灾后辅助恢复等工作等，因工作安排不及时,导致安全问题、设施设备问题、卫生问题，由乙方承担一切经济责任和法律责任并扣除5000元/次。</w:t>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保安和绿地巡查工作考核</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切实做好每班每岗的巡查工作，自觉开展恶劣天气后公园、道路绿化的全面检查工作，及时发现安全隐患、设施坏损，做好充电设施的安全管理和动态检查等，及时上报甲方图片、记录等情况，未及时上报或内容不全面的扣除500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.2应做好绿化苗木看护义务，对于苗木偷盗行为及时发现和制止，如因此造成甲方损失，乙方须按照苗木当期市场综合单价进行赔偿或与损失苗木同量级的品种栽植到位。</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只允许经甲方事先通知允许的外来施工进入管养区域内，制止未经甲方允许的外来施工作业，出现外来施工未及时发现、未及时制止且未上报甲方的，造成破坏的需乙方按原样恢复，拒不恢复的，甲方按实际核算金额双倍扣除。</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外来施工作业过程中，保安人员和绿地巡查工作人员应主动关注岗位内施工情况，对施工造成的公园绿地、设施、管线等破坏情况及时上报甲方，由甲方要求施工单位按原貌及原标准恢复，保安人员还要自觉监督恢复过程，并将恢复情况及时上报甲方。如施工破坏内容由于保安、巡查人员上报不及时或未履职而找不到赔偿或恢复责任单位，由乙方出资恢复，乙方拒不出资恢复的，甲方自行组织恢复，产生的费用从乙方当月服务费中支付。</w:t>
      </w:r>
      <w:r/>
    </w:p>
    <w:p>
      <w:pPr>
        <w:pStyle w:val="1181"/>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保洁工作考核</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每日巡视绿地（包括水面、广场）并及时安排人员清除绿地管养衍生物（含落叶），垃圾随产随清，确保无各种杂物、树挂等，保持绿地清洁，绿地管养衍生物不得超过24小时未清运，修剪产生的垃圾、挖掘出的土方等须安排人员收集在工人随身携带的口袋内或临时放置在彩条布上，严禁现场焚烧，严禁随意抛置，如有发生扣除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.2设施应及时安排人员保洁，如有损坏，应及时安排维修或更换，保洁、维修率为100%，保洁达不到标准的，扣除500元/次；24 小时内未维修到位，扣除1000元/次；保安、保洁、维修等人员使用的相关工具和装备，因丢失、损坏等原因不满足需求的，影响工作的，扣除1000元/次。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.3树木修剪过程要做好现场安全防护及指挥，避开市民上下班高峰时间，修剪下的枝叶应及时整理清运，不得存放超过24小时，严禁将修剪产生的垃圾倾倒在绿化带内，如发现以上情况扣除1000元/次。</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.4管养区内灰尘、泥沙等粉尘性垃圾在运送途中应加以遮挡，防止垃圾掉落或飞扬引起二次污染；废弃涂料、油漆等流质性垃圾在运送途中注意容器封闭，防止溢流污染路面，如有发生扣除乙方500元/处。</w:t>
      </w:r>
      <w:r/>
    </w:p>
    <w:p>
      <w:pPr>
        <w:pStyle w:val="1181"/>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.5绿化带冲洗工作不到位，有泥水外溢、安全防护不到位等现象的，每发生一次扣除违约金500元。</w:t>
      </w:r>
      <w:r/>
    </w:p>
    <w:p>
      <w:pPr>
        <w:pStyle w:val="1181"/>
        <w:ind w:firstLine="482"/>
        <w:spacing w:line="400" w:lineRule="exact"/>
        <w:shd w:val="clear" w:color="auto" w:fill="ffff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3.7设计考核</w:t>
      </w:r>
      <w:r/>
    </w:p>
    <w:p>
      <w:pPr>
        <w:pStyle w:val="1181"/>
        <w:ind w:firstLine="480"/>
        <w:spacing w:line="400" w:lineRule="exact"/>
        <w:shd w:val="clear" w:color="auto" w:fill="ffff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按采购需求完成相关设计工作，未按甲方要求完成设计工作一次性扣除违约金3万元。</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十六、不可抗力事件处理</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16.1 在合同有效期内，任何一方因不可抗力事件导致不能履行合同，则合同履行期可延长，其延长期与不可抗力影响 期相同。</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16.2 不可抗力事件发生后，应立即通知对方，并寄送有关权威机构出具的证明。</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16.3 不可抗力事件延续120天以上，双方应通过友好协商，确定是否继续履行合同。</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十七、解决争议的方法</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17.1双方在签订、履行合同中所发生的一切争议，应通过友好协商解决。如协商不成，由甲方住所地人民法院管辖。</w:t>
      </w:r>
      <w:r/>
    </w:p>
    <w:p>
      <w:pPr>
        <w:pStyle w:val="1055"/>
        <w:ind w:firstLine="482"/>
        <w:spacing w:line="5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十八、合同生效及其它</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18.1 合同经双方法定代表人或授权委托代表人签字并加盖单位公章后生效。</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18.2本合同未尽事宜，遵照《民法典》、《政府采购法》有关条文执行。</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18.3 本合同正本一式</w:t>
      </w:r>
      <w:r>
        <w:rPr>
          <w:rFonts w:hint="eastAsia" w:hAnsi="宋体" w:cs="宋体"/>
          <w:color w:val="auto"/>
          <w:sz w:val="24"/>
          <w:szCs w:val="24"/>
          <w:highlight w:val="none"/>
          <w:lang w:eastAsia="zh-CN"/>
        </w:rPr>
        <w:t xml:space="preserve">六</w:t>
      </w:r>
      <w:r>
        <w:rPr>
          <w:rFonts w:hint="eastAsia" w:hAnsi="宋体" w:cs="宋体"/>
          <w:color w:val="auto"/>
          <w:sz w:val="24"/>
          <w:szCs w:val="24"/>
          <w:highlight w:val="none"/>
        </w:rPr>
        <w:t xml:space="preserve">份，具有同等法律效力，甲方、乙方各执二份，备案二份。</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1055"/>
        <w:ind w:firstLine="72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甲方：                        乙方：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  地址：                        地址： </w:t>
      </w:r>
      <w:r/>
    </w:p>
    <w:p>
      <w:pPr>
        <w:pStyle w:val="1055"/>
        <w:ind w:firstLine="480"/>
        <w:spacing w:line="500" w:lineRule="exact"/>
        <w:rPr>
          <w:rFonts w:hint="eastAsia" w:hAnsi="宋体" w:cs="宋体"/>
          <w:color w:val="auto"/>
          <w:sz w:val="24"/>
          <w:szCs w:val="24"/>
          <w:highlight w:val="none"/>
        </w:rPr>
      </w:pPr>
      <w:r>
        <w:rPr>
          <w:rFonts w:hint="eastAsia" w:hAnsi="宋体" w:cs="宋体"/>
          <w:color w:val="auto"/>
          <w:sz w:val="24"/>
          <w:szCs w:val="24"/>
          <w:highlight w:val="none"/>
        </w:rPr>
        <w:t xml:space="preserve">  法定代表人或授权代表：        法定代表人或授权代表：</w:t>
      </w:r>
      <w:r/>
    </w:p>
    <w:p>
      <w:pPr>
        <w:pStyle w:val="1055"/>
        <w:ind w:firstLine="720"/>
        <w:spacing w:line="500" w:lineRule="exact"/>
        <w:rPr>
          <w:rFonts w:hint="eastAsia" w:hAnsi="宋体" w:cs="宋体"/>
          <w:color w:val="auto"/>
          <w:highlight w:val="none"/>
        </w:rPr>
      </w:pPr>
      <w:r>
        <w:rPr>
          <w:rFonts w:hint="eastAsia" w:hAnsi="宋体" w:cs="宋体"/>
          <w:color w:val="auto"/>
          <w:sz w:val="24"/>
          <w:szCs w:val="24"/>
          <w:highlight w:val="none"/>
        </w:rPr>
        <w:t xml:space="preserve">联系电话：                    联系电话：          </w:t>
      </w:r>
      <w:r/>
    </w:p>
    <w:p>
      <w:pPr>
        <w:pStyle w:val="1055"/>
        <w:ind w:firstLine="420"/>
        <w:jc w:val="center"/>
        <w:spacing w:line="500" w:lineRule="exact"/>
        <w:rPr>
          <w:rFonts w:hint="eastAsia" w:hAnsi="宋体" w:cs="宋体"/>
          <w:color w:val="auto"/>
          <w:highlight w:val="none"/>
        </w:rPr>
      </w:pPr>
      <w:r>
        <w:rPr>
          <w:rFonts w:hint="eastAsia" w:hAnsi="宋体" w:cs="宋体"/>
          <w:color w:val="auto"/>
          <w:highlight w:val="none"/>
        </w:rPr>
        <w:t xml:space="preserve">                                          签订日期：      年    月   日</w:t>
      </w:r>
      <w:bookmarkEnd w:id="203"/>
      <w:r/>
      <w:bookmarkEnd w:id="204"/>
      <w:r/>
      <w:bookmarkEnd w:id="205"/>
      <w:r/>
      <w:bookmarkStart w:id="248" w:name="_Hlt16619369"/>
      <w:r/>
      <w:bookmarkEnd w:id="248"/>
      <w:r/>
      <w:bookmarkStart w:id="249" w:name="_Hlt16619350"/>
      <w:r/>
      <w:bookmarkStart w:id="250" w:name="_Toc120614244"/>
      <w:r/>
      <w:bookmarkStart w:id="251" w:name="_Toc16938590"/>
      <w:r/>
      <w:bookmarkStart w:id="252" w:name="_Toc20823346"/>
      <w:r/>
      <w:bookmarkStart w:id="253" w:name="_Toc462564139"/>
      <w:r/>
      <w:bookmarkStart w:id="254" w:name="_Toc479757211"/>
      <w:r/>
      <w:r/>
    </w:p>
    <w:p>
      <w:pPr>
        <w:pStyle w:val="1055"/>
        <w:ind w:firstLine="880"/>
        <w:jc w:val="center"/>
        <w:spacing w:line="500" w:lineRule="exact"/>
        <w:rPr>
          <w:rFonts w:hint="eastAsia" w:hAnsi="宋体" w:cs="宋体"/>
          <w:bCs/>
          <w:color w:val="auto"/>
          <w:sz w:val="44"/>
          <w:highlight w:val="none"/>
        </w:rPr>
      </w:pPr>
      <w:r>
        <w:rPr>
          <w:rFonts w:hint="eastAsia" w:hAnsi="宋体" w:cs="宋体"/>
          <w:bCs/>
          <w:color w:val="auto"/>
          <w:sz w:val="44"/>
          <w:highlight w:val="none"/>
        </w:rPr>
      </w:r>
      <w:r/>
    </w:p>
    <w:p>
      <w:pPr>
        <w:pStyle w:val="1055"/>
        <w:ind w:firstLine="880"/>
        <w:jc w:val="center"/>
        <w:spacing w:line="500" w:lineRule="exact"/>
        <w:rPr>
          <w:rFonts w:hint="eastAsia" w:hAnsi="宋体" w:cs="宋体"/>
          <w:bCs/>
          <w:color w:val="auto"/>
          <w:sz w:val="44"/>
          <w:highlight w:val="none"/>
        </w:rPr>
      </w:pPr>
      <w:r>
        <w:rPr>
          <w:rFonts w:hint="eastAsia" w:hAnsi="宋体" w:cs="宋体"/>
          <w:bCs/>
          <w:color w:val="auto"/>
          <w:sz w:val="44"/>
          <w:highlight w:val="none"/>
        </w:rPr>
        <w:t xml:space="preserve">合同附件</w:t>
      </w:r>
      <w:r/>
    </w:p>
    <w:p>
      <w:pPr>
        <w:pStyle w:val="1055"/>
        <w:ind w:firstLine="880"/>
        <w:jc w:val="left"/>
        <w:spacing w:line="500" w:lineRule="exact"/>
        <w:rPr>
          <w:rFonts w:hint="eastAsia" w:hAnsi="宋体" w:cs="宋体"/>
          <w:bCs/>
          <w:color w:val="auto"/>
          <w:sz w:val="44"/>
          <w:highlight w:val="none"/>
        </w:rPr>
      </w:pPr>
      <w:r>
        <w:rPr>
          <w:rFonts w:hint="eastAsia" w:hAnsi="宋体" w:cs="宋体"/>
          <w:bCs/>
          <w:color w:val="auto"/>
          <w:sz w:val="44"/>
          <w:highlight w:val="none"/>
        </w:rPr>
      </w:r>
      <w:r/>
    </w:p>
    <w:p>
      <w:pPr>
        <w:pStyle w:val="1055"/>
        <w:ind w:firstLine="560"/>
        <w:jc w:val="left"/>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t xml:space="preserve">附件一 《宿迁市城市园林绿化分级管养标准》</w:t>
      </w:r>
      <w:r/>
    </w:p>
    <w:p>
      <w:pPr>
        <w:pStyle w:val="1055"/>
        <w:ind w:firstLine="560"/>
        <w:jc w:val="left"/>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t xml:space="preserve">附件二 管养考核总得分汇总表</w:t>
      </w:r>
      <w:r/>
    </w:p>
    <w:p>
      <w:pPr>
        <w:pStyle w:val="1055"/>
        <w:ind w:firstLine="560"/>
        <w:jc w:val="left"/>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t xml:space="preserve">附件三 专项考核表</w:t>
      </w:r>
      <w:r/>
    </w:p>
    <w:p>
      <w:pPr>
        <w:pStyle w:val="1055"/>
        <w:ind w:firstLine="560"/>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t xml:space="preserve">附件四 </w:t>
      </w:r>
      <w:r>
        <w:rPr>
          <w:rFonts w:hint="eastAsia" w:hAnsi="宋体" w:cs="宋体"/>
          <w:bCs/>
          <w:color w:val="auto"/>
          <w:sz w:val="28"/>
          <w:szCs w:val="28"/>
          <w:highlight w:val="none"/>
        </w:rPr>
        <w:t xml:space="preserve">草花等栽植品种规格一览表</w:t>
      </w:r>
      <w:r>
        <w:rPr>
          <w:rFonts w:hint="eastAsia" w:hAnsi="宋体" w:cs="宋体"/>
          <w:bCs/>
          <w:color w:val="auto"/>
          <w:sz w:val="28"/>
          <w:szCs w:val="28"/>
          <w:highlight w:val="none"/>
        </w:rPr>
      </w:r>
      <w:r/>
    </w:p>
    <w:p>
      <w:pPr>
        <w:pStyle w:val="850"/>
        <w:jc w:val="center"/>
        <w:spacing w:line="600" w:lineRule="exact"/>
        <w:shd w:val="clear" w:color="auto" w:fill="ffffff"/>
        <w:rPr>
          <w:rFonts w:hint="eastAsia" w:ascii="宋体" w:hAnsi="宋体" w:cs="宋体"/>
          <w:b/>
          <w:bCs/>
          <w:color w:val="auto"/>
          <w:sz w:val="44"/>
          <w:szCs w:val="44"/>
          <w:highlight w:val="none"/>
        </w:rPr>
      </w:pPr>
      <w:r>
        <w:rPr>
          <w:rFonts w:hint="eastAsia" w:ascii="宋体" w:hAnsi="宋体" w:cs="宋体"/>
          <w:bCs/>
          <w:color w:val="auto"/>
          <w:sz w:val="28"/>
          <w:szCs w:val="28"/>
          <w:highlight w:val="none"/>
        </w:rPr>
        <w:br w:type="page" w:clear="all"/>
      </w:r>
      <w:r>
        <w:rPr>
          <w:rFonts w:hint="eastAsia" w:ascii="宋体" w:hAnsi="宋体" w:cs="宋体"/>
          <w:bCs/>
          <w:color w:val="auto"/>
          <w:sz w:val="28"/>
          <w:szCs w:val="28"/>
          <w:highlight w:val="none"/>
        </w:rPr>
        <w:t xml:space="preserve">附件一：</w:t>
      </w:r>
      <w:r>
        <w:rPr>
          <w:rFonts w:hint="eastAsia" w:ascii="宋体" w:hAnsi="宋体" w:cs="宋体"/>
          <w:b/>
          <w:bCs/>
          <w:color w:val="auto"/>
          <w:sz w:val="44"/>
          <w:szCs w:val="44"/>
          <w:highlight w:val="none"/>
        </w:rPr>
        <w:t xml:space="preserve">宿迁市城市园林绿化分级管养标准</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说明：我市城市园林绿化实施分级管养，管养等级由高到低分为一、二、三级。</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一、管养等级确定原则</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根据城市绿地规模、位置、性质和重要程度等综合因素确定我市城市绿地管养等级。</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二、分级管养绿地范围</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（一）一级管养绿地</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具有安保服务需求的公园绿地。</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（二）二级管养绿地</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能满足一定区域居民休闲游憩需求的公园绿地和广场绿地；单位庭院开放绿地；城市主干道及次干道附属绿地等。</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（三）三级管养绿地</w:t>
      </w:r>
      <w:r/>
    </w:p>
    <w:p>
      <w:pPr>
        <w:pStyle w:val="850"/>
        <w:ind w:firstLine="42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除一级、二级以外的其它公园绿地和道路附属绿地。</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tbl>
      <w:tblPr>
        <w:tblStyle w:val="846"/>
        <w:tblW w:w="98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4" w:type="dxa"/>
          <w:top w:w="34" w:type="dxa"/>
          <w:right w:w="34" w:type="dxa"/>
          <w:bottom w:w="34" w:type="dxa"/>
        </w:tblCellMar>
        <w:tblLook w:val="04A0" w:firstRow="1" w:lastRow="0" w:firstColumn="1" w:lastColumn="0" w:noHBand="0" w:noVBand="1"/>
      </w:tblPr>
      <w:tblGrid>
        <w:gridCol w:w="277"/>
        <w:gridCol w:w="493"/>
        <w:gridCol w:w="722"/>
        <w:gridCol w:w="2832"/>
        <w:gridCol w:w="2666"/>
        <w:gridCol w:w="2863"/>
      </w:tblGrid>
      <w:tr>
        <w:trPr>
          <w:jc w:val="center"/>
          <w:trHeight w:val="295"/>
        </w:trPr>
        <w:tc>
          <w:tcPr>
            <w:gridSpan w:val="2"/>
            <w:tcMar>
              <w:left w:w="34" w:type="dxa"/>
              <w:top w:w="34" w:type="dxa"/>
              <w:right w:w="34" w:type="dxa"/>
              <w:bottom w:w="34" w:type="dxa"/>
            </w:tcMar>
            <w:tcW w:w="770" w:type="dxa"/>
            <w:vAlign w:val="center"/>
            <w:textDirection w:val="lrTb"/>
            <w:noWrap w:val="false"/>
          </w:tcPr>
          <w:p>
            <w:pPr>
              <w:pStyle w:val="850"/>
              <w:ind w:firstLine="105"/>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管养分级</w:t>
            </w:r>
            <w:r/>
          </w:p>
        </w:tc>
        <w:tc>
          <w:tcPr>
            <w:gridSpan w:val="2"/>
            <w:tcMar>
              <w:left w:w="34" w:type="dxa"/>
              <w:top w:w="34" w:type="dxa"/>
              <w:right w:w="34" w:type="dxa"/>
              <w:bottom w:w="34" w:type="dxa"/>
            </w:tcMar>
            <w:tcW w:w="3554" w:type="dxa"/>
            <w:vAlign w:val="center"/>
            <w:textDirection w:val="lrTb"/>
            <w:noWrap w:val="false"/>
          </w:tcPr>
          <w:p>
            <w:pPr>
              <w:pStyle w:val="850"/>
              <w:ind w:firstLine="42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一级管养绿地</w:t>
            </w:r>
            <w:r/>
          </w:p>
        </w:tc>
        <w:tc>
          <w:tcPr>
            <w:tcMar>
              <w:left w:w="34" w:type="dxa"/>
              <w:top w:w="34" w:type="dxa"/>
              <w:right w:w="34" w:type="dxa"/>
              <w:bottom w:w="34" w:type="dxa"/>
            </w:tcMar>
            <w:tcW w:w="2666" w:type="dxa"/>
            <w:vAlign w:val="center"/>
            <w:textDirection w:val="lrTb"/>
            <w:noWrap w:val="false"/>
          </w:tcPr>
          <w:p>
            <w:pPr>
              <w:pStyle w:val="850"/>
              <w:ind w:firstLine="42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二级管养绿地</w:t>
            </w:r>
            <w:r/>
          </w:p>
        </w:tc>
        <w:tc>
          <w:tcPr>
            <w:tcMar>
              <w:left w:w="34" w:type="dxa"/>
              <w:top w:w="34" w:type="dxa"/>
              <w:right w:w="34" w:type="dxa"/>
              <w:bottom w:w="34" w:type="dxa"/>
            </w:tcMar>
            <w:tcW w:w="2863" w:type="dxa"/>
            <w:vAlign w:val="center"/>
            <w:textDirection w:val="lrTb"/>
            <w:noWrap w:val="false"/>
          </w:tcPr>
          <w:p>
            <w:pPr>
              <w:pStyle w:val="850"/>
              <w:ind w:firstLine="42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三级管养绿地</w:t>
            </w:r>
            <w:r/>
          </w:p>
        </w:tc>
      </w:tr>
      <w:tr>
        <w:trPr>
          <w:jc w:val="center"/>
          <w:trHeight w:val="90"/>
        </w:trPr>
        <w:tc>
          <w:tcPr>
            <w:gridSpan w:val="2"/>
            <w:tcMar>
              <w:left w:w="34" w:type="dxa"/>
              <w:top w:w="34" w:type="dxa"/>
              <w:right w:w="34" w:type="dxa"/>
              <w:bottom w:w="34" w:type="dxa"/>
            </w:tcMar>
            <w:tcW w:w="770"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整体观感要求</w:t>
            </w:r>
            <w:r/>
          </w:p>
        </w:tc>
        <w:tc>
          <w:tcPr>
            <w:gridSpan w:val="2"/>
            <w:tcMar>
              <w:left w:w="34" w:type="dxa"/>
              <w:top w:w="34" w:type="dxa"/>
              <w:right w:w="34" w:type="dxa"/>
              <w:bottom w:w="34" w:type="dxa"/>
            </w:tcMar>
            <w:tcW w:w="3554"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植物生长健壮，管养精细；公园设施使用功能和外观均良好；保安24h值守看护；园容园貌整洁美观。</w:t>
            </w:r>
            <w:r/>
          </w:p>
        </w:tc>
        <w:tc>
          <w:tcPr>
            <w:tcMar>
              <w:left w:w="34" w:type="dxa"/>
              <w:top w:w="34" w:type="dxa"/>
              <w:right w:w="34" w:type="dxa"/>
              <w:bottom w:w="34" w:type="dxa"/>
            </w:tcMar>
            <w:tcW w:w="2666"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植物生长健康，管养精细；各类设施功能正常，外观良好，维护及时；绿地整洁，观感舒适。</w:t>
            </w:r>
            <w:r/>
          </w:p>
        </w:tc>
        <w:tc>
          <w:tcPr>
            <w:tcMar>
              <w:left w:w="34" w:type="dxa"/>
              <w:top w:w="34" w:type="dxa"/>
              <w:right w:w="34" w:type="dxa"/>
              <w:bottom w:w="34" w:type="dxa"/>
            </w:tcMar>
            <w:tcW w:w="2863"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植物生长正常，及时采取管养措施，无死树；服务设施功能正常，维护及时；绿地清洁无杂物，无遗留的树桩。</w:t>
            </w:r>
            <w:r/>
          </w:p>
        </w:tc>
      </w:tr>
      <w:tr>
        <w:trPr>
          <w:jc w:val="center"/>
          <w:trHeight w:val="90"/>
        </w:trPr>
        <w:tc>
          <w:tcPr>
            <w:tcMar>
              <w:left w:w="34" w:type="dxa"/>
              <w:top w:w="34" w:type="dxa"/>
              <w:right w:w="34" w:type="dxa"/>
              <w:bottom w:w="34" w:type="dxa"/>
            </w:tcMar>
            <w:tcW w:w="277"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林</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物</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（以株计量树木）</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管</w:t>
            </w:r>
            <w:r/>
          </w:p>
          <w:p>
            <w:pPr>
              <w:pStyle w:val="850"/>
              <w:jc w:val="center"/>
              <w:spacing w:line="2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养</w:t>
            </w:r>
            <w:r/>
          </w:p>
        </w:tc>
        <w:tc>
          <w:tcPr>
            <w:tcMar>
              <w:left w:w="34" w:type="dxa"/>
              <w:top w:w="34" w:type="dxa"/>
              <w:right w:w="34" w:type="dxa"/>
              <w:bottom w:w="34" w:type="dxa"/>
            </w:tcMar>
            <w:tcW w:w="493"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以株计量树木管养共性要求</w:t>
            </w:r>
            <w:r/>
          </w:p>
        </w:tc>
        <w:tc>
          <w:tcPr>
            <w:gridSpan w:val="2"/>
            <w:tcMar>
              <w:left w:w="34" w:type="dxa"/>
              <w:top w:w="34" w:type="dxa"/>
              <w:right w:w="34" w:type="dxa"/>
              <w:bottom w:w="34" w:type="dxa"/>
            </w:tcMar>
            <w:tcW w:w="3554"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（1）树形优美；</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（2）对根颈处为草坪、地被植物或草花的树穴进行切边，树穴切边美观，尺寸合宜,裸土采用摩奇或其它环保有机物整齐覆盖；</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（3）病虫害预防良好，无可视病虫危害症状。</w:t>
            </w:r>
            <w:r/>
          </w:p>
        </w:tc>
        <w:tc>
          <w:tcPr>
            <w:tcMar>
              <w:left w:w="34" w:type="dxa"/>
              <w:top w:w="34" w:type="dxa"/>
              <w:right w:w="34" w:type="dxa"/>
              <w:bottom w:w="34" w:type="dxa"/>
            </w:tcMar>
            <w:tcW w:w="2666"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（1）植株健壮，树冠完整（造型树除外），枝叶茂盛；</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（2）对根颈处为草坪或草花的树穴进行切边，树穴内无杂草，裸土采用摩奇或其它环保有机物均匀覆盖，并长期保持；</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（3）生长期无枯枝枯叶，无断枝伤枝。</w:t>
            </w:r>
            <w:r/>
          </w:p>
        </w:tc>
        <w:tc>
          <w:tcPr>
            <w:tcMar>
              <w:left w:w="34" w:type="dxa"/>
              <w:top w:w="34" w:type="dxa"/>
              <w:right w:w="34" w:type="dxa"/>
              <w:bottom w:w="34" w:type="dxa"/>
            </w:tcMar>
            <w:tcW w:w="2863" w:type="dxa"/>
            <w:vAlign w:val="center"/>
            <w:textDirection w:val="lrTb"/>
            <w:noWrap w:val="false"/>
          </w:tcPr>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（1）生长正常，全树无积尘、无污渍，无挂树杂物；</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（2）树木不歪斜（造型树或特殊栽植要求树木除外），叶片不萎蔫；</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（3）树穴整齐，无根颈处萌条，根部无漏修剪高草或色块高出枝，无攀爬树体的藤蔓或其它附着物，无垃圾杂物；</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（4）树木枝干上无木板、铁丝、钉子、绳索等拴挂、附着物；</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（5）病虫害防治及时，基本无病虫危害症状，树冠下土壤含水量适宜，及时更换或清除死树、重损伤树。</w:t>
            </w:r>
            <w:r/>
          </w:p>
        </w:tc>
      </w:tr>
      <w:tr>
        <w:trPr>
          <w:jc w:val="center"/>
          <w:trHeight w:val="90"/>
        </w:trPr>
        <w:tc>
          <w:tcPr>
            <w:tcMar>
              <w:left w:w="34" w:type="dxa"/>
              <w:top w:w="34" w:type="dxa"/>
              <w:right w:w="34" w:type="dxa"/>
              <w:bottom w:w="34" w:type="dxa"/>
            </w:tcMar>
            <w:tcW w:w="277"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493"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乔木管养个性要求</w:t>
            </w:r>
            <w:r/>
          </w:p>
        </w:tc>
        <w:tc>
          <w:tcPr>
            <w:gridSpan w:val="3"/>
            <w:tcMar>
              <w:left w:w="34" w:type="dxa"/>
              <w:top w:w="34" w:type="dxa"/>
              <w:right w:w="34" w:type="dxa"/>
              <w:bottom w:w="34" w:type="dxa"/>
            </w:tcMar>
            <w:tcW w:w="6220"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（1）树皮无开裂，无断头烂桩；</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（2）修剪合理，分枝点合适，主侧枝分布匀称、数量合宜，内膛不乱，树冠通风透光，无多余萌条、徒长枝、交叉重叠枝等；</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（3）孤植树、行道树形态优美，树形骨架良好；丛植、群植树疏密得当，群落外观良好；</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（4）行道树树池盖板无松动、缺损、起翘，池体无杂草，树木支撑整齐规范。</w:t>
            </w:r>
            <w:r/>
          </w:p>
        </w:tc>
        <w:tc>
          <w:tcPr>
            <w:tcMar>
              <w:left w:w="34" w:type="dxa"/>
              <w:top w:w="34" w:type="dxa"/>
              <w:right w:w="34" w:type="dxa"/>
              <w:bottom w:w="34" w:type="dxa"/>
            </w:tcMar>
            <w:tcW w:w="2863" w:type="dxa"/>
            <w:vAlign w:val="center"/>
            <w:textDirection w:val="lrTb"/>
            <w:noWrap w:val="false"/>
          </w:tcPr>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（1）修剪较合理，无明显内膛枝、萌条、交叉重叠枝，无影响通行下垂枝；</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（2）无树干萌条；</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（3）树穴设施完好，盖板平整，无明显松动、缺损、起翘，池体整洁，无明显杂草，树木支撑较整齐规范；</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（4）有树穴池的行道树无缺株，其余地块无明显缺株。</w:t>
            </w:r>
            <w:r/>
          </w:p>
        </w:tc>
      </w:tr>
      <w:tr>
        <w:trPr>
          <w:jc w:val="center"/>
          <w:trHeight w:val="1052"/>
        </w:trPr>
        <w:tc>
          <w:tcPr>
            <w:gridSpan w:val="2"/>
            <w:tcMar>
              <w:left w:w="34" w:type="dxa"/>
              <w:top w:w="34" w:type="dxa"/>
              <w:right w:w="34" w:type="dxa"/>
              <w:bottom w:w="34" w:type="dxa"/>
            </w:tcMar>
            <w:tcW w:w="770" w:type="dxa"/>
            <w:vAlign w:val="center"/>
            <w:vMerge w:val="restart"/>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园林植物（以株计量树木）管养</w:t>
            </w:r>
            <w:r/>
          </w:p>
        </w:tc>
        <w:tc>
          <w:tcPr>
            <w:tcMar>
              <w:left w:w="34" w:type="dxa"/>
              <w:top w:w="34" w:type="dxa"/>
              <w:right w:w="34" w:type="dxa"/>
              <w:bottom w:w="34" w:type="dxa"/>
            </w:tcMar>
            <w:tcW w:w="722" w:type="dxa"/>
            <w:vAlign w:val="center"/>
            <w:textDirection w:val="lrTb"/>
            <w:noWrap w:val="false"/>
          </w:tcPr>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花灌木管养个性要求</w:t>
            </w:r>
            <w:r/>
          </w:p>
        </w:tc>
        <w:tc>
          <w:tcPr>
            <w:tcMar>
              <w:left w:w="34" w:type="dxa"/>
              <w:top w:w="34" w:type="dxa"/>
              <w:right w:w="34" w:type="dxa"/>
              <w:bottom w:w="34" w:type="dxa"/>
            </w:tcMar>
            <w:tcW w:w="2832"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（1）观花（观果）期开花（结果）良好，观赏效果佳；</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（2）修剪科学合理。</w:t>
            </w:r>
            <w:r/>
          </w:p>
        </w:tc>
        <w:tc>
          <w:tcPr>
            <w:tcMar>
              <w:left w:w="34" w:type="dxa"/>
              <w:top w:w="34" w:type="dxa"/>
              <w:right w:w="34" w:type="dxa"/>
              <w:bottom w:w="34" w:type="dxa"/>
            </w:tcMar>
            <w:tcW w:w="2666"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（1）株形丰满优美，开花（结果）正常；</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（2）修剪得当，树形培养良好，枝组比例合宜，无影响通行或休憩的外伸枝，花后修剪及时合理。</w:t>
            </w:r>
            <w:r/>
          </w:p>
        </w:tc>
        <w:tc>
          <w:tcPr>
            <w:tcMar>
              <w:left w:w="34" w:type="dxa"/>
              <w:top w:w="34" w:type="dxa"/>
              <w:right w:w="34" w:type="dxa"/>
              <w:bottom w:w="34" w:type="dxa"/>
            </w:tcMar>
            <w:tcW w:w="2863"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（1）开花（结果）适时；</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（2）修剪较及时合理，无明显伸出枝影响通行或休憩，花后能够进行修剪。</w:t>
            </w:r>
            <w:r/>
          </w:p>
        </w:tc>
      </w:tr>
      <w:tr>
        <w:trPr>
          <w:jc w:val="center"/>
          <w:trHeight w:val="1262"/>
        </w:trPr>
        <w:tc>
          <w:tcPr>
            <w:gridSpan w:val="2"/>
            <w:tcMar>
              <w:left w:w="34" w:type="dxa"/>
              <w:top w:w="34" w:type="dxa"/>
              <w:right w:w="34" w:type="dxa"/>
              <w:bottom w:w="34" w:type="dxa"/>
            </w:tcMar>
            <w:tcW w:w="770" w:type="dxa"/>
            <w:vAlign w:val="center"/>
            <w:vMerge w:val="continue"/>
            <w:textDirection w:val="lrTb"/>
            <w:noWrap w:val="false"/>
          </w:tcPr>
          <w:p>
            <w:pPr>
              <w:pStyle w:val="850"/>
              <w:ind w:firstLine="42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球类或其它植篱类单株灌木管养个性要求</w:t>
            </w:r>
            <w:r/>
          </w:p>
        </w:tc>
        <w:tc>
          <w:tcPr>
            <w:gridSpan w:val="2"/>
            <w:tcMar>
              <w:left w:w="34" w:type="dxa"/>
              <w:top w:w="34" w:type="dxa"/>
              <w:right w:w="34" w:type="dxa"/>
              <w:bottom w:w="34" w:type="dxa"/>
            </w:tcMar>
            <w:tcW w:w="5498"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（1）枝叶茂密，外形轮廓清楚；</w:t>
            </w:r>
            <w:r/>
          </w:p>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（2）修剪及时，外缘枝叶紧密，表面无斑秃，无伸出枝，下部不空裸；</w:t>
            </w:r>
            <w:r/>
          </w:p>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（3）球冠表面无落叶留存。</w:t>
            </w:r>
            <w:r/>
          </w:p>
        </w:tc>
        <w:tc>
          <w:tcPr>
            <w:tcMar>
              <w:left w:w="34" w:type="dxa"/>
              <w:top w:w="34" w:type="dxa"/>
              <w:right w:w="34" w:type="dxa"/>
              <w:bottom w:w="34" w:type="dxa"/>
            </w:tcMar>
            <w:tcW w:w="2863"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（1）定期修剪，保持冠形圆整或外形轮廓清楚，不同品种间交界线清晰，树冠表面基本无斑秃，基本无伸出枝；</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（2）任何部位均不侵占路面和休憩空间；</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（3）球冠表面基本无落叶留存。</w:t>
            </w:r>
            <w:r/>
          </w:p>
        </w:tc>
      </w:tr>
      <w:tr>
        <w:trPr>
          <w:jc w:val="center"/>
          <w:trHeight w:val="1511"/>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攀援植物</w:t>
            </w:r>
            <w:r/>
          </w:p>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（垂直绿化）管养个性要求</w:t>
            </w:r>
            <w:r/>
          </w:p>
        </w:tc>
        <w:tc>
          <w:tcPr>
            <w:tcMar>
              <w:left w:w="34" w:type="dxa"/>
              <w:top w:w="34" w:type="dxa"/>
              <w:right w:w="34" w:type="dxa"/>
              <w:bottom w:w="34" w:type="dxa"/>
            </w:tcMar>
            <w:tcW w:w="2832" w:type="dxa"/>
            <w:vAlign w:val="center"/>
            <w:textDirection w:val="lrTb"/>
            <w:noWrap w:val="false"/>
          </w:tcPr>
          <w:p>
            <w:pPr>
              <w:pStyle w:val="850"/>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观花观果品种开花结果效果好。</w:t>
            </w:r>
            <w:r/>
          </w:p>
        </w:tc>
        <w:tc>
          <w:tcPr>
            <w:tcMar>
              <w:left w:w="34" w:type="dxa"/>
              <w:top w:w="34" w:type="dxa"/>
              <w:right w:w="34" w:type="dxa"/>
              <w:bottom w:w="34" w:type="dxa"/>
            </w:tcMar>
            <w:tcW w:w="2666"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（1）生长旺盛，攀爬、垂挂状态良好，枝叶分布均匀，覆盖效果好，观花观果品种正常开花结果；</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（2）形态控制良好，无重叠枝、过密枝、老弱枝、枯死枝。</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（1）攀爬、垂挂状态良好，枝叶分布均匀，覆盖效果较好；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（2）修剪、牵引、绑缚等措施及时合理，无明显重叠枝、过密枝、老弱枝、枯死枝；</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（3）植物体和攀爬辅助设施不影响通行和休憩，不存在安全隐患。</w:t>
            </w:r>
            <w:r/>
          </w:p>
        </w:tc>
      </w:tr>
      <w:tr>
        <w:trPr>
          <w:jc w:val="center"/>
          <w:trHeight w:val="90"/>
        </w:trPr>
        <w:tc>
          <w:tcPr>
            <w:gridSpan w:val="2"/>
            <w:tcMar>
              <w:left w:w="34" w:type="dxa"/>
              <w:top w:w="34" w:type="dxa"/>
              <w:right w:w="34" w:type="dxa"/>
              <w:bottom w:w="34"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园林植物（以面积计量植物）管养</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以面积计量植物管养共性要求</w:t>
            </w:r>
            <w:r/>
          </w:p>
        </w:tc>
        <w:tc>
          <w:tcPr>
            <w:tcMar>
              <w:left w:w="34" w:type="dxa"/>
              <w:top w:w="34" w:type="dxa"/>
              <w:right w:w="34" w:type="dxa"/>
              <w:bottom w:w="34" w:type="dxa"/>
            </w:tcMar>
            <w:tcW w:w="2832"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无可视病虫危害症状。</w:t>
            </w:r>
            <w:r/>
          </w:p>
        </w:tc>
        <w:tc>
          <w:tcPr>
            <w:tcMar>
              <w:left w:w="34" w:type="dxa"/>
              <w:top w:w="34" w:type="dxa"/>
              <w:right w:w="34" w:type="dxa"/>
              <w:bottom w:w="34" w:type="dxa"/>
            </w:tcMar>
            <w:tcW w:w="2666"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（1）生长健壮，长势良好，生长期无黄叶、枯叶，无死亡植株；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（2）基本无可视病虫危害症状；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（3）无杂草；</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（4）表面无落叶留存，内部无其它垃圾杂物。</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（1）生长正常；</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（2）植株叶片无萎蔫，土壤含水量适宜；</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（3）无明显可视病虫危害症状；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（4）基本无杂草，无大型恶性杂草；</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（5）与游憩设施交接的边缘植物不侵占坐歇空间，不影响游憩设施使用；</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（6）被踩踏损毁地块能够及时补齐，保持绿地不破损；</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（7）表面基本无落叶积存，内部基本无其它垃圾杂物，植株叶片无灰尘。</w:t>
            </w:r>
            <w:r/>
          </w:p>
        </w:tc>
      </w:tr>
      <w:tr>
        <w:trPr>
          <w:jc w:val="center"/>
          <w:trHeight w:val="90"/>
        </w:trPr>
        <w:tc>
          <w:tcPr>
            <w:gridSpan w:val="2"/>
            <w:tcMar>
              <w:left w:w="34" w:type="dxa"/>
              <w:top w:w="34" w:type="dxa"/>
              <w:right w:w="34" w:type="dxa"/>
              <w:bottom w:w="34" w:type="dxa"/>
            </w:tcMar>
            <w:tcW w:w="770"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园林植物（以面积计量植物）管养</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绿篱模纹色块管养个性要求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（1）外形整齐美观，无缺株、死株；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（2）修剪及时，不同品种交界线清晰，线条流畅，边界间留出10-15cm宽均匀空隙，同类品种观赏面规则，整齐一致，外围主要观赏面圆润饱满，视觉效果良好；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（3）色块表面无斑秃，无伸出枝，下部不空裸。</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（1）外观较整齐，基本无缺株、死株；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（2）定期修剪，线直面平，高度一致，不同品种交界线较清晰，色块表面基本无斑秃，基本无伸出枝；</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（3）与其他乔灌木衔接处修剪清晰，无高出枝。</w:t>
            </w:r>
            <w:r/>
          </w:p>
        </w:tc>
      </w:tr>
      <w:tr>
        <w:trPr>
          <w:jc w:val="center"/>
          <w:trHeight w:val="90"/>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地被植物、宿根花卉管养个性要求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（1）观花品种开花效果良好；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（2）无缺株、死株，生长期及时剪除枯叶、枯枝、残花，休眠后及时清除枯败残体。</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（1）栽植地轮廓清晰，同品种株高基本一致，不同品种界线清晰；</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（2）观花品种开花适时；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（3）密度适宜，地面覆盖良好，无明显缺株、死株、枯叶、残花；</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（4）对生长超出栽植地范围的枝叶及时修剪，保持轮廓整齐，及时从地面剪除攀爬树干的匍匐茎，保持层次不乱。</w:t>
            </w:r>
            <w:r/>
          </w:p>
        </w:tc>
      </w:tr>
      <w:tr>
        <w:trPr>
          <w:jc w:val="center"/>
          <w:trHeight w:val="90"/>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水生植物管养个性要求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（1）观花品种开花效果良好；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（2）无缺株、死株，生长期及时剪除枯叶、枯枝、残花，对芦苇、再力花等有冬季观赏性的于次年春季发芽前清除干枯植株。</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（1）不同水生植物界线基本清晰，定期疏除繁衍快速品种，对叶面相互叠压的浮水植物及时分株；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（2）观花品种开花适时；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（3）无明显缺株、死株、枯叶、残花，休眠后及时清除无观赏价值的枯败残体；</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（4）对超出水面覆盖面积40%的水生植物及时清除或移栽，保证水景观品质。</w:t>
            </w:r>
            <w:r/>
          </w:p>
        </w:tc>
      </w:tr>
      <w:tr>
        <w:trPr>
          <w:jc w:val="center"/>
          <w:trHeight w:val="90"/>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时令草花</w:t>
            </w:r>
            <w:r/>
          </w:p>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（1）覆盖率98%以上，无裸露地面，生长健壮，株形饱满，花色鲜艳，花期整齐一致，无残花，无枯死株；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（2）轮廓和图案美观，边缘线流畅自然。</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（1）覆盖率95%以上，基本无裸露地面，生长正常，开花正常；无明显残花、枯死株；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（2）密度适宜，株高基本一致，图案清晰，边缘线较流畅自然；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（3）无杂草。</w:t>
            </w:r>
            <w:r/>
          </w:p>
        </w:tc>
      </w:tr>
      <w:tr>
        <w:trPr>
          <w:jc w:val="center"/>
          <w:trHeight w:val="751"/>
        </w:trPr>
        <w:tc>
          <w:tcPr>
            <w:gridSpan w:val="2"/>
            <w:tcMar>
              <w:left w:w="34" w:type="dxa"/>
              <w:top w:w="34" w:type="dxa"/>
              <w:right w:w="34" w:type="dxa"/>
              <w:bottom w:w="34" w:type="dxa"/>
            </w:tcMar>
            <w:tcW w:w="770"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园林植物（以面积计量植物）管养</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草坪管养</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个性要求</w:t>
            </w:r>
            <w:r/>
          </w:p>
        </w:tc>
        <w:tc>
          <w:tcPr>
            <w:tcMar>
              <w:left w:w="34" w:type="dxa"/>
              <w:top w:w="34" w:type="dxa"/>
              <w:right w:w="34" w:type="dxa"/>
              <w:bottom w:w="34" w:type="dxa"/>
            </w:tcMar>
            <w:tcW w:w="2832" w:type="dxa"/>
            <w:vAlign w:val="center"/>
            <w:textDirection w:val="lrTb"/>
            <w:noWrap w:val="false"/>
          </w:tcPr>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（1）土不露天，无可视斑秃；</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（2）杂草率≤5%，无病虫害症状。</w:t>
            </w:r>
            <w:r/>
          </w:p>
        </w:tc>
        <w:tc>
          <w:tcPr>
            <w:tcMar>
              <w:left w:w="34" w:type="dxa"/>
              <w:top w:w="34" w:type="dxa"/>
              <w:right w:w="34" w:type="dxa"/>
              <w:bottom w:w="34" w:type="dxa"/>
            </w:tcMar>
            <w:tcW w:w="2666" w:type="dxa"/>
            <w:vAlign w:val="center"/>
            <w:textDirection w:val="lrTb"/>
            <w:noWrap w:val="false"/>
          </w:tcPr>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（1）外观整齐，边缘线切边整齐，与其它品种交界线切边美观，生长旺盛，草色鲜绿且冬季保持常绿；</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（2）覆盖良好，基本无可视斑秃；</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（3）5-10月，不超过10天修剪一次；</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（4）修剪后无残留草屑，剪口无焦枯、撕裂现象，无漏剪；</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（5）杂草率≤10%。</w:t>
            </w:r>
            <w:r/>
          </w:p>
        </w:tc>
        <w:tc>
          <w:tcPr>
            <w:tcMar>
              <w:left w:w="34" w:type="dxa"/>
              <w:top w:w="34" w:type="dxa"/>
              <w:right w:w="34" w:type="dxa"/>
              <w:bottom w:w="34" w:type="dxa"/>
            </w:tcMar>
            <w:tcW w:w="2863" w:type="dxa"/>
            <w:vAlign w:val="center"/>
            <w:textDirection w:val="lrTb"/>
            <w:noWrap w:val="false"/>
          </w:tcPr>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（1）外观较整齐，边缘线基本清晰，生长季节不枯黄，黑麦草补播及时，冬季基本保持常绿；</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（2）覆盖率90%以上，单块斑秃面积不超过0.3㎡或10㎡内斑秃面积不超过4块，斑秃死亡地块及时更换补植；</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（3）草坪高度不超过8cm，按1/3原则修剪；</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（4）5-10月，不超过15天修剪一次，草坪高度不低于2.5cm；</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（5）修剪后基本无残留草屑，剪口基本无焦枯、撕裂现象，修剪不损伤草坪内树木表皮；</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（6）杂草率≤15%。</w:t>
            </w:r>
            <w:r/>
          </w:p>
        </w:tc>
      </w:tr>
      <w:tr>
        <w:trPr>
          <w:jc w:val="center"/>
          <w:trHeight w:val="1244"/>
        </w:trPr>
        <w:tc>
          <w:tcPr>
            <w:gridSpan w:val="2"/>
            <w:tcMar>
              <w:left w:w="34" w:type="dxa"/>
              <w:top w:w="34" w:type="dxa"/>
              <w:right w:w="34" w:type="dxa"/>
              <w:bottom w:w="34" w:type="dxa"/>
            </w:tcMar>
            <w:tcW w:w="770" w:type="dxa"/>
            <w:vAlign w:val="center"/>
            <w:vMerge w:val="restart"/>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园林景观设施维护</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园林建筑</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和构筑物</w:t>
            </w:r>
            <w:r/>
          </w:p>
        </w:tc>
        <w:tc>
          <w:tcPr>
            <w:tcMar>
              <w:left w:w="34" w:type="dxa"/>
              <w:top w:w="34" w:type="dxa"/>
              <w:right w:w="34" w:type="dxa"/>
              <w:bottom w:w="34" w:type="dxa"/>
            </w:tcMar>
            <w:tcW w:w="2832" w:type="dxa"/>
            <w:vAlign w:val="center"/>
            <w:textDirection w:val="lrTb"/>
            <w:noWrap w:val="false"/>
          </w:tcPr>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（1）24小时流动保洁到位，无垃圾、积水、痰迹、烟头等；</w:t>
            </w:r>
            <w:r/>
          </w:p>
          <w:p>
            <w:pPr>
              <w:spacing w:line="360" w:lineRule="exact"/>
              <w:widowControl/>
              <w:rPr>
                <w:rFonts w:hint="eastAsia" w:ascii="宋体" w:hAnsi="宋体" w:cs="宋体"/>
                <w:color w:val="auto"/>
                <w:highlight w:val="none"/>
              </w:rPr>
            </w:pPr>
            <w:r>
              <w:rPr>
                <w:rStyle w:val="1175"/>
                <w:rFonts w:hint="eastAsia" w:ascii="宋体" w:hAnsi="宋体" w:cs="宋体"/>
                <w:color w:val="auto"/>
                <w:highlight w:val="none"/>
              </w:rPr>
              <w:t xml:space="preserve">（2）每年进行一次整体刷漆或粉刷出新。</w:t>
            </w:r>
            <w:r/>
          </w:p>
        </w:tc>
        <w:tc>
          <w:tcPr>
            <w:tcMar>
              <w:left w:w="34" w:type="dxa"/>
              <w:top w:w="34" w:type="dxa"/>
              <w:right w:w="34" w:type="dxa"/>
              <w:bottom w:w="34" w:type="dxa"/>
            </w:tcMar>
            <w:tcW w:w="2666"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（1）外观完整，外貌整洁；</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（2）附属设施清洁、完好；</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（3）每两年进行一次整体刷漆或粉刷出新。</w:t>
            </w:r>
            <w:r/>
          </w:p>
        </w:tc>
        <w:tc>
          <w:tcPr>
            <w:tcMar>
              <w:left w:w="34" w:type="dxa"/>
              <w:top w:w="34" w:type="dxa"/>
              <w:right w:w="34" w:type="dxa"/>
              <w:bottom w:w="34" w:type="dxa"/>
            </w:tcMa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（1）外观完整，外貌较干净；</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（2）附属设施较清洁、完好，木质无腐朽，金属材质无锈蚀，设备安全运行；</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（3）及时维修，无安全隐患；</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（4）每三年进行一次整体刷漆或粉刷出新；日常即时对破损、墙皮驳落等修补、粉刷。</w:t>
            </w:r>
            <w:r/>
          </w:p>
        </w:tc>
      </w:tr>
      <w:tr>
        <w:trPr>
          <w:jc w:val="center"/>
          <w:trHeight w:val="1244"/>
        </w:trPr>
        <w:tc>
          <w:tcPr>
            <w:gridSpan w:val="2"/>
            <w:tcMar>
              <w:left w:w="34" w:type="dxa"/>
              <w:top w:w="34" w:type="dxa"/>
              <w:right w:w="34" w:type="dxa"/>
              <w:bottom w:w="34" w:type="dxa"/>
            </w:tcMar>
            <w:tcW w:w="770" w:type="dxa"/>
            <w:vAlign w:val="center"/>
            <w:vMerge w:val="continue"/>
            <w:textDirection w:val="lrTb"/>
            <w:noWrap w:val="false"/>
          </w:tcPr>
          <w:p>
            <w:pPr>
              <w:pStyle w:val="850"/>
              <w:ind w:firstLine="42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花坛、桌椅、雕塑小品</w:t>
            </w:r>
            <w:r/>
          </w:p>
        </w:tc>
        <w:tc>
          <w:tcPr>
            <w:tcMar>
              <w:left w:w="34" w:type="dxa"/>
              <w:top w:w="34" w:type="dxa"/>
              <w:right w:w="34" w:type="dxa"/>
              <w:bottom w:w="34" w:type="dxa"/>
            </w:tcMar>
            <w:tcW w:w="2832" w:type="dxa"/>
            <w:vAlign w:val="center"/>
            <w:textDirection w:val="lrTb"/>
            <w:noWrap w:val="false"/>
          </w:tcPr>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（1）24小时流动保洁到位，无垃圾、积水、痰迹、烟头等；</w:t>
            </w:r>
            <w:r/>
          </w:p>
          <w:p>
            <w:pPr>
              <w:spacing w:line="360" w:lineRule="exact"/>
              <w:widowControl/>
              <w:rPr>
                <w:rFonts w:hint="eastAsia" w:ascii="宋体" w:hAnsi="宋体" w:cs="宋体"/>
                <w:color w:val="auto"/>
                <w:highlight w:val="none"/>
              </w:rPr>
            </w:pPr>
            <w:r>
              <w:rPr>
                <w:rStyle w:val="1175"/>
                <w:rFonts w:hint="eastAsia" w:ascii="宋体" w:hAnsi="宋体" w:cs="宋体"/>
                <w:color w:val="auto"/>
                <w:highlight w:val="none"/>
              </w:rPr>
              <w:t xml:space="preserve">（2）每年进行一次整体刷漆出新。</w:t>
            </w:r>
            <w:r/>
          </w:p>
        </w:tc>
        <w:tc>
          <w:tcPr>
            <w:tcMar>
              <w:left w:w="34" w:type="dxa"/>
              <w:top w:w="34" w:type="dxa"/>
              <w:right w:w="34" w:type="dxa"/>
              <w:bottom w:w="34" w:type="dxa"/>
            </w:tcMar>
            <w:tcW w:w="2666"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（1）表面整洁，安全坚固，构件无松动，无破损，木材质无腐朽，金属材质无锈蚀；</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（2）维修及时，材料、色彩与原用材一致；</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（3）保洁到位，桌椅、凳面、表面无积尘；</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（4）每两年进行一次整体刷漆出新。</w:t>
            </w:r>
            <w:r/>
          </w:p>
        </w:tc>
        <w:tc>
          <w:tcPr>
            <w:tcMar>
              <w:left w:w="34" w:type="dxa"/>
              <w:top w:w="34" w:type="dxa"/>
              <w:right w:w="34" w:type="dxa"/>
              <w:bottom w:w="34" w:type="dxa"/>
            </w:tcMa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（1）表面较整洁，安全坚固，构件无松动，基本无破损，木材质基本无腐朽，金属材质无锈蚀；</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（2）维修及时，材料、色彩与原用材基本接近；</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（3）保洁到位，桌椅、凳面、表面基本无积尘；</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（4）每三年进行一次整体刷漆出新，日常即时对破损、掉漆等修补、刷漆或喷漆。</w:t>
            </w:r>
            <w:r/>
          </w:p>
        </w:tc>
      </w:tr>
      <w:tr>
        <w:trPr>
          <w:jc w:val="center"/>
          <w:trHeight w:val="2621"/>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园路、广场、木栈道、桥梁</w:t>
            </w:r>
            <w:r/>
          </w:p>
        </w:tc>
        <w:tc>
          <w:tcPr>
            <w:tcMar>
              <w:left w:w="34" w:type="dxa"/>
              <w:top w:w="34" w:type="dxa"/>
              <w:right w:w="34" w:type="dxa"/>
              <w:bottom w:w="34" w:type="dxa"/>
            </w:tcMar>
            <w:tcW w:w="2832" w:type="dxa"/>
            <w:vAlign w:val="center"/>
            <w:textDirection w:val="lrTb"/>
            <w:noWrap w:val="false"/>
          </w:tcPr>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（1）平整、通畅，无破损，表面无坑洼，木材质无腐朽，损坏及时维修；</w:t>
            </w:r>
            <w:r/>
          </w:p>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（2）24小时流动保洁到位，无垃圾、积水、痰迹、烟头等；</w:t>
            </w:r>
            <w:r/>
          </w:p>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（3）积雪清扫及时；</w:t>
            </w:r>
            <w:r/>
          </w:p>
          <w:p>
            <w:pPr>
              <w:spacing w:line="360" w:lineRule="exact"/>
              <w:widowControl/>
              <w:rPr>
                <w:rFonts w:hint="eastAsia" w:ascii="宋体" w:hAnsi="宋体" w:cs="宋体"/>
                <w:color w:val="auto"/>
                <w:highlight w:val="none"/>
              </w:rPr>
            </w:pPr>
            <w:r>
              <w:rPr>
                <w:rStyle w:val="1175"/>
                <w:rFonts w:hint="eastAsia" w:ascii="宋体" w:hAnsi="宋体" w:cs="宋体"/>
                <w:color w:val="auto"/>
                <w:highlight w:val="none"/>
              </w:rPr>
              <w:t xml:space="preserve">（4）对木质或金属材质每年进行一次整体刷漆出新。</w:t>
            </w:r>
            <w:r/>
          </w:p>
        </w:tc>
        <w:tc>
          <w:tcPr>
            <w:tcMar>
              <w:left w:w="34" w:type="dxa"/>
              <w:top w:w="34" w:type="dxa"/>
              <w:right w:w="34" w:type="dxa"/>
              <w:bottom w:w="34" w:type="dxa"/>
            </w:tcMar>
            <w:tcW w:w="2666"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（1）平整、通畅，无破损，表面基本无坑洼，木材质基本无腐朽；</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（2）维修及时；</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（3）保洁到位，基本无垃圾、积水、痰迹、烟头等；</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（4）对木质或金属材质每两年进行一次整体刷漆出新。</w:t>
            </w:r>
            <w:r/>
          </w:p>
        </w:tc>
        <w:tc>
          <w:tcPr>
            <w:tcMar>
              <w:left w:w="34" w:type="dxa"/>
              <w:top w:w="34" w:type="dxa"/>
              <w:right w:w="34" w:type="dxa"/>
              <w:bottom w:w="34" w:type="dxa"/>
            </w:tcMa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（1）平整、通畅，无破损，表面无明显坑洼，木材质基本无腐朽；</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（2）维修较及时；</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（3）保洁到位，无明显垃圾、积水、痰迹、烟头等；</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（4）积雪清扫较及时，禁止将含融雪剂积雪堆入绿地；</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（5）对木质或金属材质每三年进行一次整体刷漆出新，日常即时对破损、掉漆等修补、刷漆。</w:t>
            </w:r>
            <w:r/>
          </w:p>
        </w:tc>
      </w:tr>
      <w:tr>
        <w:trPr>
          <w:jc w:val="center"/>
          <w:trHeight w:val="1543"/>
        </w:trPr>
        <w:tc>
          <w:tcPr>
            <w:gridSpan w:val="2"/>
            <w:tcMar>
              <w:left w:w="34" w:type="dxa"/>
              <w:top w:w="34" w:type="dxa"/>
              <w:right w:w="34" w:type="dxa"/>
              <w:bottom w:w="34"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园林景观设施维护</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园林建筑和构筑物</w:t>
            </w:r>
            <w:r/>
          </w:p>
        </w:tc>
        <w:tc>
          <w:tcPr>
            <w:tcMar>
              <w:left w:w="34" w:type="dxa"/>
              <w:top w:w="34" w:type="dxa"/>
              <w:right w:w="34" w:type="dxa"/>
              <w:bottom w:w="34" w:type="dxa"/>
            </w:tcMar>
            <w:tcW w:w="2832"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1、每年进行一次整体刷漆或粉刷出新 </w:t>
            </w:r>
            <w:r/>
          </w:p>
        </w:tc>
        <w:tc>
          <w:tcPr>
            <w:tcMar>
              <w:left w:w="34" w:type="dxa"/>
              <w:top w:w="34" w:type="dxa"/>
              <w:right w:w="34" w:type="dxa"/>
              <w:bottom w:w="34" w:type="dxa"/>
            </w:tcMar>
            <w:tcW w:w="2666"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1、外观完整，外貌整洁；</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2、附属设施清洁、完好；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3、每两年进行一次整体刷漆或粉刷出新</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1、外观完整无破损，外貌较干净；</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2、附属设施较清洁、完好，木质无腐朽，金属材质无锈蚀，设备安全运行；</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3、及时维修，无安全隐患；</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4、每三年进行一次整体刷漆或粉刷出新；日常即时对破损、墙皮驳落等修补、粉刷</w:t>
            </w:r>
            <w:r/>
          </w:p>
        </w:tc>
      </w:tr>
      <w:tr>
        <w:trPr>
          <w:jc w:val="center"/>
          <w:trHeight w:val="546"/>
        </w:trPr>
        <w:tc>
          <w:tcPr>
            <w:gridSpan w:val="2"/>
            <w:tcMar>
              <w:left w:w="28" w:type="dxa"/>
              <w:top w:w="28" w:type="dxa"/>
              <w:right w:w="28" w:type="dxa"/>
              <w:bottom w:w="28" w:type="dxa"/>
            </w:tcMar>
            <w:tcW w:w="770"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园林景观设施维护</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标识系统、公益宣传牌</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（1）直立端正，不歪斜，无破损、无污物；</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（2）承载内容清晰完好，各类创建标语规范准确，无错别字，内容不过时。</w:t>
            </w:r>
            <w:r/>
          </w:p>
        </w:tc>
      </w:tr>
      <w:tr>
        <w:trPr>
          <w:jc w:val="center"/>
          <w:trHeight w:val="1170"/>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健身设施、儿童游乐设施</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（1）设施安全，运行正常；</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（2）明示生产单位及使用要求、操作规程；</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（3）按规定检查维护，确保安全运行；</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（4）保持环境整洁、设施清洁；</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（5）设施无坏损、松动。</w:t>
            </w:r>
            <w:r/>
          </w:p>
        </w:tc>
      </w:tr>
      <w:tr>
        <w:trPr>
          <w:jc w:val="center"/>
          <w:trHeight w:val="977"/>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灌溉系统</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（1）运行正常，无破损；</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（2）定期检修管道和配件，如有损坏及时维修；</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（3）冬季防冻到位，水管和设备不冻裂；</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（4）有规范的使用要求，有专人负责开关管理。</w:t>
            </w:r>
            <w:r/>
          </w:p>
        </w:tc>
      </w:tr>
      <w:tr>
        <w:trPr>
          <w:jc w:val="center"/>
          <w:trHeight w:val="1056"/>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垃圾收集设施</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（1）垃圾箱分类设置，外观清洁、完整，标识清晰，内壁无污垢陈渍，箱内无过夜陈积垃圾；</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（2）垃圾收集、中转外运车辆清洁，不抛洒滴漏，有证驾驶，有规范操作要求和收集外运制度；</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（3）排水沟构件完整无破损，沟内不淤积，排水良好；</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（4）照明设施功能正常，及时维修，无坏损。</w:t>
            </w:r>
            <w:r/>
          </w:p>
        </w:tc>
      </w:tr>
      <w:tr>
        <w:trPr>
          <w:jc w:val="center"/>
          <w:trHeight w:val="343"/>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雨污水管网设施</w:t>
            </w:r>
            <w:r/>
          </w:p>
        </w:tc>
        <w:tc>
          <w:tcPr>
            <w:gridSpan w:val="3"/>
            <w:tcMar>
              <w:left w:w="28" w:type="dxa"/>
              <w:top w:w="28" w:type="dxa"/>
              <w:right w:w="28" w:type="dxa"/>
              <w:bottom w:w="28" w:type="dxa"/>
            </w:tcMar>
            <w:tcW w:w="8361"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雨污水管网构件完整无破损，管网内及排水沟内不淤积，排水良好。</w:t>
            </w:r>
            <w:r/>
          </w:p>
        </w:tc>
      </w:tr>
      <w:tr>
        <w:trPr>
          <w:jc w:val="center"/>
          <w:trHeight w:val="492"/>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照明设施</w:t>
            </w:r>
            <w:r/>
          </w:p>
        </w:tc>
        <w:tc>
          <w:tcPr>
            <w:gridSpan w:val="3"/>
            <w:tcMar>
              <w:left w:w="28" w:type="dxa"/>
              <w:top w:w="28" w:type="dxa"/>
              <w:right w:w="28" w:type="dxa"/>
              <w:bottom w:w="28" w:type="dxa"/>
            </w:tcMar>
            <w:tcW w:w="8361"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（1）照明设施外观无脱漆，无坏损，功能正常，亮化率100%；</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（2）有规范的亮化管理及养护制度，有专业操作规范，有标准化记录。</w:t>
            </w:r>
            <w:r/>
          </w:p>
        </w:tc>
      </w:tr>
      <w:tr>
        <w:trPr>
          <w:jc w:val="center"/>
          <w:trHeight w:val="2103"/>
        </w:trPr>
        <w:tc>
          <w:tcPr>
            <w:gridSpan w:val="2"/>
            <w:tcMar>
              <w:left w:w="28" w:type="dxa"/>
              <w:top w:w="28" w:type="dxa"/>
              <w:right w:w="28" w:type="dxa"/>
              <w:bottom w:w="28"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保洁</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保洁</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（1）有明确的保洁岗位设置，有较固定的保洁人员，有规范的保洁工作制度；</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（2）公园内24小时流动保洁到位，无垃圾、积水、痰迹、烟头等；</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（3）地砖缝隙中无杂草；</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（4）绿地内无落枝、无沉积落叶；</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（5）公园内各类景观建筑、构筑物表面、墙面和内部保洁到位，无灰尘、无污渍、无刻划。</w:t>
            </w:r>
            <w:r/>
          </w:p>
        </w:tc>
        <w:tc>
          <w:tcPr>
            <w:tcW w:w="2666" w:type="dxa"/>
            <w:vAlign w:val="center"/>
            <w:textDirection w:val="lrTb"/>
            <w:noWrap w:val="false"/>
          </w:tcPr>
          <w:p>
            <w:pPr>
              <w:pStyle w:val="850"/>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（1）无垃圾杂物，无卫生死角；</w:t>
            </w:r>
            <w:r/>
          </w:p>
          <w:p>
            <w:pPr>
              <w:pStyle w:val="850"/>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（2）地砖缝隙中基本无杂草。</w:t>
            </w:r>
            <w:r/>
          </w:p>
        </w:tc>
        <w:tc>
          <w:tcP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（1）基本无垃圾杂物，基本无卫生死角，无焚烧垃圾和枯枝落叶行为；</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（2）地砖缝隙中无明显杂草；</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（3）管养废弃物日产日清。</w:t>
            </w:r>
            <w:r/>
          </w:p>
        </w:tc>
      </w:tr>
      <w:tr>
        <w:trPr>
          <w:jc w:val="center"/>
          <w:trHeight w:val="1317"/>
        </w:trPr>
        <w:tc>
          <w:tcPr>
            <w:gridSpan w:val="2"/>
            <w:tcMar>
              <w:left w:w="28" w:type="dxa"/>
              <w:top w:w="28" w:type="dxa"/>
              <w:right w:w="28" w:type="dxa"/>
              <w:bottom w:w="28"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保安</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公园保安工作要求</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（1）公园内全天候24小时安全保卫，保安人员轮流排班，确保公园安保无空档、无死角；</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（2）有明确的保安岗位设置，有较固定的保安人员；</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（3）有规范的保安工作制度、有可行性较强的突发事件应急预案，有标准化记录规范，做到各项工作有制度可循，有记录可查；</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（4）保安巡查设施设备齐全，服装统一、不陈旧，穿戴整洁；</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（5）有专门的水面巡查设施、有水面安全巡查规范；</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（6）定期组织业务专业培训及演练；</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（7）有规范的外来施工作业准入及过程管理规范，有交办及落实反馈机制；</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（8）公园每个出入口均有保安人员值守；</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（9）公园内任一地点发生紧急突发事件，3分钟内须有不少于2名保安到场处理，10分钟内保安带班负责人须到场。</w:t>
            </w:r>
            <w:r/>
          </w:p>
        </w:tc>
        <w:tc>
          <w:tcPr>
            <w:tcW w:w="2666"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863"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33"/>
        </w:trPr>
        <w:tc>
          <w:tcPr>
            <w:gridSpan w:val="2"/>
            <w:tcMar>
              <w:left w:w="28" w:type="dxa"/>
              <w:top w:w="28" w:type="dxa"/>
              <w:right w:w="28" w:type="dxa"/>
              <w:bottom w:w="28" w:type="dxa"/>
            </w:tcMar>
            <w:tcW w:w="770"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其它</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公园厕所保洁和维护</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（1）室内及周边卫生整洁、无异味、垃圾不过夜；</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（2）洁具、水电设施、照明设施及门窗、隔板等相关附属设施功能正常，维修及时，更换的材料品质优良，与原构件协调一致；</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（3）保洁质量符合相关标准规范要求。</w:t>
            </w:r>
            <w:r/>
          </w:p>
        </w:tc>
        <w:tc>
          <w:tcPr>
            <w:tcW w:w="2666"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863"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626"/>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水体维护</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（1）水面无漂浮垃圾、水体无异味；</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有专门的水面保洁人员及水草处理人员，水面作业船只及设备齐全，功能正常，有规范的水面安全作业制度及可控措施；有水草高峰期时人员及设备调用机制；</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（2）喷泉、涌泉、雾森、跌水等水景观设施使用功能正常，维修及时。</w:t>
            </w:r>
            <w:r/>
          </w:p>
        </w:tc>
        <w:tc>
          <w:tcPr>
            <w:tcW w:w="2666"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（1）及时清理水面垃圾、杂物、漂浮物，保持水面清洁，水面基本无漂浮垃圾、水体无异味；</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（2）及时清除水花生、水葫芦等水生杂草，避免水体富营养化；</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（3）负责水体内景观设施的维护修理，保证使用功能正常。</w:t>
            </w:r>
            <w:r/>
          </w:p>
        </w:tc>
        <w:tc>
          <w:tcP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水面垃圾、杂物、漂浮物清理较及时，水面基本保持清洁。</w:t>
            </w:r>
            <w:r/>
          </w:p>
        </w:tc>
      </w:tr>
      <w:tr>
        <w:trPr>
          <w:jc w:val="center"/>
          <w:trHeight w:val="2898"/>
        </w:trPr>
        <w:tc>
          <w:tcPr>
            <w:gridSpan w:val="3"/>
            <w:tcMar>
              <w:left w:w="34" w:type="dxa"/>
              <w:top w:w="34" w:type="dxa"/>
              <w:right w:w="34" w:type="dxa"/>
              <w:bottom w:w="34" w:type="dxa"/>
            </w:tcMar>
            <w:tcW w:w="149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安全文明作业要求</w:t>
            </w:r>
            <w:r/>
          </w:p>
        </w:tc>
        <w:tc>
          <w:tcPr>
            <w:gridSpan w:val="3"/>
            <w:tcMar>
              <w:left w:w="34" w:type="dxa"/>
              <w:top w:w="34" w:type="dxa"/>
              <w:right w:w="34" w:type="dxa"/>
              <w:bottom w:w="34" w:type="dxa"/>
            </w:tcMar>
            <w:tcW w:w="8361"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（1）严格遵守各项安全管理制度，执行各项安全操作规程；</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（2）定期检查，及时维修、更换存在安全隐患设施设备，及时修剪过密树冠，避免恶劣天气枝干断落、大树倾倒等安全隐患；</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（3）加强安全巡查，及时发现并排除绿地内铁丝、裸露电线、坑洞、木桩等安全隐患；</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（4）履行绿地消防安全责任，公园建筑配备必要的灭火设施，对火灾安全隐患及时发现并排除；</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（5）绿化管养工人、保洁人员、保安均统一、规范着装；</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（6）从事大树修剪、道路绿化管养等活动的人员规范佩戴安全帽、安全带；</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（7）道路绿化修剪、浇灌、喷药等避开交通高峰期，需临时短时间占道作业的，设置有效安全警示标志；</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（8）管护垃圾不落地，浇水、喷药等活动不影响市民正常生活，不污染路面；</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（9）衰老、枯死植株及时移除清运，缺株及时补植；</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（10）粉刷出新、喷漆等作业不污染地面、植物等其它设施和物品；</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（11）管养作业落实本市园林绿化“五严禁”、“五必须”要求。</w:t>
            </w:r>
            <w:r/>
          </w:p>
        </w:tc>
      </w:tr>
    </w:tbl>
    <w:p>
      <w:pPr>
        <w:pStyle w:val="1055"/>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r>
      <w:r/>
    </w:p>
    <w:p>
      <w:pPr>
        <w:pStyle w:val="1055"/>
        <w:jc w:val="left"/>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t xml:space="preserve">附件二 管养考核总得分汇总表</w:t>
      </w:r>
      <w:r/>
    </w:p>
    <w:tbl>
      <w:tblPr>
        <w:tblStyle w:val="846"/>
        <w:tblW w:w="90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465"/>
        <w:gridCol w:w="1623"/>
        <w:gridCol w:w="1759"/>
        <w:gridCol w:w="1309"/>
        <w:gridCol w:w="1282"/>
        <w:gridCol w:w="818"/>
      </w:tblGrid>
      <w:tr>
        <w:trPr/>
        <w:tc>
          <w:tcPr>
            <w:tcW w:w="776"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序号</w:t>
            </w:r>
            <w:r/>
          </w:p>
        </w:tc>
        <w:tc>
          <w:tcPr>
            <w:tcW w:w="1465"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片区名称</w:t>
            </w:r>
            <w:r/>
          </w:p>
        </w:tc>
        <w:tc>
          <w:tcPr>
            <w:tcW w:w="1623"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日常考核70%</w:t>
            </w:r>
            <w:r/>
          </w:p>
        </w:tc>
        <w:tc>
          <w:tcPr>
            <w:tcW w:w="1759"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定期考核30%</w:t>
            </w:r>
            <w:r/>
          </w:p>
        </w:tc>
        <w:tc>
          <w:tcPr>
            <w:tcW w:w="1309"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专项考核</w:t>
            </w:r>
            <w:r/>
          </w:p>
        </w:tc>
        <w:tc>
          <w:tcPr>
            <w:tcW w:w="1282"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总得分</w:t>
            </w:r>
            <w:r/>
          </w:p>
        </w:tc>
        <w:tc>
          <w:tcPr>
            <w:tcW w:w="818"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备注</w:t>
            </w:r>
            <w:r/>
          </w:p>
        </w:tc>
      </w:tr>
      <w:tr>
        <w:trPr/>
        <w:tc>
          <w:tcPr>
            <w:tcW w:w="776"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465"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623"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75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30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282"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818"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c>
          <w:tcPr>
            <w:tcW w:w="776"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465"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623"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75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30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282"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818"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c>
          <w:tcPr>
            <w:tcW w:w="776"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465"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623"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759"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309"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282"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818" w:type="dxa"/>
            <w:textDirection w:val="lrTb"/>
            <w:noWrap w:val="false"/>
          </w:tcPr>
          <w:p>
            <w:pPr>
              <w:pStyle w:val="1176"/>
              <w:jc w:val="center"/>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c>
          <w:tcPr>
            <w:tcW w:w="776"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465"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623"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75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30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282"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818"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c>
          <w:tcPr>
            <w:tcW w:w="776"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465"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623"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75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30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282"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818"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r>
        <w:trPr>
          <w:trHeight w:val="535"/>
        </w:trPr>
        <w:tc>
          <w:tcPr>
            <w:tcW w:w="776"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465"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623"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75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309"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1282"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c>
          <w:tcPr>
            <w:tcW w:w="818" w:type="dxa"/>
            <w:textDirection w:val="lrTb"/>
            <w:noWrap w:val="false"/>
          </w:tcPr>
          <w:p>
            <w:pPr>
              <w:pStyle w:val="1176"/>
              <w:jc w:val="both"/>
              <w:spacing w:before="0" w:beforeAutospacing="0" w:after="0" w:afterAutospacing="0" w:line="520" w:lineRule="exact"/>
              <w:rPr>
                <w:rFonts w:hint="eastAsia" w:hAnsi="宋体" w:eastAsia="宋体" w:cs="宋体"/>
                <w:color w:val="auto"/>
                <w:szCs w:val="24"/>
                <w:highlight w:val="none"/>
              </w:rPr>
            </w:pPr>
            <w:r>
              <w:rPr>
                <w:rFonts w:hint="eastAsia" w:hAnsi="宋体" w:eastAsia="宋体" w:cs="宋体"/>
                <w:color w:val="auto"/>
                <w:szCs w:val="24"/>
                <w:highlight w:val="none"/>
              </w:rPr>
            </w:r>
            <w:r/>
          </w:p>
        </w:tc>
      </w:tr>
    </w:tbl>
    <w:p>
      <w:pPr>
        <w:pStyle w:val="1055"/>
        <w:jc w:val="left"/>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br w:type="page" w:clear="all"/>
      </w:r>
      <w:r>
        <w:rPr>
          <w:rFonts w:hint="eastAsia" w:hAnsi="宋体" w:cs="宋体"/>
          <w:bCs/>
          <w:color w:val="auto"/>
          <w:sz w:val="28"/>
          <w:szCs w:val="28"/>
          <w:highlight w:val="none"/>
        </w:rPr>
        <w:t xml:space="preserve">附件三 专项考核表</w:t>
      </w:r>
      <w:r/>
    </w:p>
    <w:p>
      <w:pPr>
        <w:pStyle w:val="1178"/>
        <w:rPr>
          <w:rFonts w:hint="eastAsia" w:ascii="宋体" w:hAnsi="宋体" w:cs="宋体"/>
          <w:color w:val="auto"/>
          <w:highlight w:val="none"/>
        </w:rPr>
      </w:pPr>
      <w:r>
        <w:rPr>
          <w:rFonts w:hint="eastAsia" w:ascii="宋体" w:hAnsi="宋体" w:cs="宋体"/>
          <w:color w:val="auto"/>
          <w:highlight w:val="none"/>
        </w:rPr>
      </w:r>
      <w:r/>
    </w:p>
    <w:p>
      <w:pPr>
        <w:pStyle w:val="1180"/>
        <w:jc w:val="center"/>
        <w:spacing w:after="312" w:line="500" w:lineRule="exact"/>
        <w:shd w:val="clear" w:color="auto" w:fill="ffffff"/>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宿豫城区绿地绿化管养总承包项目专项考核表</w:t>
      </w:r>
      <w:r/>
    </w:p>
    <w:tbl>
      <w:tblPr>
        <w:tblStyle w:val="846"/>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914"/>
        <w:gridCol w:w="3142"/>
        <w:gridCol w:w="1078"/>
        <w:gridCol w:w="873"/>
        <w:gridCol w:w="1258"/>
      </w:tblGrid>
      <w:tr>
        <w:trPr>
          <w:jc w:val="center"/>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考核时间</w:t>
            </w:r>
            <w:r/>
          </w:p>
        </w:tc>
        <w:tc>
          <w:tcPr>
            <w:tcW w:w="191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考核事项</w:t>
            </w:r>
            <w:r/>
          </w:p>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情况描述</w:t>
            </w:r>
            <w:r/>
          </w:p>
        </w:tc>
        <w:tc>
          <w:tcPr>
            <w:tcW w:w="1078"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扣分值</w:t>
            </w:r>
            <w:r/>
          </w:p>
        </w:tc>
        <w:tc>
          <w:tcPr>
            <w:tcW w:w="873"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加分值</w:t>
            </w:r>
            <w:r/>
          </w:p>
        </w:tc>
        <w:tc>
          <w:tcPr>
            <w:tcW w:w="1258"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restart"/>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合同专项考核部分所列事项</w:t>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774"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14" w:type="dxa"/>
            <w:vAlign w:val="center"/>
            <w:vMerge w:val="continue"/>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142"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gridSpan w:val="2"/>
            <w:tcW w:w="2688" w:type="dxa"/>
            <w:vAlign w:val="center"/>
            <w:textDirection w:val="lrTb"/>
            <w:noWrap w:val="false"/>
          </w:tcPr>
          <w:p>
            <w:pPr>
              <w:pStyle w:val="1178"/>
              <w:jc w:val="center"/>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月度汇总</w:t>
            </w:r>
            <w:r/>
          </w:p>
        </w:tc>
        <w:tc>
          <w:tcPr>
            <w:tcW w:w="3142"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7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73"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58" w:type="dxa"/>
            <w:textDirection w:val="lrTb"/>
            <w:noWrap w:val="false"/>
          </w:tcPr>
          <w:p>
            <w:pPr>
              <w:pStyle w:val="1178"/>
              <w:spacing w:line="3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180"/>
        <w:ind w:firstLine="120"/>
        <w:jc w:val="left"/>
        <w:spacing w:after="312" w:line="500" w:lineRule="exact"/>
        <w:shd w:val="clear" w:color="auto" w:fill="ffff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考核人：                                     被考核人：</w:t>
      </w:r>
      <w:r/>
    </w:p>
    <w:p>
      <w:pPr>
        <w:pStyle w:val="1178"/>
        <w:rPr>
          <w:rFonts w:hint="eastAsia" w:ascii="宋体" w:hAnsi="宋体" w:cs="宋体"/>
          <w:color w:val="auto"/>
          <w:highlight w:val="none"/>
        </w:rPr>
      </w:pPr>
      <w:r>
        <w:rPr>
          <w:rFonts w:hint="eastAsia" w:ascii="宋体" w:hAnsi="宋体" w:cs="宋体"/>
          <w:color w:val="auto"/>
          <w:highlight w:val="none"/>
        </w:rPr>
      </w:r>
      <w:r/>
    </w:p>
    <w:p>
      <w:pPr>
        <w:pStyle w:val="1055"/>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r>
      <w:r/>
    </w:p>
    <w:p>
      <w:pPr>
        <w:pStyle w:val="1055"/>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r>
      <w:r/>
    </w:p>
    <w:p>
      <w:pPr>
        <w:pStyle w:val="1055"/>
        <w:spacing w:line="500" w:lineRule="exact"/>
        <w:rPr>
          <w:rFonts w:hint="eastAsia" w:hAnsi="宋体" w:cs="宋体"/>
          <w:bCs/>
          <w:color w:val="auto"/>
          <w:sz w:val="28"/>
          <w:szCs w:val="28"/>
          <w:highlight w:val="none"/>
        </w:rPr>
      </w:pPr>
      <w:r>
        <w:rPr>
          <w:rFonts w:hint="eastAsia" w:hAnsi="宋体" w:cs="宋体"/>
          <w:bCs/>
          <w:color w:val="auto"/>
          <w:sz w:val="28"/>
          <w:szCs w:val="28"/>
          <w:highlight w:val="none"/>
        </w:rPr>
        <w:t xml:space="preserve">附件四 </w:t>
      </w:r>
      <w:r>
        <w:rPr>
          <w:rFonts w:hint="eastAsia" w:hAnsi="宋体" w:cs="宋体"/>
          <w:bCs/>
          <w:color w:val="auto"/>
          <w:sz w:val="28"/>
          <w:szCs w:val="28"/>
          <w:highlight w:val="none"/>
        </w:rPr>
        <w:t xml:space="preserve">草花等栽植品种规格一览表</w:t>
      </w:r>
      <w:r>
        <w:rPr>
          <w:rFonts w:hint="eastAsia" w:hAnsi="宋体" w:cs="宋体"/>
          <w:bCs/>
          <w:color w:val="auto"/>
          <w:sz w:val="28"/>
          <w:szCs w:val="28"/>
          <w:highlight w:val="none"/>
        </w:rPr>
      </w:r>
      <w:r/>
    </w:p>
    <w:p>
      <w:pPr>
        <w:pStyle w:val="1055"/>
        <w:ind w:firstLine="560"/>
        <w:jc w:val="left"/>
        <w:spacing w:line="500" w:lineRule="exact"/>
        <w:rPr>
          <w:rFonts w:hint="eastAsia" w:hAnsi="宋体" w:eastAsia="宋体" w:cs="宋体"/>
          <w:bCs/>
          <w:color w:val="auto"/>
          <w:sz w:val="28"/>
          <w:szCs w:val="28"/>
          <w:highlight w:val="none"/>
          <w:lang w:eastAsia="zh-CN"/>
        </w:rPr>
      </w:pPr>
      <w:r>
        <w:rPr>
          <w:rFonts w:hint="eastAsia" w:hAnsi="宋体" w:cs="宋体"/>
          <w:bCs/>
          <w:color w:val="auto"/>
          <w:sz w:val="28"/>
          <w:szCs w:val="28"/>
          <w:highlight w:val="none"/>
          <w:lang w:eastAsia="zh-CN"/>
        </w:rPr>
        <w:t xml:space="preserve">详见分项明细报价表</w:t>
      </w:r>
      <w:r/>
    </w:p>
    <w:p>
      <w:pPr>
        <w:pStyle w:val="1055"/>
        <w:ind w:firstLine="880"/>
        <w:jc w:val="center"/>
        <w:spacing w:line="500" w:lineRule="exact"/>
        <w:rPr>
          <w:rFonts w:hint="eastAsia" w:hAnsi="宋体" w:cs="宋体"/>
          <w:color w:val="auto"/>
          <w:sz w:val="24"/>
          <w:szCs w:val="24"/>
          <w:highlight w:val="none"/>
        </w:rPr>
        <w:outlineLvl w:val="0"/>
      </w:pPr>
      <w:r>
        <w:rPr>
          <w:rFonts w:hint="eastAsia" w:hAnsi="宋体" w:cs="宋体"/>
          <w:bCs/>
          <w:color w:val="auto"/>
          <w:sz w:val="44"/>
          <w:highlight w:val="none"/>
        </w:rPr>
        <w:br w:type="page" w:clear="all"/>
      </w:r>
      <w:bookmarkStart w:id="255" w:name="_Toc397"/>
      <w:r>
        <w:rPr>
          <w:rFonts w:hint="eastAsia" w:hAnsi="宋体" w:cs="宋体"/>
          <w:b/>
          <w:color w:val="auto"/>
          <w:sz w:val="44"/>
          <w:highlight w:val="none"/>
        </w:rPr>
        <w:t xml:space="preserve">第</w:t>
      </w:r>
      <w:bookmarkEnd w:id="249"/>
      <w:r>
        <w:rPr>
          <w:rFonts w:hint="eastAsia" w:hAnsi="宋体" w:cs="宋体"/>
          <w:b/>
          <w:color w:val="auto"/>
          <w:sz w:val="44"/>
          <w:highlight w:val="none"/>
        </w:rPr>
        <w:t xml:space="preserve">四章  采购需求</w:t>
      </w:r>
      <w:bookmarkEnd w:id="250"/>
      <w:r/>
      <w:bookmarkEnd w:id="251"/>
      <w:r/>
      <w:bookmarkEnd w:id="252"/>
      <w:r/>
      <w:bookmarkEnd w:id="255"/>
      <w:r/>
      <w:r/>
    </w:p>
    <w:p>
      <w:pPr>
        <w:spacing w:before="120" w:after="120" w:line="0" w:lineRule="atLeast"/>
        <w:rPr>
          <w:rFonts w:hint="eastAsia" w:ascii="宋体" w:hAnsi="宋体" w:eastAsia="宋体" w:cs="宋体"/>
          <w:b/>
          <w:bCs/>
          <w:color w:val="auto"/>
          <w:sz w:val="28"/>
          <w:szCs w:val="28"/>
          <w:highlight w:val="none"/>
          <w:lang w:eastAsia="zh-CN"/>
        </w:rPr>
        <w:outlineLvl w:val="2"/>
      </w:pPr>
      <w:r/>
      <w:bookmarkStart w:id="256" w:name="_Toc49090575"/>
      <w:r/>
      <w:bookmarkStart w:id="257" w:name="_Toc26554093"/>
      <w:r>
        <w:rPr>
          <w:rFonts w:hint="eastAsia" w:ascii="宋体" w:hAnsi="宋体" w:cs="宋体"/>
          <w:b/>
          <w:bCs/>
          <w:color w:val="auto"/>
          <w:sz w:val="28"/>
          <w:szCs w:val="28"/>
          <w:highlight w:val="none"/>
          <w:lang w:eastAsia="zh-CN"/>
        </w:rPr>
        <w:t xml:space="preserve">项目情况说明：</w:t>
      </w:r>
      <w:r/>
    </w:p>
    <w:p>
      <w:pPr>
        <w:spacing w:before="120" w:after="120" w:line="0" w:lineRule="atLeast"/>
        <w:rPr>
          <w:rFonts w:hint="eastAsia" w:ascii="宋体" w:hAnsi="宋体" w:cs="宋体"/>
          <w:color w:val="auto"/>
          <w:sz w:val="28"/>
          <w:szCs w:val="28"/>
          <w:highlight w:val="none"/>
        </w:rPr>
        <w:outlineLvl w:val="2"/>
      </w:pPr>
      <w:r>
        <w:rPr>
          <w:rFonts w:hint="eastAsia" w:ascii="宋体" w:hAnsi="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rPr>
        <w:t xml:space="preserve">项目属性：</w:t>
      </w:r>
      <w:r>
        <w:rPr>
          <w:rFonts w:hint="eastAsia" w:ascii="宋体" w:hAnsi="宋体" w:cs="宋体"/>
          <w:color w:val="auto"/>
          <w:sz w:val="28"/>
          <w:szCs w:val="28"/>
          <w:highlight w:val="none"/>
        </w:rPr>
        <w:t xml:space="preserve">服务类项目。</w:t>
      </w:r>
      <w:r/>
    </w:p>
    <w:p>
      <w:pPr>
        <w:spacing w:before="120" w:after="120" w:line="0" w:lineRule="atLeast"/>
        <w:rPr>
          <w:rFonts w:hint="eastAsia" w:ascii="宋体" w:hAnsi="宋体" w:cs="宋体"/>
          <w:color w:val="auto"/>
          <w:sz w:val="28"/>
          <w:szCs w:val="28"/>
          <w:highlight w:val="none"/>
        </w:rPr>
        <w:outlineLvl w:val="2"/>
      </w:pP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本项目采购标的对应的中小企业划分标准所属行业：</w:t>
      </w:r>
      <w:r>
        <w:rPr>
          <w:rFonts w:hint="eastAsia" w:ascii="宋体" w:hAnsi="宋体" w:cs="宋体"/>
          <w:color w:val="auto"/>
          <w:sz w:val="28"/>
          <w:szCs w:val="28"/>
          <w:highlight w:val="none"/>
          <w:u w:val="single"/>
        </w:rPr>
        <w:t xml:space="preserve">其他未列明行业</w:t>
      </w:r>
      <w:r>
        <w:rPr>
          <w:rFonts w:hint="eastAsia" w:ascii="宋体" w:hAnsi="宋体" w:cs="宋体"/>
          <w:color w:val="auto"/>
          <w:sz w:val="28"/>
          <w:szCs w:val="28"/>
          <w:highlight w:val="none"/>
        </w:rPr>
        <w:t xml:space="preserve">。</w:t>
      </w:r>
      <w:r/>
    </w:p>
    <w:p>
      <w:pPr>
        <w:spacing w:before="120" w:after="120" w:line="0" w:lineRule="atLeas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u w:val="single"/>
        </w:rPr>
        <w:t xml:space="preserve">不接受</w:t>
      </w:r>
      <w:r>
        <w:rPr>
          <w:rFonts w:hint="eastAsia" w:ascii="宋体" w:hAnsi="宋体" w:cs="宋体"/>
          <w:b/>
          <w:bCs/>
          <w:color w:val="auto"/>
          <w:sz w:val="28"/>
          <w:szCs w:val="28"/>
          <w:highlight w:val="none"/>
        </w:rPr>
        <w:t xml:space="preserve">进口产品。</w:t>
      </w:r>
      <w:r/>
    </w:p>
    <w:p>
      <w:pPr>
        <w:spacing w:line="0" w:lineRule="atLeast"/>
        <w:rPr>
          <w:rFonts w:hint="eastAsia" w:ascii="宋体" w:hAnsi="宋体" w:cs="宋体"/>
          <w:b/>
          <w:color w:val="auto"/>
          <w:sz w:val="28"/>
          <w:szCs w:val="28"/>
          <w:highlight w:val="none"/>
        </w:rPr>
        <w:outlineLvl w:val="2"/>
      </w:pPr>
      <w:r>
        <w:rPr>
          <w:rFonts w:hint="eastAsia" w:ascii="宋体" w:hAnsi="宋体" w:cs="宋体"/>
          <w:b/>
          <w:color w:val="auto"/>
          <w:sz w:val="28"/>
          <w:szCs w:val="28"/>
          <w:highlight w:val="none"/>
          <w:lang w:eastAsia="zh-CN"/>
        </w:rPr>
        <w:t xml:space="preserve">一</w:t>
      </w:r>
      <w:r>
        <w:rPr>
          <w:rFonts w:hint="eastAsia" w:ascii="宋体" w:hAnsi="宋体" w:cs="宋体"/>
          <w:b/>
          <w:color w:val="auto"/>
          <w:sz w:val="28"/>
          <w:szCs w:val="28"/>
          <w:highlight w:val="none"/>
        </w:rPr>
        <w:t xml:space="preserve">、项目技术需求</w:t>
      </w:r>
      <w:r/>
    </w:p>
    <w:p>
      <w:pPr>
        <w:pStyle w:val="850"/>
        <w:spacing w:line="400" w:lineRule="exact"/>
        <w:rPr>
          <w:rFonts w:hint="eastAsia" w:ascii="宋体" w:hAnsi="宋体" w:cs="宋体"/>
          <w:b/>
          <w:bCs/>
          <w:color w:val="auto"/>
          <w:sz w:val="28"/>
          <w:szCs w:val="28"/>
          <w:highlight w:val="none"/>
        </w:rPr>
        <w:outlineLvl w:val="2"/>
      </w:pPr>
      <w:r/>
      <w:bookmarkStart w:id="258" w:name="_Toc256000054"/>
      <w:r/>
      <w:bookmarkStart w:id="259" w:name="_Toc9938"/>
      <w:r/>
      <w:bookmarkStart w:id="260" w:name="_Toc14306"/>
      <w:r/>
      <w:bookmarkStart w:id="261" w:name="_Toc27716"/>
      <w:r/>
      <w:bookmarkStart w:id="262" w:name="_Toc21125"/>
      <w:r/>
      <w:bookmarkStart w:id="263" w:name="_Toc24870"/>
      <w:r/>
      <w:bookmarkStart w:id="264" w:name="_Toc7223"/>
      <w:r/>
      <w:bookmarkStart w:id="265" w:name="_Toc10142"/>
      <w:r/>
      <w:bookmarkStart w:id="266" w:name="_Toc30748"/>
      <w:r/>
      <w:bookmarkStart w:id="267" w:name="_Toc4713"/>
      <w:r/>
      <w:bookmarkStart w:id="268" w:name="_Toc78817312"/>
      <w:r/>
      <w:bookmarkStart w:id="269" w:name="_Toc256000015"/>
      <w:r/>
      <w:bookmarkStart w:id="270" w:name="_Toc15049"/>
      <w:r/>
      <w:bookmarkStart w:id="271" w:name="_Toc7037"/>
      <w:r>
        <w:rPr>
          <w:rFonts w:hint="eastAsia" w:ascii="宋体" w:hAnsi="宋体" w:cs="宋体"/>
          <w:b/>
          <w:bCs/>
          <w:color w:val="auto"/>
          <w:sz w:val="28"/>
          <w:szCs w:val="28"/>
          <w:highlight w:val="none"/>
        </w:rPr>
        <w:t xml:space="preserve">（一）项目概况</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ind w:firstLine="482"/>
        <w:spacing w:line="5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1.项目概况：</w:t>
      </w:r>
      <w:r>
        <w:rPr>
          <w:rFonts w:hint="eastAsia" w:ascii="宋体" w:hAnsi="宋体" w:cs="宋体"/>
          <w:color w:val="auto"/>
          <w:sz w:val="24"/>
          <w:szCs w:val="24"/>
          <w:highlight w:val="none"/>
        </w:rPr>
        <w:t xml:space="preserve">宿豫区绿化管养项目（2024年至2026年），本次招标宿豫区</w:t>
      </w:r>
      <w:r>
        <w:rPr>
          <w:rFonts w:hint="eastAsia" w:ascii="宋体" w:hAnsi="宋体" w:cs="宋体"/>
          <w:color w:val="auto"/>
          <w:sz w:val="24"/>
          <w:szCs w:val="24"/>
          <w:highlight w:val="none"/>
          <w:lang w:eastAsia="zh-CN"/>
        </w:rPr>
        <w:t xml:space="preserve">部分</w:t>
      </w:r>
      <w:r>
        <w:rPr>
          <w:rFonts w:hint="eastAsia" w:ascii="宋体" w:hAnsi="宋体" w:cs="宋体"/>
          <w:color w:val="auto"/>
          <w:sz w:val="24"/>
          <w:szCs w:val="24"/>
          <w:highlight w:val="none"/>
        </w:rPr>
        <w:t xml:space="preserve">绿地绿化养护、保洁、安保等和管养范围内部分城市绿地提升改造设计的一体化服务。</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区域范围：北至宿支路、南至项王东路、东至西楚大道、西至中运河，总管养面积约为193.72万平方米，包括中运河风光带（5#-2#桥）、书香园、樱花园、西楚绿廊、牡丹江河绿化、顺河集行宫遗址公园等公园绿地，区政府周边单位庭院等庭院开放绿地和洪泽湖东路、燕山路、江山大道等道路绿地。</w:t>
      </w:r>
      <w:r/>
    </w:p>
    <w:p>
      <w:pPr>
        <w:pStyle w:val="1162"/>
        <w:ind w:firstLine="482"/>
        <w:spacing w:line="4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2.服务期限</w:t>
      </w:r>
      <w:r>
        <w:rPr>
          <w:rFonts w:hint="eastAsia" w:ascii="宋体" w:hAnsi="宋体" w:cs="宋体"/>
          <w:color w:val="auto"/>
          <w:sz w:val="24"/>
          <w:szCs w:val="24"/>
          <w:highlight w:val="none"/>
        </w:rPr>
        <w:t xml:space="preserve">：3年，每块绿地管养期以实际接收管养的时间为准，具体管养期限详见明细报价表。</w:t>
      </w:r>
      <w:r/>
    </w:p>
    <w:p>
      <w:pPr>
        <w:pStyle w:val="1162"/>
        <w:ind w:firstLine="482"/>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3.标准要求</w:t>
      </w:r>
      <w:r/>
    </w:p>
    <w:p>
      <w:pPr>
        <w:pStyle w:val="1162"/>
        <w:ind w:firstLine="480"/>
        <w:spacing w:line="400" w:lineRule="exact"/>
        <w:rPr>
          <w:rFonts w:hint="eastAsia" w:ascii="宋体" w:hAnsi="宋体" w:cs="宋体"/>
          <w:color w:val="auto"/>
          <w:sz w:val="24"/>
          <w:szCs w:val="24"/>
          <w:highlight w:val="none"/>
        </w:rPr>
      </w:pPr>
      <w:r/>
      <w:bookmarkStart w:id="272" w:name="_Toc9800"/>
      <w:r>
        <w:rPr>
          <w:rFonts w:hint="eastAsia" w:ascii="宋体" w:hAnsi="宋体" w:cs="宋体"/>
          <w:color w:val="auto"/>
          <w:sz w:val="24"/>
          <w:szCs w:val="24"/>
          <w:highlight w:val="none"/>
        </w:rPr>
        <w:t xml:space="preserve">3.1管养标准</w:t>
      </w:r>
      <w:bookmarkEnd w:id="272"/>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达到《园林绿化养护标准》（CJJ/T287-2018）、《江苏省城市园林绿化植物养护管理规范》、《江苏省城市园林建筑和设施维护管理规范》和《宿迁市城市园林绿化管养导则》等园林绿化管养相关要求，按《宿迁市城市园林绿化分级管养标准》的一、二、三级管养绿地标准进行养护。</w:t>
      </w:r>
      <w:r/>
    </w:p>
    <w:p>
      <w:pPr>
        <w:pStyle w:val="1162"/>
        <w:ind w:firstLine="480"/>
        <w:spacing w:line="400" w:lineRule="exact"/>
        <w:rPr>
          <w:rFonts w:hint="eastAsia" w:ascii="宋体" w:hAnsi="宋体" w:cs="宋体"/>
          <w:color w:val="auto"/>
          <w:sz w:val="24"/>
          <w:szCs w:val="24"/>
          <w:highlight w:val="none"/>
        </w:rPr>
      </w:pPr>
      <w:r/>
      <w:bookmarkStart w:id="273" w:name="_Toc29954"/>
      <w:r>
        <w:rPr>
          <w:rFonts w:hint="eastAsia" w:ascii="宋体" w:hAnsi="宋体" w:cs="宋体"/>
          <w:color w:val="auto"/>
          <w:sz w:val="24"/>
          <w:szCs w:val="24"/>
          <w:highlight w:val="none"/>
        </w:rPr>
        <w:t xml:space="preserve">3.2保安、保洁等物业管理标准</w:t>
      </w:r>
      <w:bookmarkEnd w:id="273"/>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按照《江苏省城市环境卫生作业服务质量标准》、《江苏省城市园林建筑和设施维护管理规范》要求，对管养范围内绿地、铺装、水面及设施设备等进行日常保洁。</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3.3设计标准</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按照公园设计规范（GB 51192-2016）、城市道路绿化规划与设计规范（CJJ75-97）、《城市居住区规划设计规范》（GB50180-93)等其他现行专业规范、强制性标准、技术规范、规程等要求进行设计。</w:t>
      </w:r>
      <w:bookmarkStart w:id="274" w:name="_Toc14645"/>
      <w:r/>
      <w:r/>
    </w:p>
    <w:p>
      <w:pPr>
        <w:pStyle w:val="1162"/>
        <w:ind w:left="4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3.4消防标准</w:t>
      </w:r>
      <w:bookmarkEnd w:id="274"/>
      <w:r/>
      <w:r/>
    </w:p>
    <w:p>
      <w:pPr>
        <w:pStyle w:val="1162"/>
        <w:ind w:firstLine="480"/>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按照《建筑消防设施的维护管理》（GB25201）等消防技术标准规定的内容、程序、周期等要求，对管养范围内的消防设施开展检查、维修、保养、测试等技术服务。</w:t>
      </w:r>
      <w:r/>
    </w:p>
    <w:p>
      <w:pPr>
        <w:pStyle w:val="1162"/>
        <w:ind w:firstLine="482"/>
        <w:spacing w:line="400" w:lineRule="exact"/>
        <w:rPr>
          <w:rFonts w:hint="eastAsia" w:ascii="宋体" w:hAnsi="宋体" w:cs="宋体"/>
          <w:b/>
          <w:bCs/>
          <w:color w:val="auto"/>
          <w:sz w:val="24"/>
          <w:szCs w:val="24"/>
          <w:highlight w:val="none"/>
        </w:rPr>
      </w:pPr>
      <w:r/>
      <w:bookmarkStart w:id="275" w:name="_Toc28687"/>
      <w:r>
        <w:rPr>
          <w:rFonts w:hint="eastAsia" w:ascii="宋体" w:hAnsi="宋体" w:cs="宋体"/>
          <w:b/>
          <w:bCs/>
          <w:color w:val="auto"/>
          <w:sz w:val="24"/>
          <w:szCs w:val="24"/>
          <w:highlight w:val="none"/>
        </w:rPr>
        <w:t xml:space="preserve">注：本项目执行但不限于以上标准、规范，与本项目相关的国家、省、市的文件、政策等须按最新文件执行。</w:t>
      </w:r>
      <w:bookmarkEnd w:id="275"/>
      <w:r/>
      <w:bookmarkStart w:id="276" w:name="_Toc2387"/>
      <w:r/>
      <w:r/>
    </w:p>
    <w:p>
      <w:pPr>
        <w:pStyle w:val="1162"/>
        <w:ind w:firstLine="482"/>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4.管养片区划分</w:t>
      </w:r>
      <w:r/>
    </w:p>
    <w:p>
      <w:pPr>
        <w:pStyle w:val="1162"/>
        <w:ind w:firstLine="480"/>
        <w:spacing w:line="4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4.1</w:t>
      </w:r>
      <w:r>
        <w:rPr>
          <w:rFonts w:hint="eastAsia" w:ascii="宋体" w:hAnsi="宋体" w:cs="宋体"/>
          <w:color w:val="auto"/>
          <w:sz w:val="24"/>
          <w:szCs w:val="24"/>
          <w:highlight w:val="none"/>
          <w:u w:val="single"/>
        </w:rPr>
        <w:t xml:space="preserve">分为5个片区，原则上牡丹江河绿地及西楚绿廊、中运河（5#-2#桥）、洪泽湖路绿地为3个片区，其余道路绿化、公园绿地分为2个片区(2个片区的管养范围，待中标人进场后交接进一步细分确定)。</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4.2各管养片区的交接由中标人自行进行无缝交接、验收。</w:t>
      </w:r>
      <w:r/>
    </w:p>
    <w:p>
      <w:pPr>
        <w:pStyle w:val="850"/>
        <w:spacing w:line="400" w:lineRule="exact"/>
        <w:rPr>
          <w:rFonts w:hint="eastAsia" w:ascii="宋体" w:hAnsi="宋体" w:cs="宋体"/>
          <w:b/>
          <w:bCs/>
          <w:color w:val="auto"/>
          <w:sz w:val="28"/>
          <w:szCs w:val="28"/>
          <w:highlight w:val="none"/>
        </w:rPr>
        <w:outlineLvl w:val="2"/>
      </w:pPr>
      <w:r/>
      <w:bookmarkStart w:id="277" w:name="_Toc26363"/>
      <w:r/>
      <w:bookmarkStart w:id="278" w:name="_Toc12346"/>
      <w:r/>
      <w:bookmarkStart w:id="279" w:name="_Toc21897"/>
      <w:r/>
      <w:bookmarkStart w:id="280" w:name="_Toc9762"/>
      <w:r/>
      <w:bookmarkStart w:id="281" w:name="_Toc13338"/>
      <w:r/>
      <w:bookmarkStart w:id="282" w:name="_Toc26977"/>
      <w:r/>
      <w:bookmarkStart w:id="283" w:name="_Toc256000055"/>
      <w:r/>
      <w:bookmarkStart w:id="284" w:name="_Toc26595"/>
      <w:r/>
      <w:bookmarkStart w:id="285" w:name="_Toc78817313"/>
      <w:r/>
      <w:bookmarkStart w:id="286" w:name="_Toc7597"/>
      <w:r/>
      <w:bookmarkStart w:id="287" w:name="_Toc256000016"/>
      <w:r/>
      <w:bookmarkStart w:id="288" w:name="_Toc10653"/>
      <w:r/>
      <w:bookmarkStart w:id="289" w:name="_Toc8836"/>
      <w:r/>
      <w:bookmarkStart w:id="290" w:name="_Toc7806"/>
      <w:r>
        <w:rPr>
          <w:rFonts w:hint="eastAsia" w:ascii="宋体" w:hAnsi="宋体" w:cs="宋体"/>
          <w:b/>
          <w:bCs/>
          <w:color w:val="auto"/>
          <w:sz w:val="28"/>
          <w:szCs w:val="28"/>
          <w:highlight w:val="none"/>
        </w:rPr>
        <w:t xml:space="preserve">（二）项目工作内容</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pStyle w:val="850"/>
        <w:ind w:firstLine="562"/>
        <w:spacing w:line="400" w:lineRule="exact"/>
        <w:rPr>
          <w:rFonts w:hint="eastAsia" w:ascii="宋体" w:hAnsi="宋体" w:cs="宋体"/>
          <w:b/>
          <w:bCs/>
          <w:color w:val="auto"/>
          <w:sz w:val="28"/>
          <w:szCs w:val="28"/>
          <w:highlight w:val="none"/>
        </w:rPr>
      </w:pPr>
      <w:r/>
      <w:bookmarkStart w:id="291" w:name="_Toc3015"/>
      <w:r/>
      <w:bookmarkStart w:id="292" w:name="_Toc24215"/>
      <w:r/>
      <w:bookmarkStart w:id="293" w:name="_Toc13037"/>
      <w:r/>
      <w:bookmarkStart w:id="294" w:name="_Toc4328"/>
      <w:r/>
      <w:bookmarkStart w:id="295" w:name="_Toc23406"/>
      <w:r/>
      <w:bookmarkStart w:id="296" w:name="_Toc13125"/>
      <w:r/>
      <w:bookmarkStart w:id="297" w:name="_Toc27251"/>
      <w:r/>
      <w:bookmarkStart w:id="298" w:name="_Toc21637"/>
      <w:r>
        <w:rPr>
          <w:rFonts w:hint="eastAsia" w:ascii="宋体" w:hAnsi="宋体" w:cs="宋体"/>
          <w:b/>
          <w:bCs/>
          <w:color w:val="auto"/>
          <w:sz w:val="28"/>
          <w:szCs w:val="28"/>
          <w:highlight w:val="none"/>
        </w:rPr>
        <w:t xml:space="preserve">本项目工作内容包含以下三个部分：管养工作、设计工作、草花栽植等其它零星工程等工作。</w:t>
      </w:r>
      <w:bookmarkEnd w:id="291"/>
      <w:r/>
      <w:bookmarkEnd w:id="292"/>
      <w:r/>
      <w:bookmarkEnd w:id="293"/>
      <w:r/>
      <w:bookmarkEnd w:id="294"/>
      <w:r/>
      <w:bookmarkEnd w:id="295"/>
      <w:r/>
      <w:bookmarkEnd w:id="296"/>
      <w:r/>
      <w:bookmarkEnd w:id="297"/>
      <w:r/>
      <w:bookmarkEnd w:id="298"/>
      <w:r/>
      <w:r/>
    </w:p>
    <w:p>
      <w:pPr>
        <w:pStyle w:val="850"/>
        <w:ind w:firstLine="562"/>
        <w:spacing w:line="400" w:lineRule="exact"/>
        <w:rPr>
          <w:rFonts w:hint="eastAsia" w:ascii="宋体" w:hAnsi="宋体" w:cs="宋体"/>
          <w:b/>
          <w:bCs/>
          <w:color w:val="auto"/>
          <w:sz w:val="28"/>
          <w:szCs w:val="28"/>
          <w:highlight w:val="none"/>
        </w:rPr>
      </w:pPr>
      <w:r/>
      <w:bookmarkStart w:id="299" w:name="_Toc24834"/>
      <w:r/>
      <w:bookmarkStart w:id="300" w:name="_Toc957"/>
      <w:r/>
      <w:bookmarkStart w:id="301" w:name="_Toc4181"/>
      <w:r/>
      <w:bookmarkStart w:id="302" w:name="_Toc8502"/>
      <w:r/>
      <w:bookmarkStart w:id="303" w:name="_Toc13345"/>
      <w:r/>
      <w:bookmarkStart w:id="304" w:name="_Toc2655"/>
      <w:r/>
      <w:bookmarkStart w:id="305" w:name="_Toc32338"/>
      <w:r/>
      <w:bookmarkStart w:id="306" w:name="_Toc31104"/>
      <w:r>
        <w:rPr>
          <w:rFonts w:hint="eastAsia" w:ascii="宋体" w:hAnsi="宋体" w:cs="宋体"/>
          <w:b/>
          <w:bCs/>
          <w:color w:val="auto"/>
          <w:sz w:val="28"/>
          <w:szCs w:val="28"/>
          <w:highlight w:val="none"/>
        </w:rPr>
        <w:t xml:space="preserve">1、</w:t>
      </w:r>
      <w:bookmarkEnd w:id="299"/>
      <w:r/>
      <w:bookmarkEnd w:id="300"/>
      <w:r/>
      <w:bookmarkEnd w:id="301"/>
      <w:r>
        <w:rPr>
          <w:rFonts w:hint="eastAsia" w:ascii="宋体" w:hAnsi="宋体" w:cs="宋体"/>
          <w:b/>
          <w:bCs/>
          <w:color w:val="auto"/>
          <w:sz w:val="28"/>
          <w:szCs w:val="28"/>
          <w:highlight w:val="none"/>
        </w:rPr>
        <w:t xml:space="preserve">管养工作内容</w:t>
      </w:r>
      <w:bookmarkEnd w:id="302"/>
      <w:r/>
      <w:bookmarkEnd w:id="303"/>
      <w:r/>
      <w:bookmarkEnd w:id="304"/>
      <w:r/>
      <w:bookmarkEnd w:id="305"/>
      <w:r/>
      <w:bookmarkEnd w:id="306"/>
      <w:r/>
      <w:r/>
    </w:p>
    <w:p>
      <w:pPr>
        <w:pStyle w:val="850"/>
        <w:ind w:firstLine="482"/>
        <w:spacing w:line="400" w:lineRule="exact"/>
        <w:rPr>
          <w:rFonts w:hint="eastAsia" w:ascii="宋体" w:hAnsi="宋体" w:cs="宋体"/>
          <w:b/>
          <w:bCs/>
          <w:color w:val="auto"/>
          <w:sz w:val="24"/>
          <w:highlight w:val="none"/>
        </w:rPr>
      </w:pPr>
      <w:r/>
      <w:bookmarkStart w:id="307" w:name="_Toc20705"/>
      <w:r/>
      <w:bookmarkStart w:id="308" w:name="_Toc12323"/>
      <w:r/>
      <w:bookmarkStart w:id="309" w:name="_Toc909"/>
      <w:r/>
      <w:bookmarkStart w:id="310" w:name="_Toc11515"/>
      <w:r/>
      <w:bookmarkStart w:id="311" w:name="_Toc30031"/>
      <w:r/>
      <w:bookmarkStart w:id="312" w:name="_Toc17550"/>
      <w:r/>
      <w:bookmarkStart w:id="313" w:name="_Toc13501"/>
      <w:r/>
      <w:bookmarkStart w:id="314" w:name="_Toc30176"/>
      <w:r/>
      <w:bookmarkStart w:id="315" w:name="_Toc17980"/>
      <w:r>
        <w:rPr>
          <w:rFonts w:hint="eastAsia" w:ascii="宋体" w:hAnsi="宋体" w:cs="宋体"/>
          <w:b/>
          <w:bCs/>
          <w:color w:val="auto"/>
          <w:sz w:val="24"/>
          <w:highlight w:val="none"/>
        </w:rPr>
        <w:t xml:space="preserve">1.1 绿化养护内容</w:t>
      </w:r>
      <w:bookmarkEnd w:id="307"/>
      <w:r/>
      <w:bookmarkEnd w:id="308"/>
      <w:r/>
      <w:bookmarkEnd w:id="309"/>
      <w:r/>
      <w:bookmarkEnd w:id="310"/>
      <w:r/>
      <w:bookmarkEnd w:id="311"/>
      <w:r/>
      <w:bookmarkEnd w:id="312"/>
      <w:r/>
      <w:bookmarkEnd w:id="313"/>
      <w:r/>
      <w:bookmarkEnd w:id="314"/>
      <w:r/>
      <w:bookmarkEnd w:id="315"/>
      <w:r/>
      <w:r/>
    </w:p>
    <w:p>
      <w:pPr>
        <w:pStyle w:val="850"/>
        <w:ind w:firstLine="480"/>
        <w:spacing w:line="400" w:lineRule="exact"/>
        <w:rPr>
          <w:rFonts w:hint="default"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工作内容：修剪、剥芽、病虫害防治、施肥、浇灌、树穴整理、涂白、清枯枝及死膀、扶正支撑、安全防护、环境清理及合同清单约定的其他内容。</w:t>
      </w:r>
      <w:r>
        <w:rPr>
          <w:rFonts w:hint="eastAsia" w:ascii="宋体" w:hAnsi="宋体" w:cs="宋体"/>
          <w:b/>
          <w:bCs/>
          <w:color w:val="auto"/>
          <w:sz w:val="24"/>
          <w:highlight w:val="none"/>
          <w:lang w:val="en-US" w:eastAsia="zh-CN"/>
        </w:rPr>
        <w:t xml:space="preserve">制定绿化管养服务工作方案，甲方确定后，按方案实施。</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1.1.1绿地内黄土露天整改工作，包括人行踩踏处理、退化植被更新等，林下耐荫地被植物更新栽植等。</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1.1.2管养期内苗木死亡补植、原有苗木疏理移植、服务范围内土方微调等。</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1.1.3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同时需向甲方提供完善的复壮方案，及弱树复壮图文记录台账，保证复壮效果。</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1.1.4管养期内，做好抗旱、抗台、抗涝工作，旱季及时进行浇灌，防止植物因脱水造成枯死，台汛期间做好加固、排涝抢险工作，防止植物受损。</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具体工作要求及技术标准，详见《宿迁市城市绿地分级管养标准》和《宿迁市城市园林绿化管养导则》。</w:t>
      </w:r>
      <w:bookmarkStart w:id="316" w:name="_Toc23728"/>
      <w:r/>
      <w:bookmarkStart w:id="317" w:name="_Toc29355"/>
      <w:r/>
      <w:bookmarkStart w:id="318" w:name="_Toc21709"/>
      <w:r/>
      <w:bookmarkStart w:id="319" w:name="_Toc24827"/>
      <w:r/>
      <w:bookmarkStart w:id="320" w:name="_Toc2458"/>
      <w:r/>
      <w:bookmarkStart w:id="321" w:name="_Toc18485"/>
      <w:r/>
      <w:bookmarkStart w:id="322" w:name="_Toc1004"/>
      <w:r/>
      <w:bookmarkStart w:id="323" w:name="_Toc2635"/>
      <w:r/>
      <w:bookmarkStart w:id="324" w:name="_Toc4978"/>
      <w:r/>
      <w:r/>
    </w:p>
    <w:p>
      <w:pPr>
        <w:pStyle w:val="850"/>
        <w:ind w:firstLine="482"/>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1.2 水体维护内容</w:t>
      </w:r>
      <w:bookmarkEnd w:id="316"/>
      <w:r/>
      <w:bookmarkEnd w:id="317"/>
      <w:r/>
      <w:bookmarkEnd w:id="318"/>
      <w:r/>
      <w:bookmarkEnd w:id="319"/>
      <w:r/>
      <w:bookmarkEnd w:id="320"/>
      <w:r/>
      <w:bookmarkEnd w:id="321"/>
      <w:r/>
      <w:bookmarkEnd w:id="322"/>
      <w:r/>
      <w:bookmarkEnd w:id="323"/>
      <w:r/>
      <w:bookmarkEnd w:id="324"/>
      <w:r/>
      <w:r/>
    </w:p>
    <w:p>
      <w:pPr>
        <w:pStyle w:val="1163"/>
        <w:ind w:firstLine="48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1.2.1水体保洁、水生杂草的收割和清理</w:t>
      </w:r>
      <w:bookmarkStart w:id="325" w:name="_Toc29748"/>
      <w:r/>
      <w:bookmarkStart w:id="326" w:name="_Toc5274"/>
      <w:r/>
      <w:bookmarkStart w:id="327" w:name="_Toc7940"/>
      <w:r/>
      <w:bookmarkStart w:id="328" w:name="_Toc2500"/>
      <w:r/>
      <w:bookmarkStart w:id="329" w:name="_Toc5343"/>
      <w:r/>
      <w:bookmarkStart w:id="330" w:name="_Toc20855"/>
      <w:r/>
      <w:bookmarkStart w:id="331" w:name="_Toc4446"/>
      <w:r/>
      <w:bookmarkStart w:id="332" w:name="_Toc9803"/>
      <w:r/>
      <w:bookmarkStart w:id="333" w:name="_Toc30008"/>
      <w:r>
        <w:rPr>
          <w:rFonts w:hint="eastAsia" w:ascii="宋体" w:hAnsi="宋体" w:eastAsia="宋体" w:cs="宋体"/>
          <w:color w:val="auto"/>
          <w:highlight w:val="none"/>
        </w:rPr>
        <w:t xml:space="preserve">、水系内鹅卵石等清洗等。</w:t>
      </w:r>
      <w:r/>
    </w:p>
    <w:p>
      <w:pPr>
        <w:pStyle w:val="1163"/>
        <w:ind w:firstLine="482"/>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1.3 保安服务内容</w:t>
      </w:r>
      <w:bookmarkEnd w:id="325"/>
      <w:r>
        <w:rPr>
          <w:rFonts w:hint="eastAsia" w:ascii="宋体" w:hAnsi="宋体" w:eastAsia="宋体" w:cs="宋体"/>
          <w:b/>
          <w:bCs/>
          <w:color w:val="auto"/>
          <w:highlight w:val="none"/>
        </w:rPr>
        <w:t xml:space="preserve">（仅限一级管养绿地）</w:t>
      </w:r>
      <w:bookmarkEnd w:id="326"/>
      <w:r/>
      <w:bookmarkEnd w:id="327"/>
      <w:r/>
      <w:bookmarkEnd w:id="328"/>
      <w:r/>
      <w:bookmarkEnd w:id="329"/>
      <w:r/>
      <w:bookmarkEnd w:id="330"/>
      <w:r/>
      <w:bookmarkEnd w:id="331"/>
      <w:r/>
      <w:bookmarkEnd w:id="332"/>
      <w:r/>
      <w:bookmarkEnd w:id="333"/>
      <w:r/>
      <w:r/>
    </w:p>
    <w:p>
      <w:pPr>
        <w:pStyle w:val="1163"/>
        <w:ind w:firstLine="482"/>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1.3.1服务内容</w:t>
      </w:r>
      <w:r/>
    </w:p>
    <w:p>
      <w:pPr>
        <w:pStyle w:val="1163"/>
        <w:ind w:firstLine="793"/>
        <w:spacing w:line="400" w:lineRule="exac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制定保安服务工作方案，甲方确定后，按方案实施。</w:t>
      </w:r>
      <w:r/>
    </w:p>
    <w:p>
      <w:pPr>
        <w:pStyle w:val="1163"/>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巡逻服务：不文明行为管理；秩序维护；安全文明垂钓管理；活动监管；公共设施使用监管；节约用水、用电监管；外来施工按要求监管施工过程；绿化苗木防踩踏、防偷盗、防攀折、防破坏管理；水面安全管理；绿化水泵使用管理等；执行《宿迁市市区养犬管理》、规劝游客不文明行为；公园非法摊点管理；庭院灯、坐凳、健身器材等公共设施使用监管，杜绝人为破坏；禁止区域内任何取水排水及在公园内浣洗等破坏水体水质行为。</w:t>
      </w:r>
      <w:r/>
    </w:p>
    <w:p>
      <w:pPr>
        <w:pStyle w:val="1163"/>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（2）门卫服务：各类车辆出入及危险物品进入公园控制；公园各类公有物品进出控制；负责对各出入口车辆停放进行管理和规范。</w:t>
      </w:r>
      <w:r/>
    </w:p>
    <w:p>
      <w:pPr>
        <w:pStyle w:val="1163"/>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守护服务：水电、设施设备的日常维护管理；亮化设施、各类消防、监控等系统的维护和控制；办公用房安全、水面安全、公园设施设备安全、办公用房安全、水电安全隐患等管理；保管车辆、船只，并持证驾驶。</w:t>
      </w:r>
      <w:r/>
    </w:p>
    <w:p>
      <w:pPr>
        <w:pStyle w:val="1163"/>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（4）安全服务：维持公园内秩序；公园内游客游园、设施设备运行安全管理。</w:t>
      </w:r>
      <w:r/>
    </w:p>
    <w:p>
      <w:pPr>
        <w:pStyle w:val="1163"/>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（5）技术防范服务：辅助配合设施设备问题排查、简单维修；公园内的各类紧急情况的控制和处理；节假日及大型活动期间公园安全保障；自行车停车位划线更新；协助处置发生在公园内的紧急突发事件。</w:t>
      </w:r>
      <w:r/>
    </w:p>
    <w:p>
      <w:pPr>
        <w:pStyle w:val="1163"/>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（6）其他服务：采购人安排的其它相关工作。</w:t>
      </w:r>
      <w:bookmarkStart w:id="334" w:name="_Toc4020"/>
      <w:r/>
      <w:bookmarkStart w:id="335" w:name="_Toc12687"/>
      <w:r/>
      <w:r/>
    </w:p>
    <w:p>
      <w:pPr>
        <w:pStyle w:val="1163"/>
        <w:ind w:firstLine="482"/>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1.3.2工作要求</w:t>
      </w:r>
      <w:bookmarkEnd w:id="334"/>
      <w:r/>
      <w:bookmarkEnd w:id="335"/>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（1）保安严格按照交接班制度交接，下一班提前15分钟到岗位上实地交接，做好交接记录，使下一班人员清楚了解上一班工作中发生的各类重要情况。</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（2）保安在岗巡逻状态：精神振作、仪表整洁、言谈举止文明，在各自岗位区域动态巡逻时不得在岗位上蹲坐，夜间巡更工作不得在室内睡觉、长期逗留、聊天、抽烟、吃零食，发现任何问题及时上报。</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保安人员巡逻中应清楚掌握岗位内标识标牌地点、种类、数量等情况，每日每岗全面检查公园标识标牌界面是否坏损、是否严重褪色不清晰、是否有锈蚀现象、是否倒伏、是否坏损、是否丢失等情况，并自觉对倒伏标牌进行扶正，及时开展能力范围内的小修补，坏损、不清晰等情况及时上报采购人更新。</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4）经常性开展各类突发事件应急演练，确保在应对溺水、火灾、游客不服从管理、人员突发疾病昏厥、停电、停水、洪涝、大雪、雷雨、地震等情况时反应灵敏，每月初开展演练一次，且要将上述突发事件一年内全部组织演练一次，并对演练情况及时总结，对演练薄弱环节组织专家培训且一年不低于两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5）保安人员应自觉爱护公园花草树木、引导游人按公园已设置的道路行走，劝阻踩踏绿地行为，并对游客爬树、采摘花果、攀枝花木、偷盗植物、破坏植物等行为及时制止；对于公园绿化苗木有看护义务，对于苗木偷盗行为及时发现和制止，否则中标人须按照苗木当期市场综合单价进行赔偿，或按苗木原品种规格采购后有偿请公园绿化管养单位栽植到位。</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（6）保安人员自觉主动做好公园车辆有序、统一、分类停放管理，对未经批准设置的摊点清理工作，如被采购人发现保安人员收取摊贩好处而敷衍开展摊点清理工作，中标人应立刻辞退相关人员。</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（7）保安人员应积极主动配合公园维修工作，自觉主动做好力所能及的维修工作，不得凡事报给采购人就算了事，更要无条件接受采购人安排的配合检修、排查等工作，不得借口不会、不懂、或是抱怨、敷衍。</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（8）保安人员应在保证自身安全的情况下，对公园内人员落水第一时间采取措施展开救援。</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（9）保安人员应切实做好每班每岗的巡查工作，及时发现安全隐患、设施坏损等情况，及时上报采购人图片、记录等情况</w:t>
      </w:r>
      <w:bookmarkStart w:id="336" w:name="_Toc15573"/>
      <w:r/>
      <w:bookmarkStart w:id="337" w:name="_Toc16433"/>
      <w:r/>
      <w:bookmarkStart w:id="338" w:name="_Toc8908"/>
      <w:r/>
      <w:bookmarkStart w:id="339" w:name="_Toc27984"/>
      <w:r/>
      <w:bookmarkStart w:id="340" w:name="_Toc14467"/>
      <w:r/>
      <w:bookmarkStart w:id="341" w:name="_Toc20978"/>
      <w:r/>
      <w:bookmarkStart w:id="342" w:name="_Toc27375"/>
      <w:r/>
      <w:bookmarkStart w:id="343" w:name="_Toc23982"/>
      <w:r/>
      <w:bookmarkStart w:id="344" w:name="_Toc13593"/>
      <w:r>
        <w:rPr>
          <w:rFonts w:hint="eastAsia" w:ascii="宋体" w:hAnsi="宋体" w:cs="宋体"/>
          <w:color w:val="auto"/>
          <w:sz w:val="24"/>
          <w:highlight w:val="none"/>
        </w:rPr>
        <w:t xml:space="preserve">；保安人员应自觉开展恶劣天气后公园全面检查工作，统计公园损坏及设施情况，于恶劣天气过后30分钟内上报采购人统计清单及相关照片。</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10）保安人员只能允许有采购人事先通知允许的外来施工入园作业，且应及时发现并制止未经甲方允许的外来施工作业，如出现外来施工及时发现、及时制止且上报采购人的；外来施工作业过程中，保安人员也应主动关注岗位内施工情况，对施工造成的公园绿地、设施、管线等破坏情况及时上报采购人，由采购人要求施工单位按原貌及原标准恢复，保安人员还要自觉监督恢复过程，并将恢复情况及时上报采购人。</w:t>
      </w:r>
      <w:r/>
    </w:p>
    <w:p>
      <w:pPr>
        <w:pStyle w:val="850"/>
        <w:ind w:left="42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 保洁服务内容</w:t>
      </w:r>
      <w:bookmarkEnd w:id="336"/>
      <w:r/>
      <w:bookmarkEnd w:id="337"/>
      <w:r/>
      <w:bookmarkEnd w:id="338"/>
      <w:r/>
      <w:bookmarkEnd w:id="339"/>
      <w:r/>
      <w:bookmarkEnd w:id="340"/>
      <w:r/>
      <w:bookmarkEnd w:id="341"/>
      <w:r/>
      <w:bookmarkEnd w:id="342"/>
      <w:r/>
      <w:bookmarkEnd w:id="343"/>
      <w:r/>
      <w:bookmarkEnd w:id="344"/>
      <w:r/>
      <w:bookmarkStart w:id="345" w:name="_Toc26186"/>
      <w:r/>
      <w:bookmarkStart w:id="346" w:name="_Toc17697"/>
      <w:r/>
      <w:bookmarkStart w:id="347" w:name="_Toc27993"/>
      <w:r/>
      <w:bookmarkStart w:id="348" w:name="_Toc28582"/>
      <w:r/>
      <w:bookmarkStart w:id="349" w:name="_Toc30497"/>
      <w:r/>
      <w:bookmarkStart w:id="350" w:name="_Toc6596"/>
      <w:r/>
      <w:bookmarkStart w:id="351" w:name="_Toc6200"/>
      <w:r/>
      <w:bookmarkStart w:id="352" w:name="_Toc5959"/>
      <w:r/>
      <w:bookmarkStart w:id="353" w:name="_Toc2408"/>
      <w:r/>
      <w:bookmarkStart w:id="354" w:name="_Toc9239"/>
      <w:r/>
      <w:bookmarkStart w:id="355" w:name="_Toc9090"/>
      <w:r/>
      <w:r/>
    </w:p>
    <w:p>
      <w:pPr>
        <w:pStyle w:val="850"/>
        <w:ind w:left="42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1.4.1服务内容</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（1）公园内所有场地的植（地）被干净整洁无生活垃圾、无明显的枯枝（叶）堆积、空旷绿地无明显垃圾，日常垃圾及时清理；</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（2）水面上无聚集性恶性水生植物（如蓝藻、水草等）、水闸、桥墩边无裸露垃圾及漂浮物、河坡、岸脚、台阶无垃圾、杂物、杂草；</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（3）公园设施设备、车辆船只保洁；</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（4）办公楼、管理用房等建筑物内涉及到的所有保洁（窗帘、纱窗每年需整体清洗1次）；</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（5）日常公园室外广场道路、体育场地、停车场等卫生保洁；</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（6）公园铺装、道路、栏杆、亮化灯具、桌凳等设施设备保洁；</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（7）公厕卫生保洁、化粪池清理（按需清理）；</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（8）除四害活动、所有节假日及大型活动期间公园保洁等采购人安排的公园其它相关保洁任务，打捞和保洁后的垃圾、杂物当天及时清运。</w:t>
      </w:r>
      <w:bookmarkEnd w:id="345"/>
      <w:r/>
      <w:bookmarkEnd w:id="346"/>
      <w:r/>
      <w:bookmarkEnd w:id="347"/>
      <w:r/>
      <w:bookmarkEnd w:id="348"/>
      <w:r/>
      <w:bookmarkEnd w:id="349"/>
      <w:r/>
      <w:bookmarkEnd w:id="350"/>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公园鹅卵石清理：本项目管理范围内的水系内鹅卵石等清洗，中标人根据采购人要求，把有污渍、污垢的鹅卵石，清洗至鹅卵石无积尘、现本色、洁净、无污渍、污垢等，具体清洗标准符合采购人要求(不限次数)。清洗设备费及人工费等相关费用包含在投标报价中,各投标人自行考虑,投标报价不予调整。</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（10）其他道路绿地、单位庭院绿地和公园绿地的保洁服务内容和要求详见《宿迁市城市绿地分级管养标准》。</w:t>
      </w:r>
      <w:bookmarkEnd w:id="351"/>
      <w:r/>
      <w:bookmarkEnd w:id="352"/>
      <w:r/>
      <w:bookmarkEnd w:id="353"/>
      <w:r/>
      <w:bookmarkEnd w:id="354"/>
      <w:r/>
      <w:bookmarkEnd w:id="355"/>
      <w:r/>
      <w:bookmarkStart w:id="356" w:name="_Toc27413"/>
      <w:r/>
      <w:bookmarkStart w:id="357" w:name="_Toc26617"/>
      <w:r/>
      <w:bookmarkStart w:id="358" w:name="_Toc21345"/>
      <w:r/>
      <w:bookmarkStart w:id="359" w:name="_Toc5468"/>
      <w:r/>
      <w:bookmarkStart w:id="360" w:name="_Toc21245"/>
      <w:r/>
      <w:bookmarkStart w:id="361" w:name="_Toc3285"/>
      <w:r/>
      <w:r/>
    </w:p>
    <w:p>
      <w:pPr>
        <w:pStyle w:val="850"/>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1.4.2工作要求</w:t>
      </w:r>
      <w:bookmarkEnd w:id="356"/>
      <w:r/>
      <w:bookmarkEnd w:id="357"/>
      <w:r/>
      <w:bookmarkEnd w:id="358"/>
      <w:r/>
      <w:bookmarkEnd w:id="359"/>
      <w:r/>
      <w:bookmarkEnd w:id="360"/>
      <w:r/>
      <w:bookmarkEnd w:id="361"/>
      <w:r/>
      <w:bookmarkStart w:id="362" w:name="_Toc5155"/>
      <w:r/>
      <w:bookmarkStart w:id="363" w:name="_Toc6689"/>
      <w:r/>
      <w:bookmarkStart w:id="364" w:name="_Toc18762"/>
      <w:r/>
      <w:bookmarkStart w:id="365" w:name="_Toc8242"/>
      <w:r/>
      <w:bookmarkStart w:id="366" w:name="_Toc11274"/>
      <w:r/>
      <w:bookmarkStart w:id="367" w:name="_Toc11965"/>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（1）中标人应按采购人要求统筹安排公园保洁数量及工作，公园要求24小时清洁卫生，不得出现卫生保洁空缺时间，具体清洁卫生标准按照采购人现场负责人要求执行</w:t>
      </w:r>
      <w:bookmarkEnd w:id="362"/>
      <w:r/>
      <w:bookmarkEnd w:id="363"/>
      <w:r/>
      <w:bookmarkEnd w:id="364"/>
      <w:r/>
      <w:bookmarkEnd w:id="365"/>
      <w:r/>
      <w:bookmarkEnd w:id="366"/>
      <w:r/>
      <w:bookmarkEnd w:id="367"/>
      <w:r>
        <w:rPr>
          <w:rFonts w:hint="eastAsia" w:ascii="宋体" w:hAnsi="宋体" w:cs="宋体"/>
          <w:color w:val="auto"/>
          <w:sz w:val="24"/>
          <w:highlight w:val="none"/>
        </w:rPr>
        <w:t xml:space="preserve">。</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（2）公园重大活动、接待等期间，中标人保洁人员要按照采购人规定的时间上下班并在规定时间内完成相应的保洁内容及保洁质量。</w:t>
      </w:r>
      <w:bookmarkStart w:id="368" w:name="_Toc17910"/>
      <w:r/>
      <w:bookmarkStart w:id="369" w:name="_Toc28161"/>
      <w:r/>
      <w:bookmarkStart w:id="370" w:name="_Toc2232"/>
      <w:r/>
      <w:bookmarkStart w:id="371" w:name="_Toc19163"/>
      <w:r/>
      <w:bookmarkStart w:id="372" w:name="_Toc14988"/>
      <w:r/>
      <w:bookmarkStart w:id="373" w:name="_Toc23937"/>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（3）中标人应按采购人现场负责人要求为各岗保洁人员制作足够数量的专门用于落叶的收纳袋子，由岗位上保洁自行将清扫的落叶装入袋内方便收运。</w:t>
      </w:r>
      <w:bookmarkEnd w:id="368"/>
      <w:r/>
      <w:bookmarkEnd w:id="369"/>
      <w:r/>
      <w:bookmarkEnd w:id="370"/>
      <w:r/>
      <w:bookmarkEnd w:id="371"/>
      <w:r/>
      <w:bookmarkEnd w:id="372"/>
      <w:r/>
      <w:bookmarkEnd w:id="373"/>
      <w:r/>
      <w:bookmarkStart w:id="374" w:name="_Toc17882"/>
      <w:r/>
      <w:bookmarkStart w:id="375" w:name="_Toc13932"/>
      <w:r/>
      <w:bookmarkStart w:id="376" w:name="_Toc22078"/>
      <w:r/>
      <w:bookmarkStart w:id="377" w:name="_Toc4129"/>
      <w:r/>
      <w:bookmarkStart w:id="378" w:name="_Toc8586"/>
      <w:r/>
      <w:bookmarkStart w:id="379" w:name="_Toc19903"/>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（4）中标人应确保公园垃圾临时中转站处垃圾每日下午6点前清运出公园。</w:t>
      </w:r>
      <w:bookmarkEnd w:id="374"/>
      <w:r/>
      <w:bookmarkEnd w:id="375"/>
      <w:r/>
      <w:bookmarkEnd w:id="376"/>
      <w:r/>
      <w:bookmarkEnd w:id="377"/>
      <w:r/>
      <w:bookmarkEnd w:id="378"/>
      <w:r/>
      <w:bookmarkEnd w:id="379"/>
      <w:r/>
      <w:bookmarkStart w:id="380" w:name="_Toc27621"/>
      <w:r/>
      <w:bookmarkStart w:id="381" w:name="_Toc2464"/>
      <w:r/>
      <w:bookmarkStart w:id="382" w:name="_Toc2640"/>
      <w:r/>
      <w:bookmarkStart w:id="383" w:name="_Toc12392"/>
      <w:r/>
      <w:bookmarkStart w:id="384" w:name="_Toc13850"/>
      <w:r/>
      <w:bookmarkStart w:id="385" w:name="_Toc18552"/>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（5）及时开展消杀工作，夏季等蚊、蝇孳生季节每周消杀1次；夏秋季节每月灭鼠1次，操作人员做好安全作业措施，确保对市民游客不存在安全隐患。</w:t>
      </w:r>
      <w:bookmarkEnd w:id="380"/>
      <w:r/>
      <w:bookmarkEnd w:id="381"/>
      <w:r/>
      <w:bookmarkEnd w:id="382"/>
      <w:r/>
      <w:bookmarkEnd w:id="383"/>
      <w:r/>
      <w:bookmarkEnd w:id="384"/>
      <w:r/>
      <w:bookmarkEnd w:id="385"/>
      <w:r/>
      <w:bookmarkStart w:id="386" w:name="_Toc16871"/>
      <w:r/>
      <w:bookmarkStart w:id="387" w:name="_Toc27271"/>
      <w:r/>
      <w:bookmarkStart w:id="388" w:name="_Toc21148"/>
      <w:r/>
      <w:bookmarkStart w:id="389" w:name="_Toc17743"/>
      <w:r/>
      <w:bookmarkStart w:id="390" w:name="_Toc26701"/>
      <w:r/>
      <w:bookmarkStart w:id="391" w:name="_Toc28365"/>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（6）及时修剪清除公园非嵌草铺装内杂草（公园地面铺装缝隙内、大小卵石缝隙内等）</w:t>
      </w:r>
      <w:bookmarkEnd w:id="386"/>
      <w:r/>
      <w:bookmarkEnd w:id="387"/>
      <w:r/>
      <w:bookmarkEnd w:id="388"/>
      <w:r/>
      <w:bookmarkEnd w:id="389"/>
      <w:r/>
      <w:bookmarkEnd w:id="390"/>
      <w:r/>
      <w:bookmarkEnd w:id="391"/>
      <w:r>
        <w:rPr>
          <w:rFonts w:hint="eastAsia" w:ascii="宋体" w:hAnsi="宋体" w:cs="宋体"/>
          <w:color w:val="auto"/>
          <w:sz w:val="24"/>
          <w:highlight w:val="none"/>
        </w:rPr>
        <w:t xml:space="preserve">；</w:t>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绿化带和行道树冲洗：采用专业冲洗设备，对绿篱、草坪、地被、树冠、叶片上的灰尘进行冲洗，冲洗作业按照“从高到低、上叶下杆、先树后带”的顺序，先空中、后地面组织冲洗，冲洗作业过程中应注意避开行人、车辆，并及时清理地面落叶和污渍，确保路面整洁。主次道路绿化带和行道树冲洗必须达到“三无一见”标准，即：树叶树杆无灰尘、树底地面无落叶、道路路面无积水、树叶树杆见本色。</w:t>
      </w:r>
      <w:bookmarkStart w:id="392" w:name="_Toc23209"/>
      <w:r/>
      <w:bookmarkStart w:id="393" w:name="_Toc2480"/>
      <w:r/>
      <w:bookmarkStart w:id="394" w:name="_Toc10083"/>
      <w:r/>
      <w:bookmarkStart w:id="395" w:name="_Toc5724"/>
      <w:r/>
      <w:bookmarkStart w:id="396" w:name="_Toc10313"/>
      <w:r/>
      <w:bookmarkStart w:id="397" w:name="_Toc9455"/>
      <w:r/>
      <w:bookmarkStart w:id="398" w:name="_Toc18420"/>
      <w:r/>
      <w:bookmarkStart w:id="399" w:name="_Toc31754"/>
      <w:r/>
      <w:bookmarkStart w:id="400" w:name="_Toc8436"/>
      <w:r/>
      <w:r/>
    </w:p>
    <w:p>
      <w:pPr>
        <w:pStyle w:val="850"/>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3月至11月份，中标人应统筹安排人员力量，及时、高效做好公园水面保洁，确保水面干净整洁，无成片浮萍等有害水草，确保水体通透性，水面保洁产生的白色垃圾、有害水草、荷叶等不得堆放在公园绿地上，否则造成绿地苗木破坏、草坪捂死等情况的，中标人无偿恢复。</w:t>
      </w:r>
      <w:r/>
    </w:p>
    <w:p>
      <w:pPr>
        <w:pStyle w:val="850"/>
        <w:ind w:firstLine="482"/>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 设施维保服务内容</w:t>
      </w:r>
      <w:bookmarkEnd w:id="392"/>
      <w:r/>
      <w:bookmarkEnd w:id="393"/>
      <w:r/>
      <w:bookmarkEnd w:id="394"/>
      <w:r/>
      <w:bookmarkEnd w:id="395"/>
      <w:r/>
      <w:bookmarkEnd w:id="396"/>
      <w:r/>
      <w:bookmarkEnd w:id="397"/>
      <w:r/>
      <w:bookmarkEnd w:id="398"/>
      <w:r/>
      <w:bookmarkEnd w:id="399"/>
      <w:r/>
      <w:bookmarkEnd w:id="400"/>
      <w:r>
        <w:rPr>
          <w:rFonts w:hint="eastAsia" w:ascii="宋体" w:hAnsi="宋体" w:cs="宋体"/>
          <w:b/>
          <w:bCs/>
          <w:color w:val="auto"/>
          <w:sz w:val="24"/>
          <w:highlight w:val="none"/>
        </w:rPr>
        <w:t xml:space="preserve">及</w:t>
      </w:r>
      <w:r>
        <w:rPr>
          <w:rFonts w:hint="eastAsia" w:ascii="宋体" w:hAnsi="宋体" w:cs="宋体"/>
          <w:b/>
          <w:color w:val="auto"/>
          <w:sz w:val="24"/>
          <w:szCs w:val="24"/>
          <w:highlight w:val="none"/>
        </w:rPr>
        <w:t xml:space="preserve">所有耗材</w:t>
      </w:r>
      <w:r/>
    </w:p>
    <w:p>
      <w:pPr>
        <w:pStyle w:val="1162"/>
        <w:ind w:firstLine="482"/>
        <w:spacing w:line="4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1.5.1 </w:t>
      </w:r>
      <w:r>
        <w:rPr>
          <w:rFonts w:hint="eastAsia" w:ascii="宋体" w:hAnsi="宋体" w:cs="宋体"/>
          <w:color w:val="auto"/>
          <w:sz w:val="24"/>
          <w:szCs w:val="24"/>
          <w:highlight w:val="none"/>
        </w:rPr>
        <w:t xml:space="preserve">公园厕所设施维修保养、防冻管理</w:t>
      </w:r>
      <w:r/>
    </w:p>
    <w:p>
      <w:pPr>
        <w:pStyle w:val="1162"/>
        <w:ind w:firstLine="480"/>
        <w:spacing w:line="400" w:lineRule="exac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园区内所有洁具、水电设施、照明设施及相关附属设施日常保养、维修、材料更换等；耗材投入使用之前须经采购人现场负责人验收合格后，方可使用。</w:t>
      </w:r>
      <w:r/>
    </w:p>
    <w:p>
      <w:pPr>
        <w:pStyle w:val="1162"/>
        <w:ind w:firstLine="482"/>
        <w:spacing w:line="4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1.5.2</w:t>
      </w:r>
      <w:r>
        <w:rPr>
          <w:rFonts w:hint="eastAsia" w:ascii="宋体" w:hAnsi="宋体" w:cs="宋体"/>
          <w:color w:val="auto"/>
          <w:sz w:val="24"/>
          <w:szCs w:val="24"/>
          <w:highlight w:val="none"/>
        </w:rPr>
        <w:t xml:space="preserve"> 一、二、三级标准管养绿地的公园和单位庭院开放绿地内的设施维护工作，主要为现场及后期移交的相关园林景观建筑和景观设施（含标牌、垃圾桶、座椅、廊架、花架花箱、雕塑小品等）的保护、保洁和维修、刷漆出新、绿地内硬质铺装的维护维修保洁等，详见《宿迁市城市园林绿化分级管养标准》。</w:t>
      </w:r>
      <w:r>
        <w:rPr>
          <w:rFonts w:hint="eastAsia" w:ascii="宋体" w:hAnsi="宋体" w:cs="宋体"/>
          <w:b/>
          <w:color w:val="auto"/>
          <w:sz w:val="24"/>
          <w:szCs w:val="24"/>
          <w:highlight w:val="none"/>
        </w:rPr>
        <w:t xml:space="preserve">另绿地内各种材质的花盆花架，易风化材质的破损更换等，由中标人承担，所需费用综合考虑在管养费内，不另外支付。</w:t>
      </w:r>
      <w:r/>
    </w:p>
    <w:p>
      <w:pPr>
        <w:pStyle w:val="1162"/>
        <w:ind w:firstLine="482"/>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1.5.3 公园片区其他设施维保</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4"/>
          <w:highlight w:val="none"/>
        </w:rPr>
        <w:t xml:space="preserve">公园亮化、监控、音响及其他强电系统维修保养；</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宋体"/>
          <w:color w:val="auto"/>
          <w:sz w:val="24"/>
          <w:szCs w:val="24"/>
          <w:highlight w:val="none"/>
        </w:rPr>
        <w:t xml:space="preserve">公园车辆、船只维修保养（如故障排除、电瓶更换、坏损维修零件更换等）；</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（3）</w:t>
      </w:r>
      <w:r>
        <w:rPr>
          <w:rFonts w:hint="eastAsia" w:ascii="宋体" w:hAnsi="宋体" w:cs="宋体"/>
          <w:color w:val="auto"/>
          <w:sz w:val="24"/>
          <w:szCs w:val="24"/>
          <w:highlight w:val="none"/>
        </w:rPr>
        <w:t xml:space="preserve">给排水管网维修保养：</w:t>
      </w:r>
      <w:r/>
    </w:p>
    <w:p>
      <w:pPr>
        <w:pStyle w:val="1162"/>
        <w:ind w:firstLine="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①消火系统的日常维修保养及检测，含消火栓箱柜、消火栓阀门、水带、接口水枪的坏损更新；</w:t>
      </w:r>
      <w:r/>
    </w:p>
    <w:p>
      <w:pPr>
        <w:pStyle w:val="1162"/>
        <w:ind w:firstLine="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②绿化浇灌系统日常维修保养；</w:t>
      </w:r>
      <w:r/>
    </w:p>
    <w:p>
      <w:pPr>
        <w:pStyle w:val="1162"/>
        <w:ind w:firstLine="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③自来水供水管路日常维修保养；</w:t>
      </w:r>
      <w:r/>
    </w:p>
    <w:p>
      <w:pPr>
        <w:pStyle w:val="1162"/>
        <w:ind w:firstLine="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④雨、污水管网疏通及破损维修（每年至少一次整体疏通，疏通工作所有费用由中标人承担）；</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景观喷泉、跌水、推流泵等日常维修保养及水池清理，主要内容为中运河、水景公园、洪泽湖路、西楚大道等地块喷泉、跌水和音乐喷泉，水景设施设备等日常维修保养及水域清理；</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（5）</w:t>
      </w:r>
      <w:r>
        <w:rPr>
          <w:rFonts w:hint="eastAsia" w:ascii="宋体" w:hAnsi="宋体" w:cs="宋体"/>
          <w:color w:val="auto"/>
          <w:sz w:val="24"/>
          <w:szCs w:val="24"/>
          <w:highlight w:val="none"/>
        </w:rPr>
        <w:t xml:space="preserve">木质结构和塑木结构的维修、保养、制作及油漆,景观亭、廊架、座椅、桥梁、栈道等木质/石材结构维修更换；</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（6）</w:t>
      </w:r>
      <w:r>
        <w:rPr>
          <w:rFonts w:hint="eastAsia" w:ascii="宋体" w:hAnsi="宋体" w:cs="宋体"/>
          <w:color w:val="auto"/>
          <w:sz w:val="24"/>
          <w:szCs w:val="24"/>
          <w:highlight w:val="none"/>
        </w:rPr>
        <w:t xml:space="preserve">金属器材维修、保养、安装、制作及油漆；</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（7）</w:t>
      </w:r>
      <w:r>
        <w:rPr>
          <w:rFonts w:hint="eastAsia" w:ascii="宋体" w:hAnsi="宋体" w:cs="宋体"/>
          <w:color w:val="auto"/>
          <w:sz w:val="24"/>
          <w:szCs w:val="24"/>
          <w:highlight w:val="none"/>
        </w:rPr>
        <w:t xml:space="preserve">广场道路等市政设施铺贴、修补；</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（8）</w:t>
      </w:r>
      <w:r>
        <w:rPr>
          <w:rFonts w:hint="eastAsia" w:ascii="宋体" w:hAnsi="宋体" w:cs="宋体"/>
          <w:color w:val="auto"/>
          <w:sz w:val="24"/>
          <w:szCs w:val="24"/>
          <w:highlight w:val="none"/>
        </w:rPr>
        <w:t xml:space="preserve">垃圾桶、标牌等配套设施安装、移位、维修、保养等；</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公园体育场地、体育设施日常维修保养：球场草皮粘贴、围网加固修补更换、足球网更换、篮球网更换、材料焊接等；</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（10）</w:t>
      </w:r>
      <w:r>
        <w:rPr>
          <w:rFonts w:hint="eastAsia" w:ascii="宋体" w:hAnsi="宋体" w:cs="宋体"/>
          <w:color w:val="auto"/>
          <w:sz w:val="24"/>
          <w:szCs w:val="24"/>
          <w:highlight w:val="none"/>
        </w:rPr>
        <w:t xml:space="preserve">公园其它原有及新增设施设备（直饮水机等）日常巡查、维修与保养；</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需要配合采购人开展的公园其它维修保养工作。</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注：所有配套设施设备中，因中标人使用不当或管理不善造成人为损坏的，其材料及维修费用由中标人承担。</w:t>
      </w:r>
      <w:r/>
    </w:p>
    <w:p>
      <w:pPr>
        <w:pStyle w:val="1162"/>
        <w:ind w:firstLine="482"/>
        <w:spacing w:line="400" w:lineRule="exact"/>
        <w:rPr>
          <w:rFonts w:hint="eastAsia" w:ascii="宋体" w:hAnsi="宋体" w:cs="宋体"/>
          <w:b/>
          <w:bCs/>
          <w:color w:val="auto"/>
          <w:sz w:val="24"/>
          <w:szCs w:val="24"/>
          <w:highlight w:val="none"/>
        </w:rPr>
      </w:pPr>
      <w:r/>
      <w:bookmarkStart w:id="401" w:name="_Toc23592"/>
      <w:r/>
      <w:bookmarkStart w:id="402" w:name="_Toc1376"/>
      <w:r/>
      <w:bookmarkStart w:id="403" w:name="_Toc17203"/>
      <w:r/>
      <w:bookmarkStart w:id="404" w:name="_Toc20618"/>
      <w:r/>
      <w:bookmarkStart w:id="405" w:name="_Toc28746"/>
      <w:r/>
      <w:bookmarkStart w:id="406" w:name="_Toc6721"/>
      <w:r/>
      <w:bookmarkStart w:id="407" w:name="_Toc31907"/>
      <w:r/>
      <w:bookmarkStart w:id="408" w:name="_Toc20531"/>
      <w:r>
        <w:rPr>
          <w:rFonts w:hint="eastAsia" w:ascii="宋体" w:hAnsi="宋体" w:cs="宋体"/>
          <w:b/>
          <w:bCs/>
          <w:color w:val="auto"/>
          <w:sz w:val="24"/>
          <w:szCs w:val="24"/>
          <w:highlight w:val="none"/>
        </w:rPr>
        <w:t xml:space="preserve">2、设计工作内容</w:t>
      </w:r>
      <w:bookmarkEnd w:id="401"/>
      <w:r/>
      <w:bookmarkEnd w:id="402"/>
      <w:r/>
      <w:bookmarkEnd w:id="403"/>
      <w:r/>
      <w:bookmarkEnd w:id="404"/>
      <w:r/>
      <w:bookmarkEnd w:id="405"/>
      <w:r/>
      <w:bookmarkEnd w:id="406"/>
      <w:r/>
      <w:bookmarkEnd w:id="407"/>
      <w:r/>
      <w:bookmarkEnd w:id="408"/>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工作背景：在城区管养范围内，包含但不限于以上范围的宿豫区城区绿地区域管养服务过程中，对于管养绿地比如公园、重要景观道路等存在的通过管养本身难以解决的问题，从设计层面提出解决问题的方案，优化局部景观，开展全管养区域的节点景观提升，全面提升城市核心区景观效果；</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2.2改造地点：投标人对管养范围内部分景观节点提升改造设计，编制图文并茂的专项方案设计文本，进行提升改造设计景观地点如下：</w: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657225</wp:posOffset>
                </wp:positionH>
                <wp:positionV relativeFrom="paragraph">
                  <wp:posOffset>23495</wp:posOffset>
                </wp:positionV>
                <wp:extent cx="4105910" cy="21844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4105910" cy="218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51.8pt;mso-position-horizontal:absolute;mso-position-vertical-relative:text;margin-top:1.8pt;mso-position-vertical:absolute;width:323.3pt;height:172.0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地点1：黄山路初中东侧地块口袋公园</w: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793750</wp:posOffset>
                </wp:positionH>
                <wp:positionV relativeFrom="paragraph">
                  <wp:posOffset>31115</wp:posOffset>
                </wp:positionV>
                <wp:extent cx="4148455" cy="192786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4148455" cy="192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62.5pt;mso-position-horizontal:absolute;mso-position-vertical-relative:text;margin-top:2.4pt;mso-position-vertical:absolute;width:326.6pt;height:151.8pt;mso-wrap-distance-left:9.0pt;mso-wrap-distance-top:0.0pt;mso-wrap-distance-right:9.0pt;mso-wrap-distance-bottom:0.0pt;" wrapcoords="99963 -8 0 0 0 100000 99963 100009 37 100009 100000 100000 100000 0 37 -8 99963 -8" stroked="f">
                <v:path textboxrect="0,0,0,0"/>
                <w10:wrap type="tight"/>
                <v:imagedata r:id="rId17" o:title=""/>
              </v:shape>
            </w:pict>
          </mc:Fallback>
        </mc:AlternateConten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地点2：金色威尼斯北侧地块景观提升</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721995</wp:posOffset>
                </wp:positionH>
                <wp:positionV relativeFrom="paragraph">
                  <wp:posOffset>8255</wp:posOffset>
                </wp:positionV>
                <wp:extent cx="4206875" cy="22174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4206875" cy="2217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56.8pt;mso-position-horizontal:absolute;mso-position-vertical-relative:text;margin-top:0.7pt;mso-position-vertical:absolute;width:331.2pt;height:174.6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地点3：锦绣江南南侧地块景观提升</w: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750570</wp:posOffset>
                </wp:positionH>
                <wp:positionV relativeFrom="paragraph">
                  <wp:posOffset>66675</wp:posOffset>
                </wp:positionV>
                <wp:extent cx="4182110" cy="2630805"/>
                <wp:effectExtent l="0" t="0" r="0" b="0"/>
                <wp:wrapNone/>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4182110" cy="2630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59.1pt;mso-position-horizontal:absolute;mso-position-vertical-relative:text;margin-top:5.2pt;mso-position-vertical:absolute;width:329.3pt;height:207.1pt;mso-wrap-distance-left:9.0pt;mso-wrap-distance-top:0.0pt;mso-wrap-distance-right:9.0pt;mso-wrap-distance-bottom:0.0pt;" stroked="f">
                <v:path textboxrect="0,0,0,0"/>
                <v:imagedata r:id="rId19" o:title=""/>
              </v:shape>
            </w:pict>
          </mc:Fallback>
        </mc:AlternateConten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地点4：长江路侧分带立体绿化（五台山路至燕山路）</w:t>
      </w:r>
      <w:r/>
    </w:p>
    <w:p>
      <w:pPr>
        <w:pStyle w:val="1162"/>
        <w:ind w:firstLine="480"/>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62"/>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管养范围内提升改造设计内容及要求：（1）设计组织方案（2）设计要点（3）设计配合与承诺（4）设计效果（包括现场情况的详细说明、照片及设计后的效果图）（5）方案须图文并茂，表现形式丰富，内容详细、完整（6）施工图纸须落实方案设计，切实可行，有效指导施工作业。</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2.4设计周期：接到甲方通知之日起15日历天内提交优化的方案设计文件，方案设计通过主管部门审批后20日历天内提交经招标人认可的初步设计成果及概算，初步设计及概算通过审批后20日历天内提交施工图设计。</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2.5质量标准：符合前文设计标准，并通过相关部门的审批。</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2.6设计内容：本次招标养护范围内的公园、重要景观道路等内容的改造提升设计（改造提升工作不在本次招标范围内）</w:t>
      </w:r>
      <w:r>
        <w:rPr>
          <w:rFonts w:hint="eastAsia" w:ascii="宋体" w:hAnsi="宋体" w:cs="宋体"/>
          <w:color w:val="auto"/>
          <w:sz w:val="24"/>
          <w:highlight w:val="none"/>
        </w:rPr>
        <w:t xml:space="preserve">，部分重点绿地的管养质量提升方案设计</w:t>
      </w:r>
      <w:r>
        <w:rPr>
          <w:rFonts w:hint="eastAsia" w:ascii="宋体" w:hAnsi="宋体" w:cs="宋体"/>
          <w:color w:val="auto"/>
          <w:sz w:val="24"/>
          <w:szCs w:val="24"/>
          <w:highlight w:val="none"/>
        </w:rPr>
        <w:t xml:space="preserve">；</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2.7设计成果主要内容：</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2.7.1景观提升改造设计文本内容：（1）现场情况调查的说明和照片；（2）景观提升改造设计方案和效果图；（3）施工图纸（实际实施过程中提供）。</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2.8设计成果格式：PDF、JPG、DWG等；</w:t>
      </w:r>
      <w:r/>
    </w:p>
    <w:p>
      <w:pPr>
        <w:pStyle w:val="1162"/>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2.9后续服务：协助发包人组织方案设计、施工图设计文件的上报评审等。积极开展设计技术交底、解决施工中设计技术问题、与施工单位做好对接，做好绿地管养交接和施工作业面交接工作。</w:t>
      </w:r>
      <w:bookmarkStart w:id="409" w:name="_Toc9901"/>
      <w:r/>
      <w:bookmarkStart w:id="410" w:name="_Toc14784"/>
      <w:r/>
      <w:bookmarkStart w:id="411" w:name="_Toc31363"/>
      <w:r/>
      <w:bookmarkStart w:id="412" w:name="_Toc19639"/>
      <w:r/>
      <w:bookmarkStart w:id="413" w:name="_Toc13205"/>
      <w:r/>
      <w:bookmarkStart w:id="414" w:name="_Toc28121"/>
      <w:r/>
      <w:bookmarkStart w:id="415" w:name="_Toc14813"/>
      <w:r/>
      <w:bookmarkStart w:id="416" w:name="_Toc21630"/>
      <w:r/>
      <w:bookmarkStart w:id="417" w:name="_Toc17961"/>
      <w:r/>
      <w:r/>
    </w:p>
    <w:p>
      <w:pPr>
        <w:pStyle w:val="1162"/>
        <w:ind w:firstLine="482"/>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3、草花栽植等其它工作内容</w:t>
      </w:r>
      <w:bookmarkEnd w:id="409"/>
      <w:r/>
      <w:bookmarkEnd w:id="410"/>
      <w:r/>
      <w:bookmarkEnd w:id="411"/>
      <w:r/>
      <w:bookmarkEnd w:id="412"/>
      <w:r/>
      <w:bookmarkEnd w:id="413"/>
      <w:r/>
      <w:bookmarkEnd w:id="414"/>
      <w:r/>
      <w:bookmarkEnd w:id="415"/>
      <w:r/>
      <w:bookmarkEnd w:id="416"/>
      <w:r/>
      <w:bookmarkStart w:id="418" w:name="_Toc19849"/>
      <w:r/>
      <w:bookmarkStart w:id="419" w:name="_Toc22533"/>
      <w:r/>
      <w:bookmarkStart w:id="420" w:name="_Toc8687"/>
      <w:r/>
      <w:bookmarkStart w:id="421" w:name="_Toc14002"/>
      <w:r/>
      <w:bookmarkStart w:id="422" w:name="_Toc5658"/>
      <w:r/>
      <w:bookmarkStart w:id="423" w:name="_Toc17645"/>
      <w:r/>
      <w:bookmarkStart w:id="424" w:name="_Toc9312"/>
      <w:r/>
      <w:bookmarkStart w:id="425" w:name="_Toc19360"/>
      <w:r/>
      <w:r/>
    </w:p>
    <w:p>
      <w:pPr>
        <w:pStyle w:val="1162"/>
        <w:ind w:firstLine="482"/>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3.1草花栽植和其它零星工程</w:t>
      </w:r>
      <w:bookmarkEnd w:id="417"/>
      <w:r/>
      <w:bookmarkEnd w:id="418"/>
      <w:r/>
      <w:bookmarkEnd w:id="419"/>
      <w:r/>
      <w:bookmarkEnd w:id="420"/>
      <w:r/>
      <w:bookmarkEnd w:id="421"/>
      <w:r/>
      <w:bookmarkEnd w:id="422"/>
      <w:r/>
      <w:bookmarkEnd w:id="423"/>
      <w:r/>
      <w:bookmarkEnd w:id="424"/>
      <w:r/>
      <w:bookmarkEnd w:id="425"/>
      <w:r/>
      <w:r/>
    </w:p>
    <w:p>
      <w:pPr>
        <w:pStyle w:val="116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3.1.1草花栽植：为保证四季观赏效果，需定期更换各管养区域范围内的时令草花（含花箱、花境、景观节点等）的供苗和栽植等工作，草花应采用株型饱满、色彩鲜艳的品种。每次草花更换栽植前，拟栽植的品种、规格、图案和造型先进行设计，设计方案需报采购人现场负责人同意后方可实施。</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3.1.2树穴美化和绿化带护栏：部分行道树树穴安装盖板、安装绿化带护栏零星工程。</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3.1.3管养范围内部分绿地重大节日（春节、元旦、五一、国庆、中秋节等）氛围营造。</w:t>
      </w:r>
      <w:r/>
    </w:p>
    <w:p>
      <w:pPr>
        <w:pStyle w:val="850"/>
        <w:ind w:firstLine="482"/>
        <w:rPr>
          <w:rFonts w:hint="eastAsia" w:ascii="宋体" w:hAnsi="宋体" w:cs="宋体"/>
          <w:b/>
          <w:bCs/>
          <w:color w:val="auto"/>
          <w:sz w:val="24"/>
          <w:highlight w:val="none"/>
        </w:rPr>
      </w:pPr>
      <w:r>
        <w:rPr>
          <w:rFonts w:hint="eastAsia" w:ascii="宋体" w:hAnsi="宋体" w:cs="宋体"/>
          <w:b/>
          <w:bCs/>
          <w:color w:val="auto"/>
          <w:sz w:val="24"/>
          <w:highlight w:val="none"/>
        </w:rPr>
        <w:t xml:space="preserve">注：以上三项单独报价，按实结算，具体内容详见明细报价表。</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3.1.4绿地管养质量提升工作：开花植物补植（牡丹、芍药、绣球等），绿篱补植（八角金盘、桃珊瑚等），林下耐荫地被植物更新栽植（麦冬、兰花三七、花叶蔓、常春藤等）等补植工作，草坪秋季黑麦草复播(进口蓝标草籽）工作。</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3.1.5草坪退化地块的草坪铺植等其他零星工作。</w:t>
      </w:r>
      <w:r/>
    </w:p>
    <w:p>
      <w:pPr>
        <w:pStyle w:val="1164"/>
        <w:ind w:firstLine="482"/>
        <w:spacing w:line="400" w:lineRule="exact"/>
        <w:shd w:val="clear" w:color="auto" w:fill="ffffff"/>
        <w:rPr>
          <w:rFonts w:hint="eastAsia" w:ascii="宋体" w:hAnsi="宋体" w:cs="宋体"/>
          <w:b/>
          <w:color w:val="auto"/>
          <w:sz w:val="24"/>
          <w:highlight w:val="none"/>
        </w:rPr>
      </w:pPr>
      <w:r>
        <w:rPr>
          <w:rFonts w:hint="eastAsia" w:ascii="宋体" w:hAnsi="宋体" w:cs="宋体"/>
          <w:b/>
          <w:color w:val="auto"/>
          <w:sz w:val="24"/>
          <w:highlight w:val="none"/>
        </w:rPr>
        <w:t xml:space="preserve">3.1.4-3.1.5项工作量详见清单，供投标人报价参考，所需费用由投标人综合考虑在管养费总价内，不再另外结算。</w:t>
      </w:r>
      <w:r/>
    </w:p>
    <w:p>
      <w:pPr>
        <w:pStyle w:val="1162"/>
        <w:ind w:firstLine="482"/>
        <w:spacing w:line="400" w:lineRule="exact"/>
        <w:rPr>
          <w:rFonts w:hint="eastAsia" w:ascii="宋体" w:hAnsi="宋体" w:cs="宋体"/>
          <w:b/>
          <w:bCs/>
          <w:color w:val="auto"/>
          <w:sz w:val="24"/>
          <w:highlight w:val="none"/>
        </w:rPr>
      </w:pPr>
      <w:r/>
      <w:bookmarkStart w:id="426" w:name="_Toc18806"/>
      <w:r>
        <w:rPr>
          <w:rFonts w:hint="eastAsia" w:ascii="宋体" w:hAnsi="宋体" w:cs="宋体"/>
          <w:b/>
          <w:bCs/>
          <w:color w:val="auto"/>
          <w:sz w:val="24"/>
          <w:highlight w:val="none"/>
        </w:rPr>
        <w:t xml:space="preserve">3.2技术支持和咨询服务</w:t>
      </w:r>
      <w:r/>
    </w:p>
    <w:p>
      <w:pPr>
        <w:pStyle w:val="116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3.2.1组建专家团队，在管养期内提供咨询服务；</w:t>
      </w:r>
      <w:r/>
    </w:p>
    <w:p>
      <w:pPr>
        <w:pStyle w:val="116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3.2.2针对本项目管养范围内存在的树势衰弱、病虫害、景观水体富营养化等疑难问题进行现场会诊，提供较好的解决方案；</w:t>
      </w:r>
      <w:r/>
    </w:p>
    <w:p>
      <w:pPr>
        <w:pStyle w:val="116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3.2.3利用企业自身的研究专利、技术工法等技术成果为本项目服务，解决项目现场存在的技术难题，在专利使用过程中，不得侵害第三人权利，如发生专利等技术成果的权利纠纷，由投标人自行承担责任。</w:t>
      </w:r>
      <w:r/>
    </w:p>
    <w:p>
      <w:pPr>
        <w:pStyle w:val="116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3.2.4管养期内，按照采购人要求，3年内须完成2个科研课题选题和研究工作</w:t>
      </w:r>
      <w:bookmarkStart w:id="427" w:name="_Hlk171759341"/>
      <w:r>
        <w:rPr>
          <w:rFonts w:hint="eastAsia" w:ascii="宋体" w:hAnsi="宋体" w:cs="宋体"/>
          <w:color w:val="auto"/>
          <w:sz w:val="24"/>
          <w:highlight w:val="none"/>
        </w:rPr>
        <w:t xml:space="preserve">，完成并发表</w:t>
      </w:r>
      <w:bookmarkEnd w:id="427"/>
      <w:r>
        <w:rPr>
          <w:rFonts w:hint="eastAsia" w:ascii="宋体" w:hAnsi="宋体" w:cs="宋体"/>
          <w:color w:val="auto"/>
          <w:sz w:val="24"/>
          <w:highlight w:val="none"/>
        </w:rPr>
        <w:t xml:space="preserve">；</w:t>
      </w:r>
      <w:r/>
    </w:p>
    <w:p>
      <w:pPr>
        <w:pStyle w:val="1162"/>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3.2.5管养期内，需对城区范围内管养质量进行提升。</w:t>
      </w:r>
      <w:r/>
    </w:p>
    <w:p>
      <w:pPr>
        <w:pStyle w:val="1162"/>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3.2.6管养期内，须协助采购人培养不少于1名花境师，相关费用包含在报价内。</w:t>
      </w:r>
      <w:r/>
    </w:p>
    <w:p>
      <w:pPr>
        <w:pStyle w:val="1162"/>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注：专家团队的技术支持、咨询服务，科研课题研究、管养质量提升等相关费用综合包含在报价内，不另外计费。</w:t>
      </w:r>
      <w:bookmarkEnd w:id="426"/>
      <w:r/>
      <w:r/>
    </w:p>
    <w:p>
      <w:pPr>
        <w:pStyle w:val="1164"/>
        <w:ind w:firstLine="482"/>
        <w:spacing w:line="400" w:lineRule="exact"/>
        <w:shd w:val="clear" w:color="auto" w:fill="ffffff"/>
        <w:rPr>
          <w:rFonts w:hint="eastAsia" w:ascii="宋体" w:hAnsi="宋体" w:cs="宋体"/>
          <w:b/>
          <w:bCs/>
          <w:color w:val="auto"/>
          <w:sz w:val="24"/>
          <w:highlight w:val="none"/>
        </w:rPr>
      </w:pPr>
      <w:r/>
      <w:bookmarkStart w:id="428" w:name="_Toc23759"/>
      <w:r>
        <w:rPr>
          <w:rFonts w:hint="eastAsia" w:ascii="宋体" w:hAnsi="宋体" w:cs="宋体"/>
          <w:b/>
          <w:bCs/>
          <w:color w:val="auto"/>
          <w:sz w:val="24"/>
          <w:highlight w:val="none"/>
        </w:rPr>
        <w:t xml:space="preserve">3.3应急抢险工作</w:t>
      </w:r>
      <w:bookmarkEnd w:id="428"/>
      <w:r/>
      <w:r/>
    </w:p>
    <w:p>
      <w:pPr>
        <w:pStyle w:val="1164"/>
        <w:ind w:firstLine="480"/>
        <w:spacing w:line="400" w:lineRule="exact"/>
        <w:shd w:val="clear" w:color="auto" w:fill="ffffff"/>
        <w:rPr>
          <w:rFonts w:hint="eastAsia" w:ascii="宋体" w:hAnsi="宋体" w:cs="宋体"/>
          <w:color w:val="auto"/>
          <w:sz w:val="24"/>
          <w:highlight w:val="none"/>
        </w:rPr>
      </w:pPr>
      <w:r/>
      <w:bookmarkStart w:id="429" w:name="_Toc22056"/>
      <w:r>
        <w:rPr>
          <w:rFonts w:hint="eastAsia" w:ascii="宋体" w:hAnsi="宋体" w:cs="宋体"/>
          <w:color w:val="auto"/>
          <w:sz w:val="24"/>
          <w:highlight w:val="none"/>
        </w:rPr>
        <w:t xml:space="preserve">3.3.1准备工作：中标人按要求做好管养地块的应急抢险演练等各项工作。中标人针对本项目建立完善的抗灾抢险应急预案机制，成立抗灾抢险应急专项工作小组，通过微信、QQ等方式建立通讯工作网络，落实抢险队伍，添置必需的抗灾抢险机械设备、材料工具等，做到即时响应，全面做好抗灾抢险各项应急保障工作</w:t>
      </w:r>
      <w:bookmarkEnd w:id="429"/>
      <w:r>
        <w:rPr>
          <w:rFonts w:hint="eastAsia" w:ascii="宋体" w:hAnsi="宋体" w:cs="宋体"/>
          <w:color w:val="auto"/>
          <w:sz w:val="24"/>
          <w:highlight w:val="none"/>
        </w:rPr>
        <w:t xml:space="preserve">；</w:t>
      </w:r>
      <w:r/>
    </w:p>
    <w:p>
      <w:pPr>
        <w:pStyle w:val="1164"/>
        <w:ind w:firstLine="480"/>
        <w:spacing w:line="400" w:lineRule="exact"/>
        <w:shd w:val="clear" w:color="auto" w:fill="ffffff"/>
        <w:rPr>
          <w:rFonts w:hint="eastAsia" w:ascii="宋体" w:hAnsi="宋体" w:cs="宋体"/>
          <w:color w:val="auto"/>
          <w:sz w:val="24"/>
          <w:highlight w:val="none"/>
        </w:rPr>
      </w:pPr>
      <w:r/>
      <w:bookmarkStart w:id="430" w:name="_Toc10529"/>
      <w:r>
        <w:rPr>
          <w:rFonts w:hint="eastAsia" w:ascii="宋体" w:hAnsi="宋体" w:cs="宋体"/>
          <w:color w:val="auto"/>
          <w:sz w:val="24"/>
          <w:highlight w:val="none"/>
        </w:rPr>
        <w:t xml:space="preserve">3.3.2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24小时内处理完毕。除不可抗力因素外，因中标人抢险不力造成的一切后果和法律责任均由中标人承担</w:t>
      </w:r>
      <w:bookmarkEnd w:id="430"/>
      <w:r>
        <w:rPr>
          <w:rFonts w:hint="eastAsia" w:ascii="宋体" w:hAnsi="宋体" w:cs="宋体"/>
          <w:color w:val="auto"/>
          <w:sz w:val="24"/>
          <w:highlight w:val="none"/>
        </w:rPr>
        <w:t xml:space="preserve">；</w:t>
      </w:r>
      <w:r/>
    </w:p>
    <w:p>
      <w:pPr>
        <w:pStyle w:val="1164"/>
        <w:ind w:firstLine="480"/>
        <w:spacing w:line="400" w:lineRule="exact"/>
        <w:shd w:val="clear" w:color="auto" w:fill="ffffff"/>
        <w:rPr>
          <w:rFonts w:hint="eastAsia" w:ascii="宋体" w:hAnsi="宋体" w:cs="宋体"/>
          <w:color w:val="auto"/>
          <w:sz w:val="24"/>
          <w:highlight w:val="none"/>
        </w:rPr>
      </w:pPr>
      <w:r/>
      <w:bookmarkStart w:id="431" w:name="_Toc21530"/>
      <w:r>
        <w:rPr>
          <w:rFonts w:hint="eastAsia" w:ascii="宋体" w:hAnsi="宋体" w:cs="宋体"/>
          <w:color w:val="auto"/>
          <w:sz w:val="24"/>
          <w:highlight w:val="none"/>
        </w:rPr>
        <w:t xml:space="preserve">3.3.3抗灾抢险善后工作：中标人应加强灾后巡查保障工作，避免出现二次危害或次生灾害，同时要对每次抗灾抢险工作进行认真总结，形成专项报告上报采购人。</w:t>
      </w:r>
      <w:bookmarkEnd w:id="431"/>
      <w:r/>
      <w:bookmarkStart w:id="432" w:name="_Toc9363"/>
      <w:r/>
      <w:bookmarkStart w:id="433" w:name="_Toc4431"/>
      <w:r/>
      <w:bookmarkStart w:id="434" w:name="_Toc6127"/>
      <w:r/>
      <w:bookmarkStart w:id="435" w:name="_Toc8838"/>
      <w:r/>
      <w:bookmarkStart w:id="436" w:name="_Toc11109"/>
      <w:r/>
      <w:bookmarkStart w:id="437" w:name="_Toc32013"/>
      <w:r/>
      <w:bookmarkStart w:id="438" w:name="_Toc14412"/>
      <w:r/>
      <w:bookmarkStart w:id="439" w:name="_Toc21465"/>
      <w:r/>
      <w:bookmarkStart w:id="440" w:name="_Toc1082"/>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3.4其它工作内容</w:t>
      </w:r>
      <w:bookmarkEnd w:id="432"/>
      <w:r/>
      <w:bookmarkEnd w:id="433"/>
      <w:r/>
      <w:bookmarkEnd w:id="434"/>
      <w:r/>
      <w:bookmarkEnd w:id="435"/>
      <w:r/>
      <w:bookmarkEnd w:id="436"/>
      <w:r/>
      <w:bookmarkEnd w:id="437"/>
      <w:r/>
      <w:bookmarkEnd w:id="438"/>
      <w:r>
        <w:rPr>
          <w:rFonts w:hint="eastAsia" w:ascii="宋体" w:hAnsi="宋体" w:cs="宋体"/>
          <w:b/>
          <w:bCs/>
          <w:color w:val="auto"/>
          <w:sz w:val="24"/>
          <w:highlight w:val="none"/>
        </w:rPr>
        <w:t xml:space="preserve">及要求</w:t>
      </w:r>
      <w:bookmarkEnd w:id="439"/>
      <w:r/>
      <w:bookmarkEnd w:id="440"/>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3.4.1安排1名或1名以上工作人员专职负责宿豫区城区绿地数字城管工单的接收、分配、处理和回复，涉及本项目所有工作内容的各类信访、投诉、举报的处理和整改，确保在办理时限内处理、回复到位；</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3.4.2宿豫区城区绿地内所有数字城管工单、市民投诉、举报的现场实地处理、整改、完善和反馈；</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3.4.3中标人应建立完整的管理台帐，并由每个片区专人负责。台帐资料记录详细，分类清楚，数据详实；</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3.4.4项目总负责人及片区负责人须具备基本的公文写作能力及办公软件操作能力，根据采购人要求做好养护相关材料的编写上报工作，按时记录月度养护计划及养护作业任务，档案齐全；</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3.4.5服从采购人工作调遣，按时完成管养工作内容核查、苗木及设施设备数量调查和统计、信息汇总等业主临时交办的与本项目相关工作任务；及时高效处理应急抢险工作及其他各项交办事项；</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3.4.6管养期内，按照采购人要求，做好本服务范围内涉及行政审批绿化移植和恢复等工作；</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3.4.7园林绿化垃圾处理，由中标人自行处理，鼓励对垃圾进行资源化处理，粉碎、消毒后作为树穴覆料，或堆制腐熟后作为有机肥改良土壤，处理场地、设备、人员由中标单位自行解决，所需费用综合考虑在投标报价内，不另外计费；</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3.4.8合同期内，中标人在城区安排专门肥料存放地点及采购计划和使用档案，肥料采购及使用执行出库、入库管理制度，出入库在采购人监管下进行，每次施肥工作结束后7日内，中标应将本次施肥相关档案资料及时上报采购人；</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3.4.9合同期内，做好防汛、防风、抗旱、防寒等抗灾期间的各类养护工作；</w:t>
      </w:r>
      <w:r/>
    </w:p>
    <w:p>
      <w:pPr>
        <w:pStyle w:val="1164"/>
        <w:ind w:firstLine="480"/>
        <w:spacing w:line="400" w:lineRule="exact"/>
        <w:shd w:val="clear" w:color="auto" w:fill="ffffff"/>
        <w:rPr>
          <w:rFonts w:hint="eastAsia" w:ascii="宋体" w:hAnsi="宋体" w:cs="宋体"/>
          <w:color w:val="auto"/>
          <w:sz w:val="24"/>
          <w:highlight w:val="none"/>
        </w:rPr>
      </w:pPr>
      <w:r/>
      <w:bookmarkStart w:id="441" w:name="_Toc2862"/>
      <w:r>
        <w:rPr>
          <w:rFonts w:hint="eastAsia" w:ascii="宋体" w:hAnsi="宋体" w:cs="宋体"/>
          <w:color w:val="auto"/>
          <w:sz w:val="24"/>
          <w:highlight w:val="none"/>
        </w:rPr>
        <w:t xml:space="preserve">3.4.10管养范围内的所有设施，在日常巡查中，对螺丝松动、脱落，标识标牌表面破损、破旧等情况要主动及时采取相关安全防护工作并无偿予以维修或更换，保证设施的可使用性，整洁性和安全性。</w:t>
      </w:r>
      <w:bookmarkEnd w:id="441"/>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3.4.11合同期内中标人用电、用水、垃圾处理、人工、物耗等一切事项和支出由中标人自理。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3.4.12一、二、三级绿地内安装的自来水表（其自来水供管养作业使用），浇灌系统的维护、管理及水费由中标人自行承担；</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3.4.13树木喷打药物应做好现场安全防护和指挥，避开市民上下班高峰时间，选择安全环保符合相关用药规定的农药，文明实施，避免影响市民日常生活。</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3.4.14洒水除尘时应避开市民上下班高峰时间，做到文明洒水，防止溅洒行人。</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3.4.15病虫害防治药品、鼠害药品的购买、储存须遵守安全生产规定，有专人管理，随领随用，谨防丢失，防止误食，施用地点有警示提醒牌，防止造成安全事故。</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3.4.16由于中标人在操作过程中安全防护不当导致养护工人或游人发生安全事故，一切经济与法律责任由中标人承担，与采购人无关。</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3.4.17中标人要做好法定节假日期间正常管养工作。</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3.4.18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栽植的用仿真草坪覆盖。需使用仿真草坪、防尘网时应充足供应，其费用综合考虑在管养费内，不单独报价。</w:t>
      </w:r>
      <w:r/>
    </w:p>
    <w:p>
      <w:pPr>
        <w:pStyle w:val="850"/>
        <w:spacing w:line="400" w:lineRule="exact"/>
        <w:rPr>
          <w:rFonts w:hint="eastAsia" w:ascii="宋体" w:hAnsi="宋体" w:cs="宋体"/>
          <w:b/>
          <w:bCs/>
          <w:color w:val="auto"/>
          <w:sz w:val="28"/>
          <w:szCs w:val="28"/>
          <w:highlight w:val="none"/>
        </w:rPr>
        <w:outlineLvl w:val="2"/>
      </w:pPr>
      <w:r/>
      <w:bookmarkStart w:id="442" w:name="_Toc19411"/>
      <w:r/>
      <w:bookmarkStart w:id="443" w:name="_Toc256000056"/>
      <w:r/>
      <w:bookmarkStart w:id="444" w:name="_Toc16942"/>
      <w:r/>
      <w:bookmarkStart w:id="445" w:name="_Toc15848"/>
      <w:r/>
      <w:bookmarkStart w:id="446" w:name="_Toc2108"/>
      <w:r/>
      <w:bookmarkStart w:id="447" w:name="_Toc18694"/>
      <w:r/>
      <w:bookmarkStart w:id="448" w:name="_Toc23288"/>
      <w:r/>
      <w:bookmarkStart w:id="449" w:name="_Toc26112"/>
      <w:r/>
      <w:bookmarkStart w:id="450" w:name="_Toc256000017"/>
      <w:r/>
      <w:bookmarkStart w:id="451" w:name="_Toc3847"/>
      <w:r/>
      <w:bookmarkStart w:id="452" w:name="_Toc15510"/>
      <w:r/>
      <w:bookmarkStart w:id="453" w:name="_Toc24563"/>
      <w:r/>
      <w:bookmarkStart w:id="454" w:name="_Toc20936"/>
      <w:r/>
      <w:bookmarkStart w:id="455" w:name="_Toc78817314"/>
      <w:r/>
      <w:bookmarkStart w:id="456" w:name="_Toc4145"/>
      <w:r>
        <w:rPr>
          <w:rFonts w:hint="eastAsia" w:ascii="宋体" w:hAnsi="宋体" w:cs="宋体"/>
          <w:b/>
          <w:bCs/>
          <w:color w:val="auto"/>
          <w:sz w:val="28"/>
          <w:szCs w:val="28"/>
          <w:highlight w:val="none"/>
        </w:rPr>
        <w:t xml:space="preserve">（三）项目人员素质、设备车辆配备</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pStyle w:val="850"/>
        <w:ind w:firstLine="482"/>
        <w:spacing w:line="400" w:lineRule="exact"/>
        <w:rPr>
          <w:rFonts w:hint="eastAsia" w:ascii="宋体" w:hAnsi="宋体" w:cs="宋体"/>
          <w:b/>
          <w:bCs/>
          <w:color w:val="auto"/>
          <w:sz w:val="24"/>
          <w:highlight w:val="none"/>
        </w:rPr>
      </w:pPr>
      <w:r/>
      <w:bookmarkStart w:id="457" w:name="_Toc7853"/>
      <w:r/>
      <w:bookmarkStart w:id="458" w:name="_Toc863"/>
      <w:r/>
      <w:bookmarkStart w:id="459" w:name="_Toc18865"/>
      <w:r/>
      <w:bookmarkStart w:id="460" w:name="_Toc32766"/>
      <w:r/>
      <w:bookmarkStart w:id="461" w:name="_Toc24407"/>
      <w:r/>
      <w:bookmarkStart w:id="462" w:name="_Toc22617"/>
      <w:r/>
      <w:bookmarkStart w:id="463" w:name="_Toc23602"/>
      <w:r/>
      <w:bookmarkStart w:id="464" w:name="_Toc21497"/>
      <w:r/>
      <w:bookmarkStart w:id="465" w:name="_Toc16216"/>
      <w:r>
        <w:rPr>
          <w:rFonts w:hint="eastAsia" w:ascii="宋体" w:hAnsi="宋体" w:cs="宋体"/>
          <w:b/>
          <w:bCs/>
          <w:color w:val="auto"/>
          <w:sz w:val="24"/>
          <w:highlight w:val="none"/>
        </w:rPr>
        <w:t xml:space="preserve">1、项目人员素质</w:t>
      </w:r>
      <w:bookmarkEnd w:id="457"/>
      <w:r/>
      <w:bookmarkEnd w:id="458"/>
      <w:r/>
      <w:bookmarkEnd w:id="459"/>
      <w:r/>
      <w:bookmarkEnd w:id="460"/>
      <w:r/>
      <w:bookmarkEnd w:id="461"/>
      <w:r/>
      <w:bookmarkEnd w:id="462"/>
      <w:r/>
      <w:bookmarkEnd w:id="463"/>
      <w:r/>
      <w:bookmarkEnd w:id="464"/>
      <w:r/>
      <w:bookmarkEnd w:id="465"/>
      <w:r/>
      <w:r/>
    </w:p>
    <w:p>
      <w:pPr>
        <w:pStyle w:val="850"/>
        <w:ind w:firstLine="482"/>
        <w:spacing w:line="400" w:lineRule="exact"/>
        <w:rPr>
          <w:rFonts w:hint="eastAsia" w:ascii="宋体" w:hAnsi="宋体" w:cs="宋体"/>
          <w:b/>
          <w:bCs/>
          <w:color w:val="auto"/>
          <w:sz w:val="24"/>
          <w:highlight w:val="none"/>
        </w:rPr>
      </w:pPr>
      <w:r/>
      <w:bookmarkStart w:id="466" w:name="_Toc17777"/>
      <w:r/>
      <w:bookmarkStart w:id="467" w:name="_Toc24643"/>
      <w:r/>
      <w:bookmarkStart w:id="468" w:name="_Toc5158"/>
      <w:r/>
      <w:bookmarkStart w:id="469" w:name="_Toc11088"/>
      <w:r/>
      <w:bookmarkStart w:id="470" w:name="_Toc6339"/>
      <w:r/>
      <w:bookmarkStart w:id="471" w:name="_Toc11300"/>
      <w:r/>
      <w:bookmarkStart w:id="472" w:name="_Toc16931"/>
      <w:r/>
      <w:bookmarkStart w:id="473" w:name="_Toc26276"/>
      <w:r/>
      <w:bookmarkStart w:id="474" w:name="_Toc18724"/>
      <w:r/>
      <w:bookmarkStart w:id="475" w:name="_Toc24015"/>
      <w:r>
        <w:rPr>
          <w:rFonts w:hint="eastAsia" w:ascii="宋体" w:hAnsi="宋体" w:cs="宋体"/>
          <w:b/>
          <w:bCs/>
          <w:color w:val="auto"/>
          <w:sz w:val="24"/>
          <w:highlight w:val="none"/>
        </w:rPr>
        <w:t xml:space="preserve">1.1管理人员素质</w:t>
      </w:r>
      <w:bookmarkEnd w:id="466"/>
      <w:r/>
      <w:bookmarkEnd w:id="467"/>
      <w:r/>
      <w:bookmarkEnd w:id="468"/>
      <w:r/>
      <w:bookmarkEnd w:id="469"/>
      <w:r/>
      <w:bookmarkEnd w:id="470"/>
      <w:r/>
      <w:bookmarkEnd w:id="471"/>
      <w:r/>
      <w:bookmarkEnd w:id="472"/>
      <w:r/>
      <w:bookmarkEnd w:id="473"/>
      <w:r/>
      <w:bookmarkEnd w:id="474"/>
      <w:r/>
      <w:bookmarkEnd w:id="475"/>
      <w:r/>
      <w:r/>
    </w:p>
    <w:tbl>
      <w:tblPr>
        <w:tblStyle w:val="846"/>
        <w:tblW w:w="88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807"/>
        <w:gridCol w:w="1445"/>
        <w:gridCol w:w="4789"/>
      </w:tblGrid>
      <w:tr>
        <w:trPr>
          <w:trHeight w:val="405"/>
        </w:trPr>
        <w:tc>
          <w:tcPr>
            <w:tcW w:w="675"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134"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岗位名称</w:t>
            </w:r>
            <w:r/>
          </w:p>
        </w:tc>
        <w:tc>
          <w:tcPr>
            <w:tcW w:w="807"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W w:w="1445"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年龄</w:t>
            </w:r>
            <w:r/>
          </w:p>
        </w:tc>
        <w:tc>
          <w:tcPr>
            <w:tcW w:w="4789"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其他要求</w:t>
            </w:r>
            <w:r/>
          </w:p>
        </w:tc>
      </w:tr>
      <w:tr>
        <w:trPr/>
        <w:tc>
          <w:tcPr>
            <w:tcW w:w="67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3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总负责人</w:t>
            </w:r>
            <w:r/>
          </w:p>
        </w:tc>
        <w:tc>
          <w:tcPr>
            <w:tcW w:w="80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男＜60周岁</w:t>
            </w:r>
            <w:r/>
          </w:p>
        </w:tc>
        <w:tc>
          <w:tcPr>
            <w:tcW w:w="478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1.常驻现场；</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2.可熟练操作WORD,EXCEL等办公软件；</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3.手机像素不低于2000万，会使用微信、拼图等功能；</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4.从事相关专业管理工作8年及以上。</w:t>
            </w:r>
            <w:r/>
          </w:p>
        </w:tc>
      </w:tr>
      <w:tr>
        <w:trPr>
          <w:trHeight w:val="3390"/>
        </w:trPr>
        <w:tc>
          <w:tcPr>
            <w:tcW w:w="67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3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片区负责人</w:t>
            </w:r>
            <w:r/>
          </w:p>
        </w:tc>
        <w:tc>
          <w:tcPr>
            <w:tcW w:w="80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44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男＜60周岁</w:t>
            </w:r>
            <w:r/>
          </w:p>
        </w:tc>
        <w:tc>
          <w:tcPr>
            <w:tcW w:w="478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1.兼任片区绿化养护和保洁主管。</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2.常驻现场；</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3.可熟练操作WORD,EXCEL等办公软件；</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4.手机像素不低于2000万，会使用微信、拼图等功能；</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5.具有一定的组织管理能力，协助片区负责人做好各片区绿化养护质量管理、日常巡查、秩序维护、保洁员管理相关工作；</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6.具有管养工作经验，能够主动学习专业知识，掌握并且熟练应用到实际工作中。</w:t>
            </w:r>
            <w:r/>
          </w:p>
        </w:tc>
      </w:tr>
      <w:tr>
        <w:trPr/>
        <w:tc>
          <w:tcPr>
            <w:tcW w:w="67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13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数字城管问题处理专员</w:t>
            </w:r>
            <w:r/>
          </w:p>
        </w:tc>
        <w:tc>
          <w:tcPr>
            <w:tcW w:w="80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44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男＜60周岁</w:t>
            </w:r>
            <w:r/>
          </w:p>
        </w:tc>
        <w:tc>
          <w:tcPr>
            <w:tcW w:w="478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1.常驻现场；</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2.可熟练操作WORD,EXCEL等办公软件；</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3.熟练操作数字城管工单处理系统，接收、分配、处理和回复工单，并将处理情况向采购人定期汇报。</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4.手机像素不低于2000万，会使用微信、拼图等功能。</w:t>
            </w:r>
            <w:r/>
          </w:p>
        </w:tc>
      </w:tr>
      <w:tr>
        <w:trPr/>
        <w:tc>
          <w:tcPr>
            <w:gridSpan w:val="5"/>
            <w:tcW w:w="8850" w:type="dxa"/>
            <w:vAlign w:val="center"/>
            <w:textDirection w:val="lrTb"/>
            <w:noWrap w:val="false"/>
          </w:tcPr>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注：1.总负责人负责本项目整体工作（含绿化养护、保洁等管理、草花栽植等零星工程、设计等），建立本项目完整的档案台帐资料及内部考核机制。</w:t>
            </w:r>
            <w:r/>
          </w:p>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2.片区负责人协助总负责人开展工作，并负责各片区的管理工作，总负责人和片区负责人构成本项目核心管理团队。</w:t>
            </w:r>
            <w:r/>
          </w:p>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 数字城管问题处理专员负责数字城管工单的处理和回复。</w:t>
            </w:r>
            <w:r/>
          </w:p>
          <w:p>
            <w:pPr>
              <w:pStyle w:val="1164"/>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★4.以上人员须为投标单位的正式员工，在投标时须提供</w:t>
            </w:r>
            <w:r>
              <w:rPr>
                <w:rFonts w:hint="eastAsia" w:ascii="宋体" w:hAnsi="宋体" w:cs="宋体"/>
                <w:b/>
                <w:bCs/>
                <w:color w:val="auto"/>
                <w:szCs w:val="21"/>
                <w:highlight w:val="none"/>
                <w:lang w:eastAsia="zh-CN"/>
              </w:rPr>
              <w:t xml:space="preserve">人员</w:t>
            </w:r>
            <w:r>
              <w:rPr>
                <w:rFonts w:hint="eastAsia" w:ascii="宋体" w:hAnsi="宋体" w:cs="宋体"/>
                <w:b/>
                <w:bCs/>
                <w:color w:val="auto"/>
                <w:szCs w:val="21"/>
                <w:highlight w:val="none"/>
              </w:rPr>
              <w:t xml:space="preserve">名单和2024年</w:t>
            </w:r>
            <w:r>
              <w:rPr>
                <w:rFonts w:hint="eastAsia" w:ascii="宋体" w:hAnsi="宋体" w:cs="宋体"/>
                <w:b/>
                <w:bCs/>
                <w:color w:val="auto"/>
                <w:szCs w:val="21"/>
                <w:highlight w:val="none"/>
                <w:lang w:val="en-US" w:eastAsia="zh-CN"/>
              </w:rPr>
              <w:t xml:space="preserve">08</w:t>
            </w:r>
            <w:r>
              <w:rPr>
                <w:rFonts w:hint="eastAsia" w:ascii="宋体" w:hAnsi="宋体" w:cs="宋体"/>
                <w:b/>
                <w:bCs/>
                <w:color w:val="auto"/>
                <w:szCs w:val="21"/>
                <w:highlight w:val="none"/>
              </w:rPr>
              <w:t xml:space="preserve">月以来任意一个月投标单位为其缴纳社会保险证明。</w:t>
            </w:r>
            <w:r/>
          </w:p>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5.以上管理人员不得随意调整，如有特殊情况确需调整的须征得采购人书面同意。</w:t>
            </w:r>
            <w:r/>
          </w:p>
        </w:tc>
      </w:tr>
    </w:tbl>
    <w:p>
      <w:pPr>
        <w:pStyle w:val="850"/>
        <w:ind w:firstLine="241"/>
        <w:spacing w:line="400" w:lineRule="exact"/>
        <w:rPr>
          <w:rFonts w:hint="eastAsia" w:ascii="宋体" w:hAnsi="宋体" w:cs="宋体"/>
          <w:b/>
          <w:bCs/>
          <w:color w:val="auto"/>
          <w:sz w:val="24"/>
          <w:highlight w:val="none"/>
        </w:rPr>
      </w:pPr>
      <w:r/>
      <w:bookmarkStart w:id="476" w:name="_Toc10815"/>
      <w:r/>
      <w:bookmarkStart w:id="477" w:name="_Toc32401"/>
      <w:r/>
      <w:bookmarkStart w:id="478" w:name="_Toc26914"/>
      <w:r/>
      <w:bookmarkStart w:id="479" w:name="_Toc11560"/>
      <w:r/>
      <w:bookmarkStart w:id="480" w:name="_Toc19666"/>
      <w:r/>
      <w:bookmarkStart w:id="481" w:name="_Toc1844"/>
      <w:r/>
      <w:bookmarkStart w:id="482" w:name="_Toc4354"/>
      <w:r/>
      <w:bookmarkStart w:id="483" w:name="_Toc4520"/>
      <w:r/>
      <w:bookmarkStart w:id="484" w:name="_Toc20690"/>
      <w:r/>
      <w:bookmarkStart w:id="485" w:name="_Toc11390"/>
      <w:r/>
      <w:bookmarkStart w:id="486" w:name="_Toc6787"/>
      <w:r/>
      <w:bookmarkStart w:id="487" w:name="_Toc18596"/>
      <w:r/>
      <w:bookmarkStart w:id="488" w:name="_Toc23162"/>
      <w:r/>
      <w:bookmarkStart w:id="489" w:name="_Toc16643"/>
      <w:r/>
      <w:bookmarkStart w:id="490" w:name="_Toc2170"/>
      <w:r/>
      <w:bookmarkStart w:id="491" w:name="_Toc13733"/>
      <w:r/>
      <w:bookmarkStart w:id="492" w:name="_Toc23221"/>
      <w:r>
        <w:rPr>
          <w:rFonts w:hint="eastAsia" w:ascii="宋体" w:hAnsi="宋体" w:cs="宋体"/>
          <w:b/>
          <w:bCs/>
          <w:color w:val="auto"/>
          <w:sz w:val="24"/>
          <w:highlight w:val="none"/>
        </w:rPr>
        <w:t xml:space="preserve">★1.2技术支持团队人员素质</w:t>
      </w:r>
      <w:bookmarkEnd w:id="476"/>
      <w:r/>
      <w:bookmarkEnd w:id="477"/>
      <w:r/>
      <w:bookmarkEnd w:id="478"/>
      <w:r/>
      <w:bookmarkEnd w:id="479"/>
      <w:r/>
      <w:bookmarkEnd w:id="480"/>
      <w:r/>
      <w:bookmarkEnd w:id="481"/>
      <w:r/>
      <w:bookmarkEnd w:id="482"/>
      <w:r/>
      <w:bookmarkEnd w:id="483"/>
      <w:r>
        <w:rPr>
          <w:rFonts w:hint="eastAsia" w:ascii="宋体" w:hAnsi="宋体" w:cs="宋体"/>
          <w:b/>
          <w:bCs/>
          <w:color w:val="auto"/>
          <w:sz w:val="24"/>
          <w:highlight w:val="none"/>
        </w:rPr>
        <w:t xml:space="preserve">（本项内容为实质性要求和条件）</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540"/>
        <w:gridCol w:w="664"/>
        <w:gridCol w:w="1377"/>
        <w:gridCol w:w="3152"/>
        <w:gridCol w:w="1552"/>
      </w:tblGrid>
      <w:tr>
        <w:trPr>
          <w:trHeight w:val="394"/>
        </w:trPr>
        <w:tc>
          <w:tcPr>
            <w:tcW w:w="664" w:type="dxa"/>
            <w:vAlign w:val="center"/>
            <w:textDirection w:val="lrTb"/>
            <w:noWrap w:val="false"/>
          </w:tcPr>
          <w:p>
            <w:pPr>
              <w:pStyle w:val="1165"/>
              <w:jc w:val="center"/>
              <w:widowControl/>
              <w:rPr>
                <w:rFonts w:hint="eastAsia" w:ascii="宋体" w:hAnsi="宋体" w:cs="宋体"/>
                <w:b/>
                <w:bCs/>
                <w:color w:val="auto"/>
                <w:szCs w:val="21"/>
                <w:highlight w:val="none"/>
              </w:rPr>
            </w:pPr>
            <w:r/>
            <w:bookmarkStart w:id="493" w:name="_Toc28007"/>
            <w:r>
              <w:rPr>
                <w:rFonts w:hint="eastAsia" w:ascii="宋体" w:hAnsi="宋体" w:cs="宋体"/>
                <w:b/>
                <w:bCs/>
                <w:color w:val="auto"/>
                <w:szCs w:val="21"/>
                <w:highlight w:val="none"/>
              </w:rPr>
              <w:t xml:space="preserve">序号</w:t>
            </w:r>
            <w:r/>
          </w:p>
        </w:tc>
        <w:tc>
          <w:tcPr>
            <w:tcW w:w="1540"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岗位名称</w:t>
            </w:r>
            <w:r/>
          </w:p>
        </w:tc>
        <w:tc>
          <w:tcPr>
            <w:tcW w:w="664"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W w:w="1377"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年龄</w:t>
            </w:r>
            <w:r/>
          </w:p>
        </w:tc>
        <w:tc>
          <w:tcPr>
            <w:tcW w:w="3152"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资格要求</w:t>
            </w:r>
            <w:r/>
          </w:p>
        </w:tc>
        <w:tc>
          <w:tcPr>
            <w:tcW w:w="1355"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其他要求</w:t>
            </w:r>
            <w:r/>
          </w:p>
        </w:tc>
      </w:tr>
      <w:tr>
        <w:trPr>
          <w:trHeight w:val="404"/>
        </w:trPr>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540"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景观设计专家</w:t>
            </w:r>
            <w:r/>
          </w:p>
        </w:tc>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男＜60周岁</w:t>
            </w:r>
            <w:r/>
          </w:p>
        </w:tc>
        <w:tc>
          <w:tcPr>
            <w:tcW w:w="3152"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具备风景园林或城市规划或景观规划或环境</w:t>
            </w:r>
            <w:r>
              <w:rPr>
                <w:rFonts w:hint="eastAsia" w:ascii="宋体" w:hAnsi="宋体" w:cs="宋体"/>
                <w:color w:val="auto"/>
                <w:szCs w:val="21"/>
                <w:highlight w:val="none"/>
                <w:lang w:eastAsia="zh-CN"/>
              </w:rPr>
              <w:t xml:space="preserve">等</w:t>
            </w:r>
            <w:r>
              <w:rPr>
                <w:rFonts w:hint="eastAsia" w:ascii="宋体" w:hAnsi="宋体" w:cs="宋体"/>
                <w:color w:val="auto"/>
                <w:szCs w:val="21"/>
                <w:highlight w:val="none"/>
              </w:rPr>
              <w:t xml:space="preserve">相关设计专业大专及以上学历</w:t>
            </w:r>
            <w:r/>
          </w:p>
        </w:tc>
        <w:tc>
          <w:tcPr>
            <w:tcW w:w="1355" w:type="dxa"/>
            <w:vAlign w:val="center"/>
            <w:vMerge w:val="restart"/>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1.为本管养项目提供技术咨询服务，会诊、解决管养现场出现的各类技术难题；</w:t>
            </w:r>
            <w:r/>
          </w:p>
          <w:p>
            <w:pPr>
              <w:pStyle w:val="1165"/>
              <w:jc w:val="left"/>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2.为科研课题提供技术支持。</w:t>
            </w:r>
            <w:r/>
          </w:p>
        </w:tc>
      </w:tr>
      <w:tr>
        <w:trPr>
          <w:trHeight w:val="394"/>
        </w:trPr>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540"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园林专家</w:t>
            </w:r>
            <w:r/>
          </w:p>
        </w:tc>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3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男＜60周岁</w:t>
            </w:r>
            <w:r/>
          </w:p>
        </w:tc>
        <w:tc>
          <w:tcPr>
            <w:tcW w:w="3152"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具备园林或园林技术专业大专及以上学历</w:t>
            </w:r>
            <w:r/>
          </w:p>
        </w:tc>
        <w:tc>
          <w:tcPr>
            <w:tcW w:w="1355" w:type="dxa"/>
            <w:vAlign w:val="center"/>
            <w:vMerge w:val="continue"/>
            <w:textDirection w:val="lrTb"/>
            <w:noWrap w:val="false"/>
          </w:tcPr>
          <w:p>
            <w:pPr>
              <w:pStyle w:val="1165"/>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94"/>
        </w:trPr>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540"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园艺专家</w:t>
            </w:r>
            <w:r/>
          </w:p>
        </w:tc>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男＜60周岁</w:t>
            </w:r>
            <w:r/>
          </w:p>
        </w:tc>
        <w:tc>
          <w:tcPr>
            <w:tcW w:w="3152"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具备园艺或园艺技术专业大专及以上学历</w:t>
            </w:r>
            <w:r/>
          </w:p>
        </w:tc>
        <w:tc>
          <w:tcPr>
            <w:tcW w:w="1355" w:type="dxa"/>
            <w:vAlign w:val="center"/>
            <w:vMerge w:val="continue"/>
            <w:textDirection w:val="lrTb"/>
            <w:noWrap w:val="false"/>
          </w:tcPr>
          <w:p>
            <w:pPr>
              <w:pStyle w:val="1165"/>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3"/>
        </w:trPr>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540"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病虫害专家</w:t>
            </w:r>
            <w:r/>
          </w:p>
        </w:tc>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男＜60周岁</w:t>
            </w:r>
            <w:r/>
          </w:p>
        </w:tc>
        <w:tc>
          <w:tcPr>
            <w:tcW w:w="3152"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具备植物学或园林</w:t>
            </w:r>
            <w:r>
              <w:rPr>
                <w:rFonts w:hint="eastAsia" w:ascii="宋体" w:hAnsi="宋体" w:cs="宋体"/>
                <w:color w:val="auto"/>
                <w:szCs w:val="21"/>
                <w:highlight w:val="none"/>
                <w:lang w:val="en-US" w:eastAsia="zh-CN"/>
              </w:rPr>
              <w:t xml:space="preserve">技术</w:t>
            </w:r>
            <w:r>
              <w:rPr>
                <w:rFonts w:hint="eastAsia" w:ascii="宋体" w:hAnsi="宋体" w:cs="宋体"/>
                <w:color w:val="auto"/>
                <w:szCs w:val="21"/>
                <w:highlight w:val="none"/>
              </w:rPr>
              <w:t xml:space="preserve">专业大专及以上学历</w:t>
            </w:r>
            <w:r/>
          </w:p>
        </w:tc>
        <w:tc>
          <w:tcPr>
            <w:tcW w:w="1355" w:type="dxa"/>
            <w:vAlign w:val="center"/>
            <w:vMerge w:val="continue"/>
            <w:textDirection w:val="lrTb"/>
            <w:noWrap w:val="false"/>
          </w:tcPr>
          <w:p>
            <w:pPr>
              <w:pStyle w:val="1165"/>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3"/>
        </w:trPr>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540"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林业专家</w:t>
            </w:r>
            <w:r/>
          </w:p>
        </w:tc>
        <w:tc>
          <w:tcPr>
            <w:tcW w:w="664"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女＜50周岁</w:t>
            </w:r>
            <w:r/>
          </w:p>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男＜60周岁</w:t>
            </w:r>
            <w:r/>
          </w:p>
        </w:tc>
        <w:tc>
          <w:tcPr>
            <w:tcW w:w="3152"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具备林学或园林技术专业大专及以上学历</w:t>
            </w:r>
            <w:r/>
          </w:p>
        </w:tc>
        <w:tc>
          <w:tcPr>
            <w:tcW w:w="1355" w:type="dxa"/>
            <w:vAlign w:val="center"/>
            <w:vMerge w:val="continue"/>
            <w:textDirection w:val="lrTb"/>
            <w:noWrap w:val="false"/>
          </w:tcPr>
          <w:p>
            <w:pPr>
              <w:pStyle w:val="1165"/>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3"/>
        </w:trPr>
        <w:tc>
          <w:tcPr>
            <w:gridSpan w:val="6"/>
            <w:tcW w:w="8949" w:type="dxa"/>
            <w:vAlign w:val="center"/>
            <w:textDirection w:val="lrTb"/>
            <w:noWrap w:val="false"/>
          </w:tcPr>
          <w:p>
            <w:pPr>
              <w:pStyle w:val="1165"/>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注：以上人员须为投标单位的正式员工，在投标时须提供名单、相应的证书</w:t>
            </w:r>
            <w:r>
              <w:rPr>
                <w:rFonts w:hint="eastAsia" w:ascii="宋体" w:hAnsi="宋体" w:cs="宋体"/>
                <w:b/>
                <w:bCs/>
                <w:color w:val="auto"/>
                <w:szCs w:val="21"/>
                <w:highlight w:val="none"/>
                <w:lang w:val="en-US" w:eastAsia="zh-CN"/>
              </w:rPr>
              <w:t xml:space="preserve">证明</w:t>
            </w:r>
            <w:r>
              <w:rPr>
                <w:rFonts w:hint="eastAsia" w:ascii="宋体" w:hAnsi="宋体" w:cs="宋体"/>
                <w:b/>
                <w:bCs/>
                <w:color w:val="auto"/>
                <w:szCs w:val="21"/>
                <w:highlight w:val="none"/>
              </w:rPr>
              <w:t xml:space="preserve">材料原件电子件以及2024年</w:t>
            </w:r>
            <w:r>
              <w:rPr>
                <w:rFonts w:hint="eastAsia" w:ascii="宋体" w:hAnsi="宋体" w:cs="宋体"/>
                <w:b/>
                <w:bCs/>
                <w:color w:val="auto"/>
                <w:szCs w:val="21"/>
                <w:highlight w:val="none"/>
                <w:lang w:val="en-US" w:eastAsia="zh-CN"/>
              </w:rPr>
              <w:t xml:space="preserve">08</w:t>
            </w:r>
            <w:r>
              <w:rPr>
                <w:rFonts w:hint="eastAsia" w:ascii="宋体" w:hAnsi="宋体" w:cs="宋体"/>
                <w:b/>
                <w:bCs/>
                <w:color w:val="auto"/>
                <w:szCs w:val="21"/>
                <w:highlight w:val="none"/>
              </w:rPr>
              <w:t xml:space="preserve">月以来任意一个月投标单位为其缴纳社会保险证明。</w:t>
            </w:r>
            <w:bookmarkEnd w:id="484"/>
            <w:r/>
            <w:bookmarkEnd w:id="485"/>
            <w:r/>
            <w:bookmarkEnd w:id="486"/>
            <w:r/>
            <w:bookmarkEnd w:id="487"/>
            <w:r/>
            <w:bookmarkEnd w:id="488"/>
            <w:r/>
            <w:bookmarkEnd w:id="489"/>
            <w:r/>
            <w:bookmarkEnd w:id="490"/>
            <w:r/>
            <w:bookmarkEnd w:id="491"/>
            <w:r/>
            <w:bookmarkEnd w:id="492"/>
            <w:r/>
            <w:bookmarkEnd w:id="493"/>
            <w:r/>
            <w:r/>
          </w:p>
        </w:tc>
      </w:tr>
    </w:tbl>
    <w:p>
      <w:pPr>
        <w:pStyle w:val="850"/>
        <w:ind w:firstLine="241"/>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1.3其它人员素质</w:t>
      </w:r>
      <w:r/>
    </w:p>
    <w:p>
      <w:pPr>
        <w:pStyle w:val="849"/>
        <w:ind w:firstLine="241"/>
        <w:spacing w:line="400" w:lineRule="exact"/>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1.3.1 工种要求</w:t>
      </w:r>
      <w:r/>
    </w:p>
    <w:tbl>
      <w:tblPr>
        <w:tblStyle w:val="846"/>
        <w:tblW w:w="91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077"/>
        <w:gridCol w:w="761"/>
        <w:gridCol w:w="985"/>
        <w:gridCol w:w="1183"/>
        <w:gridCol w:w="4499"/>
      </w:tblGrid>
      <w:tr>
        <w:trPr>
          <w:jc w:val="center"/>
        </w:trPr>
        <w:tc>
          <w:tcPr>
            <w:tcW w:w="652"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77"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岗位名称</w:t>
            </w:r>
            <w:r/>
          </w:p>
        </w:tc>
        <w:tc>
          <w:tcPr>
            <w:tcW w:w="761"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W w:w="985" w:type="dxa"/>
            <w:vAlign w:val="center"/>
            <w:textDirection w:val="lrTb"/>
            <w:noWrap w:val="false"/>
          </w:tcPr>
          <w:p>
            <w:pPr>
              <w:pStyle w:val="1165"/>
              <w:jc w:val="center"/>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年龄</w:t>
            </w:r>
            <w:r/>
          </w:p>
        </w:tc>
        <w:tc>
          <w:tcPr>
            <w:tcW w:w="1183"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资格要求</w:t>
            </w:r>
            <w:r/>
          </w:p>
        </w:tc>
        <w:tc>
          <w:tcPr>
            <w:tcW w:w="4499" w:type="dxa"/>
            <w:vAlign w:val="center"/>
            <w:textDirection w:val="lrTb"/>
            <w:noWrap w:val="false"/>
          </w:tcPr>
          <w:p>
            <w:pPr>
              <w:pStyle w:val="1165"/>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其他要求</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修剪技术工</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60</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岁（含）以下</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具备丰富的园林植物修剪经验，修剪技术不满足要求的，中标人需无条件在规定期限内重新配置修剪工，直至达到采购人对修剪技术的要求为止</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绿化工（保洁员）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60</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岁（含）以下</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公厕保洁员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60</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岁（含）以下</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1.每个公园须定人定岗；</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2.实行三班倒，24小时保洁工作。</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保安队长</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color w:val="auto"/>
                <w:szCs w:val="21"/>
                <w:highlight w:val="none"/>
                <w:lang w:val="en-US" w:eastAsia="zh-CN"/>
              </w:rPr>
              <w:t xml:space="preserve">55</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具有中级以上保安证</w:t>
            </w:r>
            <w:r/>
          </w:p>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1.男性；</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2.实行三班倒，配合片区负责人做好各个班次保安管理工作；</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3.身体健康、责任心强、工作主动、热情、积极；</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4.高中以上学历，有一定的队伍管理能力；</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5.手机像素不低于2000万，采购人通过微信交办的工作，能及时落实并用微信汇报工作情况（含照片）等；</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6.有C1或C1以上驾驶证，进场后按市场监督管理局规定取得《中华人民共和国特种设备作业人员证》；</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7.着保安统一服装。</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监控员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1、高中以上文化，可熟练操作电脑，具有基本的Office办公软件文字编纂和加工的能力；</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2、具有一定的组织协调及沟通能力；</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3、该岗位后期可视公园实际需求调整；</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4、着统一服装。</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25-60</w:t>
            </w:r>
            <w:r>
              <w:rPr>
                <w:rFonts w:hint="eastAsia" w:ascii="宋体" w:hAnsi="宋体" w:cs="宋体"/>
                <w:color w:val="auto"/>
                <w:szCs w:val="21"/>
                <w:highlight w:val="none"/>
                <w:lang w:eastAsia="zh-CN"/>
              </w:rPr>
              <w:t xml:space="preserve">周</w:t>
            </w:r>
            <w:r>
              <w:rPr>
                <w:rFonts w:hint="eastAsia" w:ascii="宋体" w:hAnsi="宋体" w:cs="宋体"/>
                <w:color w:val="auto"/>
                <w:szCs w:val="21"/>
                <w:highlight w:val="none"/>
              </w:rPr>
              <w:t xml:space="preserve">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1、其中3名保安须具有C1或C1以上驾驶证，进场后市场监督管理局规定取得《中华人民共和国特种设备作业人员证》，平时配合公园接待驾驶观光车；</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志愿者服务站管理员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18-50</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1.初中以上文化水平，有较好的责任意识、组织纪律性；</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2.能独立做好站内台账记录管理；</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3.具有良好的沟通能力、身体健康、外貌端庄、能热情开展志愿服务；</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4.每周工作5日。</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水面保洁员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25-55</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1.水性好、会游泳，长期负责公园内外河水面垃圾和杂草清理、打捞工作，保证水面无大面积水草及白色垃圾；</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水草生长旺季（常规3月-5月）、枯死荷叶清理旺季（常规10月-11月）为确保水草清理进度满足采购人要求，水面杂草清理员须增加人数的，增加人数不包含在投标文件提供的人数内，相关费用由投标人自行承担；</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船员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25-55</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具有《中华人民共和国内河船舶船员适任证书》，配合日常公园水上游船接待并做好4-10月水草收割船收割水草工作。</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垃圾中转员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18-55</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负责公园内部垃圾箱清理，堆积垃圾、水面垃圾倒运</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水电工</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20-60</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具有相关专业操作证</w:t>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熟练掌握公园给排水管网、高低压强电维修技能</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熟练掌握公园监控、音响等弱电系统的维修保养技能</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零星维修工</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20-60</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熟练掌握各类材料的维修与制作，熟练掌握贴面、铺装、地砖、油漆等问题处理；</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2、胜任公园车辆、船只、木栈道、办公门窗、坐凳等设备日常简单维护、维修。</w:t>
            </w:r>
            <w:r/>
          </w:p>
        </w:tc>
      </w:tr>
      <w:tr>
        <w:trPr>
          <w:jc w:val="center"/>
        </w:trPr>
        <w:tc>
          <w:tcPr>
            <w:tcW w:w="652"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077"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消防设施操作员</w:t>
            </w:r>
            <w:r/>
          </w:p>
        </w:tc>
        <w:tc>
          <w:tcPr>
            <w:tcW w:w="761"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985"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25-55</w:t>
            </w:r>
            <w:r>
              <w:rPr>
                <w:rFonts w:hint="eastAsia" w:ascii="宋体" w:hAnsi="宋体" w:cs="宋体"/>
                <w:color w:val="auto"/>
                <w:szCs w:val="21"/>
                <w:highlight w:val="none"/>
                <w:lang w:eastAsia="zh-CN"/>
              </w:rPr>
              <w:t xml:space="preserve">周岁</w:t>
            </w:r>
            <w:r/>
          </w:p>
        </w:tc>
        <w:tc>
          <w:tcPr>
            <w:tcW w:w="1183" w:type="dxa"/>
            <w:vAlign w:val="center"/>
            <w:textDirection w:val="lrTb"/>
            <w:noWrap w:val="false"/>
          </w:tcPr>
          <w:p>
            <w:pPr>
              <w:pStyle w:val="116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4499" w:type="dxa"/>
            <w:vAlign w:val="center"/>
            <w:textDirection w:val="lrTb"/>
            <w:noWrap w:val="false"/>
          </w:tcPr>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1.配合项目总负责人做好各个班次工作（具备设施监控、设施操作、设施保养、设施维修、设施检测等能力）；</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2.身体健康、责任心强、工作主动、热情、积极；</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3.高中以上学历，有一定的队伍管理能力；</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4.手机像素不低于1200万；</w:t>
            </w:r>
            <w:r/>
          </w:p>
          <w:p>
            <w:pPr>
              <w:pStyle w:val="1165"/>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5.着统一服装。</w:t>
            </w:r>
            <w:r/>
          </w:p>
        </w:tc>
      </w:tr>
    </w:tbl>
    <w:p>
      <w:pPr>
        <w:pStyle w:val="1164"/>
        <w:ind w:firstLine="480"/>
        <w:jc w:val="left"/>
        <w:spacing w:line="400" w:lineRule="exact"/>
        <w:rPr>
          <w:rFonts w:hint="eastAsia" w:ascii="宋体" w:hAnsi="宋体" w:cs="宋体"/>
          <w:color w:val="auto"/>
          <w:sz w:val="24"/>
          <w:highlight w:val="none"/>
        </w:rPr>
      </w:pPr>
      <w:r/>
      <w:bookmarkStart w:id="494" w:name="_Toc30028"/>
      <w:r>
        <w:rPr>
          <w:rFonts w:hint="eastAsia" w:ascii="宋体" w:hAnsi="宋体" w:cs="宋体"/>
          <w:color w:val="auto"/>
          <w:sz w:val="24"/>
          <w:highlight w:val="none"/>
        </w:rPr>
        <w:t xml:space="preserve">1.3.2 投标人根据管养地块数量和管养质量要求配备相适应的工作人员，投标时须提供各项人员数量，待中标人收到中标通知书之日起15个工作日内根据接收管养的绿地、公园的</w:t>
      </w:r>
      <w:r>
        <w:rPr>
          <w:rFonts w:hint="eastAsia" w:ascii="宋体" w:hAnsi="宋体" w:cs="宋体"/>
          <w:color w:val="auto"/>
          <w:sz w:val="24"/>
          <w:highlight w:val="none"/>
        </w:rPr>
        <w:t xml:space="preserve">实际进度将人员按要求配备到位，并报送所配备工作人员的名单、相关证书原件复印件，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常人员计划的20%，因此产生的所有费用包含在本项目的报价内。经采购人审核通过的所有人员在合同期内不得随意调整，如有调整，须报经采购人现场负责人同意。</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洪泽湖东路南侧的物业服务人数不少于16人，保洁人员不少于10人，保安人员不少于6名。服务时间为两班制，早</w:t>
      </w:r>
      <w:r>
        <w:rPr>
          <w:rFonts w:hint="eastAsia" w:ascii="宋体" w:hAnsi="宋体" w:cs="宋体"/>
          <w:color w:val="auto"/>
          <w:sz w:val="24"/>
          <w:highlight w:val="none"/>
        </w:rPr>
        <w:t xml:space="preserve">班：7:00-15:00，晚班：15:00-23:00；非服务时间，中标人做好公园内相关安全防范工作，并满足采购人对非服务时间内的工作安排。公园全线共分为长江路至湘江路段、湘江路至江山大道段、江山大道至黄浦江路段、黄浦江路至西楚大道段等4个区域，长江路至湘江路段和江山大道至黄浦江路段每班每段至少需配备一名保安，两名保洁；湘江路至江山大道段和黄浦江路至西楚大道段每班每个区域至少安排一名保安和一名保洁。中标人必须按照采购人要求的人数安排人员就岗。遇重大节日、特殊天气等情况，中标人需按采购人要求做好相关工作安排。</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1.3.3 定人定岗要求</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（1）公园公厕内的保洁人员要求定人定岗并进行24小时保洁工作； </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（2）一级管养标准的公园停车场、出入口要求保安人员定人定岗；</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（3）进场前须报送修剪技术工的详细信息，接受采购人的岗前考察，采购人有权要求对考察不合格的人员进行调整，并在规定时间内调整到位；</w:t>
      </w:r>
      <w:r/>
    </w:p>
    <w:p>
      <w:pPr>
        <w:pStyle w:val="1164"/>
        <w:ind w:firstLine="480"/>
        <w:jc w:val="left"/>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（4）绿化工人员要相对固定，中标人每年对其调整率不超过50%，对绿化工的更换和调整须报采购人备案；</w:t>
      </w:r>
      <w:r/>
    </w:p>
    <w:p>
      <w:pPr>
        <w:pStyle w:val="1164"/>
        <w:ind w:firstLine="480"/>
        <w:jc w:val="left"/>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（5）合同期内，所有人员不得兼职、不得一人多职；</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1.3.4所有工人必须了解本项目的工作标准和要求并按要求统一服装；</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1.3.5现场每日到岗人员须按采购人要求进行点名考勤，考勤方式由采购人各现场负责人确定；</w:t>
      </w:r>
      <w:r/>
    </w:p>
    <w:p>
      <w:pPr>
        <w:pStyle w:val="1164"/>
        <w:ind w:firstLine="480"/>
        <w:jc w:val="left"/>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1.3.6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1.3.7维修人员无法完成相应维修保养工作时，中标人需聘请专业维修人员协助维修，按时完成维修任务，维修工作所产生的费用由投标人自行承担；</w:t>
      </w:r>
      <w:r/>
    </w:p>
    <w:p>
      <w:pPr>
        <w:pStyle w:val="1164"/>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1.3.8 4-10月份公园水体内水草清理、垃圾清运工作相对其他月份较繁重，投标时须考虑在内，后期因此产生的费用不予调整。中标人可根据绿化管养工作实际需求及季节特点合理安排绿化养护每日工作时间，报经采购人同意实行，必要时（应急抢险、创建活动等特殊情况）需安排加班。</w:t>
      </w:r>
      <w:bookmarkStart w:id="495" w:name="_Toc23122"/>
      <w:r/>
      <w:bookmarkStart w:id="496" w:name="_Toc4428"/>
      <w:r/>
      <w:bookmarkStart w:id="497" w:name="_Toc1986"/>
      <w:r/>
      <w:bookmarkStart w:id="498" w:name="_Toc26189"/>
      <w:r/>
      <w:bookmarkStart w:id="499" w:name="_Toc18804"/>
      <w:r/>
      <w:bookmarkStart w:id="500" w:name="_Toc17593"/>
      <w:r/>
      <w:bookmarkStart w:id="501" w:name="_Toc23015"/>
      <w:r/>
      <w:bookmarkStart w:id="502" w:name="_Toc8834"/>
      <w:r/>
      <w:r/>
    </w:p>
    <w:p>
      <w:pPr>
        <w:pStyle w:val="1164"/>
        <w:ind w:firstLine="482"/>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2、设备车辆配备</w:t>
      </w:r>
      <w:bookmarkEnd w:id="494"/>
      <w:r/>
      <w:bookmarkEnd w:id="495"/>
      <w:r/>
      <w:bookmarkEnd w:id="496"/>
      <w:r/>
      <w:bookmarkEnd w:id="497"/>
      <w:r/>
      <w:bookmarkEnd w:id="498"/>
      <w:r/>
      <w:bookmarkEnd w:id="499"/>
      <w:r/>
      <w:bookmarkEnd w:id="500"/>
      <w:r/>
      <w:bookmarkEnd w:id="501"/>
      <w:r/>
      <w:bookmarkEnd w:id="502"/>
      <w:r/>
      <w:r/>
    </w:p>
    <w:p>
      <w:pPr>
        <w:pStyle w:val="1166"/>
        <w:ind w:firstLine="482"/>
        <w:jc w:val="left"/>
        <w:spacing w:line="400" w:lineRule="exact"/>
        <w:shd w:val="clear" w:color="auto" w:fill="ffffff"/>
        <w:rPr>
          <w:rFonts w:hint="eastAsia" w:ascii="宋体" w:hAnsi="宋体" w:cs="宋体"/>
          <w:b/>
          <w:color w:val="auto"/>
          <w:sz w:val="24"/>
          <w:highlight w:val="none"/>
        </w:rPr>
      </w:pPr>
      <w:r/>
      <w:bookmarkStart w:id="503" w:name="_Toc6846"/>
      <w:r/>
      <w:bookmarkStart w:id="504" w:name="_Toc12706"/>
      <w:r/>
      <w:bookmarkStart w:id="505" w:name="_Toc11760"/>
      <w:r/>
      <w:bookmarkStart w:id="506" w:name="_Toc5094"/>
      <w:r/>
      <w:bookmarkStart w:id="507" w:name="_Toc2529"/>
      <w:r/>
      <w:bookmarkStart w:id="508" w:name="_Toc14020"/>
      <w:r/>
      <w:bookmarkStart w:id="509" w:name="_Toc15507"/>
      <w:r/>
      <w:bookmarkStart w:id="510" w:name="_Toc26456"/>
      <w:r/>
      <w:bookmarkStart w:id="511" w:name="_Toc12979"/>
      <w:r/>
      <w:bookmarkStart w:id="512" w:name="_Toc3836"/>
      <w:r>
        <w:rPr>
          <w:rFonts w:hint="eastAsia" w:ascii="宋体" w:hAnsi="宋体" w:cs="宋体"/>
          <w:b/>
          <w:color w:val="auto"/>
          <w:sz w:val="24"/>
          <w:highlight w:val="none"/>
        </w:rPr>
        <w:t xml:space="preserve">2.1绿化养护机械设备配置要求</w:t>
      </w:r>
      <w:bookmarkEnd w:id="503"/>
      <w:r/>
      <w:bookmarkEnd w:id="504"/>
      <w:r/>
      <w:bookmarkEnd w:id="505"/>
      <w:r/>
      <w:bookmarkEnd w:id="506"/>
      <w:r/>
      <w:bookmarkEnd w:id="507"/>
      <w:r/>
      <w:bookmarkEnd w:id="508"/>
      <w:r/>
      <w:bookmarkEnd w:id="509"/>
      <w:r/>
      <w:bookmarkEnd w:id="510"/>
      <w:r/>
      <w:bookmarkEnd w:id="511"/>
      <w:r/>
      <w:bookmarkEnd w:id="512"/>
      <w:r/>
      <w:r/>
    </w:p>
    <w:tbl>
      <w:tblPr>
        <w:tblStyle w:val="846"/>
        <w:tblW w:w="8836" w:type="dxa"/>
        <w:jc w:val="center"/>
        <w:tblLayout w:type="fixed"/>
        <w:tblCellMar>
          <w:left w:w="15" w:type="dxa"/>
          <w:top w:w="15" w:type="dxa"/>
          <w:right w:w="15" w:type="dxa"/>
          <w:bottom w:w="0" w:type="dxa"/>
        </w:tblCellMar>
        <w:tblLook w:val="04A0" w:firstRow="1" w:lastRow="0" w:firstColumn="1" w:lastColumn="0" w:noHBand="0" w:noVBand="1"/>
      </w:tblPr>
      <w:tblGrid>
        <w:gridCol w:w="615"/>
        <w:gridCol w:w="4362"/>
        <w:gridCol w:w="1304"/>
        <w:gridCol w:w="957"/>
        <w:gridCol w:w="1598"/>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品种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标准洒水车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高射程打药机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喷射高度大于30m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车载雾炮机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喷射高度大于30m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叶片灰尘冲洗机械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绿篱修剪机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hAnsi="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草坪旋耕机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hAnsi="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草坪修剪机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hAnsi="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油锯和高枝油锯（或电动高枝锯）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吸叶机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园林吹风机或鼓风机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施肥打孔机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地面打孔施肥</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树枝树叶粉碎机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登高作业机械（最大作业高度大于25m）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2轮巡查电动车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园内运送机械设备车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公园内日用的动力三轮车（容量大于2吨）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厢式货车（容量大于8吨）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手推式汽油打药机（大于160L）</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修枝剪、高枝剪等其他园林养护工具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水泵及浇灌皮管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高空作业车（最大作业高度大于25m）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有人驾驶清扫车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598" w:type="dxa"/>
            <w:vAlign w:val="center"/>
            <w:vMerge w:val="restart"/>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投入使用前，到公安部门履行相关手续</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无人植保机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598" w:type="dxa"/>
            <w:vAlign w:val="center"/>
            <w:vMerge w:val="continue"/>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无人巡侦机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4"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7" w:type="dxa"/>
            <w:vAlign w:val="center"/>
            <w:textDirection w:val="lrTb"/>
            <w:noWrap w:val="false"/>
          </w:tcPr>
          <w:p>
            <w:pPr>
              <w:pStyle w:val="1176"/>
              <w:jc w:val="center"/>
              <w:spacing w:before="0" w:beforeAutospacing="0" w:after="0" w:afterAutospacing="0" w:line="360" w:lineRule="exact"/>
              <w:rPr>
                <w:rFonts w:hint="eastAsia" w:hAnsi="宋体" w:eastAsia="宋体" w:cs="宋体"/>
                <w:color w:val="auto"/>
                <w:szCs w:val="21"/>
                <w:highlight w:val="none"/>
              </w:rPr>
            </w:pPr>
            <w:r>
              <w:rPr>
                <w:rFonts w:hint="eastAsia" w:hAnsi="宋体" w:eastAsia="宋体" w:cs="宋体"/>
                <w:color w:val="auto"/>
                <w:sz w:val="22"/>
                <w:szCs w:val="22"/>
                <w:highlight w:val="none"/>
              </w:rPr>
              <w:t xml:space="preserve">台</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vMerge w:val="continue"/>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62"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潜水式水泵</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59" w:type="dxa"/>
            <w:vAlign w:val="center"/>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r>
      <w:tr>
        <w:trPr>
          <w:jc w:val="center"/>
          <w:trHeight w:val="28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36" w:type="dxa"/>
            <w:vAlign w:val="center"/>
            <w:textDirection w:val="lrTb"/>
            <w:noWrap w:val="false"/>
          </w:tcPr>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1、投标人根据管养地块数量和管养质量要求，按需配备养护机械设备，并在投标时报送每类机械设备的具体数量，后期实际管养工作中如有需要，采购人有权根据实际管养需求，要求中标人增加机械设备数量（增加数量原则上不超过原有机械数量的两倍），因此产生的所有费用包含在本项目的报价内。</w:t>
            </w:r>
            <w:r/>
          </w:p>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2、提倡使用专业化园林机械，景观带病虫害需要时须采用飞机防治，不得使用交管部门禁行的“三小车辆”（机动三轮车、无牌无证电动四轮车、电动三轮车）上路进行管养作业。</w:t>
            </w:r>
            <w:r/>
          </w:p>
          <w:p>
            <w:pPr>
              <w:pStyle w:val="1164"/>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3、中标人必须提供1辆性能良好的车辆供项目管理使用，所产生的一切费用由中标人承担，项目结束后该车辆归还给中标人。</w:t>
            </w:r>
            <w:r/>
          </w:p>
        </w:tc>
      </w:tr>
    </w:tbl>
    <w:p>
      <w:pPr>
        <w:pStyle w:val="1166"/>
        <w:ind w:firstLine="482"/>
        <w:spacing w:line="400" w:lineRule="exact"/>
        <w:shd w:val="clear" w:color="auto" w:fill="ffffff"/>
        <w:rPr>
          <w:rFonts w:hint="eastAsia" w:ascii="宋体" w:hAnsi="宋体" w:cs="宋体"/>
          <w:b/>
          <w:color w:val="auto"/>
          <w:sz w:val="24"/>
          <w:highlight w:val="none"/>
        </w:rPr>
      </w:pPr>
      <w:r/>
      <w:bookmarkStart w:id="513" w:name="_Toc171"/>
      <w:r/>
      <w:bookmarkStart w:id="514" w:name="_Toc12217"/>
      <w:r/>
      <w:bookmarkStart w:id="515" w:name="_Toc16153"/>
      <w:r/>
      <w:bookmarkStart w:id="516" w:name="_Toc27965"/>
      <w:r/>
      <w:bookmarkStart w:id="517" w:name="_Toc18445"/>
      <w:r/>
      <w:bookmarkStart w:id="518" w:name="_Toc14646"/>
      <w:r/>
      <w:bookmarkStart w:id="519" w:name="_Toc23278"/>
      <w:r/>
      <w:bookmarkStart w:id="520" w:name="_Toc31626"/>
      <w:r/>
      <w:bookmarkStart w:id="521" w:name="_Toc2409"/>
      <w:r/>
      <w:bookmarkStart w:id="522" w:name="_Toc5204"/>
      <w:r>
        <w:rPr>
          <w:rFonts w:hint="eastAsia" w:ascii="宋体" w:hAnsi="宋体" w:cs="宋体"/>
          <w:b/>
          <w:color w:val="auto"/>
          <w:sz w:val="24"/>
          <w:highlight w:val="none"/>
        </w:rPr>
        <w:t xml:space="preserve">2.2 保安设备配置要求</w:t>
      </w:r>
      <w:bookmarkEnd w:id="513"/>
      <w:r/>
      <w:bookmarkEnd w:id="514"/>
      <w:r/>
      <w:bookmarkEnd w:id="515"/>
      <w:r/>
      <w:bookmarkEnd w:id="516"/>
      <w:r/>
      <w:bookmarkEnd w:id="517"/>
      <w:r/>
      <w:bookmarkEnd w:id="518"/>
      <w:r/>
      <w:bookmarkEnd w:id="519"/>
      <w:r/>
      <w:bookmarkEnd w:id="520"/>
      <w:r/>
      <w:bookmarkEnd w:id="521"/>
      <w:r/>
      <w:bookmarkEnd w:id="522"/>
      <w:r/>
      <w:r/>
    </w:p>
    <w:tbl>
      <w:tblPr>
        <w:tblStyle w:val="846"/>
        <w:tblW w:w="0" w:type="auto"/>
        <w:jc w:val="center"/>
        <w:tblLayout w:type="autofit"/>
        <w:tblCellMar>
          <w:left w:w="15" w:type="dxa"/>
          <w:top w:w="15" w:type="dxa"/>
          <w:right w:w="15" w:type="dxa"/>
          <w:bottom w:w="0" w:type="dxa"/>
        </w:tblCellMar>
        <w:tblLook w:val="04A0" w:firstRow="1" w:lastRow="0" w:firstColumn="1" w:lastColumn="0" w:noHBand="0" w:noVBand="1"/>
      </w:tblPr>
      <w:tblGrid>
        <w:gridCol w:w="297"/>
        <w:gridCol w:w="1063"/>
        <w:gridCol w:w="923"/>
        <w:gridCol w:w="981"/>
        <w:gridCol w:w="5499"/>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ind w:firstLine="42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其它要求</w:t>
            </w:r>
            <w:r/>
          </w:p>
        </w:tc>
      </w:tr>
      <w:tr>
        <w:trPr>
          <w:jc w:val="center"/>
          <w:trHeight w:val="1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2轮巡逻自行车和电动自行车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1.全新采购，统一设计喷涂“XX物业管理”标识，款式需经采购人审核同意。</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2.合同期内，外观及使用功能良好，表面无掉漆、无破损。部分车辆交由采购人用于日常巡查，由物业负责维保。</w:t>
            </w:r>
            <w:r/>
          </w:p>
        </w:tc>
      </w:tr>
      <w:tr>
        <w:trPr>
          <w:jc w:val="center"/>
          <w:trHeight w:val="1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3轮运输电瓶车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1.全新采购，按采购人要求统一设计喷涂“XX公园”标识，款式需经采购人审核同意。</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2.合同期内，外观及使用功能良好，表面无掉漆、无破损。其中一辆交由采购人用于日常巡查，由物业负责维保，不得上路作业。</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4轮电动冲洗车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全新，具有道路洒水、高压冲洗、消防灭火功能，载水量不低于1吨，不得上路作业。</w:t>
            </w:r>
            <w:r/>
          </w:p>
        </w:tc>
      </w:tr>
      <w:tr>
        <w:trPr>
          <w:jc w:val="center"/>
          <w:trHeight w:val="6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4轮巡逻电动车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全新，具有警示喇叭及夜间灯光,带扬声器播放文明引导广播。配灭火器和救生圈，不得上路作业。</w:t>
            </w:r>
            <w:r/>
          </w:p>
        </w:tc>
      </w:tr>
      <w:tr>
        <w:trPr>
          <w:jc w:val="center"/>
          <w:trHeight w:val="6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巡逻、救援快艇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载人量至少四人，时速不低于40公里/时，8成新，使用功能良好，按采购人要求统一标识。</w:t>
            </w:r>
            <w:r/>
          </w:p>
        </w:tc>
      </w:tr>
      <w:tr>
        <w:trPr>
          <w:jc w:val="cente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保安服装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每年发放夏装、春秋装、冬装每人每季至少2套（需按采购人要求采购）</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考勤机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人脸识别、指纹一体机。</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对讲机等执勤设备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岗位需求配备（不低于十五台），合同期内使用功能良好，信号覆盖面积不得低于5公里，且对讲清晰、信号不中断。对讲机、肩灯、手电筒等执勤设备按岗位需求配备，合同期内使用功能良好，信号覆盖面积不得低于10公里，且对讲清晰、信号不中断。</w:t>
            </w:r>
            <w:r/>
          </w:p>
        </w:tc>
      </w:tr>
      <w:tr>
        <w:trPr>
          <w:jc w:val="center"/>
          <w:trHeight w:val="3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扬声器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带U盘播放功能，合同期内使用功能良好。</w:t>
            </w:r>
            <w:r/>
          </w:p>
        </w:tc>
      </w:tr>
      <w:tr>
        <w:trPr>
          <w:jc w:val="center"/>
          <w:trHeight w:val="5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劳保用品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雨衣、雨鞋、手套、毛巾等，至少每半年发放一次；坏损能及时更新，夏季发放防暑降温物资。</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高压冲洗设备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全新，具有道路洒水、高压冲洗、消防灭火功能</w:t>
            </w:r>
            <w:r/>
          </w:p>
        </w:tc>
      </w:tr>
      <w:tr>
        <w:trPr>
          <w:jc w:val="center"/>
          <w:trHeight w:val="5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救援设施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（救援绳、救生圈等）运河岸边设置，间距为30米</w:t>
            </w:r>
            <w:r/>
          </w:p>
        </w:tc>
      </w:tr>
      <w:tr>
        <w:trPr>
          <w:jc w:val="center"/>
          <w:trHeight w:val="5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 w:type="dxa"/>
            <w:vAlign w:val="center"/>
            <w:textDirection w:val="lrTb"/>
            <w:noWrap w:val="false"/>
          </w:tcPr>
          <w:p>
            <w:pPr>
              <w:pStyle w:val="850"/>
              <w:jc w:val="center"/>
              <w:widowControl/>
              <w:rPr>
                <w:rFonts w:hint="eastAsia" w:ascii="宋体" w:hAnsi="宋体" w:cs="宋体"/>
                <w:color w:val="auto"/>
                <w:szCs w:val="21"/>
                <w:highlight w:val="none"/>
              </w:rPr>
            </w:pPr>
            <w:r/>
            <w:bookmarkStart w:id="523" w:name="_Toc24419"/>
            <w:r/>
            <w:bookmarkStart w:id="524" w:name="_Toc13321"/>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3"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防恐器械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1"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防暴脚叉、防爆棍、伸缩钢叉、防暴盾牌、防刺服等</w:t>
            </w:r>
            <w:r/>
          </w:p>
        </w:tc>
      </w:tr>
    </w:tbl>
    <w:p>
      <w:pPr>
        <w:pStyle w:val="1166"/>
        <w:ind w:firstLine="482"/>
        <w:spacing w:line="400" w:lineRule="exact"/>
        <w:shd w:val="clear" w:color="auto" w:fill="ffffff"/>
        <w:rPr>
          <w:rFonts w:hint="eastAsia" w:ascii="宋体" w:hAnsi="宋体" w:cs="宋体"/>
          <w:b/>
          <w:color w:val="auto"/>
          <w:sz w:val="24"/>
          <w:highlight w:val="none"/>
        </w:rPr>
      </w:pPr>
      <w:r/>
      <w:bookmarkStart w:id="525" w:name="_Toc10252"/>
      <w:r/>
      <w:bookmarkStart w:id="526" w:name="_Toc25653"/>
      <w:r/>
      <w:bookmarkStart w:id="527" w:name="_Toc3440"/>
      <w:r/>
      <w:bookmarkStart w:id="528" w:name="_Toc17466"/>
      <w:r/>
      <w:bookmarkStart w:id="529" w:name="_Toc7776"/>
      <w:r/>
      <w:bookmarkStart w:id="530" w:name="_Toc3160"/>
      <w:r/>
      <w:bookmarkStart w:id="531" w:name="_Toc32236"/>
      <w:r/>
      <w:bookmarkStart w:id="532" w:name="_Toc24343"/>
      <w:r>
        <w:rPr>
          <w:rFonts w:hint="eastAsia" w:ascii="宋体" w:hAnsi="宋体" w:cs="宋体"/>
          <w:b/>
          <w:color w:val="auto"/>
          <w:sz w:val="24"/>
          <w:highlight w:val="none"/>
        </w:rPr>
        <w:t xml:space="preserve">2.3保洁设备配置要求</w:t>
      </w:r>
      <w:bookmarkEnd w:id="523"/>
      <w:r/>
      <w:bookmarkEnd w:id="524"/>
      <w:r/>
      <w:bookmarkEnd w:id="525"/>
      <w:r/>
      <w:bookmarkEnd w:id="526"/>
      <w:r/>
      <w:bookmarkEnd w:id="527"/>
      <w:r/>
      <w:bookmarkEnd w:id="528"/>
      <w:r/>
      <w:bookmarkEnd w:id="529"/>
      <w:r/>
      <w:bookmarkEnd w:id="530"/>
      <w:r/>
      <w:bookmarkEnd w:id="531"/>
      <w:r/>
      <w:bookmarkEnd w:id="532"/>
      <w:r/>
      <w:r/>
    </w:p>
    <w:tbl>
      <w:tblPr>
        <w:tblStyle w:val="846"/>
        <w:tblW w:w="0" w:type="auto"/>
        <w:jc w:val="center"/>
        <w:tblLayout w:type="autofit"/>
        <w:tblCellMar>
          <w:left w:w="15" w:type="dxa"/>
          <w:top w:w="15" w:type="dxa"/>
          <w:right w:w="15" w:type="dxa"/>
          <w:bottom w:w="0" w:type="dxa"/>
        </w:tblCellMar>
        <w:tblLook w:val="04A0" w:firstRow="1" w:lastRow="0" w:firstColumn="1" w:lastColumn="0" w:noHBand="0" w:noVBand="1"/>
      </w:tblPr>
      <w:tblGrid>
        <w:gridCol w:w="319"/>
        <w:gridCol w:w="953"/>
        <w:gridCol w:w="1023"/>
        <w:gridCol w:w="969"/>
        <w:gridCol w:w="5499"/>
      </w:tblGrid>
      <w:tr>
        <w:trPr>
          <w:jc w:val="cente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其它要求</w:t>
            </w:r>
            <w:r/>
          </w:p>
        </w:tc>
      </w:tr>
      <w:tr>
        <w:trPr>
          <w:jc w:val="center"/>
          <w:trHeight w:val="12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垃圾转运车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1.带斗货车兼垃圾车（箱体容量不低于5m³，载重不低于1吨）（维修、运输等均可使用）。</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2.不列入该规定垃圾车数量内。</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3.合同期内保持垃圾外运车辆外观及使用功能良好，样式新颖。</w:t>
            </w:r>
            <w:r/>
          </w:p>
        </w:tc>
      </w:tr>
      <w:tr>
        <w:trPr>
          <w:jc w:val="center"/>
          <w:trHeight w:val="13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水面保洁船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1.其中一艘长度≥10米、宽度≥2米，具有动力设施，发动机马力不低于40HP，船只前段安装自动收割传输系统。</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2.主要用于日常水面垃圾清洁、水草打捞，燃油、维修保养等费用投标人自行考虑。款式需经采购人审核同意。</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3.合同期内保持外观及使用功能良好。</w:t>
            </w:r>
            <w:r/>
          </w:p>
        </w:tc>
      </w:tr>
      <w:tr>
        <w:trPr>
          <w:jc w:val="center"/>
          <w:trHeight w:val="9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小型半自动水草收割船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水草装载量不低于2吨，双明轮液压推进、收集舱前端底部安装切割装置，不锈钢收集带输送，能根据水深调节收集深度，自驾驶装置，人员防落水保护护栏等，时速不低于15km/h。</w:t>
            </w:r>
            <w:r/>
          </w:p>
        </w:tc>
      </w:tr>
      <w:tr>
        <w:trPr>
          <w:jc w:val="center"/>
          <w:trHeight w:val="5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保洁车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8成新，带斗专用保洁车（箱体容量不低于0.6m³，载重不低于100kg），可放置保洁工具，车辆样式需经采购人审核。</w:t>
            </w:r>
            <w:r/>
          </w:p>
        </w:tc>
      </w:tr>
      <w:tr>
        <w:trPr>
          <w:jc w:val="center"/>
          <w:trHeight w:val="2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防水裤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vMerge w:val="restart"/>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vMerge w:val="restart"/>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坏损及时更新</w:t>
            </w:r>
            <w:r/>
          </w:p>
        </w:tc>
      </w:tr>
      <w:tr>
        <w:trPr>
          <w:jc w:val="center"/>
          <w:trHeight w:val="2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劳保用品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vMerge w:val="continue"/>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vMerge w:val="continue"/>
            <w:textDirection w:val="lrTb"/>
            <w:noWrap w:val="false"/>
          </w:tcPr>
          <w:p>
            <w:pPr>
              <w:pStyle w:val="850"/>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保洁工具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vMerge w:val="continue"/>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vMerge w:val="continue"/>
            <w:textDirection w:val="lrTb"/>
            <w:noWrap w:val="false"/>
          </w:tcPr>
          <w:p>
            <w:pPr>
              <w:pStyle w:val="850"/>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除四害设备及药物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vMerge w:val="continue"/>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vMerge w:val="continue"/>
            <w:textDirection w:val="lrTb"/>
            <w:noWrap w:val="false"/>
          </w:tcPr>
          <w:p>
            <w:pPr>
              <w:pStyle w:val="850"/>
              <w:jc w:val="lef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保洁服装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全新，每年发放夏装、春秋装、冬装每人每季至少2套。（材质及款式需按采购人要求采购，雨衣按需增加配备，坏损后及时更新）</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活动脚手架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用于木质结构及门窗保洁和维修工作</w:t>
            </w:r>
            <w:r/>
          </w:p>
        </w:tc>
      </w:tr>
      <w:tr>
        <w:trPr>
          <w:jc w:val="center"/>
          <w:trHeight w:val="4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厕所耗材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99"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地刷、抹布、洗衣粉、草酸、拖把、蚊香、卫生球、纸篓、垃圾袋及卫生纸等按采购人要求按需提供</w:t>
            </w:r>
            <w:r/>
          </w:p>
        </w:tc>
      </w:tr>
    </w:tbl>
    <w:p>
      <w:pPr>
        <w:pStyle w:val="1164"/>
        <w:ind w:firstLine="482"/>
        <w:spacing w:line="400" w:lineRule="exact"/>
        <w:shd w:val="clear" w:color="auto" w:fill="ffffff"/>
        <w:rPr>
          <w:rFonts w:hint="eastAsia" w:ascii="宋体" w:hAnsi="宋体" w:cs="宋体"/>
          <w:b/>
          <w:bCs/>
          <w:color w:val="auto"/>
          <w:sz w:val="24"/>
          <w:highlight w:val="none"/>
        </w:rPr>
      </w:pPr>
      <w:r/>
      <w:bookmarkStart w:id="533" w:name="_Toc22694"/>
      <w:r/>
      <w:bookmarkStart w:id="534" w:name="_Toc2570"/>
      <w:r/>
      <w:bookmarkStart w:id="535" w:name="_Toc8339"/>
      <w:r/>
      <w:bookmarkStart w:id="536" w:name="_Toc11422"/>
      <w:r/>
      <w:bookmarkStart w:id="537" w:name="_Toc12005"/>
      <w:r/>
      <w:bookmarkStart w:id="538" w:name="_Toc20609"/>
      <w:r/>
      <w:bookmarkStart w:id="539" w:name="_Toc16402"/>
      <w:r/>
      <w:bookmarkStart w:id="540" w:name="_Toc19591"/>
      <w:r/>
      <w:bookmarkStart w:id="541" w:name="_Toc31610"/>
      <w:r/>
      <w:bookmarkStart w:id="542" w:name="_Toc4734"/>
      <w:r>
        <w:rPr>
          <w:rFonts w:hint="eastAsia" w:ascii="宋体" w:hAnsi="宋体" w:cs="宋体"/>
          <w:b/>
          <w:bCs/>
          <w:color w:val="auto"/>
          <w:sz w:val="24"/>
          <w:highlight w:val="none"/>
        </w:rPr>
        <w:t xml:space="preserve">2.4维修工设备及材料配置要求</w:t>
      </w:r>
      <w:bookmarkEnd w:id="533"/>
      <w:r/>
      <w:bookmarkEnd w:id="534"/>
      <w:r/>
      <w:bookmarkEnd w:id="535"/>
      <w:r/>
      <w:bookmarkEnd w:id="536"/>
      <w:r/>
      <w:bookmarkEnd w:id="537"/>
      <w:r/>
      <w:bookmarkEnd w:id="538"/>
      <w:r/>
      <w:bookmarkEnd w:id="539"/>
      <w:r/>
      <w:bookmarkEnd w:id="540"/>
      <w:r/>
      <w:bookmarkEnd w:id="541"/>
      <w:r/>
      <w:bookmarkEnd w:id="542"/>
      <w:r/>
      <w:r/>
    </w:p>
    <w:tbl>
      <w:tblPr>
        <w:tblStyle w:val="846"/>
        <w:tblW w:w="0" w:type="auto"/>
        <w:jc w:val="center"/>
        <w:tblLayout w:type="autofit"/>
        <w:tblCellMar>
          <w:left w:w="15" w:type="dxa"/>
          <w:top w:w="15" w:type="dxa"/>
          <w:right w:w="15" w:type="dxa"/>
          <w:bottom w:w="0" w:type="dxa"/>
        </w:tblCellMar>
        <w:tblLook w:val="04A0" w:firstRow="1" w:lastRow="0" w:firstColumn="1" w:lastColumn="0" w:noHBand="0" w:noVBand="1"/>
      </w:tblPr>
      <w:tblGrid>
        <w:gridCol w:w="323"/>
        <w:gridCol w:w="956"/>
        <w:gridCol w:w="1050"/>
        <w:gridCol w:w="959"/>
        <w:gridCol w:w="5475"/>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其它要求</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工作服和劳保用品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夏装、春秋装、冬装每人每季至少2套；手套、口罩、毛巾等，至少每半年发放一次；夏季发放防暑降温物资。</w:t>
            </w:r>
            <w:r/>
          </w:p>
        </w:tc>
      </w:tr>
      <w:tr>
        <w:trPr>
          <w:jc w:val="center"/>
          <w:trHeight w:val="25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维修工具和设备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1.中标人自行配备公园给排水、强弱电、铁质、木质、石质等材料维修所使用的工具。</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2.中标人自行采购或租赁公园维修中需使用的发电机、电焊机、氩弧焊机、热熔机、熔纤机、电镐、两用电钻、切割机等设备，按需增配相关工具，及时更新丢失及坏损工具。</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3.中标人所配备的维修工具无法完成相应维修保养工作时，中标人需自行租赁、借用相应维修机械（如叉车、吊车、挖机、装载机、平台车、顶管机等），相应费用由中标人自行承担。</w:t>
            </w:r>
            <w:r/>
          </w:p>
        </w:tc>
      </w:tr>
      <w:tr>
        <w:trPr>
          <w:jc w:val="center"/>
          <w:trHeight w:val="8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维修材料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中标人按需常备零星维修材料及简单耗材，如油漆、水泥，各类胶水、胶带，螺丝、螺帽、钉子、锁、彩旗、扎丝、焊条等简单耗材以及各类型号的快速接、阀门等维修材料。</w:t>
            </w:r>
            <w:r/>
          </w:p>
        </w:tc>
      </w:tr>
      <w:tr>
        <w:trPr>
          <w:jc w:val="center"/>
          <w:trHeight w:val="8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小型维修车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1.经采购人审核同意后配备</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2.带斗电动车，维修工工作用车，用于维修材料运输。</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3.合同期内使用功能良好。</w:t>
            </w:r>
            <w:r/>
          </w:p>
        </w:tc>
      </w:tr>
      <w:tr>
        <w:trPr>
          <w:jc w:val="cente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安全防护用品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绝缘服装、绝缘手套、绝缘鞋等按需配备，合同期内使用功能良好，及时更新。</w:t>
            </w:r>
            <w:r/>
          </w:p>
        </w:tc>
      </w:tr>
      <w:tr>
        <w:trPr>
          <w:jc w:val="center"/>
          <w:trHeight w:val="8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带斗维修车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1.全新采购，款式经采购人审核同意后采购。</w:t>
            </w:r>
            <w:r/>
          </w:p>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2.用于维修材料运输。</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3.合同期内使用功能良好。</w:t>
            </w:r>
            <w:r/>
          </w:p>
        </w:tc>
      </w:tr>
      <w:tr>
        <w:trPr>
          <w:jc w:val="center"/>
          <w:trHeight w:val="9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高空作业平台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1.自行走、电动剪叉式液压升降平台，最小升高不低于8米。</w:t>
            </w:r>
            <w:r/>
          </w:p>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2.使用功能良好，8成新。</w:t>
            </w:r>
            <w:r/>
          </w:p>
        </w:tc>
      </w:tr>
      <w:tr>
        <w:trPr>
          <w:jc w:val="center"/>
          <w:trHeight w:val="6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按需配备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维修须使用的吊车、叉车、挖机、装载车等，中标人须根据实际情况外租使用，可能产生的费用纳入本项目合同价款中，采购人不再额外支付。</w:t>
            </w:r>
            <w:r/>
          </w:p>
        </w:tc>
      </w:tr>
      <w:tr>
        <w:trPr>
          <w:jc w:val="center"/>
          <w:trHeight w:val="6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6"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维修货车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9" w:type="dxa"/>
            <w:vAlign w:val="center"/>
            <w:textDirection w:val="lrTb"/>
            <w:noWrap w:val="false"/>
          </w:tcPr>
          <w:p>
            <w:pPr>
              <w:pStyle w:val="850"/>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75" w:type="dxa"/>
            <w:vAlign w:val="center"/>
            <w:textDirection w:val="lrTb"/>
            <w:noWrap w:val="false"/>
          </w:tcPr>
          <w:p>
            <w:pPr>
              <w:pStyle w:val="850"/>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经采购人审核同意后采购。带斗电动车，维修工工作用车，用于维修材料运输。合同期内使用功能良好。</w:t>
            </w:r>
            <w:r/>
          </w:p>
        </w:tc>
      </w:tr>
    </w:tbl>
    <w:p>
      <w:pPr>
        <w:pStyle w:val="1166"/>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p>
    <w:p>
      <w:pPr>
        <w:pStyle w:val="1166"/>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2、采购人不提供办公地点，中标人须在片区附近有固定办公和设备放置地点，中标人如使用采购人空置房屋作为办公或存储用房，须按采购人要求进行使用。</w:t>
      </w:r>
      <w:r/>
    </w:p>
    <w:p>
      <w:pPr>
        <w:pStyle w:val="1166"/>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3、合同期内，所有设施设备需保持8成新，不得因设备坏损等原因影响维修工。</w:t>
      </w:r>
      <w:r/>
    </w:p>
    <w:p>
      <w:pPr>
        <w:pStyle w:val="1166"/>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4、劳保用品、保洁工具、维修工设备及材料配备等按需配备的内容投标时无须提供数量，待中标人进场后报采购人审核，经采购人审核后方可进场。</w:t>
      </w:r>
      <w:r/>
    </w:p>
    <w:p>
      <w:pPr>
        <w:pStyle w:val="1166"/>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5、其它必备的养护设备、机械、工具、材料等未在清单中详细罗列的，投标人需按实际养护要求充足提供，因此产生的所有费用包含在本项目的报价内。</w:t>
      </w:r>
      <w:bookmarkStart w:id="543" w:name="_Toc11593"/>
      <w:r/>
      <w:bookmarkStart w:id="544" w:name="_Toc3368"/>
      <w:r/>
      <w:bookmarkStart w:id="545" w:name="_Toc256000019"/>
      <w:r/>
      <w:bookmarkStart w:id="546" w:name="_Toc28793"/>
      <w:r/>
      <w:bookmarkStart w:id="547" w:name="_Toc27832"/>
      <w:r/>
      <w:bookmarkStart w:id="548" w:name="_Toc3221"/>
      <w:r/>
      <w:bookmarkStart w:id="549" w:name="_Toc78817316"/>
      <w:r/>
      <w:bookmarkStart w:id="550" w:name="_Toc13875"/>
      <w:r/>
      <w:bookmarkStart w:id="551" w:name="_Toc256000058"/>
      <w:r/>
      <w:bookmarkStart w:id="552" w:name="_Toc16960"/>
      <w:r/>
      <w:bookmarkStart w:id="553" w:name="_Toc19999"/>
      <w:r/>
      <w:bookmarkStart w:id="554" w:name="_Toc20337"/>
      <w:r/>
      <w:bookmarkStart w:id="555" w:name="_Toc16188"/>
      <w:r/>
      <w:bookmarkStart w:id="556" w:name="_Toc24275"/>
      <w:r/>
      <w:bookmarkStart w:id="557" w:name="_Toc31588"/>
      <w:r/>
      <w:r/>
    </w:p>
    <w:p>
      <w:pPr>
        <w:pStyle w:val="1166"/>
        <w:ind w:firstLine="562"/>
        <w:spacing w:line="40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（四）质量标准</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pStyle w:val="850"/>
        <w:jc w:val="center"/>
        <w:spacing w:line="600" w:lineRule="exact"/>
        <w:shd w:val="clear" w:color="auto" w:fill="ffffff"/>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宿迁市城市园林绿化分级管养标准</w:t>
      </w:r>
      <w:r/>
    </w:p>
    <w:p>
      <w:pPr>
        <w:pStyle w:val="850"/>
        <w:jc w:val="left"/>
        <w:spacing w:line="400" w:lineRule="exact"/>
        <w:shd w:val="clear" w:color="auto" w:fill="ffff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说明：我市城市园林绿化实施分级管养，管养等级由高到低分为一、二、三级。</w:t>
      </w:r>
      <w:r>
        <w:rPr>
          <w:rFonts w:hint="eastAsia" w:ascii="宋体" w:hAnsi="宋体" w:cs="宋体"/>
          <w:color w:val="auto"/>
          <w:szCs w:val="21"/>
          <w:highlight w:val="none"/>
          <w:lang w:val="en-US" w:eastAsia="zh-CN"/>
        </w:rPr>
        <w:t xml:space="preserve">该标准如修订，则按新标准执行。</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一、管养等级确定原则</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根据城市绿地规模、位置、性质和重要程度等综合因素确定我市城市绿地管养等级。</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二、分级管养绿地范围</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（一）一级管养绿地</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具有安保服务需求的公园绿地。</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（二）二级管养绿地</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能满足一定区域居民休闲游憩需求的公园绿地和广场绿地；单位庭院开放绿地；城市主干道及次干道附属绿地等。</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（三）三级管养绿地</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除一级、二级以外的其它公园绿地和道路附属绿地。</w:t>
      </w:r>
      <w:r/>
    </w:p>
    <w:p>
      <w:pPr>
        <w:pStyle w:val="850"/>
        <w:jc w:val="left"/>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r>
      <w:r/>
    </w:p>
    <w:tbl>
      <w:tblPr>
        <w:tblStyle w:val="846"/>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4" w:type="dxa"/>
          <w:top w:w="34" w:type="dxa"/>
          <w:right w:w="34" w:type="dxa"/>
          <w:bottom w:w="34" w:type="dxa"/>
        </w:tblCellMar>
        <w:tblLook w:val="04A0" w:firstRow="1" w:lastRow="0" w:firstColumn="1" w:lastColumn="0" w:noHBand="0" w:noVBand="1"/>
      </w:tblPr>
      <w:tblGrid>
        <w:gridCol w:w="277"/>
        <w:gridCol w:w="493"/>
        <w:gridCol w:w="722"/>
        <w:gridCol w:w="2832"/>
        <w:gridCol w:w="2666"/>
        <w:gridCol w:w="2863"/>
      </w:tblGrid>
      <w:tr>
        <w:trPr>
          <w:jc w:val="center"/>
          <w:trHeight w:val="295"/>
        </w:trPr>
        <w:tc>
          <w:tcPr>
            <w:gridSpan w:val="2"/>
            <w:tcMar>
              <w:left w:w="34" w:type="dxa"/>
              <w:top w:w="34" w:type="dxa"/>
              <w:right w:w="34" w:type="dxa"/>
              <w:bottom w:w="34" w:type="dxa"/>
            </w:tcMar>
            <w:tcW w:w="770" w:type="dxa"/>
            <w:vAlign w:val="center"/>
            <w:textDirection w:val="lrTb"/>
            <w:noWrap w:val="false"/>
          </w:tcPr>
          <w:p>
            <w:pPr>
              <w:pStyle w:val="850"/>
              <w:ind w:firstLine="105"/>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管养分级</w:t>
            </w:r>
            <w:r/>
          </w:p>
        </w:tc>
        <w:tc>
          <w:tcPr>
            <w:gridSpan w:val="2"/>
            <w:tcMar>
              <w:left w:w="34" w:type="dxa"/>
              <w:top w:w="34" w:type="dxa"/>
              <w:right w:w="34" w:type="dxa"/>
              <w:bottom w:w="34" w:type="dxa"/>
            </w:tcMar>
            <w:tcW w:w="3554" w:type="dxa"/>
            <w:vAlign w:val="center"/>
            <w:textDirection w:val="lrTb"/>
            <w:noWrap w:val="false"/>
          </w:tcPr>
          <w:p>
            <w:pPr>
              <w:pStyle w:val="850"/>
              <w:ind w:firstLine="42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一级管养绿地</w:t>
            </w:r>
            <w:r/>
          </w:p>
        </w:tc>
        <w:tc>
          <w:tcPr>
            <w:tcMar>
              <w:left w:w="34" w:type="dxa"/>
              <w:top w:w="34" w:type="dxa"/>
              <w:right w:w="34" w:type="dxa"/>
              <w:bottom w:w="34" w:type="dxa"/>
            </w:tcMar>
            <w:tcW w:w="2666" w:type="dxa"/>
            <w:vAlign w:val="center"/>
            <w:textDirection w:val="lrTb"/>
            <w:noWrap w:val="false"/>
          </w:tcPr>
          <w:p>
            <w:pPr>
              <w:pStyle w:val="850"/>
              <w:ind w:firstLine="42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二级管养绿地</w:t>
            </w:r>
            <w:r/>
          </w:p>
        </w:tc>
        <w:tc>
          <w:tcPr>
            <w:tcMar>
              <w:left w:w="34" w:type="dxa"/>
              <w:top w:w="34" w:type="dxa"/>
              <w:right w:w="34" w:type="dxa"/>
              <w:bottom w:w="34" w:type="dxa"/>
            </w:tcMar>
            <w:tcW w:w="2863" w:type="dxa"/>
            <w:vAlign w:val="center"/>
            <w:textDirection w:val="lrTb"/>
            <w:noWrap w:val="false"/>
          </w:tcPr>
          <w:p>
            <w:pPr>
              <w:pStyle w:val="850"/>
              <w:ind w:firstLine="42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三级管养绿地</w:t>
            </w:r>
            <w:r/>
          </w:p>
        </w:tc>
      </w:tr>
      <w:tr>
        <w:trPr>
          <w:jc w:val="center"/>
          <w:trHeight w:val="90"/>
        </w:trPr>
        <w:tc>
          <w:tcPr>
            <w:gridSpan w:val="2"/>
            <w:tcMar>
              <w:left w:w="34" w:type="dxa"/>
              <w:top w:w="34" w:type="dxa"/>
              <w:right w:w="34" w:type="dxa"/>
              <w:bottom w:w="34" w:type="dxa"/>
            </w:tcMar>
            <w:tcW w:w="770" w:type="dxa"/>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整体观感要求</w:t>
            </w:r>
            <w:r/>
          </w:p>
          <w:p>
            <w:pPr>
              <w:pStyle w:val="850"/>
              <w:ind w:firstLine="210"/>
              <w:jc w:val="left"/>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Mar>
              <w:left w:w="34" w:type="dxa"/>
              <w:top w:w="34" w:type="dxa"/>
              <w:right w:w="34" w:type="dxa"/>
              <w:bottom w:w="34" w:type="dxa"/>
            </w:tcMar>
            <w:tcW w:w="3554"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植物生长健壮，管养精细；公园设施使用功能和外观均良好；保安24h值守看护；园容园貌整洁美观。</w:t>
            </w:r>
            <w:r/>
          </w:p>
        </w:tc>
        <w:tc>
          <w:tcPr>
            <w:tcMar>
              <w:left w:w="34" w:type="dxa"/>
              <w:top w:w="34" w:type="dxa"/>
              <w:right w:w="34" w:type="dxa"/>
              <w:bottom w:w="34" w:type="dxa"/>
            </w:tcMar>
            <w:tcW w:w="2666"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植物生长健康，管养精细；各类设施功能正常，外观良好，维护及时；绿地整洁，观感舒适。</w:t>
            </w:r>
            <w:r/>
          </w:p>
        </w:tc>
        <w:tc>
          <w:tcPr>
            <w:tcMar>
              <w:left w:w="34" w:type="dxa"/>
              <w:top w:w="34" w:type="dxa"/>
              <w:right w:w="34" w:type="dxa"/>
              <w:bottom w:w="34" w:type="dxa"/>
            </w:tcMar>
            <w:tcW w:w="2863"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植物生长正常，及时采取管养措施，无死树；服务设施功能正常，维护及时；绿地清洁无杂物，无遗留的树桩。</w:t>
            </w:r>
            <w:r/>
          </w:p>
        </w:tc>
      </w:tr>
      <w:tr>
        <w:trPr>
          <w:jc w:val="center"/>
          <w:trHeight w:val="90"/>
        </w:trPr>
        <w:tc>
          <w:tcPr>
            <w:tcMar>
              <w:left w:w="34" w:type="dxa"/>
              <w:top w:w="34" w:type="dxa"/>
              <w:right w:w="34" w:type="dxa"/>
              <w:bottom w:w="34" w:type="dxa"/>
            </w:tcMar>
            <w:tcW w:w="277"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林</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植</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物</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（以株计量树木）</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管</w:t>
            </w:r>
            <w:r/>
          </w:p>
          <w:p>
            <w:pPr>
              <w:pStyle w:val="850"/>
              <w:jc w:val="center"/>
              <w:spacing w:line="2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养</w:t>
            </w:r>
            <w:r/>
          </w:p>
        </w:tc>
        <w:tc>
          <w:tcPr>
            <w:tcMar>
              <w:left w:w="34" w:type="dxa"/>
              <w:top w:w="34" w:type="dxa"/>
              <w:right w:w="34" w:type="dxa"/>
              <w:bottom w:w="34" w:type="dxa"/>
            </w:tcMar>
            <w:tcW w:w="493"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以株计量树木管养共性要求</w:t>
            </w:r>
            <w:r/>
          </w:p>
        </w:tc>
        <w:tc>
          <w:tcPr>
            <w:gridSpan w:val="2"/>
            <w:tcMar>
              <w:left w:w="34" w:type="dxa"/>
              <w:top w:w="34" w:type="dxa"/>
              <w:right w:w="34" w:type="dxa"/>
              <w:bottom w:w="34" w:type="dxa"/>
            </w:tcMar>
            <w:tcW w:w="3554"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（1）树形优美；</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（2）对根颈处为草坪、地被植物或草花的树穴进行切边，树穴切边美观，尺寸合宜,裸土采用摩奇或其它环保有机物整齐覆盖；</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（3）病虫害预防良好，无可视病虫危害症状。</w:t>
            </w:r>
            <w:r/>
          </w:p>
        </w:tc>
        <w:tc>
          <w:tcPr>
            <w:tcMar>
              <w:left w:w="34" w:type="dxa"/>
              <w:top w:w="34" w:type="dxa"/>
              <w:right w:w="34" w:type="dxa"/>
              <w:bottom w:w="34" w:type="dxa"/>
            </w:tcMar>
            <w:tcW w:w="2666"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（1）植株健壮，树冠完整（造型树除外），枝叶茂盛；</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（2）对根颈处为草坪或草花的树穴进行切边，树穴内无杂草，裸土采用摩奇或其它环保有机物均匀覆盖，并长期保持；</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（3）生长期无枯枝枯叶，无断枝伤枝。</w:t>
            </w:r>
            <w:r/>
          </w:p>
        </w:tc>
        <w:tc>
          <w:tcPr>
            <w:tcMar>
              <w:left w:w="34" w:type="dxa"/>
              <w:top w:w="34" w:type="dxa"/>
              <w:right w:w="34" w:type="dxa"/>
              <w:bottom w:w="34" w:type="dxa"/>
            </w:tcMar>
            <w:tcW w:w="2863" w:type="dxa"/>
            <w:vAlign w:val="center"/>
            <w:textDirection w:val="lrTb"/>
            <w:noWrap w:val="false"/>
          </w:tcPr>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（1）生长正常，全树无积尘、无污渍，无挂树杂物；</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（2）树木不歪斜（造型树或特殊栽植要求树木除外），叶片不萎蔫；</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（3）树穴整齐，无根颈处萌条，根部无漏修剪高草或色块高出枝，无攀爬树体的藤蔓或其它附着物，无垃圾杂物；</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（4）树木枝干上无木板、铁丝、钉子、绳索等拴挂、附着物；</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（5）病虫害防治及时，基本无病虫危害症状，树冠下土壤含水量适宜，及时更换或清除死树、重损伤树。</w:t>
            </w:r>
            <w:r/>
          </w:p>
        </w:tc>
      </w:tr>
      <w:tr>
        <w:trPr>
          <w:jc w:val="center"/>
          <w:trHeight w:val="90"/>
        </w:trPr>
        <w:tc>
          <w:tcPr>
            <w:tcMar>
              <w:left w:w="34" w:type="dxa"/>
              <w:top w:w="34" w:type="dxa"/>
              <w:right w:w="34" w:type="dxa"/>
              <w:bottom w:w="34" w:type="dxa"/>
            </w:tcMar>
            <w:tcW w:w="277"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493"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乔木管养个性要求</w:t>
            </w:r>
            <w:r/>
          </w:p>
        </w:tc>
        <w:tc>
          <w:tcPr>
            <w:gridSpan w:val="3"/>
            <w:tcMar>
              <w:left w:w="34" w:type="dxa"/>
              <w:top w:w="34" w:type="dxa"/>
              <w:right w:w="34" w:type="dxa"/>
              <w:bottom w:w="34" w:type="dxa"/>
            </w:tcMar>
            <w:tcW w:w="6220" w:type="dxa"/>
            <w:vAlign w:val="center"/>
            <w:textDirection w:val="lrTb"/>
            <w:noWrap w:val="false"/>
          </w:tcPr>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（1）树皮无开裂，无断头烂桩；</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（2）修剪合理，分枝点合适，主侧枝分布匀称、数量合宜，内膛不乱，树冠通风透光，无多余萌条、徒长枝、交叉重叠枝等；</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（3）孤植树、行道树形态优美，树形骨架良好；丛植、群植树疏密得当，群落外观良好；</w:t>
            </w:r>
            <w:r/>
          </w:p>
          <w:p>
            <w:pPr>
              <w:pStyle w:val="850"/>
              <w:ind w:firstLine="315"/>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（4）行道树树池盖板无松动、缺损、起翘，池体无杂草，树木支撑整齐规范。</w:t>
            </w:r>
            <w:r/>
          </w:p>
        </w:tc>
        <w:tc>
          <w:tcPr>
            <w:tcMar>
              <w:left w:w="34" w:type="dxa"/>
              <w:top w:w="34" w:type="dxa"/>
              <w:right w:w="34" w:type="dxa"/>
              <w:bottom w:w="34" w:type="dxa"/>
            </w:tcMar>
            <w:tcW w:w="2863" w:type="dxa"/>
            <w:vAlign w:val="center"/>
            <w:textDirection w:val="lrTb"/>
            <w:noWrap w:val="false"/>
          </w:tcPr>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（1）修剪较合理，无明显内膛枝、萌条、交叉重叠枝，无影响通行下垂枝；</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（2）无树干萌条；</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（3）树穴设施完好，盖板平整，无明显松动、缺损、起翘，池体整洁，无明显杂草，树木支撑较整齐规范；</w:t>
            </w:r>
            <w:r/>
          </w:p>
          <w:p>
            <w:pPr>
              <w:pStyle w:val="1168"/>
              <w:ind w:left="116"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（4）有树穴池的行道树无缺株，其余地块无明显缺株。</w:t>
            </w:r>
            <w:r/>
          </w:p>
        </w:tc>
      </w:tr>
      <w:tr>
        <w:trPr>
          <w:jc w:val="center"/>
          <w:trHeight w:val="1052"/>
        </w:trPr>
        <w:tc>
          <w:tcPr>
            <w:gridSpan w:val="2"/>
            <w:tcMar>
              <w:left w:w="34" w:type="dxa"/>
              <w:top w:w="34" w:type="dxa"/>
              <w:right w:w="34" w:type="dxa"/>
              <w:bottom w:w="34" w:type="dxa"/>
            </w:tcMar>
            <w:tcW w:w="770" w:type="dxa"/>
            <w:vAlign w:val="center"/>
            <w:vMerge w:val="restart"/>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园林植物（以株计量树木）管养</w:t>
            </w:r>
            <w:r/>
          </w:p>
        </w:tc>
        <w:tc>
          <w:tcPr>
            <w:tcMar>
              <w:left w:w="34" w:type="dxa"/>
              <w:top w:w="34" w:type="dxa"/>
              <w:right w:w="34" w:type="dxa"/>
              <w:bottom w:w="34" w:type="dxa"/>
            </w:tcMar>
            <w:tcW w:w="722" w:type="dxa"/>
            <w:vAlign w:val="center"/>
            <w:textDirection w:val="lrTb"/>
            <w:noWrap w:val="false"/>
          </w:tcPr>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花灌木管养个性要求</w:t>
            </w:r>
            <w:r/>
          </w:p>
        </w:tc>
        <w:tc>
          <w:tcPr>
            <w:tcMar>
              <w:left w:w="34" w:type="dxa"/>
              <w:top w:w="34" w:type="dxa"/>
              <w:right w:w="34" w:type="dxa"/>
              <w:bottom w:w="34" w:type="dxa"/>
            </w:tcMar>
            <w:tcW w:w="2832"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（1）观花（观果）期开花（结果）良好，观赏效果佳；</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（2）修剪科学合理。</w:t>
            </w:r>
            <w:r/>
          </w:p>
        </w:tc>
        <w:tc>
          <w:tcPr>
            <w:tcMar>
              <w:left w:w="34" w:type="dxa"/>
              <w:top w:w="34" w:type="dxa"/>
              <w:right w:w="34" w:type="dxa"/>
              <w:bottom w:w="34" w:type="dxa"/>
            </w:tcMar>
            <w:tcW w:w="2666"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（1）株形丰满优美，开花（结果）正常；</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（2）修剪得当，树形培养良好，枝组比例合宜，无影响通行或休憩的外伸枝，花后修剪及时合理。</w:t>
            </w:r>
            <w:r/>
          </w:p>
        </w:tc>
        <w:tc>
          <w:tcPr>
            <w:tcMar>
              <w:left w:w="34" w:type="dxa"/>
              <w:top w:w="34" w:type="dxa"/>
              <w:right w:w="34" w:type="dxa"/>
              <w:bottom w:w="34" w:type="dxa"/>
            </w:tcMar>
            <w:tcW w:w="2863"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（1）开花（结果）适时；</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（2）修剪较及时合理，无明显伸出枝影响通行或休憩，花后能够进行修剪。</w:t>
            </w:r>
            <w:r/>
          </w:p>
        </w:tc>
      </w:tr>
      <w:tr>
        <w:trPr>
          <w:jc w:val="center"/>
          <w:trHeight w:val="1262"/>
        </w:trPr>
        <w:tc>
          <w:tcPr>
            <w:gridSpan w:val="2"/>
            <w:tcMar>
              <w:left w:w="34" w:type="dxa"/>
              <w:top w:w="34" w:type="dxa"/>
              <w:right w:w="34" w:type="dxa"/>
              <w:bottom w:w="34" w:type="dxa"/>
            </w:tcMar>
            <w:tcW w:w="770" w:type="dxa"/>
            <w:vAlign w:val="center"/>
            <w:vMerge w:val="continue"/>
            <w:textDirection w:val="lrTb"/>
            <w:noWrap w:val="false"/>
          </w:tcPr>
          <w:p>
            <w:pPr>
              <w:pStyle w:val="850"/>
              <w:ind w:firstLine="42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球类或其它植篱类单株灌木管养个性要求</w:t>
            </w:r>
            <w:r/>
          </w:p>
        </w:tc>
        <w:tc>
          <w:tcPr>
            <w:gridSpan w:val="2"/>
            <w:tcMar>
              <w:left w:w="34" w:type="dxa"/>
              <w:top w:w="34" w:type="dxa"/>
              <w:right w:w="34" w:type="dxa"/>
              <w:bottom w:w="34" w:type="dxa"/>
            </w:tcMar>
            <w:tcW w:w="5498"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（1）枝叶茂密，外形轮廓清楚；</w:t>
            </w:r>
            <w:r/>
          </w:p>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（2）修剪及时，外缘枝叶紧密，表面无斑秃，无伸出枝，下部不空裸；</w:t>
            </w:r>
            <w:r/>
          </w:p>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（3）球冠表面无落叶留存。</w:t>
            </w:r>
            <w:r/>
          </w:p>
        </w:tc>
        <w:tc>
          <w:tcPr>
            <w:tcMar>
              <w:left w:w="34" w:type="dxa"/>
              <w:top w:w="34" w:type="dxa"/>
              <w:right w:w="34" w:type="dxa"/>
              <w:bottom w:w="34" w:type="dxa"/>
            </w:tcMar>
            <w:tcW w:w="2863"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（1）定期修剪，保持冠形圆整或外形轮廓清楚，不同品种间交界线清晰，树冠表面基本无斑秃，基本无伸出枝；</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（2）任何部位均不侵占路面和休憩空间；</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（3）球冠表面基本无落叶留存。</w:t>
            </w:r>
            <w:r/>
          </w:p>
        </w:tc>
      </w:tr>
      <w:tr>
        <w:trPr>
          <w:jc w:val="center"/>
          <w:trHeight w:val="1511"/>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攀援植物</w:t>
            </w:r>
            <w:r/>
          </w:p>
          <w:p>
            <w:pPr>
              <w:spacing w:line="360" w:lineRule="exact"/>
              <w:widowControl/>
              <w:rPr>
                <w:rFonts w:hint="eastAsia" w:ascii="宋体" w:hAnsi="宋体" w:cs="宋体"/>
                <w:bCs/>
                <w:color w:val="auto"/>
                <w:highlight w:val="none"/>
              </w:rPr>
            </w:pPr>
            <w:r>
              <w:rPr>
                <w:rFonts w:hint="eastAsia" w:ascii="宋体" w:hAnsi="宋体" w:cs="宋体"/>
                <w:bCs/>
                <w:color w:val="auto"/>
                <w:highlight w:val="none"/>
              </w:rPr>
              <w:t xml:space="preserve">（垂直绿化）管养个性要求</w:t>
            </w:r>
            <w:r/>
          </w:p>
        </w:tc>
        <w:tc>
          <w:tcPr>
            <w:tcMar>
              <w:left w:w="34" w:type="dxa"/>
              <w:top w:w="34" w:type="dxa"/>
              <w:right w:w="34" w:type="dxa"/>
              <w:bottom w:w="34" w:type="dxa"/>
            </w:tcMar>
            <w:tcW w:w="2832" w:type="dxa"/>
            <w:vAlign w:val="center"/>
            <w:textDirection w:val="lrTb"/>
            <w:noWrap w:val="false"/>
          </w:tcPr>
          <w:p>
            <w:pPr>
              <w:pStyle w:val="850"/>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观花观果品种开花结果效果好。</w:t>
            </w:r>
            <w:r/>
          </w:p>
        </w:tc>
        <w:tc>
          <w:tcPr>
            <w:tcMar>
              <w:left w:w="34" w:type="dxa"/>
              <w:top w:w="34" w:type="dxa"/>
              <w:right w:w="34" w:type="dxa"/>
              <w:bottom w:w="34" w:type="dxa"/>
            </w:tcMar>
            <w:tcW w:w="2666"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（1）生长旺盛，攀爬、垂挂状态良好，枝叶分布均匀，覆盖效果好，观花观果品种正常开花结果；</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（2）形态控制良好，无重叠枝、过密枝、老弱枝、枯死枝。</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（1）攀爬、垂挂状态良好，枝叶分布均匀，覆盖效果较好；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（2）修剪、牵引、绑缚等措施及时合理，无明显重叠枝、过密枝、老弱枝、枯死枝；</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（3）植物体和攀爬辅助设施不影响通行和休憩，不存在安全隐患。</w:t>
            </w:r>
            <w:r/>
          </w:p>
        </w:tc>
      </w:tr>
      <w:tr>
        <w:trPr>
          <w:jc w:val="center"/>
          <w:trHeight w:val="90"/>
        </w:trPr>
        <w:tc>
          <w:tcPr>
            <w:gridSpan w:val="2"/>
            <w:tcMar>
              <w:left w:w="34" w:type="dxa"/>
              <w:top w:w="34" w:type="dxa"/>
              <w:right w:w="34" w:type="dxa"/>
              <w:bottom w:w="34"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园林植物（以面积计量植物）管养</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以面积计量植物管养共性要求</w:t>
            </w:r>
            <w:r/>
          </w:p>
        </w:tc>
        <w:tc>
          <w:tcPr>
            <w:tcMar>
              <w:left w:w="34" w:type="dxa"/>
              <w:top w:w="34" w:type="dxa"/>
              <w:right w:w="34" w:type="dxa"/>
              <w:bottom w:w="34" w:type="dxa"/>
            </w:tcMar>
            <w:tcW w:w="2832"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无可视病虫危害症状。</w:t>
            </w:r>
            <w:r/>
          </w:p>
        </w:tc>
        <w:tc>
          <w:tcPr>
            <w:tcMar>
              <w:left w:w="34" w:type="dxa"/>
              <w:top w:w="34" w:type="dxa"/>
              <w:right w:w="34" w:type="dxa"/>
              <w:bottom w:w="34" w:type="dxa"/>
            </w:tcMar>
            <w:tcW w:w="2666"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（1）生长健壮，长势良好，生长期无黄叶、枯叶，无死亡植株；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（2）基本无可视病虫危害症状；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（3）无杂草；</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（4）表面无落叶留存，内部无其它垃圾杂物。</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（1）生长正常；</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（2）植株叶片无萎蔫，土壤含水量适宜；</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（3）无明显可视病虫危害症状；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（4）基本无杂草，无大型恶性杂草；</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（5）与游憩设施交接的边缘植物不侵占坐歇空间，不影响游憩设施使用；</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（6）被踩踏损毁地块能够及时补齐，保持绿地不破损；</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（7）表面基本无落叶积存，内部基本无其它垃圾杂物，植株叶片无灰尘。</w:t>
            </w:r>
            <w:r/>
          </w:p>
        </w:tc>
      </w:tr>
      <w:tr>
        <w:trPr>
          <w:jc w:val="center"/>
          <w:trHeight w:val="90"/>
        </w:trPr>
        <w:tc>
          <w:tcPr>
            <w:gridSpan w:val="2"/>
            <w:tcMar>
              <w:left w:w="34" w:type="dxa"/>
              <w:top w:w="34" w:type="dxa"/>
              <w:right w:w="34" w:type="dxa"/>
              <w:bottom w:w="34" w:type="dxa"/>
            </w:tcMar>
            <w:tcW w:w="770"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园林植物（以面积计量植物）管养</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绿篱模纹色块管养个性要求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（1）外形整齐美观，无缺株、死株；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（2）修剪及时，不同品种交界线清晰，线条流畅，边界间留出10-15cm宽均匀空隙，同类品种观赏面规则，整齐一致，外围主要观赏面圆润饱满，视觉效果良好；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（3）色块表面无斑秃，无伸出枝，下部不空裸。</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（1）外观较整齐，基本无缺株、死株；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（2）定期修剪，线直面平，高度一致，不同品种交界线较清晰，色块表面基本无斑秃，基本无伸出枝；</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（3）与其他乔灌木衔接处修剪清晰，无高出枝。</w:t>
            </w:r>
            <w:r/>
          </w:p>
        </w:tc>
      </w:tr>
      <w:tr>
        <w:trPr>
          <w:jc w:val="center"/>
          <w:trHeight w:val="90"/>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地被植物、宿根花卉管养个性要求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（1）观花品种开花效果良好；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（2）无缺株、死株，生长期及时剪除枯叶、枯枝、残花，休眠后及时清除枯败残体。</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（1）栽植地轮廓清晰，同品种株高基本一致，不同品种界线清晰；</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（2）观花品种开花适时；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（3）密度适宜，地面覆盖良好，无明显缺株、死株、枯叶、残花；</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（4）对生长超出栽植地范围的枝叶及时修剪，保持轮廓整齐，及时从地面剪除攀爬树干的匍匐茎，保持层次不乱。</w:t>
            </w:r>
            <w:r/>
          </w:p>
        </w:tc>
      </w:tr>
      <w:tr>
        <w:trPr>
          <w:jc w:val="center"/>
          <w:trHeight w:val="90"/>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水生植物管养个性要求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（1）观花品种开花效果良好；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（2）无缺株、死株，生长期及时剪除枯叶、枯枝、残花，对芦苇、再力花等有冬季观赏性的于次年春季发芽前清除干枯植株。</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（1）不同水生植物界线基本清晰，定期疏除繁衍快速品种，对叶面相互叠压的浮水植物及时分株；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（2）观花品种开花适时；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（3）无明显缺株、死株、枯叶、残花，休眠后及时清除无观赏价值的枯败残体；</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（4）对超出水面覆盖面积40%的水生植物及时清除或移栽，保证水景观品质。</w:t>
            </w:r>
            <w:r/>
          </w:p>
        </w:tc>
      </w:tr>
      <w:tr>
        <w:trPr>
          <w:jc w:val="center"/>
          <w:trHeight w:val="90"/>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时令草花</w:t>
            </w:r>
            <w:r/>
          </w:p>
          <w:p>
            <w:pPr>
              <w:pStyle w:val="850"/>
              <w:jc w:val="center"/>
              <w:spacing w:line="2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管养个性要求</w:t>
            </w:r>
            <w:r/>
          </w:p>
        </w:tc>
        <w:tc>
          <w:tcPr>
            <w:gridSpan w:val="2"/>
            <w:tcMar>
              <w:left w:w="34" w:type="dxa"/>
              <w:top w:w="34" w:type="dxa"/>
              <w:right w:w="34" w:type="dxa"/>
              <w:bottom w:w="34" w:type="dxa"/>
            </w:tcMar>
            <w:tcW w:w="5498"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（1）覆盖率98%以上，无裸露地面，生长健壮，株形饱满，花色鲜艳，花期整齐一致，无残花，无枯死株；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（2）轮廓和图案美观，边缘线流畅自然。</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（1）覆盖率95%以上，基本无裸露地面，生长正常，开花正常；无明显残花、枯死株；</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（2）密度适宜，株高基本一致，图案清晰，边缘线较流畅自然；</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（3）无杂草。</w:t>
            </w:r>
            <w:r/>
          </w:p>
        </w:tc>
      </w:tr>
      <w:tr>
        <w:trPr>
          <w:jc w:val="center"/>
          <w:trHeight w:val="751"/>
        </w:trPr>
        <w:tc>
          <w:tcPr>
            <w:gridSpan w:val="2"/>
            <w:tcMar>
              <w:left w:w="34" w:type="dxa"/>
              <w:top w:w="34" w:type="dxa"/>
              <w:right w:w="34" w:type="dxa"/>
              <w:bottom w:w="34" w:type="dxa"/>
            </w:tcMar>
            <w:tcW w:w="770"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园林植物（以面积计量植物）管养</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草坪管养</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个性要求</w:t>
            </w:r>
            <w:r/>
          </w:p>
        </w:tc>
        <w:tc>
          <w:tcPr>
            <w:tcMar>
              <w:left w:w="34" w:type="dxa"/>
              <w:top w:w="34" w:type="dxa"/>
              <w:right w:w="34" w:type="dxa"/>
              <w:bottom w:w="34" w:type="dxa"/>
            </w:tcMar>
            <w:tcW w:w="2832" w:type="dxa"/>
            <w:vAlign w:val="center"/>
            <w:textDirection w:val="lrTb"/>
            <w:noWrap w:val="false"/>
          </w:tcPr>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（1）土不露天，无可视斑秃；</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（2）杂草率≤5%，无病虫害症状。</w:t>
            </w:r>
            <w:r/>
          </w:p>
        </w:tc>
        <w:tc>
          <w:tcPr>
            <w:tcMar>
              <w:left w:w="34" w:type="dxa"/>
              <w:top w:w="34" w:type="dxa"/>
              <w:right w:w="34" w:type="dxa"/>
              <w:bottom w:w="34" w:type="dxa"/>
            </w:tcMar>
            <w:tcW w:w="2666" w:type="dxa"/>
            <w:vAlign w:val="center"/>
            <w:textDirection w:val="lrTb"/>
            <w:noWrap w:val="false"/>
          </w:tcPr>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（1）外观整齐，边缘线切边整齐，与其它品种交界线切边美观，生长旺盛，草色鲜绿且冬季保持常绿；</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（2）覆盖良好，基本无可视斑秃；</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（3）5-10月，不超过10天修剪一次；</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（4）修剪后无残留草屑，剪口无焦枯、撕裂现象，无漏剪；</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（5）杂草率≤10%。</w:t>
            </w:r>
            <w:r/>
          </w:p>
        </w:tc>
        <w:tc>
          <w:tcPr>
            <w:tcMar>
              <w:left w:w="34" w:type="dxa"/>
              <w:top w:w="34" w:type="dxa"/>
              <w:right w:w="34" w:type="dxa"/>
              <w:bottom w:w="34" w:type="dxa"/>
            </w:tcMar>
            <w:tcW w:w="2863" w:type="dxa"/>
            <w:vAlign w:val="center"/>
            <w:textDirection w:val="lrTb"/>
            <w:noWrap w:val="false"/>
          </w:tcPr>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（1）外观较整齐，边缘线基本清晰，生长季节不枯黄，黑麦草补播及时，冬季基本保持常绿；</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（2）覆盖率90%以上，单块斑秃面积不超过0.3㎡或10㎡内斑秃面积不超过4块，斑秃死亡地块及时更换补植；</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（3）草坪高度不超过8cm，按1/3原则修剪；</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（4）5-10月，不超过15天修剪一次，草坪高度不低于2.5cm；</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（5）修剪后基本无残留草屑，剪口基本无焦枯、撕裂现象，修剪不损伤草坪内树木表皮；</w:t>
            </w:r>
            <w:r/>
          </w:p>
          <w:p>
            <w:pPr>
              <w:pStyle w:val="850"/>
              <w:spacing w:line="260" w:lineRule="exact"/>
              <w:tabs>
                <w:tab w:val="left" w:pos="31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（6）杂草率≤15%。</w:t>
            </w:r>
            <w:r/>
          </w:p>
        </w:tc>
      </w:tr>
      <w:tr>
        <w:trPr>
          <w:jc w:val="center"/>
          <w:trHeight w:val="1244"/>
        </w:trPr>
        <w:tc>
          <w:tcPr>
            <w:gridSpan w:val="2"/>
            <w:tcMar>
              <w:left w:w="34" w:type="dxa"/>
              <w:top w:w="34" w:type="dxa"/>
              <w:right w:w="34" w:type="dxa"/>
              <w:bottom w:w="34" w:type="dxa"/>
            </w:tcMar>
            <w:tcW w:w="770" w:type="dxa"/>
            <w:vAlign w:val="center"/>
            <w:vMerge w:val="restart"/>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园林景观设施维护</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园林建筑</w:t>
            </w:r>
            <w:r/>
          </w:p>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和构筑物</w:t>
            </w:r>
            <w:r/>
          </w:p>
        </w:tc>
        <w:tc>
          <w:tcPr>
            <w:tcMar>
              <w:left w:w="34" w:type="dxa"/>
              <w:top w:w="34" w:type="dxa"/>
              <w:right w:w="34" w:type="dxa"/>
              <w:bottom w:w="34" w:type="dxa"/>
            </w:tcMar>
            <w:tcW w:w="2832" w:type="dxa"/>
            <w:vAlign w:val="center"/>
            <w:textDirection w:val="lrTb"/>
            <w:noWrap w:val="false"/>
          </w:tcPr>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（1）24小时流动保洁到位，无垃圾、积水、痰迹、烟头等；</w:t>
            </w:r>
            <w:r/>
          </w:p>
          <w:p>
            <w:pPr>
              <w:spacing w:line="360" w:lineRule="exact"/>
              <w:widowControl/>
              <w:rPr>
                <w:rFonts w:hint="eastAsia" w:ascii="宋体" w:hAnsi="宋体" w:cs="宋体"/>
                <w:color w:val="auto"/>
                <w:highlight w:val="none"/>
              </w:rPr>
            </w:pPr>
            <w:r>
              <w:rPr>
                <w:rStyle w:val="1175"/>
                <w:rFonts w:hint="eastAsia" w:ascii="宋体" w:hAnsi="宋体" w:cs="宋体"/>
                <w:color w:val="auto"/>
                <w:highlight w:val="none"/>
              </w:rPr>
              <w:t xml:space="preserve">（2）每年进行一次整体刷漆或粉刷出新。</w:t>
            </w:r>
            <w:r/>
          </w:p>
        </w:tc>
        <w:tc>
          <w:tcPr>
            <w:tcMar>
              <w:left w:w="34" w:type="dxa"/>
              <w:top w:w="34" w:type="dxa"/>
              <w:right w:w="34" w:type="dxa"/>
              <w:bottom w:w="34" w:type="dxa"/>
            </w:tcMar>
            <w:tcW w:w="2666"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（1）外观完整，外貌整洁；</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（2）附属设施清洁、完好；</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（3）每两年进行一次整体刷漆或粉刷出新。</w:t>
            </w:r>
            <w:r/>
          </w:p>
        </w:tc>
        <w:tc>
          <w:tcPr>
            <w:tcMar>
              <w:left w:w="34" w:type="dxa"/>
              <w:top w:w="34" w:type="dxa"/>
              <w:right w:w="34" w:type="dxa"/>
              <w:bottom w:w="34" w:type="dxa"/>
            </w:tcMa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（1）外观完整，外貌较干净；</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（2）附属设施较清洁、完好，木质无腐朽，金属材质无锈蚀，设备安全运行；</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（3）及时维修，无安全隐患；</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（4）每三年进行一次整体刷漆或粉刷出新；日常即时对破损、墙皮驳落等修补、粉刷。</w:t>
            </w:r>
            <w:r/>
          </w:p>
        </w:tc>
      </w:tr>
      <w:tr>
        <w:trPr>
          <w:jc w:val="center"/>
          <w:trHeight w:val="1244"/>
        </w:trPr>
        <w:tc>
          <w:tcPr>
            <w:gridSpan w:val="2"/>
            <w:tcMar>
              <w:left w:w="34" w:type="dxa"/>
              <w:top w:w="34" w:type="dxa"/>
              <w:right w:w="34" w:type="dxa"/>
              <w:bottom w:w="34" w:type="dxa"/>
            </w:tcMar>
            <w:tcW w:w="770" w:type="dxa"/>
            <w:vAlign w:val="center"/>
            <w:vMerge w:val="continue"/>
            <w:textDirection w:val="lrTb"/>
            <w:noWrap w:val="false"/>
          </w:tcPr>
          <w:p>
            <w:pPr>
              <w:pStyle w:val="850"/>
              <w:ind w:firstLine="42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花坛、桌椅、雕塑小品</w:t>
            </w:r>
            <w:r/>
          </w:p>
        </w:tc>
        <w:tc>
          <w:tcPr>
            <w:tcMar>
              <w:left w:w="34" w:type="dxa"/>
              <w:top w:w="34" w:type="dxa"/>
              <w:right w:w="34" w:type="dxa"/>
              <w:bottom w:w="34" w:type="dxa"/>
            </w:tcMar>
            <w:tcW w:w="2832" w:type="dxa"/>
            <w:vAlign w:val="center"/>
            <w:textDirection w:val="lrTb"/>
            <w:noWrap w:val="false"/>
          </w:tcPr>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（1）24小时流动保洁到位，无垃圾、积水、痰迹、烟头等；</w:t>
            </w:r>
            <w:r/>
          </w:p>
          <w:p>
            <w:pPr>
              <w:spacing w:line="360" w:lineRule="exact"/>
              <w:widowControl/>
              <w:rPr>
                <w:rFonts w:hint="eastAsia" w:ascii="宋体" w:hAnsi="宋体" w:cs="宋体"/>
                <w:color w:val="auto"/>
                <w:highlight w:val="none"/>
              </w:rPr>
            </w:pPr>
            <w:r>
              <w:rPr>
                <w:rStyle w:val="1175"/>
                <w:rFonts w:hint="eastAsia" w:ascii="宋体" w:hAnsi="宋体" w:cs="宋体"/>
                <w:color w:val="auto"/>
                <w:highlight w:val="none"/>
              </w:rPr>
              <w:t xml:space="preserve">（2）每年进行一次整体刷漆出新。</w:t>
            </w:r>
            <w:r/>
          </w:p>
        </w:tc>
        <w:tc>
          <w:tcPr>
            <w:tcMar>
              <w:left w:w="34" w:type="dxa"/>
              <w:top w:w="34" w:type="dxa"/>
              <w:right w:w="34" w:type="dxa"/>
              <w:bottom w:w="34" w:type="dxa"/>
            </w:tcMar>
            <w:tcW w:w="2666" w:type="dxa"/>
            <w:vAlign w:val="center"/>
            <w:textDirection w:val="lrTb"/>
            <w:noWrap w:val="false"/>
          </w:tcPr>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（1）表面整洁，安全坚固，构件无松动，无破损，木材质无腐朽，金属材质无锈蚀；</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（2）维修及时，材料、色彩与原用材一致；</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（3）保洁到位，桌椅、凳面、表面无积尘；</w:t>
            </w:r>
            <w:r/>
          </w:p>
          <w:p>
            <w:pPr>
              <w:pStyle w:val="1169"/>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（4）每两年进行一次整体刷漆出新。</w:t>
            </w:r>
            <w:r/>
          </w:p>
        </w:tc>
        <w:tc>
          <w:tcPr>
            <w:tcMar>
              <w:left w:w="34" w:type="dxa"/>
              <w:top w:w="34" w:type="dxa"/>
              <w:right w:w="34" w:type="dxa"/>
              <w:bottom w:w="34" w:type="dxa"/>
            </w:tcMa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（1）表面较整洁，安全坚固，构件无松动，基本无破损，木材质基本无腐朽，金属材质无锈蚀；</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（2）维修及时，材料、色彩与原用材基本接近；</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（3）保洁到位，桌椅、凳面、表面基本无积尘；</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（4）每三年进行一次整体刷漆出新，日常即时对破损、掉漆等修补、刷漆或喷漆。</w:t>
            </w:r>
            <w:r/>
          </w:p>
        </w:tc>
      </w:tr>
      <w:tr>
        <w:trPr>
          <w:jc w:val="center"/>
          <w:trHeight w:val="2621"/>
        </w:trPr>
        <w:tc>
          <w:tcPr>
            <w:gridSpan w:val="2"/>
            <w:tcMar>
              <w:left w:w="34" w:type="dxa"/>
              <w:top w:w="34" w:type="dxa"/>
              <w:right w:w="34" w:type="dxa"/>
              <w:bottom w:w="34"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园路、广场、木栈道、桥梁</w:t>
            </w:r>
            <w:r/>
          </w:p>
        </w:tc>
        <w:tc>
          <w:tcPr>
            <w:tcMar>
              <w:left w:w="34" w:type="dxa"/>
              <w:top w:w="34" w:type="dxa"/>
              <w:right w:w="34" w:type="dxa"/>
              <w:bottom w:w="34" w:type="dxa"/>
            </w:tcMar>
            <w:tcW w:w="2832" w:type="dxa"/>
            <w:vAlign w:val="center"/>
            <w:textDirection w:val="lrTb"/>
            <w:noWrap w:val="false"/>
          </w:tcPr>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（1）平整、通畅，无破损，表面无坑洼，木材质无腐朽，损坏及时维修；</w:t>
            </w:r>
            <w:r/>
          </w:p>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（2）24小时流动保洁到位，无垃圾、积水、痰迹、烟头等；</w:t>
            </w:r>
            <w:r/>
          </w:p>
          <w:p>
            <w:pPr>
              <w:spacing w:line="360" w:lineRule="exact"/>
              <w:widowControl/>
              <w:rPr>
                <w:rStyle w:val="1175"/>
                <w:rFonts w:hint="eastAsia" w:ascii="宋体" w:hAnsi="宋体" w:cs="宋体"/>
                <w:color w:val="auto"/>
                <w:highlight w:val="none"/>
              </w:rPr>
            </w:pPr>
            <w:r>
              <w:rPr>
                <w:rStyle w:val="1175"/>
                <w:rFonts w:hint="eastAsia" w:ascii="宋体" w:hAnsi="宋体" w:cs="宋体"/>
                <w:color w:val="auto"/>
                <w:highlight w:val="none"/>
              </w:rPr>
              <w:t xml:space="preserve">（3）积雪清扫及时；</w:t>
            </w:r>
            <w:r/>
          </w:p>
          <w:p>
            <w:pPr>
              <w:spacing w:line="360" w:lineRule="exact"/>
              <w:widowControl/>
              <w:rPr>
                <w:rFonts w:hint="eastAsia" w:ascii="宋体" w:hAnsi="宋体" w:cs="宋体"/>
                <w:color w:val="auto"/>
                <w:highlight w:val="none"/>
              </w:rPr>
            </w:pPr>
            <w:r>
              <w:rPr>
                <w:rStyle w:val="1175"/>
                <w:rFonts w:hint="eastAsia" w:ascii="宋体" w:hAnsi="宋体" w:cs="宋体"/>
                <w:color w:val="auto"/>
                <w:highlight w:val="none"/>
              </w:rPr>
              <w:t xml:space="preserve">（4）对木质或金属材质每年进行一次整体刷漆出新。</w:t>
            </w:r>
            <w:r/>
          </w:p>
        </w:tc>
        <w:tc>
          <w:tcPr>
            <w:tcMar>
              <w:left w:w="34" w:type="dxa"/>
              <w:top w:w="34" w:type="dxa"/>
              <w:right w:w="34" w:type="dxa"/>
              <w:bottom w:w="34" w:type="dxa"/>
            </w:tcMar>
            <w:tcW w:w="2666"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（1）平整、通畅，无破损，表面基本无坑洼，木材质基本无腐朽；</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（2）维修及时；</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（3）保洁到位，基本无垃圾、积水、痰迹、烟头等；</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（4）对木质或金属材质每两年进行一次整体刷漆出新。</w:t>
            </w:r>
            <w:r/>
          </w:p>
        </w:tc>
        <w:tc>
          <w:tcPr>
            <w:tcMar>
              <w:left w:w="34" w:type="dxa"/>
              <w:top w:w="34" w:type="dxa"/>
              <w:right w:w="34" w:type="dxa"/>
              <w:bottom w:w="34" w:type="dxa"/>
            </w:tcMa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（1）平整、通畅，无破损，表面无明显坑洼，木材质基本无腐朽；</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（2）维修较及时；</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（3）保洁到位，无明显垃圾、积水、痰迹、烟头等；</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（4）积雪清扫较及时，禁止将含融雪剂积雪堆入绿地；</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（5）对木质或金属材质每三年进行一次整体刷漆出新，日常即时对破损、掉漆等修补、刷漆。</w:t>
            </w:r>
            <w:r/>
          </w:p>
        </w:tc>
      </w:tr>
      <w:tr>
        <w:trPr>
          <w:jc w:val="center"/>
          <w:trHeight w:val="1543"/>
        </w:trPr>
        <w:tc>
          <w:tcPr>
            <w:gridSpan w:val="2"/>
            <w:tcMar>
              <w:left w:w="34" w:type="dxa"/>
              <w:top w:w="34" w:type="dxa"/>
              <w:right w:w="34" w:type="dxa"/>
              <w:bottom w:w="34"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园林景观设施维护</w:t>
            </w:r>
            <w:r/>
          </w:p>
        </w:tc>
        <w:tc>
          <w:tcPr>
            <w:tcMar>
              <w:left w:w="34" w:type="dxa"/>
              <w:top w:w="34" w:type="dxa"/>
              <w:right w:w="34" w:type="dxa"/>
              <w:bottom w:w="34"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园林建筑和构筑物</w:t>
            </w:r>
            <w:r/>
          </w:p>
        </w:tc>
        <w:tc>
          <w:tcPr>
            <w:tcMar>
              <w:left w:w="34" w:type="dxa"/>
              <w:top w:w="34" w:type="dxa"/>
              <w:right w:w="34" w:type="dxa"/>
              <w:bottom w:w="34" w:type="dxa"/>
            </w:tcMar>
            <w:tcW w:w="2832"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1、每年进行一次整体刷漆或粉刷出新 </w:t>
            </w:r>
            <w:r/>
          </w:p>
        </w:tc>
        <w:tc>
          <w:tcPr>
            <w:tcMar>
              <w:left w:w="34" w:type="dxa"/>
              <w:top w:w="34" w:type="dxa"/>
              <w:right w:w="34" w:type="dxa"/>
              <w:bottom w:w="34" w:type="dxa"/>
            </w:tcMar>
            <w:tcW w:w="2666"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1、外观完整，外貌整洁；</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2、附属设施清洁、完好；</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3、每两年进行一次整体刷漆或粉刷出新</w:t>
            </w:r>
            <w:r/>
          </w:p>
        </w:tc>
        <w:tc>
          <w:tcPr>
            <w:tcMar>
              <w:left w:w="34" w:type="dxa"/>
              <w:top w:w="34" w:type="dxa"/>
              <w:right w:w="34" w:type="dxa"/>
              <w:bottom w:w="34" w:type="dxa"/>
            </w:tcMa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1、外观完整无破损，外貌较干净；</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2、附属设施较清洁、完好，木质无腐朽，金属材质无锈蚀，设备安全运行；</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3、及时维修，无安全隐患；</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4、每三年进行一次整体刷漆或粉刷出新；日常即时对破损、墙皮驳落等修补、粉刷</w:t>
            </w:r>
            <w:r/>
          </w:p>
        </w:tc>
      </w:tr>
      <w:tr>
        <w:trPr>
          <w:jc w:val="center"/>
          <w:trHeight w:val="546"/>
        </w:trPr>
        <w:tc>
          <w:tcPr>
            <w:gridSpan w:val="2"/>
            <w:tcMar>
              <w:left w:w="28" w:type="dxa"/>
              <w:top w:w="28" w:type="dxa"/>
              <w:right w:w="28" w:type="dxa"/>
              <w:bottom w:w="28" w:type="dxa"/>
            </w:tcMar>
            <w:tcW w:w="770"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园林景观设施维护</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标识系统、公益宣传牌</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（1）直立端正，不歪斜，无破损、无污物；</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（2）承载内容清晰完好，各类创建标语规范准确，无错别字，内容不过时。</w:t>
            </w:r>
            <w:r/>
          </w:p>
        </w:tc>
      </w:tr>
      <w:tr>
        <w:trPr>
          <w:jc w:val="center"/>
          <w:trHeight w:val="1170"/>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健身设施、儿童游乐设施</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（1）设施安全，运行正常；</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（2）明示生产单位及使用要求、操作规程；</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（3）按规定检查维护，确保安全运行；</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（4）保持环境整洁、设施清洁；</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（5）设施无坏损、松动。</w:t>
            </w:r>
            <w:r/>
          </w:p>
        </w:tc>
      </w:tr>
      <w:tr>
        <w:trPr>
          <w:jc w:val="center"/>
          <w:trHeight w:val="977"/>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灌溉系统</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（1）运行正常，无破损；</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（2）定期检修管道和配件，如有损坏及时维修；</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（3）冬季防冻到位，水管和设备不冻裂；</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（4）有规范的使用要求，有专人负责开关管理。</w:t>
            </w:r>
            <w:r/>
          </w:p>
        </w:tc>
      </w:tr>
      <w:tr>
        <w:trPr>
          <w:jc w:val="center"/>
          <w:trHeight w:val="1056"/>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垃圾收集设施</w:t>
            </w:r>
            <w:r/>
          </w:p>
        </w:tc>
        <w:tc>
          <w:tcPr>
            <w:gridSpan w:val="3"/>
            <w:tcMar>
              <w:left w:w="28" w:type="dxa"/>
              <w:top w:w="28" w:type="dxa"/>
              <w:right w:w="28" w:type="dxa"/>
              <w:bottom w:w="28" w:type="dxa"/>
            </w:tcMar>
            <w:tcW w:w="8361"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（1）垃圾箱分类设置，外观清洁、完整，标识清晰，内壁无污垢陈渍，箱内无过夜陈积垃圾；</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（2）垃圾收集、中转外运车辆清洁，不抛洒滴漏，有证驾驶，有规范操作要求和收集外运制度；</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（3）排水沟构件完整无破损，沟内不淤积，排水良好；</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（4）照明设施功能正常，及时维修，无坏损。</w:t>
            </w:r>
            <w:r/>
          </w:p>
        </w:tc>
      </w:tr>
      <w:tr>
        <w:trPr>
          <w:jc w:val="center"/>
          <w:trHeight w:val="343"/>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雨污水管网设施</w:t>
            </w:r>
            <w:r/>
          </w:p>
        </w:tc>
        <w:tc>
          <w:tcPr>
            <w:gridSpan w:val="3"/>
            <w:tcMar>
              <w:left w:w="28" w:type="dxa"/>
              <w:top w:w="28" w:type="dxa"/>
              <w:right w:w="28" w:type="dxa"/>
              <w:bottom w:w="28" w:type="dxa"/>
            </w:tcMar>
            <w:tcW w:w="8361"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雨污水管网构件完整无破损，管网内及排水沟内不淤积，排水良好。</w:t>
            </w:r>
            <w:r/>
          </w:p>
        </w:tc>
      </w:tr>
      <w:tr>
        <w:trPr>
          <w:jc w:val="center"/>
          <w:trHeight w:val="492"/>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照明设施</w:t>
            </w:r>
            <w:r/>
          </w:p>
        </w:tc>
        <w:tc>
          <w:tcPr>
            <w:gridSpan w:val="3"/>
            <w:tcMar>
              <w:left w:w="28" w:type="dxa"/>
              <w:top w:w="28" w:type="dxa"/>
              <w:right w:w="28" w:type="dxa"/>
              <w:bottom w:w="28" w:type="dxa"/>
            </w:tcMar>
            <w:tcW w:w="8361"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（1）照明设施外观无脱漆，无坏损，功能正常，亮化率100%；</w:t>
            </w:r>
            <w:r/>
          </w:p>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（2）有规范的亮化管理及养护制度，有专业操作规范，有标准化记录。</w:t>
            </w:r>
            <w:r/>
          </w:p>
        </w:tc>
      </w:tr>
      <w:tr>
        <w:trPr>
          <w:jc w:val="center"/>
          <w:trHeight w:val="2103"/>
        </w:trPr>
        <w:tc>
          <w:tcPr>
            <w:gridSpan w:val="2"/>
            <w:tcMar>
              <w:left w:w="28" w:type="dxa"/>
              <w:top w:w="28" w:type="dxa"/>
              <w:right w:w="28" w:type="dxa"/>
              <w:bottom w:w="28"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保洁</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保洁</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（1）有明确的保洁岗位设置，有较固定的保洁人员，有规范的保洁工作制度；</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（2）公园内24小时流动保洁到位，无垃圾、积水、痰迹、烟头等；</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（3）地砖缝隙中无杂草；</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（4）绿地内无落枝、无沉积落叶；</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（5）公园内各类景观建筑、构筑物表面、墙面和内部保洁到位，无灰尘、无污渍、无刻划。</w:t>
            </w:r>
            <w:r/>
          </w:p>
        </w:tc>
        <w:tc>
          <w:tcPr>
            <w:tcW w:w="2666" w:type="dxa"/>
            <w:vAlign w:val="center"/>
            <w:textDirection w:val="lrTb"/>
            <w:noWrap w:val="false"/>
          </w:tcPr>
          <w:p>
            <w:pPr>
              <w:pStyle w:val="850"/>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（1）无垃圾杂物，无卫生死角；</w:t>
            </w:r>
            <w:r/>
          </w:p>
          <w:p>
            <w:pPr>
              <w:pStyle w:val="850"/>
              <w:ind w:firstLine="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（2）地砖缝隙中基本无杂草。</w:t>
            </w:r>
            <w:r/>
          </w:p>
        </w:tc>
        <w:tc>
          <w:tcPr>
            <w:tcW w:w="2863" w:type="dxa"/>
            <w:vAlign w:val="center"/>
            <w:textDirection w:val="lrTb"/>
            <w:noWrap w:val="false"/>
          </w:tcPr>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（1）基本无垃圾杂物，基本无卫生死角，无焚烧垃圾和枯枝落叶行为；</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（2）地砖缝隙中无明显杂草；</w:t>
            </w:r>
            <w:r/>
          </w:p>
          <w:p>
            <w:pPr>
              <w:pStyle w:val="1169"/>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（3）管养废弃物日产日清。</w:t>
            </w:r>
            <w:r/>
          </w:p>
        </w:tc>
      </w:tr>
      <w:tr>
        <w:trPr>
          <w:jc w:val="center"/>
          <w:trHeight w:val="1317"/>
        </w:trPr>
        <w:tc>
          <w:tcPr>
            <w:gridSpan w:val="2"/>
            <w:tcMar>
              <w:left w:w="28" w:type="dxa"/>
              <w:top w:w="28" w:type="dxa"/>
              <w:right w:w="28" w:type="dxa"/>
              <w:bottom w:w="28" w:type="dxa"/>
            </w:tcMar>
            <w:tcW w:w="770"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保安</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公园保安工作要求</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（1）公园内全天候24小时安全保卫，保安人员轮流排班，确保公园安保无空档、无死角；</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（2）有明确的保安岗位设置，有较固定的保安人员；</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（3）有规范的保安工作制度、有可行性较强的突发事件应急预案，有标准化记录规范，做到各项工作有制度可循，有记录可查；</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（4）保安巡查设施设备齐全，服装统一、不陈旧，穿戴整洁；</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（5）有专门的水面巡查设施、有水面安全巡查规范；</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（6）定期组织业务专业培训及演练；</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（7）有规范的外来施工作业准入及过程管理规范，有交办及落实反馈机制；</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（8）公园每个出入口均有保安人员值守；</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（9）公园内任一地点发生紧急突发事件，3分钟内须有不少于2名保安到场处理，10分钟内保安带班负责人须到场。</w:t>
            </w:r>
            <w:r/>
          </w:p>
        </w:tc>
        <w:tc>
          <w:tcPr>
            <w:tcW w:w="2666"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863"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133"/>
        </w:trPr>
        <w:tc>
          <w:tcPr>
            <w:gridSpan w:val="2"/>
            <w:tcMar>
              <w:left w:w="28" w:type="dxa"/>
              <w:top w:w="28" w:type="dxa"/>
              <w:right w:w="28" w:type="dxa"/>
              <w:bottom w:w="28" w:type="dxa"/>
            </w:tcMar>
            <w:tcW w:w="770" w:type="dxa"/>
            <w:vAlign w:val="center"/>
            <w:vMerge w:val="restart"/>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其它</w:t>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公园厕所保洁和维护</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（1）室内及周边卫生整洁、无异味、垃圾不过夜；</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（2）洁具、水电设施、照明设施及门窗、隔板等相关附属设施功能正常，维修及时，更换的材料品质优良，与原构件协调一致；</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（3）保洁质量符合相关标准规范要求。</w:t>
            </w:r>
            <w:r/>
          </w:p>
        </w:tc>
        <w:tc>
          <w:tcPr>
            <w:tcW w:w="2666"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863" w:type="dxa"/>
            <w:vAlign w:val="center"/>
            <w:textDirection w:val="lrTb"/>
            <w:noWrap w:val="false"/>
          </w:tcPr>
          <w:p>
            <w:pPr>
              <w:pStyle w:val="850"/>
              <w:ind w:left="420"/>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626"/>
        </w:trPr>
        <w:tc>
          <w:tcPr>
            <w:gridSpan w:val="2"/>
            <w:tcMar>
              <w:left w:w="28" w:type="dxa"/>
              <w:top w:w="28" w:type="dxa"/>
              <w:right w:w="28" w:type="dxa"/>
              <w:bottom w:w="28" w:type="dxa"/>
            </w:tcMar>
            <w:tcW w:w="770" w:type="dxa"/>
            <w:vAlign w:val="center"/>
            <w:vMerge w:val="continue"/>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28" w:type="dxa"/>
              <w:top w:w="28" w:type="dxa"/>
              <w:right w:w="28" w:type="dxa"/>
              <w:bottom w:w="28" w:type="dxa"/>
            </w:tcMar>
            <w:tcW w:w="72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水体维护</w:t>
            </w:r>
            <w:r/>
          </w:p>
        </w:tc>
        <w:tc>
          <w:tcPr>
            <w:tcMar>
              <w:left w:w="28" w:type="dxa"/>
              <w:top w:w="28" w:type="dxa"/>
              <w:right w:w="28" w:type="dxa"/>
              <w:bottom w:w="28" w:type="dxa"/>
            </w:tcMar>
            <w:tcW w:w="2832"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（1）水面无漂浮垃圾、水体无异味；</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有专门的水面保洁人员及水草处理人员，水面作业船只及设备齐全，功能正常，有规范的水面安全作业制度及可控措施；有水草高峰期时人员及设备调用机制；</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（2）喷泉、涌泉、雾森、跌水等水景观设施使用功能正常，维修及时。</w:t>
            </w:r>
            <w:r/>
          </w:p>
        </w:tc>
        <w:tc>
          <w:tcPr>
            <w:tcW w:w="2666"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（1）及时清理水面垃圾、杂物、漂浮物，保持水面清洁，水面基本无漂浮垃圾、水体无异味；</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（2）及时清除水花生、水葫芦等水生杂草，避免水体富营养化；</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（3）负责水体内景观设施的维护修理，保证使用功能正常。</w:t>
            </w:r>
            <w:r/>
          </w:p>
        </w:tc>
        <w:tc>
          <w:tcPr>
            <w:tcW w:w="2863" w:type="dxa"/>
            <w:vAlign w:val="center"/>
            <w:textDirection w:val="lrTb"/>
            <w:noWrap w:val="false"/>
          </w:tcPr>
          <w:p>
            <w:pPr>
              <w:pStyle w:val="850"/>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水面垃圾、杂物、漂浮物清理较及时，水面基本保持清洁。</w:t>
            </w:r>
            <w:r/>
          </w:p>
        </w:tc>
      </w:tr>
      <w:tr>
        <w:trPr>
          <w:jc w:val="center"/>
          <w:trHeight w:val="311"/>
        </w:trPr>
        <w:tc>
          <w:tcPr>
            <w:gridSpan w:val="3"/>
            <w:tcMar>
              <w:left w:w="34" w:type="dxa"/>
              <w:top w:w="34" w:type="dxa"/>
              <w:right w:w="34" w:type="dxa"/>
              <w:bottom w:w="34" w:type="dxa"/>
            </w:tcMar>
            <w:tcW w:w="1492" w:type="dxa"/>
            <w:vAlign w:val="center"/>
            <w:textDirection w:val="lrTb"/>
            <w:noWrap w:val="false"/>
          </w:tcPr>
          <w:p>
            <w:pPr>
              <w:pStyle w:val="850"/>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安全文明作业要求</w:t>
            </w:r>
            <w:r/>
          </w:p>
        </w:tc>
        <w:tc>
          <w:tcPr>
            <w:gridSpan w:val="3"/>
            <w:tcMar>
              <w:left w:w="34" w:type="dxa"/>
              <w:top w:w="34" w:type="dxa"/>
              <w:right w:w="34" w:type="dxa"/>
              <w:bottom w:w="34" w:type="dxa"/>
            </w:tcMar>
            <w:tcW w:w="8361" w:type="dxa"/>
            <w:vAlign w:val="center"/>
            <w:textDirection w:val="lrTb"/>
            <w:noWrap w:val="false"/>
          </w:tcPr>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（1）严格遵守各项安全管理制度，执行各项安全操作规程；</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（2）定期检查，及时维修、更换存在安全隐患设施设备，及时修剪过密树冠，避免恶劣天气枝干断落、大树倾倒等安全隐患；</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（3）加强安全巡查，及时发现并排除绿地内铁丝、裸露电线、坑洞、木桩等安全隐患；</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（4）履行绿地消防安全责任，公园建筑配备必要的灭火设施，对火灾安全隐患及时发现并排除；</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（5）绿化管养工人、保洁人员、保安均统一、规范着装；</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（6）从事大树修剪、道路绿化管养等活动的人员规范佩戴安全帽、安全带；</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（7）道路绿化修剪、浇灌、喷药等避开交通高峰期，需临时短时间占道作业的，设置有效安全警示标志；</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（8）管护垃圾不落地，浇水、喷药等活动不影响市民正常生活，不污染路面；</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（9）衰老、枯死植株及时移除清运，缺株及时补植；</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（10）粉刷出新、喷漆等作业不污染地面、植物等其它设施和物品；</w:t>
            </w:r>
            <w:r/>
          </w:p>
          <w:p>
            <w:pPr>
              <w:pStyle w:val="1168"/>
              <w:ind w:firstLine="0"/>
              <w:spacing w:line="2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（11）管养作业落实本市园林绿化“五严禁”、“五必须”要求。</w:t>
            </w:r>
            <w:r/>
          </w:p>
        </w:tc>
      </w:tr>
    </w:tbl>
    <w:p>
      <w:pPr>
        <w:pStyle w:val="849"/>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注：1.质量标准响应以上文件要求；</w:t>
      </w:r>
      <w:r/>
    </w:p>
    <w:p>
      <w:pPr>
        <w:pStyle w:val="849"/>
        <w:ind w:firstLine="480"/>
        <w:spacing w:line="4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2.文件如有更新，按最新版本执行。</w:t>
      </w:r>
      <w:r/>
    </w:p>
    <w:p>
      <w:pPr>
        <w:pStyle w:val="850"/>
        <w:keepLines w:val="0"/>
        <w:keepNext w:val="0"/>
        <w:pageBreakBefore w:val="0"/>
        <w:spacing w:before="361" w:after="361" w:line="500" w:lineRule="exact"/>
        <w:widowControl w:val="off"/>
        <w:rPr>
          <w:rFonts w:hint="eastAsia" w:ascii="宋体" w:hAnsi="宋体" w:cs="宋体"/>
          <w:b/>
          <w:bCs/>
          <w:color w:val="auto"/>
          <w:sz w:val="28"/>
          <w:szCs w:val="28"/>
          <w:highlight w:val="none"/>
        </w:rPr>
        <w:outlineLvl w:val="2"/>
      </w:pPr>
      <w:r/>
      <w:bookmarkStart w:id="558" w:name="_Toc25005"/>
      <w:r/>
      <w:bookmarkStart w:id="559" w:name="_Toc8390"/>
      <w:r/>
      <w:bookmarkStart w:id="560" w:name="_Toc21771"/>
      <w:r/>
      <w:bookmarkStart w:id="561" w:name="_Toc14566"/>
      <w:r/>
      <w:bookmarkStart w:id="562" w:name="_Toc618"/>
      <w:r/>
      <w:bookmarkStart w:id="563" w:name="_Toc17797"/>
      <w:r/>
      <w:bookmarkStart w:id="564" w:name="_Toc15886"/>
      <w:r/>
      <w:bookmarkStart w:id="565" w:name="_Toc256000021"/>
      <w:r/>
      <w:bookmarkStart w:id="566" w:name="_Toc24507"/>
      <w:r/>
      <w:bookmarkStart w:id="567" w:name="_Toc17988"/>
      <w:r/>
      <w:bookmarkStart w:id="568" w:name="_Toc6379"/>
      <w:r/>
      <w:bookmarkStart w:id="569" w:name="_Toc256000060"/>
      <w:r/>
      <w:bookmarkStart w:id="570" w:name="_Toc8755"/>
      <w:r/>
      <w:bookmarkStart w:id="571" w:name="_Toc10171"/>
      <w:r/>
      <w:bookmarkStart w:id="572" w:name="_Toc78817317"/>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、项目商务要求</w:t>
      </w:r>
      <w:r/>
    </w:p>
    <w:p>
      <w:pPr>
        <w:pStyle w:val="850"/>
        <w:ind w:firstLine="562"/>
        <w:spacing w:line="40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（一）付款方式及考核标准</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pStyle w:val="1170"/>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由中标人以包工、包料、包质量、包安全的方式实施本项目，中标人应对本项目负责，不得分包、转包。如一经发现上述行为，采购人单方有权立即终止本项目承包合同，清退出场，由此产生一切法律责任和经济损失均由中标人承担。</w:t>
      </w:r>
      <w:r/>
    </w:p>
    <w:p>
      <w:pPr>
        <w:pStyle w:val="1170"/>
        <w:ind w:firstLine="482"/>
        <w:spacing w:line="400" w:lineRule="exact"/>
        <w:rPr>
          <w:rFonts w:hint="eastAsia" w:ascii="宋体" w:hAnsi="宋体" w:cs="宋体"/>
          <w:b/>
          <w:bCs/>
          <w:color w:val="auto"/>
          <w:sz w:val="24"/>
          <w:szCs w:val="24"/>
          <w:highlight w:val="none"/>
        </w:rPr>
      </w:pPr>
      <w:r/>
      <w:bookmarkStart w:id="573" w:name="_Toc17117"/>
      <w:r/>
      <w:bookmarkStart w:id="574" w:name="_Toc8394"/>
      <w:r/>
      <w:bookmarkStart w:id="575" w:name="_Toc20795"/>
      <w:r/>
      <w:bookmarkStart w:id="576" w:name="_Toc23036"/>
      <w:r/>
      <w:bookmarkStart w:id="577" w:name="_Toc14464"/>
      <w:r/>
      <w:bookmarkStart w:id="578" w:name="_Toc25750"/>
      <w:r/>
      <w:bookmarkStart w:id="579" w:name="_Toc25006"/>
      <w:r/>
      <w:bookmarkStart w:id="580" w:name="_Toc7435"/>
      <w:r/>
      <w:bookmarkStart w:id="581" w:name="_Toc5020"/>
      <w:r/>
      <w:bookmarkStart w:id="582" w:name="_Toc32741"/>
      <w:r>
        <w:rPr>
          <w:rFonts w:hint="eastAsia" w:ascii="宋体" w:hAnsi="宋体" w:cs="宋体"/>
          <w:b/>
          <w:bCs/>
          <w:color w:val="auto"/>
          <w:sz w:val="24"/>
          <w:szCs w:val="24"/>
          <w:highlight w:val="none"/>
        </w:rPr>
        <w:t xml:space="preserve">1.付款方式</w:t>
      </w:r>
      <w:bookmarkEnd w:id="573"/>
      <w:r/>
      <w:bookmarkEnd w:id="574"/>
      <w:r>
        <w:rPr>
          <w:rFonts w:hint="eastAsia" w:ascii="宋体" w:hAnsi="宋体" w:cs="宋体"/>
          <w:b/>
          <w:bCs/>
          <w:color w:val="auto"/>
          <w:sz w:val="24"/>
          <w:szCs w:val="24"/>
          <w:highlight w:val="none"/>
        </w:rPr>
        <w:t xml:space="preserve">及标准</w:t>
      </w:r>
      <w:bookmarkEnd w:id="575"/>
      <w:r/>
      <w:bookmarkEnd w:id="576"/>
      <w:r/>
      <w:bookmarkEnd w:id="577"/>
      <w:r/>
      <w:bookmarkEnd w:id="578"/>
      <w:r/>
      <w:bookmarkEnd w:id="579"/>
      <w:r/>
      <w:bookmarkEnd w:id="580"/>
      <w:r/>
      <w:bookmarkEnd w:id="581"/>
      <w:r/>
      <w:bookmarkEnd w:id="582"/>
      <w:r/>
      <w:r/>
    </w:p>
    <w:p>
      <w:pPr>
        <w:pStyle w:val="1171"/>
        <w:ind w:firstLine="482"/>
        <w:spacing w:line="400" w:lineRule="exact"/>
        <w:rPr>
          <w:rFonts w:hint="eastAsia" w:ascii="宋体" w:hAnsi="宋体" w:cs="宋体"/>
          <w:b/>
          <w:bCs/>
          <w:color w:val="auto"/>
          <w:sz w:val="24"/>
          <w:szCs w:val="24"/>
          <w:highlight w:val="none"/>
        </w:rPr>
      </w:pPr>
      <w:r/>
      <w:bookmarkStart w:id="583" w:name="_Toc1570"/>
      <w:r/>
      <w:bookmarkStart w:id="584" w:name="_Toc12790"/>
      <w:r/>
      <w:bookmarkStart w:id="585" w:name="_Toc26814"/>
      <w:r/>
      <w:bookmarkStart w:id="586" w:name="_Toc1961"/>
      <w:r/>
      <w:bookmarkStart w:id="587" w:name="_Toc16481"/>
      <w:r/>
      <w:bookmarkStart w:id="588" w:name="_Toc23854"/>
      <w:r/>
      <w:bookmarkStart w:id="589" w:name="_Toc26985"/>
      <w:r/>
      <w:bookmarkStart w:id="590" w:name="_Toc9355"/>
      <w:r/>
      <w:bookmarkStart w:id="591" w:name="_Toc1953"/>
      <w:r/>
      <w:bookmarkStart w:id="592" w:name="_Toc5693"/>
      <w:r>
        <w:rPr>
          <w:rFonts w:hint="eastAsia" w:ascii="宋体" w:hAnsi="宋体" w:cs="宋体"/>
          <w:b/>
          <w:bCs/>
          <w:color w:val="auto"/>
          <w:sz w:val="24"/>
          <w:szCs w:val="24"/>
          <w:highlight w:val="none"/>
        </w:rPr>
        <w:t xml:space="preserve">1.1付款方式</w:t>
      </w:r>
      <w:bookmarkEnd w:id="583"/>
      <w:r/>
      <w:bookmarkEnd w:id="584"/>
      <w:r/>
      <w:bookmarkEnd w:id="585"/>
      <w:r/>
      <w:bookmarkEnd w:id="586"/>
      <w:r/>
      <w:bookmarkEnd w:id="587"/>
      <w:r/>
      <w:bookmarkEnd w:id="588"/>
      <w:r/>
      <w:bookmarkEnd w:id="589"/>
      <w:r/>
      <w:bookmarkEnd w:id="590"/>
      <w:r/>
      <w:bookmarkEnd w:id="591"/>
      <w:r/>
      <w:bookmarkEnd w:id="592"/>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1.1.1预付款，</w:t>
      </w:r>
      <w:r>
        <w:rPr>
          <w:rFonts w:hint="eastAsia" w:ascii="宋体" w:hAnsi="宋体" w:cs="宋体"/>
          <w:bCs/>
          <w:color w:val="auto"/>
          <w:sz w:val="24"/>
          <w:highlight w:val="none"/>
          <w:lang w:val="zh-CN"/>
        </w:rPr>
        <w:t xml:space="preserve">签订合同后内支付合同总价款的</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val="zh-CN"/>
        </w:rPr>
        <w:t xml:space="preserve">0%；</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备注：</w:t>
      </w:r>
      <w:r>
        <w:rPr>
          <w:rFonts w:hint="eastAsia" w:ascii="宋体" w:hAnsi="宋体" w:cs="宋体"/>
          <w:bCs/>
          <w:color w:val="auto"/>
          <w:sz w:val="24"/>
          <w:szCs w:val="24"/>
          <w:highlight w:val="none"/>
        </w:rPr>
        <w:t xml:space="preserve">在签订合同时，供应商明确表示无需预付款或者主动要求降低预付款比例的，采购人可不适用前述规定。</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1.1.2进度款：现有绿化管养和物业服务合同到期后陆续移交，按照实际接收和完成的管养服务时长和面积计算实际发生的</w:t>
      </w:r>
      <w:r>
        <w:rPr>
          <w:rFonts w:hint="eastAsia" w:ascii="宋体" w:hAnsi="宋体" w:cs="宋体"/>
          <w:bCs/>
          <w:color w:val="auto"/>
          <w:sz w:val="24"/>
          <w:highlight w:val="none"/>
          <w:lang w:val="en-US" w:eastAsia="zh-CN"/>
        </w:rPr>
        <w:t xml:space="preserve">费用</w:t>
      </w:r>
      <w:r>
        <w:rPr>
          <w:rFonts w:hint="eastAsia" w:ascii="宋体" w:hAnsi="宋体" w:cs="宋体"/>
          <w:bCs/>
          <w:color w:val="auto"/>
          <w:sz w:val="24"/>
          <w:highlight w:val="none"/>
        </w:rPr>
        <w:t xml:space="preserve">，按月考核，按季度拨付，根据实际管养、施工情况和考核结果，拨付扣除预付款之后（每次扣除预付款比例为预付款*10%）的经费。付款时由中标人提供正规发票后进行拨付。</w:t>
      </w:r>
      <w:r/>
    </w:p>
    <w:p>
      <w:pPr>
        <w:ind w:firstLine="480"/>
        <w:spacing w:line="50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例：管养第一年第一次拨付度经费为500万，则本次实际拨付经费为：500-（预付款*10%）。</w:t>
      </w:r>
      <w:r/>
    </w:p>
    <w:p>
      <w:pPr>
        <w:pStyle w:val="1173"/>
        <w:ind w:firstLine="482"/>
        <w:spacing w:line="400" w:lineRule="exact"/>
        <w:shd w:val="clear" w:color="auto" w:fill="ffffff"/>
        <w:rPr>
          <w:rFonts w:hint="eastAsia" w:ascii="宋体" w:hAnsi="宋体" w:cs="宋体"/>
          <w:b/>
          <w:bCs/>
          <w:color w:val="auto"/>
          <w:sz w:val="24"/>
          <w:highlight w:val="none"/>
        </w:rPr>
      </w:pPr>
      <w:r/>
      <w:bookmarkStart w:id="593" w:name="_Toc906"/>
      <w:r/>
      <w:bookmarkStart w:id="594" w:name="_Toc4382"/>
      <w:r/>
      <w:bookmarkStart w:id="595" w:name="_Toc11253"/>
      <w:r/>
      <w:bookmarkStart w:id="596" w:name="_Toc16494"/>
      <w:r/>
      <w:bookmarkStart w:id="597" w:name="_Toc1914"/>
      <w:r/>
      <w:bookmarkStart w:id="598" w:name="_Toc10633"/>
      <w:r/>
      <w:bookmarkStart w:id="599" w:name="_Toc21223"/>
      <w:r/>
      <w:bookmarkStart w:id="600" w:name="_Toc20590"/>
      <w:r/>
      <w:bookmarkStart w:id="601" w:name="_Toc23979"/>
      <w:r/>
      <w:bookmarkStart w:id="602" w:name="_Toc23253"/>
      <w:r>
        <w:rPr>
          <w:rFonts w:hint="eastAsia" w:ascii="宋体" w:hAnsi="宋体" w:cs="宋体"/>
          <w:b/>
          <w:bCs/>
          <w:color w:val="auto"/>
          <w:sz w:val="24"/>
          <w:highlight w:val="none"/>
        </w:rPr>
        <w:t xml:space="preserve">1.2支付标准</w:t>
      </w:r>
      <w:bookmarkEnd w:id="593"/>
      <w:r/>
      <w:bookmarkEnd w:id="594"/>
      <w:r/>
      <w:bookmarkEnd w:id="595"/>
      <w:r/>
      <w:bookmarkEnd w:id="596"/>
      <w:r/>
      <w:bookmarkEnd w:id="597"/>
      <w:r/>
      <w:bookmarkEnd w:id="598"/>
      <w:r/>
      <w:bookmarkEnd w:id="599"/>
      <w:r/>
      <w:bookmarkEnd w:id="600"/>
      <w:r/>
      <w:bookmarkEnd w:id="601"/>
      <w:r/>
      <w:bookmarkEnd w:id="602"/>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月度费用为基本费用与考核费用总和。</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每月底对管养情况进行考核汇总，当月管养费用的70%作为基本管养费用，30%作为考核费用；</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（1）当月考核成绩在95分（含95分）以上的，全款支付</w:t>
      </w:r>
      <w:r>
        <w:rPr>
          <w:rFonts w:hint="eastAsia" w:ascii="宋体" w:hAnsi="宋体" w:cs="宋体"/>
          <w:color w:val="auto"/>
          <w:sz w:val="24"/>
          <w:szCs w:val="24"/>
          <w:highlight w:val="none"/>
          <w:lang w:val="en-US" w:eastAsia="zh-CN"/>
        </w:rPr>
        <w:t xml:space="preserve">管养费用</w:t>
      </w:r>
      <w:r>
        <w:rPr>
          <w:rFonts w:hint="eastAsia" w:ascii="宋体" w:hAnsi="宋体" w:cs="宋体"/>
          <w:color w:val="auto"/>
          <w:sz w:val="24"/>
          <w:szCs w:val="24"/>
          <w:highlight w:val="none"/>
        </w:rPr>
        <w:t xml:space="preserve">；</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（2）当月考核成绩在90—95分（含90分）之间的，当月管养费用为：基本管养费用+考核分数/100*考核费用；</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（3）当月考核成绩在80-90分（含80分）之间的，当月管养费用为基本管养费用+[1-2*（100-实际得分）/100]*考核费用：</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（4）当月考核成绩在60-80分（含60分）之间的，当月管养费用为基本管养费用：</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（5）当月考核成绩在60分以下为不合格，当月管养费用不予支付。</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注：1.履约期间，中标人发生连续3个月以上考核成绩60分以下的或连续12个月内有5个月考核成绩为60分以下的，采购人有权单方终止合同；</w:t>
      </w:r>
      <w:r/>
    </w:p>
    <w:p>
      <w:pPr>
        <w:pStyle w:val="1172"/>
        <w:ind w:firstLine="480"/>
        <w:spacing w:line="40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管养期内，因征用、市政道路改造、工程建设、占用绿地审批或其他原因，造成管养绿地面积减少的，核减相应的管养费用；在宿豫区绿地范围内因项目移交等原因造成管养绿地面积增加的，按投标单价计算增加的管养费用。</w:t>
      </w:r>
      <w:bookmarkStart w:id="603" w:name="_Toc2579"/>
      <w:r/>
      <w:bookmarkStart w:id="604" w:name="_Toc18539"/>
      <w:r/>
      <w:bookmarkStart w:id="605" w:name="_Toc4016"/>
      <w:r/>
      <w:bookmarkStart w:id="606" w:name="_Toc7481"/>
      <w:r/>
      <w:bookmarkStart w:id="607" w:name="_Toc20221"/>
      <w:r/>
      <w:bookmarkStart w:id="608" w:name="_Toc6478"/>
      <w:r/>
      <w:bookmarkStart w:id="609" w:name="_Toc13412"/>
      <w:r/>
      <w:bookmarkStart w:id="610" w:name="_Toc29852"/>
      <w:r/>
      <w:bookmarkStart w:id="611" w:name="_Toc11644"/>
      <w:r/>
      <w:bookmarkStart w:id="612" w:name="_Toc15601"/>
      <w:r/>
      <w:r/>
    </w:p>
    <w:p>
      <w:pPr>
        <w:pStyle w:val="1172"/>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2.考核办法与标准</w:t>
      </w:r>
      <w:bookmarkEnd w:id="603"/>
      <w:r/>
      <w:bookmarkEnd w:id="604"/>
      <w:r/>
      <w:bookmarkEnd w:id="605"/>
      <w:r/>
      <w:bookmarkEnd w:id="606"/>
      <w:r/>
      <w:bookmarkEnd w:id="607"/>
      <w:r/>
      <w:bookmarkEnd w:id="608"/>
      <w:r/>
      <w:bookmarkEnd w:id="609"/>
      <w:r/>
      <w:bookmarkEnd w:id="610"/>
      <w:r/>
      <w:bookmarkEnd w:id="611"/>
      <w:r/>
      <w:bookmarkEnd w:id="612"/>
      <w:r/>
      <w:bookmarkStart w:id="613" w:name="_Toc4694"/>
      <w:r/>
      <w:bookmarkStart w:id="614" w:name="_Toc8729"/>
      <w:r/>
      <w:bookmarkStart w:id="615" w:name="_Toc28648"/>
      <w:r/>
      <w:bookmarkStart w:id="616" w:name="_Toc25871"/>
      <w:r/>
      <w:bookmarkStart w:id="617" w:name="_Toc23224"/>
      <w:r/>
      <w:bookmarkStart w:id="618" w:name="_Toc29861"/>
      <w:r/>
      <w:bookmarkStart w:id="619" w:name="_Toc24307"/>
      <w:r/>
      <w:bookmarkStart w:id="620" w:name="_Toc12607"/>
      <w:r/>
      <w:bookmarkStart w:id="621" w:name="_Toc2359"/>
      <w:r/>
      <w:bookmarkStart w:id="622" w:name="_Toc4794"/>
      <w:r/>
      <w:r/>
    </w:p>
    <w:p>
      <w:pPr>
        <w:pStyle w:val="1172"/>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2.1基本要求</w:t>
      </w:r>
      <w:bookmarkEnd w:id="613"/>
      <w:r/>
      <w:bookmarkEnd w:id="614"/>
      <w:r/>
      <w:bookmarkEnd w:id="615"/>
      <w:r/>
      <w:bookmarkEnd w:id="616"/>
      <w:r/>
      <w:bookmarkEnd w:id="617"/>
      <w:r/>
      <w:bookmarkEnd w:id="618"/>
      <w:r/>
      <w:bookmarkEnd w:id="619"/>
      <w:r/>
      <w:bookmarkEnd w:id="620"/>
      <w:r/>
      <w:bookmarkEnd w:id="621"/>
      <w:r/>
      <w:bookmarkEnd w:id="622"/>
      <w:r/>
      <w:bookmarkStart w:id="623" w:name="_Toc6314"/>
      <w:r/>
      <w:r/>
    </w:p>
    <w:p>
      <w:pPr>
        <w:pStyle w:val="1172"/>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2.1.1中标人须高度重视安全生产工作，按照相关政策文件规定进行人员体检、缴纳意外伤害保险等员工保障工作。所有工作人员必须了解本项目的工作标准和要求，中标人负责加强对工作人员的教育、培训、考核和管理，履约期间不得发生因员工疏忽、失职和安全防范工作不到位等情况造成物品被盗、毁坏、发生重大安全事故、交通事故、被上级部门批评、通报等后果。</w:t>
      </w:r>
      <w:bookmarkEnd w:id="623"/>
      <w:r/>
      <w:r/>
    </w:p>
    <w:p>
      <w:pPr>
        <w:pStyle w:val="1172"/>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2.1.2 所有上岗人员须服从采购人管理，遵守采购人制定的各项制度，如有违反按照采购人相应制度的处理措施执行。</w:t>
      </w:r>
      <w:r/>
    </w:p>
    <w:p>
      <w:pPr>
        <w:pStyle w:val="1172"/>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2.1.3中标人不得以任何理由拒绝完成采购人交办的工作，如发生采购人可视情节严重程度上报有关部门记录中标人不良记录。</w:t>
      </w:r>
      <w:r/>
    </w:p>
    <w:p>
      <w:pPr>
        <w:pStyle w:val="1172"/>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2.1.4本项目不得转包，否则采购人将终止合同，并报经财政部门进行处理，由此产生的一切法律责任和经济损失均由中标人承担。</w:t>
      </w:r>
      <w:r/>
    </w:p>
    <w:p>
      <w:pPr>
        <w:pStyle w:val="1173"/>
        <w:ind w:firstLine="482"/>
        <w:spacing w:line="400" w:lineRule="exact"/>
        <w:shd w:val="clear" w:color="auto" w:fill="ffffff"/>
        <w:rPr>
          <w:rFonts w:hint="eastAsia" w:ascii="宋体" w:hAnsi="宋体" w:cs="宋体"/>
          <w:b/>
          <w:bCs/>
          <w:color w:val="auto"/>
          <w:sz w:val="24"/>
          <w:highlight w:val="none"/>
        </w:rPr>
      </w:pPr>
      <w:r/>
      <w:bookmarkStart w:id="624" w:name="_Toc24837"/>
      <w:r/>
      <w:bookmarkStart w:id="625" w:name="_Toc12806"/>
      <w:r/>
      <w:bookmarkStart w:id="626" w:name="_Toc7537"/>
      <w:r/>
      <w:bookmarkStart w:id="627" w:name="_Toc12133"/>
      <w:r/>
      <w:bookmarkStart w:id="628" w:name="_Toc18066"/>
      <w:r/>
      <w:bookmarkStart w:id="629" w:name="_Toc18476"/>
      <w:r/>
      <w:bookmarkStart w:id="630" w:name="_Toc15943"/>
      <w:r/>
      <w:bookmarkStart w:id="631" w:name="_Toc7334"/>
      <w:r/>
      <w:bookmarkStart w:id="632" w:name="_Toc14761"/>
      <w:r/>
      <w:bookmarkStart w:id="633" w:name="_Toc29635"/>
      <w:r>
        <w:rPr>
          <w:rFonts w:hint="eastAsia" w:ascii="宋体" w:hAnsi="宋体" w:cs="宋体"/>
          <w:b/>
          <w:bCs/>
          <w:color w:val="auto"/>
          <w:sz w:val="24"/>
          <w:highlight w:val="none"/>
        </w:rPr>
        <w:t xml:space="preserve">2.2考核办法</w:t>
      </w:r>
      <w:bookmarkEnd w:id="624"/>
      <w:r/>
      <w:bookmarkEnd w:id="625"/>
      <w:r/>
      <w:bookmarkEnd w:id="626"/>
      <w:r/>
      <w:bookmarkEnd w:id="627"/>
      <w:r/>
      <w:bookmarkEnd w:id="628"/>
      <w:r/>
      <w:bookmarkEnd w:id="629"/>
      <w:r/>
      <w:bookmarkEnd w:id="630"/>
      <w:r/>
      <w:bookmarkEnd w:id="631"/>
      <w:r/>
      <w:r/>
    </w:p>
    <w:p>
      <w:pPr>
        <w:pStyle w:val="1173"/>
        <w:ind w:firstLine="480"/>
        <w:spacing w:line="400" w:lineRule="exact"/>
        <w:shd w:val="clear" w:color="auto" w:fill="ffffff"/>
        <w:rPr>
          <w:rFonts w:hint="eastAsia" w:ascii="宋体" w:hAnsi="宋体" w:cs="宋体"/>
          <w:color w:val="auto"/>
          <w:sz w:val="24"/>
          <w:highlight w:val="none"/>
        </w:rPr>
      </w:pPr>
      <w:r/>
      <w:bookmarkStart w:id="634" w:name="_Toc19920"/>
      <w:r/>
      <w:bookmarkStart w:id="635" w:name="_Toc5312"/>
      <w:r/>
      <w:bookmarkStart w:id="636" w:name="_Toc25114"/>
      <w:r/>
      <w:bookmarkStart w:id="637" w:name="_Toc22957"/>
      <w:r/>
      <w:bookmarkStart w:id="638" w:name="_Toc24456"/>
      <w:r/>
      <w:bookmarkStart w:id="639" w:name="_Toc27898"/>
      <w:r/>
      <w:bookmarkStart w:id="640" w:name="_Toc3213"/>
      <w:r/>
      <w:bookmarkStart w:id="641" w:name="_Toc26235"/>
      <w:r>
        <w:rPr>
          <w:rFonts w:hint="eastAsia" w:ascii="宋体" w:hAnsi="宋体" w:cs="宋体"/>
          <w:color w:val="auto"/>
          <w:sz w:val="24"/>
          <w:highlight w:val="none"/>
        </w:rPr>
        <w:t xml:space="preserve">考核办法分为以下五种：日常考核、定期考核、专项考核、直接扣费考核和失信行为考核。</w:t>
      </w:r>
      <w:bookmarkEnd w:id="634"/>
      <w:r/>
      <w:bookmarkEnd w:id="635"/>
      <w:r/>
      <w:bookmarkEnd w:id="636"/>
      <w:r/>
      <w:bookmarkEnd w:id="637"/>
      <w:r/>
      <w:bookmarkEnd w:id="638"/>
      <w:r/>
      <w:bookmarkEnd w:id="639"/>
      <w:r>
        <w:rPr>
          <w:rFonts w:hint="eastAsia" w:ascii="宋体" w:hAnsi="宋体" w:cs="宋体"/>
          <w:color w:val="auto"/>
          <w:sz w:val="24"/>
          <w:highlight w:val="none"/>
        </w:rPr>
        <w:t xml:space="preserve">月考核成绩为前三项考核综合得出，计算公式为：日常考核得分*70%+定期考核分数*30%+专项考核分数。</w:t>
      </w:r>
      <w:bookmarkEnd w:id="640"/>
      <w:r/>
      <w:bookmarkEnd w:id="641"/>
      <w:r/>
      <w:r/>
    </w:p>
    <w:p>
      <w:pPr>
        <w:pStyle w:val="1173"/>
        <w:ind w:firstLine="482"/>
        <w:spacing w:line="400" w:lineRule="exact"/>
        <w:shd w:val="clear" w:color="auto" w:fill="ffffff"/>
        <w:rPr>
          <w:rFonts w:hint="eastAsia" w:ascii="宋体" w:hAnsi="宋体" w:cs="宋体"/>
          <w:color w:val="auto"/>
          <w:sz w:val="24"/>
          <w:highlight w:val="none"/>
        </w:rPr>
      </w:pPr>
      <w:r/>
      <w:bookmarkStart w:id="642" w:name="_Toc1354"/>
      <w:r/>
      <w:bookmarkStart w:id="643" w:name="_Toc13545"/>
      <w:r/>
      <w:bookmarkStart w:id="644" w:name="_Toc27448"/>
      <w:r/>
      <w:bookmarkStart w:id="645" w:name="_Toc12874"/>
      <w:r/>
      <w:bookmarkStart w:id="646" w:name="_Toc21063"/>
      <w:r/>
      <w:bookmarkStart w:id="647" w:name="_Toc26981"/>
      <w:r/>
      <w:bookmarkStart w:id="648" w:name="_Toc24181"/>
      <w:r/>
      <w:bookmarkStart w:id="649" w:name="_Toc14304"/>
      <w:r>
        <w:rPr>
          <w:rFonts w:hint="eastAsia" w:ascii="宋体" w:hAnsi="宋体" w:cs="宋体"/>
          <w:b/>
          <w:bCs/>
          <w:color w:val="auto"/>
          <w:sz w:val="24"/>
          <w:highlight w:val="none"/>
        </w:rPr>
        <w:t xml:space="preserve">2.2.1 </w:t>
      </w:r>
      <w:bookmarkEnd w:id="642"/>
      <w:r/>
      <w:bookmarkEnd w:id="643"/>
      <w:r/>
      <w:bookmarkEnd w:id="644"/>
      <w:r/>
      <w:bookmarkEnd w:id="645"/>
      <w:r/>
      <w:bookmarkEnd w:id="646"/>
      <w:r/>
      <w:bookmarkEnd w:id="647"/>
      <w:r>
        <w:rPr>
          <w:rFonts w:hint="eastAsia" w:ascii="宋体" w:hAnsi="宋体" w:cs="宋体"/>
          <w:b/>
          <w:bCs/>
          <w:color w:val="auto"/>
          <w:sz w:val="24"/>
          <w:highlight w:val="none"/>
        </w:rPr>
        <w:t xml:space="preserve">日常考核、定期考核</w:t>
      </w:r>
      <w:r>
        <w:rPr>
          <w:rFonts w:hint="eastAsia" w:ascii="宋体" w:hAnsi="宋体" w:cs="宋体"/>
          <w:color w:val="auto"/>
          <w:sz w:val="24"/>
          <w:highlight w:val="none"/>
        </w:rPr>
        <w:t xml:space="preserve">：</w:t>
      </w:r>
      <w:bookmarkEnd w:id="648"/>
      <w:r/>
      <w:bookmarkEnd w:id="649"/>
      <w:r>
        <w:rPr>
          <w:rFonts w:hint="eastAsia" w:ascii="宋体" w:hAnsi="宋体" w:cs="宋体"/>
          <w:color w:val="auto"/>
          <w:sz w:val="24"/>
          <w:highlight w:val="none"/>
        </w:rPr>
        <w:t xml:space="preserve">以百分制计分，日常考核占70%，定期考核占30%；</w:t>
      </w:r>
      <w:r>
        <w:rPr>
          <w:rFonts w:hint="eastAsia" w:ascii="宋体" w:hAnsi="宋体" w:cs="宋体"/>
          <w:b/>
          <w:bCs/>
          <w:color w:val="auto"/>
          <w:sz w:val="24"/>
          <w:highlight w:val="none"/>
        </w:rPr>
        <w:t xml:space="preserve">日常考核</w:t>
      </w:r>
      <w:r>
        <w:rPr>
          <w:rFonts w:hint="eastAsia" w:ascii="宋体" w:hAnsi="宋体" w:cs="宋体"/>
          <w:color w:val="auto"/>
          <w:sz w:val="24"/>
          <w:highlight w:val="none"/>
        </w:rPr>
        <w:t xml:space="preserve">为采购人现场监管人员日常巡查考核记录，每半月汇总一次，月末以两次汇总成绩的平均数为该月日常考核得分；</w:t>
      </w:r>
      <w:r>
        <w:rPr>
          <w:rFonts w:hint="eastAsia" w:ascii="宋体" w:hAnsi="宋体" w:cs="宋体"/>
          <w:b/>
          <w:bCs/>
          <w:color w:val="auto"/>
          <w:sz w:val="24"/>
          <w:highlight w:val="none"/>
        </w:rPr>
        <w:t xml:space="preserve">定期考核</w:t>
      </w:r>
      <w:r>
        <w:rPr>
          <w:rFonts w:hint="eastAsia" w:ascii="宋体" w:hAnsi="宋体" w:cs="宋体"/>
          <w:b w:val="0"/>
          <w:bCs w:val="0"/>
          <w:color w:val="auto"/>
          <w:sz w:val="24"/>
          <w:highlight w:val="none"/>
          <w:lang w:val="en-US" w:eastAsia="zh-CN"/>
        </w:rPr>
        <w:t xml:space="preserve">为</w:t>
      </w:r>
      <w:r>
        <w:rPr>
          <w:rFonts w:hint="eastAsia" w:ascii="宋体" w:hAnsi="宋体" w:cs="宋体"/>
          <w:color w:val="auto"/>
          <w:sz w:val="24"/>
          <w:highlight w:val="none"/>
        </w:rPr>
        <w:t xml:space="preserve">每1-2个月开展1次，由采购人牵头组织，现场管理部门参与，如定期考核每两个月开展一次，则定期考核成绩按30%折算后计入当月和前一月的月考核成绩。</w:t>
      </w:r>
      <w:r/>
    </w:p>
    <w:p>
      <w:pPr>
        <w:pStyle w:val="1173"/>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（1）日常考核表</w:t>
      </w:r>
      <w:r/>
    </w:p>
    <w:tbl>
      <w:tblPr>
        <w:tblStyle w:val="846"/>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6955"/>
        <w:gridCol w:w="457"/>
        <w:gridCol w:w="397"/>
        <w:gridCol w:w="457"/>
        <w:gridCol w:w="337"/>
      </w:tblGrid>
      <w:tr>
        <w:trPr>
          <w:jc w:val="center"/>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考核时间</w:t>
            </w:r>
            <w:r/>
          </w:p>
        </w:tc>
        <w:tc>
          <w:tcPr>
            <w:tcW w:w="6955"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评分标准</w:t>
            </w:r>
            <w:r/>
          </w:p>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（总100分）</w:t>
            </w:r>
            <w:r/>
          </w:p>
        </w:tc>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存在问题</w:t>
            </w:r>
            <w:r/>
          </w:p>
        </w:tc>
        <w:tc>
          <w:tcPr>
            <w:tcW w:w="39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扣分值</w:t>
            </w:r>
            <w:r/>
          </w:p>
        </w:tc>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整改期限</w:t>
            </w:r>
            <w:r/>
          </w:p>
        </w:tc>
        <w:tc>
          <w:tcPr>
            <w:tcW w:w="33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t xml:space="preserve">备注</w:t>
            </w:r>
            <w:r/>
          </w:p>
        </w:tc>
      </w:tr>
      <w:tr>
        <w:trPr>
          <w:jc w:val="center"/>
          <w:trHeight w:val="1593"/>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6955" w:type="dxa"/>
            <w:vAlign w:val="center"/>
            <w:vMerge w:val="restart"/>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按《宿迁市城市园林绿化分级管养标准》、《宿迁市城市园林绿化管养导则》和国家、省、市园林绿化、物业管理、消防安全等相关标准进行管理和养护，每发生1例不符合要求的，首次予以指出并限期整改，再次发生除限期整改外，视情节严重程度，扣1-3分</w:t>
            </w:r>
            <w:r/>
          </w:p>
        </w:tc>
        <w:tc>
          <w:tcPr>
            <w:tcW w:w="45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9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3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631"/>
        </w:trPr>
        <w:tc>
          <w:tcPr>
            <w:tcW w:w="457" w:type="dxa"/>
            <w:vAlign w:val="center"/>
            <w:vMerge w:val="restart"/>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6955" w:type="dxa"/>
            <w:vAlign w:val="center"/>
            <w:vMerge w:val="restart"/>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日常考核已扣分的限期整改问题，逾期未整改到位的，按前次扣分值2倍扣分，并继续限期整改到位</w:t>
            </w:r>
            <w:r/>
          </w:p>
        </w:tc>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9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3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703"/>
        </w:trPr>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6955"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同一地点、同一问题、反复交办3次以上未落实到位的，扣20分</w:t>
            </w:r>
            <w:r/>
          </w:p>
        </w:tc>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9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37" w:type="dxa"/>
            <w:vAlign w:val="center"/>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376"/>
        </w:trPr>
        <w:tc>
          <w:tcPr>
            <w:gridSpan w:val="2"/>
            <w:tcW w:w="7412"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合  计</w:t>
            </w:r>
            <w:r/>
          </w:p>
        </w:tc>
        <w:tc>
          <w:tcPr>
            <w:tcW w:w="45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9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45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c>
          <w:tcPr>
            <w:tcW w:w="337" w:type="dxa"/>
            <w:textDirection w:val="lrTb"/>
            <w:noWrap w:val="false"/>
          </w:tcPr>
          <w:p>
            <w:pPr>
              <w:pStyle w:val="850"/>
              <w:spacing w:line="30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583"/>
        </w:trPr>
        <w:tc>
          <w:tcPr>
            <w:gridSpan w:val="2"/>
            <w:tcW w:w="7412" w:type="dxa"/>
            <w:vAlign w:val="center"/>
            <w:textDirection w:val="lrTb"/>
            <w:noWrap w:val="false"/>
          </w:tcPr>
          <w:p>
            <w:pPr>
              <w:pStyle w:val="850"/>
              <w:jc w:val="left"/>
              <w:spacing w:line="300" w:lineRule="exact"/>
              <w:rPr>
                <w:rFonts w:hint="eastAsia" w:ascii="宋体" w:hAnsi="宋体" w:cs="宋体"/>
                <w:color w:val="auto"/>
                <w:highlight w:val="none"/>
              </w:rPr>
            </w:pPr>
            <w:r>
              <w:rPr>
                <w:rFonts w:hint="eastAsia" w:ascii="宋体" w:hAnsi="宋体" w:cs="宋体"/>
                <w:color w:val="auto"/>
                <w:highlight w:val="none"/>
              </w:rPr>
              <w:t xml:space="preserve">月日常考核得分（100-扣分值合计）</w:t>
            </w:r>
            <w:r/>
          </w:p>
        </w:tc>
        <w:tc>
          <w:tcPr>
            <w:gridSpan w:val="4"/>
            <w:tcW w:w="1648" w:type="dxa"/>
            <w:textDirection w:val="lrTb"/>
            <w:noWrap w:val="false"/>
          </w:tcPr>
          <w:p>
            <w:pPr>
              <w:pStyle w:val="850"/>
              <w:jc w:val="center"/>
              <w:spacing w:line="300" w:lineRule="exact"/>
              <w:rPr>
                <w:rFonts w:hint="eastAsia" w:ascii="宋体" w:hAnsi="宋体" w:cs="宋体"/>
                <w:color w:val="auto"/>
                <w:highlight w:val="none"/>
              </w:rPr>
            </w:pPr>
            <w:r>
              <w:rPr>
                <w:rFonts w:hint="eastAsia" w:ascii="宋体" w:hAnsi="宋体" w:cs="宋体"/>
                <w:color w:val="auto"/>
                <w:highlight w:val="none"/>
              </w:rPr>
            </w:r>
            <w:r/>
          </w:p>
        </w:tc>
      </w:tr>
    </w:tbl>
    <w:p>
      <w:pPr>
        <w:pStyle w:val="1174"/>
        <w:ind w:firstLine="110"/>
        <w:jc w:val="left"/>
        <w:spacing w:line="500" w:lineRule="exact"/>
        <w:shd w:val="clear" w:color="auto" w:fill="ffffff"/>
        <w:rPr>
          <w:rFonts w:hint="eastAsia" w:ascii="宋体" w:hAnsi="宋体" w:cs="宋体"/>
          <w:color w:val="auto"/>
          <w:sz w:val="24"/>
          <w:highlight w:val="none"/>
        </w:rPr>
      </w:pPr>
      <w:r>
        <w:rPr>
          <w:rFonts w:hint="eastAsia" w:ascii="宋体" w:hAnsi="宋体" w:cs="宋体"/>
          <w:bCs/>
          <w:color w:val="auto"/>
          <w:sz w:val="22"/>
          <w:highlight w:val="none"/>
        </w:rPr>
        <w:t xml:space="preserve">考核人：                                         被考核人：</w:t>
      </w:r>
      <w:r/>
    </w:p>
    <w:p>
      <w:pPr>
        <w:pStyle w:val="1173"/>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（2）定期考核表</w:t>
      </w:r>
      <w:r/>
    </w:p>
    <w:tbl>
      <w:tblPr>
        <w:tblStyle w:val="846"/>
        <w:tblW w:w="9061" w:type="dxa"/>
        <w:jc w:val="center"/>
        <w:tblLayout w:type="fixed"/>
        <w:tblCellMar>
          <w:left w:w="108" w:type="dxa"/>
          <w:top w:w="0" w:type="dxa"/>
          <w:right w:w="108" w:type="dxa"/>
          <w:bottom w:w="0" w:type="dxa"/>
        </w:tblCellMar>
        <w:tblLook w:val="04A0" w:firstRow="1" w:lastRow="0" w:firstColumn="1" w:lastColumn="0" w:noHBand="0" w:noVBand="1"/>
      </w:tblPr>
      <w:tblGrid>
        <w:gridCol w:w="1597"/>
        <w:gridCol w:w="515"/>
        <w:gridCol w:w="4290"/>
        <w:gridCol w:w="663"/>
        <w:gridCol w:w="962"/>
        <w:gridCol w:w="438"/>
        <w:gridCol w:w="596"/>
      </w:tblGrid>
      <w:tr>
        <w:trPr>
          <w:jc w:val="center"/>
          <w:trHeight w:val="279"/>
          <w:tblHeader/>
        </w:trPr>
        <w:tc>
          <w:tcPr>
            <w:tcBorders>
              <w:top w:val="single" w:color="000000" w:sz="8" w:space="0"/>
              <w:left w:val="single" w:color="000000" w:sz="8" w:space="0"/>
              <w:bottom w:val="none" w:color="000000" w:sz="4" w:space="0"/>
              <w:right w:val="single" w:color="000000" w:sz="8"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bookmarkStart w:id="650" w:name="_Toc17147"/>
            <w:r/>
            <w:bookmarkStart w:id="651" w:name="_Toc6609"/>
            <w:r/>
            <w:bookmarkStart w:id="652" w:name="_Toc1709"/>
            <w:r/>
            <w:bookmarkStart w:id="653" w:name="_Toc12747"/>
            <w:r/>
            <w:bookmarkStart w:id="654" w:name="_Toc17239"/>
            <w:r/>
            <w:bookmarkStart w:id="655" w:name="_Toc1999"/>
            <w:r/>
            <w:bookmarkStart w:id="656" w:name="_Toc31700"/>
            <w:r/>
            <w:bookmarkStart w:id="657" w:name="_Toc32284"/>
            <w:r/>
            <w:bookmarkStart w:id="658" w:name="_Toc15114"/>
            <w:r>
              <w:rPr>
                <w:rFonts w:hint="eastAsia" w:ascii="宋体" w:hAnsi="宋体" w:cs="宋体"/>
                <w:color w:val="auto"/>
                <w:szCs w:val="21"/>
                <w:highlight w:val="none"/>
              </w:rPr>
              <w:t xml:space="preserve">项目</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15"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290"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评分标准</w:t>
            </w:r>
            <w:r/>
          </w:p>
        </w:tc>
        <w:tc>
          <w:tcPr>
            <w:gridSpan w:val="2"/>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625" w:type="dxa"/>
            <w:vAlign w:val="center"/>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分值（分）</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438"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596" w:type="dxa"/>
            <w:vAlign w:val="center"/>
            <w:vMerge w:val="restart"/>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90"/>
          <w:tblHeader/>
        </w:trPr>
        <w:tc>
          <w:tcPr>
            <w:tcBorders>
              <w:top w:val="none" w:color="000000" w:sz="4" w:space="0"/>
              <w:left w:val="single" w:color="000000" w:sz="8" w:space="0"/>
              <w:bottom w:val="single" w:color="000000" w:sz="8" w:space="0"/>
              <w:right w:val="single" w:color="000000" w:sz="8" w:space="0"/>
            </w:tcBorders>
            <w:tcW w:w="1597" w:type="dxa"/>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vMerge w:val="continue"/>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一级</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二、三级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vMerge w:val="continue"/>
            <w:textDirection w:val="lrTb"/>
            <w:noWrap w:val="false"/>
          </w:tcPr>
          <w:p>
            <w:pPr>
              <w:pStyle w:val="1178"/>
              <w:spacing w:line="2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49"/>
        </w:trPr>
        <w:tc>
          <w:tcPr>
            <w:tcBorders>
              <w:top w:val="single" w:color="000000" w:sz="8" w:space="0"/>
              <w:left w:val="single" w:color="000000" w:sz="8" w:space="0"/>
              <w:bottom w:val="none" w:color="000000" w:sz="4" w:space="0"/>
              <w:right w:val="single" w:color="000000" w:sz="8"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整体形象</w:t>
            </w:r>
            <w:r/>
          </w:p>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整体景观效果较好，绿篱色块、草坪、花卉等生长茂盛，植物层次控制良好，乔灌木修剪及时得当，景观设施完整，及时修复。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none" w:color="000000" w:sz="4" w:space="0"/>
              <w:left w:val="single" w:color="000000" w:sz="8" w:space="0"/>
              <w:bottom w:val="single" w:color="auto" w:sz="4" w:space="0"/>
              <w:right w:val="single" w:color="000000" w:sz="8"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人员着装整齐、佩戴上岗证，不迟到早退、不脱岗、不酒后上岗，工作期间不坐、卧，不做与工作无关的事，文明管理，不讲粗话、脏话，不与游人争吵；养护工具不乱摆乱放，养护车辆不乱停乱放。</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25</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single" w:color="auto" w:sz="4" w:space="0"/>
              <w:left w:val="single" w:color="auto" w:sz="4" w:space="0"/>
              <w:bottom w:val="single" w:color="auto" w:sz="4" w:space="0"/>
              <w:right w:val="single" w:color="auto"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绿化养护</w:t>
            </w:r>
            <w:r/>
          </w:p>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（一级管养20分，二、三级管养25分）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修剪不到位，乔灌木根颈部处理不到位，有下垂枝影响通行，草坪未切边或切边不齐不美的，杂草清除不到位；根据实际情况酌情扣分。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269"/>
        </w:trPr>
        <w:tc>
          <w:tcPr>
            <w:tcBorders>
              <w:top w:val="single" w:color="auto" w:sz="4" w:space="0"/>
              <w:left w:val="single" w:color="auto" w:sz="4" w:space="0"/>
              <w:bottom w:val="non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病虫害防治未达要求的，每例扣1分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none" w:color="000000" w:sz="4" w:space="0"/>
              <w:left w:val="single" w:color="auto" w:sz="4" w:space="0"/>
              <w:bottom w:val="singl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在绿地内乱搭乱建的；树体上有附着物的；树木歪斜未扶正的；受损绿地未及时修复或补植的，修复作业不规范的；根据实际情况酌情扣分。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322"/>
        </w:trPr>
        <w:tc>
          <w:tcPr>
            <w:tcBorders>
              <w:top w:val="single" w:color="000000" w:sz="4" w:space="0"/>
              <w:left w:val="single" w:color="000000" w:sz="4" w:space="0"/>
              <w:bottom w:val="none" w:color="000000" w:sz="4" w:space="0"/>
              <w:right w:val="single" w:color="000000"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保洁和设施维护（一级管养15分，二、三级管养20分）</w:t>
            </w:r>
            <w:r/>
          </w:p>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无塑膜、无纸屑、无果皮、无烟头、无便迹、无油迹污渍、无杂物、无绿化管养衍生物等；</w:t>
            </w:r>
            <w:r>
              <w:rPr>
                <w:rFonts w:hint="eastAsia" w:ascii="宋体" w:hAnsi="宋体" w:cs="宋体"/>
                <w:color w:val="auto"/>
                <w:spacing w:val="-6"/>
                <w:sz w:val="18"/>
                <w:szCs w:val="18"/>
                <w:highlight w:val="none"/>
              </w:rPr>
              <w:t xml:space="preserve">水面无垃圾、无大片水草及其他衍生物；</w:t>
            </w:r>
            <w:r>
              <w:rPr>
                <w:rFonts w:hint="eastAsia" w:ascii="宋体" w:hAnsi="宋体" w:cs="宋体"/>
                <w:color w:val="auto"/>
                <w:sz w:val="18"/>
                <w:szCs w:val="18"/>
                <w:highlight w:val="none"/>
              </w:rPr>
              <w:t xml:space="preserve">保洁垃圾未做到及时清理，垃圾箱外溢，管养废弃物未入袋收集随意堆放在地面的；根据实际情况酌情扣分。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49"/>
        </w:trPr>
        <w:tc>
          <w:tcPr>
            <w:tcBorders>
              <w:top w:val="none" w:color="000000" w:sz="4" w:space="0"/>
              <w:left w:val="single" w:color="000000" w:sz="4" w:space="0"/>
              <w:bottom w:val="non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pacing w:val="-6"/>
                <w:sz w:val="18"/>
                <w:szCs w:val="18"/>
                <w:highlight w:val="none"/>
              </w:rPr>
            </w:pPr>
            <w:r>
              <w:rPr>
                <w:rFonts w:hint="eastAsia" w:ascii="宋体" w:hAnsi="宋体" w:cs="宋体"/>
                <w:color w:val="auto"/>
                <w:sz w:val="18"/>
                <w:szCs w:val="18"/>
                <w:highlight w:val="none"/>
              </w:rPr>
              <w:t xml:space="preserve">各类设施、园林建筑等功能正常，外观完好，清洁卫生，定期擦洗，无张贴刻画现象</w:t>
            </w:r>
            <w:r>
              <w:rPr>
                <w:rFonts w:hint="eastAsia" w:ascii="宋体" w:hAnsi="宋体" w:cs="宋体"/>
                <w:color w:val="auto"/>
                <w:spacing w:val="-6"/>
                <w:sz w:val="18"/>
                <w:szCs w:val="18"/>
                <w:highlight w:val="none"/>
              </w:rPr>
              <w:t xml:space="preserve">，</w:t>
            </w:r>
            <w:r>
              <w:rPr>
                <w:rFonts w:hint="eastAsia" w:ascii="宋体" w:hAnsi="宋体" w:cs="宋体"/>
                <w:color w:val="auto"/>
                <w:sz w:val="18"/>
                <w:szCs w:val="18"/>
                <w:highlight w:val="none"/>
              </w:rPr>
              <w:t xml:space="preserve">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80"/>
        </w:trPr>
        <w:tc>
          <w:tcPr>
            <w:tcBorders>
              <w:top w:val="none" w:color="000000" w:sz="4" w:space="0"/>
              <w:left w:val="single" w:color="000000" w:sz="4" w:space="0"/>
              <w:bottom w:val="single" w:color="000000" w:sz="4" w:space="0"/>
              <w:right w:val="single" w:color="000000" w:sz="4" w:space="0"/>
            </w:tcBorders>
            <w:tcW w:w="1597" w:type="dxa"/>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公厕所需的蚊香、卫生球、纸篓、垃圾袋及卫生纸等应配备放置到位；公厕设施维修及时，维修期间设置规范公告牌；根据实际情况酌情扣分。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57"/>
        </w:trPr>
        <w:tc>
          <w:tcPr>
            <w:tcBorders>
              <w:top w:val="single" w:color="000000" w:sz="4" w:space="0"/>
              <w:left w:val="single" w:color="000000" w:sz="4" w:space="0"/>
              <w:bottom w:val="none" w:color="000000" w:sz="4" w:space="0"/>
              <w:right w:val="single" w:color="000000" w:sz="4" w:space="0"/>
            </w:tcBorders>
            <w:tcW w:w="1597" w:type="dxa"/>
            <w:vAlign w:val="center"/>
            <w:vMerge w:val="restart"/>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保安（一级管养10分）</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停车场管理不到位，车辆未停放在规定区域或停放不整齐的，根据实际情况酌情扣分。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18"/>
        </w:trPr>
        <w:tc>
          <w:tcPr>
            <w:tcBorders>
              <w:top w:val="none" w:color="000000" w:sz="4" w:space="0"/>
              <w:left w:val="single" w:color="000000" w:sz="4" w:space="0"/>
              <w:bottom w:val="single" w:color="000000" w:sz="4" w:space="0"/>
              <w:right w:val="single" w:color="000000" w:sz="4" w:space="0"/>
            </w:tcBorders>
            <w:tcW w:w="1597" w:type="dxa"/>
            <w:vAlign w:val="center"/>
            <w:vMerge w:val="continue"/>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游客在广场、道路、座椅等随意躺卧的或未在规定区域垂钓的，保安未进行文明劝导的，根据实际情况酌情扣分。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604"/>
        </w:trPr>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其它（5分）</w:t>
            </w:r>
            <w:r/>
          </w:p>
        </w:tc>
        <w:tc>
          <w:tcPr>
            <w:tcBorders>
              <w:top w:val="single" w:color="000000" w:sz="8" w:space="0"/>
              <w:left w:val="single" w:color="000000" w:sz="4" w:space="0"/>
              <w:bottom w:val="single" w:color="000000" w:sz="4" w:space="0"/>
              <w:right w:val="single" w:color="000000" w:sz="8" w:space="0"/>
            </w:tcBorders>
            <w:tcMar>
              <w:left w:w="108" w:type="dxa"/>
              <w:top w:w="0" w:type="dxa"/>
              <w:right w:w="108" w:type="dxa"/>
              <w:bottom w:w="0" w:type="dxa"/>
            </w:tcMar>
            <w:tcW w:w="515"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pStyle w:val="1178"/>
              <w:jc w:val="left"/>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现场还存在其他管养质量和管理问题的，根据实际情况酌情扣分。</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199"/>
        </w:trPr>
        <w:tc>
          <w:tcPr>
            <w:gridSpan w:val="2"/>
            <w:tcW w:w="211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合计</w:t>
            </w:r>
            <w:r/>
          </w:p>
        </w:tc>
        <w:tc>
          <w:tcPr>
            <w:tcMar>
              <w:left w:w="108" w:type="dxa"/>
              <w:top w:w="0" w:type="dxa"/>
              <w:right w:w="108" w:type="dxa"/>
              <w:bottom w:w="0" w:type="dxa"/>
            </w:tcMar>
            <w:tcW w:w="4290"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Mar>
              <w:left w:w="108" w:type="dxa"/>
              <w:top w:w="0" w:type="dxa"/>
              <w:right w:w="108" w:type="dxa"/>
              <w:bottom w:w="0" w:type="dxa"/>
            </w:tcMar>
            <w:tcW w:w="663"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tcMar>
              <w:left w:w="108" w:type="dxa"/>
              <w:top w:w="0" w:type="dxa"/>
              <w:right w:w="108" w:type="dxa"/>
              <w:bottom w:w="0" w:type="dxa"/>
            </w:tcMar>
            <w:tcW w:w="96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tcMar>
              <w:left w:w="108" w:type="dxa"/>
              <w:top w:w="0" w:type="dxa"/>
              <w:right w:w="108" w:type="dxa"/>
              <w:bottom w:w="0" w:type="dxa"/>
            </w:tcMar>
            <w:tcW w:w="438"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256"/>
        </w:trPr>
        <w:tc>
          <w:tcPr>
            <w:gridSpan w:val="2"/>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pStyle w:val="1178"/>
              <w:jc w:val="center"/>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得分</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3"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6" w:type="dxa"/>
            <w:vAlign w:val="center"/>
            <w:textDirection w:val="lrTb"/>
            <w:noWrap w:val="false"/>
          </w:tcPr>
          <w:p>
            <w:pPr>
              <w:pStyle w:val="1178"/>
              <w:spacing w:line="2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bl>
    <w:p>
      <w:pPr>
        <w:pStyle w:val="1173"/>
        <w:ind w:firstLine="420"/>
        <w:spacing w:line="400" w:lineRule="exact"/>
        <w:shd w:val="clear" w:color="auto" w:fill="ffffff"/>
        <w:rPr>
          <w:rFonts w:hint="eastAsia" w:ascii="宋体" w:hAnsi="宋体" w:cs="宋体"/>
          <w:color w:val="auto"/>
          <w:szCs w:val="21"/>
          <w:highlight w:val="none"/>
        </w:rPr>
      </w:pPr>
      <w:r>
        <w:rPr>
          <w:rFonts w:hint="eastAsia" w:ascii="宋体" w:hAnsi="宋体" w:cs="宋体"/>
          <w:color w:val="auto"/>
          <w:szCs w:val="21"/>
          <w:highlight w:val="none"/>
        </w:rPr>
        <w:t xml:space="preserve">考核组：                                      被考核人</w:t>
      </w:r>
      <w:bookmarkEnd w:id="650"/>
      <w:r>
        <w:rPr>
          <w:rFonts w:hint="eastAsia" w:ascii="宋体" w:hAnsi="宋体" w:cs="宋体"/>
          <w:color w:val="auto"/>
          <w:szCs w:val="21"/>
          <w:highlight w:val="none"/>
        </w:rPr>
        <w:t xml:space="preserve">：</w:t>
      </w:r>
      <w:bookmarkEnd w:id="651"/>
      <w:r/>
      <w:bookmarkEnd w:id="652"/>
      <w:r/>
      <w:bookmarkEnd w:id="653"/>
      <w:r/>
      <w:bookmarkEnd w:id="654"/>
      <w:r/>
      <w:bookmarkEnd w:id="655"/>
      <w:r/>
      <w:bookmarkEnd w:id="656"/>
      <w:r/>
      <w:bookmarkEnd w:id="657"/>
      <w:r/>
      <w:bookmarkEnd w:id="658"/>
      <w:r/>
      <w:r/>
    </w:p>
    <w:p>
      <w:pPr>
        <w:pStyle w:val="1173"/>
        <w:ind w:firstLine="482"/>
        <w:spacing w:line="400" w:lineRule="exact"/>
        <w:shd w:val="clear" w:color="auto" w:fill="ffffff"/>
        <w:rPr>
          <w:rFonts w:hint="eastAsia" w:ascii="宋体" w:hAnsi="宋体" w:cs="宋体"/>
          <w:color w:val="auto"/>
          <w:sz w:val="24"/>
          <w:highlight w:val="none"/>
        </w:rPr>
      </w:pPr>
      <w:r/>
      <w:bookmarkStart w:id="659" w:name="_Toc10271"/>
      <w:r/>
      <w:bookmarkStart w:id="660" w:name="_Toc32343"/>
      <w:r/>
      <w:bookmarkStart w:id="661" w:name="_Toc29726"/>
      <w:r/>
      <w:bookmarkStart w:id="662" w:name="_Toc20258"/>
      <w:r/>
      <w:bookmarkStart w:id="663" w:name="_Toc18427"/>
      <w:r/>
      <w:bookmarkStart w:id="664" w:name="_Toc222"/>
      <w:r/>
      <w:bookmarkStart w:id="665" w:name="_Toc19025"/>
      <w:r/>
      <w:bookmarkStart w:id="666" w:name="_Toc17054"/>
      <w:r>
        <w:rPr>
          <w:rFonts w:hint="eastAsia" w:ascii="宋体" w:hAnsi="宋体" w:cs="宋体"/>
          <w:b/>
          <w:bCs/>
          <w:color w:val="auto"/>
          <w:sz w:val="24"/>
          <w:highlight w:val="none"/>
        </w:rPr>
        <w:t xml:space="preserve">2.2.2 专项考核：</w:t>
      </w:r>
      <w:r>
        <w:rPr>
          <w:rFonts w:hint="eastAsia" w:ascii="宋体" w:hAnsi="宋体" w:cs="宋体"/>
          <w:color w:val="auto"/>
          <w:sz w:val="24"/>
          <w:highlight w:val="none"/>
        </w:rPr>
        <w:t xml:space="preserve">专项考核分为扣分和加分两种情况，得分每月汇总一次，日常考核和定期考核汇总核算分数的基础上直接扣除或增加相应分数，得出最终月度考核分数（专项考核表详见合同附件）</w:t>
      </w:r>
      <w:bookmarkEnd w:id="659"/>
      <w:r/>
      <w:bookmarkEnd w:id="660"/>
      <w:r/>
      <w:bookmarkEnd w:id="661"/>
      <w:r/>
      <w:bookmarkEnd w:id="662"/>
      <w:r/>
      <w:bookmarkEnd w:id="663"/>
      <w:r/>
      <w:bookmarkEnd w:id="664"/>
      <w:r>
        <w:rPr>
          <w:rFonts w:hint="eastAsia" w:ascii="宋体" w:hAnsi="宋体" w:cs="宋体"/>
          <w:color w:val="auto"/>
          <w:sz w:val="24"/>
          <w:highlight w:val="none"/>
        </w:rPr>
        <w:t xml:space="preserve">；</w:t>
      </w:r>
      <w:bookmarkEnd w:id="665"/>
      <w:r/>
      <w:bookmarkEnd w:id="666"/>
      <w:r/>
      <w:r/>
    </w:p>
    <w:p>
      <w:pPr>
        <w:pStyle w:val="1173"/>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（1）专项考核扣分项</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①建立完整的管养工作档案，采购人在抽查检查时不能及时提供或缺失的，每例扣1分（包括台账、管养巡查日志、工作总结计划、专项工作安排、人员管理考核培训材料等）。</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②未按要求报送工作总结计划的，每次扣1分。</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③未及时完成采购人下达的各项任务的，每例扣1～5分；未按时按要求完成采购人发出的合同内提升改造设计任务的，每例扣1～5分。</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④未经采购人同意，擅自砍伐、移植或更换养护范围内的树木，改变绿地原貌的，每例扣3～10分。</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⑤对毁绿、占绿（包括审批移植超范围施工）的行为，未在第一时间（当日17:30之前发生的需当日处置，当日17:30以后发生的需在次日12:00之前处置）内发现并制止、上报采购人现场负责人及相关执法单位的，每次扣3～5分。管养单位只上报采购人现场负责人但未作实质性处置的视为未有效制止毁绿，每例扣4分，并负责无偿恢复被毁绿地。</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⑥因养护管理不善，发生人员伤亡、财产损失后未处理或处理不妥造成投诉的或不良影响的，每例扣3～10分。如中标人未及时发现树木倒伏、主干或枝条折断等问题，对树木倒伏、折断的24小时内未采取扶正、支撑、修剪等措施加以补救、积极处理，导致倒、断树伤人或绿化被人为损坏未获赔偿的，由中标人负赔偿责任。</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⑦对群众来信、来访、投诉电话中反映的投诉、批评、数字城管工单等问题，每逾期回复1次扣1分，经查实属管养单位疏于养护管理导致的，24小时内无故未整改到位的每例扣2分。</w:t>
      </w:r>
      <w:r/>
    </w:p>
    <w:p>
      <w:pPr>
        <w:pStyle w:val="1173"/>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⑧对采购人所需技术支持事项，不能在规定时间内组成专家技术团队到场服务的，每例扣3分。</w:t>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（2）专项考核奖励加分项</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①重大活动时能及时完成上级布置的养护任务或其它临时突击增加的任务，完成及时得到表扬的每例加1～3分；能高标准及时完成布置的设计任务并得到表扬的每例加1～3分。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②对于新闻媒体报道，市、区、局领导及其他单位提出表扬嘉奖的，每例加2分。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③上班期间有好人好事、见义勇为行为的，每例加1-2分。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④能及时发现养护范围之内出现的问题，并且针对提出有效可行新办法新措施的，每例加1～3分；能主动研究分析，针对管养问题，提出有效设计方案从根源上解决管养问题的，每例加1～3分。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⑤及时发现、妥善处置毁绿占绿行为，措施得力，保护绿地不受侵占的，为采购人挽回财产损失的，每例加1～3分。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⑥采购人不定期对所布置的调查统计、突击活动等阶段性工作完成情况评比，从完成及时、成果准确、质量优良的选出最优者，予以每例加1分奖励；采购人布置的临时性工作，能够积极予以落实，并在约定的期限内高质量完成的，予以每例加1分奖励。</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⑦积极处理本服务范围内非中标人原因发生的数字城管工单、市民投诉等问题的，每例加1～3分。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⑧积极采取措施应急排险，处理本服务范围内的突发事件，使公众人身和财产免受损失的，每例加1～3分。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⑨管养期内，按照业主方要求，3年内完成2个科研课题选题和研究工作的，完成并发表，每完成1个，自完成当月起连续3个月考核各加10分，如完成时间所在月份至合同期满不足3个月的，则按实际剩余的月份加分。</w:t>
      </w:r>
      <w:r/>
    </w:p>
    <w:p>
      <w:pPr>
        <w:pStyle w:val="1173"/>
        <w:ind w:firstLine="482"/>
        <w:spacing w:line="400" w:lineRule="exact"/>
        <w:shd w:val="clear" w:color="auto" w:fill="ffffff"/>
        <w:rPr>
          <w:rFonts w:hint="eastAsia" w:ascii="宋体" w:hAnsi="宋体" w:cs="宋体"/>
          <w:color w:val="auto"/>
          <w:sz w:val="24"/>
          <w:highlight w:val="none"/>
        </w:rPr>
      </w:pPr>
      <w:r/>
      <w:bookmarkStart w:id="667" w:name="_Toc13270"/>
      <w:r/>
      <w:bookmarkStart w:id="668" w:name="_Toc18682"/>
      <w:r/>
      <w:bookmarkStart w:id="669" w:name="_Toc4330"/>
      <w:r/>
      <w:bookmarkStart w:id="670" w:name="_Toc21791"/>
      <w:r/>
      <w:bookmarkStart w:id="671" w:name="_Toc27588"/>
      <w:r/>
      <w:bookmarkStart w:id="672" w:name="_Toc1642"/>
      <w:r/>
      <w:bookmarkStart w:id="673" w:name="_Toc7006"/>
      <w:r/>
      <w:bookmarkStart w:id="674" w:name="_Toc12045"/>
      <w:r>
        <w:rPr>
          <w:rFonts w:hint="eastAsia" w:ascii="宋体" w:hAnsi="宋体" w:cs="宋体"/>
          <w:b/>
          <w:bCs/>
          <w:color w:val="auto"/>
          <w:sz w:val="24"/>
          <w:highlight w:val="none"/>
        </w:rPr>
        <w:t xml:space="preserve">2.2.3 直接扣费考核：</w:t>
      </w:r>
      <w:r>
        <w:rPr>
          <w:rFonts w:hint="eastAsia" w:ascii="宋体" w:hAnsi="宋体" w:cs="宋体"/>
          <w:color w:val="auto"/>
          <w:sz w:val="24"/>
          <w:highlight w:val="none"/>
        </w:rPr>
        <w:t xml:space="preserve">按月累计，在当月按月度综合得分计算得出的月度管养费中直接扣除相应费用。</w:t>
      </w:r>
      <w:bookmarkEnd w:id="667"/>
      <w:r/>
      <w:bookmarkEnd w:id="668"/>
      <w:r/>
      <w:bookmarkEnd w:id="669"/>
      <w:r/>
      <w:bookmarkEnd w:id="670"/>
      <w:r/>
      <w:bookmarkEnd w:id="671"/>
      <w:r/>
      <w:bookmarkEnd w:id="672"/>
      <w:r/>
      <w:bookmarkEnd w:id="673"/>
      <w:r/>
      <w:bookmarkEnd w:id="674"/>
      <w:r/>
      <w:bookmarkEnd w:id="632"/>
      <w:r/>
      <w:bookmarkEnd w:id="633"/>
      <w:r/>
      <w:r/>
    </w:p>
    <w:p>
      <w:pPr>
        <w:pStyle w:val="1164"/>
        <w:ind w:firstLine="241"/>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（1）管理工作考核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中标人进入各公园片区后在2周内熟悉各公园范围、工作内容、重点事项，1个月内做出完善、切实可行的内部人事制度、考核制度、奖惩制度、服务方案、建立公园钥匙管理制度、房屋巡查制度、岗位分布及调整方案等整套服务配套资料报采购人现场负责人审核，如报送内容不符合要求，限1周内整改到位，未按要求整改到位的，扣除违约金1000 元/天。</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各片区负责人和各管理人员按时参加由采购人现场负责人召开的养护例会和各种必须参加的考核等会议，特殊情况不能参加的，本人必须提前履行请假手续，经采购人现场负责人同意后，方可委托其他人代替参加，30天内仅限委托他人参加一次，违反本项扣除5000元/人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公园片区各负责人严格执行每月例会制度，组织召开现场人员会议，总结当月工作、做好下月工作安排、反馈采购人工作要求、倾听意见和建议，并做好记录上报采购人现场负责人，如未按要求及时上报，扣除违约金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严格做好各项总结及计划上报工作，本周总结和下周计划在每周五上午下班前报送，月度总结和下月计划应在每月28日前报送采购人现场负责人，未及时上报或编写质量较差、内容不全面的扣除500元/次，并重新编写至满足采购人要求为止。</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⑤公园片区内，每月组织一次安全演练和开展一次公园安全隐患排查，做好记录、留存照片上报采购人现场负责人，未及时、认真开展的，扣除1000元/次。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⑥为保证队伍整体素质和相对稳定性，中标人应充分考虑管理和服务人员工资待遇，按时发放人员工资且工资不低于宿迁市最低工资标准。每月上报工资发放表，如合同履约期间采购人接到人员工资未达最低工资标准。反映经查属实的，中标人应立即整改，按标准要求补发到位，相关行政责任自行承担，同时扣除10000元违约金/次；如发现随意扣发员工工资现象，首次直接扣除违约金10000元，第二次扣除违约金30000元，达到三次以上的，甲方有权单方终止合同，清退乙方出场。</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⑦不得发生在办公场所私拉乱接线路、违规使用大功率电器、使用明火、聚餐饮酒等行为，造成损失由中标人负责赔偿；未造成损失的，中标人应当立即整改到位，如有发现以上行为，扣除违约金1000元/次。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⑧重视接待、创建等工作，在接待前积极主动开展环境整理、点位布置、展牌运输摆放、接待通知、线路巡查、重点工作重点岗位交办等工作，接待前30 分钟确保接待线路上车辆管理、施工管理、安全管理、垂钓管理、垃圾清理、喷泉及音乐开放、不文明行为管理等工作全面落实到位，并持续维护至接待完成，如不到位，扣除3000元/次，对出问题的岗位进行问责，并报采购人处理结果。</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⑨中标人未按照合同约定的服务期限提供服务的，除采购人原因或不可抗力外，应向采购人支付违约金，以每片区为单位，每少提供服务一天，按该片区管养费的1‰支付违约金，如超过 7日，除支付违约金外，采购人有权解除合同。</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⑩合同期内，未按采购人要求完成科研课题选题和研究，完成并发表，扣除合同总管养费的0.5%。</w:t>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(2)人员考核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w:t>
      </w:r>
      <w:r>
        <w:rPr>
          <w:rFonts w:hint="eastAsia" w:ascii="宋体" w:hAnsi="宋体" w:cs="宋体"/>
          <w:color w:val="auto"/>
          <w:sz w:val="24"/>
          <w:highlight w:val="none"/>
          <w:lang w:val="en-US" w:eastAsia="zh-CN"/>
        </w:rPr>
        <w:t xml:space="preserve">管理</w:t>
      </w:r>
      <w:r>
        <w:rPr>
          <w:rFonts w:hint="eastAsia" w:ascii="宋体" w:hAnsi="宋体" w:cs="宋体"/>
          <w:color w:val="auto"/>
          <w:sz w:val="24"/>
          <w:highlight w:val="none"/>
        </w:rPr>
        <w:t xml:space="preserve">人员缺岗的，扣除500元/人次，如因电子工牌故障导致人员考核信息不准确的，按人员缺岗处理，连续3个月累计超过5人次缺岗的，再扣除违约金5000元。</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②项目管理人员保持24小时手机畅通，电话联系不上致使延误工作的，扣除1000元/次。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所有工作人员须服从采购人现场工作安排，文明开展工作，不得出现辱骂、威胁、殴打、诽谤采购人人员，不得造谣传谣、抹黑采购人公众形象，工作过程中不得与市民、游客发生吵架、斗殴等行为，如有发生须立即辞退涉事人员，且不再录用，并扣除10000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进场后，不得随意更换管理人员，因特殊情况确需更换的，应提前5天以书面形式通知采购人，拟更换的人员经采购人同意后方可到岗，履行前任的义务，各岗位管理人员中标服务期内仅限各更换一次（采购人要求更换的除外），擅自更换或后期再次更换，扣除100000元/人次；其中任意1个管理岗位更换次数达三次（含）以上的，采购人单方有权立即终止本合同，清退出场，按合同结清当期已发生管养款，如已支付预付款的，中标人须退还扣除已发生管养款后的预付款，由此产生的一切法律责任和经济损失均由中标人承担。</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⑤采购人有权要求更换不称职的管理人员或工作人员，如中标人拒不按要求更换到位的，扣除50000元/人次，采购人有权单方面立即终止本项目合同，清退出场，按合同结清当期已发生项目管养款，如已支付预付款的，中标人须退还扣除已发生管养款后的预付款，由此产生的一切法律责任和经济损失均由中标人承担。</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⑥合同期内，所有人员不得兼职其他项目，每发生一例，按5000元/人/天扣除。</w:t>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(3)设备考核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中标人提供的设施设备如不符合采购需求，须在30日内重新采购到位，如不到位扣除违约金2000元/天。经采购人验收通过的设施设备，应专供于本项目，其它机械设备如管养作业中有需要，中标人也可租用，租用的机械设备需使用时应提前安排，所有设施设备需保持8成新，不得出现因机械设备不到位影响工作的情况，如有则扣除违约金5000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设施设备工具及耗材未在清单中详细罗列的，按养护要求充足提供，采购人有权根据实际需求，要求中标人增加设备、耗材的品种和数量，因此产生的所有费用包含在本项目的报价内，拒不增加导致无法达到工作要求的，扣除10000元/次。</w:t>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(4)管养工作考核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因管养工作不到位出现问题，被外来检查、媒体曝光通报批评、群众投诉、信访举报或主管部门领导交办管养工作不到位问题的扣除1000元/次；被局领导交办管养工作不到位问题的扣除5000元/次；被市领导、区领导交办管养工作不到位问题的扣除10000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严格执行施肥工作的统一安排，原则上园林绿化苗木每年施基肥1次，追肥根据不同植物品种需求，每年至少1次，每季度初报送季度肥料使用计划表（肥料品种、数量、施肥地点、施肥苗木品种等），经采购人现场负责人审核通过后进行采购施用，按计划施用肥料，不施肥或偷工减料的，一经查实，扣除5000元/次，并在规定时间内补施到位，如未在规定时间内按要求补施的，每逾期1天扣除200元；严格控制肥料使用量并结合实际需求施肥，过量施肥造成苗木损伤的由中标人赔偿。</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每年秋季及时进行黑麦草复播，确保冬季草坪观赏效果，如未按要求复播黑麦草或效果不佳，黑麦草出苗率低于85%的，每次考核发现效果不佳草坪面积大于等于1000㎡的，中标人须支付违约金10000元/次，面积小于1000㎡的，扣除3000元/次，并无条件整改到位。</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中标人应及时安排各阶段重点工作（如秋季落叶打扫工作、夏秋季水草打捞工作、冬季树木涂白、公园公厕防寒保暖等），及时落实秋冬季、祭祀期、春节等期间防火预防措施，及时做好雨雪、大风等恶劣天气应对准备及灾情统计、灾后辅助恢复等工作等，因工作安排不及时,导致安全问题、设施设备问题、卫生问题，由中标人承担一切经济责任和法律责任并扣除5000元/次。</w:t>
      </w:r>
      <w:r/>
    </w:p>
    <w:p>
      <w:pPr>
        <w:pStyle w:val="1164"/>
        <w:ind w:firstLine="480"/>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(5)保安和绿地巡查工作考核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切实做好每班每岗的巡查工作，自觉开展恶劣天气后公园、道路绿化的全面检查工作，及时发现安全隐患、设施坏损，做好充电设施的安全管理和动态检查等，及时上报采购人图片、记录等情况，未及时上报或内容不全面的扣除500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②应做好绿化苗木看护义务，对于苗木偷盗行为及时发现和制止，如因此造成采购人损失，中标人须按照苗木当期市场综合单价进行赔偿或与损失苗木同量级的品种栽植到位。</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只允许经采购人事先通知允许的外来施工进入管养区域内，制止未经采购人允许的外来施工作业，出现外来施工未及时发现、未及时制止且未上报采购人的，造成破坏的需中标人按原样恢复，拒不恢复的，采购人按实际核算金额双倍扣除。</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外来施工作业过程中，保安人员和绿地巡查人员应主动关注岗位内施工情况，对施工造成的公园绿地、设施、管线等破坏情况及时上报采购人，由采购人要求施工单位按原貌及原标准恢复，保安人员还要自觉监督恢复过程，并将恢复情况及时上报采购人。如施工破坏内容由于保安、巡查人员上报不及时或未履职而找不到赔偿或恢复责任单位，由中标人出资恢复，中标人拒不出资恢复的，采购人自行组织恢复，产生的费用从中标人当月服务费中支付。</w:t>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)保洁工作考核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①每日巡视绿地（包括水面、广场）并及时安排人员清除绿地管养衍生物（含落叶），垃圾随产随清，确保无各种杂物、树挂等，保持绿地清洁，绿地管养衍生物不得超过24小时未清运，修剪产生的垃圾、挖掘出的土方等须安排人员收集在工人随身携带的口袋内或临时放置在彩条布上，严禁现场焚烧，严禁随意抛置，如有发生扣除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②设施应及时安排人员保洁，如有损坏，应及时安排维修或更换，保洁、维修率为100%，保洁达不到标准的，扣除500元/次；24 小时内未维修到位，扣除1000元/次；保安、保洁、维修等人员使用的相关工具和装备，因丢失、损坏等原因不满足需求的，影响工作的，扣除1000元/次。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③树木修剪过程要做好现场安全防护及指挥，避开市民上下班高峰时间，修剪下的枝叶应及时整理清运，不得存放超过24小时，严禁将修剪产生的垃圾倾倒在绿化带内，如发现以上情况扣除1000元/次。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④管养区内灰尘、泥沙等粉尘性垃圾在运送途中应加以遮挡，防止垃圾掉落或飞扬引起二次污染；废弃涂料、油漆等流质性垃圾在运送途中注意容器封闭，防止溢流污染路面，如有发生扣除中标人500元/处。</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⑤绿化带冲洗工作不到位，有泥水外溢、安全防护不到位等现象的，每发生一次扣除违约金500元。</w:t>
      </w:r>
      <w:r/>
    </w:p>
    <w:p>
      <w:pPr>
        <w:pStyle w:val="1164"/>
        <w:ind w:firstLine="482"/>
        <w:spacing w:line="400" w:lineRule="exact"/>
        <w:shd w:val="clear" w:color="auto" w:fill="ffffff"/>
        <w:rPr>
          <w:rFonts w:hint="eastAsia" w:ascii="宋体" w:hAnsi="宋体" w:cs="宋体"/>
          <w:b/>
          <w:bCs/>
          <w:color w:val="auto"/>
          <w:sz w:val="24"/>
          <w:highlight w:val="none"/>
        </w:rPr>
      </w:pPr>
      <w:r>
        <w:rPr>
          <w:rFonts w:hint="eastAsia" w:ascii="宋体" w:hAnsi="宋体" w:cs="宋体"/>
          <w:b/>
          <w:bCs/>
          <w:color w:val="auto"/>
          <w:sz w:val="24"/>
          <w:highlight w:val="none"/>
        </w:rPr>
        <w:t xml:space="preserve">2.2.4 失信行为考核</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按照《宿迁市建设市场主体信用管理办法》的规定，纳入宿迁市建设市场统一管理。除相关文件规定以外，中标人有以下情形之一的，记入一般失信行为：</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（1）中标人不能按时对采购人指出的绿化管养、物业管理等问题整改到位，一个月内出现三次。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（2）一个月度考核周期内，人员到岗率超过三次低于90%，超过三次发现人员未统一服装。</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（3）采购人召开的管养会议，总负责人或技术负责人未履行请假手续，半年内迟到三次或缺席两次。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（4）采购人3个小时以内无法通过电话与中标人指派的总负责人或技术负责人取得联系。</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（5）发生违反规定拖欠或克扣农民工工资行为,造成农民工上访。</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（6）中标人未按要求为聘用工人缴纳意外伤害保险的，发生安全事故造成不良社会影响。</w:t>
      </w:r>
      <w:r/>
    </w:p>
    <w:p>
      <w:pPr>
        <w:pStyle w:val="1164"/>
        <w:ind w:firstLine="480"/>
        <w:keepLines w:val="0"/>
        <w:keepNext w:val="0"/>
        <w:pageBreakBefore w:val="0"/>
        <w:spacing w:line="500" w:lineRule="exact"/>
        <w:shd w:val="clear" w:color="auto" w:fill="ffffff"/>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（7）半年内超过三次不积极响应采购人相关工作管理要求。</w:t>
      </w:r>
      <w:r/>
    </w:p>
    <w:p>
      <w:pPr>
        <w:pStyle w:val="1164"/>
        <w:ind w:firstLine="480"/>
        <w:keepLines w:val="0"/>
        <w:keepNext w:val="0"/>
        <w:pageBreakBefore w:val="0"/>
        <w:spacing w:line="500" w:lineRule="exact"/>
        <w:shd w:val="clear" w:color="auto" w:fill="ffffff"/>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（8）其它违反招标文件有关要求的，以采购人认定为准。</w:t>
      </w:r>
      <w:r/>
    </w:p>
    <w:p>
      <w:pPr>
        <w:pStyle w:val="1164"/>
        <w:ind w:firstLine="562"/>
        <w:keepLines w:val="0"/>
        <w:keepNext w:val="0"/>
        <w:pageBreakBefore w:val="0"/>
        <w:spacing w:line="500" w:lineRule="exact"/>
        <w:shd w:val="clear" w:color="auto" w:fill="ffffff"/>
        <w:widowControl w:val="off"/>
        <w:rPr>
          <w:rFonts w:hint="eastAsia" w:ascii="宋体" w:hAnsi="宋体" w:cs="宋体"/>
          <w:bCs/>
          <w:color w:val="auto"/>
          <w:sz w:val="24"/>
          <w:highlight w:val="none"/>
        </w:rPr>
        <w:outlineLvl w:val="2"/>
      </w:pPr>
      <w:r>
        <w:rPr>
          <w:rFonts w:hint="eastAsia" w:ascii="宋体" w:hAnsi="宋体" w:cs="宋体"/>
          <w:b/>
          <w:bCs/>
          <w:color w:val="auto"/>
          <w:sz w:val="28"/>
          <w:szCs w:val="28"/>
          <w:highlight w:val="none"/>
        </w:rPr>
        <w:t xml:space="preserve">（二）采购标的交付时间：</w:t>
      </w:r>
      <w:r>
        <w:rPr>
          <w:rFonts w:hint="eastAsia" w:ascii="宋体" w:hAnsi="宋体" w:cs="宋体"/>
          <w:bCs/>
          <w:color w:val="auto"/>
          <w:sz w:val="24"/>
          <w:highlight w:val="none"/>
        </w:rPr>
        <w:t xml:space="preserve">现有绿化管养和物业服务合同到期后陆续移交，具体交付时间详见明细报价表。</w:t>
      </w:r>
      <w:r/>
    </w:p>
    <w:p>
      <w:pPr>
        <w:pStyle w:val="1164"/>
        <w:ind w:firstLine="562"/>
        <w:keepLines w:val="0"/>
        <w:keepNext w:val="0"/>
        <w:pageBreakBefore w:val="0"/>
        <w:spacing w:line="500" w:lineRule="exact"/>
        <w:shd w:val="clear" w:color="auto" w:fill="ffffff"/>
        <w:widowControl w:val="off"/>
        <w:rPr>
          <w:rFonts w:hint="eastAsia" w:ascii="宋体" w:hAnsi="宋体" w:cs="宋体"/>
          <w:bCs/>
          <w:color w:val="auto"/>
          <w:sz w:val="24"/>
          <w:highlight w:val="none"/>
        </w:rPr>
        <w:outlineLvl w:val="2"/>
      </w:pPr>
      <w:r>
        <w:rPr>
          <w:rFonts w:hint="eastAsia" w:ascii="宋体" w:hAnsi="宋体" w:cs="宋体"/>
          <w:b/>
          <w:color w:val="auto"/>
          <w:sz w:val="28"/>
          <w:szCs w:val="28"/>
          <w:highlight w:val="none"/>
        </w:rPr>
        <w:t xml:space="preserve">（三）实施地点：</w:t>
      </w:r>
      <w:r>
        <w:rPr>
          <w:rFonts w:hint="eastAsia" w:ascii="宋体" w:hAnsi="宋体" w:cs="宋体"/>
          <w:bCs/>
          <w:color w:val="auto"/>
          <w:sz w:val="24"/>
          <w:highlight w:val="none"/>
        </w:rPr>
        <w:t xml:space="preserve">采购人指定地点。</w:t>
      </w:r>
      <w:r/>
    </w:p>
    <w:p>
      <w:pPr>
        <w:pStyle w:val="1164"/>
        <w:ind w:firstLine="562"/>
        <w:keepLines w:val="0"/>
        <w:keepNext w:val="0"/>
        <w:pageBreakBefore w:val="0"/>
        <w:spacing w:line="500" w:lineRule="exact"/>
        <w:shd w:val="clear" w:color="auto" w:fill="ffffff"/>
        <w:widowControl w:val="off"/>
        <w:rPr>
          <w:rFonts w:hint="eastAsia" w:ascii="宋体" w:hAnsi="宋体" w:cs="宋体"/>
          <w:bCs/>
          <w:color w:val="auto"/>
          <w:sz w:val="24"/>
          <w:highlight w:val="none"/>
        </w:rPr>
        <w:outlineLvl w:val="2"/>
      </w:pPr>
      <w:r>
        <w:rPr>
          <w:rFonts w:hint="eastAsia" w:ascii="宋体" w:hAnsi="宋体" w:cs="宋体"/>
          <w:b/>
          <w:color w:val="auto"/>
          <w:sz w:val="28"/>
          <w:szCs w:val="28"/>
          <w:highlight w:val="none"/>
        </w:rPr>
        <w:t xml:space="preserve">（四）质量标准：</w:t>
      </w:r>
      <w:r>
        <w:rPr>
          <w:rFonts w:hint="eastAsia" w:ascii="宋体" w:hAnsi="宋体" w:cs="宋体"/>
          <w:bCs/>
          <w:color w:val="auto"/>
          <w:sz w:val="24"/>
          <w:highlight w:val="none"/>
        </w:rPr>
        <w:t xml:space="preserve">合格。</w:t>
      </w:r>
      <w:r/>
    </w:p>
    <w:p>
      <w:pPr>
        <w:ind w:firstLine="561"/>
        <w:keepLines w:val="0"/>
        <w:keepNext w:val="0"/>
        <w:pageBreakBefore w:val="0"/>
        <w:spacing w:line="500" w:lineRule="exact"/>
        <w:widowControl w:val="off"/>
        <w:rPr>
          <w:rFonts w:hint="eastAsia" w:ascii="宋体" w:hAnsi="宋体" w:cs="宋体"/>
          <w:b/>
          <w:color w:val="auto"/>
          <w:sz w:val="28"/>
          <w:szCs w:val="28"/>
          <w:highlight w:val="none"/>
        </w:rPr>
        <w:outlineLvl w:val="2"/>
      </w:pPr>
      <w:r>
        <w:rPr>
          <w:rFonts w:hint="eastAsia" w:ascii="宋体" w:hAnsi="宋体" w:cs="宋体"/>
          <w:b/>
          <w:color w:val="auto"/>
          <w:sz w:val="28"/>
          <w:szCs w:val="28"/>
          <w:highlight w:val="none"/>
          <w:lang w:eastAsia="zh-CN"/>
        </w:rPr>
        <w:t xml:space="preserve">三</w:t>
      </w:r>
      <w:r>
        <w:rPr>
          <w:rFonts w:hint="eastAsia" w:ascii="宋体" w:hAnsi="宋体" w:cs="宋体"/>
          <w:b/>
          <w:color w:val="auto"/>
          <w:sz w:val="28"/>
          <w:szCs w:val="28"/>
          <w:highlight w:val="none"/>
        </w:rPr>
        <w:t xml:space="preserve">、项目实施要求</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1.项目总体部署：主要包括项目概况、组织部署等相关内容。其中，项目概况分析准确、组织部署科学合理、能够针对本项目制定细化方案。</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2.项目组织管理：主要包括建立管理组织机构，制定各项管理规章制度等。其中，组织机构合理，规章制度完善、先进，便于执行的。</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3.项目质量、安全文明、环保管理：主要包括项目的质量管理目标及质量管理措施、安全文明目标及安全文明管理措施、环保管理措施等。其中，质量管理目标清晰准确、质量管理措施完善、安全文明目标清晰准确、安全文明管理措施完善、环保管理措施完善。</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4.养护实施方案：主要包括养护实施方案（如行道树、景观、灌木、地被及草坪养护管理、病虫害防治等）、全年管养计划等。其中，养护实施方案（各主要养护内容）完善、合理，细化方案具有针对性且详细。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5.肥料配备方案：根据养护工作要求，制定具体肥料配备施用方案。方案内容详实、便于执行且有效。</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6.灾害性天气和突发事件应对预案：要包括根据灾害性天气（如干旱、低温、大风及暴雨等）和突发事件制定应对预案。其中，预案合理、有针对性，便于实施。</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7.项目重、难点分析及相关措施：主要包括对本项目的重点、难点分析，以及其相应的解决措施。其中，重、难点分析到位、有针对性，相关措施完善。</w:t>
      </w:r>
      <w:r/>
    </w:p>
    <w:p>
      <w:pPr>
        <w:ind w:firstLine="562"/>
        <w:keepLines w:val="0"/>
        <w:keepNext w:val="0"/>
        <w:pageBreakBefore w:val="0"/>
        <w:spacing w:before="361" w:after="361" w:line="500" w:lineRule="exact"/>
        <w:widowControl/>
        <w:rPr>
          <w:rFonts w:hint="eastAsia" w:ascii="宋体" w:hAnsi="宋体" w:cs="宋体"/>
          <w:b/>
          <w:color w:val="auto"/>
          <w:sz w:val="28"/>
          <w:szCs w:val="28"/>
          <w:highlight w:val="none"/>
        </w:rPr>
        <w:outlineLvl w:val="2"/>
      </w:pPr>
      <w:r>
        <w:rPr>
          <w:rFonts w:hint="eastAsia" w:ascii="宋体" w:hAnsi="宋体" w:cs="宋体"/>
          <w:b/>
          <w:color w:val="auto"/>
          <w:sz w:val="28"/>
          <w:szCs w:val="28"/>
          <w:highlight w:val="none"/>
          <w:lang w:eastAsia="zh-CN"/>
        </w:rPr>
        <w:t xml:space="preserve">四</w:t>
      </w:r>
      <w:r>
        <w:rPr>
          <w:rFonts w:hint="eastAsia" w:ascii="宋体" w:hAnsi="宋体" w:cs="宋体"/>
          <w:b/>
          <w:color w:val="auto"/>
          <w:sz w:val="28"/>
          <w:szCs w:val="28"/>
          <w:highlight w:val="none"/>
        </w:rPr>
        <w:t xml:space="preserve">、</w:t>
      </w:r>
      <w:r>
        <w:rPr>
          <w:rFonts w:ascii="宋体" w:hAnsi="宋体" w:cs="宋体"/>
          <w:b/>
          <w:color w:val="auto"/>
          <w:sz w:val="28"/>
          <w:szCs w:val="28"/>
          <w:highlight w:val="none"/>
        </w:rPr>
        <w:t xml:space="preserve">履约验收</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 采购人依法组织履约验收工作。</w:t>
      </w:r>
      <w:r/>
    </w:p>
    <w:p>
      <w:pPr>
        <w:pStyle w:val="1164"/>
        <w:ind w:firstLine="562"/>
        <w:keepLines w:val="0"/>
        <w:keepNext w:val="0"/>
        <w:pageBreakBefore w:val="0"/>
        <w:spacing w:before="361" w:after="361" w:line="500" w:lineRule="exact"/>
        <w:shd w:val="clear" w:color="auto" w:fill="ffffff"/>
        <w:widowControl w:val="off"/>
        <w:rPr>
          <w:rFonts w:hint="eastAsia" w:ascii="宋体" w:hAnsi="宋体" w:cs="宋体"/>
          <w:color w:val="auto"/>
          <w:sz w:val="24"/>
          <w:highlight w:val="none"/>
        </w:rPr>
        <w:outlineLvl w:val="2"/>
      </w:pPr>
      <w:r>
        <w:rPr>
          <w:rFonts w:hint="eastAsia" w:ascii="宋体" w:hAnsi="宋体" w:cs="宋体"/>
          <w:b/>
          <w:color w:val="auto"/>
          <w:sz w:val="28"/>
          <w:szCs w:val="28"/>
          <w:highlight w:val="none"/>
          <w:lang w:eastAsia="zh-CN"/>
        </w:rPr>
        <w:t xml:space="preserve">五</w:t>
      </w:r>
      <w:r>
        <w:rPr>
          <w:rFonts w:hint="eastAsia" w:ascii="宋体" w:hAnsi="宋体" w:cs="宋体"/>
          <w:b/>
          <w:color w:val="auto"/>
          <w:sz w:val="28"/>
          <w:szCs w:val="28"/>
          <w:highlight w:val="none"/>
        </w:rPr>
        <w:t xml:space="preserve">、采购标的需实现的功能或者目标，以及为落实政府采购政策需满足的要求。</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1.采购本国货物、工程和服务</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1.1政府采购应当采购本国货物、工程和服务，但有《中华人民共和国政府采购法》第十条规定情形的除外。</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1.2如采购进口产品的，应当符合《政府采购进口产品管理办法》(财库(2007)119 号文) 、《关于政府采购进口产品管理有关问题的通知》 (财办库 (2008) 248号文) 等相关规定。本项目是否采购进口产品，以须知前附表确定的为准。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1.3政府采购需求标准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1.3.1商品包装、快递包装政府采购需求标准（试行）</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1.5本项目如中涉及涂料、胶黏剂、油墨、清洗剂等挥发性有机物产品的，属于强制性标准的，投标人应当提供符合国家和江苏省相关VOCs 含量限制标准的产品。 </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2.采购标的需执行的国家相关标准、行业标准、地方标准</w:t>
      </w:r>
      <w:r/>
    </w:p>
    <w:p>
      <w:pPr>
        <w:pStyle w:val="1164"/>
        <w:ind w:firstLine="480"/>
        <w:spacing w:line="400" w:lineRule="exact"/>
        <w:shd w:val="clear" w:color="auto" w:fill="ffffff"/>
        <w:rPr>
          <w:rFonts w:hint="eastAsia" w:ascii="宋体" w:hAnsi="宋体" w:cs="宋体"/>
          <w:color w:val="auto"/>
          <w:sz w:val="24"/>
          <w:highlight w:val="none"/>
        </w:rPr>
      </w:pPr>
      <w:r>
        <w:rPr>
          <w:rFonts w:hint="eastAsia" w:ascii="宋体" w:hAnsi="宋体" w:cs="宋体"/>
          <w:color w:val="auto"/>
          <w:sz w:val="24"/>
          <w:highlight w:val="none"/>
        </w:rPr>
        <w:t xml:space="preserve">2.1满足招标文件要求，实现投标文件承诺条款。</w:t>
      </w:r>
      <w:r/>
    </w:p>
    <w:p>
      <w:pPr>
        <w:pStyle w:val="1176"/>
        <w:ind w:firstLine="480"/>
        <w:spacing w:before="0" w:beforeAutospacing="0" w:after="0" w:afterAutospacing="0" w:line="400" w:lineRule="exact"/>
        <w:rPr>
          <w:rFonts w:hint="eastAsia" w:hAnsi="宋体" w:eastAsia="宋体" w:cs="宋体"/>
          <w:color w:val="auto"/>
          <w:szCs w:val="24"/>
          <w:highlight w:val="none"/>
          <w:u w:val="single"/>
        </w:rPr>
      </w:pPr>
      <w:r>
        <w:rPr>
          <w:rFonts w:hint="eastAsia" w:hAnsi="宋体" w:eastAsia="宋体" w:cs="宋体"/>
          <w:color w:val="auto"/>
          <w:szCs w:val="24"/>
          <w:highlight w:val="none"/>
        </w:rPr>
        <w:t xml:space="preserve">2.2管养标准：</w:t>
      </w:r>
      <w:r>
        <w:rPr>
          <w:rFonts w:hint="eastAsia" w:hAnsi="宋体" w:eastAsia="宋体" w:cs="宋体"/>
          <w:color w:val="auto"/>
          <w:szCs w:val="24"/>
          <w:highlight w:val="none"/>
          <w:u w:val="single"/>
        </w:rPr>
        <w:t xml:space="preserve">达到《园林绿化养护标准》（CJJ/T287-2018）、《江苏省城市园林绿化植物养护管理规范》、《江苏省城市园林建筑和设施维护管理规范》和《宿迁市城市园林绿化管养导则》等园林绿化管养相关要求，按《宿迁市城市园林绿化分级管养标准》的一、二、三级管养绿地标准进行养护。</w:t>
      </w:r>
      <w:r/>
    </w:p>
    <w:p>
      <w:pPr>
        <w:pStyle w:val="1176"/>
        <w:ind w:firstLine="480"/>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2.3保安、保洁等物业管理标准：</w:t>
      </w:r>
      <w:r>
        <w:rPr>
          <w:rFonts w:hint="eastAsia" w:hAnsi="宋体" w:eastAsia="宋体" w:cs="宋体"/>
          <w:color w:val="auto"/>
          <w:szCs w:val="24"/>
          <w:highlight w:val="none"/>
          <w:u w:val="single"/>
        </w:rPr>
        <w:t xml:space="preserve">按照《江苏省城市环境卫生作业服务质量标准》、《江苏省城市园林建筑和设施维护管理规范》要求，对管养范围内绿地、铺装、水面及设施设备等进行日常保洁。</w:t>
      </w:r>
      <w:r/>
    </w:p>
    <w:p>
      <w:pPr>
        <w:pStyle w:val="1176"/>
        <w:ind w:firstLine="480"/>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2.4设计标准：</w:t>
      </w:r>
      <w:r>
        <w:rPr>
          <w:rFonts w:hint="eastAsia" w:hAnsi="宋体" w:eastAsia="宋体" w:cs="宋体"/>
          <w:color w:val="auto"/>
          <w:szCs w:val="24"/>
          <w:highlight w:val="none"/>
          <w:u w:val="single"/>
        </w:rPr>
        <w:t xml:space="preserve">按照《城市居住区规划设计规范》（GB50180-93)、公园设计规范（CJJ48-92）、城市道路绿化规划与设计规范（CJJ75-97）等其他现行专业规范、强制性标准、技术规范、规程等要求进行设计。</w:t>
      </w:r>
      <w:r/>
    </w:p>
    <w:p>
      <w:pPr>
        <w:pStyle w:val="1176"/>
        <w:ind w:firstLine="480"/>
        <w:spacing w:before="0" w:beforeAutospacing="0" w:after="0" w:afterAutospacing="0" w:line="400" w:lineRule="exact"/>
        <w:rPr>
          <w:rFonts w:hint="eastAsia" w:hAnsi="宋体" w:eastAsia="宋体" w:cs="宋体"/>
          <w:color w:val="auto"/>
          <w:szCs w:val="24"/>
          <w:highlight w:val="none"/>
        </w:rPr>
      </w:pPr>
      <w:r>
        <w:rPr>
          <w:rFonts w:hint="eastAsia" w:hAnsi="宋体" w:eastAsia="宋体" w:cs="宋体"/>
          <w:color w:val="auto"/>
          <w:szCs w:val="24"/>
          <w:highlight w:val="none"/>
        </w:rPr>
        <w:t xml:space="preserve">2.5消防标准：</w:t>
      </w:r>
      <w:r>
        <w:rPr>
          <w:rFonts w:hint="eastAsia" w:hAnsi="宋体" w:eastAsia="宋体" w:cs="宋体"/>
          <w:color w:val="auto"/>
          <w:szCs w:val="24"/>
          <w:highlight w:val="none"/>
          <w:u w:val="single"/>
        </w:rPr>
        <w:t xml:space="preserve">按照《建筑消防设施的维护管理》（GB25201）等消防技术标准规定的内容、程序、周期等要求，对管养范围内的消防设施开展检查、维修、保养、测试等技术服务。</w:t>
      </w:r>
      <w:r/>
    </w:p>
    <w:p>
      <w:pPr>
        <w:pStyle w:val="1116"/>
        <w:spacing w:before="0" w:after="0" w:line="400" w:lineRule="exact"/>
        <w:rPr>
          <w:rFonts w:hint="eastAsia" w:ascii="宋体" w:hAnsi="宋体" w:cs="宋体"/>
          <w:color w:val="auto"/>
          <w:highlight w:val="none"/>
        </w:rPr>
      </w:pPr>
      <w:r>
        <w:rPr>
          <w:rFonts w:hint="eastAsia" w:ascii="宋体" w:hAnsi="宋体" w:cs="宋体"/>
          <w:color w:val="auto"/>
          <w:highlight w:val="none"/>
          <w:u w:val="single"/>
        </w:rPr>
        <w:t xml:space="preserve">注：本项目执行但不限于以上标准、规范，与本项目相关的国家、省、市的文件、政策等须按最新文件执行。</w:t>
      </w:r>
      <w:r/>
    </w:p>
    <w:p>
      <w:pPr>
        <w:pStyle w:val="1164"/>
        <w:ind w:firstLine="562"/>
        <w:keepLines w:val="0"/>
        <w:keepNext w:val="0"/>
        <w:pageBreakBefore w:val="0"/>
        <w:spacing w:before="361" w:after="361" w:line="500" w:lineRule="exact"/>
        <w:shd w:val="clear" w:color="auto" w:fill="ffffff"/>
        <w:widowControl w:val="off"/>
        <w:rPr>
          <w:rFonts w:hint="eastAsia" w:ascii="宋体" w:hAnsi="宋体" w:cs="宋体"/>
          <w:b/>
          <w:color w:val="auto"/>
          <w:sz w:val="28"/>
          <w:szCs w:val="28"/>
          <w:highlight w:val="none"/>
          <w:lang w:val="en-US" w:eastAsia="zh-CN"/>
        </w:rPr>
        <w:outlineLvl w:val="2"/>
      </w:pPr>
      <w:r>
        <w:rPr>
          <w:rFonts w:hint="eastAsia" w:ascii="宋体" w:hAnsi="宋体" w:cs="宋体"/>
          <w:b/>
          <w:color w:val="auto"/>
          <w:sz w:val="28"/>
          <w:szCs w:val="28"/>
          <w:highlight w:val="none"/>
          <w:lang w:val="en-US" w:eastAsia="zh-CN"/>
        </w:rPr>
        <w:t xml:space="preserve">六、其他要求</w:t>
      </w:r>
      <w:r/>
    </w:p>
    <w:p>
      <w:pPr>
        <w:pStyle w:val="1164"/>
        <w:ind w:firstLine="480"/>
        <w:spacing w:line="400" w:lineRule="exact"/>
        <w:shd w:val="clear" w:color="auto" w:fill="ffffff"/>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 xml:space="preserve">关于本次招标设计方案视频</w:t>
      </w:r>
      <w:r>
        <w:rPr>
          <w:rFonts w:hint="eastAsia" w:ascii="宋体" w:hAnsi="宋体" w:cs="宋体"/>
          <w:b/>
          <w:bCs w:val="0"/>
          <w:color w:val="auto"/>
          <w:sz w:val="24"/>
          <w:highlight w:val="none"/>
        </w:rPr>
        <w:t xml:space="preserve">演示要求：上传视频演示</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演示内容如下：</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rPr>
        <w:t xml:space="preserve">（1）现场实景照片和存在问题分析；</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rPr>
        <w:t xml:space="preserve">（2）提升改造理念及措施；</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rPr>
        <w:t xml:space="preserve">（3）景观提升改造设计方案、效果图；</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rPr>
        <w:t xml:space="preserve">（4）精品花镜组团方案。</w:t>
      </w:r>
      <w:r/>
    </w:p>
    <w:p>
      <w:pPr>
        <w:pStyle w:val="1164"/>
        <w:ind w:firstLine="480"/>
        <w:spacing w:line="400" w:lineRule="exact"/>
        <w:shd w:val="clear" w:color="auto" w:fill="ffff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部分景观节点提升改造设计方案：投标人对管养范围内部分景观节点提升改造设计，编制图文并茂的专项方案设计文本。方案需对绿地整体概况进行分析，并对管养范围4个景观区块（黄山路初中东侧地块口袋公园、金色威尼斯北侧地块景观提升、锦绣江南南侧地块景观提升、长江路侧分带立体绿化（五台山路至燕山路））进行提升改造设计（具体位置详见采购需求的设计工作内容部分）。要求现场勘察全面，问题分析具体准确，内容详实，与宿豫实际密切吻合。</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2"/>
        <w:spacing w:line="40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备注：①以上各项中打“★”内容为实质性要求和条件，</w:t>
      </w:r>
      <w:r>
        <w:rPr>
          <w:rFonts w:hint="eastAsia" w:ascii="宋体" w:hAnsi="宋体" w:cs="宋体"/>
          <w:b/>
          <w:bCs/>
          <w:color w:val="auto"/>
          <w:sz w:val="28"/>
          <w:szCs w:val="28"/>
          <w:highlight w:val="none"/>
          <w:u w:val="single"/>
          <w:lang w:eastAsia="zh-CN"/>
        </w:rPr>
        <w:t xml:space="preserve">按要求提供证明材料，</w:t>
      </w:r>
      <w:r>
        <w:rPr>
          <w:rFonts w:hint="eastAsia" w:ascii="宋体" w:hAnsi="宋体" w:cs="宋体"/>
          <w:b/>
          <w:bCs/>
          <w:color w:val="auto"/>
          <w:sz w:val="28"/>
          <w:szCs w:val="28"/>
          <w:highlight w:val="none"/>
          <w:u w:val="single"/>
        </w:rPr>
        <w:t xml:space="preserve">不接受负偏离，否则按照无效标处理。</w:t>
      </w:r>
      <w:r/>
    </w:p>
    <w:p>
      <w:pPr>
        <w:ind w:firstLine="562"/>
        <w:spacing w:line="40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②本项目不组织踏勘现场，各供应商自行踏勘，费用自理。因未踏勘或未仔细踏勘造成的损失自负。</w:t>
      </w:r>
      <w:r/>
    </w:p>
    <w:p>
      <w:pPr>
        <w:ind w:firstLine="562"/>
        <w:spacing w:line="400" w:lineRule="exact"/>
        <w:rPr>
          <w:rFonts w:hint="eastAsia" w:ascii="宋体" w:hAnsi="宋体" w:eastAsia="宋体" w:cs="宋体"/>
          <w:b/>
          <w:bCs/>
          <w:color w:val="auto"/>
          <w:sz w:val="28"/>
          <w:szCs w:val="28"/>
          <w:highlight w:val="none"/>
          <w:u w:val="single"/>
          <w:lang w:eastAsia="zh-CN"/>
        </w:rPr>
      </w:pPr>
      <w:r>
        <w:rPr>
          <w:rFonts w:hint="eastAsia" w:ascii="宋体" w:hAnsi="宋体" w:cs="宋体"/>
          <w:b/>
          <w:bCs/>
          <w:color w:val="auto"/>
          <w:sz w:val="28"/>
          <w:szCs w:val="28"/>
          <w:highlight w:val="none"/>
          <w:u w:val="single"/>
        </w:rPr>
        <w:t xml:space="preserve">③</w:t>
      </w:r>
      <w:r>
        <w:rPr>
          <w:rFonts w:hint="eastAsia" w:ascii="宋体" w:hAnsi="宋体" w:cs="宋体"/>
          <w:b/>
          <w:bCs/>
          <w:color w:val="auto"/>
          <w:sz w:val="28"/>
          <w:szCs w:val="28"/>
          <w:highlight w:val="none"/>
          <w:u w:val="single"/>
          <w:lang w:eastAsia="zh-CN"/>
        </w:rPr>
        <w:t xml:space="preserve">以上各项服务内容和要求均为本项目需求的最低标准，不接受负偏离，按要求提供承诺函（承诺函格式详见投标文件格式）</w:t>
      </w:r>
      <w:r>
        <w:rPr>
          <w:rFonts w:hint="eastAsia" w:ascii="宋体" w:hAnsi="宋体" w:cs="宋体"/>
          <w:b/>
          <w:bCs/>
          <w:color w:val="auto"/>
          <w:sz w:val="28"/>
          <w:szCs w:val="28"/>
          <w:highlight w:val="none"/>
          <w:u w:val="single"/>
        </w:rPr>
        <w:t xml:space="preserve">，否则按照无效标处理。</w:t>
      </w:r>
      <w:r/>
    </w:p>
    <w:p>
      <w:pPr>
        <w:pStyle w:val="1018"/>
        <w:rPr>
          <w:rFonts w:hint="eastAsia" w:ascii="宋体" w:hAnsi="宋体" w:eastAsia="宋体" w:cs="宋体"/>
          <w:bCs/>
          <w:color w:val="auto"/>
          <w:sz w:val="44"/>
          <w:highlight w:val="none"/>
        </w:rPr>
      </w:pPr>
      <w:r/>
      <w:bookmarkStart w:id="675" w:name="_Toc120614281"/>
      <w:r>
        <w:rPr>
          <w:rFonts w:hint="eastAsia" w:ascii="宋体" w:hAnsi="宋体" w:eastAsia="宋体" w:cs="宋体"/>
          <w:bCs/>
          <w:color w:val="auto"/>
          <w:sz w:val="44"/>
          <w:highlight w:val="none"/>
        </w:rPr>
        <w:br w:type="page" w:clear="all"/>
      </w:r>
      <w:bookmarkStart w:id="676" w:name="_Toc28855"/>
      <w:r>
        <w:rPr>
          <w:rFonts w:hint="eastAsia" w:ascii="宋体" w:hAnsi="宋体" w:eastAsia="宋体" w:cs="宋体"/>
          <w:b/>
          <w:bCs/>
          <w:color w:val="auto"/>
          <w:sz w:val="44"/>
          <w:highlight w:val="none"/>
        </w:rPr>
        <w:t xml:space="preserve">第五章</w:t>
      </w:r>
      <w:r>
        <w:rPr>
          <w:rFonts w:hint="eastAsia" w:ascii="宋体" w:hAnsi="宋体" w:eastAsia="宋体" w:cs="宋体"/>
          <w:bCs/>
          <w:color w:val="auto"/>
          <w:sz w:val="44"/>
          <w:highlight w:val="none"/>
        </w:rPr>
        <w:t xml:space="preserve">  </w:t>
      </w:r>
      <w:r>
        <w:rPr>
          <w:rFonts w:hint="eastAsia" w:ascii="宋体" w:hAnsi="宋体" w:eastAsia="宋体" w:cs="宋体"/>
          <w:b/>
          <w:bCs/>
          <w:color w:val="auto"/>
          <w:sz w:val="44"/>
          <w:highlight w:val="none"/>
        </w:rPr>
        <w:t xml:space="preserve">评标方法与评标标准</w:t>
      </w:r>
      <w:bookmarkEnd w:id="676"/>
      <w:r/>
      <w:r/>
    </w:p>
    <w:p>
      <w:pPr>
        <w:spacing w:line="500" w:lineRule="exact"/>
        <w:rPr>
          <w:rFonts w:hint="eastAsia" w:ascii="宋体" w:hAnsi="宋体" w:cs="宋体"/>
          <w:color w:val="auto"/>
          <w:sz w:val="24"/>
          <w:highlight w:val="none"/>
        </w:rPr>
      </w:pPr>
      <w:r>
        <w:rPr>
          <w:rFonts w:hint="eastAsia" w:ascii="宋体" w:hAnsi="宋体" w:cs="宋体"/>
          <w:b/>
          <w:color w:val="auto"/>
          <w:sz w:val="28"/>
          <w:szCs w:val="22"/>
          <w:highlight w:val="none"/>
        </w:rPr>
        <w:t xml:space="preserve">一、资格审查。</w:t>
      </w:r>
      <w:r>
        <w:rPr>
          <w:rFonts w:hint="eastAsia" w:ascii="宋体" w:hAnsi="宋体" w:cs="宋体"/>
          <w:color w:val="auto"/>
          <w:sz w:val="24"/>
          <w:highlight w:val="none"/>
        </w:rPr>
        <w:t xml:space="preserve">资格审查人员按照下列指标对各投标人的资格进行审查，未通过审查的为无效标，不参与评标。</w:t>
      </w:r>
      <w:r/>
    </w:p>
    <w:tbl>
      <w:tblPr>
        <w:tblStyle w:val="846"/>
        <w:tblW w:w="5009"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77"/>
        <w:gridCol w:w="4382"/>
      </w:tblGrid>
      <w:tr>
        <w:trPr/>
        <w:tc>
          <w:tcPr>
            <w:tcW w:w="2499"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资格审查因素</w:t>
            </w:r>
            <w:r/>
          </w:p>
        </w:tc>
        <w:tc>
          <w:tcPr>
            <w:tcW w:w="2500"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审查标准</w:t>
            </w:r>
            <w:r/>
          </w:p>
        </w:tc>
      </w:tr>
      <w:tr>
        <w:trPr/>
        <w:tc>
          <w:tcPr>
            <w:tcW w:w="438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投标声明及承诺函</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8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信用信息</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信用信息查询渠道：“信用中国”网（www.creditchina.gov.cn）、“中国政府采购”网（www.ccgp.gov.cn）、江苏政府采购网（www.ccgp-jiangsu.gov.cn）。</w:t>
            </w:r>
            <w:r/>
          </w:p>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tc>
      </w:tr>
      <w:tr>
        <w:trPr/>
        <w:tc>
          <w:tcPr>
            <w:tcW w:w="438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联合体投标</w:t>
            </w:r>
            <w:r/>
          </w:p>
        </w:tc>
        <w:tc>
          <w:tcPr>
            <w:tcW w:w="4384"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不接受联合体投标</w:t>
            </w:r>
            <w:r/>
          </w:p>
        </w:tc>
      </w:tr>
    </w:tbl>
    <w:p>
      <w:pPr>
        <w:spacing w:line="500" w:lineRule="exact"/>
        <w:rPr>
          <w:rFonts w:hint="eastAsia" w:ascii="宋体" w:hAnsi="宋体" w:cs="宋体"/>
          <w:color w:val="auto"/>
          <w:sz w:val="24"/>
          <w:highlight w:val="none"/>
        </w:rPr>
      </w:pPr>
      <w:r>
        <w:rPr>
          <w:rFonts w:hint="eastAsia" w:ascii="宋体" w:hAnsi="宋体" w:cs="宋体"/>
          <w:b/>
          <w:color w:val="auto"/>
          <w:sz w:val="28"/>
          <w:szCs w:val="22"/>
          <w:highlight w:val="none"/>
        </w:rPr>
        <w:t xml:space="preserve">二、符合性审查。</w:t>
      </w:r>
      <w:r>
        <w:rPr>
          <w:rFonts w:hint="eastAsia" w:ascii="宋体" w:hAnsi="宋体" w:cs="宋体"/>
          <w:color w:val="auto"/>
          <w:sz w:val="24"/>
          <w:highlight w:val="none"/>
        </w:rPr>
        <w:t xml:space="preserve">评标委员会首先按照下列指标对各投标人的投标文件进行符合性审查，未通过审查的为无效标，不再参与评审。</w:t>
      </w:r>
      <w:r/>
    </w:p>
    <w:tbl>
      <w:tblPr>
        <w:tblStyle w:val="846"/>
        <w:tblW w:w="501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81"/>
        <w:gridCol w:w="4385"/>
      </w:tblGrid>
      <w:tr>
        <w:trPr/>
        <w:tc>
          <w:tcPr>
            <w:tcW w:w="437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符合性审查因素</w:t>
            </w:r>
            <w:r/>
          </w:p>
        </w:tc>
        <w:tc>
          <w:tcPr>
            <w:tcW w:w="4380"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审查标准</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开标一览表及投标报价</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格式、填写要求符合招标文件规定</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法定代表人身份证明或授权委托书</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技术标准和要求</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r>
        <w:trPr/>
        <w:tc>
          <w:tcPr>
            <w:tcW w:w="4377"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其他</w:t>
            </w:r>
            <w:r/>
          </w:p>
        </w:tc>
        <w:tc>
          <w:tcPr>
            <w:tcW w:w="4380"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符合招标文件要求</w:t>
            </w:r>
            <w:r/>
          </w:p>
        </w:tc>
      </w:tr>
    </w:tbl>
    <w:p>
      <w:pPr>
        <w:spacing w:line="500" w:lineRule="exact"/>
        <w:rPr>
          <w:rFonts w:hint="eastAsia" w:ascii="宋体" w:hAnsi="宋体" w:cs="宋体"/>
          <w:b/>
          <w:color w:val="auto"/>
          <w:sz w:val="28"/>
          <w:szCs w:val="22"/>
          <w:highlight w:val="none"/>
        </w:rPr>
      </w:pPr>
      <w:r>
        <w:rPr>
          <w:rFonts w:hint="eastAsia" w:ascii="宋体" w:hAnsi="宋体" w:cs="宋体"/>
          <w:b/>
          <w:color w:val="auto"/>
          <w:sz w:val="28"/>
          <w:szCs w:val="22"/>
          <w:highlight w:val="none"/>
        </w:rPr>
        <w:t xml:space="preserve">三、评分办法—综合评分法</w:t>
      </w:r>
      <w:r/>
    </w:p>
    <w:p>
      <w:pPr>
        <w:ind w:firstLine="241"/>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（一）评标办法：</w:t>
      </w:r>
      <w:r>
        <w:rPr>
          <w:rFonts w:hint="eastAsia" w:ascii="宋体" w:hAnsi="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ind w:firstLine="241"/>
        <w:jc w:val="left"/>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（二）详细评审。</w:t>
      </w:r>
      <w:r>
        <w:rPr>
          <w:rFonts w:hint="eastAsia" w:ascii="宋体" w:hAnsi="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46"/>
        <w:tblW w:w="517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76"/>
        <w:gridCol w:w="1472"/>
        <w:gridCol w:w="928"/>
        <w:gridCol w:w="5673"/>
      </w:tblGrid>
      <w:tr>
        <w:trPr/>
        <w:tc>
          <w:tcPr>
            <w:gridSpan w:val="2"/>
            <w:tcW w:w="2446" w:type="dxa"/>
            <w:vAlign w:val="center"/>
            <w:textDirection w:val="lrTb"/>
            <w:noWrap w:val="false"/>
          </w:tcPr>
          <w:p>
            <w:pPr>
              <w:jc w:val="center"/>
              <w:rPr>
                <w:rFonts w:hint="eastAsia" w:ascii="宋体" w:hAnsi="宋体" w:cs="宋体"/>
                <w:b/>
                <w:bCs/>
                <w:color w:val="auto"/>
                <w:szCs w:val="22"/>
                <w:highlight w:val="none"/>
              </w:rPr>
            </w:pPr>
            <w:r/>
            <w:bookmarkStart w:id="677" w:name="EBe0cfd1035ea44f689f97db50fccddc8b"/>
            <w:r>
              <w:rPr>
                <w:rFonts w:hint="eastAsia" w:ascii="宋体" w:hAnsi="宋体" w:cs="宋体"/>
                <w:b/>
                <w:bCs/>
                <w:color w:val="auto"/>
                <w:szCs w:val="22"/>
                <w:highlight w:val="none"/>
              </w:rPr>
              <w:t xml:space="preserve">评审因素</w:t>
            </w:r>
            <w:r/>
          </w:p>
        </w:tc>
        <w:tc>
          <w:tcPr>
            <w:tcW w:w="927" w:type="dxa"/>
            <w:vAlign w:val="center"/>
            <w:textDirection w:val="lrTb"/>
            <w:noWrap w:val="false"/>
          </w:tcPr>
          <w:p>
            <w:pPr>
              <w:jc w:val="center"/>
              <w:rPr>
                <w:rFonts w:hint="eastAsia" w:ascii="宋体" w:hAnsi="宋体" w:cs="宋体"/>
                <w:b/>
                <w:bCs/>
                <w:color w:val="auto"/>
                <w:szCs w:val="22"/>
                <w:highlight w:val="none"/>
              </w:rPr>
            </w:pPr>
            <w:r>
              <w:rPr>
                <w:rFonts w:hint="eastAsia" w:ascii="宋体" w:hAnsi="宋体" w:cs="宋体"/>
                <w:b/>
                <w:bCs/>
                <w:color w:val="auto"/>
                <w:szCs w:val="22"/>
                <w:highlight w:val="none"/>
              </w:rPr>
              <w:t xml:space="preserve">分数</w:t>
            </w:r>
            <w:r/>
          </w:p>
        </w:tc>
        <w:tc>
          <w:tcPr>
            <w:tcW w:w="5667" w:type="dxa"/>
            <w:vAlign w:val="center"/>
            <w:textDirection w:val="lrTb"/>
            <w:noWrap w:val="false"/>
          </w:tcPr>
          <w:p>
            <w:pPr>
              <w:jc w:val="center"/>
              <w:rPr>
                <w:rFonts w:hint="eastAsia" w:ascii="宋体" w:hAnsi="宋体" w:cs="宋体"/>
                <w:b/>
                <w:bCs/>
                <w:color w:val="auto"/>
                <w:szCs w:val="22"/>
                <w:highlight w:val="none"/>
              </w:rPr>
            </w:pPr>
            <w:r>
              <w:rPr>
                <w:rFonts w:hint="eastAsia" w:ascii="宋体" w:hAnsi="宋体" w:cs="宋体"/>
                <w:b/>
                <w:bCs/>
                <w:color w:val="auto"/>
                <w:szCs w:val="22"/>
                <w:highlight w:val="none"/>
              </w:rPr>
              <w:t xml:space="preserve">评审标准</w:t>
            </w:r>
            <w:r/>
          </w:p>
        </w:tc>
      </w:tr>
      <w:tr>
        <w:trPr/>
        <w:tc>
          <w:tcPr>
            <w:tcW w:w="975"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报价分</w:t>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投标报价</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10.00分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采用低价优先法计算，即满足招标文件要求且投标价格最低的投标报价为评标基准价，其价格分为满分。其他投标人投标报价得分＝（评标基准价/投标报价）* 10。（投标人提供的服务符合规定情形的，对小微企业报价给予10%的扣除，用扣除后的价格参加评审。）</w:t>
            </w:r>
            <w:r/>
          </w:p>
        </w:tc>
      </w:tr>
      <w:tr>
        <w:trPr/>
        <w:tc>
          <w:tcPr>
            <w:tcW w:w="975" w:type="dxa"/>
            <w:vAlign w:val="center"/>
            <w:vMerge w:val="restart"/>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技术评审</w:t>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项目总体部署</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3.00分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主要包括项目概况、组织部署等相关内容。其中，项目概况分析准确、组织部署科学合理、能够针对本项目制定细化方案，优于采购需求的得3分；分析准确，组织部署科学合理，完全满足采购需求得2分；分析准确性差，部署不合理，叙述混乱需经后期重新优化方案的得1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项目组织管理</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3.00分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主要包括建立管理组织机构，制定各项管理规章制度等。其中，组织机构合理，规章制度完善、</w:t>
            </w:r>
            <w:r>
              <w:rPr>
                <w:rFonts w:hint="eastAsia" w:ascii="宋体" w:hAnsi="宋体" w:cs="宋体"/>
                <w:color w:val="auto"/>
                <w:szCs w:val="22"/>
                <w:highlight w:val="none"/>
                <w:lang w:val="en-US" w:eastAsia="zh-CN"/>
              </w:rPr>
              <w:t xml:space="preserve">管理理念</w:t>
            </w:r>
            <w:r>
              <w:rPr>
                <w:rFonts w:hint="eastAsia" w:ascii="宋体" w:hAnsi="宋体" w:cs="宋体"/>
                <w:color w:val="auto"/>
                <w:szCs w:val="22"/>
                <w:highlight w:val="none"/>
              </w:rPr>
              <w:t xml:space="preserve">先进，便于执行的，优于采购需求的得3分；组织机构合理、</w:t>
            </w:r>
            <w:r>
              <w:rPr>
                <w:rFonts w:hint="eastAsia" w:ascii="宋体" w:hAnsi="宋体" w:cs="宋体"/>
                <w:color w:val="auto"/>
                <w:szCs w:val="22"/>
                <w:highlight w:val="none"/>
                <w:lang w:val="en-US" w:eastAsia="zh-CN"/>
              </w:rPr>
              <w:t xml:space="preserve">管理理念相对先进，</w:t>
            </w:r>
            <w:r>
              <w:rPr>
                <w:rFonts w:hint="eastAsia" w:ascii="宋体" w:hAnsi="宋体" w:cs="宋体"/>
                <w:color w:val="auto"/>
                <w:szCs w:val="22"/>
                <w:highlight w:val="none"/>
              </w:rPr>
              <w:t xml:space="preserve">规章制度</w:t>
            </w:r>
            <w:r>
              <w:rPr>
                <w:rFonts w:hint="eastAsia" w:ascii="宋体" w:hAnsi="宋体" w:cs="宋体"/>
                <w:color w:val="auto"/>
                <w:szCs w:val="22"/>
                <w:highlight w:val="none"/>
                <w:lang w:val="en-US" w:eastAsia="zh-CN"/>
              </w:rPr>
              <w:t xml:space="preserve">完善，完全</w:t>
            </w:r>
            <w:r>
              <w:rPr>
                <w:rFonts w:hint="eastAsia" w:ascii="宋体" w:hAnsi="宋体" w:cs="宋体"/>
                <w:color w:val="auto"/>
                <w:szCs w:val="22"/>
                <w:highlight w:val="none"/>
              </w:rPr>
              <w:t xml:space="preserve">满足采购需求得2分；组织机构</w:t>
            </w:r>
            <w:r>
              <w:rPr>
                <w:rFonts w:hint="eastAsia" w:ascii="宋体" w:hAnsi="宋体" w:cs="宋体"/>
                <w:color w:val="auto"/>
                <w:szCs w:val="22"/>
                <w:highlight w:val="none"/>
                <w:lang w:val="en-US" w:eastAsia="zh-CN"/>
              </w:rPr>
              <w:t xml:space="preserve">完善性差</w:t>
            </w:r>
            <w:r>
              <w:rPr>
                <w:rFonts w:hint="eastAsia" w:ascii="宋体" w:hAnsi="宋体" w:cs="宋体"/>
                <w:color w:val="auto"/>
                <w:szCs w:val="22"/>
                <w:highlight w:val="none"/>
              </w:rPr>
              <w:t xml:space="preserve">，规章制度</w:t>
            </w:r>
            <w:r>
              <w:rPr>
                <w:rFonts w:hint="eastAsia" w:ascii="宋体" w:hAnsi="宋体" w:cs="宋体"/>
                <w:color w:val="auto"/>
                <w:szCs w:val="22"/>
                <w:highlight w:val="none"/>
                <w:lang w:val="en-US" w:eastAsia="zh-CN"/>
              </w:rPr>
              <w:t xml:space="preserve">合理性差</w:t>
            </w:r>
            <w:r>
              <w:rPr>
                <w:rFonts w:hint="eastAsia" w:ascii="宋体" w:hAnsi="宋体" w:cs="宋体"/>
                <w:color w:val="auto"/>
                <w:szCs w:val="22"/>
                <w:highlight w:val="none"/>
              </w:rPr>
              <w:t xml:space="preserve">，可操作性</w:t>
            </w:r>
            <w:r>
              <w:rPr>
                <w:rFonts w:hint="eastAsia" w:ascii="宋体" w:hAnsi="宋体" w:cs="宋体"/>
                <w:color w:val="auto"/>
                <w:szCs w:val="22"/>
                <w:highlight w:val="none"/>
                <w:lang w:val="en-US" w:eastAsia="zh-CN"/>
              </w:rPr>
              <w:t xml:space="preserve">较差</w:t>
            </w:r>
            <w:r>
              <w:rPr>
                <w:rFonts w:hint="eastAsia" w:ascii="宋体" w:hAnsi="宋体" w:cs="宋体"/>
                <w:color w:val="auto"/>
                <w:szCs w:val="22"/>
                <w:highlight w:val="none"/>
              </w:rPr>
              <w:t xml:space="preserve">，得1分；其他情况或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项目质量、安全文明、环保管理</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3.00分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主要包括项目的质量管理目标及质量管理措施、安全文明目标及安全文明管理措施、环保管理措施等。其中，质量管理目标清晰准确、质量管理措施完善、安全文明目标清晰准确、安全文明管理措施完善、环保管理措施完善，优于采购需求的得3分；各个目标清晰准确，管理措施完善性</w:t>
            </w:r>
            <w:r>
              <w:rPr>
                <w:rFonts w:hint="eastAsia" w:ascii="宋体" w:hAnsi="宋体" w:cs="宋体"/>
                <w:color w:val="auto"/>
                <w:szCs w:val="22"/>
                <w:highlight w:val="none"/>
                <w:lang w:val="en-US" w:eastAsia="zh-CN"/>
              </w:rPr>
              <w:t xml:space="preserve">好</w:t>
            </w:r>
            <w:r>
              <w:rPr>
                <w:rFonts w:hint="eastAsia" w:ascii="宋体" w:hAnsi="宋体" w:cs="宋体"/>
                <w:color w:val="auto"/>
                <w:szCs w:val="22"/>
                <w:highlight w:val="none"/>
              </w:rPr>
              <w:t xml:space="preserve">，</w:t>
            </w:r>
            <w:r>
              <w:rPr>
                <w:rFonts w:hint="eastAsia" w:ascii="宋体" w:hAnsi="宋体" w:cs="宋体"/>
                <w:color w:val="auto"/>
                <w:szCs w:val="22"/>
                <w:highlight w:val="none"/>
                <w:lang w:val="en-US" w:eastAsia="zh-CN"/>
              </w:rPr>
              <w:t xml:space="preserve">完全</w:t>
            </w:r>
            <w:r>
              <w:rPr>
                <w:rFonts w:hint="eastAsia" w:ascii="宋体" w:hAnsi="宋体" w:cs="宋体"/>
                <w:color w:val="auto"/>
                <w:szCs w:val="22"/>
                <w:highlight w:val="none"/>
              </w:rPr>
              <w:t xml:space="preserve">满足采购需求得2分；各个目标不清晰准确，管理措施不完善，可操作性</w:t>
            </w:r>
            <w:r>
              <w:rPr>
                <w:rFonts w:hint="eastAsia" w:ascii="宋体" w:hAnsi="宋体" w:cs="宋体"/>
                <w:color w:val="auto"/>
                <w:szCs w:val="22"/>
                <w:highlight w:val="none"/>
                <w:lang w:val="en-US" w:eastAsia="zh-CN"/>
              </w:rPr>
              <w:t xml:space="preserve">较差</w:t>
            </w:r>
            <w:r>
              <w:rPr>
                <w:rFonts w:hint="eastAsia" w:ascii="宋体" w:hAnsi="宋体" w:cs="宋体"/>
                <w:color w:val="auto"/>
                <w:szCs w:val="22"/>
                <w:highlight w:val="none"/>
              </w:rPr>
              <w:t xml:space="preserve">，得1分；其他情况或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养护实施方案</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6.00分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主要包括养护实施方案（如行道树、景观、灌木、地被及草坪养护管理、病虫害防治等）、全年管养计划等。其中，养护实施方案（各主要养护内容）完善、合理，细化方案具有针对性且详细的，优于采购需求的得6分；养护实施方案（各主要养护内容）、合理性和可操作性，</w:t>
            </w:r>
            <w:r>
              <w:rPr>
                <w:rFonts w:hint="eastAsia" w:ascii="宋体" w:hAnsi="宋体" w:cs="宋体"/>
                <w:color w:val="auto"/>
                <w:szCs w:val="22"/>
                <w:highlight w:val="none"/>
                <w:lang w:val="en-US" w:eastAsia="zh-CN"/>
              </w:rPr>
              <w:t xml:space="preserve">完全</w:t>
            </w:r>
            <w:r>
              <w:rPr>
                <w:rFonts w:hint="eastAsia" w:ascii="宋体" w:hAnsi="宋体" w:cs="宋体"/>
                <w:color w:val="auto"/>
                <w:szCs w:val="22"/>
                <w:highlight w:val="none"/>
              </w:rPr>
              <w:t xml:space="preserve">满足采购需求得4分；</w:t>
            </w:r>
            <w:r>
              <w:rPr>
                <w:rFonts w:hint="eastAsia" w:ascii="宋体" w:hAnsi="宋体" w:cs="宋体"/>
                <w:color w:val="auto"/>
                <w:szCs w:val="22"/>
                <w:highlight w:val="none"/>
                <w:lang w:val="en-US" w:eastAsia="zh-CN"/>
              </w:rPr>
              <w:t xml:space="preserve">养护实施方案（各主要养护内容）、合理性和可操作性基本满足采购需求的得2分；</w:t>
            </w:r>
            <w:r>
              <w:rPr>
                <w:rFonts w:hint="eastAsia" w:ascii="宋体" w:hAnsi="宋体" w:cs="宋体"/>
                <w:color w:val="auto"/>
                <w:szCs w:val="22"/>
                <w:highlight w:val="none"/>
              </w:rPr>
              <w:t xml:space="preserve">养护实施方案（各主要养护内容）欠缺严重、无合理性和可操作性，得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肥料配备方案</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5.00分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根据</w:t>
            </w:r>
            <w:r>
              <w:rPr>
                <w:rFonts w:hint="eastAsia" w:ascii="宋体" w:hAnsi="宋体" w:cs="宋体"/>
                <w:color w:val="auto"/>
                <w:szCs w:val="22"/>
                <w:highlight w:val="none"/>
                <w:lang w:val="en-US" w:eastAsia="zh-CN"/>
              </w:rPr>
              <w:t xml:space="preserve">采购需求</w:t>
            </w:r>
            <w:r>
              <w:rPr>
                <w:rFonts w:hint="eastAsia" w:ascii="宋体" w:hAnsi="宋体" w:cs="宋体"/>
                <w:color w:val="auto"/>
                <w:szCs w:val="22"/>
                <w:highlight w:val="none"/>
              </w:rPr>
              <w:t xml:space="preserve">，制定具体肥料配备施用方案。方案内容详实、便于执行且有效，优于采购需求的得5分；方案内容基本详实</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rPr>
              <w:t xml:space="preserve">便于执行，</w:t>
            </w:r>
            <w:r>
              <w:rPr>
                <w:rFonts w:hint="eastAsia" w:ascii="宋体" w:hAnsi="宋体" w:cs="宋体"/>
                <w:color w:val="auto"/>
                <w:szCs w:val="22"/>
                <w:highlight w:val="none"/>
                <w:lang w:val="en-US" w:eastAsia="zh-CN"/>
              </w:rPr>
              <w:t xml:space="preserve">完全</w:t>
            </w:r>
            <w:r>
              <w:rPr>
                <w:rFonts w:hint="eastAsia" w:ascii="宋体" w:hAnsi="宋体" w:cs="宋体"/>
                <w:color w:val="auto"/>
                <w:szCs w:val="22"/>
                <w:highlight w:val="none"/>
              </w:rPr>
              <w:t xml:space="preserve">满足采购需求得4分；方案内容</w:t>
            </w:r>
            <w:r>
              <w:rPr>
                <w:rFonts w:hint="eastAsia" w:ascii="宋体" w:hAnsi="宋体" w:cs="宋体"/>
                <w:color w:val="auto"/>
                <w:szCs w:val="22"/>
                <w:highlight w:val="none"/>
                <w:lang w:val="en-US" w:eastAsia="zh-CN"/>
              </w:rPr>
              <w:t xml:space="preserve">一般、可操作性一般 ，</w:t>
            </w:r>
            <w:r>
              <w:rPr>
                <w:rFonts w:hint="eastAsia" w:ascii="宋体" w:hAnsi="宋体" w:cs="宋体"/>
                <w:color w:val="auto"/>
                <w:szCs w:val="22"/>
                <w:highlight w:val="none"/>
              </w:rPr>
              <w:t xml:space="preserve">基本满足采购需求得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val="en-US" w:eastAsia="zh-CN"/>
              </w:rPr>
              <w:t xml:space="preserve">未响应采购需求，</w:t>
            </w:r>
            <w:r>
              <w:rPr>
                <w:rFonts w:hint="eastAsia" w:ascii="宋体" w:hAnsi="宋体" w:cs="宋体"/>
                <w:color w:val="auto"/>
                <w:szCs w:val="22"/>
                <w:highlight w:val="none"/>
              </w:rPr>
              <w:t xml:space="preserve">方案内容粗略，不便于执行的得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灾害性天气和突发事件应对预案</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3.00分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主要包括根据灾害性天气（如干旱、低温、大风及暴雨等）和突发事件</w:t>
            </w:r>
            <w:r>
              <w:rPr>
                <w:rFonts w:hint="eastAsia" w:ascii="宋体" w:hAnsi="宋体" w:cs="宋体"/>
                <w:color w:val="auto"/>
                <w:szCs w:val="22"/>
                <w:highlight w:val="none"/>
                <w:lang w:val="en-US" w:eastAsia="zh-CN"/>
              </w:rPr>
              <w:t xml:space="preserve">分别制定完善且行之有效的应急养护方案。</w:t>
            </w:r>
            <w:r>
              <w:rPr>
                <w:rFonts w:hint="eastAsia" w:ascii="宋体" w:hAnsi="宋体" w:cs="宋体"/>
                <w:color w:val="auto"/>
                <w:szCs w:val="22"/>
                <w:highlight w:val="none"/>
              </w:rPr>
              <w:t xml:space="preserve">其中，预案合理、有针对性，便于实施的，优于采购需求的得3分</w:t>
            </w:r>
            <w:r>
              <w:rPr>
                <w:rFonts w:hint="eastAsia" w:ascii="宋体" w:hAnsi="宋体" w:cs="宋体"/>
                <w:color w:val="auto"/>
                <w:szCs w:val="22"/>
                <w:highlight w:val="none"/>
                <w:lang w:val="en-US" w:eastAsia="zh-CN"/>
              </w:rPr>
              <w:t xml:space="preserve">；</w:t>
            </w:r>
            <w:r>
              <w:rPr>
                <w:rFonts w:hint="eastAsia" w:ascii="宋体" w:hAnsi="宋体" w:cs="宋体"/>
                <w:color w:val="auto"/>
                <w:szCs w:val="22"/>
                <w:highlight w:val="none"/>
              </w:rPr>
              <w:t xml:space="preserve">预案合理、有针对性，便于实施的，</w:t>
            </w:r>
            <w:r>
              <w:rPr>
                <w:rFonts w:hint="eastAsia" w:ascii="宋体" w:hAnsi="宋体" w:cs="宋体"/>
                <w:color w:val="auto"/>
                <w:szCs w:val="22"/>
                <w:highlight w:val="none"/>
                <w:lang w:val="en-US" w:eastAsia="zh-CN"/>
              </w:rPr>
              <w:t xml:space="preserve">完全满足</w:t>
            </w:r>
            <w:r>
              <w:rPr>
                <w:rFonts w:hint="eastAsia" w:ascii="宋体" w:hAnsi="宋体" w:cs="宋体"/>
                <w:color w:val="auto"/>
                <w:szCs w:val="22"/>
                <w:highlight w:val="none"/>
              </w:rPr>
              <w:t xml:space="preserve">采购需求的得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val="en-US" w:eastAsia="zh-CN"/>
              </w:rPr>
              <w:t xml:space="preserve">；</w:t>
            </w:r>
            <w:r>
              <w:rPr>
                <w:rFonts w:hint="eastAsia" w:ascii="宋体" w:hAnsi="宋体" w:cs="宋体"/>
                <w:color w:val="auto"/>
                <w:szCs w:val="22"/>
                <w:highlight w:val="none"/>
              </w:rPr>
              <w:t xml:space="preserve">预案有所欠缺，合理性、可行性不够，基本满足采购需求得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项目重、难点分析及相关措施</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4.00分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主要包括对本项目的重点、难点分析，以及其相应的解决措施。其中，重、难点分析到位、有针对性，相关措施完善，优于采购需求的得4分；重、难点分析到位、有针对性，相关措施完善，</w:t>
            </w:r>
            <w:r>
              <w:rPr>
                <w:rFonts w:hint="eastAsia" w:ascii="宋体" w:hAnsi="宋体" w:cs="宋体"/>
                <w:color w:val="auto"/>
                <w:szCs w:val="22"/>
                <w:highlight w:val="none"/>
                <w:lang w:val="en-US" w:eastAsia="zh-CN"/>
              </w:rPr>
              <w:t xml:space="preserve">完全满足</w:t>
            </w:r>
            <w:r>
              <w:rPr>
                <w:rFonts w:hint="eastAsia" w:ascii="宋体" w:hAnsi="宋体" w:cs="宋体"/>
                <w:color w:val="auto"/>
                <w:szCs w:val="22"/>
                <w:highlight w:val="none"/>
              </w:rPr>
              <w:t xml:space="preserve">采购需求的得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分；重、难点分析欠缺严重、针对性差，无相关措施和可行性的，得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lang w:eastAsia="zh-CN"/>
              </w:rPr>
            </w:pPr>
            <w:r>
              <w:rPr>
                <w:rFonts w:hint="eastAsia" w:ascii="宋体" w:hAnsi="宋体" w:cs="宋体"/>
                <w:color w:val="auto"/>
                <w:szCs w:val="22"/>
                <w:highlight w:val="none"/>
              </w:rPr>
              <w:t xml:space="preserve">部分景观节点提升改造设计方案演示</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方案文本与视频</w:t>
            </w:r>
            <w:r>
              <w:rPr>
                <w:rFonts w:hint="eastAsia" w:ascii="宋体" w:hAnsi="宋体" w:cs="宋体"/>
                <w:color w:val="auto"/>
                <w:szCs w:val="22"/>
                <w:highlight w:val="none"/>
                <w:lang w:eastAsia="zh-CN"/>
              </w:rPr>
              <w:t xml:space="preserve">）</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20.00分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投标人对管养范围内部分景观节点提升改造设计，编制图文并茂的专项方案设计文本。方案需对绿地整体概况进行分析，并对管养范围内4个景观地块（黄山路初中东侧地块口袋公园、金色威尼斯北侧地块景观提升、锦绣江南南侧地块景观提升和长江路侧分带立体绿化（五台山路至燕山路））进行提升改造设计（具体位置详见采购需求的设计工作内容部分）。 景观提升改造设计方案</w:t>
            </w:r>
            <w:r>
              <w:rPr>
                <w:rFonts w:hint="eastAsia" w:ascii="宋体" w:hAnsi="宋体" w:cs="宋体"/>
                <w:color w:val="auto"/>
                <w:szCs w:val="22"/>
                <w:highlight w:val="none"/>
                <w:lang w:val="en-US" w:eastAsia="zh-CN"/>
              </w:rPr>
              <w:t xml:space="preserve">文本和视频</w:t>
            </w:r>
            <w:r>
              <w:rPr>
                <w:rFonts w:hint="eastAsia" w:ascii="宋体" w:hAnsi="宋体" w:cs="宋体"/>
                <w:color w:val="auto"/>
                <w:szCs w:val="22"/>
                <w:highlight w:val="none"/>
              </w:rPr>
              <w:t xml:space="preserve">需包括</w:t>
            </w:r>
            <w:r>
              <w:rPr>
                <w:rFonts w:hint="eastAsia" w:ascii="宋体" w:hAnsi="宋体" w:cs="宋体"/>
                <w:color w:val="auto"/>
                <w:szCs w:val="22"/>
                <w:highlight w:val="none"/>
                <w:lang w:val="en-US" w:eastAsia="zh-CN"/>
              </w:rPr>
              <w:t xml:space="preserve">以下内容</w:t>
            </w:r>
            <w:r>
              <w:rPr>
                <w:rFonts w:hint="eastAsia" w:ascii="宋体" w:hAnsi="宋体" w:cs="宋体"/>
                <w:color w:val="auto"/>
                <w:szCs w:val="22"/>
                <w:highlight w:val="none"/>
              </w:rPr>
              <w:t xml:space="preserve">：</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（1）现场实景照片和存在问题分析；</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（2）提升改造理念及措施；</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（3）景观提升改造设计方案、效果图；</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（4）精品花镜组团方案；</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对以上4项内容分别进行评分，每项最高分为5分，没有内容不得分：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（1）现场勘察全面，问题分析具体准确，内容详实，与宿豫实际密切吻合，</w:t>
            </w:r>
            <w:r>
              <w:rPr>
                <w:rFonts w:hint="eastAsia" w:ascii="宋体" w:hAnsi="宋体" w:cs="宋体"/>
                <w:color w:val="auto"/>
                <w:szCs w:val="22"/>
                <w:highlight w:val="none"/>
                <w:lang w:val="en-US" w:eastAsia="zh-CN"/>
              </w:rPr>
              <w:t xml:space="preserve">文本与视频效果清晰，优于</w:t>
            </w:r>
            <w:r>
              <w:rPr>
                <w:rFonts w:hint="eastAsia" w:ascii="宋体" w:hAnsi="宋体" w:cs="宋体"/>
                <w:color w:val="auto"/>
                <w:szCs w:val="22"/>
                <w:highlight w:val="none"/>
              </w:rPr>
              <w:t xml:space="preserve">采购需求的得5分；现场勘察和问题分析相对准确，内容相对全面，</w:t>
            </w:r>
            <w:r>
              <w:rPr>
                <w:rFonts w:hint="eastAsia" w:ascii="宋体" w:hAnsi="宋体" w:cs="宋体"/>
                <w:color w:val="auto"/>
                <w:szCs w:val="22"/>
                <w:highlight w:val="none"/>
                <w:lang w:val="en-US" w:eastAsia="zh-CN"/>
              </w:rPr>
              <w:t xml:space="preserve">完全</w:t>
            </w:r>
            <w:r>
              <w:rPr>
                <w:rFonts w:hint="eastAsia" w:ascii="宋体" w:hAnsi="宋体" w:cs="宋体"/>
                <w:color w:val="auto"/>
                <w:szCs w:val="22"/>
                <w:highlight w:val="none"/>
              </w:rPr>
              <w:t xml:space="preserve">满足采购需求得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分；现场勘察和问题分析</w:t>
            </w:r>
            <w:r>
              <w:rPr>
                <w:rFonts w:hint="eastAsia" w:ascii="宋体" w:hAnsi="宋体" w:cs="宋体"/>
                <w:color w:val="auto"/>
                <w:szCs w:val="22"/>
                <w:highlight w:val="none"/>
                <w:lang w:val="en-US" w:eastAsia="zh-CN"/>
              </w:rPr>
              <w:t xml:space="preserve">粗略一般</w:t>
            </w:r>
            <w:r>
              <w:rPr>
                <w:rFonts w:hint="eastAsia" w:ascii="宋体" w:hAnsi="宋体" w:cs="宋体"/>
                <w:color w:val="auto"/>
                <w:szCs w:val="22"/>
                <w:highlight w:val="none"/>
              </w:rPr>
              <w:t xml:space="preserve">，表达混乱</w:t>
            </w:r>
            <w:r>
              <w:rPr>
                <w:rFonts w:hint="eastAsia" w:ascii="宋体" w:hAnsi="宋体" w:cs="宋体"/>
                <w:color w:val="auto"/>
                <w:szCs w:val="22"/>
                <w:highlight w:val="none"/>
                <w:lang w:val="en-US" w:eastAsia="zh-CN"/>
              </w:rPr>
              <w:t xml:space="preserve">基本满足采购需求得1分；</w:t>
            </w:r>
            <w:r>
              <w:rPr>
                <w:rFonts w:hint="eastAsia" w:ascii="宋体" w:hAnsi="宋体" w:cs="宋体"/>
                <w:color w:val="auto"/>
                <w:szCs w:val="22"/>
                <w:highlight w:val="none"/>
              </w:rPr>
              <w:t xml:space="preserve">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（2）提升措施针对性强，可操作性强，具有极好的经济适用性，</w:t>
            </w:r>
            <w:r>
              <w:rPr>
                <w:rFonts w:hint="eastAsia" w:ascii="宋体" w:hAnsi="宋体" w:cs="宋体"/>
                <w:color w:val="auto"/>
                <w:szCs w:val="22"/>
                <w:highlight w:val="none"/>
                <w:lang w:val="en-US" w:eastAsia="zh-CN"/>
              </w:rPr>
              <w:t xml:space="preserve">文本与视频效果清晰，</w:t>
            </w:r>
            <w:r>
              <w:rPr>
                <w:rFonts w:hint="eastAsia" w:ascii="宋体" w:hAnsi="宋体" w:cs="宋体"/>
                <w:color w:val="auto"/>
                <w:szCs w:val="22"/>
                <w:highlight w:val="none"/>
              </w:rPr>
              <w:t xml:space="preserve">完全满足采购需求的得5分；</w:t>
            </w:r>
            <w:r>
              <w:rPr>
                <w:rFonts w:hint="eastAsia" w:ascii="宋体" w:hAnsi="宋体" w:cs="宋体"/>
                <w:color w:val="auto"/>
                <w:szCs w:val="22"/>
                <w:highlight w:val="none"/>
                <w:lang w:val="en-US" w:eastAsia="zh-CN"/>
              </w:rPr>
              <w:t xml:space="preserve">提升</w:t>
            </w:r>
            <w:r>
              <w:rPr>
                <w:rFonts w:hint="eastAsia" w:ascii="宋体" w:hAnsi="宋体" w:cs="宋体"/>
                <w:color w:val="auto"/>
                <w:szCs w:val="22"/>
                <w:highlight w:val="none"/>
              </w:rPr>
              <w:t xml:space="preserve">措施、可操作性</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经济性</w:t>
            </w:r>
            <w:r>
              <w:rPr>
                <w:rFonts w:hint="eastAsia" w:ascii="宋体" w:hAnsi="宋体" w:cs="宋体"/>
                <w:color w:val="auto"/>
                <w:szCs w:val="22"/>
                <w:highlight w:val="none"/>
              </w:rPr>
              <w:t xml:space="preserve">相对较强，基本满足采购需求得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分；提升措施</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可操作性、经济性较差</w:t>
            </w:r>
            <w:r>
              <w:rPr>
                <w:rFonts w:hint="eastAsia" w:ascii="宋体" w:hAnsi="宋体" w:cs="宋体"/>
                <w:color w:val="auto"/>
                <w:szCs w:val="22"/>
                <w:highlight w:val="none"/>
              </w:rPr>
              <w:t xml:space="preserve">，得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（3）</w:t>
            </w:r>
            <w:r>
              <w:rPr>
                <w:rFonts w:hint="eastAsia" w:ascii="宋体" w:hAnsi="宋体" w:cs="宋体"/>
                <w:color w:val="auto"/>
                <w:szCs w:val="22"/>
                <w:highlight w:val="none"/>
                <w:lang w:val="en-US" w:eastAsia="zh-CN"/>
              </w:rPr>
              <w:t xml:space="preserve">整体设计方案文本</w:t>
            </w:r>
            <w:r>
              <w:rPr>
                <w:rFonts w:hint="eastAsia" w:ascii="宋体" w:hAnsi="宋体" w:cs="宋体"/>
                <w:color w:val="auto"/>
                <w:szCs w:val="22"/>
                <w:highlight w:val="none"/>
              </w:rPr>
              <w:t xml:space="preserve">清晰美观，表达准确，条理清楚，</w:t>
            </w:r>
            <w:r>
              <w:rPr>
                <w:rFonts w:hint="eastAsia" w:ascii="宋体" w:hAnsi="宋体" w:cs="宋体"/>
                <w:color w:val="auto"/>
                <w:szCs w:val="22"/>
                <w:highlight w:val="none"/>
                <w:lang w:val="en-US" w:eastAsia="zh-CN"/>
              </w:rPr>
              <w:t xml:space="preserve">整体视频效果清晰，内容详实，声文并茂，方案效果图</w:t>
            </w:r>
            <w:r>
              <w:rPr>
                <w:rFonts w:hint="eastAsia" w:ascii="宋体" w:hAnsi="宋体" w:cs="宋体"/>
                <w:color w:val="auto"/>
                <w:szCs w:val="22"/>
                <w:highlight w:val="none"/>
              </w:rPr>
              <w:t xml:space="preserve">完全满足采购需求的得5分；</w:t>
            </w:r>
            <w:r>
              <w:rPr>
                <w:rFonts w:hint="eastAsia" w:ascii="宋体" w:hAnsi="宋体" w:cs="宋体"/>
                <w:color w:val="auto"/>
                <w:szCs w:val="22"/>
                <w:highlight w:val="none"/>
                <w:lang w:val="en-US" w:eastAsia="zh-CN"/>
              </w:rPr>
              <w:t xml:space="preserve">整体设计方案文本与视频</w:t>
            </w:r>
            <w:r>
              <w:rPr>
                <w:rFonts w:hint="eastAsia" w:ascii="宋体" w:hAnsi="宋体" w:cs="宋体"/>
                <w:color w:val="auto"/>
                <w:szCs w:val="22"/>
                <w:highlight w:val="none"/>
              </w:rPr>
              <w:t xml:space="preserve">基本清晰，</w:t>
            </w:r>
            <w:r>
              <w:rPr>
                <w:rFonts w:hint="eastAsia" w:ascii="宋体" w:hAnsi="宋体" w:cs="宋体"/>
                <w:color w:val="auto"/>
                <w:szCs w:val="22"/>
                <w:highlight w:val="none"/>
                <w:lang w:val="en-US" w:eastAsia="zh-CN"/>
              </w:rPr>
              <w:t xml:space="preserve">内容相对全面，方案效果图</w:t>
            </w:r>
            <w:r>
              <w:rPr>
                <w:rFonts w:hint="eastAsia" w:ascii="宋体" w:hAnsi="宋体" w:cs="宋体"/>
                <w:color w:val="auto"/>
                <w:szCs w:val="22"/>
                <w:highlight w:val="none"/>
              </w:rPr>
              <w:t xml:space="preserve">基本满足采购需求得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val="en-US" w:eastAsia="zh-CN"/>
              </w:rPr>
              <w:t xml:space="preserve">整体设计方案文本与视频质量模糊</w:t>
            </w:r>
            <w:r>
              <w:rPr>
                <w:rFonts w:hint="eastAsia" w:ascii="宋体" w:hAnsi="宋体" w:cs="宋体"/>
                <w:color w:val="auto"/>
                <w:szCs w:val="22"/>
                <w:highlight w:val="none"/>
              </w:rPr>
              <w:t xml:space="preserve">，条理化一般，</w:t>
            </w:r>
            <w:r>
              <w:rPr>
                <w:rFonts w:hint="eastAsia" w:ascii="宋体" w:hAnsi="宋体" w:cs="宋体"/>
                <w:color w:val="auto"/>
                <w:szCs w:val="22"/>
                <w:highlight w:val="none"/>
                <w:lang w:val="en-US" w:eastAsia="zh-CN"/>
              </w:rPr>
              <w:t xml:space="preserve">内容缺失，方案效果图</w:t>
            </w:r>
            <w:r>
              <w:rPr>
                <w:rFonts w:hint="eastAsia" w:ascii="宋体" w:hAnsi="宋体" w:cs="宋体"/>
                <w:color w:val="auto"/>
                <w:szCs w:val="22"/>
                <w:highlight w:val="none"/>
              </w:rPr>
              <w:t xml:space="preserve">质量一般得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（4）</w:t>
            </w:r>
            <w:r>
              <w:rPr>
                <w:rFonts w:hint="eastAsia" w:ascii="宋体" w:hAnsi="宋体" w:cs="宋体"/>
                <w:color w:val="auto"/>
                <w:szCs w:val="22"/>
                <w:highlight w:val="none"/>
                <w:lang w:val="en-US" w:eastAsia="zh-CN"/>
              </w:rPr>
              <w:t xml:space="preserve">设计方案中</w:t>
            </w:r>
            <w:r>
              <w:rPr>
                <w:rFonts w:hint="eastAsia" w:ascii="宋体" w:hAnsi="宋体" w:cs="宋体"/>
                <w:color w:val="auto"/>
                <w:szCs w:val="22"/>
                <w:highlight w:val="none"/>
              </w:rPr>
              <w:t xml:space="preserve">花境方案图案清晰美观，表达准确，条理清楚，整体质量优，</w:t>
            </w:r>
            <w:r>
              <w:rPr>
                <w:rFonts w:hint="eastAsia" w:ascii="宋体" w:hAnsi="宋体" w:cs="宋体"/>
                <w:color w:val="auto"/>
                <w:szCs w:val="22"/>
                <w:highlight w:val="none"/>
                <w:lang w:val="en-US" w:eastAsia="zh-CN"/>
              </w:rPr>
              <w:t xml:space="preserve">内容详实，文本与视频效果清晰，</w:t>
            </w:r>
            <w:r>
              <w:rPr>
                <w:rFonts w:hint="eastAsia" w:ascii="宋体" w:hAnsi="宋体" w:cs="宋体"/>
                <w:color w:val="auto"/>
                <w:szCs w:val="22"/>
                <w:highlight w:val="none"/>
              </w:rPr>
              <w:t xml:space="preserve">完全满足采购需求的得5分；花境方案图案</w:t>
            </w:r>
            <w:r>
              <w:rPr>
                <w:rFonts w:hint="eastAsia" w:ascii="宋体" w:hAnsi="宋体" w:cs="宋体"/>
                <w:color w:val="auto"/>
                <w:szCs w:val="22"/>
                <w:highlight w:val="none"/>
                <w:lang w:val="en-US" w:eastAsia="zh-CN"/>
              </w:rPr>
              <w:t xml:space="preserve">与视频</w:t>
            </w:r>
            <w:r>
              <w:rPr>
                <w:rFonts w:hint="eastAsia" w:ascii="宋体" w:hAnsi="宋体" w:cs="宋体"/>
                <w:color w:val="auto"/>
                <w:szCs w:val="22"/>
                <w:highlight w:val="none"/>
              </w:rPr>
              <w:t xml:space="preserve">基本清晰，条理基本清楚，</w:t>
            </w:r>
            <w:r>
              <w:rPr>
                <w:rFonts w:hint="eastAsia" w:ascii="宋体" w:hAnsi="宋体" w:cs="宋体"/>
                <w:color w:val="auto"/>
                <w:szCs w:val="22"/>
                <w:highlight w:val="none"/>
                <w:lang w:val="en-US" w:eastAsia="zh-CN"/>
              </w:rPr>
              <w:t xml:space="preserve">内容相对全面，</w:t>
            </w:r>
            <w:r>
              <w:rPr>
                <w:rFonts w:hint="eastAsia" w:ascii="宋体" w:hAnsi="宋体" w:cs="宋体"/>
                <w:color w:val="auto"/>
                <w:szCs w:val="22"/>
                <w:highlight w:val="none"/>
              </w:rPr>
              <w:t xml:space="preserve">基本满足采购需求得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分；花境方案</w:t>
            </w:r>
            <w:r>
              <w:rPr>
                <w:rFonts w:hint="eastAsia" w:ascii="宋体" w:hAnsi="宋体" w:cs="宋体"/>
                <w:color w:val="auto"/>
                <w:szCs w:val="22"/>
                <w:highlight w:val="none"/>
                <w:lang w:val="en-US" w:eastAsia="zh-CN"/>
              </w:rPr>
              <w:t xml:space="preserve">图案与视频质量模糊，</w:t>
            </w:r>
            <w:r>
              <w:rPr>
                <w:rFonts w:hint="eastAsia" w:ascii="宋体" w:hAnsi="宋体" w:cs="宋体"/>
                <w:color w:val="auto"/>
                <w:szCs w:val="22"/>
                <w:highlight w:val="none"/>
              </w:rPr>
              <w:t xml:space="preserve">条理化</w:t>
            </w:r>
            <w:r>
              <w:rPr>
                <w:rFonts w:hint="eastAsia" w:ascii="宋体" w:hAnsi="宋体" w:cs="宋体"/>
                <w:color w:val="auto"/>
                <w:szCs w:val="22"/>
                <w:highlight w:val="none"/>
                <w:lang w:val="en-US" w:eastAsia="zh-CN"/>
              </w:rPr>
              <w:t xml:space="preserve">一般</w:t>
            </w:r>
            <w:r>
              <w:rPr>
                <w:rFonts w:hint="eastAsia" w:ascii="宋体" w:hAnsi="宋体" w:cs="宋体"/>
                <w:color w:val="auto"/>
                <w:szCs w:val="22"/>
                <w:highlight w:val="none"/>
              </w:rPr>
              <w:t xml:space="preserve">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分；其他情况或</w:t>
            </w:r>
            <w:r>
              <w:rPr>
                <w:rFonts w:hint="eastAsia" w:ascii="宋体" w:hAnsi="宋体" w:cs="宋体"/>
                <w:color w:val="auto"/>
                <w:szCs w:val="22"/>
                <w:highlight w:val="none"/>
                <w:lang w:eastAsia="zh-CN"/>
              </w:rPr>
              <w:t xml:space="preserve">没有</w:t>
            </w:r>
            <w:r>
              <w:rPr>
                <w:rFonts w:hint="eastAsia" w:ascii="宋体" w:hAnsi="宋体" w:cs="宋体"/>
                <w:color w:val="auto"/>
                <w:szCs w:val="22"/>
                <w:highlight w:val="none"/>
              </w:rPr>
              <w:t xml:space="preserve">内容不得分。</w:t>
            </w:r>
            <w:r/>
          </w:p>
          <w:p>
            <w:pPr>
              <w:ind w:firstLine="211"/>
              <w:jc w:val="left"/>
              <w:rPr>
                <w:rFonts w:hint="eastAsia" w:ascii="宋体" w:hAnsi="宋体" w:cs="宋体"/>
                <w:color w:val="auto"/>
                <w:szCs w:val="22"/>
                <w:highlight w:val="none"/>
              </w:rPr>
            </w:pPr>
            <w:r>
              <w:rPr>
                <w:rFonts w:hint="eastAsia" w:ascii="宋体" w:hAnsi="宋体" w:cs="宋体"/>
                <w:b/>
                <w:bCs/>
                <w:color w:val="auto"/>
                <w:szCs w:val="22"/>
                <w:highlight w:val="none"/>
              </w:rPr>
              <w:t xml:space="preserve">备注：投标人需按照以上规定的演示内容制作</w:t>
            </w:r>
            <w:r>
              <w:rPr>
                <w:rFonts w:hint="eastAsia" w:ascii="宋体" w:hAnsi="宋体" w:cs="宋体"/>
                <w:b/>
                <w:bCs/>
                <w:color w:val="auto"/>
                <w:szCs w:val="22"/>
                <w:highlight w:val="none"/>
                <w:lang w:val="en-US" w:eastAsia="zh-CN"/>
              </w:rPr>
              <w:t xml:space="preserve">方案文本与</w:t>
            </w:r>
            <w:r>
              <w:rPr>
                <w:rFonts w:hint="eastAsia" w:ascii="宋体" w:hAnsi="宋体" w:cs="宋体"/>
                <w:b/>
                <w:bCs/>
                <w:color w:val="auto"/>
                <w:szCs w:val="22"/>
                <w:highlight w:val="none"/>
              </w:rPr>
              <w:t xml:space="preserve">演示视频文件，</w:t>
            </w:r>
            <w:r>
              <w:rPr>
                <w:rFonts w:hint="eastAsia" w:ascii="宋体" w:hAnsi="宋体" w:cs="宋体"/>
                <w:b/>
                <w:bCs/>
                <w:color w:val="auto"/>
                <w:szCs w:val="22"/>
                <w:highlight w:val="none"/>
                <w:lang w:val="en-US" w:eastAsia="zh-CN"/>
              </w:rPr>
              <w:t xml:space="preserve">其中</w:t>
            </w:r>
            <w:r>
              <w:rPr>
                <w:rFonts w:hint="eastAsia" w:ascii="宋体" w:hAnsi="宋体" w:cs="宋体"/>
                <w:b/>
                <w:bCs/>
                <w:color w:val="auto"/>
                <w:szCs w:val="22"/>
                <w:highlight w:val="none"/>
              </w:rPr>
              <w:t xml:space="preserve">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tc>
      </w:tr>
      <w:tr>
        <w:trPr/>
        <w:tc>
          <w:tcPr>
            <w:tcW w:w="975" w:type="dxa"/>
            <w:vAlign w:val="center"/>
            <w:vMerge w:val="restart"/>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商务评审</w:t>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企业业绩</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3.00分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投标人自2021年1月1日以来（以合同签订时间为准），承接过类似业绩的，每有一个加1分，本项最高得3分。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备注：</w:t>
            </w:r>
            <w:r/>
          </w:p>
          <w:p>
            <w:pPr>
              <w:ind w:firstLine="210"/>
              <w:jc w:val="left"/>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1.投标文件中同时提供</w:t>
            </w:r>
            <w:r>
              <w:rPr>
                <w:rFonts w:hint="eastAsia" w:ascii="宋体" w:hAnsi="宋体" w:cs="宋体"/>
                <w:color w:val="auto"/>
                <w:szCs w:val="22"/>
                <w:highlight w:val="none"/>
                <w:lang w:eastAsia="zh-CN"/>
              </w:rPr>
              <w:t xml:space="preserve">业绩</w:t>
            </w:r>
            <w:r>
              <w:rPr>
                <w:rFonts w:hint="eastAsia" w:ascii="宋体" w:hAnsi="宋体" w:cs="宋体"/>
                <w:color w:val="auto"/>
                <w:szCs w:val="22"/>
                <w:highlight w:val="none"/>
                <w:lang w:val="en-US" w:eastAsia="zh-CN"/>
              </w:rPr>
              <w:t xml:space="preserve">中标（成交）通知书、</w:t>
            </w:r>
            <w:r>
              <w:rPr>
                <w:rFonts w:hint="eastAsia" w:ascii="宋体" w:hAnsi="宋体" w:cs="宋体"/>
                <w:color w:val="auto"/>
                <w:szCs w:val="22"/>
                <w:highlight w:val="none"/>
              </w:rPr>
              <w:t xml:space="preserve">合同</w:t>
            </w:r>
            <w:r>
              <w:rPr>
                <w:rFonts w:hint="eastAsia" w:ascii="宋体" w:hAnsi="宋体" w:cs="宋体"/>
                <w:color w:val="auto"/>
                <w:szCs w:val="22"/>
                <w:highlight w:val="none"/>
                <w:lang w:eastAsia="zh-CN"/>
              </w:rPr>
              <w:t xml:space="preserve">和</w:t>
            </w:r>
            <w:r>
              <w:rPr>
                <w:rFonts w:hint="eastAsia" w:ascii="宋体" w:hAnsi="宋体" w:cs="宋体"/>
                <w:color w:val="auto"/>
                <w:szCs w:val="22"/>
                <w:highlight w:val="none"/>
                <w:lang w:val="en-US" w:eastAsia="zh-CN"/>
              </w:rPr>
              <w:t xml:space="preserve">甲方</w:t>
            </w:r>
            <w:r>
              <w:rPr>
                <w:rFonts w:hint="eastAsia" w:ascii="宋体" w:hAnsi="宋体" w:cs="宋体"/>
                <w:color w:val="auto"/>
                <w:szCs w:val="22"/>
                <w:highlight w:val="none"/>
                <w:lang w:eastAsia="zh-CN"/>
              </w:rPr>
              <w:t xml:space="preserve">（被服务方）</w:t>
            </w:r>
            <w:r>
              <w:rPr>
                <w:rFonts w:hint="eastAsia" w:ascii="宋体" w:hAnsi="宋体" w:cs="宋体"/>
                <w:color w:val="auto"/>
                <w:szCs w:val="22"/>
                <w:highlight w:val="none"/>
                <w:lang w:val="en-US" w:eastAsia="zh-CN"/>
              </w:rPr>
              <w:t xml:space="preserve">出具的且能证明完工的相关材料</w:t>
            </w:r>
            <w:r>
              <w:rPr>
                <w:rFonts w:hint="eastAsia" w:ascii="宋体" w:hAnsi="宋体" w:cs="宋体"/>
                <w:color w:val="auto"/>
                <w:szCs w:val="22"/>
                <w:highlight w:val="none"/>
              </w:rPr>
              <w:t xml:space="preserve">，</w:t>
            </w:r>
            <w:r>
              <w:rPr>
                <w:rFonts w:hint="eastAsia" w:ascii="宋体" w:hAnsi="宋体" w:cs="宋体"/>
                <w:color w:val="auto"/>
                <w:szCs w:val="22"/>
                <w:highlight w:val="none"/>
                <w:lang w:val="en-US" w:eastAsia="zh-CN"/>
              </w:rPr>
              <w:t xml:space="preserve">三者缺一不可；</w:t>
            </w:r>
            <w:r>
              <w:rPr>
                <w:rFonts w:hint="eastAsia" w:ascii="宋体" w:hAnsi="宋体" w:cs="宋体"/>
                <w:color w:val="auto"/>
                <w:szCs w:val="22"/>
                <w:highlight w:val="none"/>
                <w:lang w:eastAsia="zh-CN"/>
              </w:rPr>
              <w:t xml:space="preserve">合同中项目名称、服务内容、金额、双方签字盖章等</w:t>
            </w:r>
            <w:r>
              <w:rPr>
                <w:rFonts w:hint="eastAsia" w:ascii="宋体" w:hAnsi="宋体" w:cs="宋体"/>
                <w:color w:val="auto"/>
                <w:szCs w:val="22"/>
                <w:highlight w:val="none"/>
              </w:rPr>
              <w:t xml:space="preserve">应清晰可见</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完工相关证明材料</w:t>
            </w:r>
            <w:r>
              <w:rPr>
                <w:rFonts w:hint="eastAsia" w:ascii="宋体" w:hAnsi="宋体" w:cs="宋体"/>
                <w:color w:val="auto"/>
                <w:szCs w:val="22"/>
                <w:highlight w:val="none"/>
                <w:lang w:eastAsia="zh-CN"/>
              </w:rPr>
              <w:t xml:space="preserve">以甲方（被服务方）加盖单位公章的证明材料为准，</w:t>
            </w:r>
            <w:r>
              <w:rPr>
                <w:rFonts w:hint="eastAsia" w:ascii="宋体" w:hAnsi="宋体" w:cs="宋体"/>
                <w:color w:val="auto"/>
                <w:szCs w:val="22"/>
                <w:highlight w:val="none"/>
              </w:rPr>
              <w:t xml:space="preserve">未提供或提供不齐全不得分</w:t>
            </w:r>
            <w:r>
              <w:rPr>
                <w:rFonts w:hint="eastAsia" w:ascii="宋体" w:hAnsi="宋体" w:cs="宋体"/>
                <w:color w:val="auto"/>
                <w:szCs w:val="22"/>
                <w:highlight w:val="none"/>
                <w:lang w:eastAsia="zh-CN"/>
              </w:rPr>
              <w:t xml:space="preserve">。</w:t>
            </w:r>
            <w:r/>
          </w:p>
          <w:p>
            <w:pPr>
              <w:ind w:firstLine="210"/>
              <w:jc w:val="lef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.业绩资料由投标人按要求制作后上传至投标文件中，否则该业绩不得分</w:t>
            </w:r>
            <w:r>
              <w:rPr>
                <w:rFonts w:hint="eastAsia" w:ascii="宋体" w:hAnsi="宋体" w:cs="宋体"/>
                <w:color w:val="auto"/>
                <w:szCs w:val="22"/>
                <w:highlight w:val="none"/>
                <w:lang w:eastAsia="zh-CN"/>
              </w:rPr>
              <w:t xml:space="preserve">。</w:t>
            </w:r>
            <w:r/>
          </w:p>
          <w:p>
            <w:pPr>
              <w:ind w:firstLine="211"/>
              <w:jc w:val="left"/>
              <w:rPr>
                <w:rFonts w:hint="eastAsia" w:ascii="宋体" w:hAnsi="宋体" w:cs="宋体"/>
                <w:color w:val="auto"/>
                <w:szCs w:val="22"/>
                <w:highlight w:val="none"/>
              </w:rPr>
            </w:pPr>
            <w:r>
              <w:rPr>
                <w:rFonts w:hint="eastAsia" w:ascii="宋体" w:hAnsi="宋体" w:cs="宋体"/>
                <w:b/>
                <w:bCs/>
                <w:color w:val="auto"/>
                <w:szCs w:val="22"/>
                <w:highlight w:val="none"/>
              </w:rPr>
              <w:t xml:space="preserve">3.中标人提供的业绩将随中标结果同步公开。</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企业技术成果</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16.00分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1.投标人具备与园林绿化、景观、土壤及水质修复处理相关的技术，并获得国家知识产权局颁发的发明专利证书的，每有一个得2分，本项最高得10分；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2.投标人编写的与园林绿化、景观、土壤及水质修复相关的工法被评为省级及以上工法的，每有一个得3分，本项最高得6分。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注：</w:t>
            </w:r>
            <w:r/>
          </w:p>
          <w:p>
            <w:pPr>
              <w:ind w:firstLine="210"/>
              <w:jc w:val="left"/>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1.投标文件提供以上各项专利证书</w:t>
            </w:r>
            <w:r>
              <w:rPr>
                <w:rFonts w:hint="eastAsia" w:ascii="宋体" w:hAnsi="宋体" w:cs="宋体"/>
                <w:color w:val="auto"/>
                <w:szCs w:val="22"/>
                <w:highlight w:val="none"/>
                <w:lang w:eastAsia="zh-CN"/>
              </w:rPr>
              <w:t xml:space="preserve">（专利权人为投标人）</w:t>
            </w:r>
            <w:r>
              <w:rPr>
                <w:rFonts w:hint="eastAsia" w:ascii="宋体" w:hAnsi="宋体" w:cs="宋体"/>
                <w:color w:val="auto"/>
                <w:szCs w:val="22"/>
                <w:highlight w:val="none"/>
              </w:rPr>
              <w:t xml:space="preserve">和工法证书的原件电子件，未提供的不得分</w:t>
            </w:r>
            <w:r>
              <w:rPr>
                <w:rFonts w:hint="eastAsia" w:ascii="宋体" w:hAnsi="宋体" w:cs="宋体"/>
                <w:color w:val="auto"/>
                <w:szCs w:val="22"/>
                <w:highlight w:val="none"/>
                <w:lang w:eastAsia="zh-CN"/>
              </w:rPr>
              <w:t xml:space="preserve">。</w:t>
            </w:r>
            <w:r/>
          </w:p>
          <w:p>
            <w:pPr>
              <w:ind w:firstLine="211"/>
              <w:jc w:val="left"/>
              <w:rPr>
                <w:rFonts w:hint="eastAsia" w:ascii="宋体" w:hAnsi="宋体" w:cs="宋体"/>
                <w:color w:val="auto"/>
                <w:szCs w:val="22"/>
                <w:highlight w:val="none"/>
              </w:rPr>
            </w:pPr>
            <w:r>
              <w:rPr>
                <w:rFonts w:hint="eastAsia" w:ascii="宋体" w:hAnsi="宋体" w:cs="宋体"/>
                <w:b/>
                <w:bCs/>
                <w:color w:val="auto"/>
                <w:szCs w:val="22"/>
                <w:highlight w:val="none"/>
              </w:rPr>
              <w:t xml:space="preserve">2.中标人提供的相关证书将随中标结果同步公开。</w:t>
            </w:r>
            <w:r>
              <w:rPr>
                <w:rFonts w:hint="eastAsia" w:ascii="宋体" w:hAnsi="宋体" w:cs="宋体"/>
                <w:color w:val="auto"/>
                <w:szCs w:val="22"/>
                <w:highlight w:val="none"/>
              </w:rPr>
              <w:t xml:space="preserve"> </w:t>
            </w:r>
            <w:r/>
          </w:p>
        </w:tc>
      </w:tr>
      <w:tr>
        <w:trPr/>
        <w:tc>
          <w:tcPr>
            <w:tcW w:w="975" w:type="dxa"/>
            <w:vAlign w:val="center"/>
            <w:vMerge w:val="continue"/>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r>
            <w:r/>
          </w:p>
        </w:tc>
        <w:tc>
          <w:tcPr>
            <w:tcW w:w="1471" w:type="dxa"/>
            <w:vAlign w:val="center"/>
            <w:textDirection w:val="lrTb"/>
            <w:noWrap w:val="false"/>
          </w:tcPr>
          <w:p>
            <w:pPr>
              <w:jc w:val="left"/>
              <w:rPr>
                <w:rFonts w:hint="eastAsia" w:ascii="宋体" w:hAnsi="宋体" w:cs="宋体"/>
                <w:color w:val="auto"/>
                <w:szCs w:val="22"/>
                <w:highlight w:val="none"/>
              </w:rPr>
            </w:pPr>
            <w:r>
              <w:rPr>
                <w:rFonts w:hint="eastAsia" w:ascii="宋体" w:hAnsi="宋体" w:cs="宋体"/>
                <w:color w:val="auto"/>
                <w:szCs w:val="22"/>
                <w:highlight w:val="none"/>
              </w:rPr>
              <w:t xml:space="preserve">管理力量、技术人员配备及能力</w:t>
            </w:r>
            <w:r/>
          </w:p>
        </w:tc>
        <w:tc>
          <w:tcPr>
            <w:tcW w:w="927" w:type="dxa"/>
            <w:vAlign w:val="center"/>
            <w:textDirection w:val="lrTb"/>
            <w:noWrap w:val="false"/>
          </w:tcPr>
          <w:p>
            <w:pPr>
              <w:jc w:val="center"/>
              <w:rPr>
                <w:rFonts w:hint="eastAsia" w:ascii="宋体" w:hAnsi="宋体" w:cs="宋体"/>
                <w:color w:val="auto"/>
                <w:szCs w:val="22"/>
                <w:highlight w:val="none"/>
              </w:rPr>
            </w:pPr>
            <w:r>
              <w:rPr>
                <w:rFonts w:hint="eastAsia" w:ascii="宋体" w:hAnsi="宋体" w:cs="宋体"/>
                <w:color w:val="auto"/>
                <w:szCs w:val="22"/>
                <w:highlight w:val="none"/>
              </w:rPr>
              <w:t xml:space="preserve">24.00分</w:t>
            </w:r>
            <w:r/>
          </w:p>
        </w:tc>
        <w:tc>
          <w:tcPr>
            <w:tcW w:w="5667" w:type="dxa"/>
            <w:vAlign w:val="center"/>
            <w:textDirection w:val="lrTb"/>
            <w:noWrap w:val="false"/>
          </w:tcPr>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1.拟选派的总负责人具备园林相关专业高级及以上工程师职称的，得2分。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2.拟选派的技术支持团队人员（不含总负责人）中具备园林相关专业高级及以上工程师职称的， 每有一个2分，本项最高得10分。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3.拟选派的技术支持团队人员（不含总负责人）中有主持或参与的与园林绿化、景观、土壤及水质修复处理相关的技术研究，获得过国家知识产权局颁发的发明专利证书的，每有一个得2分，本项最高得10分（同一专利仅用于技术支持团队中一个人员加分，每人最多得2分；且同一专利不同时参与企业技术成果和技术支持团队人员能力加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4.拟选派的技术支持团队人员（不含总负责人）中有作为主编（副主编）或参编出版过与园林绿化、景观、土壤及水质修复处理相关的书籍</w:t>
            </w:r>
            <w:r>
              <w:rPr>
                <w:rFonts w:hint="eastAsia" w:ascii="宋体" w:hAnsi="宋体" w:cs="宋体"/>
                <w:color w:val="auto"/>
                <w:szCs w:val="22"/>
                <w:highlight w:val="none"/>
                <w:lang w:eastAsia="zh-CN"/>
              </w:rPr>
              <w:t xml:space="preserve">、</w:t>
            </w:r>
            <w:r>
              <w:rPr>
                <w:rFonts w:hint="eastAsia" w:ascii="宋体" w:hAnsi="宋体" w:cs="宋体"/>
                <w:color w:val="auto"/>
                <w:szCs w:val="22"/>
                <w:highlight w:val="none"/>
                <w:lang w:val="en-US" w:eastAsia="zh-CN"/>
              </w:rPr>
              <w:t xml:space="preserve">报纸、报刊、读物等</w:t>
            </w:r>
            <w:r>
              <w:rPr>
                <w:rFonts w:hint="eastAsia" w:ascii="宋体" w:hAnsi="宋体" w:cs="宋体"/>
                <w:color w:val="auto"/>
                <w:szCs w:val="22"/>
                <w:highlight w:val="none"/>
              </w:rPr>
              <w:t xml:space="preserve">，每有一个得2分，本项最高得2分。</w:t>
            </w:r>
            <w:r/>
          </w:p>
          <w:p>
            <w:pPr>
              <w:ind w:firstLine="210"/>
              <w:jc w:val="left"/>
              <w:rPr>
                <w:rFonts w:hint="eastAsia" w:ascii="宋体" w:hAnsi="宋体" w:cs="宋体"/>
                <w:color w:val="auto"/>
                <w:szCs w:val="22"/>
                <w:highlight w:val="none"/>
              </w:rPr>
            </w:pPr>
            <w:r>
              <w:rPr>
                <w:rFonts w:hint="eastAsia" w:ascii="宋体" w:hAnsi="宋体" w:cs="宋体"/>
                <w:color w:val="auto"/>
                <w:szCs w:val="22"/>
                <w:highlight w:val="none"/>
              </w:rPr>
              <w:t xml:space="preserve">注：</w:t>
            </w:r>
            <w:r/>
          </w:p>
          <w:p>
            <w:pPr>
              <w:ind w:firstLine="210"/>
              <w:jc w:val="left"/>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1.拟选派的总负责人、技术支持团队所有人员不得重复，需为投标单位的正式员工，在投标时提供名单、相关证书原件电子件，2024年</w:t>
            </w:r>
            <w:r>
              <w:rPr>
                <w:rFonts w:hint="eastAsia" w:ascii="宋体" w:hAnsi="宋体" w:cs="宋体"/>
                <w:color w:val="auto"/>
                <w:szCs w:val="22"/>
                <w:highlight w:val="none"/>
                <w:lang w:val="en-US" w:eastAsia="zh-CN"/>
              </w:rPr>
              <w:t xml:space="preserve">08</w:t>
            </w:r>
            <w:r>
              <w:rPr>
                <w:rFonts w:hint="eastAsia" w:ascii="宋体" w:hAnsi="宋体" w:cs="宋体"/>
                <w:color w:val="auto"/>
                <w:szCs w:val="22"/>
                <w:highlight w:val="none"/>
              </w:rPr>
              <w:t xml:space="preserve">月以来任意一个月投标单位为其缴纳社会保险证明</w:t>
            </w:r>
            <w:r>
              <w:rPr>
                <w:rFonts w:hint="eastAsia" w:ascii="宋体" w:hAnsi="宋体" w:cs="宋体"/>
                <w:color w:val="auto"/>
                <w:szCs w:val="22"/>
                <w:highlight w:val="none"/>
                <w:lang w:eastAsia="zh-CN"/>
              </w:rPr>
              <w:t xml:space="preserve">。</w:t>
            </w:r>
            <w:r/>
          </w:p>
          <w:p>
            <w:pPr>
              <w:ind w:firstLine="210"/>
              <w:jc w:val="left"/>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2.提供的专利证书需体现技术支持团队的人员姓名，并提供网页查询截图及网址链接</w:t>
            </w:r>
            <w:r>
              <w:rPr>
                <w:rFonts w:hint="eastAsia" w:ascii="宋体" w:hAnsi="宋体" w:cs="宋体"/>
                <w:color w:val="auto"/>
                <w:szCs w:val="22"/>
                <w:highlight w:val="none"/>
                <w:lang w:eastAsia="zh-CN"/>
              </w:rPr>
              <w:t xml:space="preserve">。</w:t>
            </w:r>
            <w:r/>
          </w:p>
          <w:p>
            <w:pPr>
              <w:ind w:firstLine="210"/>
              <w:jc w:val="left"/>
              <w:rPr>
                <w:rFonts w:hint="eastAsia" w:ascii="宋体" w:hAnsi="宋体" w:eastAsia="宋体" w:cs="宋体"/>
                <w:color w:val="auto"/>
                <w:szCs w:val="22"/>
                <w:highlight w:val="none"/>
                <w:lang w:val="en-US" w:eastAsia="zh-CN"/>
              </w:rPr>
            </w:pPr>
            <w:r>
              <w:rPr>
                <w:rFonts w:hint="eastAsia" w:ascii="宋体" w:hAnsi="宋体" w:cs="宋体"/>
                <w:color w:val="auto"/>
                <w:szCs w:val="22"/>
                <w:highlight w:val="none"/>
              </w:rPr>
              <w:t xml:space="preserve">3.工程师职称证书需由人社部门颁发，职称证书无法显示专业的以学历证书或者职称评审表为准</w:t>
            </w:r>
            <w:r>
              <w:rPr>
                <w:rFonts w:hint="eastAsia" w:ascii="宋体" w:hAnsi="宋体" w:cs="宋体"/>
                <w:color w:val="auto"/>
                <w:szCs w:val="22"/>
                <w:highlight w:val="none"/>
                <w:lang w:eastAsia="zh-CN"/>
              </w:rPr>
              <w:t xml:space="preserve">。</w:t>
            </w:r>
            <w:r/>
          </w:p>
          <w:p>
            <w:pPr>
              <w:ind w:firstLine="210"/>
              <w:jc w:val="left"/>
              <w:rPr>
                <w:rFonts w:hint="eastAsia" w:ascii="宋体" w:hAnsi="宋体" w:eastAsia="宋体" w:cs="宋体"/>
                <w:color w:val="auto"/>
                <w:szCs w:val="22"/>
                <w:highlight w:val="none"/>
                <w:lang w:eastAsia="zh-CN"/>
              </w:rPr>
            </w:pPr>
            <w:r>
              <w:rPr>
                <w:rFonts w:hint="eastAsia" w:ascii="宋体" w:hAnsi="宋体" w:cs="宋体"/>
                <w:color w:val="auto"/>
                <w:szCs w:val="22"/>
                <w:highlight w:val="none"/>
              </w:rPr>
              <w:t xml:space="preserve">4.上述相关</w:t>
            </w:r>
            <w:r>
              <w:rPr>
                <w:rFonts w:hint="eastAsia" w:ascii="宋体" w:hAnsi="宋体" w:cs="宋体"/>
                <w:color w:val="auto"/>
                <w:szCs w:val="22"/>
                <w:highlight w:val="none"/>
                <w:lang w:val="en-US" w:eastAsia="zh-CN"/>
              </w:rPr>
              <w:t xml:space="preserve">证明材料</w:t>
            </w:r>
            <w:r>
              <w:rPr>
                <w:rFonts w:hint="eastAsia" w:ascii="宋体" w:hAnsi="宋体" w:cs="宋体"/>
                <w:color w:val="auto"/>
                <w:szCs w:val="22"/>
                <w:highlight w:val="none"/>
              </w:rPr>
              <w:t xml:space="preserve">电子件上传至投标文件中，未提供不得分</w:t>
            </w:r>
            <w:r>
              <w:rPr>
                <w:rFonts w:hint="eastAsia" w:ascii="宋体" w:hAnsi="宋体" w:cs="宋体"/>
                <w:color w:val="auto"/>
                <w:szCs w:val="22"/>
                <w:highlight w:val="none"/>
                <w:lang w:eastAsia="zh-CN"/>
              </w:rPr>
              <w:t xml:space="preserve">。</w:t>
            </w:r>
            <w:r/>
          </w:p>
          <w:p>
            <w:pPr>
              <w:ind w:firstLine="211"/>
              <w:jc w:val="left"/>
              <w:rPr>
                <w:rFonts w:hint="eastAsia" w:ascii="宋体" w:hAnsi="宋体" w:cs="宋体"/>
                <w:color w:val="auto"/>
                <w:szCs w:val="22"/>
                <w:highlight w:val="none"/>
              </w:rPr>
            </w:pPr>
            <w:r>
              <w:rPr>
                <w:rFonts w:hint="eastAsia" w:ascii="宋体" w:hAnsi="宋体" w:cs="宋体"/>
                <w:b/>
                <w:bCs/>
                <w:color w:val="auto"/>
                <w:szCs w:val="22"/>
                <w:highlight w:val="none"/>
                <w:lang w:val="en-US" w:eastAsia="zh-CN"/>
              </w:rPr>
              <w:t xml:space="preserve">5.</w:t>
            </w:r>
            <w:r>
              <w:rPr>
                <w:rFonts w:hint="eastAsia" w:ascii="宋体" w:hAnsi="宋体" w:cs="宋体"/>
                <w:b/>
                <w:bCs/>
                <w:color w:val="auto"/>
                <w:szCs w:val="22"/>
                <w:highlight w:val="none"/>
              </w:rPr>
              <w:t xml:space="preserve">中标人提供的相关证书将随中标结果同步公开。</w:t>
            </w:r>
            <w:r/>
          </w:p>
        </w:tc>
      </w:tr>
    </w:tbl>
    <w:p>
      <w:pPr>
        <w:rPr>
          <w:rFonts w:hint="eastAsia" w:ascii="宋体" w:hAnsi="宋体" w:cs="宋体"/>
          <w:color w:val="auto"/>
          <w:highlight w:val="none"/>
        </w:rPr>
      </w:pPr>
      <w:r>
        <w:rPr>
          <w:rFonts w:hint="eastAsia" w:ascii="宋体" w:hAnsi="宋体" w:cs="宋体"/>
          <w:color w:val="auto"/>
          <w:sz w:val="20"/>
          <w:highlight w:val="none"/>
        </w:rPr>
        <w:t xml:space="preserve"> </w:t>
      </w:r>
      <w:bookmarkEnd w:id="677"/>
      <w:r/>
      <w:r/>
    </w:p>
    <w:p>
      <w:pPr>
        <w:ind w:firstLine="241"/>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（三）评标结果。</w:t>
      </w:r>
      <w:r>
        <w:rPr>
          <w:rFonts w:hint="eastAsia" w:ascii="宋体" w:hAnsi="宋体" w:cs="宋体"/>
          <w:color w:val="auto"/>
          <w:sz w:val="24"/>
          <w:highlight w:val="none"/>
        </w:rPr>
        <w:t xml:space="preserve">评标委员会按照本办法规定推荐中标候选人，并形成评标报告。</w:t>
      </w:r>
      <w:r/>
    </w:p>
    <w:p>
      <w:pPr>
        <w:ind w:firstLine="241"/>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（四）政府采购政策功能落实</w:t>
      </w:r>
      <w:r/>
    </w:p>
    <w:p>
      <w:pPr>
        <w:spacing w:line="500" w:lineRule="exact"/>
        <w:rPr>
          <w:rFonts w:hint="eastAsia" w:ascii="宋体" w:hAnsi="宋体" w:eastAsia="宋体" w:cs="宋体"/>
          <w:b/>
          <w:color w:val="auto"/>
          <w:sz w:val="24"/>
          <w:highlight w:val="none"/>
          <w:lang w:eastAsia="zh-CN"/>
        </w:rPr>
      </w:pPr>
      <w:r>
        <w:rPr>
          <w:rFonts w:hint="eastAsia" w:ascii="宋体" w:hAnsi="宋体" w:cs="宋体"/>
          <w:b/>
          <w:bCs/>
          <w:color w:val="auto"/>
          <w:sz w:val="24"/>
          <w:highlight w:val="none"/>
        </w:rPr>
        <w:t xml:space="preserve">本项目落实的政府采购政策</w:t>
      </w:r>
      <w:r>
        <w:rPr>
          <w:rFonts w:hint="eastAsia" w:ascii="宋体" w:hAnsi="宋体" w:cs="宋体"/>
          <w:b/>
          <w:bCs/>
          <w:color w:val="auto"/>
          <w:sz w:val="24"/>
          <w:highlight w:val="none"/>
          <w:lang w:eastAsia="zh-CN"/>
        </w:rPr>
        <w:t xml:space="preserve">：</w:t>
      </w:r>
      <w:r/>
    </w:p>
    <w:p>
      <w:pPr>
        <w:numPr>
          <w:ilvl w:val="0"/>
          <w:numId w:val="5"/>
        </w:num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采购本国货物、工程和服务</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2、中小企业政策</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本项目按以下第</w:t>
      </w:r>
      <w:r>
        <w:rPr>
          <w:rFonts w:hint="eastAsia" w:ascii="宋体" w:hAnsi="宋体" w:cs="宋体"/>
          <w:b/>
          <w:bCs/>
          <w:color w:val="auto"/>
          <w:sz w:val="24"/>
          <w:highlight w:val="none"/>
          <w:u w:val="single"/>
        </w:rPr>
        <w:t xml:space="preserve">2</w:t>
      </w:r>
      <w:r>
        <w:rPr>
          <w:rFonts w:hint="eastAsia" w:ascii="宋体" w:hAnsi="宋体" w:cs="宋体"/>
          <w:color w:val="auto"/>
          <w:sz w:val="24"/>
          <w:highlight w:val="none"/>
        </w:rPr>
        <w:t xml:space="preserve">种政策确定本项目落实的中小企业政策：</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（1）本项目专门面向中小企业（含监狱企业、残疾人福利企业）采购。</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（2）投标人提供的服务符合下列情形的，对小微企业报价给予</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的扣除，用扣除后的价格参加评审。</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在服务采购项目中，服务由中小企业承接，即提供服务的人员为中小企业依照《中华人民共和国民法典》订立劳动合同的从业人员。</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3、政府采购节能产品、环境标志产品</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（3）采购人拟采购的产品属于优先采购的节能环保品目清单范围的，按以下条件优先采购：</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4、商品包装、快递包装政府采购需求标准（试行）</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5、绿色数据中心政府采购需求标准（试行）</w:t>
      </w:r>
      <w:r/>
    </w:p>
    <w:p>
      <w:pPr>
        <w:ind w:firstLine="482"/>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ascii="宋体" w:hAnsi="宋体" w:cs="宋体"/>
          <w:color w:val="auto"/>
          <w:highlight w:val="none"/>
        </w:rPr>
      </w:pPr>
      <w:r>
        <w:rPr>
          <w:rFonts w:hint="eastAsia" w:ascii="宋体" w:hAnsi="宋体" w:cs="宋体"/>
          <w:color w:val="auto"/>
          <w:highlight w:val="none"/>
        </w:rPr>
      </w:r>
      <w:r/>
    </w:p>
    <w:p>
      <w:pPr>
        <w:pStyle w:val="1018"/>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bookmarkStart w:id="678" w:name="_Toc23017"/>
      <w:r>
        <w:rPr>
          <w:rFonts w:hint="eastAsia" w:ascii="宋体" w:hAnsi="宋体" w:eastAsia="宋体" w:cs="宋体"/>
          <w:b/>
          <w:bCs/>
          <w:color w:val="auto"/>
          <w:sz w:val="44"/>
          <w:highlight w:val="none"/>
        </w:rPr>
        <w:t xml:space="preserve">第六章  投标</w:t>
      </w:r>
      <w:bookmarkEnd w:id="256"/>
      <w:r/>
      <w:bookmarkEnd w:id="257"/>
      <w:r/>
      <w:bookmarkEnd w:id="675"/>
      <w:r>
        <w:rPr>
          <w:rFonts w:hint="eastAsia" w:ascii="宋体" w:hAnsi="宋体" w:eastAsia="宋体" w:cs="宋体"/>
          <w:b/>
          <w:bCs/>
          <w:color w:val="auto"/>
          <w:sz w:val="44"/>
          <w:highlight w:val="none"/>
        </w:rPr>
        <w:t xml:space="preserve">文件格式</w:t>
      </w:r>
      <w:bookmarkEnd w:id="678"/>
      <w:r>
        <w:rPr>
          <w:rFonts w:hint="eastAsia" w:ascii="宋体" w:hAnsi="宋体" w:eastAsia="宋体" w:cs="宋体"/>
          <w:b/>
          <w:bCs/>
          <w:color w:val="auto"/>
          <w:sz w:val="44"/>
          <w:highlight w:val="none"/>
        </w:rPr>
        <w:t xml:space="preserve"> </w:t>
      </w:r>
      <w:r/>
    </w:p>
    <w:p>
      <w:pPr>
        <w:jc w:val="center"/>
        <w:rPr>
          <w:rFonts w:hint="eastAsia" w:ascii="宋体" w:hAnsi="宋体" w:cs="宋体"/>
          <w:b/>
          <w:color w:val="auto"/>
          <w:sz w:val="72"/>
          <w:highlight w:val="none"/>
        </w:rPr>
      </w:pPr>
      <w:r/>
      <w:bookmarkStart w:id="679" w:name="_Hlt26671244"/>
      <w:r/>
      <w:bookmarkEnd w:id="679"/>
      <w:r/>
      <w:bookmarkStart w:id="680" w:name="_Hlt26955039"/>
      <w:r/>
      <w:bookmarkEnd w:id="680"/>
      <w:r/>
      <w:bookmarkStart w:id="681" w:name="_Toc26554094"/>
      <w:r/>
      <w:bookmarkStart w:id="682" w:name="_Toc120614282"/>
      <w:r/>
      <w:bookmarkStart w:id="683" w:name="_Toc49090576"/>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1084"/>
        <w:rPr>
          <w:rFonts w:hint="eastAsia" w:ascii="宋体" w:hAnsi="宋体" w:cs="宋体"/>
          <w:b/>
          <w:bCs/>
          <w:color w:val="auto"/>
          <w:sz w:val="32"/>
          <w:szCs w:val="32"/>
          <w:highlight w:val="none"/>
        </w:rPr>
      </w:pPr>
      <w:r>
        <w:rPr>
          <w:rFonts w:hint="eastAsia" w:ascii="宋体" w:hAnsi="宋体" w:cs="宋体"/>
          <w:b/>
          <w:color w:val="auto"/>
          <w:sz w:val="36"/>
          <w:highlight w:val="none"/>
          <w:u w:val="single"/>
        </w:rPr>
        <w:br w:type="page" w:clear="all"/>
      </w:r>
      <w:r/>
    </w:p>
    <w:p>
      <w:pPr>
        <w:jc w:val="center"/>
        <w:spacing w:line="440" w:lineRule="exact"/>
        <w:rPr>
          <w:rFonts w:hint="eastAsia" w:ascii="宋体" w:hAnsi="宋体" w:cs="宋体"/>
          <w:b/>
          <w:bCs/>
          <w:color w:val="auto"/>
          <w:sz w:val="32"/>
          <w:szCs w:val="32"/>
          <w:highlight w:val="none"/>
        </w:rPr>
        <w:outlineLvl w:val="1"/>
      </w:pPr>
      <w:r/>
      <w:bookmarkStart w:id="684" w:name="_Toc12272"/>
      <w:r>
        <w:rPr>
          <w:rFonts w:hint="eastAsia" w:ascii="宋体" w:hAnsi="宋体" w:cs="宋体"/>
          <w:b/>
          <w:bCs/>
          <w:color w:val="auto"/>
          <w:sz w:val="32"/>
          <w:szCs w:val="32"/>
          <w:highlight w:val="none"/>
        </w:rPr>
        <w:t xml:space="preserve">投标文件目录</w:t>
      </w:r>
      <w:bookmarkEnd w:id="684"/>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w:t>
      </w:r>
      <w:r>
        <w:rPr>
          <w:rFonts w:hint="eastAsia" w:ascii="宋体" w:hAnsi="宋体" w:cs="宋体"/>
          <w:color w:val="auto"/>
          <w:sz w:val="24"/>
          <w:szCs w:val="24"/>
          <w:highlight w:val="none"/>
        </w:rPr>
        <w:t xml:space="preserve">（如果设置特定资格要求，则需要提供）</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七、中小企业声明函</w:t>
      </w:r>
      <w:r/>
    </w:p>
    <w:p>
      <w:pPr>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八、</w:t>
      </w:r>
      <w:r>
        <w:rPr>
          <w:rFonts w:hint="eastAsia" w:ascii="宋体" w:hAnsi="宋体" w:cs="宋体"/>
          <w:color w:val="auto"/>
          <w:sz w:val="28"/>
          <w:szCs w:val="28"/>
          <w:highlight w:val="none"/>
          <w:lang w:eastAsia="zh-CN"/>
        </w:rPr>
        <w:t xml:space="preserve">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九、项目组成员</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十、企业业绩</w:t>
      </w:r>
      <w:r/>
    </w:p>
    <w:p>
      <w:pPr>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十一、</w:t>
      </w:r>
      <w:r>
        <w:rPr>
          <w:rFonts w:hint="eastAsia" w:ascii="宋体" w:hAnsi="宋体" w:cs="宋体"/>
          <w:color w:val="auto"/>
          <w:sz w:val="28"/>
          <w:szCs w:val="28"/>
          <w:highlight w:val="none"/>
          <w:lang w:eastAsia="zh-CN"/>
        </w:rPr>
        <w:t xml:space="preserve">承诺函</w:t>
      </w:r>
      <w:r/>
    </w:p>
    <w:p>
      <w:pPr>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十二、</w:t>
      </w:r>
      <w:r>
        <w:rPr>
          <w:rFonts w:hint="eastAsia" w:ascii="宋体" w:hAnsi="宋体" w:cs="宋体"/>
          <w:color w:val="auto"/>
          <w:sz w:val="28"/>
          <w:szCs w:val="28"/>
          <w:highlight w:val="none"/>
        </w:rPr>
        <w:t xml:space="preserve">投标所需其他材料</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w:t>
      </w:r>
      <w:r>
        <w:rPr>
          <w:rFonts w:hint="eastAsia" w:ascii="宋体" w:hAnsi="宋体" w:cs="宋体"/>
          <w:color w:val="auto"/>
          <w:sz w:val="28"/>
          <w:szCs w:val="28"/>
          <w:highlight w:val="none"/>
          <w:lang w:eastAsia="zh-CN"/>
        </w:rPr>
        <w:t xml:space="preserve">三</w:t>
      </w:r>
      <w:r>
        <w:rPr>
          <w:rFonts w:hint="eastAsia" w:ascii="宋体" w:hAnsi="宋体" w:cs="宋体"/>
          <w:color w:val="auto"/>
          <w:sz w:val="28"/>
          <w:szCs w:val="28"/>
          <w:highlight w:val="none"/>
        </w:rPr>
        <w:t xml:space="preserve">、质疑函范本</w:t>
      </w:r>
      <w:r/>
    </w:p>
    <w:p>
      <w:pPr>
        <w:pStyle w:val="1068"/>
        <w:rPr>
          <w:rFonts w:hint="eastAsia" w:cs="宋体"/>
          <w:caps w:val="0"/>
          <w:color w:val="auto"/>
          <w:highlight w:val="none"/>
        </w:rPr>
      </w:pPr>
      <w:r>
        <w:rPr>
          <w:rFonts w:hint="eastAsia" w:cs="宋体"/>
          <w:caps w:val="0"/>
          <w:color w:val="auto"/>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45"/>
        <w:rPr>
          <w:rFonts w:hint="eastAsia" w:ascii="宋体" w:hAnsi="宋体" w:eastAsia="宋体" w:cs="宋体"/>
          <w:color w:val="auto"/>
          <w:highlight w:val="none"/>
        </w:rPr>
      </w:pPr>
      <w:r/>
      <w:bookmarkStart w:id="685" w:name="_Toc23838"/>
      <w:r/>
      <w:r/>
    </w:p>
    <w:p>
      <w:pPr>
        <w:pStyle w:val="11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5"/>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End w:id="685"/>
      <w:r/>
      <w:bookmarkStart w:id="686" w:name="_Toc6138"/>
      <w:r>
        <w:rPr>
          <w:rFonts w:hint="eastAsia" w:ascii="宋体" w:hAnsi="宋体" w:eastAsia="宋体" w:cs="宋体"/>
          <w:b/>
          <w:color w:val="auto"/>
          <w:sz w:val="32"/>
          <w:szCs w:val="32"/>
          <w:highlight w:val="none"/>
        </w:rPr>
        <w:t xml:space="preserve">一、</w:t>
      </w:r>
      <w:bookmarkEnd w:id="681"/>
      <w:r/>
      <w:bookmarkEnd w:id="682"/>
      <w:r/>
      <w:bookmarkEnd w:id="683"/>
      <w:r/>
      <w:bookmarkStart w:id="687" w:name="_Toc120614284"/>
      <w:r>
        <w:rPr>
          <w:rFonts w:hint="eastAsia" w:ascii="宋体" w:hAnsi="宋体" w:eastAsia="宋体" w:cs="宋体"/>
          <w:b/>
          <w:color w:val="auto"/>
          <w:sz w:val="32"/>
          <w:szCs w:val="32"/>
          <w:highlight w:val="none"/>
        </w:rPr>
        <w:t xml:space="preserve">投标声明及承诺函</w:t>
      </w:r>
      <w:bookmarkEnd w:id="686"/>
      <w:r/>
      <w:r/>
    </w:p>
    <w:p>
      <w:pPr>
        <w:pStyle w:val="1143"/>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43"/>
        <w:jc w:val="center"/>
        <w:spacing w:line="500" w:lineRule="exact"/>
        <w:rPr>
          <w:rFonts w:hint="eastAsia" w:ascii="宋体" w:hAnsi="宋体" w:cs="宋体"/>
          <w:color w:val="auto"/>
          <w:sz w:val="24"/>
          <w:szCs w:val="24"/>
          <w:highlight w:val="none"/>
          <w:u w:val="single"/>
        </w:rPr>
      </w:pPr>
      <w:r>
        <w:rPr>
          <w:rFonts w:hint="eastAsia" w:ascii="宋体" w:hAnsi="宋体" w:cs="宋体"/>
          <w:b/>
          <w:color w:val="auto"/>
          <w:sz w:val="32"/>
          <w:szCs w:val="32"/>
          <w:highlight w:val="none"/>
        </w:rPr>
        <w:t xml:space="preserve">投标声明及承诺函</w:t>
      </w:r>
      <w:r/>
    </w:p>
    <w:p>
      <w:pPr>
        <w:pStyle w:val="1143"/>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项目的招标文件，我方在参加本项目招投标活动中，特做出如下承诺：</w:t>
      </w:r>
      <w:r/>
    </w:p>
    <w:p>
      <w:pPr>
        <w:pStyle w:val="1143"/>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3"/>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3"/>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1143"/>
        <w:ind w:firstLine="480"/>
        <w:rPr>
          <w:rFonts w:hint="eastAsia" w:ascii="宋体" w:hAnsi="宋体" w:cs="宋体"/>
          <w:color w:val="auto"/>
          <w:highlight w:val="none"/>
        </w:rPr>
      </w:pPr>
      <w:r>
        <w:rPr>
          <w:rFonts w:hint="eastAsia" w:ascii="宋体" w:hAnsi="宋体" w:cs="宋体"/>
          <w:color w:val="auto"/>
          <w:sz w:val="24"/>
          <w:szCs w:val="24"/>
          <w:highlight w:val="none"/>
        </w:rPr>
        <w:t xml:space="preserve">日期：    年    月   日</w:t>
      </w:r>
      <w:r/>
    </w:p>
    <w:p>
      <w:pPr>
        <w:pStyle w:val="1145"/>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688" w:name="_Toc1199"/>
      <w:r>
        <w:rPr>
          <w:rFonts w:hint="eastAsia" w:ascii="宋体" w:hAnsi="宋体" w:eastAsia="宋体" w:cs="宋体"/>
          <w:b/>
          <w:color w:val="auto"/>
          <w:sz w:val="32"/>
          <w:szCs w:val="32"/>
          <w:highlight w:val="none"/>
        </w:rPr>
        <w:t xml:space="preserve">二、投标人基本情况</w:t>
      </w:r>
      <w:bookmarkEnd w:id="688"/>
      <w:r/>
      <w:r/>
    </w:p>
    <w:p>
      <w:pPr>
        <w:pStyle w:val="1146"/>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投标人基本情况表</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val="false"/>
          </w:tcPr>
          <w:p>
            <w:pPr>
              <w:pStyle w:val="1146"/>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val="false"/>
          </w:tcPr>
          <w:p>
            <w:pPr>
              <w:pStyle w:val="1146"/>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val="false"/>
          </w:tcPr>
          <w:p>
            <w:pPr>
              <w:pStyle w:val="1146"/>
              <w:ind w:firstLine="1432"/>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val="false"/>
          </w:tcPr>
          <w:p>
            <w:pPr>
              <w:pStyle w:val="1146"/>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val="false"/>
          </w:tcPr>
          <w:p>
            <w:pPr>
              <w:pStyle w:val="1146"/>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无需提供营业执照等证明材料</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43"/>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i/>
          <w:color w:val="auto"/>
          <w:sz w:val="32"/>
          <w:szCs w:val="32"/>
          <w:highlight w:val="none"/>
          <w:u w:val="single"/>
        </w:rPr>
        <w:outlineLvl w:val="1"/>
      </w:pPr>
      <w:r>
        <w:rPr>
          <w:rFonts w:hint="eastAsia" w:ascii="宋体" w:hAnsi="宋体" w:cs="宋体"/>
          <w:color w:val="auto"/>
          <w:highlight w:val="none"/>
        </w:rPr>
        <w:br w:type="page" w:clear="all"/>
      </w:r>
      <w:bookmarkStart w:id="689" w:name="_Toc26247"/>
      <w:r>
        <w:rPr>
          <w:rFonts w:hint="eastAsia" w:ascii="宋体" w:hAnsi="宋体" w:cs="宋体"/>
          <w:b/>
          <w:color w:val="auto"/>
          <w:sz w:val="32"/>
          <w:szCs w:val="32"/>
          <w:highlight w:val="none"/>
        </w:rPr>
        <w:t xml:space="preserve">三、特定资格要求的证明文件</w:t>
      </w:r>
      <w:bookmarkEnd w:id="689"/>
      <w:r/>
      <w:r/>
    </w:p>
    <w:p>
      <w:pPr>
        <w:spacing w:line="46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1103"/>
        <w:rPr>
          <w:rFonts w:hint="eastAsia" w:ascii="宋体" w:hAnsi="宋体" w:eastAsia="宋体" w:cs="宋体"/>
          <w:i/>
          <w:color w:val="auto"/>
          <w:highlight w:val="none"/>
          <w:u w:val="single"/>
          <w:lang w:val="en-US"/>
        </w:rPr>
      </w:pPr>
      <w:r>
        <w:rPr>
          <w:rFonts w:hint="eastAsia" w:ascii="宋体" w:hAnsi="宋体" w:eastAsia="宋体" w:cs="宋体"/>
          <w:i/>
          <w:color w:val="auto"/>
          <w:highlight w:val="none"/>
          <w:u w:val="single"/>
          <w:lang w:val="en-US"/>
        </w:rPr>
      </w:r>
      <w:r/>
    </w:p>
    <w:p>
      <w:pPr>
        <w:pStyle w:val="1103"/>
        <w:rPr>
          <w:rFonts w:hint="eastAsia" w:ascii="宋体" w:hAnsi="宋体" w:eastAsia="宋体" w:cs="宋体"/>
          <w:i/>
          <w:color w:val="auto"/>
          <w:highlight w:val="none"/>
          <w:u w:val="single"/>
          <w:lang w:val="en-US"/>
        </w:rPr>
      </w:pPr>
      <w:r>
        <w:rPr>
          <w:rFonts w:hint="eastAsia" w:ascii="宋体" w:hAnsi="宋体" w:eastAsia="宋体" w:cs="宋体"/>
          <w:i/>
          <w:color w:val="auto"/>
          <w:highlight w:val="none"/>
          <w:u w:val="single"/>
          <w:lang w:val="en-US"/>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rPr>
          <w:rFonts w:hint="eastAsia" w:ascii="宋体" w:hAnsi="宋体" w:cs="宋体"/>
          <w:b/>
          <w:color w:val="auto"/>
          <w:sz w:val="32"/>
          <w:szCs w:val="32"/>
          <w:highlight w:val="none"/>
        </w:rPr>
        <w:outlineLvl w:val="1"/>
      </w:pPr>
      <w:r/>
      <w:bookmarkStart w:id="690" w:name="_Toc17863"/>
      <w:r>
        <w:rPr>
          <w:rFonts w:hint="eastAsia" w:ascii="宋体" w:hAnsi="宋体" w:cs="宋体"/>
          <w:b/>
          <w:color w:val="auto"/>
          <w:sz w:val="32"/>
          <w:szCs w:val="32"/>
          <w:highlight w:val="none"/>
        </w:rPr>
        <w:t xml:space="preserve">四、法人授权书</w:t>
      </w:r>
      <w:bookmarkEnd w:id="690"/>
      <w:r/>
      <w:r/>
    </w:p>
    <w:p>
      <w:pPr>
        <w:pStyle w:val="1114"/>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14"/>
        <w:ind w:firstLine="0"/>
        <w:jc w:val="center"/>
        <w:rPr>
          <w:rFonts w:hint="eastAsia" w:ascii="宋体" w:hAnsi="宋体" w:cs="宋体"/>
          <w:color w:val="auto"/>
          <w:sz w:val="24"/>
          <w:szCs w:val="24"/>
          <w:highlight w:val="none"/>
        </w:rPr>
      </w:pPr>
      <w:r>
        <w:rPr>
          <w:rFonts w:hint="eastAsia" w:ascii="宋体" w:hAnsi="宋体" w:cs="宋体"/>
          <w:b/>
          <w:color w:val="auto"/>
          <w:sz w:val="32"/>
          <w:szCs w:val="32"/>
          <w:highlight w:val="none"/>
        </w:rPr>
        <w:t xml:space="preserve">法人授权书</w:t>
      </w:r>
      <w:r/>
    </w:p>
    <w:p>
      <w:pPr>
        <w:pStyle w:val="1114"/>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4"/>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lang w:eastAsia="zh-CN"/>
        </w:rPr>
        <w:t xml:space="preserve">JSZC-321311-JSKJ-G2024-0072</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宿豫区绿化管养项目（2024年至2026年）</w:t>
      </w:r>
      <w:r>
        <w:rPr>
          <w:rFonts w:hint="eastAsia" w:ascii="宋体" w:hAnsi="宋体" w:cs="宋体"/>
          <w:color w:val="auto"/>
          <w:sz w:val="24"/>
          <w:szCs w:val="24"/>
          <w:highlight w:val="none"/>
        </w:rPr>
        <w:t xml:space="preserve">采购活动的合法代理人，以本单位名义全权处理一切与该项目采购有关的事务。</w:t>
      </w:r>
      <w:r/>
    </w:p>
    <w:p>
      <w:pPr>
        <w:pStyle w:val="1114"/>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1114"/>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p>
    <w:p>
      <w:pPr>
        <w:pStyle w:val="1114"/>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pStyle w:val="1114"/>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pStyle w:val="1114"/>
        <w:ind w:firstLine="48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pStyle w:val="1114"/>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691" w:name="_Hlt26955070"/>
      <w:r/>
      <w:bookmarkEnd w:id="691"/>
      <w:r/>
      <w:bookmarkStart w:id="692" w:name="_Hlt26671380"/>
      <w:r/>
      <w:bookmarkEnd w:id="692"/>
      <w:r/>
      <w:bookmarkStart w:id="693" w:name="_格式3__银行出具的资信证明"/>
      <w:r/>
      <w:bookmarkEnd w:id="693"/>
      <w:r>
        <w:rPr>
          <w:rFonts w:hint="eastAsia" w:ascii="宋体" w:hAnsi="宋体" w:cs="宋体"/>
          <w:color w:val="auto"/>
          <w:sz w:val="24"/>
          <w:szCs w:val="24"/>
          <w:highlight w:val="none"/>
          <w:u w:val="single"/>
        </w:rPr>
        <w:t xml:space="preserve">                                         </w:t>
      </w:r>
      <w:r/>
    </w:p>
    <w:p>
      <w:pPr>
        <w:pStyle w:val="1021"/>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pStyle w:val="1021"/>
        <w:ind w:firstLine="0"/>
        <w:rPr>
          <w:rFonts w:hint="eastAsia" w:ascii="宋体" w:hAnsi="宋体" w:cs="宋体"/>
          <w:color w:val="auto"/>
          <w:highlight w:val="none"/>
        </w:rPr>
      </w:pPr>
      <w:r>
        <w:rPr>
          <w:rFonts w:hint="eastAsia" w:ascii="宋体" w:hAnsi="宋体" w:cs="宋体"/>
          <w:color w:val="auto"/>
          <w:highlight w:val="none"/>
        </w:rPr>
      </w:r>
      <w:r/>
    </w:p>
    <w:p>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rPr>
          <w:rFonts w:hint="eastAsia" w:ascii="宋体" w:hAnsi="宋体" w:cs="宋体"/>
          <w:color w:val="auto"/>
          <w:sz w:val="24"/>
          <w:szCs w:val="20"/>
          <w:highlight w:val="none"/>
        </w:rPr>
        <w:outlineLvl w:val="1"/>
      </w:pPr>
      <w:r>
        <w:rPr>
          <w:rFonts w:hint="eastAsia" w:ascii="宋体" w:hAnsi="宋体" w:cs="宋体"/>
          <w:bCs/>
          <w:color w:val="auto"/>
          <w:sz w:val="24"/>
          <w:highlight w:val="none"/>
        </w:rPr>
        <w:br w:type="page" w:clear="all"/>
      </w:r>
      <w:bookmarkStart w:id="694" w:name="_Toc25500"/>
      <w:r>
        <w:rPr>
          <w:rFonts w:hint="eastAsia" w:ascii="宋体" w:hAnsi="宋体" w:cs="宋体"/>
          <w:b/>
          <w:color w:val="auto"/>
          <w:sz w:val="32"/>
          <w:szCs w:val="32"/>
          <w:highlight w:val="none"/>
        </w:rPr>
        <w:t xml:space="preserve">五、开标一览表</w:t>
      </w:r>
      <w:bookmarkEnd w:id="694"/>
      <w:r/>
      <w:r/>
    </w:p>
    <w:p>
      <w:pPr>
        <w:jc w:val="center"/>
        <w:rPr>
          <w:rFonts w:hint="eastAsia" w:ascii="宋体" w:hAnsi="宋体" w:cs="宋体"/>
          <w:color w:val="auto"/>
          <w:sz w:val="24"/>
          <w:szCs w:val="24"/>
          <w:highlight w:val="none"/>
        </w:rPr>
      </w:pPr>
      <w:r>
        <w:rPr>
          <w:rFonts w:hint="eastAsia" w:ascii="宋体" w:hAnsi="宋体" w:cs="宋体"/>
          <w:b/>
          <w:color w:val="auto"/>
          <w:sz w:val="32"/>
          <w:szCs w:val="32"/>
          <w:highlight w:val="none"/>
        </w:rPr>
        <w:t xml:space="preserve">开标一览表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分包名称：宿豫区绿化管养项目（2024年至2026年）</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JSZC-321311-JSKJ-G2024-0072</w:t>
      </w:r>
      <w:r>
        <w:rPr>
          <w:rFonts w:hint="eastAsia" w:ascii="宋体" w:hAnsi="宋体" w:cs="宋体"/>
          <w:color w:val="auto"/>
          <w:sz w:val="24"/>
          <w:szCs w:val="24"/>
          <w:highlight w:val="none"/>
        </w:rPr>
        <w:t xml:space="preserve">                  </w:t>
      </w:r>
      <w:r/>
    </w:p>
    <w:tbl>
      <w:tblPr>
        <w:tblStyle w:val="8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投标总报价</w:t>
            </w:r>
            <w:r/>
          </w:p>
        </w:tc>
      </w:tr>
      <w:tr>
        <w:trPr>
          <w:cantSplit/>
          <w:trHeight w:val="612"/>
        </w:trPr>
        <w:tc>
          <w:tcPr>
            <w:tcW w:w="8206" w:type="dxa"/>
            <w:vAlign w:val="center"/>
            <w:textDirection w:val="lrTb"/>
            <w:noWrap w:val="false"/>
          </w:tcPr>
          <w:p>
            <w:pPr>
              <w:pStyle w:val="1116"/>
              <w:ind w:firstLine="0"/>
              <w:spacing w:before="0" w:after="0" w:line="500" w:lineRule="exact"/>
              <w:rPr>
                <w:rFonts w:hint="eastAsia" w:ascii="宋体" w:hAnsi="宋体" w:cs="宋体"/>
                <w:color w:val="auto"/>
                <w:szCs w:val="21"/>
                <w:highlight w:val="none"/>
              </w:rPr>
            </w:pPr>
            <w:r>
              <w:rPr>
                <w:rFonts w:hint="eastAsia" w:ascii="宋体" w:hAnsi="宋体" w:cs="宋体"/>
                <w:color w:val="auto"/>
                <w:highlight w:val="none"/>
              </w:rPr>
              <w:t xml:space="preserve">小写：                             （人民币：元）</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rPr>
          <w:rFonts w:hint="eastAsia" w:ascii="宋体" w:hAnsi="宋体" w:cs="宋体"/>
          <w:b/>
          <w:color w:val="auto"/>
          <w:sz w:val="32"/>
          <w:szCs w:val="32"/>
          <w:highlight w:val="none"/>
        </w:rPr>
        <w:outlineLvl w:val="1"/>
      </w:pPr>
      <w:r>
        <w:rPr>
          <w:rFonts w:hint="eastAsia" w:ascii="宋体" w:hAnsi="宋体" w:cs="宋体"/>
          <w:color w:val="auto"/>
          <w:highlight w:val="none"/>
        </w:rPr>
        <w:br w:type="page" w:clear="all"/>
      </w:r>
      <w:bookmarkStart w:id="695" w:name="_Toc14741"/>
      <w:r>
        <w:rPr>
          <w:rFonts w:hint="eastAsia" w:ascii="宋体" w:hAnsi="宋体" w:cs="宋体"/>
          <w:b/>
          <w:color w:val="auto"/>
          <w:sz w:val="32"/>
          <w:szCs w:val="32"/>
          <w:highlight w:val="none"/>
        </w:rPr>
        <w:t xml:space="preserve">六、投标报价明细表</w:t>
      </w:r>
      <w:bookmarkEnd w:id="695"/>
      <w:r/>
      <w:r/>
    </w:p>
    <w:p>
      <w:pPr>
        <w:jc w:val="left"/>
        <w:rPr>
          <w:rFonts w:hint="eastAsia" w:ascii="宋体" w:hAnsi="宋体" w:cs="宋体"/>
          <w:b/>
          <w:color w:val="auto"/>
          <w:sz w:val="32"/>
          <w:szCs w:val="32"/>
          <w:highlight w:val="none"/>
        </w:rPr>
        <w:outlineLvl w:val="1"/>
      </w:pPr>
      <w:r/>
      <w:bookmarkStart w:id="696" w:name="_Toc17075"/>
      <w:r>
        <w:rPr>
          <w:rFonts w:hint="eastAsia" w:ascii="宋体" w:hAnsi="宋体" w:cs="宋体"/>
          <w:b/>
          <w:color w:val="auto"/>
          <w:sz w:val="32"/>
          <w:szCs w:val="32"/>
          <w:highlight w:val="none"/>
        </w:rPr>
        <w:t xml:space="preserve">6.1报价一览表</w:t>
      </w:r>
      <w:bookmarkEnd w:id="696"/>
      <w:r/>
      <w:r/>
    </w:p>
    <w:tbl>
      <w:tblPr>
        <w:tblStyle w:val="846"/>
        <w:tblW w:w="8856" w:type="dxa"/>
        <w:tblInd w:w="-253" w:type="dxa"/>
        <w:tblLayout w:type="fixed"/>
        <w:tblCellMar>
          <w:left w:w="15" w:type="dxa"/>
          <w:top w:w="15" w:type="dxa"/>
          <w:right w:w="15" w:type="dxa"/>
          <w:bottom w:w="0" w:type="dxa"/>
        </w:tblCellMar>
        <w:tblLook w:val="04A0" w:firstRow="1" w:lastRow="0" w:firstColumn="1" w:lastColumn="0" w:noHBand="0" w:noVBand="1"/>
      </w:tblPr>
      <w:tblGrid>
        <w:gridCol w:w="1011"/>
        <w:gridCol w:w="2729"/>
        <w:gridCol w:w="721"/>
        <w:gridCol w:w="1261"/>
        <w:gridCol w:w="3134"/>
      </w:tblGrid>
      <w:tr>
        <w:trPr>
          <w:trHeight w:val="4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费用名称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jc w:val="center"/>
              <w:spacing w:line="400" w:lineRule="exact"/>
              <w:widowControl/>
              <w:rPr>
                <w:rFonts w:hint="eastAsia" w:ascii="宋体" w:hAnsi="宋体" w:cs="宋体"/>
                <w:b/>
                <w:color w:val="auto"/>
                <w:sz w:val="24"/>
                <w:highlight w:val="none"/>
              </w:rPr>
            </w:pPr>
            <w:r>
              <w:rPr>
                <w:rFonts w:hint="eastAsia" w:ascii="宋体" w:hAnsi="宋体" w:cs="宋体"/>
                <w:bCs/>
                <w:color w:val="auto"/>
                <w:sz w:val="24"/>
                <w:highlight w:val="none"/>
              </w:rPr>
              <w:t xml:space="preserve">投标报价（元）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4" w:type="dxa"/>
            <w:vAlign w:val="center"/>
            <w:textDirection w:val="lrTb"/>
            <w:noWrap/>
          </w:tcPr>
          <w:p>
            <w:pPr>
              <w:pStyle w:val="1182"/>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442"/>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6" w:type="dxa"/>
            <w:vAlign w:val="center"/>
            <w:textDirection w:val="lrTb"/>
            <w:noWrap/>
          </w:tcPr>
          <w:p>
            <w:pPr>
              <w:pStyle w:val="1182"/>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管养费用</w:t>
            </w:r>
            <w:r/>
          </w:p>
        </w:tc>
      </w:tr>
      <w:tr>
        <w:trPr>
          <w:trHeight w:val="77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管养费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restart"/>
            <w:textDirection w:val="lrTb"/>
            <w:noWrap w:val="false"/>
          </w:tcPr>
          <w:p>
            <w:pPr>
              <w:pStyle w:val="1182"/>
              <w:ind w:firstLine="480"/>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1.除管养费外，还包括科研费、设计费等；</w:t>
            </w:r>
            <w:r/>
          </w:p>
          <w:p>
            <w:pPr>
              <w:pStyle w:val="1182"/>
              <w:ind w:firstLine="480"/>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2.本项最高限价为</w:t>
            </w:r>
            <w:r>
              <w:rPr>
                <w:rFonts w:hint="eastAsia" w:ascii="宋体" w:hAnsi="宋体" w:cs="宋体"/>
                <w:color w:val="auto"/>
                <w:sz w:val="24"/>
                <w:highlight w:val="none"/>
                <w:lang w:val="en-US" w:eastAsia="zh-CN"/>
              </w:rPr>
              <w:t xml:space="preserve">4210.47</w:t>
            </w:r>
            <w:r>
              <w:rPr>
                <w:rFonts w:hint="eastAsia" w:ascii="宋体" w:hAnsi="宋体" w:cs="宋体"/>
                <w:color w:val="auto"/>
                <w:sz w:val="24"/>
                <w:highlight w:val="none"/>
              </w:rPr>
              <w:t xml:space="preserve">万元，超过此限价为无效标。</w:t>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科研费、设计费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134" w:type="dxa"/>
            <w:vAlign w:val="center"/>
            <w:vMerge w:val="continue"/>
            <w:textDirection w:val="lrTb"/>
            <w:noWrap w:val="false"/>
          </w:tcPr>
          <w:p>
            <w:pPr>
              <w:pStyle w:val="1182"/>
              <w:ind w:firstLine="480"/>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82"/>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6" w:type="dxa"/>
            <w:vAlign w:val="center"/>
            <w:textDirection w:val="lrTb"/>
            <w:noWrap/>
          </w:tcPr>
          <w:p>
            <w:pPr>
              <w:pStyle w:val="1182"/>
              <w:ind w:firstLine="480"/>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其他费用</w:t>
            </w:r>
            <w:r/>
          </w:p>
        </w:tc>
      </w:tr>
      <w:tr>
        <w:trPr>
          <w:trHeight w:val="15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restart"/>
            <w:textDirection w:val="lrTb"/>
            <w:noWrap/>
          </w:tcPr>
          <w:p>
            <w:pPr>
              <w:pStyle w:val="1182"/>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花境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时令草花栽植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restart"/>
            <w:textDirection w:val="lrTb"/>
            <w:noWrap/>
          </w:tcPr>
          <w:p>
            <w:pPr>
              <w:pStyle w:val="1182"/>
              <w:ind w:firstLine="480"/>
              <w:spacing w:line="300" w:lineRule="exact"/>
              <w:rPr>
                <w:rFonts w:hint="eastAsia" w:ascii="宋体" w:hAnsi="宋体" w:cs="宋体"/>
                <w:color w:val="auto"/>
                <w:sz w:val="24"/>
                <w:highlight w:val="none"/>
              </w:rPr>
            </w:pPr>
            <w:r>
              <w:rPr>
                <w:rFonts w:hint="eastAsia" w:ascii="宋体" w:hAnsi="宋体" w:cs="宋体"/>
                <w:color w:val="auto"/>
                <w:sz w:val="24"/>
                <w:highlight w:val="none"/>
              </w:rPr>
              <w:t xml:space="preserve">最高限价为</w:t>
            </w:r>
            <w:r>
              <w:rPr>
                <w:rFonts w:hint="eastAsia" w:ascii="宋体" w:hAnsi="宋体" w:cs="宋体"/>
                <w:color w:val="auto"/>
                <w:sz w:val="24"/>
                <w:highlight w:val="none"/>
                <w:lang w:val="en-US" w:eastAsia="zh-CN"/>
              </w:rPr>
              <w:t xml:space="preserve">1645.61</w:t>
            </w:r>
            <w:r>
              <w:rPr>
                <w:rFonts w:hint="eastAsia" w:ascii="宋体" w:hAnsi="宋体" w:cs="宋体"/>
                <w:color w:val="auto"/>
                <w:sz w:val="24"/>
                <w:highlight w:val="none"/>
              </w:rPr>
              <w:t xml:space="preserve">万元，超过此限价为无效标。</w:t>
            </w:r>
            <w:r/>
          </w:p>
        </w:tc>
      </w:tr>
      <w:tr>
        <w:trPr>
          <w:trHeight w:val="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草花播种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开花植物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绣球花栽植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绿篱及耐荫植物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地被植物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立体绿化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vMerge w:val="continue"/>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行道树补植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草坪</w:t>
            </w:r>
            <w:r>
              <w:rPr>
                <w:rFonts w:hint="eastAsia" w:ascii="宋体" w:hAnsi="宋体" w:cs="宋体"/>
                <w:color w:val="auto"/>
                <w:sz w:val="24"/>
                <w:highlight w:val="none"/>
                <w:lang w:eastAsia="zh-CN"/>
              </w:rPr>
              <w:t xml:space="preserve">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树穴盖板等设施安装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街头绿地节日氛围营造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其他零星工程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2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9" w:type="dxa"/>
            <w:vAlign w:val="center"/>
            <w:textDirection w:val="lrTb"/>
            <w:noWrap/>
          </w:tcPr>
          <w:p>
            <w:pPr>
              <w:pStyle w:val="1182"/>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草坪复播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1" w:type="dxa"/>
            <w:vAlign w:val="center"/>
            <w:textDirection w:val="lrTb"/>
            <w:noWrap/>
          </w:tcPr>
          <w:p>
            <w:pPr>
              <w:pStyle w:val="1182"/>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1" w:type="dxa"/>
            <w:vAlign w:val="center"/>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3134" w:type="dxa"/>
            <w:vAlign w:val="center"/>
            <w:vMerge w:val="continue"/>
            <w:textDirection w:val="lrTb"/>
            <w:noWrap/>
          </w:tcPr>
          <w:p>
            <w:pPr>
              <w:pStyle w:val="1182"/>
              <w:ind w:firstLine="480"/>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pStyle w:val="1182"/>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投标总价</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5" w:type="dxa"/>
            <w:vAlign w:val="center"/>
            <w:textDirection w:val="lrTb"/>
            <w:noWrap/>
          </w:tcPr>
          <w:p>
            <w:pPr>
              <w:jc w:val="both"/>
              <w:spacing w:line="44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2"/>
                <w:highlight w:val="none"/>
                <w:lang w:val="en-US" w:eastAsia="zh-CN" w:bidi="ar-SA"/>
              </w:rPr>
              <w:t xml:space="preserve">人民币（小写）：</w:t>
            </w:r>
            <w:r>
              <w:rPr>
                <w:rFonts w:hint="eastAsia" w:ascii="仿宋" w:hAnsi="仿宋" w:eastAsia="仿宋" w:cs="仿宋"/>
                <w:b/>
                <w:bCs/>
                <w:color w:val="auto"/>
                <w:sz w:val="24"/>
                <w:szCs w:val="22"/>
                <w:highlight w:val="none"/>
                <w:u w:val="single"/>
                <w:lang w:val="en-US" w:eastAsia="zh-CN" w:bidi="ar-SA"/>
              </w:rPr>
              <w:t xml:space="preserve">                                       </w:t>
            </w:r>
            <w:r/>
          </w:p>
          <w:p>
            <w:pPr>
              <w:pStyle w:val="1182"/>
              <w:jc w:val="left"/>
              <w:spacing w:line="400" w:lineRule="exact"/>
              <w:tabs>
                <w:tab w:val="left" w:pos="4847" w:leader="none"/>
              </w:tabs>
              <w:rPr>
                <w:rFonts w:hint="eastAsia" w:ascii="宋体" w:hAnsi="宋体" w:cs="宋体"/>
                <w:color w:val="auto"/>
                <w:sz w:val="24"/>
                <w:highlight w:val="none"/>
              </w:rPr>
            </w:pPr>
            <w:r>
              <w:rPr>
                <w:rFonts w:hint="eastAsia" w:ascii="仿宋" w:hAnsi="仿宋" w:eastAsia="仿宋" w:cs="仿宋"/>
                <w:b/>
                <w:bCs/>
                <w:color w:val="auto"/>
                <w:sz w:val="24"/>
                <w:szCs w:val="22"/>
                <w:highlight w:val="none"/>
                <w:lang w:val="en-US" w:eastAsia="zh-CN" w:bidi="ar-SA"/>
              </w:rPr>
              <w:t xml:space="preserve">人民币（大写）：</w:t>
            </w:r>
            <w:r>
              <w:rPr>
                <w:rFonts w:hint="eastAsia" w:ascii="仿宋" w:hAnsi="仿宋" w:eastAsia="仿宋" w:cs="仿宋"/>
                <w:b/>
                <w:bCs/>
                <w:color w:val="auto"/>
                <w:sz w:val="24"/>
                <w:szCs w:val="22"/>
                <w:highlight w:val="none"/>
                <w:u w:val="single"/>
                <w:lang w:val="en-US" w:eastAsia="zh-CN" w:bidi="ar-SA"/>
              </w:rPr>
              <w:t xml:space="preserve">                                       </w:t>
            </w:r>
            <w:r>
              <w:rPr>
                <w:rFonts w:hint="eastAsia" w:ascii="宋体" w:hAnsi="宋体" w:cs="宋体"/>
                <w:color w:val="auto"/>
                <w:sz w:val="24"/>
                <w:highlight w:val="none"/>
                <w:u w:val="single"/>
              </w:rPr>
              <w:tab/>
            </w:r>
            <w:r/>
          </w:p>
        </w:tc>
      </w:tr>
    </w:tbl>
    <w:p>
      <w:pPr>
        <w:pStyle w:val="1182"/>
        <w:ind w:firstLine="420"/>
        <w:jc w:val="left"/>
        <w:keepLines w:val="0"/>
        <w:keepNext w:val="0"/>
        <w:pageBreakBefore w:val="0"/>
        <w:spacing w:line="36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注：1.价格一律以人民币计算，</w:t>
      </w:r>
      <w:r>
        <w:rPr>
          <w:rFonts w:hint="eastAsia" w:ascii="宋体" w:hAnsi="宋体" w:cs="宋体"/>
          <w:b/>
          <w:color w:val="auto"/>
          <w:szCs w:val="21"/>
          <w:highlight w:val="none"/>
        </w:rPr>
        <w:t xml:space="preserve">以元为单位，保留两位小数。</w:t>
      </w:r>
      <w:r/>
    </w:p>
    <w:p>
      <w:pPr>
        <w:pStyle w:val="1182"/>
        <w:ind w:firstLine="420"/>
        <w:jc w:val="left"/>
        <w:keepLines w:val="0"/>
        <w:keepNext w:val="0"/>
        <w:pageBreakBefore w:val="0"/>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表中表格行数可按实际需求自行添加。以上报价须包括采购需求所涉及到的所有内容但不局限于以上内容，采购文件中未列出的相关服务和在实施过程中涉及到的其它一切费用应在报价时一并考虑，投标人报价时应充分考虑所有可能影响到报价的因素，项目实施过程中如发生漏、缺、少项，都将被认为是中标人的报价让利行为，不再单独结算，如有漏项，后期不予增加。</w:t>
      </w:r>
      <w:r/>
    </w:p>
    <w:p>
      <w:pPr>
        <w:pStyle w:val="1182"/>
        <w:ind w:firstLine="420"/>
        <w:jc w:val="left"/>
        <w:keepLines w:val="0"/>
        <w:keepNext w:val="0"/>
        <w:pageBreakBefore w:val="0"/>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3.其他费用包含材料费、运费、税费、机械费、人工费、措施费、扬尘防治费、安全文明施工等涉及到的一切费用。</w:t>
      </w:r>
      <w:r/>
    </w:p>
    <w:p>
      <w:pPr>
        <w:pStyle w:val="1182"/>
        <w:ind w:firstLine="420"/>
        <w:jc w:val="left"/>
        <w:keepLines w:val="0"/>
        <w:keepNext w:val="0"/>
        <w:pageBreakBefore w:val="0"/>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4.如出现计算失误，则以总价价格为准。</w:t>
      </w:r>
      <w:r/>
    </w:p>
    <w:p>
      <w:pPr>
        <w:pStyle w:val="1182"/>
        <w:jc w:val="left"/>
        <w:spacing w:line="400" w:lineRule="exact"/>
        <w:widowControl/>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bookmarkStart w:id="697" w:name="_Toc31213"/>
      <w:r>
        <w:rPr>
          <w:rFonts w:hint="eastAsia" w:ascii="宋体" w:hAnsi="宋体" w:cs="宋体"/>
          <w:b/>
          <w:color w:val="auto"/>
          <w:sz w:val="32"/>
          <w:szCs w:val="32"/>
          <w:highlight w:val="none"/>
        </w:rPr>
        <w:t xml:space="preserve">6.2分项明细报价表</w:t>
      </w:r>
      <w:bookmarkEnd w:id="697"/>
      <w:r/>
      <w:r/>
    </w:p>
    <w:p>
      <w:pPr>
        <w:rPr>
          <w:rFonts w:hint="eastAsia"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6.2.1管养明细报价表</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（1）一级管养绿地管养费详细报价清单</w:t>
      </w:r>
      <w:r/>
    </w:p>
    <w:tbl>
      <w:tblPr>
        <w:tblStyle w:val="846"/>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61"/>
        <w:gridCol w:w="785"/>
        <w:gridCol w:w="819"/>
        <w:gridCol w:w="877"/>
        <w:gridCol w:w="678"/>
        <w:gridCol w:w="880"/>
        <w:gridCol w:w="819"/>
        <w:gridCol w:w="796"/>
        <w:gridCol w:w="716"/>
        <w:gridCol w:w="704"/>
        <w:gridCol w:w="703"/>
        <w:gridCol w:w="864"/>
      </w:tblGrid>
      <w:tr>
        <w:trPr>
          <w:jc w:val="center"/>
          <w:trHeight w:val="375"/>
        </w:trPr>
        <w:tc>
          <w:tcPr>
            <w:tcW w:w="567" w:type="dxa"/>
            <w:vAlign w:val="center"/>
            <w:vMerge w:val="restart"/>
            <w:textDirection w:val="tbRlV"/>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序号</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绿地名称</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范围或位置</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管养总面积</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w:t>
            </w:r>
            <w:r/>
          </w:p>
        </w:tc>
        <w:tc>
          <w:tcPr>
            <w:gridSpan w:val="2"/>
            <w:tcW w:w="1555"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其中</w:t>
            </w:r>
            <w:r/>
          </w:p>
        </w:tc>
        <w:tc>
          <w:tcPr>
            <w:tcW w:w="880"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移交时间</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移交内容</w:t>
            </w:r>
            <w:r/>
          </w:p>
        </w:tc>
        <w:tc>
          <w:tcPr>
            <w:tcW w:w="796"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移交面积（㎡）</w:t>
            </w:r>
            <w:r/>
          </w:p>
        </w:tc>
        <w:tc>
          <w:tcPr>
            <w:tcW w:w="716"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管养期限（月）</w:t>
            </w:r>
            <w:r/>
          </w:p>
        </w:tc>
        <w:tc>
          <w:tcPr>
            <w:tcW w:w="704"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管养费单价（元</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/m2/年）</w:t>
            </w:r>
            <w:r/>
          </w:p>
        </w:tc>
        <w:tc>
          <w:tcPr>
            <w:tcW w:w="703"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月管养费报价</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元）</w:t>
            </w:r>
            <w:r/>
          </w:p>
        </w:tc>
        <w:tc>
          <w:tcPr>
            <w:tcW w:w="864"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合同期</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管养费</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报价（</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元）</w:t>
            </w:r>
            <w:r/>
          </w:p>
        </w:tc>
      </w:tr>
      <w:tr>
        <w:trPr>
          <w:jc w:val="center"/>
          <w:trHeight w:val="961"/>
        </w:trPr>
        <w:tc>
          <w:tcPr>
            <w:tcW w:w="567" w:type="dxa"/>
            <w:vAlign w:val="center"/>
            <w:vMerge w:val="continue"/>
            <w:textDirection w:val="tbRlV"/>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物业和绿化管养面积</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w:t>
            </w:r>
            <w:r/>
          </w:p>
        </w:tc>
        <w:tc>
          <w:tcPr>
            <w:tcW w:w="678"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b/>
                <w:bCs/>
                <w:color w:val="auto"/>
                <w:sz w:val="21"/>
                <w:szCs w:val="21"/>
                <w:highlight w:val="none"/>
                <w:u w:val="none"/>
                <w:lang w:bidi="ar"/>
              </w:rPr>
              <w:t xml:space="preserve">水面面积</w:t>
            </w:r>
            <w:r>
              <w:rPr>
                <w:rFonts w:hint="eastAsia" w:ascii="宋体" w:hAnsi="宋体" w:eastAsia="宋体" w:cs="宋体"/>
                <w:b/>
                <w:bCs/>
                <w:color w:val="auto"/>
                <w:sz w:val="21"/>
                <w:szCs w:val="21"/>
                <w:highlight w:val="none"/>
                <w:u w:val="none"/>
                <w:lang w:bidi="ar"/>
              </w:rPr>
              <w:br w:type="textWrapping" w:clear="all"/>
            </w:r>
            <w:r>
              <w:rPr>
                <w:rFonts w:hint="eastAsia" w:ascii="宋体" w:hAnsi="宋体" w:eastAsia="宋体" w:cs="宋体"/>
                <w:b/>
                <w:bCs/>
                <w:color w:val="auto"/>
                <w:sz w:val="21"/>
                <w:szCs w:val="21"/>
                <w:highlight w:val="none"/>
                <w:u w:val="none"/>
                <w:lang w:bidi="ar"/>
              </w:rPr>
              <w:t xml:space="preserve">（㎡）</w:t>
            </w:r>
            <w:r/>
          </w:p>
        </w:tc>
        <w:tc>
          <w:tcPr>
            <w:tcW w:w="880"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96"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6"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4"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30"/>
        </w:trPr>
        <w:tc>
          <w:tcPr>
            <w:tcW w:w="56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A</w:t>
            </w:r>
            <w:r/>
          </w:p>
        </w:tc>
        <w:tc>
          <w:tcPr>
            <w:tcW w:w="76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B</w:t>
            </w:r>
            <w:r/>
          </w:p>
        </w:tc>
        <w:tc>
          <w:tcPr>
            <w:tcW w:w="785"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C</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D</w:t>
            </w:r>
            <w:r/>
          </w:p>
        </w:tc>
        <w:tc>
          <w:tcPr>
            <w:tcW w:w="87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E</w:t>
            </w:r>
            <w:r/>
          </w:p>
        </w:tc>
        <w:tc>
          <w:tcPr>
            <w:tcW w:w="678"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F</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G</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H</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I</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J</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K</w:t>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L</w:t>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M</w:t>
            </w:r>
            <w:r/>
          </w:p>
        </w:tc>
      </w:tr>
      <w:tr>
        <w:trPr>
          <w:jc w:val="center"/>
          <w:trHeight w:val="982"/>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bidi="ar"/>
              </w:rPr>
              <w:t xml:space="preserve">1</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项王东路</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（法治广</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场）</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项王东路</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（法治广</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场）</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5075.2</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5075.2</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5075.2</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82"/>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3424.23</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73"/>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2</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（总工会门前绿地）</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（总工会门前绿地）</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4008</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4008</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4008</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3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3620.04</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80"/>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3</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水景公园</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水景公园</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31030</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31030</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31030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09"/>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10461.67</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072"/>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4</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四号桥北侧匝道及北侧广场</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四号桥北侧匝道及北侧广场</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9407</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9407</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9407</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2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8654.80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860"/>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5</w:t>
            </w:r>
            <w:r>
              <w:rPr>
                <w:rFonts w:hint="eastAsia" w:ascii="宋体" w:hAnsi="宋体" w:eastAsia="宋体" w:cs="宋体"/>
                <w:color w:val="auto"/>
                <w:highlight w:val="none"/>
                <w:lang w:eastAsia="zh-CN"/>
              </w:rPr>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四号桥南侧匝道</w:t>
            </w:r>
            <w:r>
              <w:rPr>
                <w:rFonts w:hint="eastAsia" w:ascii="宋体" w:hAnsi="宋体" w:eastAsia="宋体" w:cs="宋体"/>
                <w:color w:val="auto"/>
                <w:highlight w:val="none"/>
              </w:rPr>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四号桥南侧匝道</w:t>
            </w:r>
            <w:r>
              <w:rPr>
                <w:rFonts w:hint="eastAsia" w:ascii="宋体" w:hAnsi="宋体" w:eastAsia="宋体" w:cs="宋体"/>
                <w:color w:val="auto"/>
                <w:highlight w:val="none"/>
              </w:rPr>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4022</w:t>
            </w:r>
            <w:r>
              <w:rPr>
                <w:rFonts w:hint="eastAsia" w:ascii="宋体" w:hAnsi="宋体" w:eastAsia="宋体" w:cs="宋体"/>
                <w:color w:val="auto"/>
                <w:highlight w:val="none"/>
              </w:rPr>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4022</w:t>
            </w:r>
            <w:r>
              <w:rPr>
                <w:rFonts w:hint="eastAsia" w:ascii="宋体" w:hAnsi="宋体" w:eastAsia="宋体" w:cs="宋体"/>
                <w:color w:val="auto"/>
                <w:highlight w:val="none"/>
              </w:rPr>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4022</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2"/>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6</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五台山(运</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动广场）</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五台山(运</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动广场）</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13900</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13900</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13900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34"/>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4443.42</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52"/>
        </w:trPr>
        <w:tc>
          <w:tcPr>
            <w:tcW w:w="56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7</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五台山游园</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五台山游园</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6333.65</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6333.65</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6333.65</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2"/>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3987.13</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38"/>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8</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区政府广场及东侧公园</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区政府广场及东侧公园</w:t>
            </w:r>
            <w:r/>
          </w:p>
        </w:tc>
        <w:tc>
          <w:tcPr>
            <w:tcW w:w="819"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57576.67</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52234.86</w:t>
            </w:r>
            <w:r/>
          </w:p>
        </w:tc>
        <w:tc>
          <w:tcPr>
            <w:tcW w:w="678"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5341.81</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52234.86</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38"/>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41592.88</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2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水面</w:t>
            </w:r>
            <w:r>
              <w:rPr>
                <w:rFonts w:hint="eastAsia" w:ascii="宋体" w:hAnsi="宋体" w:eastAsia="宋体" w:cs="宋体"/>
                <w:color w:val="auto"/>
                <w:highlight w:val="none"/>
                <w:lang w:bidi="ar"/>
              </w:rPr>
              <w:t xml:space="preserve">管养</w:t>
            </w:r>
            <w:r>
              <w:rPr>
                <w:rFonts w:hint="eastAsia" w:ascii="宋体" w:hAnsi="宋体" w:eastAsia="宋体" w:cs="宋体"/>
                <w:color w:val="auto"/>
                <w:highlight w:val="none"/>
                <w:lang w:bidi="ar"/>
              </w:rPr>
            </w:r>
            <w:r/>
          </w:p>
        </w:tc>
        <w:tc>
          <w:tcPr>
            <w:tcW w:w="796"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5341.81</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11"/>
        </w:trPr>
        <w:tc>
          <w:tcPr>
            <w:tcW w:w="567"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9</w:t>
            </w:r>
            <w:r/>
          </w:p>
        </w:tc>
        <w:tc>
          <w:tcPr>
            <w:tcW w:w="76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千鸟园</w:t>
            </w:r>
            <w:r/>
          </w:p>
        </w:tc>
        <w:tc>
          <w:tcPr>
            <w:tcW w:w="785"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千鸟园</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77065.68</w:t>
            </w:r>
            <w:r/>
          </w:p>
        </w:tc>
        <w:tc>
          <w:tcPr>
            <w:tcW w:w="87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77065.68</w:t>
            </w:r>
            <w:r/>
          </w:p>
        </w:tc>
        <w:tc>
          <w:tcPr>
            <w:tcW w:w="678"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77065.68</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49"/>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0</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运河体育公园</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运河体育公园</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25449</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25449</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rPr>
              <w:t xml:space="preserve">25449</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49"/>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15010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49"/>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1</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西楚绿廊</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西楚绿廊</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199800</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177800</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22000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2025.12.30</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177800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2"/>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2025.12.30</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177800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22</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73"/>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2025.12.30</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水面</w:t>
            </w:r>
            <w:r>
              <w:rPr>
                <w:rFonts w:hint="eastAsia" w:ascii="宋体" w:hAnsi="宋体" w:eastAsia="宋体" w:cs="宋体"/>
                <w:color w:val="auto"/>
                <w:highlight w:val="none"/>
                <w:lang w:bidi="ar"/>
              </w:rPr>
              <w:t xml:space="preserve">管养</w:t>
            </w:r>
            <w:r>
              <w:rPr>
                <w:rFonts w:hint="eastAsia" w:ascii="宋体" w:hAnsi="宋体" w:eastAsia="宋体" w:cs="宋体"/>
                <w:color w:val="auto"/>
                <w:highlight w:val="none"/>
                <w:lang w:bidi="ar"/>
              </w:rPr>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22000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80"/>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2</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牡丹江河绿地</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牡丹江河绿地</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220000</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220000</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2025.8.8</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220000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25</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2025.8.8</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168000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25</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898"/>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3</w:t>
            </w:r>
            <w:r/>
          </w:p>
        </w:tc>
        <w:tc>
          <w:tcPr>
            <w:tcW w:w="76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顺河集行宫遗址公园</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顺河集行宫遗址公园</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17200</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17200</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17200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11868.64</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4</w:t>
            </w:r>
            <w:r/>
          </w:p>
        </w:tc>
        <w:tc>
          <w:tcPr>
            <w:tcW w:w="761" w:type="dxa"/>
            <w:vAlign w:val="center"/>
            <w:vMerge w:val="restart"/>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洪泽湖路北侧绿地</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洪泽湖路北侧绿地</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37466</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37466</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37466</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37466</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5</w:t>
            </w:r>
            <w:r/>
          </w:p>
        </w:tc>
        <w:tc>
          <w:tcPr>
            <w:tcW w:w="761" w:type="dxa"/>
            <w:vAlign w:val="center"/>
            <w:vMerge w:val="restart"/>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洪泽湖路南侧绿地</w:t>
            </w:r>
            <w:r/>
          </w:p>
        </w:tc>
        <w:tc>
          <w:tcPr>
            <w:tcW w:w="785"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洪泽湖路南侧绿地</w:t>
            </w:r>
            <w:r/>
          </w:p>
        </w:tc>
        <w:tc>
          <w:tcPr>
            <w:tcW w:w="819"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39082</w:t>
            </w:r>
            <w:r/>
          </w:p>
        </w:tc>
        <w:tc>
          <w:tcPr>
            <w:tcW w:w="87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33082</w:t>
            </w:r>
            <w:r/>
          </w:p>
        </w:tc>
        <w:tc>
          <w:tcPr>
            <w:tcW w:w="678"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2025.9</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33082</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25</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2025.5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21576</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2025.5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水面</w:t>
            </w:r>
            <w:r>
              <w:rPr>
                <w:rFonts w:hint="eastAsia" w:ascii="宋体" w:hAnsi="宋体" w:eastAsia="宋体" w:cs="宋体"/>
                <w:color w:val="auto"/>
                <w:highlight w:val="none"/>
                <w:lang w:bidi="ar"/>
              </w:rPr>
              <w:t xml:space="preserve">管养</w:t>
            </w:r>
            <w:r>
              <w:rPr>
                <w:rFonts w:hint="eastAsia" w:ascii="宋体" w:hAnsi="宋体" w:eastAsia="宋体" w:cs="宋体"/>
                <w:color w:val="auto"/>
                <w:highlight w:val="none"/>
                <w:lang w:bidi="ar"/>
              </w:rPr>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54"/>
        </w:trPr>
        <w:tc>
          <w:tcPr>
            <w:tcW w:w="567"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bidi="ar"/>
              </w:rPr>
              <w:t xml:space="preserve">1</w:t>
            </w:r>
            <w:r>
              <w:rPr>
                <w:rFonts w:hint="eastAsia" w:ascii="宋体" w:hAnsi="宋体" w:cs="宋体"/>
                <w:color w:val="auto"/>
                <w:highlight w:val="none"/>
                <w:lang w:val="en-US" w:eastAsia="zh-CN" w:bidi="ar"/>
              </w:rPr>
              <w:t xml:space="preserve">6</w:t>
            </w:r>
            <w:r/>
          </w:p>
        </w:tc>
        <w:tc>
          <w:tcPr>
            <w:tcW w:w="76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洪泽湖路中分带</w:t>
            </w:r>
            <w:r/>
          </w:p>
        </w:tc>
        <w:tc>
          <w:tcPr>
            <w:tcW w:w="785"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洪泽湖路中分带</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7240</w:t>
            </w:r>
            <w:r/>
          </w:p>
        </w:tc>
        <w:tc>
          <w:tcPr>
            <w:tcW w:w="87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7240</w:t>
            </w:r>
            <w:r/>
          </w:p>
        </w:tc>
        <w:tc>
          <w:tcPr>
            <w:tcW w:w="678"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7240</w:t>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17</w:t>
            </w:r>
            <w:r/>
          </w:p>
        </w:tc>
        <w:tc>
          <w:tcPr>
            <w:tcW w:w="761"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中运河风光带（5#-4#桥）</w:t>
            </w:r>
            <w:r/>
          </w:p>
        </w:tc>
        <w:tc>
          <w:tcPr>
            <w:tcW w:w="785"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5#-4#桥</w:t>
            </w:r>
            <w:r/>
          </w:p>
        </w:tc>
        <w:tc>
          <w:tcPr>
            <w:tcW w:w="819"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268441.79</w:t>
            </w:r>
            <w:r/>
          </w:p>
        </w:tc>
        <w:tc>
          <w:tcPr>
            <w:tcW w:w="877"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218186.62</w:t>
            </w:r>
            <w:r/>
          </w:p>
        </w:tc>
        <w:tc>
          <w:tcPr>
            <w:tcW w:w="678"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50255.17</w:t>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218186.62</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115111.6</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水面</w:t>
            </w:r>
            <w:r>
              <w:rPr>
                <w:rFonts w:hint="eastAsia" w:ascii="宋体" w:hAnsi="宋体" w:eastAsia="宋体" w:cs="宋体"/>
                <w:color w:val="auto"/>
                <w:highlight w:val="none"/>
                <w:lang w:bidi="ar"/>
              </w:rPr>
              <w:t xml:space="preserve">管养</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50255.17</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18</w:t>
            </w:r>
            <w:r/>
          </w:p>
        </w:tc>
        <w:tc>
          <w:tcPr>
            <w:tcW w:w="761"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中运河风光带（4#-2#桥）</w:t>
            </w:r>
            <w:r/>
          </w:p>
        </w:tc>
        <w:tc>
          <w:tcPr>
            <w:tcW w:w="785"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4#桥-2#桥</w:t>
            </w:r>
            <w:r/>
          </w:p>
        </w:tc>
        <w:tc>
          <w:tcPr>
            <w:tcW w:w="819"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241228.3999</w:t>
            </w:r>
            <w:r/>
          </w:p>
        </w:tc>
        <w:tc>
          <w:tcPr>
            <w:tcW w:w="877"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151393.2963</w:t>
            </w:r>
            <w:r/>
          </w:p>
        </w:tc>
        <w:tc>
          <w:tcPr>
            <w:tcW w:w="678"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89835.1036</w:t>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151393.3</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95458.95</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水面</w:t>
            </w:r>
            <w:r>
              <w:rPr>
                <w:rFonts w:hint="eastAsia" w:ascii="宋体" w:hAnsi="宋体" w:eastAsia="宋体" w:cs="宋体"/>
                <w:color w:val="auto"/>
                <w:highlight w:val="none"/>
                <w:lang w:bidi="ar"/>
              </w:rPr>
              <w:t xml:space="preserve">管养</w:t>
            </w:r>
            <w:r>
              <w:rPr>
                <w:rFonts w:hint="eastAsia" w:ascii="宋体" w:hAnsi="宋体" w:eastAsia="宋体" w:cs="宋体"/>
                <w:color w:val="auto"/>
                <w:highlight w:val="none"/>
                <w:lang w:bidi="ar"/>
              </w:rPr>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89835.1</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19</w:t>
            </w:r>
            <w:r/>
          </w:p>
        </w:tc>
        <w:tc>
          <w:tcPr>
            <w:tcW w:w="761"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樱花园</w:t>
            </w:r>
            <w:r/>
          </w:p>
        </w:tc>
        <w:tc>
          <w:tcPr>
            <w:tcW w:w="785"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樱花园</w:t>
            </w:r>
            <w:r/>
          </w:p>
        </w:tc>
        <w:tc>
          <w:tcPr>
            <w:tcW w:w="819"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23842.8</w:t>
            </w:r>
            <w:r/>
          </w:p>
        </w:tc>
        <w:tc>
          <w:tcPr>
            <w:tcW w:w="877"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23842.8</w:t>
            </w:r>
            <w:r/>
          </w:p>
        </w:tc>
        <w:tc>
          <w:tcPr>
            <w:tcW w:w="678"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23842.8</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11562</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20</w:t>
            </w:r>
            <w:r/>
          </w:p>
        </w:tc>
        <w:tc>
          <w:tcPr>
            <w:tcW w:w="761"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书香园</w:t>
            </w:r>
            <w:r/>
          </w:p>
        </w:tc>
        <w:tc>
          <w:tcPr>
            <w:tcW w:w="785"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书香园</w:t>
            </w:r>
            <w:r/>
          </w:p>
        </w:tc>
        <w:tc>
          <w:tcPr>
            <w:tcW w:w="819" w:type="dxa"/>
            <w:vAlign w:val="center"/>
            <w:vMerge w:val="restart"/>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44622</w:t>
            </w:r>
            <w:r/>
          </w:p>
        </w:tc>
        <w:tc>
          <w:tcPr>
            <w:tcW w:w="877"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44622</w:t>
            </w:r>
            <w:r/>
          </w:p>
        </w:tc>
        <w:tc>
          <w:tcPr>
            <w:tcW w:w="678" w:type="dxa"/>
            <w:vAlign w:val="center"/>
            <w:vMerge w:val="restart"/>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物业服务</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44622</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80"/>
        </w:trPr>
        <w:tc>
          <w:tcPr>
            <w:tcW w:w="56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61"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785"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19"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W w:w="877"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eastAsia="宋体" w:cs="宋体"/>
                <w:color w:val="auto"/>
                <w:highlight w:val="none"/>
                <w:lang w:eastAsia="zh-CN" w:bidi="ar"/>
              </w:rPr>
              <w:t xml:space="preserve">2024.12.15</w:t>
            </w:r>
            <w:r/>
          </w:p>
        </w:tc>
        <w:tc>
          <w:tcPr>
            <w:tcW w:w="81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W w:w="79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29686</w:t>
            </w:r>
            <w:r/>
          </w:p>
        </w:tc>
        <w:tc>
          <w:tcPr>
            <w:tcW w:w="7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73"/>
        </w:trPr>
        <w:tc>
          <w:tcPr>
            <w:gridSpan w:val="3"/>
            <w:tcW w:w="211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合计</w:t>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78"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80"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9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3"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6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cs="宋体"/>
          <w:b/>
          <w:color w:val="auto"/>
          <w:highlight w:val="none"/>
        </w:rPr>
      </w:pPr>
      <w:r>
        <w:rPr>
          <w:rFonts w:hint="eastAsia" w:ascii="宋体" w:hAnsi="宋体" w:cs="宋体"/>
          <w:b/>
          <w:color w:val="auto"/>
          <w:highlight w:val="none"/>
        </w:rPr>
        <w:t xml:space="preserve">填写说明：</w:t>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1.一级管养绿化管养单价限价为8元/m2/年，应只报1种价格，超过限价或不符要求的为无效报价，作无效标处理；</w:t>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2.洪泽路东路南侧水面管养单价总限价为10元/m2/年，其他水面管养单价限价为1元/m2/年，超过限价或不符要求的为无效报价，作无效标处理；</w:t>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3.区政府广场及东侧公园物业单价总限价为3元/m2/年；洪泽路东路南侧物业管理单价总限价为10元/m2/年，其他物业管理单价总限价为4元/m2/年；超过此限价或不符此要求的为无效报价，作无效标处理。</w:t>
      </w:r>
      <w:r/>
    </w:p>
    <w:p>
      <w:pPr>
        <w:ind w:firstLine="422"/>
        <w:rPr>
          <w:rFonts w:hint="eastAsia" w:ascii="宋体" w:hAnsi="宋体" w:cs="宋体"/>
          <w:b/>
          <w:color w:val="auto"/>
          <w:sz w:val="28"/>
          <w:szCs w:val="28"/>
          <w:highlight w:val="none"/>
        </w:rPr>
      </w:pPr>
      <w:r>
        <w:rPr>
          <w:rFonts w:hint="eastAsia" w:ascii="宋体" w:hAnsi="宋体" w:eastAsia="宋体" w:cs="宋体"/>
          <w:b/>
          <w:color w:val="auto"/>
          <w:highlight w:val="none"/>
        </w:rPr>
        <w:t xml:space="preserve">4. L=( K*I)/12，月管养费为年管养费除以12个月；</w:t>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ab/>
      </w:r>
      <w:r>
        <w:rPr>
          <w:rFonts w:hint="eastAsia" w:ascii="宋体" w:hAnsi="宋体" w:eastAsia="宋体" w:cs="宋体"/>
          <w:b/>
          <w:color w:val="auto"/>
          <w:highlight w:val="none"/>
        </w:rPr>
        <w:t xml:space="preserve">5.M=L*J，因每类工作的移交时间不一，故每类工作管养期限不一，本项需以月管养费乘以第J项管养期限得出。</w:t>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（2）二级管养绿地管养费详细报价清单</w:t>
      </w:r>
      <w:r/>
    </w:p>
    <w:tbl>
      <w:tblPr>
        <w:tblStyle w:val="846"/>
        <w:tblW w:w="10308" w:type="dxa"/>
        <w:jc w:val="center"/>
        <w:tblLayout w:type="fixed"/>
        <w:tblCellMar>
          <w:left w:w="108" w:type="dxa"/>
          <w:top w:w="0" w:type="dxa"/>
          <w:right w:w="108" w:type="dxa"/>
          <w:bottom w:w="0" w:type="dxa"/>
        </w:tblCellMar>
        <w:tblLook w:val="04A0" w:firstRow="1" w:lastRow="0" w:firstColumn="1" w:lastColumn="0" w:noHBand="0" w:noVBand="1"/>
      </w:tblPr>
      <w:tblGrid>
        <w:gridCol w:w="692"/>
        <w:gridCol w:w="1106"/>
        <w:gridCol w:w="1281"/>
        <w:gridCol w:w="1016"/>
        <w:gridCol w:w="784"/>
        <w:gridCol w:w="889"/>
        <w:gridCol w:w="911"/>
        <w:gridCol w:w="739"/>
        <w:gridCol w:w="957"/>
        <w:gridCol w:w="947"/>
        <w:gridCol w:w="986"/>
      </w:tblGrid>
      <w:tr>
        <w:trPr>
          <w:jc w:val="center"/>
          <w:trHeight w:val="129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lang w:bidi="ar"/>
              </w:rPr>
              <w:t xml:space="preserve">范围或位置</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管养总面积（㎡）</w:t>
            </w:r>
            <w:r/>
          </w:p>
        </w:tc>
        <w:tc>
          <w:tcPr>
            <w:gridSpan w:val="2"/>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spacing w:line="300" w:lineRule="exact"/>
              <w:widowControl/>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u w:val="none"/>
                <w:lang w:bidi="ar"/>
              </w:rPr>
              <w:t xml:space="preserve">物业和绿化管养面积（㎡）</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lang w:bidi="ar"/>
              </w:rPr>
              <w:t xml:space="preserve">预计移交时间</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管养期限（月)</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lang w:bidi="ar"/>
              </w:rPr>
              <w:t xml:space="preserve">管养费</w:t>
            </w:r>
            <w:r>
              <w:rPr>
                <w:rFonts w:hint="eastAsia" w:ascii="宋体" w:hAnsi="宋体" w:eastAsia="宋体" w:cs="宋体"/>
                <w:b/>
                <w:bCs/>
                <w:color w:val="auto"/>
                <w:highlight w:val="none"/>
                <w:lang w:bidi="ar"/>
              </w:rPr>
              <w:br w:type="textWrapping" w:clear="all"/>
            </w:r>
            <w:r>
              <w:rPr>
                <w:rFonts w:hint="eastAsia" w:ascii="宋体" w:hAnsi="宋体" w:eastAsia="宋体" w:cs="宋体"/>
                <w:b/>
                <w:bCs/>
                <w:color w:val="auto"/>
                <w:highlight w:val="none"/>
                <w:lang w:bidi="ar"/>
              </w:rPr>
              <w:t xml:space="preserve">单价（元</w:t>
            </w:r>
            <w:r>
              <w:rPr>
                <w:rFonts w:hint="eastAsia" w:ascii="宋体" w:hAnsi="宋体" w:eastAsia="宋体" w:cs="宋体"/>
                <w:b/>
                <w:bCs/>
                <w:color w:val="auto"/>
                <w:highlight w:val="none"/>
                <w:lang w:bidi="ar"/>
              </w:rPr>
              <w:br w:type="textWrapping" w:clear="all"/>
            </w:r>
            <w:r>
              <w:rPr>
                <w:rFonts w:hint="eastAsia" w:ascii="宋体" w:hAnsi="宋体" w:eastAsia="宋体" w:cs="宋体"/>
                <w:b/>
                <w:bCs/>
                <w:color w:val="auto"/>
                <w:highlight w:val="none"/>
                <w:lang w:bidi="ar"/>
              </w:rPr>
              <w:t xml:space="preserve">/m2/年）</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00" w:lineRule="exact"/>
              <w:widowControl/>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月管养</w:t>
            </w:r>
            <w:r/>
          </w:p>
          <w:p>
            <w:pPr>
              <w:jc w:val="center"/>
              <w:spacing w:line="300" w:lineRule="exact"/>
              <w:widowControl/>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费报价</w:t>
            </w:r>
            <w:r/>
          </w:p>
          <w:p>
            <w:pPr>
              <w:jc w:val="center"/>
              <w:spacing w:line="300" w:lineRule="exact"/>
              <w:widowControl/>
              <w:rPr>
                <w:rFonts w:hint="eastAsia" w:ascii="宋体" w:hAnsi="宋体" w:eastAsia="宋体" w:cs="宋体"/>
                <w:color w:val="auto"/>
                <w:highlight w:val="none"/>
              </w:rPr>
            </w:pPr>
            <w:r>
              <w:rPr>
                <w:rFonts w:hint="eastAsia" w:ascii="宋体" w:hAnsi="宋体" w:eastAsia="宋体" w:cs="宋体"/>
                <w:b/>
                <w:bCs/>
                <w:color w:val="auto"/>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300" w:lineRule="exact"/>
              <w:widowControl/>
              <w:rPr>
                <w:rFonts w:hint="eastAsia" w:ascii="宋体" w:hAnsi="宋体" w:eastAsia="宋体" w:cs="宋体"/>
                <w:b/>
                <w:bCs/>
                <w:color w:val="auto"/>
                <w:highlight w:val="none"/>
                <w:lang w:bidi="ar"/>
              </w:rPr>
            </w:pPr>
            <w:r>
              <w:rPr>
                <w:rFonts w:hint="eastAsia" w:ascii="宋体" w:hAnsi="宋体" w:eastAsia="宋体" w:cs="宋体"/>
                <w:b/>
                <w:bCs/>
                <w:color w:val="auto"/>
                <w:highlight w:val="none"/>
                <w:lang w:bidi="ar"/>
              </w:rPr>
              <w:t xml:space="preserve">合同期管养费报价（元）</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A</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B</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C</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D</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Times New Roman" w:hAnsi="Times New Roman" w:eastAsia="宋体" w:cs="Times New Roman"/>
                <w:color w:val="auto"/>
                <w:sz w:val="21"/>
                <w:szCs w:val="21"/>
                <w:highlight w:val="none"/>
                <w:lang w:bidi="ar"/>
              </w:rPr>
            </w:pPr>
            <w:r>
              <w:rPr>
                <w:rFonts w:hint="eastAsia" w:ascii="宋体" w:hAnsi="宋体" w:eastAsia="宋体" w:cs="宋体"/>
                <w:color w:val="auto"/>
                <w:sz w:val="21"/>
                <w:szCs w:val="21"/>
                <w:highlight w:val="none"/>
                <w:u w:val="none"/>
                <w:lang w:bidi="ar"/>
              </w:rPr>
              <w:t xml:space="preserve">E</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sz w:val="21"/>
                <w:szCs w:val="21"/>
                <w:highlight w:val="none"/>
                <w:u w:val="none"/>
                <w:lang w:bidi="ar"/>
              </w:rPr>
              <w:t xml:space="preserve">F</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H</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w:t>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J</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K</w:t>
            </w:r>
            <w:r/>
          </w:p>
        </w:tc>
      </w:tr>
      <w:tr>
        <w:trPr>
          <w:jc w:val="center"/>
          <w:trHeight w:val="692"/>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江山大道（宿迁大道-洪泽湖东路）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江山大道（宿迁大道-洪泽湖东路）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11087.55</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11087.55</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江山大道（洪泽湖东路-项王东路）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江山大道（洪泽湖东路-项王东路）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15891.46</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15891.46</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江山大道-（宿迁大道-项王东路东西两侧绿地）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江山大道-（宿迁大道-项王东路东西两侧绿地）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24601.03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24601.03</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江山大道（宿迁大道-洪泽湖东路）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江山大道道路交叉口</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1024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1024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江山大道（生态环境局门口</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绿地）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江山大道（生态环境局门口绿地）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2897.73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2897.73</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江山大道（江山一品西侧绿</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江山大道（江山一品西侧绿地）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4288.99</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4288.99</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江山大道（法院绿地）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江山大道（法院绿地）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2876.38</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2876.38</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34"/>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江山大道（江山大酒店门口</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绿地）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江山大道（江山大酒店门口绿地）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4246.44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4246.44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金沙江路（四号桥-项王东路）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金沙江路（四号桥-项王东路）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14188.64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14188.64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金沙江路（四号桥-二号桥底）</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金沙江路（四号桥-二号桥</w:t>
            </w:r>
            <w:r>
              <w:rPr>
                <w:rFonts w:hint="eastAsia" w:ascii="宋体" w:hAnsi="宋体" w:eastAsia="宋体" w:cs="宋体"/>
                <w:color w:val="auto"/>
                <w:highlight w:val="none"/>
                <w:lang w:bidi="ar"/>
              </w:rPr>
              <w:br w:type="textWrapping" w:clear="all"/>
            </w:r>
            <w:r>
              <w:rPr>
                <w:rFonts w:hint="eastAsia" w:ascii="宋体" w:hAnsi="宋体" w:eastAsia="宋体" w:cs="宋体"/>
                <w:color w:val="auto"/>
                <w:highlight w:val="none"/>
                <w:lang w:bidi="ar"/>
              </w:rPr>
              <w:t xml:space="preserve">底）</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21223.4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21223.4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长江路（洪泽湖东路-燕山路）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长江路（洪泽湖东路-燕山路）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3702.03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3702.03</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长江路（洪泽湖东路-项王东路）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长江路（洪泽湖东路-项王东路）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2430.29</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2430.29</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珠江路（天山路</w:t>
            </w:r>
            <w:r>
              <w:rPr>
                <w:rStyle w:val="1189"/>
                <w:rFonts w:hint="eastAsia" w:ascii="宋体" w:hAnsi="宋体" w:eastAsia="宋体" w:cs="宋体"/>
                <w:color w:val="auto"/>
                <w:sz w:val="21"/>
                <w:szCs w:val="21"/>
                <w:highlight w:val="none"/>
                <w:lang w:bidi="ar"/>
              </w:rPr>
              <w:t xml:space="preserve">-</w:t>
            </w:r>
            <w:r>
              <w:rPr>
                <w:rFonts w:hint="eastAsia" w:ascii="宋体" w:hAnsi="宋体" w:eastAsia="宋体" w:cs="宋体"/>
                <w:color w:val="auto"/>
                <w:highlight w:val="none"/>
                <w:lang w:bidi="ar"/>
              </w:rPr>
              <w:t xml:space="preserve">洪泽湖东路）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珠江路（天山路-洪泽湖东路）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19636.5</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19636.5</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珠江路（洪泽湖东路-项王东路）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珠江路（洪泽湖东路-项王东路）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10984.8</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10984.8</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珠江路（广播电台）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珠江路（广播电台）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2481.48</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2481.48</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湘江路（项王东路-洪泽湖东路）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湘江路（项王东路-洪泽湖东路）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107</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项王东路（西楚大道-九龙</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江路）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项王东路（西楚大道-九龙江路）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8665.19</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8665.19</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项王东路（枫华丽致门前绿</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项王东路（枫华丽致门前绿地）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2131.8</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2131.8</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黄浦江路（洪泽湖东路-项</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王东路）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黄浦江路（洪泽湖东路-项王东路）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2515.04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2515.04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黄浦江路（公安局东侧再建</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绿地）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黄浦江路（公安局东侧再建绿地）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727.38</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727.38</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黄浦江路（洪泽湖东路-天</w:t>
            </w:r>
            <w:r>
              <w:rPr>
                <w:rFonts w:hint="eastAsia" w:ascii="宋体" w:hAnsi="宋体" w:eastAsia="宋体" w:cs="宋体"/>
                <w:color w:val="auto"/>
                <w:sz w:val="21"/>
                <w:szCs w:val="21"/>
                <w:highlight w:val="none"/>
                <w:u w:val="none"/>
                <w:lang w:bidi="ar"/>
              </w:rPr>
              <w:br w:type="textWrapping" w:clear="all"/>
            </w:r>
            <w:r>
              <w:rPr>
                <w:rFonts w:hint="eastAsia" w:ascii="宋体" w:hAnsi="宋体" w:eastAsia="宋体" w:cs="宋体"/>
                <w:color w:val="auto"/>
                <w:sz w:val="21"/>
                <w:szCs w:val="21"/>
                <w:highlight w:val="none"/>
                <w:u w:val="none"/>
                <w:lang w:bidi="ar"/>
              </w:rPr>
              <w:t xml:space="preserve">山路）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黄浦江路（洪泽湖东路-天山路）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4132.93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4132.93</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消防路（宿豫区实验小学南门道路）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消防路（宿豫区实验小学南门道路）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74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六盘山路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六盘山路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422.01</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422.01</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43"/>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井冈山路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珠江路-黄浦江路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7503.5</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7503.5</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西湖东路（长江路-</w:t>
            </w:r>
            <w:r>
              <w:rPr>
                <w:rFonts w:hint="eastAsia" w:ascii="宋体" w:hAnsi="宋体" w:eastAsia="宋体" w:cs="宋体"/>
                <w:color w:val="auto"/>
                <w:sz w:val="21"/>
                <w:szCs w:val="21"/>
                <w:highlight w:val="none"/>
                <w:u w:val="none"/>
                <w:lang w:bidi="ar"/>
              </w:rPr>
              <w:t xml:space="preserve">黄浦江路</w:t>
            </w:r>
            <w:r>
              <w:rPr>
                <w:rFonts w:hint="eastAsia" w:ascii="宋体" w:hAnsi="宋体" w:eastAsia="宋体"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西湖东路</w:t>
            </w:r>
            <w:r>
              <w:rPr>
                <w:rFonts w:hint="eastAsia" w:ascii="宋体" w:hAnsi="宋体" w:eastAsia="宋体" w:cs="宋体"/>
                <w:color w:val="auto"/>
                <w:sz w:val="21"/>
                <w:szCs w:val="21"/>
                <w:highlight w:val="none"/>
                <w:u w:val="none"/>
                <w:lang w:bidi="ar"/>
              </w:rPr>
              <w:t xml:space="preserve">（长江路-黄浦江路）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7361.28</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7361.28</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西湖东路（长江路-金沙江路）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西湖东路（长江路-金沙江路）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1917.29</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1917.29</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九龙江路（西湖东路-项王东路）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九龙江路（西湖东路-项王东路）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366.7</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366.7</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阳光路</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阳光路</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259.04</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259.04</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五台山路（金沙江路-西楚大道）</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五台山路（金沙江路-西楚大道）</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10315.97</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10315.97</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891"/>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spacing w:line="360" w:lineRule="exact"/>
              <w:widowControl/>
              <w:rPr>
                <w:rFonts w:hint="eastAsia" w:ascii="宋体" w:hAnsi="宋体" w:eastAsia="宋体" w:cs="宋体"/>
                <w:color w:val="auto"/>
                <w:highlight w:val="none"/>
              </w:rPr>
            </w:pPr>
            <w:r>
              <w:rPr>
                <w:rFonts w:hint="default" w:ascii="宋体" w:hAnsi="宋体" w:eastAsia="宋体" w:cs="宋体"/>
                <w:color w:val="auto"/>
                <w:sz w:val="21"/>
                <w:szCs w:val="21"/>
                <w:highlight w:val="none"/>
                <w:u w:val="none"/>
                <w:lang w:bidi="ar"/>
              </w:rPr>
              <w:t xml:space="preserve">西湖东路（黄浦江路</w:t>
            </w:r>
            <w:r>
              <w:rPr>
                <w:rStyle w:val="1191"/>
                <w:rFonts w:hint="eastAsia" w:ascii="宋体" w:hAnsi="宋体" w:eastAsia="宋体" w:cs="宋体"/>
                <w:color w:val="auto"/>
                <w:sz w:val="21"/>
                <w:szCs w:val="21"/>
                <w:highlight w:val="none"/>
                <w:lang w:bidi="ar"/>
              </w:rPr>
              <w:t xml:space="preserve">-</w:t>
            </w:r>
            <w:r>
              <w:rPr>
                <w:rFonts w:hint="default" w:ascii="宋体" w:hAnsi="宋体" w:eastAsia="宋体" w:cs="宋体"/>
                <w:color w:val="auto"/>
                <w:sz w:val="21"/>
                <w:szCs w:val="21"/>
                <w:highlight w:val="none"/>
                <w:u w:val="none"/>
                <w:lang w:bidi="ar"/>
              </w:rPr>
              <w:t xml:space="preserve">西楚大道）</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default" w:ascii="宋体" w:hAnsi="宋体" w:eastAsia="宋体" w:cs="宋体"/>
                <w:color w:val="auto"/>
                <w:sz w:val="21"/>
                <w:szCs w:val="21"/>
                <w:highlight w:val="none"/>
                <w:u w:val="none"/>
                <w:lang w:bidi="ar"/>
              </w:rPr>
              <w:t xml:space="preserve">西湖东路（黄浦江路</w:t>
            </w:r>
            <w:r>
              <w:rPr>
                <w:rStyle w:val="1191"/>
                <w:rFonts w:hint="eastAsia" w:ascii="宋体" w:hAnsi="宋体" w:eastAsia="宋体" w:cs="宋体"/>
                <w:color w:val="auto"/>
                <w:sz w:val="21"/>
                <w:szCs w:val="21"/>
                <w:highlight w:val="none"/>
                <w:lang w:bidi="ar"/>
              </w:rPr>
              <w:t xml:space="preserve">-</w:t>
            </w:r>
            <w:r>
              <w:rPr>
                <w:rFonts w:hint="default" w:ascii="宋体" w:hAnsi="宋体" w:eastAsia="宋体" w:cs="宋体"/>
                <w:color w:val="auto"/>
                <w:sz w:val="21"/>
                <w:szCs w:val="21"/>
                <w:highlight w:val="none"/>
                <w:u w:val="none"/>
                <w:lang w:bidi="ar"/>
              </w:rPr>
              <w:t xml:space="preserve">西楚大道）</w:t>
            </w:r>
            <w:r/>
          </w:p>
        </w:tc>
        <w:tc>
          <w:tcPr>
            <w:tcBorders>
              <w:top w:val="single" w:color="000000" w:sz="4" w:space="0"/>
              <w:left w:val="none" w:color="000000" w:sz="4" w:space="0"/>
              <w:bottom w:val="single" w:color="000000" w:sz="4" w:space="0"/>
              <w:right w:val="non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2329</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2329</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891"/>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spacing w:line="360" w:lineRule="exact"/>
              <w:widowControl/>
              <w:rPr>
                <w:rFonts w:hint="eastAsia" w:ascii="宋体" w:hAnsi="宋体" w:eastAsia="宋体" w:cs="宋体"/>
                <w:color w:val="auto"/>
                <w:highlight w:val="none"/>
              </w:rPr>
            </w:pPr>
            <w:r>
              <w:rPr>
                <w:rFonts w:hint="default" w:ascii="宋体" w:hAnsi="宋体" w:eastAsia="宋体" w:cs="宋体"/>
                <w:color w:val="auto"/>
                <w:sz w:val="21"/>
                <w:szCs w:val="21"/>
                <w:highlight w:val="none"/>
                <w:u w:val="none"/>
                <w:lang w:bidi="ar"/>
              </w:rPr>
              <w:t xml:space="preserve">天山路（金沙江路</w:t>
            </w:r>
            <w:r>
              <w:rPr>
                <w:rStyle w:val="1191"/>
                <w:rFonts w:hint="eastAsia" w:ascii="宋体" w:hAnsi="宋体" w:eastAsia="宋体" w:cs="宋体"/>
                <w:color w:val="auto"/>
                <w:sz w:val="21"/>
                <w:szCs w:val="21"/>
                <w:highlight w:val="none"/>
                <w:lang w:bidi="ar"/>
              </w:rPr>
              <w:t xml:space="preserve">-</w:t>
            </w:r>
            <w:r>
              <w:rPr>
                <w:rFonts w:hint="default" w:ascii="宋体" w:hAnsi="宋体" w:eastAsia="宋体" w:cs="宋体"/>
                <w:color w:val="auto"/>
                <w:sz w:val="21"/>
                <w:szCs w:val="21"/>
                <w:highlight w:val="none"/>
                <w:u w:val="none"/>
                <w:lang w:bidi="ar"/>
              </w:rPr>
              <w:t xml:space="preserve">西楚大道）</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default" w:ascii="宋体" w:hAnsi="宋体" w:eastAsia="宋体" w:cs="宋体"/>
                <w:color w:val="auto"/>
                <w:sz w:val="21"/>
                <w:szCs w:val="21"/>
                <w:highlight w:val="none"/>
                <w:u w:val="none"/>
                <w:lang w:bidi="ar"/>
              </w:rPr>
              <w:t xml:space="preserve">天山路（金沙江路</w:t>
            </w:r>
            <w:r>
              <w:rPr>
                <w:rStyle w:val="1191"/>
                <w:rFonts w:hint="eastAsia" w:ascii="宋体" w:hAnsi="宋体" w:eastAsia="宋体" w:cs="宋体"/>
                <w:color w:val="auto"/>
                <w:sz w:val="21"/>
                <w:szCs w:val="21"/>
                <w:highlight w:val="none"/>
                <w:lang w:bidi="ar"/>
              </w:rPr>
              <w:t xml:space="preserve">-</w:t>
            </w:r>
            <w:r>
              <w:rPr>
                <w:rFonts w:hint="default" w:ascii="宋体" w:hAnsi="宋体" w:eastAsia="宋体" w:cs="宋体"/>
                <w:color w:val="auto"/>
                <w:sz w:val="21"/>
                <w:szCs w:val="21"/>
                <w:highlight w:val="none"/>
                <w:u w:val="none"/>
                <w:lang w:bidi="ar"/>
              </w:rPr>
              <w:t xml:space="preserve">西楚大道）</w:t>
            </w:r>
            <w:r/>
          </w:p>
        </w:tc>
        <w:tc>
          <w:tcPr>
            <w:tcBorders>
              <w:top w:val="single" w:color="000000" w:sz="4" w:space="0"/>
              <w:left w:val="none" w:color="000000" w:sz="4" w:space="0"/>
              <w:bottom w:val="single" w:color="000000" w:sz="4" w:space="0"/>
              <w:right w:val="non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6119.3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6119.3</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spacing w:line="360" w:lineRule="exact"/>
              <w:widowControl/>
              <w:rPr>
                <w:rFonts w:hint="eastAsia" w:ascii="宋体" w:hAnsi="宋体" w:eastAsia="宋体" w:cs="宋体"/>
                <w:color w:val="auto"/>
                <w:highlight w:val="none"/>
              </w:rPr>
            </w:pPr>
            <w:r>
              <w:rPr>
                <w:rFonts w:hint="default" w:ascii="宋体" w:hAnsi="宋体" w:eastAsia="宋体" w:cs="宋体"/>
                <w:color w:val="auto"/>
                <w:sz w:val="21"/>
                <w:szCs w:val="21"/>
                <w:highlight w:val="none"/>
                <w:u w:val="none"/>
                <w:lang w:bidi="ar"/>
              </w:rPr>
              <w:t xml:space="preserve">燕山路（金沙江路</w:t>
            </w:r>
            <w:r>
              <w:rPr>
                <w:rStyle w:val="1191"/>
                <w:rFonts w:hint="eastAsia" w:ascii="宋体" w:hAnsi="宋体" w:eastAsia="宋体" w:cs="宋体"/>
                <w:color w:val="auto"/>
                <w:sz w:val="21"/>
                <w:szCs w:val="21"/>
                <w:highlight w:val="none"/>
                <w:lang w:bidi="ar"/>
              </w:rPr>
              <w:t xml:space="preserve">-</w:t>
            </w:r>
            <w:r>
              <w:rPr>
                <w:rFonts w:hint="default" w:ascii="宋体" w:hAnsi="宋体" w:eastAsia="宋体" w:cs="宋体"/>
                <w:color w:val="auto"/>
                <w:sz w:val="21"/>
                <w:szCs w:val="21"/>
                <w:highlight w:val="none"/>
                <w:u w:val="none"/>
                <w:lang w:bidi="ar"/>
              </w:rPr>
              <w:t xml:space="preserve">西楚大道）</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default" w:ascii="宋体" w:hAnsi="宋体" w:eastAsia="宋体" w:cs="宋体"/>
                <w:color w:val="auto"/>
                <w:sz w:val="21"/>
                <w:szCs w:val="21"/>
                <w:highlight w:val="none"/>
                <w:u w:val="none"/>
                <w:lang w:bidi="ar"/>
              </w:rPr>
              <w:t xml:space="preserve">燕山路（金沙江路</w:t>
            </w:r>
            <w:r>
              <w:rPr>
                <w:rStyle w:val="1191"/>
                <w:rFonts w:hint="eastAsia" w:ascii="宋体" w:hAnsi="宋体" w:eastAsia="宋体" w:cs="宋体"/>
                <w:color w:val="auto"/>
                <w:sz w:val="21"/>
                <w:szCs w:val="21"/>
                <w:highlight w:val="none"/>
                <w:lang w:bidi="ar"/>
              </w:rPr>
              <w:t xml:space="preserve">-</w:t>
            </w:r>
            <w:r>
              <w:rPr>
                <w:rFonts w:hint="default" w:ascii="宋体" w:hAnsi="宋体" w:eastAsia="宋体" w:cs="宋体"/>
                <w:color w:val="auto"/>
                <w:sz w:val="21"/>
                <w:szCs w:val="21"/>
                <w:highlight w:val="none"/>
                <w:u w:val="none"/>
                <w:lang w:bidi="ar"/>
              </w:rPr>
              <w:t xml:space="preserve">西楚大道）</w:t>
            </w:r>
            <w:r/>
          </w:p>
        </w:tc>
        <w:tc>
          <w:tcPr>
            <w:tcBorders>
              <w:top w:val="single" w:color="000000" w:sz="4" w:space="0"/>
              <w:left w:val="none" w:color="000000" w:sz="4" w:space="0"/>
              <w:bottom w:val="none" w:color="000000" w:sz="4" w:space="0"/>
              <w:right w:val="non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8908.7</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8908.7</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auto" w:sz="4" w:space="0"/>
              <w:right w:val="single" w:color="000000"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widowControl/>
              <w:rPr>
                <w:rFonts w:hint="default" w:ascii="Times New Roman" w:hAnsi="Times New Roman" w:eastAsia="宋体" w:cs="Times New Roman"/>
                <w:color w:val="auto"/>
                <w:sz w:val="21"/>
                <w:szCs w:val="21"/>
                <w:highlight w:val="none"/>
                <w:lang w:bidi="ar"/>
              </w:rPr>
            </w:pPr>
            <w:r>
              <w:rPr>
                <w:rFonts w:hint="eastAsia" w:ascii="宋体" w:hAnsi="宋体" w:eastAsia="宋体" w:cs="宋体"/>
                <w:color w:val="auto"/>
                <w:highlight w:val="none"/>
                <w:lang w:bidi="ar"/>
              </w:rPr>
              <w:t xml:space="preserve">农林广场</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widowControl/>
              <w:rPr>
                <w:rFonts w:hint="default" w:ascii="Times New Roman" w:hAnsi="Times New Roman" w:eastAsia="宋体" w:cs="Times New Roman"/>
                <w:color w:val="auto"/>
                <w:sz w:val="21"/>
                <w:szCs w:val="21"/>
                <w:highlight w:val="none"/>
                <w:lang w:bidi="ar"/>
              </w:rPr>
            </w:pPr>
            <w:r>
              <w:rPr>
                <w:rFonts w:hint="eastAsia" w:ascii="宋体" w:hAnsi="宋体" w:eastAsia="宋体" w:cs="宋体"/>
                <w:color w:val="auto"/>
                <w:highlight w:val="none"/>
                <w:lang w:bidi="ar"/>
              </w:rPr>
              <w:t xml:space="preserve">农林广场</w:t>
            </w:r>
            <w:r/>
          </w:p>
        </w:tc>
        <w:tc>
          <w:tcPr>
            <w:tcBorders>
              <w:top w:val="single" w:color="000000" w:sz="4" w:space="0"/>
              <w:left w:val="none" w:color="000000" w:sz="4" w:space="0"/>
              <w:bottom w:val="none" w:color="000000" w:sz="4" w:space="0"/>
              <w:right w:val="none" w:color="000000" w:sz="4" w:space="0"/>
            </w:tcBorders>
            <w:tcW w:w="10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4172.32</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4172.32</w:t>
            </w:r>
            <w:r/>
          </w:p>
        </w:tc>
        <w:tc>
          <w:tcPr>
            <w:tcBorders>
              <w:top w:val="single" w:color="000000" w:sz="4" w:space="0"/>
              <w:left w:val="none" w:color="000000" w:sz="4" w:space="0"/>
              <w:bottom w:val="single" w:color="000000" w:sz="4" w:space="0"/>
              <w:right w:val="single" w:color="000000"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000000" w:sz="4" w:space="0"/>
              <w:left w:val="single" w:color="000000" w:sz="4" w:space="0"/>
              <w:bottom w:val="single" w:color="auto" w:sz="4" w:space="0"/>
              <w:right w:val="single" w:color="000000" w:sz="4" w:space="0"/>
            </w:tcBorders>
            <w:tcW w:w="73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34</w:t>
            </w:r>
            <w:r/>
          </w:p>
        </w:tc>
        <w:tc>
          <w:tcPr>
            <w:tcBorders>
              <w:top w:val="single" w:color="000000" w:sz="4" w:space="0"/>
              <w:left w:val="single" w:color="000000" w:sz="4" w:space="0"/>
              <w:bottom w:val="none" w:color="000000" w:sz="4" w:space="0"/>
              <w:right w:val="none" w:color="000000" w:sz="4" w:space="0"/>
            </w:tcBorders>
            <w:tcW w:w="1106" w:type="dxa"/>
            <w:vAlign w:val="center"/>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项王东路（清水江路-张家港大道）</w:t>
            </w:r>
            <w:r/>
          </w:p>
        </w:tc>
        <w:tc>
          <w:tcPr>
            <w:tcBorders>
              <w:top w:val="single" w:color="000000" w:sz="4" w:space="0"/>
              <w:left w:val="single" w:color="000000" w:sz="4" w:space="0"/>
              <w:bottom w:val="none" w:color="000000" w:sz="4" w:space="0"/>
              <w:right w:val="single" w:color="000000" w:sz="4" w:space="0"/>
            </w:tcBorders>
            <w:tcW w:w="1281" w:type="dxa"/>
            <w:vAlign w:val="center"/>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项王东路（清水江路-张家港大道）</w:t>
            </w:r>
            <w:r/>
          </w:p>
        </w:tc>
        <w:tc>
          <w:tcPr>
            <w:tcBorders>
              <w:top w:val="single" w:color="000000" w:sz="4" w:space="0"/>
              <w:left w:val="none" w:color="000000" w:sz="4" w:space="0"/>
              <w:bottom w:val="none" w:color="000000" w:sz="4" w:space="0"/>
              <w:right w:val="none" w:color="000000" w:sz="4" w:space="0"/>
            </w:tcBorders>
            <w:tcW w:w="10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22793.7</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22793.7</w:t>
            </w:r>
            <w:r/>
          </w:p>
        </w:tc>
        <w:tc>
          <w:tcPr>
            <w:tcBorders>
              <w:top w:val="single" w:color="000000" w:sz="4" w:space="0"/>
              <w:left w:val="none" w:color="000000" w:sz="4" w:space="0"/>
              <w:bottom w:val="none" w:color="000000"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2025.8.15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25</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p>
        </w:tc>
        <w:tc>
          <w:tcPr>
            <w:tcBorders>
              <w:top w:val="single" w:color="000000" w:sz="4" w:space="0"/>
              <w:left w:val="single" w:color="000000" w:sz="4" w:space="0"/>
              <w:bottom w:val="none" w:color="000000" w:sz="4" w:space="0"/>
              <w:right w:val="none" w:color="000000" w:sz="4" w:space="0"/>
            </w:tcBorders>
            <w:tcW w:w="1106" w:type="dxa"/>
            <w:vAlign w:val="center"/>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五号桥-四号桥 (粮库内)</w:t>
            </w:r>
            <w:r/>
          </w:p>
        </w:tc>
        <w:tc>
          <w:tcPr>
            <w:tcBorders>
              <w:top w:val="single" w:color="000000" w:sz="4" w:space="0"/>
              <w:left w:val="single" w:color="000000" w:sz="4" w:space="0"/>
              <w:bottom w:val="none" w:color="000000" w:sz="4" w:space="0"/>
              <w:right w:val="single" w:color="000000" w:sz="4" w:space="0"/>
            </w:tcBorders>
            <w:tcW w:w="1281" w:type="dxa"/>
            <w:vAlign w:val="center"/>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五号桥-四号桥 (粮库内)</w:t>
            </w:r>
            <w:r/>
          </w:p>
        </w:tc>
        <w:tc>
          <w:tcPr>
            <w:tcBorders>
              <w:top w:val="single" w:color="000000" w:sz="4" w:space="0"/>
              <w:left w:val="none" w:color="000000" w:sz="4" w:space="0"/>
              <w:bottom w:val="none" w:color="000000" w:sz="4" w:space="0"/>
              <w:right w:val="none" w:color="000000" w:sz="4" w:space="0"/>
            </w:tcBorders>
            <w:tcW w:w="1016"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3896.83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绿化管养</w:t>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3896.83</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36</w:t>
            </w:r>
            <w:r/>
          </w:p>
        </w:tc>
        <w:tc>
          <w:tcPr>
            <w:tcBorders>
              <w:top w:val="single" w:color="000000" w:sz="4" w:space="0"/>
              <w:left w:val="single" w:color="000000" w:sz="4" w:space="0"/>
              <w:right w:val="none" w:color="000000" w:sz="4" w:space="0"/>
            </w:tcBorders>
            <w:tcW w:w="1106" w:type="dxa"/>
            <w:vAlign w:val="center"/>
            <w:vMerge w:val="restart"/>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项王东路（教育局门前绿地）</w:t>
            </w:r>
            <w:r/>
          </w:p>
        </w:tc>
        <w:tc>
          <w:tcPr>
            <w:tcBorders>
              <w:top w:val="single" w:color="000000" w:sz="4" w:space="0"/>
              <w:left w:val="single" w:color="000000" w:sz="4" w:space="0"/>
              <w:right w:val="single" w:color="000000" w:sz="4" w:space="0"/>
            </w:tcBorders>
            <w:tcW w:w="1281" w:type="dxa"/>
            <w:vAlign w:val="center"/>
            <w:vMerge w:val="restart"/>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项王东路（教育局门前绿地）</w:t>
            </w:r>
            <w:r/>
          </w:p>
        </w:tc>
        <w:tc>
          <w:tcPr>
            <w:tcBorders>
              <w:top w:val="single" w:color="000000" w:sz="4" w:space="0"/>
              <w:left w:val="none" w:color="000000" w:sz="4" w:space="0"/>
              <w:right w:val="none" w:color="000000" w:sz="4" w:space="0"/>
            </w:tcBorders>
            <w:tcW w:w="1016" w:type="dxa"/>
            <w:vAlign w:val="center"/>
            <w:vMerge w:val="restart"/>
            <w:textDirection w:val="lrTb"/>
            <w:noWrap w:val="false"/>
          </w:tcPr>
          <w:p>
            <w:pPr>
              <w:jc w:val="center"/>
              <w:widowControl/>
              <w:tabs>
                <w:tab w:val="left" w:pos="388" w:leader="none"/>
              </w:tabs>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2730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2730</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left w:val="single" w:color="000000" w:sz="4" w:space="0"/>
              <w:bottom w:val="non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bottom w:val="none" w:color="000000" w:sz="4" w:space="0"/>
              <w:right w:val="none" w:color="000000" w:sz="4" w:space="0"/>
            </w:tcBorders>
            <w:tcW w:w="1106" w:type="dxa"/>
            <w:vAlign w:val="center"/>
            <w:vMerge w:val="continue"/>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single" w:color="000000" w:sz="4" w:space="0"/>
              <w:bottom w:val="none" w:color="000000" w:sz="4" w:space="0"/>
              <w:right w:val="single" w:color="000000" w:sz="4" w:space="0"/>
            </w:tcBorders>
            <w:tcW w:w="1281" w:type="dxa"/>
            <w:vAlign w:val="center"/>
            <w:vMerge w:val="continue"/>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none" w:color="000000" w:sz="4" w:space="0"/>
              <w:bottom w:val="none" w:color="000000" w:sz="4" w:space="0"/>
              <w:right w:val="none" w:color="000000" w:sz="4" w:space="0"/>
            </w:tcBorders>
            <w:tcW w:w="1016" w:type="dxa"/>
            <w:vAlign w:val="center"/>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rPr>
              <w:t xml:space="preserve">绿化管养</w:t>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2604.59</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37</w:t>
            </w:r>
            <w:r/>
          </w:p>
        </w:tc>
        <w:tc>
          <w:tcPr>
            <w:tcBorders>
              <w:top w:val="single" w:color="000000" w:sz="4" w:space="0"/>
              <w:left w:val="single" w:color="000000" w:sz="4" w:space="0"/>
              <w:right w:val="none" w:color="000000" w:sz="4" w:space="0"/>
            </w:tcBorders>
            <w:tcW w:w="1106" w:type="dxa"/>
            <w:vAlign w:val="center"/>
            <w:vMerge w:val="restart"/>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财富广场门前绿地</w:t>
            </w:r>
            <w:r/>
          </w:p>
        </w:tc>
        <w:tc>
          <w:tcPr>
            <w:tcBorders>
              <w:top w:val="single" w:color="000000" w:sz="4" w:space="0"/>
              <w:left w:val="single" w:color="000000" w:sz="4" w:space="0"/>
              <w:right w:val="single" w:color="000000" w:sz="4" w:space="0"/>
            </w:tcBorders>
            <w:tcW w:w="1281" w:type="dxa"/>
            <w:vAlign w:val="center"/>
            <w:vMerge w:val="restart"/>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财富广场门前绿地</w:t>
            </w:r>
            <w:r/>
          </w:p>
        </w:tc>
        <w:tc>
          <w:tcPr>
            <w:tcBorders>
              <w:top w:val="single" w:color="000000" w:sz="4" w:space="0"/>
              <w:left w:val="none" w:color="000000" w:sz="4" w:space="0"/>
              <w:right w:val="none" w:color="000000" w:sz="4" w:space="0"/>
            </w:tcBorders>
            <w:tcW w:w="1016" w:type="dxa"/>
            <w:vAlign w:val="center"/>
            <w:vMerge w:val="restart"/>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2252.9</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2252.9</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left w:val="single" w:color="000000" w:sz="4" w:space="0"/>
              <w:bottom w:val="non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bottom w:val="none" w:color="000000" w:sz="4" w:space="0"/>
              <w:right w:val="none" w:color="000000" w:sz="4" w:space="0"/>
            </w:tcBorders>
            <w:tcW w:w="1106" w:type="dxa"/>
            <w:vAlign w:val="center"/>
            <w:vMerge w:val="continue"/>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single" w:color="000000" w:sz="4" w:space="0"/>
              <w:bottom w:val="none" w:color="000000" w:sz="4" w:space="0"/>
              <w:right w:val="single" w:color="000000" w:sz="4" w:space="0"/>
            </w:tcBorders>
            <w:tcW w:w="1281" w:type="dxa"/>
            <w:vAlign w:val="center"/>
            <w:vMerge w:val="continue"/>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none" w:color="000000" w:sz="4" w:space="0"/>
              <w:bottom w:val="none" w:color="000000" w:sz="4" w:space="0"/>
              <w:right w:val="none" w:color="000000" w:sz="4" w:space="0"/>
            </w:tcBorders>
            <w:tcW w:w="1016" w:type="dxa"/>
            <w:vAlign w:val="center"/>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rPr>
              <w:t xml:space="preserve">绿化管养</w:t>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1846.55</w:t>
            </w:r>
            <w:r/>
          </w:p>
          <w:p>
            <w:pPr>
              <w:jc w:val="center"/>
              <w:widowControl/>
              <w:rPr>
                <w:rFonts w:hint="default" w:ascii="宋体" w:hAnsi="宋体" w:eastAsia="宋体" w:cs="宋体"/>
                <w:color w:val="auto"/>
                <w:highlight w:val="none"/>
                <w:lang w:val="en-US" w:eastAsia="zh-CN" w:bidi="ar"/>
              </w:rPr>
            </w:pPr>
            <w:r>
              <w:rPr>
                <w:rFonts w:hint="default" w:ascii="宋体" w:hAnsi="宋体" w:eastAsia="宋体" w:cs="宋体"/>
                <w:color w:val="auto"/>
                <w:highlight w:val="none"/>
                <w:lang w:val="en-US" w:eastAsia="zh-CN" w:bidi="ar"/>
              </w:rPr>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38</w:t>
            </w:r>
            <w:r/>
          </w:p>
        </w:tc>
        <w:tc>
          <w:tcPr>
            <w:tcBorders>
              <w:top w:val="single" w:color="000000" w:sz="4" w:space="0"/>
              <w:left w:val="single" w:color="000000" w:sz="4" w:space="0"/>
              <w:right w:val="none" w:color="000000" w:sz="4" w:space="0"/>
            </w:tcBorders>
            <w:tcW w:w="1106" w:type="dxa"/>
            <w:vAlign w:val="center"/>
            <w:vMerge w:val="restart"/>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小香港绿地</w:t>
            </w:r>
            <w:r/>
          </w:p>
        </w:tc>
        <w:tc>
          <w:tcPr>
            <w:tcBorders>
              <w:top w:val="single" w:color="000000" w:sz="4" w:space="0"/>
              <w:left w:val="single" w:color="000000" w:sz="4" w:space="0"/>
              <w:right w:val="single" w:color="000000" w:sz="4" w:space="0"/>
            </w:tcBorders>
            <w:tcW w:w="1281" w:type="dxa"/>
            <w:vAlign w:val="center"/>
            <w:vMerge w:val="restart"/>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小香港绿地</w:t>
            </w:r>
            <w:r/>
          </w:p>
        </w:tc>
        <w:tc>
          <w:tcPr>
            <w:tcBorders>
              <w:top w:val="single" w:color="000000" w:sz="4" w:space="0"/>
              <w:left w:val="none" w:color="000000" w:sz="4" w:space="0"/>
              <w:right w:val="none" w:color="000000" w:sz="4" w:space="0"/>
            </w:tcBorders>
            <w:tcW w:w="1016" w:type="dxa"/>
            <w:vAlign w:val="center"/>
            <w:vMerge w:val="restart"/>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5007</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5007</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left w:val="single" w:color="000000" w:sz="4" w:space="0"/>
              <w:bottom w:val="non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bottom w:val="none" w:color="000000" w:sz="4" w:space="0"/>
              <w:right w:val="none" w:color="000000" w:sz="4" w:space="0"/>
            </w:tcBorders>
            <w:tcW w:w="1106" w:type="dxa"/>
            <w:vAlign w:val="center"/>
            <w:vMerge w:val="continue"/>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single" w:color="000000" w:sz="4" w:space="0"/>
              <w:bottom w:val="none" w:color="000000" w:sz="4" w:space="0"/>
              <w:right w:val="single" w:color="000000" w:sz="4" w:space="0"/>
            </w:tcBorders>
            <w:tcW w:w="1281" w:type="dxa"/>
            <w:vAlign w:val="center"/>
            <w:vMerge w:val="continue"/>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none" w:color="000000" w:sz="4" w:space="0"/>
              <w:bottom w:val="none" w:color="000000" w:sz="4" w:space="0"/>
              <w:right w:val="none" w:color="000000" w:sz="4" w:space="0"/>
            </w:tcBorders>
            <w:tcW w:w="1016" w:type="dxa"/>
            <w:vAlign w:val="center"/>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rPr>
              <w:t xml:space="preserve">绿化管养</w:t>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2968.39</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39</w:t>
            </w:r>
            <w:r/>
          </w:p>
        </w:tc>
        <w:tc>
          <w:tcPr>
            <w:tcBorders>
              <w:top w:val="single" w:color="000000" w:sz="4" w:space="0"/>
              <w:left w:val="single" w:color="000000" w:sz="4" w:space="0"/>
              <w:right w:val="none" w:color="000000" w:sz="4" w:space="0"/>
            </w:tcBorders>
            <w:tcW w:w="1106" w:type="dxa"/>
            <w:vAlign w:val="center"/>
            <w:vMerge w:val="restart"/>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五号桥南北侧匝道</w:t>
            </w:r>
            <w:r/>
          </w:p>
        </w:tc>
        <w:tc>
          <w:tcPr>
            <w:tcBorders>
              <w:top w:val="single" w:color="000000" w:sz="4" w:space="0"/>
              <w:left w:val="single" w:color="000000" w:sz="4" w:space="0"/>
              <w:right w:val="single" w:color="000000" w:sz="4" w:space="0"/>
            </w:tcBorders>
            <w:tcW w:w="1281" w:type="dxa"/>
            <w:vAlign w:val="center"/>
            <w:vMerge w:val="restart"/>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五号桥南北侧匝道</w:t>
            </w:r>
            <w:r/>
          </w:p>
        </w:tc>
        <w:tc>
          <w:tcPr>
            <w:tcBorders>
              <w:top w:val="single" w:color="000000" w:sz="4" w:space="0"/>
              <w:left w:val="none" w:color="000000" w:sz="4" w:space="0"/>
              <w:right w:val="none" w:color="000000" w:sz="4" w:space="0"/>
            </w:tcBorders>
            <w:tcW w:w="1016" w:type="dxa"/>
            <w:vAlign w:val="center"/>
            <w:vMerge w:val="restart"/>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9811.2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9811.2</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left w:val="single" w:color="000000" w:sz="4" w:space="0"/>
              <w:bottom w:val="non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bottom w:val="none" w:color="000000" w:sz="4" w:space="0"/>
              <w:right w:val="none" w:color="000000" w:sz="4" w:space="0"/>
            </w:tcBorders>
            <w:tcW w:w="1106" w:type="dxa"/>
            <w:vAlign w:val="center"/>
            <w:vMerge w:val="continue"/>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single" w:color="000000" w:sz="4" w:space="0"/>
              <w:bottom w:val="none" w:color="000000" w:sz="4" w:space="0"/>
              <w:right w:val="single" w:color="000000" w:sz="4" w:space="0"/>
            </w:tcBorders>
            <w:tcW w:w="1281" w:type="dxa"/>
            <w:vAlign w:val="center"/>
            <w:vMerge w:val="continue"/>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none" w:color="000000" w:sz="4" w:space="0"/>
              <w:bottom w:val="none" w:color="000000" w:sz="4" w:space="0"/>
              <w:right w:val="none" w:color="000000" w:sz="4" w:space="0"/>
            </w:tcBorders>
            <w:tcW w:w="1016" w:type="dxa"/>
            <w:vAlign w:val="center"/>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rPr>
              <w:t xml:space="preserve">绿化管养</w:t>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6973.43</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40</w:t>
            </w:r>
            <w:r/>
          </w:p>
        </w:tc>
        <w:tc>
          <w:tcPr>
            <w:tcBorders>
              <w:top w:val="single" w:color="000000" w:sz="4" w:space="0"/>
              <w:left w:val="single" w:color="000000" w:sz="4" w:space="0"/>
              <w:right w:val="none" w:color="000000" w:sz="4" w:space="0"/>
            </w:tcBorders>
            <w:tcW w:w="1106" w:type="dxa"/>
            <w:vAlign w:val="center"/>
            <w:vMerge w:val="restart"/>
            <w:textDirection w:val="lrTb"/>
            <w:noWrap/>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五台山(慢行系统）</w:t>
            </w:r>
            <w:r/>
          </w:p>
        </w:tc>
        <w:tc>
          <w:tcPr>
            <w:tcBorders>
              <w:top w:val="single" w:color="000000" w:sz="4" w:space="0"/>
              <w:left w:val="single" w:color="000000" w:sz="4" w:space="0"/>
              <w:right w:val="single" w:color="000000" w:sz="4" w:space="0"/>
            </w:tcBorders>
            <w:tcW w:w="1281" w:type="dxa"/>
            <w:vAlign w:val="center"/>
            <w:vMerge w:val="restart"/>
            <w:textDirection w:val="lrTb"/>
            <w:noWrap/>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五台山(慢行系统）</w:t>
            </w:r>
            <w:r/>
          </w:p>
        </w:tc>
        <w:tc>
          <w:tcPr>
            <w:tcBorders>
              <w:top w:val="single" w:color="000000" w:sz="4" w:space="0"/>
              <w:left w:val="none" w:color="000000" w:sz="4" w:space="0"/>
              <w:right w:val="none" w:color="000000" w:sz="4" w:space="0"/>
            </w:tcBorders>
            <w:tcW w:w="1016" w:type="dxa"/>
            <w:vAlign w:val="center"/>
            <w:vMerge w:val="restart"/>
            <w:textDirection w:val="lrTb"/>
            <w:noWrap w:val="false"/>
          </w:tcPr>
          <w:p>
            <w:pPr>
              <w:jc w:val="left"/>
              <w:widowControl/>
              <w:tabs>
                <w:tab w:val="left" w:pos="330" w:leader="none"/>
              </w:tabs>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8021.56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000000" w:sz="4" w:space="0"/>
              <w:left w:val="single" w:color="000000" w:sz="4" w:space="0"/>
              <w:bottom w:val="single" w:color="auto" w:sz="4" w:space="0"/>
              <w:right w:val="single" w:color="000000"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8021.56</w:t>
            </w:r>
            <w:r/>
          </w:p>
        </w:tc>
        <w:tc>
          <w:tcPr>
            <w:tcBorders>
              <w:top w:val="singl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left w:val="single" w:color="000000" w:sz="4" w:space="0"/>
              <w:bottom w:val="non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bottom w:val="none" w:color="000000" w:sz="4" w:space="0"/>
              <w:right w:val="none" w:color="000000" w:sz="4" w:space="0"/>
            </w:tcBorders>
            <w:tcW w:w="1106" w:type="dxa"/>
            <w:vAlign w:val="center"/>
            <w:vMerge w:val="continue"/>
            <w:textDirection w:val="lrTb"/>
            <w:noWrap/>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single" w:color="000000" w:sz="4" w:space="0"/>
              <w:bottom w:val="none" w:color="000000" w:sz="4" w:space="0"/>
              <w:right w:val="single" w:color="000000" w:sz="4" w:space="0"/>
            </w:tcBorders>
            <w:tcW w:w="1281" w:type="dxa"/>
            <w:vAlign w:val="center"/>
            <w:vMerge w:val="continue"/>
            <w:textDirection w:val="lrTb"/>
            <w:noWrap/>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none" w:color="000000" w:sz="4" w:space="0"/>
              <w:bottom w:val="none" w:color="000000" w:sz="4" w:space="0"/>
              <w:right w:val="none" w:color="000000" w:sz="4" w:space="0"/>
            </w:tcBorders>
            <w:tcW w:w="1016"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shd w:val="clear" w:color="auto" w:fill="auto"/>
            <w:tcBorders>
              <w:top w:val="single" w:color="000000" w:sz="4" w:space="0"/>
              <w:left w:val="single" w:color="000000" w:sz="4" w:space="0"/>
              <w:bottom w:val="single" w:color="000000" w:sz="4" w:space="0"/>
              <w:right w:val="single" w:color="auto"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rPr>
              <w:t xml:space="preserve">绿化管养</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6956</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2026.7</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41</w:t>
            </w:r>
            <w:r/>
          </w:p>
        </w:tc>
        <w:tc>
          <w:tcPr>
            <w:tcBorders>
              <w:top w:val="single" w:color="000000" w:sz="4" w:space="0"/>
              <w:left w:val="single" w:color="000000" w:sz="4" w:space="0"/>
              <w:right w:val="none" w:color="000000" w:sz="4" w:space="0"/>
            </w:tcBorders>
            <w:tcW w:w="1106" w:type="dxa"/>
            <w:vAlign w:val="center"/>
            <w:vMerge w:val="restart"/>
            <w:textDirection w:val="lrTb"/>
            <w:noWrap/>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交通局三院</w:t>
            </w:r>
            <w:r/>
          </w:p>
        </w:tc>
        <w:tc>
          <w:tcPr>
            <w:tcBorders>
              <w:top w:val="single" w:color="000000" w:sz="4" w:space="0"/>
              <w:left w:val="single" w:color="000000" w:sz="4" w:space="0"/>
              <w:right w:val="single" w:color="000000" w:sz="4" w:space="0"/>
            </w:tcBorders>
            <w:tcW w:w="1281" w:type="dxa"/>
            <w:vAlign w:val="center"/>
            <w:vMerge w:val="restart"/>
            <w:textDirection w:val="lrTb"/>
            <w:noWrap/>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交通局三院</w:t>
            </w:r>
            <w:r/>
          </w:p>
        </w:tc>
        <w:tc>
          <w:tcPr>
            <w:tcBorders>
              <w:top w:val="single" w:color="000000" w:sz="4" w:space="0"/>
              <w:left w:val="none" w:color="000000" w:sz="4" w:space="0"/>
              <w:right w:val="none" w:color="000000" w:sz="4" w:space="0"/>
            </w:tcBorders>
            <w:tcW w:w="1016"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28513</w:t>
            </w:r>
            <w:r/>
          </w:p>
        </w:tc>
        <w:tc>
          <w:tcPr>
            <w:shd w:val="clear" w:color="auto" w:fill="auto"/>
            <w:tcBorders>
              <w:top w:val="single" w:color="000000" w:sz="4" w:space="0"/>
              <w:left w:val="single" w:color="000000" w:sz="4" w:space="0"/>
              <w:bottom w:val="single" w:color="000000" w:sz="4" w:space="0"/>
              <w:right w:val="single" w:color="auto"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28513</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left w:val="single" w:color="000000" w:sz="4" w:space="0"/>
              <w:bottom w:val="non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bottom w:val="none" w:color="000000" w:sz="4" w:space="0"/>
              <w:right w:val="none" w:color="000000" w:sz="4" w:space="0"/>
            </w:tcBorders>
            <w:tcW w:w="1106" w:type="dxa"/>
            <w:vAlign w:val="center"/>
            <w:vMerge w:val="continue"/>
            <w:textDirection w:val="lrTb"/>
            <w:noWrap/>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single" w:color="000000" w:sz="4" w:space="0"/>
              <w:bottom w:val="none" w:color="000000" w:sz="4" w:space="0"/>
              <w:right w:val="single" w:color="000000" w:sz="4" w:space="0"/>
            </w:tcBorders>
            <w:tcW w:w="1281" w:type="dxa"/>
            <w:vAlign w:val="center"/>
            <w:vMerge w:val="continue"/>
            <w:textDirection w:val="lrTb"/>
            <w:noWrap/>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left w:val="none" w:color="000000" w:sz="4" w:space="0"/>
              <w:bottom w:val="none" w:color="000000" w:sz="4" w:space="0"/>
              <w:right w:val="none" w:color="000000" w:sz="4" w:space="0"/>
            </w:tcBorders>
            <w:tcW w:w="1016"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shd w:val="clear" w:color="auto" w:fill="auto"/>
            <w:tcBorders>
              <w:top w:val="single" w:color="000000" w:sz="4" w:space="0"/>
              <w:left w:val="single" w:color="000000" w:sz="4" w:space="0"/>
              <w:bottom w:val="single" w:color="000000" w:sz="4" w:space="0"/>
              <w:right w:val="single" w:color="auto" w:sz="4" w:space="0"/>
            </w:tcBorders>
            <w:tcW w:w="784"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highlight w:val="none"/>
              </w:rPr>
              <w:t xml:space="preserve">绿化管养</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7600.5</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tcBorders>
              <w:top w:val="single" w:color="000000" w:sz="4" w:space="0"/>
              <w:left w:val="single" w:color="000000" w:sz="4" w:space="0"/>
              <w:bottom w:val="none" w:color="000000" w:sz="4" w:space="0"/>
              <w:right w:val="single" w:color="000000" w:sz="4" w:space="0"/>
            </w:tcBorders>
            <w:tcW w:w="692"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w:t>
            </w:r>
            <w:r/>
          </w:p>
        </w:tc>
        <w:tc>
          <w:tcPr>
            <w:tcBorders>
              <w:top w:val="single" w:color="000000" w:sz="4" w:space="0"/>
              <w:left w:val="single" w:color="000000" w:sz="4" w:space="0"/>
              <w:bottom w:val="none" w:color="000000" w:sz="4" w:space="0"/>
              <w:right w:val="none" w:color="000000" w:sz="4" w:space="0"/>
            </w:tcBorders>
            <w:tcW w:w="1106" w:type="dxa"/>
            <w:vAlign w:val="center"/>
            <w:vMerge w:val="restart"/>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国税局-地税局</w:t>
            </w:r>
            <w:r/>
          </w:p>
        </w:tc>
        <w:tc>
          <w:tcPr>
            <w:tcBorders>
              <w:top w:val="single" w:color="000000" w:sz="4" w:space="0"/>
              <w:left w:val="single" w:color="000000" w:sz="4" w:space="0"/>
              <w:bottom w:val="none" w:color="000000" w:sz="4" w:space="0"/>
              <w:right w:val="single" w:color="000000" w:sz="4" w:space="0"/>
            </w:tcBorders>
            <w:tcW w:w="1281" w:type="dxa"/>
            <w:vAlign w:val="center"/>
            <w:vMerge w:val="restart"/>
            <w:textDirection w:val="lrTb"/>
            <w:noWrap/>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国税至地税单位庭院</w:t>
            </w:r>
            <w:r/>
          </w:p>
        </w:tc>
        <w:tc>
          <w:tcPr>
            <w:tcBorders>
              <w:top w:val="single" w:color="000000" w:sz="4" w:space="0"/>
              <w:left w:val="none" w:color="000000" w:sz="4" w:space="0"/>
              <w:bottom w:val="none" w:color="000000" w:sz="4" w:space="0"/>
              <w:right w:val="none" w:color="000000" w:sz="4" w:space="0"/>
            </w:tcBorders>
            <w:tcW w:w="1016"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36000</w:t>
            </w:r>
            <w:r/>
          </w:p>
        </w:tc>
        <w:tc>
          <w:tcPr>
            <w:tcBorders>
              <w:top w:val="single" w:color="000000" w:sz="4" w:space="0"/>
              <w:left w:val="single" w:color="000000" w:sz="4" w:space="0"/>
              <w:bottom w:val="single" w:color="000000" w:sz="4" w:space="0"/>
              <w:right w:val="single" w:color="auto" w:sz="4" w:space="0"/>
            </w:tcBorders>
            <w:tcW w:w="78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36000</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45"/>
        </w:trPr>
        <w:tc>
          <w:tcPr>
            <w:shd w:val="clear" w:color="auto" w:fill="auto"/>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single" w:color="000000" w:sz="4" w:space="0"/>
              <w:bottom w:val="none" w:color="000000" w:sz="4" w:space="0"/>
              <w:right w:val="none" w:color="000000" w:sz="4" w:space="0"/>
            </w:tcBorders>
            <w:tcW w:w="1106" w:type="dxa"/>
            <w:vAlign w:val="center"/>
            <w:vMerge w:val="continue"/>
            <w:textDirection w:val="lrTb"/>
            <w:noWrap/>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none" w:color="000000" w:sz="4" w:space="0"/>
              <w:left w:val="single" w:color="000000" w:sz="4" w:space="0"/>
              <w:bottom w:val="none" w:color="000000" w:sz="4" w:space="0"/>
              <w:right w:val="single" w:color="000000" w:sz="4" w:space="0"/>
            </w:tcBorders>
            <w:tcW w:w="1281" w:type="dxa"/>
            <w:vAlign w:val="center"/>
            <w:vMerge w:val="continue"/>
            <w:textDirection w:val="lrTb"/>
            <w:noWrap/>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none" w:color="000000" w:sz="4" w:space="0"/>
              <w:left w:val="none" w:color="000000" w:sz="4" w:space="0"/>
              <w:bottom w:val="none" w:color="000000" w:sz="4" w:space="0"/>
              <w:right w:val="none" w:color="000000" w:sz="4" w:space="0"/>
            </w:tcBorders>
            <w:tcW w:w="1016" w:type="dxa"/>
            <w:vAlign w:val="center"/>
            <w:vMerge w:val="continue"/>
            <w:textDirection w:val="lrTb"/>
            <w:noWrap w:val="false"/>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auto" w:sz="4" w:space="0"/>
            </w:tcBorders>
            <w:tcW w:w="784"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rPr>
              <w:t xml:space="preserve">绿化管养</w:t>
            </w:r>
            <w:r/>
          </w:p>
        </w:tc>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30405.03</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Borders>
              <w:top w:val="none" w:color="000000" w:sz="4" w:space="0"/>
              <w:left w:val="single" w:color="auto" w:sz="4" w:space="0"/>
              <w:bottom w:val="single" w:color="000000" w:sz="4" w:space="0"/>
              <w:right w:val="single" w:color="000000" w:sz="4" w:space="0"/>
            </w:tcBorders>
            <w:tcW w:w="957" w:type="dxa"/>
            <w:vAlign w:val="center"/>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none" w:color="000000" w:sz="4" w:space="0"/>
              <w:right w:val="single" w:color="000000" w:sz="4" w:space="0"/>
            </w:tcBorders>
            <w:tcW w:w="947" w:type="dxa"/>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none" w:color="000000" w:sz="4" w:space="0"/>
              <w:right w:val="single" w:color="000000" w:sz="4" w:space="0"/>
            </w:tcBorders>
            <w:tcW w:w="986" w:type="dxa"/>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r>
      <w:tr>
        <w:trPr>
          <w:jc w:val="center"/>
          <w:trHeight w:val="535"/>
        </w:trPr>
        <w:tc>
          <w:tcPr>
            <w:tcBorders>
              <w:top w:val="non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w:t>
            </w:r>
            <w:r/>
          </w:p>
        </w:tc>
        <w:tc>
          <w:tcPr>
            <w:tcBorders>
              <w:top w:val="single" w:color="000000" w:sz="4" w:space="0"/>
              <w:left w:val="single" w:color="000000" w:sz="4" w:space="0"/>
              <w:bottom w:val="none" w:color="000000" w:sz="4" w:space="0"/>
              <w:right w:val="single" w:color="000000" w:sz="4" w:space="0"/>
            </w:tcBorders>
            <w:tcW w:w="1106"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区政府周边单位庭院</w:t>
            </w:r>
            <w:r/>
          </w:p>
        </w:tc>
        <w:tc>
          <w:tcPr>
            <w:tcBorders>
              <w:top w:val="single" w:color="000000" w:sz="4" w:space="0"/>
              <w:left w:val="single" w:color="000000" w:sz="4" w:space="0"/>
              <w:bottom w:val="none" w:color="000000" w:sz="4" w:space="0"/>
              <w:right w:val="single" w:color="000000" w:sz="4" w:space="0"/>
            </w:tcBorders>
            <w:tcW w:w="1281"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区政府周边单位庭院</w:t>
            </w:r>
            <w:r/>
          </w:p>
        </w:tc>
        <w:tc>
          <w:tcPr>
            <w:tcBorders>
              <w:top w:val="single" w:color="000000" w:sz="4" w:space="0"/>
              <w:left w:val="none" w:color="000000" w:sz="4" w:space="0"/>
              <w:bottom w:val="none" w:color="000000" w:sz="4" w:space="0"/>
              <w:right w:val="none" w:color="000000" w:sz="4" w:space="0"/>
            </w:tcBorders>
            <w:tcW w:w="1016"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77652.3</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auto" w:sz="4" w:space="0"/>
              <w:left w:val="single" w:color="000000" w:sz="4" w:space="0"/>
              <w:bottom w:val="single" w:color="000000" w:sz="4" w:space="0"/>
              <w:right w:val="single" w:color="auto" w:sz="4" w:space="0"/>
            </w:tcBorders>
            <w:tcW w:w="88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77652.3</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tcBorders>
              <w:top w:val="single" w:color="000000" w:sz="4" w:space="0"/>
              <w:left w:val="single" w:color="auto" w:sz="4" w:space="0"/>
              <w:bottom w:val="none" w:color="000000" w:sz="4" w:space="0"/>
              <w:right w:val="single" w:color="000000" w:sz="4" w:space="0"/>
            </w:tcBorders>
            <w:tcW w:w="957" w:type="dxa"/>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47" w:type="dxa"/>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W w:w="986" w:type="dxa"/>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none" w:color="000000" w:sz="4" w:space="0"/>
              <w:left w:val="single" w:color="000000" w:sz="4" w:space="0"/>
              <w:bottom w:val="single" w:color="000000" w:sz="4" w:space="0"/>
              <w:right w:val="single" w:color="000000" w:sz="4" w:space="0"/>
            </w:tcBorders>
            <w:tcW w:w="1106" w:type="dxa"/>
            <w:vAlign w:val="center"/>
            <w:vMerge w:val="continue"/>
            <w:textDirection w:val="lrTb"/>
            <w:noWrap w:val="false"/>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non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none" w:color="000000" w:sz="4" w:space="0"/>
              <w:left w:val="none" w:color="000000" w:sz="4" w:space="0"/>
              <w:bottom w:val="single" w:color="000000" w:sz="4" w:space="0"/>
              <w:right w:val="none" w:color="000000" w:sz="4" w:space="0"/>
            </w:tcBorders>
            <w:tcW w:w="1016" w:type="dxa"/>
            <w:vAlign w:val="center"/>
            <w:vMerge w:val="continue"/>
            <w:textDirection w:val="lrTb"/>
            <w:noWrap w:val="false"/>
          </w:tcPr>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rPr>
              <w:t xml:space="preserve">绿化管养</w:t>
            </w:r>
            <w:r/>
          </w:p>
        </w:tc>
        <w:tc>
          <w:tcPr>
            <w:tcBorders>
              <w:top w:val="single" w:color="000000" w:sz="4" w:space="0"/>
              <w:left w:val="single" w:color="000000" w:sz="4" w:space="0"/>
              <w:bottom w:val="single" w:color="000000" w:sz="4" w:space="0"/>
              <w:right w:val="single" w:color="auto"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61108.65</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36</w:t>
            </w:r>
            <w:r/>
          </w:p>
        </w:tc>
        <w:tc>
          <w:tcPr>
            <w:tcBorders>
              <w:top w:val="none" w:color="000000" w:sz="4" w:space="0"/>
              <w:left w:val="single" w:color="auto" w:sz="4" w:space="0"/>
              <w:bottom w:val="single" w:color="000000" w:sz="4" w:space="0"/>
              <w:right w:val="single" w:color="000000" w:sz="4" w:space="0"/>
            </w:tcBorders>
            <w:tcW w:w="957" w:type="dxa"/>
            <w:vAlign w:val="center"/>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single" w:color="000000" w:sz="4" w:space="0"/>
              <w:right w:val="single" w:color="000000" w:sz="4" w:space="0"/>
            </w:tcBorders>
            <w:tcW w:w="947" w:type="dxa"/>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single" w:color="000000" w:sz="4" w:space="0"/>
              <w:right w:val="single" w:color="000000" w:sz="4" w:space="0"/>
            </w:tcBorders>
            <w:tcW w:w="986" w:type="dxa"/>
            <w:vMerge w:val="continue"/>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44</w:t>
            </w:r>
            <w:r/>
          </w:p>
        </w:tc>
        <w:tc>
          <w:tcPr>
            <w:tcBorders>
              <w:top w:val="non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红星凯盛门口保洁</w:t>
            </w:r>
            <w:r/>
          </w:p>
        </w:tc>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红星凯盛门口保洁</w:t>
            </w:r>
            <w:r/>
          </w:p>
        </w:tc>
        <w:tc>
          <w:tcPr>
            <w:tcBorders>
              <w:top w:val="none" w:color="000000" w:sz="4" w:space="0"/>
              <w:left w:val="none" w:color="000000" w:sz="4" w:space="0"/>
              <w:bottom w:val="single" w:color="000000" w:sz="4" w:space="0"/>
              <w:right w:val="none" w:color="000000" w:sz="4" w:space="0"/>
            </w:tcBorders>
            <w:tcW w:w="1016" w:type="dxa"/>
            <w:vAlign w:val="center"/>
            <w:textDirection w:val="lrTb"/>
            <w:noWrap w:val="false"/>
          </w:tcPr>
          <w:p>
            <w:pPr>
              <w:jc w:val="center"/>
              <w:widowControl/>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3600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lang w:bidi="ar"/>
              </w:rPr>
            </w:r>
            <w:r/>
          </w:p>
        </w:tc>
        <w:tc>
          <w:tcPr>
            <w:tcBorders>
              <w:top w:val="single" w:color="000000" w:sz="4" w:space="0"/>
              <w:left w:val="single" w:color="000000" w:sz="4" w:space="0"/>
              <w:bottom w:val="single" w:color="000000" w:sz="4" w:space="0"/>
              <w:right w:val="single" w:color="auto"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3600</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none" w:color="000000" w:sz="4" w:space="0"/>
              <w:left w:val="single" w:color="auto" w:sz="4" w:space="0"/>
              <w:bottom w:val="single" w:color="000000" w:sz="4" w:space="0"/>
              <w:right w:val="single" w:color="000000" w:sz="4" w:space="0"/>
            </w:tcBorders>
            <w:tcW w:w="957"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single" w:color="000000" w:sz="4" w:space="0"/>
              <w:right w:val="single" w:color="000000" w:sz="4" w:space="0"/>
            </w:tcBorders>
            <w:tcW w:w="947" w:type="dxa"/>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single" w:color="000000" w:sz="4" w:space="0"/>
              <w:right w:val="single" w:color="000000" w:sz="4" w:space="0"/>
            </w:tcBorders>
            <w:tcW w:w="986" w:type="dxa"/>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r>
      <w:tr>
        <w:trPr>
          <w:jc w:val="center"/>
          <w:trHeight w:val="567"/>
        </w:trPr>
        <w:tc>
          <w:tcPr>
            <w:tcBorders>
              <w:top w:val="non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45</w:t>
            </w:r>
            <w:r/>
          </w:p>
        </w:tc>
        <w:tc>
          <w:tcPr>
            <w:tcBorders>
              <w:top w:val="non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金沙江路沿线（中塑路-天山路沿线广场园路保洁）</w:t>
            </w:r>
            <w:r/>
          </w:p>
        </w:tc>
        <w:tc>
          <w:tcPr>
            <w:tcBorders>
              <w:top w:val="non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widowControl/>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金沙江路沿线（中塑路-天山路沿线广场园路保洁）</w:t>
            </w:r>
            <w:r/>
          </w:p>
        </w:tc>
        <w:tc>
          <w:tcPr>
            <w:tcBorders>
              <w:top w:val="none" w:color="000000" w:sz="4" w:space="0"/>
              <w:left w:val="none" w:color="000000" w:sz="4" w:space="0"/>
              <w:bottom w:val="single" w:color="000000" w:sz="4" w:space="0"/>
              <w:right w:val="none" w:color="000000" w:sz="4" w:space="0"/>
            </w:tcBorders>
            <w:tcW w:w="1016" w:type="dxa"/>
            <w:vAlign w:val="center"/>
            <w:textDirection w:val="lrTb"/>
            <w:noWrap w:val="false"/>
          </w:tcPr>
          <w:p>
            <w:pPr>
              <w:jc w:val="center"/>
              <w:widowControl/>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3413.6</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物业</w:t>
            </w:r>
            <w:r>
              <w:rPr>
                <w:rFonts w:hint="eastAsia" w:ascii="宋体" w:hAnsi="宋体" w:eastAsia="宋体" w:cs="宋体"/>
                <w:color w:val="auto"/>
                <w:highlight w:val="none"/>
                <w:lang w:bidi="ar"/>
              </w:rPr>
              <w:t xml:space="preserve">服务</w:t>
            </w: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auto" w:sz="4" w:space="0"/>
            </w:tcBorders>
            <w:tcW w:w="88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3413.6</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eastAsia="zh-CN" w:bidi="ar"/>
              </w:rPr>
              <w:t xml:space="preserve">2024.12.15</w:t>
            </w:r>
            <w:r/>
          </w:p>
        </w:tc>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widowControl/>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36</w:t>
            </w:r>
            <w:r/>
          </w:p>
        </w:tc>
        <w:tc>
          <w:tcPr>
            <w:tcBorders>
              <w:top w:val="none" w:color="000000" w:sz="4" w:space="0"/>
              <w:left w:val="single" w:color="auto" w:sz="4" w:space="0"/>
              <w:bottom w:val="single" w:color="000000" w:sz="4" w:space="0"/>
              <w:right w:val="single" w:color="000000" w:sz="4" w:space="0"/>
            </w:tcBorders>
            <w:tcW w:w="957"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single" w:color="000000" w:sz="4" w:space="0"/>
              <w:right w:val="single" w:color="000000" w:sz="4" w:space="0"/>
            </w:tcBorders>
            <w:tcW w:w="947" w:type="dxa"/>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c>
          <w:tcPr>
            <w:tcBorders>
              <w:top w:val="none" w:color="000000" w:sz="4" w:space="0"/>
              <w:left w:val="none" w:color="000000" w:sz="4" w:space="0"/>
              <w:bottom w:val="single" w:color="000000" w:sz="4" w:space="0"/>
              <w:right w:val="single" w:color="000000" w:sz="4" w:space="0"/>
            </w:tcBorders>
            <w:tcW w:w="986" w:type="dxa"/>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tc>
      </w:tr>
      <w:tr>
        <w:trPr>
          <w:jc w:val="center"/>
          <w:trHeight w:val="452"/>
        </w:trPr>
        <w:tc>
          <w:tcPr>
            <w:gridSpan w:val="3"/>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4" w:type="dxa"/>
            <w:vAlign w:val="bottom"/>
            <w:textDirection w:val="lrTb"/>
            <w:noWrap/>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89" w:type="dxa"/>
            <w:vAlign w:val="bottom"/>
            <w:textDirection w:val="lrTb"/>
            <w:noWrap/>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11"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4" w:space="0"/>
              <w:left w:val="single" w:color="000000" w:sz="4" w:space="0"/>
              <w:bottom w:val="single" w:color="000000" w:sz="4" w:space="0"/>
              <w:right w:val="single" w:color="000000" w:sz="4" w:space="0"/>
            </w:tcBorders>
            <w:tcW w:w="739" w:type="dxa"/>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47" w:type="dxa"/>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cs="宋体"/>
          <w:b/>
          <w:color w:val="auto"/>
          <w:highlight w:val="none"/>
        </w:rPr>
      </w:pPr>
      <w:r>
        <w:rPr>
          <w:rFonts w:hint="eastAsia" w:ascii="宋体" w:hAnsi="宋体" w:cs="宋体"/>
          <w:b/>
          <w:color w:val="auto"/>
          <w:highlight w:val="none"/>
        </w:rPr>
        <w:t xml:space="preserve">填写说明：</w:t>
      </w:r>
      <w:r/>
    </w:p>
    <w:p>
      <w:pPr>
        <w:numPr>
          <w:ilvl w:val="0"/>
          <w:numId w:val="0"/>
        </w:numPr>
        <w:ind w:firstLine="422"/>
        <w:rPr>
          <w:rFonts w:hint="eastAsia" w:ascii="宋体" w:hAnsi="宋体" w:eastAsia="宋体" w:cs="宋体"/>
          <w:b/>
          <w:color w:val="auto"/>
          <w:highlight w:val="none"/>
        </w:rPr>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b/>
          <w:color w:val="auto"/>
          <w:highlight w:val="none"/>
        </w:rPr>
        <w:t xml:space="preserve">二级管养</w:t>
      </w:r>
      <w:r>
        <w:rPr>
          <w:rFonts w:hint="eastAsia" w:ascii="宋体" w:hAnsi="宋体" w:eastAsia="宋体" w:cs="宋体"/>
          <w:b/>
          <w:color w:val="auto"/>
          <w:highlight w:val="none"/>
        </w:rPr>
        <w:t xml:space="preserve">绿化管养</w:t>
      </w:r>
      <w:r>
        <w:rPr>
          <w:rFonts w:hint="eastAsia" w:ascii="宋体" w:hAnsi="宋体" w:eastAsia="宋体" w:cs="宋体"/>
          <w:b/>
          <w:color w:val="auto"/>
          <w:highlight w:val="none"/>
        </w:rPr>
        <w:t xml:space="preserve">单价限价为7元/m2/年，1个管养级别应只报1种价格，超过此限价或不符此要求的为无效报价，作无效标处理；</w:t>
      </w:r>
      <w:r/>
    </w:p>
    <w:p>
      <w:pPr>
        <w:numPr>
          <w:ilvl w:val="0"/>
          <w:numId w:val="0"/>
        </w:numPr>
        <w:ind w:firstLine="422"/>
        <w:rPr>
          <w:rFonts w:hint="eastAsia" w:ascii="宋体" w:hAnsi="宋体" w:eastAsia="宋体" w:cs="宋体"/>
          <w:b/>
          <w:color w:val="auto"/>
          <w:highlight w:val="none"/>
        </w:rPr>
      </w:pPr>
      <w:r>
        <w:rPr>
          <w:rFonts w:hint="eastAsia" w:ascii="宋体" w:hAnsi="宋体" w:eastAsia="宋体" w:cs="宋体"/>
          <w:b/>
          <w:color w:val="auto"/>
          <w:sz w:val="21"/>
          <w:szCs w:val="21"/>
          <w:highlight w:val="none"/>
          <w:lang w:val="en-US" w:eastAsia="zh-CN" w:bidi="ar-SA"/>
        </w:rPr>
        <w:t xml:space="preserve">2.</w:t>
      </w:r>
      <w:r>
        <w:rPr>
          <w:rFonts w:hint="eastAsia" w:ascii="宋体" w:hAnsi="宋体" w:eastAsia="宋体" w:cs="宋体"/>
          <w:b/>
          <w:color w:val="auto"/>
          <w:highlight w:val="none"/>
          <w:lang w:eastAsia="zh-CN"/>
        </w:rPr>
        <w:t xml:space="preserve">二级管养物业</w:t>
      </w:r>
      <w:r>
        <w:rPr>
          <w:rFonts w:hint="eastAsia" w:ascii="宋体" w:hAnsi="宋体" w:eastAsia="宋体" w:cs="宋体"/>
          <w:b/>
          <w:color w:val="auto"/>
          <w:highlight w:val="none"/>
          <w:lang w:eastAsia="zh-CN"/>
        </w:rPr>
        <w:t xml:space="preserve">服务</w:t>
      </w:r>
      <w:r>
        <w:rPr>
          <w:rFonts w:hint="eastAsia" w:ascii="宋体" w:hAnsi="宋体" w:eastAsia="宋体" w:cs="宋体"/>
          <w:b/>
          <w:color w:val="auto"/>
          <w:highlight w:val="none"/>
          <w:lang w:eastAsia="zh-CN"/>
        </w:rPr>
        <w:t xml:space="preserve">单价限价</w:t>
      </w:r>
      <w:r>
        <w:rPr>
          <w:rFonts w:hint="eastAsia" w:ascii="宋体" w:hAnsi="宋体" w:eastAsia="宋体" w:cs="宋体"/>
          <w:b/>
          <w:color w:val="auto"/>
          <w:highlight w:val="none"/>
        </w:rPr>
        <w:t xml:space="preserve">为3元/m2/年，应只报1种价格，超过此限价或不符此要求的为无效报价，作无效标处理；</w:t>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 xml:space="preserve">3. J= (I*F)/12，月管养费为单块绿地年管养费除以12个月；</w:t>
      </w:r>
      <w:r/>
    </w:p>
    <w:p>
      <w:pPr>
        <w:ind w:firstLine="422"/>
        <w:rPr>
          <w:rFonts w:hint="eastAsia" w:ascii="宋体" w:hAnsi="宋体" w:cs="宋体"/>
          <w:b/>
          <w:color w:val="auto"/>
          <w:sz w:val="28"/>
          <w:szCs w:val="28"/>
          <w:highlight w:val="none"/>
        </w:rPr>
      </w:pPr>
      <w:r>
        <w:rPr>
          <w:rFonts w:hint="eastAsia" w:ascii="宋体" w:hAnsi="宋体" w:eastAsia="宋体" w:cs="宋体"/>
          <w:b/>
          <w:color w:val="auto"/>
          <w:highlight w:val="none"/>
        </w:rPr>
        <w:t xml:space="preserve">4. K=J*H，因每块绿地的移交时间不一致，故每块绿地管养期限不一，本项需以月管养费乘以第H项管养期限得出。</w:t>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（3）三级管养绿地管养费详细报价清单</w:t>
      </w:r>
      <w:r/>
    </w:p>
    <w:tbl>
      <w:tblPr>
        <w:tblStyle w:val="846"/>
        <w:tblW w:w="9588" w:type="dxa"/>
        <w:tblInd w:w="-477" w:type="dxa"/>
        <w:tblLayout w:type="fixed"/>
        <w:tblCellMar>
          <w:left w:w="108" w:type="dxa"/>
          <w:top w:w="0" w:type="dxa"/>
          <w:right w:w="108" w:type="dxa"/>
          <w:bottom w:w="0" w:type="dxa"/>
        </w:tblCellMar>
        <w:tblLook w:val="04A0" w:firstRow="1" w:lastRow="0" w:firstColumn="1" w:lastColumn="0" w:noHBand="0" w:noVBand="1"/>
      </w:tblPr>
      <w:tblGrid>
        <w:gridCol w:w="692"/>
        <w:gridCol w:w="1293"/>
        <w:gridCol w:w="1327"/>
        <w:gridCol w:w="1316"/>
        <w:gridCol w:w="1003"/>
        <w:gridCol w:w="761"/>
        <w:gridCol w:w="1061"/>
        <w:gridCol w:w="912"/>
        <w:gridCol w:w="1223"/>
      </w:tblGrid>
      <w:tr>
        <w:trPr>
          <w:trHeight w:val="9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b/>
                <w:bCs/>
                <w:color w:val="auto"/>
                <w:highlight w:val="none"/>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b/>
                <w:bCs/>
                <w:color w:val="auto"/>
                <w:highlight w:val="none"/>
                <w:lang w:bidi="ar"/>
              </w:rPr>
              <w:t xml:space="preserve">范围或位置</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b/>
                <w:bCs/>
                <w:color w:val="auto"/>
                <w:highlight w:val="none"/>
                <w:lang w:bidi="ar"/>
              </w:rPr>
              <w:t xml:space="preserve">管养绿地面积（㎡）</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预计移交时间</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b/>
                <w:bCs/>
                <w:color w:val="auto"/>
                <w:highlight w:val="none"/>
                <w:lang w:bidi="ar"/>
              </w:rPr>
              <w:t xml:space="preserve">管养期限（月)</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left"/>
              <w:spacing w:line="36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管养费</w:t>
            </w:r>
            <w:r/>
          </w:p>
          <w:p>
            <w:pPr>
              <w:jc w:val="left"/>
              <w:spacing w:line="36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单价（元</w:t>
            </w:r>
            <w:r/>
          </w:p>
          <w:p>
            <w:pPr>
              <w:jc w:val="left"/>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/m2/年）</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b/>
                <w:bCs/>
                <w:color w:val="auto"/>
                <w:highlight w:val="none"/>
                <w:lang w:bidi="ar"/>
              </w:rPr>
              <w:t xml:space="preserve">月管养费报价（元）</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spacing w:line="30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合同期管</w:t>
            </w:r>
            <w:r/>
          </w:p>
          <w:p>
            <w:pPr>
              <w:jc w:val="center"/>
              <w:spacing w:line="30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养费报价</w:t>
            </w:r>
            <w:r/>
          </w:p>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（元）</w:t>
            </w:r>
            <w:r/>
          </w:p>
        </w:tc>
      </w:tr>
      <w:tr>
        <w:trPr>
          <w:trHeight w:val="409"/>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C</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F</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H</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I</w:t>
            </w:r>
            <w:r/>
          </w:p>
        </w:tc>
      </w:tr>
      <w:tr>
        <w:trPr>
          <w:trHeight w:val="1400"/>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宿支路环城林带景观工程</w:t>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宿支路环城林带景观工程</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152574.28</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2024.9.15</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23"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580"/>
        </w:trPr>
        <w:tc>
          <w:tcPr>
            <w:gridSpan w:val="3"/>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03"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61"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23"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b/>
          <w:color w:val="auto"/>
          <w:highlight w:val="none"/>
        </w:rPr>
      </w:pPr>
      <w:r>
        <w:rPr>
          <w:rFonts w:hint="eastAsia" w:ascii="宋体" w:hAnsi="宋体" w:cs="宋体"/>
          <w:b/>
          <w:color w:val="auto"/>
          <w:highlight w:val="none"/>
        </w:rPr>
        <w:t xml:space="preserve">填写说明：</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1.三级管养</w:t>
      </w:r>
      <w:r>
        <w:rPr>
          <w:rFonts w:hint="eastAsia" w:ascii="宋体" w:hAnsi="宋体" w:eastAsia="宋体" w:cs="宋体"/>
          <w:b/>
          <w:color w:val="auto"/>
          <w:highlight w:val="none"/>
        </w:rPr>
        <w:t xml:space="preserve">绿化管养</w:t>
      </w:r>
      <w:r>
        <w:rPr>
          <w:rFonts w:hint="eastAsia" w:ascii="宋体" w:hAnsi="宋体" w:cs="宋体"/>
          <w:b/>
          <w:color w:val="auto"/>
          <w:highlight w:val="none"/>
        </w:rPr>
        <w:t xml:space="preserve">单价限价为 3.5元/m2/年，1 个管养级别应只报1种价格，超过此限价或不符此要求的为无效报价，作无效标处理；</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2.H= (G*D)/12，月管养费为单块绿地年管养费除以12个月；</w:t>
      </w:r>
      <w:r/>
    </w:p>
    <w:p>
      <w:pPr>
        <w:ind w:firstLine="422"/>
        <w:rPr>
          <w:rFonts w:hint="eastAsia" w:ascii="宋体" w:hAnsi="宋体" w:cs="宋体"/>
          <w:b/>
          <w:color w:val="auto"/>
          <w:sz w:val="28"/>
          <w:szCs w:val="28"/>
          <w:highlight w:val="none"/>
        </w:rPr>
      </w:pPr>
      <w:r>
        <w:rPr>
          <w:rFonts w:hint="eastAsia" w:ascii="宋体" w:hAnsi="宋体" w:cs="宋体"/>
          <w:b/>
          <w:color w:val="auto"/>
          <w:highlight w:val="none"/>
        </w:rPr>
        <w:t xml:space="preserve">3.I=H*F，因每块绿地的移交时间不一致，故每块绿地管养期限不一，本项需以月管养费乘以第 F项管养期限得出。</w:t>
      </w:r>
      <w:r>
        <w:rPr>
          <w:rFonts w:hint="eastAsia" w:ascii="宋体" w:hAnsi="宋体" w:cs="宋体"/>
          <w:b/>
          <w:color w:val="auto"/>
          <w:highlight w:val="none"/>
        </w:rPr>
        <w:tab/>
      </w:r>
      <w:r>
        <w:rPr>
          <w:rFonts w:hint="eastAsia" w:ascii="宋体" w:hAnsi="宋体" w:cs="宋体"/>
          <w:b/>
          <w:color w:val="auto"/>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（4）行道树</w:t>
      </w:r>
      <w:r/>
    </w:p>
    <w:tbl>
      <w:tblPr>
        <w:tblStyle w:val="846"/>
        <w:tblW w:w="9098" w:type="dxa"/>
        <w:jc w:val="center"/>
        <w:tblLayout w:type="fixed"/>
        <w:tblCellMar>
          <w:left w:w="108" w:type="dxa"/>
          <w:top w:w="0" w:type="dxa"/>
          <w:right w:w="108" w:type="dxa"/>
          <w:bottom w:w="0" w:type="dxa"/>
        </w:tblCellMar>
        <w:tblLook w:val="04A0" w:firstRow="1" w:lastRow="0" w:firstColumn="1" w:lastColumn="0" w:noHBand="0" w:noVBand="1"/>
      </w:tblPr>
      <w:tblGrid>
        <w:gridCol w:w="673"/>
        <w:gridCol w:w="800"/>
        <w:gridCol w:w="675"/>
        <w:gridCol w:w="999"/>
        <w:gridCol w:w="1037"/>
        <w:gridCol w:w="1130"/>
        <w:gridCol w:w="1100"/>
        <w:gridCol w:w="1387"/>
        <w:gridCol w:w="1297"/>
      </w:tblGrid>
      <w:tr>
        <w:trPr>
          <w:jc w:val="center"/>
          <w:trHeight w:val="510"/>
        </w:trPr>
        <w:tc>
          <w:tcPr>
            <w:gridSpan w:val="9"/>
            <w:tcBorders>
              <w:top w:val="single" w:color="000000" w:sz="4" w:space="0"/>
              <w:left w:val="single" w:color="000000" w:sz="4" w:space="0"/>
              <w:bottom w:val="single" w:color="000000" w:sz="4" w:space="0"/>
              <w:right w:val="single" w:color="000000" w:sz="4" w:space="0"/>
            </w:tcBorders>
            <w:tcW w:w="9098" w:type="dxa"/>
            <w:vAlign w:val="center"/>
            <w:textDirection w:val="lrTb"/>
            <w:noWrap w:val="false"/>
          </w:tcPr>
          <w:p>
            <w:pPr>
              <w:jc w:val="center"/>
              <w:spacing w:line="300" w:lineRule="exact"/>
              <w:widowControl/>
              <w:rPr>
                <w:rFonts w:hint="eastAsia" w:ascii="宋体" w:hAnsi="宋体" w:cs="宋体"/>
                <w:b/>
                <w:bCs/>
                <w:color w:val="auto"/>
                <w:highlight w:val="none"/>
                <w:lang w:bidi="ar"/>
              </w:rPr>
            </w:pPr>
            <w:r>
              <w:rPr>
                <w:rFonts w:hint="default" w:ascii="宋体" w:hAnsi="宋体" w:eastAsia="宋体" w:cs="宋体"/>
                <w:b/>
                <w:color w:val="auto"/>
                <w:sz w:val="28"/>
                <w:szCs w:val="28"/>
                <w:highlight w:val="none"/>
              </w:rPr>
              <w:t xml:space="preserve">一级养护</w:t>
            </w:r>
            <w:r>
              <w:rPr>
                <w:rFonts w:hint="eastAsia" w:ascii="宋体" w:hAnsi="宋体" w:eastAsia="宋体" w:cs="宋体"/>
                <w:b/>
                <w:color w:val="auto"/>
                <w:sz w:val="28"/>
                <w:szCs w:val="28"/>
                <w:highlight w:val="none"/>
              </w:rPr>
              <w:t xml:space="preserve">-</w:t>
            </w:r>
            <w:r>
              <w:rPr>
                <w:rFonts w:hint="default" w:ascii="宋体" w:hAnsi="宋体" w:eastAsia="宋体" w:cs="宋体"/>
                <w:b/>
                <w:color w:val="auto"/>
                <w:sz w:val="28"/>
                <w:szCs w:val="28"/>
                <w:highlight w:val="none"/>
              </w:rPr>
              <w:t xml:space="preserve">行道树养护管养费详细报价清单</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养护品种</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地点</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数量</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预计移交时间</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管养期限（月）</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最高限价（元/月/株）</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管养费</w:t>
            </w:r>
            <w:r>
              <w:rPr>
                <w:rFonts w:hint="eastAsia" w:ascii="宋体" w:hAnsi="宋体" w:cs="宋体"/>
                <w:b/>
                <w:bCs/>
                <w:color w:val="auto"/>
                <w:highlight w:val="none"/>
                <w:lang w:bidi="ar"/>
              </w:rPr>
              <w:br w:type="textWrapping" w:clear="all"/>
            </w:r>
            <w:r>
              <w:rPr>
                <w:rFonts w:hint="eastAsia" w:ascii="宋体" w:hAnsi="宋体" w:cs="宋体"/>
                <w:b/>
                <w:bCs/>
                <w:color w:val="auto"/>
                <w:highlight w:val="none"/>
                <w:lang w:bidi="ar"/>
              </w:rPr>
              <w:t xml:space="preserve">单价（元/月/株）</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合同期管</w:t>
            </w:r>
            <w:r>
              <w:rPr>
                <w:rFonts w:hint="eastAsia" w:ascii="宋体" w:hAnsi="宋体" w:cs="宋体"/>
                <w:b/>
                <w:bCs/>
                <w:color w:val="auto"/>
                <w:highlight w:val="none"/>
                <w:lang w:bidi="ar"/>
              </w:rPr>
              <w:br w:type="textWrapping" w:clear="all"/>
            </w:r>
            <w:r>
              <w:rPr>
                <w:rFonts w:hint="eastAsia" w:ascii="宋体" w:hAnsi="宋体" w:cs="宋体"/>
                <w:b/>
                <w:bCs/>
                <w:color w:val="auto"/>
                <w:highlight w:val="none"/>
                <w:lang w:bidi="ar"/>
              </w:rPr>
              <w:t xml:space="preserve">养费报价（元）</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673"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999"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037"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F</w:t>
            </w:r>
            <w:r/>
          </w:p>
        </w:tc>
        <w:tc>
          <w:tcPr>
            <w:tcBorders>
              <w:top w:val="single" w:color="000000" w:sz="4" w:space="0"/>
              <w:left w:val="single" w:color="000000" w:sz="4" w:space="0"/>
              <w:bottom w:val="single" w:color="000000" w:sz="4" w:space="0"/>
              <w:right w:val="single" w:color="000000" w:sz="4" w:space="0"/>
            </w:tcBorders>
            <w:tcW w:w="113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110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H</w:t>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I</w:t>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K</w:t>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落叶乔木</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城区道路</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1540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4.19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落叶乔木</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西楚绿廊</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1604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2025.12.30</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4.19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bidi="ar"/>
              </w:rPr>
              <w:t xml:space="preserve">落叶乔木</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bidi="ar"/>
              </w:rPr>
              <w:t xml:space="preserve">洪泽湖路南侧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highlight w:val="none"/>
                <w:lang w:bidi="ar"/>
              </w:rPr>
              <w:t xml:space="preserve">2025.5.15</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4.19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常绿乔木</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城区道路</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1149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3.1</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578"/>
        </w:trPr>
        <w:tc>
          <w:tcPr>
            <w:gridSpan w:val="7"/>
            <w:tcBorders>
              <w:top w:val="single" w:color="000000" w:sz="4" w:space="0"/>
              <w:left w:val="single" w:color="000000" w:sz="4" w:space="0"/>
              <w:bottom w:val="single" w:color="000000" w:sz="4" w:space="0"/>
              <w:right w:val="single" w:color="000000" w:sz="4" w:space="0"/>
            </w:tcBorders>
            <w:tcW w:w="6414" w:type="dxa"/>
            <w:vAlign w:val="center"/>
            <w:textDirection w:val="lrTb"/>
            <w:noWrap w:val="false"/>
          </w:tcPr>
          <w:p>
            <w:pPr>
              <w:jc w:val="center"/>
              <w:spacing w:line="30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小计</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gridSpan w:val="9"/>
            <w:tcBorders>
              <w:top w:val="single" w:color="000000" w:sz="4" w:space="0"/>
              <w:left w:val="single" w:color="000000" w:sz="4" w:space="0"/>
              <w:bottom w:val="single" w:color="000000" w:sz="4" w:space="0"/>
              <w:right w:val="single" w:color="000000" w:sz="4" w:space="0"/>
            </w:tcBorders>
            <w:tcW w:w="9098" w:type="dxa"/>
            <w:vAlign w:val="center"/>
            <w:textDirection w:val="lrTb"/>
            <w:noWrap w:val="false"/>
          </w:tcPr>
          <w:p>
            <w:pPr>
              <w:jc w:val="center"/>
              <w:spacing w:line="300" w:lineRule="exact"/>
              <w:widowControl/>
              <w:rPr>
                <w:rFonts w:hint="eastAsia" w:ascii="宋体" w:hAnsi="宋体" w:cs="宋体"/>
                <w:b/>
                <w:bCs/>
                <w:color w:val="auto"/>
                <w:highlight w:val="none"/>
                <w:lang w:bidi="ar"/>
              </w:rPr>
            </w:pPr>
            <w:r>
              <w:rPr>
                <w:rFonts w:hint="eastAsia" w:ascii="宋体" w:hAnsi="宋体" w:cs="宋体"/>
                <w:b/>
                <w:color w:val="auto"/>
                <w:sz w:val="28"/>
                <w:szCs w:val="28"/>
                <w:highlight w:val="none"/>
              </w:rPr>
              <w:t xml:space="preserve">二级养护-行道树养护管养费详细报价清单</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养护品种</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地点</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数量</w:t>
            </w:r>
            <w:r>
              <w:rPr>
                <w:rFonts w:hint="eastAsia" w:ascii="宋体" w:hAnsi="宋体" w:cs="宋体"/>
                <w:b/>
                <w:bCs/>
                <w:color w:val="auto"/>
                <w:highlight w:val="none"/>
                <w:lang w:eastAsia="zh-CN" w:bidi="ar"/>
              </w:rPr>
              <w:t xml:space="preserve">（</w:t>
            </w:r>
            <w:r>
              <w:rPr>
                <w:rFonts w:hint="eastAsia" w:ascii="宋体" w:hAnsi="宋体" w:cs="宋体"/>
                <w:b/>
                <w:bCs/>
                <w:color w:val="auto"/>
                <w:highlight w:val="none"/>
                <w:lang w:bidi="ar"/>
              </w:rPr>
              <w:t xml:space="preserve">株）</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预计移交时间</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left"/>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管养期限（月）</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最高限价（元/月/株）</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管养费</w:t>
            </w:r>
            <w:r>
              <w:rPr>
                <w:rFonts w:hint="eastAsia" w:ascii="宋体" w:hAnsi="宋体" w:cs="宋体"/>
                <w:b/>
                <w:bCs/>
                <w:color w:val="auto"/>
                <w:highlight w:val="none"/>
                <w:lang w:bidi="ar"/>
              </w:rPr>
              <w:br w:type="textWrapping" w:clear="all"/>
            </w:r>
            <w:r>
              <w:rPr>
                <w:rFonts w:hint="eastAsia" w:ascii="宋体" w:hAnsi="宋体" w:cs="宋体"/>
                <w:b/>
                <w:bCs/>
                <w:color w:val="auto"/>
                <w:highlight w:val="none"/>
                <w:lang w:bidi="ar"/>
              </w:rPr>
              <w:t xml:space="preserve">单价（元/月/株）</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合同期管</w:t>
            </w:r>
            <w:r>
              <w:rPr>
                <w:rFonts w:hint="eastAsia" w:ascii="宋体" w:hAnsi="宋体" w:cs="宋体"/>
                <w:b/>
                <w:bCs/>
                <w:color w:val="auto"/>
                <w:highlight w:val="none"/>
                <w:lang w:bidi="ar"/>
              </w:rPr>
              <w:br w:type="textWrapping" w:clear="all"/>
            </w:r>
            <w:r>
              <w:rPr>
                <w:rFonts w:hint="eastAsia" w:ascii="宋体" w:hAnsi="宋体" w:cs="宋体"/>
                <w:b/>
                <w:bCs/>
                <w:color w:val="auto"/>
                <w:highlight w:val="none"/>
                <w:lang w:bidi="ar"/>
              </w:rPr>
              <w:t xml:space="preserve">养费报价（元）</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73"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999"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037"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F</w:t>
            </w:r>
            <w:r/>
          </w:p>
        </w:tc>
        <w:tc>
          <w:tcPr>
            <w:tcBorders>
              <w:top w:val="single" w:color="000000" w:sz="4" w:space="0"/>
              <w:left w:val="single" w:color="000000" w:sz="4" w:space="0"/>
              <w:bottom w:val="single" w:color="000000" w:sz="4" w:space="0"/>
              <w:right w:val="single" w:color="000000" w:sz="4" w:space="0"/>
            </w:tcBorders>
            <w:tcW w:w="113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G</w:t>
            </w:r>
            <w:r/>
          </w:p>
        </w:tc>
        <w:tc>
          <w:tcPr>
            <w:tcBorders>
              <w:top w:val="single" w:color="000000" w:sz="4" w:space="0"/>
              <w:left w:val="single" w:color="000000" w:sz="4" w:space="0"/>
              <w:bottom w:val="single" w:color="000000" w:sz="4" w:space="0"/>
              <w:right w:val="single" w:color="000000" w:sz="4" w:space="0"/>
            </w:tcBorders>
            <w:tcW w:w="110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H</w:t>
            </w:r>
            <w:r/>
          </w:p>
        </w:tc>
        <w:tc>
          <w:tcPr>
            <w:tcBorders>
              <w:top w:val="single" w:color="000000" w:sz="4" w:space="0"/>
              <w:left w:val="single" w:color="000000" w:sz="4" w:space="0"/>
              <w:bottom w:val="single" w:color="000000" w:sz="4" w:space="0"/>
              <w:right w:val="single" w:color="000000" w:sz="4" w:space="0"/>
            </w:tcBorders>
            <w:tcW w:w="1387"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I</w:t>
            </w:r>
            <w:r/>
          </w:p>
        </w:tc>
        <w:tc>
          <w:tcPr>
            <w:tcBorders>
              <w:top w:val="single" w:color="000000" w:sz="4" w:space="0"/>
              <w:left w:val="single" w:color="000000" w:sz="4" w:space="0"/>
              <w:bottom w:val="single" w:color="000000" w:sz="4" w:space="0"/>
              <w:right w:val="single" w:color="000000" w:sz="4" w:space="0"/>
            </w:tcBorders>
            <w:tcW w:w="1297"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K</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常绿乔木</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城区道路</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落叶乔木</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城区道路</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10890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eastAsia="zh-CN" w:bidi="ar"/>
              </w:rPr>
              <w:t xml:space="preserve">2024.12.15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4.14</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gridSpan w:val="7"/>
            <w:tcBorders>
              <w:top w:val="single" w:color="000000" w:sz="4" w:space="0"/>
              <w:left w:val="single" w:color="000000" w:sz="4" w:space="0"/>
              <w:bottom w:val="single" w:color="000000" w:sz="4" w:space="0"/>
              <w:right w:val="single" w:color="000000" w:sz="4" w:space="0"/>
            </w:tcBorders>
            <w:tcW w:w="6414" w:type="dxa"/>
            <w:vAlign w:val="center"/>
            <w:textDirection w:val="lrTb"/>
            <w:noWrap w:val="false"/>
          </w:tcPr>
          <w:p>
            <w:pPr>
              <w:jc w:val="center"/>
              <w:spacing w:line="30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小计</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590"/>
        </w:trPr>
        <w:tc>
          <w:tcPr>
            <w:gridSpan w:val="7"/>
            <w:tcBorders>
              <w:top w:val="single" w:color="000000" w:sz="4" w:space="0"/>
              <w:left w:val="single" w:color="000000" w:sz="4" w:space="0"/>
              <w:bottom w:val="single" w:color="000000" w:sz="4" w:space="0"/>
              <w:right w:val="single" w:color="000000" w:sz="4" w:space="0"/>
            </w:tcBorders>
            <w:tcW w:w="6414" w:type="dxa"/>
            <w:vAlign w:val="center"/>
            <w:textDirection w:val="lrTb"/>
            <w:noWrap w:val="false"/>
          </w:tcPr>
          <w:p>
            <w:pPr>
              <w:jc w:val="center"/>
              <w:spacing w:line="30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gridSpan w:val="9"/>
            <w:tcBorders>
              <w:top w:val="single" w:color="000000" w:sz="4" w:space="0"/>
              <w:left w:val="single" w:color="000000" w:sz="4" w:space="0"/>
              <w:bottom w:val="single" w:color="000000" w:sz="4" w:space="0"/>
              <w:right w:val="single" w:color="000000" w:sz="4" w:space="0"/>
            </w:tcBorders>
            <w:tcW w:w="9098" w:type="dxa"/>
            <w:vAlign w:val="center"/>
            <w:textDirection w:val="lrTb"/>
            <w:noWrap w:val="false"/>
          </w:tcPr>
          <w:p>
            <w:pPr>
              <w:jc w:val="left"/>
              <w:spacing w:line="300" w:lineRule="exact"/>
              <w:widowControl/>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填写说明：行道树养护费单价限价以上表为准，1个管养级别应只报1种价格，超过上表中对应最高限价或不符此要求的为无效报价，作无效标处理。</w:t>
            </w:r>
            <w:r/>
          </w:p>
        </w:tc>
      </w:tr>
    </w:tbl>
    <w:p>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rPr>
          <w:rFonts w:hint="eastAsia" w:ascii="宋体" w:hAnsi="宋体" w:cs="宋体"/>
          <w:b/>
          <w:color w:val="auto"/>
          <w:sz w:val="28"/>
          <w:szCs w:val="28"/>
          <w:highlight w:val="none"/>
        </w:rPr>
        <w:outlineLvl w:val="2"/>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6.2.2其他费用报价明细表</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（1）草花栽植明细报价表</w:t>
      </w:r>
      <w:r/>
    </w:p>
    <w:tbl>
      <w:tblPr>
        <w:tblStyle w:val="846"/>
        <w:tblW w:w="9646" w:type="dxa"/>
        <w:tblInd w:w="-512"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37"/>
        <w:gridCol w:w="936"/>
        <w:gridCol w:w="1431"/>
        <w:gridCol w:w="1084"/>
        <w:gridCol w:w="1200"/>
        <w:gridCol w:w="692"/>
        <w:gridCol w:w="1085"/>
        <w:gridCol w:w="750"/>
        <w:gridCol w:w="750"/>
        <w:gridCol w:w="981"/>
      </w:tblGrid>
      <w:tr>
        <w:trPr>
          <w:trHeight w:val="966"/>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品种</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地点</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栽植面积</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（m2/次）</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年栽植</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次数（次</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栽植</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年数</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综合单价</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（元/m2/</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次）</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年价（元）</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合价（元）</w:t>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备注</w:t>
            </w:r>
            <w:r/>
          </w:p>
        </w:tc>
      </w:tr>
      <w:tr>
        <w:trPr>
          <w:trHeight w:val="337"/>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A</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B</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C</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D</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E</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F</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G</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H</w:t>
            </w:r>
            <w:r/>
          </w:p>
        </w:tc>
        <w:tc>
          <w:tcPr>
            <w:shd w:val="clear" w:color="auto" w:fill="ffffff"/>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I</w:t>
            </w:r>
            <w:r/>
          </w:p>
        </w:tc>
        <w:tc>
          <w:tcPr>
            <w:shd w:val="clear" w:color="auto" w:fill="ffffff"/>
            <w:tcBorders>
              <w:top w:val="single" w:color="000000" w:sz="4" w:space="0"/>
              <w:left w:val="single" w:color="000000" w:sz="4" w:space="0"/>
              <w:bottom w:val="single" w:color="auto" w:sz="4" w:space="0"/>
              <w:right w:val="single" w:color="000000" w:sz="4" w:space="0"/>
            </w:tcBorders>
            <w:tcW w:w="98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J</w:t>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restart"/>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花境、时令草</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花栽植</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千鸟园</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96.06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restart"/>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区政府周边单位庭院</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82.36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区政府广场及东侧公园</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258.7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项王东路（西楚大道-九龙江路）</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269.11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11"/>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西湖东路（长江路-西楚大道）</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241.2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55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6</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江山大道（总工会门前绿地）</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125.5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52"/>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7</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洪泽湖东路（长江路-西楚大道）</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304.9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77"/>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8</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黄浦江路（洪泽湖东路-天山路）</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16.77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4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9</w:t>
            </w:r>
            <w:r/>
          </w:p>
        </w:tc>
        <w:tc>
          <w:tcPr>
            <w:shd w:val="clear" w:color="auto" w:fill="ffffff"/>
            <w:tcBorders>
              <w:top w:val="none" w:color="000000" w:sz="4" w:space="0"/>
              <w:left w:val="single" w:color="000000" w:sz="4" w:space="0"/>
              <w:bottom w:val="non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江山大道（洪泽湖东路-宿支路）</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val="en-US" w:eastAsia="zh-CN" w:bidi="ar"/>
              </w:rPr>
              <w:t xml:space="preserve">3</w:t>
            </w:r>
            <w:r>
              <w:rPr>
                <w:rFonts w:hint="eastAsia" w:ascii="宋体" w:hAnsi="宋体" w:cs="宋体"/>
                <w:color w:val="auto"/>
                <w:highlight w:val="none"/>
                <w:lang w:bidi="ar"/>
              </w:rPr>
              <w:t xml:space="preserve">26.95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西楚绿廊</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宿豫区绿化管养范围内</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99"/>
        </w:trPr>
        <w:tc>
          <w:tcPr>
            <w:gridSpan w:val="6"/>
            <w:shd w:val="clear" w:color="auto" w:fill="ffffff"/>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07"/>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草花播种</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千鸟园</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5519.94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auto" w:sz="4" w:space="0"/>
              <w:left w:val="single" w:color="000000" w:sz="4" w:space="0"/>
              <w:right w:val="single" w:color="000000" w:sz="4" w:space="0"/>
            </w:tcBorders>
            <w:tcW w:w="981" w:type="dxa"/>
            <w:vAlign w:val="center"/>
            <w:vMerge w:val="restart"/>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4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区政府周边单位庭院</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left w:val="single" w:color="000000" w:sz="4" w:space="0"/>
              <w:right w:val="single" w:color="000000"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小香港绿地</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173.08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left w:val="single" w:color="000000" w:sz="4" w:space="0"/>
              <w:right w:val="single" w:color="000000"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591"/>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江山大道（总工会门前绿地）</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left w:val="single" w:color="000000" w:sz="4" w:space="0"/>
              <w:right w:val="single" w:color="000000"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1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18</w:t>
            </w:r>
            <w:r/>
          </w:p>
        </w:tc>
        <w:tc>
          <w:tcPr>
            <w:shd w:val="clear" w:color="auto" w:fill="ffffff"/>
            <w:tcBorders>
              <w:top w:val="non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水景公园</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155.96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left w:val="single" w:color="000000" w:sz="4" w:space="0"/>
              <w:right w:val="single" w:color="000000"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65"/>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新增草花播种</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left w:val="single" w:color="000000" w:sz="4" w:space="0"/>
              <w:bottom w:val="single" w:color="000000" w:sz="4" w:space="0"/>
              <w:right w:val="single" w:color="000000" w:sz="4" w:space="0"/>
            </w:tcBorders>
            <w:tcW w:w="981"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43"/>
        </w:trPr>
        <w:tc>
          <w:tcPr>
            <w:gridSpan w:val="6"/>
            <w:shd w:val="clear" w:color="auto" w:fill="ffffff"/>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9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开花植物</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宿豫区绿化管养范围内</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栽植品种参照附件一</w:t>
            </w:r>
            <w:r/>
          </w:p>
        </w:tc>
      </w:tr>
      <w:tr>
        <w:trPr>
          <w:trHeight w:val="69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21</w:t>
            </w:r>
            <w:r/>
          </w:p>
        </w:tc>
        <w:tc>
          <w:tcPr>
            <w:shd w:val="clear" w:color="auto" w:fill="ffffff"/>
            <w:tcBorders>
              <w:top w:val="non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绣球花栽植</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住建局至统计局片区</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栽植品种参照附件一</w:t>
            </w:r>
            <w:r/>
          </w:p>
        </w:tc>
      </w:tr>
      <w:tr>
        <w:trPr>
          <w:trHeight w:val="72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绿篱及耐荫植物</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宿豫区绿化管养范围内</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栽植品种参照附件一</w:t>
            </w:r>
            <w:r/>
          </w:p>
        </w:tc>
      </w:tr>
      <w:tr>
        <w:trPr>
          <w:trHeight w:val="26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地被植物</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宿豫区绿化管养范围内</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8000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栽植品种参照附件一</w:t>
            </w:r>
            <w:r/>
          </w:p>
        </w:tc>
      </w:tr>
      <w:tr>
        <w:trPr>
          <w:trHeight w:val="65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立体绿化</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美国凌霄（1m/3株，藤长1.5m）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5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藤本月季（1m/3株，藤长1.5m，不可用白色）</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231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5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紫藤（1m/3株，藤长1.5m）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5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蔷薇（1m/3株，藤长1.5m）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658"/>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木香花（1m/3株，藤长1.5m）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498"/>
        </w:trPr>
        <w:tc>
          <w:tcPr>
            <w:gridSpan w:val="6"/>
            <w:shd w:val="clear" w:color="auto" w:fill="ffffff"/>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r>
        <w:trPr>
          <w:trHeight w:val="961"/>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29</w:t>
            </w:r>
            <w:r/>
          </w:p>
        </w:tc>
        <w:tc>
          <w:tcPr>
            <w:shd w:val="clear" w:color="auto" w:fill="ffffff"/>
            <w:tcBorders>
              <w:top w:val="single" w:color="000000" w:sz="4" w:space="0"/>
              <w:left w:val="single" w:color="000000" w:sz="4" w:space="0"/>
              <w:right w:val="single" w:color="000000" w:sz="4" w:space="0"/>
            </w:tcBorders>
            <w:tcW w:w="936" w:type="dxa"/>
            <w:vAlign w:val="center"/>
            <w:vMerge w:val="restart"/>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行道树补植</w:t>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广玉兰补植</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221"/>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30</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栾树补植（胸径：15cm）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81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31</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银杏补植（胸径：15cm）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966"/>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32</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红花槐补植</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75"/>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33</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法桐补植（胸径：15cm）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64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34</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苦楝补植（胸径：15cm）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35</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楸树补植（胸径：15cm）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694"/>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36</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女贞补植（胸径：15cm）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37</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早樱补植（胸径：15cm）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35"/>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38</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晚樱补植（胸径：15cm）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961"/>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39</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重阳木补植</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961"/>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40</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无患子补植</w:t>
            </w:r>
            <w:r>
              <w:rPr>
                <w:rFonts w:hint="eastAsia" w:ascii="宋体" w:hAnsi="宋体" w:cs="宋体"/>
                <w:color w:val="auto"/>
                <w:highlight w:val="none"/>
                <w:lang w:bidi="ar"/>
              </w:rPr>
              <w:br w:type="textWrapping" w:clear="all"/>
            </w:r>
            <w:r>
              <w:rPr>
                <w:rFonts w:hint="eastAsia" w:ascii="宋体" w:hAnsi="宋体" w:cs="宋体"/>
                <w:color w:val="auto"/>
                <w:highlight w:val="none"/>
                <w:lang w:bidi="ar"/>
              </w:rPr>
              <w:t xml:space="preserve">（胸径：15cm）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679"/>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41</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梓树补植（胸径：15cm）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32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42</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朴树补植（胸径：15cm）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687"/>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43</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枫杨补植（胸径：15cm）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44</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乌桕补植（胸径：15cm）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45</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榉树补植（胸径：15cm）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46</w:t>
            </w:r>
            <w:r/>
          </w:p>
        </w:tc>
        <w:tc>
          <w:tcPr>
            <w:shd w:val="clear" w:color="auto" w:fill="ffffff"/>
            <w:tcBorders>
              <w:left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紫薇补植（地径：8cm）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t xml:space="preserve">47</w:t>
            </w:r>
            <w:r/>
          </w:p>
        </w:tc>
        <w:tc>
          <w:tcPr>
            <w:shd w:val="clear" w:color="auto" w:fill="ffffff"/>
            <w:tcBorders>
              <w:left w:val="single" w:color="000000" w:sz="4" w:space="0"/>
              <w:bottom w:val="single" w:color="000000" w:sz="4" w:space="0"/>
              <w:right w:val="single" w:color="000000" w:sz="4" w:space="0"/>
            </w:tcBorders>
            <w:tcW w:w="936" w:type="dxa"/>
            <w:vAlign w:val="center"/>
            <w:vMerge w:val="continue"/>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景观树-独杆月季（地径3—4cm)</w:t>
            </w:r>
            <w:r/>
          </w:p>
        </w:tc>
        <w:tc>
          <w:tcPr>
            <w:shd w:val="clear" w:color="auto" w:fill="ffffff"/>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报单株价格</w:t>
            </w:r>
            <w:r/>
          </w:p>
        </w:tc>
      </w:tr>
      <w:tr>
        <w:trPr>
          <w:trHeight w:val="575"/>
        </w:trPr>
        <w:tc>
          <w:tcPr>
            <w:gridSpan w:val="6"/>
            <w:shd w:val="clear" w:color="auto" w:fill="ffffff"/>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center"/>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小计</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left"/>
              <w:spacing w:line="300" w:lineRule="exact"/>
              <w:widowControl/>
              <w:rPr>
                <w:rFonts w:hint="eastAsia" w:ascii="宋体" w:hAnsi="宋体" w:cs="宋体"/>
                <w:color w:val="auto"/>
                <w:highlight w:val="none"/>
                <w:lang w:bidi="ar"/>
              </w:rPr>
            </w:pPr>
            <w:r>
              <w:rPr>
                <w:rFonts w:hint="eastAsia" w:ascii="宋体" w:hAnsi="宋体" w:cs="宋体"/>
                <w:color w:val="auto"/>
                <w:highlight w:val="none"/>
                <w:lang w:bidi="ar"/>
              </w:rPr>
            </w:r>
            <w:r/>
          </w:p>
        </w:tc>
      </w:tr>
      <w:tr>
        <w:trPr>
          <w:trHeight w:val="342"/>
        </w:trPr>
        <w:tc>
          <w:tcPr>
            <w:gridSpan w:val="6"/>
            <w:shd w:val="clear" w:color="auto" w:fill="ffffff"/>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left"/>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textDirection w:val="lrTb"/>
            <w:noWrap w:val="false"/>
          </w:tcPr>
          <w:p>
            <w:pP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81" w:type="dxa"/>
            <w:textDirection w:val="lrTb"/>
            <w:noWrap w:val="false"/>
          </w:tcPr>
          <w:p>
            <w:pPr>
              <w:jc w:val="center"/>
              <w:spacing w:line="300" w:lineRule="exact"/>
              <w:widowControl/>
              <w:rPr>
                <w:rFonts w:hint="eastAsia" w:ascii="宋体" w:hAnsi="宋体" w:cs="宋体"/>
                <w:color w:val="auto"/>
                <w:highlight w:val="none"/>
              </w:rPr>
            </w:pPr>
            <w:r>
              <w:rPr>
                <w:rFonts w:hint="eastAsia" w:ascii="宋体" w:hAnsi="宋体" w:cs="宋体"/>
                <w:color w:val="auto"/>
                <w:highlight w:val="none"/>
              </w:rPr>
            </w:r>
            <w:r/>
          </w:p>
        </w:tc>
      </w:tr>
    </w:tbl>
    <w:p>
      <w:pPr>
        <w:spacing w:line="360" w:lineRule="exact"/>
        <w:rPr>
          <w:rFonts w:hint="eastAsia" w:ascii="宋体" w:hAnsi="宋体" w:cs="宋体"/>
          <w:b/>
          <w:color w:val="auto"/>
          <w:highlight w:val="none"/>
        </w:rPr>
      </w:pPr>
      <w:r>
        <w:rPr>
          <w:rFonts w:hint="eastAsia" w:ascii="宋体" w:hAnsi="宋体" w:cs="宋体"/>
          <w:b/>
          <w:color w:val="auto"/>
          <w:highlight w:val="none"/>
        </w:rPr>
        <w:t xml:space="preserve">填写说明：</w:t>
      </w:r>
      <w:r/>
    </w:p>
    <w:p>
      <w:pPr>
        <w:spacing w:line="360" w:lineRule="exact"/>
        <w:rPr>
          <w:rFonts w:hint="eastAsia" w:ascii="宋体" w:hAnsi="宋体" w:cs="宋体"/>
          <w:b/>
          <w:color w:val="auto"/>
          <w:highlight w:val="none"/>
        </w:rPr>
      </w:pPr>
      <w:r>
        <w:rPr>
          <w:rFonts w:hint="eastAsia" w:ascii="宋体" w:hAnsi="宋体" w:cs="宋体"/>
          <w:b/>
          <w:color w:val="auto"/>
          <w:highlight w:val="none"/>
        </w:rPr>
        <w:t xml:space="preserve">1.综合单价含所有费用；</w:t>
      </w:r>
      <w:r/>
    </w:p>
    <w:p>
      <w:pPr>
        <w:spacing w:line="360" w:lineRule="exact"/>
        <w:rPr>
          <w:rFonts w:hint="eastAsia" w:ascii="宋体" w:hAnsi="宋体" w:cs="宋体"/>
          <w:b/>
          <w:color w:val="auto"/>
          <w:highlight w:val="none"/>
        </w:rPr>
      </w:pPr>
      <w:r>
        <w:rPr>
          <w:rFonts w:hint="eastAsia" w:ascii="宋体" w:hAnsi="宋体" w:cs="宋体"/>
          <w:b/>
          <w:color w:val="auto"/>
          <w:highlight w:val="none"/>
        </w:rPr>
        <w:t xml:space="preserve">2.H= G*D*E，I=H*F；</w:t>
      </w:r>
      <w:r/>
    </w:p>
    <w:p>
      <w:pPr>
        <w:spacing w:line="360" w:lineRule="exact"/>
        <w:rPr>
          <w:rFonts w:hint="eastAsia" w:ascii="宋体" w:hAnsi="宋体" w:cs="宋体"/>
          <w:b/>
          <w:color w:val="auto"/>
          <w:sz w:val="28"/>
          <w:szCs w:val="28"/>
          <w:highlight w:val="none"/>
        </w:rPr>
      </w:pPr>
      <w:r>
        <w:rPr>
          <w:rFonts w:hint="eastAsia" w:ascii="宋体" w:hAnsi="宋体" w:cs="宋体"/>
          <w:b/>
          <w:color w:val="auto"/>
          <w:highlight w:val="none"/>
        </w:rPr>
        <w:t xml:space="preserve">3.草花的品种、规格要求等参照附表《草花</w:t>
      </w:r>
      <w:r>
        <w:rPr>
          <w:rFonts w:hint="eastAsia" w:ascii="宋体" w:hAnsi="宋体" w:cs="宋体"/>
          <w:b/>
          <w:color w:val="auto"/>
          <w:highlight w:val="none"/>
          <w:lang w:eastAsia="zh-CN"/>
        </w:rPr>
        <w:t xml:space="preserve">等栽植</w:t>
      </w:r>
      <w:r>
        <w:rPr>
          <w:rFonts w:hint="eastAsia" w:ascii="宋体" w:hAnsi="宋体" w:cs="宋体"/>
          <w:b/>
          <w:color w:val="auto"/>
          <w:highlight w:val="none"/>
        </w:rPr>
        <w:t xml:space="preserve">品种规格一览表》。</w:t>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（2）草坪更换零星工程报价表</w:t>
      </w:r>
      <w:r/>
    </w:p>
    <w:tbl>
      <w:tblPr>
        <w:tblStyle w:val="846"/>
        <w:tblW w:w="9409" w:type="dxa"/>
        <w:jc w:val="center"/>
        <w:tblLayout w:type="autofit"/>
        <w:tblCellMar>
          <w:left w:w="108" w:type="dxa"/>
          <w:top w:w="0" w:type="dxa"/>
          <w:right w:w="108" w:type="dxa"/>
          <w:bottom w:w="0" w:type="dxa"/>
        </w:tblCellMar>
        <w:tblLook w:val="04A0" w:firstRow="1" w:lastRow="0" w:firstColumn="1" w:lastColumn="0" w:noHBand="0" w:noVBand="1"/>
      </w:tblPr>
      <w:tblGrid>
        <w:gridCol w:w="978"/>
        <w:gridCol w:w="952"/>
        <w:gridCol w:w="731"/>
        <w:gridCol w:w="943"/>
        <w:gridCol w:w="1218"/>
        <w:gridCol w:w="1094"/>
        <w:gridCol w:w="3493"/>
      </w:tblGrid>
      <w:tr>
        <w:trPr>
          <w:jc w:val="center"/>
          <w:trHeight w:val="929"/>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地点</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面积（</w:t>
            </w:r>
            <w:r>
              <w:rPr>
                <w:rFonts w:hint="eastAsia" w:ascii="宋体" w:hAnsi="宋体" w:cs="宋体"/>
                <w:b/>
                <w:bCs/>
                <w:color w:val="auto"/>
                <w:sz w:val="22"/>
                <w:szCs w:val="22"/>
                <w:highlight w:val="none"/>
                <w:lang w:bidi="ar"/>
              </w:rPr>
              <w:t xml:space="preserve">㎡</w:t>
            </w:r>
            <w:r>
              <w:rPr>
                <w:rFonts w:ascii="宋体" w:hAnsi="宋体" w:cs="宋体"/>
                <w:b/>
                <w:bCs/>
                <w:color w:val="auto"/>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单价（元/</w:t>
            </w:r>
            <w:r>
              <w:rPr>
                <w:rFonts w:hint="eastAsia" w:ascii="宋体" w:hAnsi="宋体" w:cs="宋体"/>
                <w:b/>
                <w:bCs/>
                <w:color w:val="auto"/>
                <w:sz w:val="22"/>
                <w:szCs w:val="22"/>
                <w:highlight w:val="none"/>
                <w:lang w:bidi="ar"/>
              </w:rPr>
              <w:t xml:space="preserve">㎡</w:t>
            </w:r>
            <w:r>
              <w:rPr>
                <w:rFonts w:ascii="宋体" w:hAnsi="宋体" w:cs="宋体"/>
                <w:b/>
                <w:bCs/>
                <w:color w:val="auto"/>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b/>
                <w:bCs/>
                <w:color w:val="auto"/>
                <w:sz w:val="22"/>
                <w:szCs w:val="22"/>
                <w:highlight w:val="none"/>
                <w:lang w:bidi="ar"/>
              </w:rPr>
            </w:pPr>
            <w:r>
              <w:rPr>
                <w:rFonts w:ascii="宋体" w:hAnsi="宋体" w:cs="宋体"/>
                <w:b/>
                <w:bCs/>
                <w:color w:val="auto"/>
                <w:sz w:val="22"/>
                <w:szCs w:val="22"/>
                <w:highlight w:val="none"/>
                <w:lang w:bidi="ar"/>
              </w:rPr>
              <w:t xml:space="preserve">合价</w:t>
            </w:r>
            <w:r/>
          </w:p>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widowControl/>
              <w:rPr>
                <w:rFonts w:ascii="Arial" w:hAnsi="Arial" w:cs="Arial"/>
                <w:b/>
                <w:bCs/>
                <w:color w:val="auto"/>
                <w:sz w:val="22"/>
                <w:szCs w:val="22"/>
                <w:highlight w:val="none"/>
              </w:rPr>
            </w:pPr>
            <w:r>
              <w:rPr>
                <w:rFonts w:ascii="宋体" w:hAnsi="宋体" w:cs="宋体"/>
                <w:b/>
                <w:bCs/>
                <w:color w:val="auto"/>
                <w:sz w:val="22"/>
                <w:szCs w:val="22"/>
                <w:highlight w:val="none"/>
                <w:lang w:bidi="ar"/>
              </w:rPr>
              <w:t xml:space="preserve">备注</w:t>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lang w:bidi="ar"/>
              </w:rPr>
              <w:t xml:space="preserve">草坪重新铺设</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widowControl/>
              <w:rPr>
                <w:rFonts w:ascii="Arial" w:hAnsi="Arial" w:cs="Arial"/>
                <w:color w:val="auto"/>
                <w:sz w:val="22"/>
                <w:szCs w:val="22"/>
                <w:highlight w:val="none"/>
              </w:rPr>
            </w:pPr>
            <w:r>
              <w:rPr>
                <w:rFonts w:ascii="宋体" w:hAnsi="宋体" w:cs="宋体"/>
                <w:color w:val="auto"/>
                <w:sz w:val="22"/>
                <w:szCs w:val="22"/>
                <w:highlight w:val="none"/>
                <w:lang w:bidi="ar"/>
              </w:rPr>
              <w:t xml:space="preserve">新增草坪</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20000</w:t>
            </w:r>
            <w:r/>
          </w:p>
        </w:tc>
        <w:tc>
          <w:tcPr>
            <w:tcBorders>
              <w:top w:val="single" w:color="000000" w:sz="4" w:space="0"/>
              <w:left w:val="single" w:color="000000" w:sz="4" w:space="0"/>
              <w:bottom w:val="single" w:color="000000" w:sz="4" w:space="0"/>
              <w:right w:val="single" w:color="000000" w:sz="4" w:space="0"/>
            </w:tcBorders>
            <w:tcW w:w="1218"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94"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widowControl/>
              <w:rPr>
                <w:rFonts w:hint="eastAsia" w:ascii="宋体" w:hAnsi="宋体" w:cs="宋体"/>
                <w:color w:val="auto"/>
                <w:sz w:val="22"/>
                <w:szCs w:val="22"/>
                <w:highlight w:val="none"/>
              </w:rPr>
            </w:pPr>
            <w:r>
              <w:rPr>
                <w:rFonts w:ascii="宋体" w:hAnsi="宋体" w:cs="宋体"/>
                <w:color w:val="auto"/>
                <w:sz w:val="22"/>
                <w:szCs w:val="22"/>
                <w:highlight w:val="none"/>
                <w:lang w:bidi="ar"/>
              </w:rPr>
              <w:t xml:space="preserve">草皮种类：矮生百慕大（沙培卷）、果岭草皮、更换铺设地点相对较分散，并非一次性发生，工程量为预计</w:t>
            </w:r>
            <w:r>
              <w:rPr>
                <w:rFonts w:hint="eastAsia" w:ascii="宋体" w:hAnsi="宋体" w:cs="宋体"/>
                <w:color w:val="auto"/>
                <w:sz w:val="22"/>
                <w:szCs w:val="22"/>
                <w:highlight w:val="none"/>
                <w:lang w:val="en-US" w:eastAsia="zh-CN" w:bidi="ar"/>
              </w:rPr>
              <w:t xml:space="preserve">3</w:t>
            </w:r>
            <w:r>
              <w:rPr>
                <w:rFonts w:ascii="宋体" w:hAnsi="宋体" w:cs="宋体"/>
                <w:color w:val="auto"/>
                <w:sz w:val="22"/>
                <w:szCs w:val="22"/>
                <w:highlight w:val="none"/>
                <w:lang w:bidi="ar"/>
              </w:rPr>
              <w:t xml:space="preserve">年更换总量，按实结算</w:t>
            </w:r>
            <w:r>
              <w:rPr>
                <w:rFonts w:hint="eastAsia" w:ascii="宋体" w:hAnsi="宋体" w:cs="宋体"/>
                <w:color w:val="auto"/>
                <w:sz w:val="22"/>
                <w:szCs w:val="22"/>
                <w:highlight w:val="none"/>
                <w:lang w:bidi="ar"/>
              </w:rPr>
              <w:t xml:space="preserve">。</w:t>
            </w:r>
            <w:r/>
          </w:p>
        </w:tc>
      </w:tr>
      <w:tr>
        <w:trPr>
          <w:jc w:val="center"/>
          <w:trHeight w:val="704"/>
        </w:trPr>
        <w:tc>
          <w:tcPr>
            <w:gridSpan w:val="4"/>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center"/>
              <w:widowControl/>
              <w:rPr>
                <w:rFonts w:ascii="宋体" w:hAnsi="宋体" w:cs="宋体"/>
                <w:color w:val="auto"/>
                <w:sz w:val="22"/>
                <w:szCs w:val="22"/>
                <w:highlight w:val="none"/>
                <w:lang w:bidi="ar"/>
              </w:rPr>
            </w:pPr>
            <w:r>
              <w:rPr>
                <w:rFonts w:hint="eastAsia" w:ascii="宋体" w:hAnsi="宋体" w:cs="宋体"/>
                <w:color w:val="auto"/>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218"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094" w:type="dxa"/>
            <w:textDirection w:val="lrTb"/>
            <w:noWrap w:val="false"/>
          </w:tcPr>
          <w:p>
            <w:pPr>
              <w:jc w:val="left"/>
              <w:rPr>
                <w:rFonts w:ascii="Arial" w:hAnsi="Arial" w:cs="Arial"/>
                <w:color w:val="auto"/>
                <w:sz w:val="22"/>
                <w:szCs w:val="22"/>
                <w:highlight w:val="none"/>
              </w:rPr>
            </w:pPr>
            <w:r>
              <w:rPr>
                <w:rFonts w:ascii="Arial" w:hAnsi="Arial" w:cs="Arial"/>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r>
    </w:tbl>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）树穴盖板等设施安装明细报价表</w:t>
      </w:r>
      <w:r/>
    </w:p>
    <w:tbl>
      <w:tblPr>
        <w:tblStyle w:val="846"/>
        <w:tblW w:w="9416" w:type="dxa"/>
        <w:jc w:val="center"/>
        <w:tblLayout w:type="autofit"/>
        <w:tblCellMar>
          <w:left w:w="108" w:type="dxa"/>
          <w:top w:w="0" w:type="dxa"/>
          <w:right w:w="108" w:type="dxa"/>
          <w:bottom w:w="0" w:type="dxa"/>
        </w:tblCellMar>
        <w:tblLook w:val="04A0" w:firstRow="1" w:lastRow="0" w:firstColumn="1" w:lastColumn="0" w:noHBand="0" w:noVBand="1"/>
      </w:tblPr>
      <w:tblGrid>
        <w:gridCol w:w="554"/>
        <w:gridCol w:w="3300"/>
        <w:gridCol w:w="693"/>
        <w:gridCol w:w="738"/>
        <w:gridCol w:w="1200"/>
        <w:gridCol w:w="1085"/>
        <w:gridCol w:w="1846"/>
      </w:tblGrid>
      <w:tr>
        <w:trPr>
          <w:jc w:val="center"/>
          <w:trHeight w:val="675"/>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预估数量</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综合单价（元）</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综合合价（元）</w:t>
            </w:r>
            <w:r/>
          </w:p>
        </w:tc>
        <w:tc>
          <w:tcPr>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备注</w:t>
            </w:r>
            <w:r/>
          </w:p>
        </w:tc>
      </w:tr>
      <w:tr>
        <w:trPr>
          <w:jc w:val="center"/>
          <w:trHeight w:val="1195"/>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道路绿化树穴盖板（树脂材质）,树穴尺寸约 1.5*1.5m，盖板大部分需对角线裁切，固定成方锥台形</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vAlign w:val="center"/>
            <w:vMerge w:val="restart"/>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树穴盖板及护栏样式等相关参数须报采购人确定，根据管养地块需要分时段实施，此数量为合同期内预计发生的总量，具体以实际发生量为准，实际发生量原则上不超出预估量。</w:t>
            </w:r>
            <w:r/>
          </w:p>
        </w:tc>
      </w:tr>
      <w:tr>
        <w:trPr>
          <w:jc w:val="center"/>
          <w:trHeight w:val="1331"/>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道路绿化树穴盖板（实心球墨铸铁材质）,树穴尺寸约 1.5m*1.5m*1.5cm，盖板大部分需对角线裁切，固定成方锥台形</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vAlign w:val="center"/>
            <w:vMerge w:val="continue"/>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1009"/>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道路绿化树穴盖板（热镀锌材质）,树穴尺寸约 1.5m*1.5m*1.5cm，盖板大部分需对角线裁切，固定成方锥台形</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vAlign w:val="center"/>
            <w:vMerge w:val="continue"/>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704"/>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绿化带护栏（喷塑锌钢材质，高1.5米）</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vAlign w:val="center"/>
            <w:vMerge w:val="continue"/>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道路绿化带护栏（喷塑锌钢材质，高1米）</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vAlign w:val="center"/>
            <w:vMerge w:val="continue"/>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绿化带护栏（喷塑锌钢材质，高0.5米）</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vAlign w:val="center"/>
            <w:vMerge w:val="continue"/>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342"/>
        </w:trPr>
        <w:tc>
          <w:tcPr>
            <w:gridSpan w:val="2"/>
            <w:tcBorders>
              <w:top w:val="single" w:color="000000" w:sz="4" w:space="0"/>
              <w:left w:val="single" w:color="000000" w:sz="4" w:space="0"/>
              <w:bottom w:val="single" w:color="000000" w:sz="4" w:space="0"/>
              <w:right w:val="single" w:color="000000" w:sz="4" w:space="0"/>
            </w:tcBorders>
            <w:tcW w:w="38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693"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85"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46" w:type="dxa"/>
            <w:textDirection w:val="lrTb"/>
            <w:noWrap w:val="false"/>
          </w:tcPr>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bl>
    <w:p>
      <w:pPr>
        <w:spacing w:line="500" w:lineRule="exact"/>
        <w:rPr>
          <w:rFonts w:hint="eastAsia" w:ascii="宋体" w:hAnsi="宋体" w:cs="宋体"/>
          <w:b/>
          <w:color w:val="auto"/>
          <w:sz w:val="28"/>
          <w:szCs w:val="28"/>
          <w:highlight w:val="none"/>
        </w:rPr>
      </w:pPr>
      <w:r>
        <w:rPr>
          <w:rFonts w:hint="eastAsia" w:ascii="宋体" w:hAnsi="宋体" w:cs="宋体"/>
          <w:b/>
          <w:color w:val="auto"/>
          <w:highlight w:val="none"/>
        </w:rPr>
        <w:t xml:space="preserve">填写说明：</w:t>
      </w:r>
      <w:r>
        <w:rPr>
          <w:rFonts w:hint="eastAsia" w:ascii="宋体" w:hAnsi="宋体" w:cs="宋体"/>
          <w:b/>
          <w:color w:val="auto"/>
          <w:highlight w:val="none"/>
          <w:lang w:eastAsia="zh-CN"/>
        </w:rPr>
        <w:t xml:space="preserve">合计价格</w:t>
      </w:r>
      <w:r>
        <w:rPr>
          <w:rFonts w:hint="eastAsia" w:ascii="宋体" w:hAnsi="宋体" w:cs="宋体"/>
          <w:b/>
          <w:color w:val="auto"/>
          <w:highlight w:val="none"/>
        </w:rPr>
        <w:t xml:space="preserve">=预估数量*综合单价。</w:t>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）街头绿地节日氛围营造明细报价表</w:t>
      </w:r>
      <w:r/>
    </w:p>
    <w:tbl>
      <w:tblPr>
        <w:tblStyle w:val="846"/>
        <w:tblW w:w="9588" w:type="dxa"/>
        <w:jc w:val="center"/>
        <w:tblLayout w:type="fixed"/>
        <w:tblCellMar>
          <w:left w:w="108" w:type="dxa"/>
          <w:top w:w="0" w:type="dxa"/>
          <w:right w:w="108" w:type="dxa"/>
          <w:bottom w:w="0" w:type="dxa"/>
        </w:tblCellMar>
        <w:tblLook w:val="04A0" w:firstRow="1" w:lastRow="0" w:firstColumn="1" w:lastColumn="0" w:noHBand="0" w:noVBand="1"/>
      </w:tblPr>
      <w:tblGrid>
        <w:gridCol w:w="565"/>
        <w:gridCol w:w="612"/>
        <w:gridCol w:w="1281"/>
        <w:gridCol w:w="542"/>
        <w:gridCol w:w="554"/>
        <w:gridCol w:w="1004"/>
        <w:gridCol w:w="657"/>
        <w:gridCol w:w="734"/>
        <w:gridCol w:w="709"/>
        <w:gridCol w:w="708"/>
        <w:gridCol w:w="2222"/>
      </w:tblGrid>
      <w:tr>
        <w:trPr>
          <w:jc w:val="center"/>
          <w:trHeight w:val="854"/>
        </w:trPr>
        <w:tc>
          <w:tcPr>
            <w:tcBorders>
              <w:top w:val="single" w:color="000000" w:sz="4" w:space="0"/>
              <w:left w:val="single" w:color="000000" w:sz="4" w:space="0"/>
              <w:bottom w:val="single" w:color="000000" w:sz="4" w:space="0"/>
              <w:right w:val="single" w:color="000000" w:sz="4" w:space="0"/>
            </w:tcBorders>
            <w:tcW w:w="565" w:type="dxa"/>
            <w:vAlign w:val="center"/>
            <w:textDirection w:val="tbRlV"/>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品种和规格</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36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预估</w:t>
            </w:r>
            <w:r/>
          </w:p>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spacing w:line="36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综合单</w:t>
            </w:r>
            <w:r/>
          </w:p>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价（元）</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年数</w:t>
            </w:r>
            <w:r/>
          </w:p>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年价（元）</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60" w:lineRule="exact"/>
              <w:widowControl/>
              <w:rPr>
                <w:rFonts w:hint="eastAsia" w:ascii="宋体" w:hAnsi="宋体" w:eastAsia="宋体" w:cs="宋体"/>
                <w:b/>
                <w:bCs/>
                <w:color w:val="auto"/>
                <w:highlight w:val="none"/>
                <w:lang w:eastAsia="zh-CN" w:bidi="ar"/>
              </w:rPr>
            </w:pPr>
            <w:r>
              <w:rPr>
                <w:rFonts w:hint="eastAsia" w:ascii="宋体" w:hAnsi="宋体" w:cs="宋体"/>
                <w:b/>
                <w:bCs/>
                <w:color w:val="auto"/>
                <w:highlight w:val="none"/>
                <w:lang w:bidi="ar"/>
              </w:rPr>
              <w:t xml:space="preserve">综合合价</w:t>
            </w:r>
            <w:r/>
          </w:p>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jc w:val="center"/>
              <w:spacing w:line="36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备注</w:t>
            </w:r>
            <w:r/>
          </w:p>
        </w:tc>
      </w:tr>
      <w:tr>
        <w:trPr>
          <w:jc w:val="center"/>
          <w:trHeight w:val="141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春节、元旦、五一、</w:t>
            </w:r>
            <w:r/>
          </w:p>
          <w:p>
            <w:pP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国庆、中秋</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氛围营造</w:t>
            </w:r>
            <w:r/>
          </w:p>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（包括设</w:t>
            </w:r>
            <w:r/>
          </w:p>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计、施工）</w:t>
            </w:r>
            <w:r/>
          </w:p>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有花镜造</w:t>
            </w:r>
            <w:r/>
          </w:p>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景，符合节</w:t>
            </w:r>
            <w:r/>
          </w:p>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日氛围的框</w:t>
            </w:r>
            <w:r/>
          </w:p>
          <w:p>
            <w:pPr>
              <w:jc w:val="center"/>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架造型设计</w:t>
            </w:r>
            <w:r/>
          </w:p>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及字体设计</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座/年</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元/座</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jc w:val="left"/>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 根据实际发生量结算，原则上不超过预估量；</w:t>
            </w:r>
            <w:r/>
          </w:p>
          <w:p>
            <w:pPr>
              <w:jc w:val="left"/>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 涉及到的所有挂饰（元旦春节挂饰为中国结、红灯笼等，国庆中秋挂饰为国旗、红灯笼等、五一挂饰为灯杆挂饰、宣传牌等）、雕塑，需先报效果图给采购人现场负责人确认，同意后实施；</w:t>
            </w:r>
            <w:r/>
          </w:p>
          <w:p>
            <w:pPr>
              <w:jc w:val="left"/>
              <w:spacing w:line="360" w:lineRule="exac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3. 每次氛围营造结束后，中标人须按要求对氛围营造设施予以拆除，可重复利用的予以妥善保管，用于下次。不能重复利用的由中标人自行处置，重复利用物储存费、拆装费、废弃设施残值、废弃物处理费等不再另外计费，由投标人综合考虑在报价内；</w:t>
            </w:r>
            <w:r/>
          </w:p>
          <w:p>
            <w:pPr>
              <w:jc w:val="left"/>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4.宣传写真/宣传展板为写真喷绘、KT 板覆膜喷绘、PVC 材质 UV 制作</w:t>
            </w:r>
            <w:r/>
          </w:p>
        </w:tc>
      </w:tr>
      <w:tr>
        <w:trPr>
          <w:jc w:val="center"/>
          <w:trHeight w:val="355"/>
        </w:trPr>
        <w:tc>
          <w:tcPr>
            <w:gridSpan w:val="3"/>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222" w:type="dxa"/>
            <w:vAlign w:val="center"/>
            <w:textDirection w:val="lrTb"/>
            <w:noWrap w:val="false"/>
          </w:tcPr>
          <w:p>
            <w:pPr>
              <w:jc w:val="center"/>
              <w:spacing w:line="360" w:lineRule="exact"/>
              <w:widowControl/>
              <w:rPr>
                <w:rFonts w:hint="eastAsia" w:ascii="宋体" w:hAnsi="宋体" w:cs="宋体"/>
                <w:color w:val="auto"/>
                <w:highlight w:val="none"/>
              </w:rPr>
            </w:pPr>
            <w:r>
              <w:rPr>
                <w:rFonts w:hint="eastAsia" w:ascii="宋体" w:hAnsi="宋体" w:cs="宋体"/>
                <w:color w:val="auto"/>
                <w:highlight w:val="none"/>
              </w:rPr>
            </w:r>
            <w:r/>
          </w:p>
        </w:tc>
      </w:tr>
    </w:tbl>
    <w:p>
      <w:pPr>
        <w:jc w:val="left"/>
        <w:rPr>
          <w:rFonts w:hint="eastAsia" w:ascii="宋体" w:hAnsi="宋体" w:eastAsia="宋体" w:cs="宋体"/>
          <w:b/>
          <w:color w:val="auto"/>
          <w:sz w:val="28"/>
          <w:szCs w:val="28"/>
          <w:highlight w:val="none"/>
          <w:lang w:eastAsia="zh-CN"/>
        </w:rPr>
      </w:pPr>
      <w:r>
        <w:rPr>
          <w:rFonts w:hint="eastAsia" w:ascii="宋体" w:hAnsi="宋体" w:cs="宋体"/>
          <w:b/>
          <w:color w:val="auto"/>
          <w:highlight w:val="none"/>
        </w:rPr>
        <w:t xml:space="preserve">填写说明：合计价格=预估数量*综合单价*年数。</w:t>
      </w:r>
      <w:r>
        <w:rPr>
          <w:rFonts w:hint="eastAsia" w:ascii="宋体" w:hAnsi="宋体" w:cs="宋体"/>
          <w:b/>
          <w:color w:val="auto"/>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rPr>
          <w:rFonts w:hint="eastAsia" w:ascii="宋体" w:hAnsi="宋体" w:cs="宋体"/>
          <w:b/>
          <w:color w:val="auto"/>
          <w:sz w:val="28"/>
          <w:szCs w:val="28"/>
          <w:highlight w:val="none"/>
        </w:rPr>
        <w:tab/>
      </w:r>
      <w:r/>
    </w:p>
    <w:p>
      <w:pPr>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）其他零星工程明细报价表</w:t>
      </w:r>
      <w:r/>
    </w:p>
    <w:tbl>
      <w:tblPr>
        <w:tblStyle w:val="846"/>
        <w:tblW w:w="8895" w:type="dxa"/>
        <w:jc w:val="center"/>
        <w:tblLayout w:type="fixed"/>
        <w:tblCellMar>
          <w:left w:w="108" w:type="dxa"/>
          <w:top w:w="0" w:type="dxa"/>
          <w:right w:w="108" w:type="dxa"/>
          <w:bottom w:w="0" w:type="dxa"/>
        </w:tblCellMar>
        <w:tblLook w:val="04A0" w:firstRow="1" w:lastRow="0" w:firstColumn="1" w:lastColumn="0" w:noHBand="0" w:noVBand="1"/>
      </w:tblPr>
      <w:tblGrid>
        <w:gridCol w:w="476"/>
        <w:gridCol w:w="889"/>
        <w:gridCol w:w="727"/>
        <w:gridCol w:w="1823"/>
        <w:gridCol w:w="600"/>
        <w:gridCol w:w="842"/>
        <w:gridCol w:w="785"/>
        <w:gridCol w:w="692"/>
        <w:gridCol w:w="831"/>
        <w:gridCol w:w="1230"/>
      </w:tblGrid>
      <w:tr>
        <w:trPr>
          <w:jc w:val="center"/>
        </w:trPr>
        <w:tc>
          <w:tcPr>
            <w:tcBorders>
              <w:top w:val="single" w:color="000000" w:sz="4" w:space="0"/>
              <w:left w:val="single" w:color="000000" w:sz="4" w:space="0"/>
              <w:bottom w:val="single" w:color="000000" w:sz="4" w:space="0"/>
              <w:right w:val="single" w:color="000000" w:sz="4" w:space="0"/>
            </w:tcBorders>
            <w:tcW w:w="476" w:type="dxa"/>
            <w:textDirection w:val="tbRlV"/>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品种和规格</w:t>
            </w:r>
            <w:r/>
          </w:p>
        </w:tc>
        <w:tc>
          <w:tcPr>
            <w:tcBorders>
              <w:top w:val="single" w:color="000000" w:sz="4" w:space="0"/>
              <w:left w:val="single" w:color="000000" w:sz="4" w:space="0"/>
              <w:bottom w:val="single" w:color="000000" w:sz="4" w:space="0"/>
              <w:right w:val="single" w:color="000000" w:sz="4" w:space="0"/>
            </w:tcBorders>
            <w:tcW w:w="600" w:type="dxa"/>
            <w:textDirection w:val="tbRlV"/>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年数</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b/>
                <w:bCs/>
                <w:color w:val="auto"/>
                <w:highlight w:val="none"/>
              </w:rPr>
            </w:pPr>
            <w:r>
              <w:rPr>
                <w:rStyle w:val="1194"/>
                <w:rFonts w:hint="eastAsia"/>
                <w:b/>
                <w:bCs/>
                <w:color w:val="auto"/>
                <w:sz w:val="21"/>
                <w:szCs w:val="21"/>
                <w:highlight w:val="none"/>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交叉路口草花</w:t>
            </w:r>
            <w:r/>
          </w:p>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杉木桩围挡</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杉木桩直径 5-6cm，长30cm</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元/m</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restart"/>
            <w:textDirection w:val="lrTb"/>
            <w:noWrap w:val="false"/>
          </w:tcPr>
          <w:p>
            <w:pPr>
              <w:jc w:val="cente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交叉路口草花杉木桩围挡及树穴</w:t>
            </w:r>
            <w:r/>
          </w:p>
          <w:p>
            <w:pPr>
              <w:jc w:val="cente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平石等相关参数须报采购人确定，</w:t>
            </w:r>
            <w:r/>
          </w:p>
          <w:p>
            <w:pPr>
              <w:jc w:val="cente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根据管养地块需要分时段实施，此</w:t>
            </w:r>
            <w:r/>
          </w:p>
          <w:p>
            <w:pPr>
              <w:jc w:val="cente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数量为合同期内预计发生的总量，</w:t>
            </w:r>
            <w:r/>
          </w:p>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具体以实际发生量为准，实际发生量原则上不超出预估量。</w:t>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树穴平石</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按周边同种规格更换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m</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bidi="ar"/>
              </w:rPr>
              <w:t xml:space="preserve">元/</w:t>
            </w:r>
            <w:r>
              <w:rPr>
                <w:rFonts w:hint="eastAsia" w:ascii="宋体" w:hAnsi="宋体" w:cs="宋体"/>
                <w:color w:val="auto"/>
                <w:highlight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巡查人员</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每天4人巡查</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eastAsia="zh-CN" w:bidi="ar"/>
              </w:rPr>
              <w:t xml:space="preserve">年</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元/年</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古树养护</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古木瓜</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1.胸径:Φ30cm～40cm</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2.养护期:三年</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3.养护等级:一级</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4.围栏安装不锈钢 1m高，挂牌</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5.绿地建成年限投标人综合考虑报价，结算不得调整</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6.如出现死亡，按招标文件规定对投标人进行处罚及赔偿</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棵</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元/年</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古树养护</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古榆树</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1.胸径:Φ30cm～40cm</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2.养护期:三年</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3.养护等级:一级</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4.围栏安装不锈钢1m高，挂牌</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5.绿地建成年限投标人综合考虑报价，结算不得调整                       6.如出现死亡，按招标文件规定对投标人进行处罚及赔偿</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棵</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元/年</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增加消防灭火器</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widowControl/>
              <w:rPr>
                <w:rFonts w:hint="eastAsia" w:ascii="宋体" w:hAnsi="宋体" w:cs="宋体"/>
                <w:color w:val="auto"/>
                <w:highlight w:val="none"/>
              </w:rPr>
            </w:pPr>
            <w:r>
              <w:rPr>
                <w:rFonts w:hint="eastAsia" w:ascii="宋体" w:hAnsi="宋体" w:cs="宋体"/>
                <w:color w:val="auto"/>
                <w:highlight w:val="none"/>
                <w:lang w:bidi="ar"/>
              </w:rPr>
              <w:t xml:space="preserve">满足建设单位及使用需求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增加游泳圈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3" w:type="dxa"/>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满足建设单位及使用需求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更换硬质铺装</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花岗岩石材面层</w:t>
            </w:r>
            <w:r/>
          </w:p>
          <w:p>
            <w:pP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1.5cm 水泥砂浆找平</w:t>
            </w:r>
            <w:r/>
          </w:p>
          <w:p>
            <w:pPr>
              <w:widowControl/>
              <w:rPr>
                <w:rFonts w:hint="eastAsia" w:ascii="宋体" w:hAnsi="宋体" w:cs="宋体"/>
                <w:color w:val="auto"/>
                <w:highlight w:val="none"/>
              </w:rPr>
            </w:pPr>
            <w:r>
              <w:rPr>
                <w:rFonts w:hint="eastAsia" w:ascii="宋体" w:hAnsi="宋体" w:cs="宋体"/>
                <w:color w:val="auto"/>
                <w:highlight w:val="none"/>
                <w:lang w:bidi="ar"/>
              </w:rPr>
              <w:t xml:space="preserve">2.块料品种、规格：按周边同种规格更换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w:t>
            </w: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更换透水混凝土</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1.面层涂刷无色透明双丙聚氨酯专用罩面保护剂、固化剂，颜色与周边同等</w:t>
            </w:r>
            <w:r/>
          </w:p>
          <w:p>
            <w:pPr>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2.50厚灰色C25细骨料透水混凝土（粒径3-4mm）渗水率＞25%</w:t>
            </w:r>
            <w:r/>
          </w:p>
          <w:p>
            <w:pPr>
              <w:widowControl/>
              <w:rPr>
                <w:rFonts w:hint="eastAsia" w:ascii="宋体" w:hAnsi="宋体" w:cs="宋体"/>
                <w:color w:val="auto"/>
                <w:highlight w:val="none"/>
              </w:rPr>
            </w:pPr>
            <w:r>
              <w:rPr>
                <w:rFonts w:hint="eastAsia" w:ascii="宋体" w:hAnsi="宋体" w:cs="宋体"/>
                <w:color w:val="auto"/>
                <w:highlight w:val="none"/>
                <w:lang w:bidi="ar"/>
              </w:rPr>
              <w:t xml:space="preserve">3.50厚本色C25粗骨料透水混凝土（粒径8-10mm）渗水率＞25%</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w:t>
            </w:r>
            <w:r>
              <w:rPr>
                <w:rFonts w:hint="eastAsia" w:ascii="宋体" w:hAnsi="宋体" w:cs="宋体"/>
                <w:color w:val="auto"/>
                <w:highlight w:val="none"/>
                <w:lang w:val="en-US" w:eastAsia="zh-CN" w:bidi="ar"/>
              </w:rPr>
              <w:t xml:space="preserve">/</w:t>
            </w: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更换沥青路面</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1.50厚改性沥青面层（AC-10）</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2.粘油层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bidi="ar"/>
              </w:rPr>
              <w:t xml:space="preserve">元</w:t>
            </w:r>
            <w:r>
              <w:rPr>
                <w:rFonts w:hint="eastAsia" w:ascii="宋体" w:hAnsi="宋体" w:cs="宋体"/>
                <w:color w:val="auto"/>
                <w:highlight w:val="none"/>
                <w:lang w:val="en-US" w:eastAsia="zh-CN" w:bidi="ar"/>
              </w:rPr>
              <w:t xml:space="preserve">/</w:t>
            </w: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更换硅PU地面</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3192</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1.8mm厚面层</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2.含胶量不低于20%</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3.胶水和颗粒之间的配比：1：5.5—6之间</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4.施工前对原有基础进行打磨，底涂等工艺处理，符合施工条件；</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5.塑胶满足《GB362264-2018》标准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w:t>
            </w:r>
            <w:r>
              <w:rPr>
                <w:rFonts w:hint="eastAsia" w:ascii="宋体" w:hAnsi="宋体" w:cs="宋体"/>
                <w:color w:val="auto"/>
                <w:highlight w:val="none"/>
                <w:lang w:val="en-US" w:eastAsia="zh-CN" w:bidi="ar"/>
              </w:rPr>
              <w:t xml:space="preserve">/</w:t>
            </w: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更换塑胶地面</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3192</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1.13mm厚EPDM颗粒面层</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2.含胶量不低于20%</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3.胶水和颗粒之间的配比：1：5.5—6之间</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4.施工前对原有基础进行打磨，底涂等工艺处理，符合施工条件；</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5.塑胶满足《GB362264-2018》标准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w:t>
            </w:r>
            <w:r>
              <w:rPr>
                <w:rFonts w:hint="eastAsia" w:ascii="宋体" w:hAnsi="宋体" w:cs="宋体"/>
                <w:color w:val="auto"/>
                <w:highlight w:val="none"/>
                <w:lang w:val="en-US" w:eastAsia="zh-CN" w:bidi="ar"/>
              </w:rPr>
              <w:t xml:space="preserve">/</w:t>
            </w: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新建塑胶地面</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1706</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1.13mm厚EPDM面层</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2.150厚C25混凝土垫层</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3.120厚碎石垫层</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4.素土压实，压实度≥93%</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5.含模板及安装拆除、养生等费用</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6.未尽事宜详见设计图纸</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7.含胶量不低于20%</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8.胶水和颗粒之间的配比：1：5.5—6之间</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9.施工前对原有基础进行打磨，底涂等工艺处理，符合施工条件；</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10.塑胶满足《GB362264-2018》标准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元</w:t>
            </w:r>
            <w:r>
              <w:rPr>
                <w:rFonts w:hint="eastAsia" w:ascii="宋体" w:hAnsi="宋体" w:cs="宋体"/>
                <w:color w:val="auto"/>
                <w:highlight w:val="none"/>
                <w:lang w:val="en-US" w:eastAsia="zh-CN" w:bidi="ar"/>
              </w:rPr>
              <w:t xml:space="preserve">/</w:t>
            </w:r>
            <w:r>
              <w:rPr>
                <w:rStyle w:val="1195"/>
                <w:rFonts w:hint="eastAsia"/>
                <w:color w:val="auto"/>
                <w:sz w:val="21"/>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隔离桩</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移动阻车器</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1.隔离桩（304、3 厚）</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2.φ220*600*3mm</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3.投标人综合考虑报价，结算不得调整</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Style w:val="1195"/>
                <w:rFonts w:hint="eastAsia"/>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人行入口挡车石</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350*350*600高芝麻灰烧面花岗岩整石车档，所有棱角均做30圆角</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人行入口挡车石</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芝麻白圆形石鼓(侧面做拉丝及祥云图案)，直径600mm，高300mm。</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 </w:t>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监控设备-摄像机</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数字红外高清摄像机，采用400万(2688*1520)；红外距离80米；电源:12V DC</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防护等级 IP67，含支架</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监控设备-摄像机</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360°球机800万像素</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监控立杆</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1.监控立杆（投标单位综合考虑高度及材质，满足验收及建设单位需求）2.立杆基础</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230" w:type="dxa"/>
            <w:vAlign w:val="center"/>
            <w:vMerge w:val="continue"/>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监控配管及配线</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1.监控配管配线安装</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1.含挖填土方，苗木破坏及恢复，路面破坏及恢复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此项为综合报价，投标单位满足验收及使用需求</w:t>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监控设备-后台运行设备</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1.监控设备间设备完善及新做，满足验收及使用需求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此项为综合报价，投标单位满足验收及使用需求</w:t>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宣传牌</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1.公园内宣传牌面层更换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此项为综合报价，投标单位满足验收及使用需求</w:t>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宣传牌</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1.公园内宣传牌制作安装 2.满足建设单位及使用需求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此项为综合报价，投标单位满足验收及使用需求</w:t>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新建直饮水</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1.直饮水机器成套:3套</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型号5水龙头</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2.遮阳棚:3套(C20混凝体基础:0.5m*0.5m*0.5m*3=0.38m)3.地面:2m*3m*3=18 m(10cm厚碎石垫层，10cm厚 c20 混凝土)4.自来水管线:D32pe管线综合考虑(含土方开挖及回填)</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5.电缆线:YJV3*6 电缆 综合考虑</w:t>
            </w:r>
            <w:r/>
          </w:p>
          <w:p>
            <w:pPr>
              <w:jc w:val="left"/>
              <w:widowControl/>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6.日常维修更换:滤芯更换4次/年</w:t>
            </w:r>
            <w:r/>
          </w:p>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7.水表开户:3个</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土方</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lang w:bidi="ar"/>
              </w:rPr>
              <w:t xml:space="preserve">1.种植素土，非一次性使用，用于调整地形，填补空洞等。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hint="eastAsia" w:ascii="宋体" w:hAnsi="宋体" w:eastAsia="宋体" w:cs="宋体"/>
                <w:color w:val="auto"/>
                <w:highlight w:val="none"/>
                <w:lang w:val="en-US" w:eastAsia="zh-CN"/>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w:t>
            </w:r>
            <w:r>
              <w:rPr>
                <w:rFonts w:hint="eastAsia" w:ascii="宋体" w:hAnsi="宋体" w:cs="宋体"/>
                <w:color w:val="auto"/>
                <w:highlight w:val="none"/>
                <w:lang w:bidi="ar"/>
              </w:rPr>
              <w:t xml:space="preserve">m3</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widowControl/>
              <w:rPr>
                <w:rFonts w:hint="eastAsia" w:ascii="宋体" w:hAnsi="宋体" w:cs="宋体"/>
                <w:color w:val="auto"/>
                <w:highlight w:val="none"/>
                <w:lang w:bidi="ar"/>
              </w:rPr>
            </w:pPr>
            <w:r>
              <w:rPr>
                <w:rFonts w:hint="eastAsia" w:ascii="宋体" w:hAnsi="宋体" w:cs="宋体"/>
                <w:color w:val="auto"/>
                <w:highlight w:val="none"/>
                <w:lang w:bidi="ar"/>
              </w:rPr>
              <w:t xml:space="preserve">新建球场围网</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widowControl/>
              <w:rPr>
                <w:rFonts w:hint="eastAsia" w:ascii="宋体" w:hAnsi="宋体" w:cs="宋体"/>
                <w:color w:val="auto"/>
                <w:highlight w:val="none"/>
                <w:lang w:bidi="ar"/>
              </w:rPr>
            </w:pPr>
            <w:r>
              <w:rPr>
                <w:rFonts w:hint="eastAsia" w:ascii="宋体" w:hAnsi="宋体" w:cs="宋体"/>
                <w:color w:val="auto"/>
                <w:highlight w:val="none"/>
                <w:lang w:bidi="ar"/>
              </w:rPr>
              <w:t xml:space="preserve">6800</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一、外围网（沿整个球场四周建一圈）：</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1.φ100mm*100mm*5mm(±0.15mm)厚方钢横杆，刷绿色氟碳漆；</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2.φ30mm*30mm*3mm(±0.05mm)厚方钢立杆，@150mm，刷绿色氟碳漆；</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3.φ100mm*100mm*5mm(±0.15mm)厚方钢立柱，刷绿色氟碳漆；</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4. 原料：原装纯 HDPE 塑料包裹，无掺杂填充料及再生原料成分，确保了产品的使用寿命及其标准要求。 </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5. 包塑：300度高温塑化，使内层低碳镀锌铁丝与表层塑料紧密粘帖，不易让空气渗入铁丝表面，阻止因氧化而由内到外长锈所造成的爆裂而缩短寿命。 </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6. 厚度：高温塑化挤压、稳定的旋转速度，塑料表层厚度保持在 0.6mm 及以上。</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7. 包塑网使用≥20mm宽，≥3.0mm厚的扁铁固定在围网框架立柱与横管上。 </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8. 围网所有螺栓采用304 防锈钢螺栓,并使用防松螺母、弹簧垫圈防松方式，保证连接长期可靠。 </w:t>
            </w:r>
            <w:r/>
          </w:p>
          <w:p>
            <w:pPr>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9. 含混凝土基础。</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cs="宋体"/>
                <w:color w:val="auto"/>
                <w:highlight w:val="none"/>
                <w:lang w:bidi="ar"/>
              </w:rPr>
            </w:pPr>
            <w:r>
              <w:rPr>
                <w:rFonts w:hint="eastAsia" w:ascii="宋体" w:hAnsi="宋体"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Style w:val="1194"/>
                <w:rFonts w:hint="eastAsia" w:eastAsia="宋体"/>
                <w:color w:val="auto"/>
                <w:sz w:val="21"/>
                <w:szCs w:val="21"/>
                <w:highlight w:val="none"/>
                <w:lang w:val="en-US" w:eastAsia="zh-CN" w:bidi="ar"/>
              </w:rPr>
            </w:pPr>
            <w:r>
              <w:rPr>
                <w:rStyle w:val="1194"/>
                <w:rFonts w:hint="eastAsia"/>
                <w:color w:val="auto"/>
                <w:sz w:val="21"/>
                <w:szCs w:val="21"/>
                <w:highlight w:val="none"/>
                <w:lang w:bidi="ar"/>
              </w:rPr>
              <w:t xml:space="preserve">元</w:t>
            </w:r>
            <w:r>
              <w:rPr>
                <w:rStyle w:val="1194"/>
                <w:rFonts w:hint="eastAsia"/>
                <w:color w:val="auto"/>
                <w:sz w:val="21"/>
                <w:szCs w:val="21"/>
                <w:highlight w:val="none"/>
                <w:lang w:val="en-US" w:eastAsia="zh-CN" w:bidi="ar"/>
              </w:rPr>
              <w:t xml:space="preserve">/</w:t>
            </w:r>
            <w:r>
              <w:rPr>
                <w:rFonts w:hint="eastAsia" w:ascii="宋体" w:hAnsi="宋体"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eastAsia" w:ascii="宋体" w:hAnsi="宋体" w:cs="宋体"/>
                <w:color w:val="auto"/>
                <w:highlight w:val="none"/>
                <w:lang w:bidi="ar"/>
              </w:rPr>
            </w:pPr>
            <w:r>
              <w:rPr>
                <w:rFonts w:hint="eastAsia"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r>
      <w:tr>
        <w:trPr>
          <w:jc w:val="center"/>
        </w:trPr>
        <w:tc>
          <w:tcPr>
            <w:gridSpan w:val="2"/>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cs="宋体"/>
                <w:color w:val="auto"/>
                <w:highlight w:val="none"/>
              </w:rPr>
            </w:pPr>
            <w:r>
              <w:rPr>
                <w:rStyle w:val="1194"/>
                <w:rFonts w:hint="eastAsia"/>
                <w:color w:val="auto"/>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727"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823"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600"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4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785"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692"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31"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草坪复播</w:t>
      </w:r>
      <w:r>
        <w:rPr>
          <w:rFonts w:hint="eastAsia" w:ascii="宋体" w:hAnsi="宋体" w:cs="宋体"/>
          <w:b/>
          <w:color w:val="auto"/>
          <w:sz w:val="28"/>
          <w:szCs w:val="28"/>
          <w:highlight w:val="none"/>
        </w:rPr>
        <w:t xml:space="preserve">明细报价表</w:t>
      </w:r>
      <w:r/>
    </w:p>
    <w:tbl>
      <w:tblPr>
        <w:tblStyle w:val="846"/>
        <w:tblW w:w="9782" w:type="dxa"/>
        <w:jc w:val="center"/>
        <w:tblLayout w:type="fixed"/>
        <w:tblCellMar>
          <w:left w:w="108" w:type="dxa"/>
          <w:top w:w="0" w:type="dxa"/>
          <w:right w:w="108" w:type="dxa"/>
          <w:bottom w:w="0" w:type="dxa"/>
        </w:tblCellMar>
        <w:tblLook w:val="04A0" w:firstRow="1" w:lastRow="0" w:firstColumn="1" w:lastColumn="0" w:noHBand="0" w:noVBand="1"/>
      </w:tblPr>
      <w:tblGrid>
        <w:gridCol w:w="669"/>
        <w:gridCol w:w="1513"/>
        <w:gridCol w:w="988"/>
        <w:gridCol w:w="737"/>
        <w:gridCol w:w="1625"/>
        <w:gridCol w:w="1349"/>
        <w:gridCol w:w="2901"/>
      </w:tblGrid>
      <w:tr>
        <w:trPr>
          <w:jc w:val="center"/>
          <w:trHeight w:val="56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单价（元/</w:t>
            </w:r>
            <w:r>
              <w:rPr>
                <w:rFonts w:hint="eastAsia" w:ascii="宋体" w:hAnsi="宋体" w:cs="宋体"/>
                <w:color w:val="auto"/>
                <w:highlight w:val="none"/>
                <w:lang w:val="en-US" w:eastAsia="zh-CN" w:bidi="ar"/>
              </w:rPr>
              <w:t xml:space="preserve">㎡</w:t>
            </w:r>
            <w:r>
              <w:rPr>
                <w:rFonts w:ascii="宋体" w:hAnsi="宋体" w:cs="宋体"/>
                <w:color w:val="auto"/>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合价</w:t>
            </w:r>
            <w:r>
              <w:rPr>
                <w:rFonts w:hint="eastAsia" w:ascii="宋体" w:hAnsi="宋体" w:cs="宋体"/>
                <w:color w:val="auto"/>
                <w:highlight w:val="none"/>
                <w:lang w:eastAsia="zh-CN" w:bidi="ar"/>
              </w:rPr>
              <w:t xml:space="preserve">（</w:t>
            </w:r>
            <w:r>
              <w:rPr>
                <w:rFonts w:ascii="宋体" w:hAnsi="宋体" w:cs="宋体"/>
                <w:color w:val="auto"/>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widowControl/>
              <w:rPr>
                <w:rFonts w:ascii="Arial" w:hAnsi="Arial" w:cs="Arial"/>
                <w:color w:val="auto"/>
                <w:highlight w:val="none"/>
              </w:rPr>
            </w:pPr>
            <w:r>
              <w:rPr>
                <w:rFonts w:ascii="宋体" w:hAnsi="宋体" w:cs="宋体"/>
                <w:color w:val="auto"/>
                <w:highlight w:val="none"/>
                <w:lang w:bidi="ar"/>
              </w:rPr>
              <w:t xml:space="preserve">备注</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widowControl/>
              <w:rPr>
                <w:rFonts w:hint="eastAsia" w:ascii="宋体" w:hAnsi="宋体" w:cs="宋体"/>
                <w:color w:val="auto"/>
                <w:highlight w:val="none"/>
              </w:rPr>
            </w:pPr>
            <w:r>
              <w:rPr>
                <w:rFonts w:ascii="宋体" w:hAnsi="宋体" w:cs="宋体"/>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草坪复播</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bidi="ar"/>
              </w:rPr>
              <w:t xml:space="preserve">360000</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25" w:type="dxa"/>
            <w:textDirection w:val="lrTb"/>
            <w:noWrap w:val="false"/>
          </w:tcPr>
          <w:p>
            <w:pPr>
              <w:jc w:val="left"/>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textDirection w:val="lrTb"/>
            <w:noWrap w:val="false"/>
          </w:tcPr>
          <w:p>
            <w:pPr>
              <w:jc w:val="left"/>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进口蓝标黑麦草草籽，具体播种位置及面积，最终由建设单位确定。</w:t>
            </w:r>
            <w:r>
              <w:rPr>
                <w:rFonts w:ascii="宋体" w:hAnsi="宋体" w:cs="宋体"/>
                <w:color w:val="auto"/>
                <w:sz w:val="21"/>
                <w:szCs w:val="21"/>
                <w:highlight w:val="none"/>
                <w:lang w:bidi="ar"/>
              </w:rPr>
              <w:t xml:space="preserve">并非一次性发生，工程量为预计</w:t>
            </w:r>
            <w:r>
              <w:rPr>
                <w:rFonts w:hint="eastAsia" w:ascii="宋体" w:hAnsi="宋体" w:cs="宋体"/>
                <w:color w:val="auto"/>
                <w:sz w:val="21"/>
                <w:szCs w:val="21"/>
                <w:highlight w:val="none"/>
                <w:lang w:val="en-US" w:eastAsia="zh-CN" w:bidi="ar"/>
              </w:rPr>
              <w:t xml:space="preserve">3</w:t>
            </w:r>
            <w:r>
              <w:rPr>
                <w:rFonts w:ascii="宋体" w:hAnsi="宋体" w:cs="宋体"/>
                <w:color w:val="auto"/>
                <w:sz w:val="21"/>
                <w:szCs w:val="21"/>
                <w:highlight w:val="none"/>
                <w:lang w:bidi="ar"/>
              </w:rPr>
              <w:t xml:space="preserve">年</w:t>
            </w:r>
            <w:r>
              <w:rPr>
                <w:rFonts w:hint="eastAsia" w:ascii="宋体" w:hAnsi="宋体" w:cs="宋体"/>
                <w:color w:val="auto"/>
                <w:sz w:val="21"/>
                <w:szCs w:val="21"/>
                <w:highlight w:val="none"/>
                <w:lang w:eastAsia="zh-CN" w:bidi="ar"/>
              </w:rPr>
              <w:t xml:space="preserve">复播</w:t>
            </w:r>
            <w:r>
              <w:rPr>
                <w:rFonts w:ascii="宋体" w:hAnsi="宋体" w:cs="宋体"/>
                <w:color w:val="auto"/>
                <w:sz w:val="21"/>
                <w:szCs w:val="21"/>
                <w:highlight w:val="none"/>
                <w:lang w:bidi="ar"/>
              </w:rPr>
              <w:t xml:space="preserve">总量，按实结算</w:t>
            </w:r>
            <w:r>
              <w:rPr>
                <w:rFonts w:hint="eastAsia" w:ascii="宋体" w:hAnsi="宋体" w:cs="宋体"/>
                <w:color w:val="auto"/>
                <w:sz w:val="21"/>
                <w:szCs w:val="21"/>
                <w:highlight w:val="none"/>
                <w:lang w:bidi="ar"/>
              </w:rPr>
              <w:t xml:space="preserve">。</w:t>
            </w:r>
            <w:r/>
          </w:p>
        </w:tc>
      </w:tr>
      <w:tr>
        <w:trPr>
          <w:jc w:val="center"/>
          <w:trHeight w:val="384"/>
        </w:trPr>
        <w:tc>
          <w:tcPr>
            <w:gridSpan w:val="2"/>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rPr>
                <w:rFonts w:ascii="Arial" w:hAnsi="Arial" w:cs="Arial"/>
                <w:color w:val="auto"/>
                <w:highlight w:val="none"/>
              </w:rPr>
            </w:pPr>
            <w:r>
              <w:rPr>
                <w:rFonts w:ascii="宋体" w:hAnsi="宋体" w:cs="宋体"/>
                <w:color w:val="auto"/>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jc w:val="left"/>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000000" w:sz="4" w:space="0"/>
              <w:bottom w:val="single" w:color="000000" w:sz="4" w:space="0"/>
              <w:right w:val="single" w:color="000000" w:sz="4" w:space="0"/>
            </w:tcBorders>
            <w:tcW w:w="737" w:type="dxa"/>
            <w:textDirection w:val="lrTb"/>
            <w:noWrap w:val="false"/>
          </w:tcPr>
          <w:p>
            <w:pPr>
              <w:jc w:val="left"/>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val="false"/>
          </w:tcPr>
          <w:p>
            <w:pPr>
              <w:jc w:val="left"/>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textDirection w:val="lrTb"/>
            <w:noWrap w:val="false"/>
          </w:tcPr>
          <w:p>
            <w:pPr>
              <w:jc w:val="left"/>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000000" w:sz="4" w:space="0"/>
              <w:bottom w:val="single" w:color="000000" w:sz="4" w:space="0"/>
              <w:right w:val="single" w:color="000000" w:sz="4" w:space="0"/>
            </w:tcBorders>
            <w:tcW w:w="2901" w:type="dxa"/>
            <w:textDirection w:val="lrTb"/>
            <w:noWrap w:val="false"/>
          </w:tcPr>
          <w:p>
            <w:pPr>
              <w:jc w:val="left"/>
              <w:rPr>
                <w:rFonts w:ascii="Arial" w:hAnsi="Arial" w:cs="Arial"/>
                <w:color w:val="auto"/>
                <w:highlight w:val="none"/>
              </w:rPr>
            </w:pPr>
            <w:r>
              <w:rPr>
                <w:rFonts w:ascii="Arial" w:hAnsi="Arial" w:cs="Arial"/>
                <w:color w:val="auto"/>
                <w:highlight w:val="none"/>
              </w:rPr>
            </w:r>
            <w:r/>
          </w:p>
        </w:tc>
      </w:tr>
    </w:tbl>
    <w:p>
      <w:pPr>
        <w:rPr>
          <w:rFonts w:ascii="宋体" w:hAnsi="宋体" w:cs="宋体"/>
          <w:color w:val="auto"/>
          <w:sz w:val="22"/>
          <w:szCs w:val="22"/>
          <w:highlight w:val="none"/>
          <w:lang w:bidi="ar"/>
        </w:rPr>
      </w:pPr>
      <w:r>
        <w:rPr>
          <w:rFonts w:ascii="宋体" w:hAnsi="宋体" w:cs="宋体"/>
          <w:color w:val="auto"/>
          <w:sz w:val="22"/>
          <w:szCs w:val="22"/>
          <w:highlight w:val="none"/>
          <w:lang w:bidi="ar"/>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附件一：草花</w:t>
      </w:r>
      <w:r>
        <w:rPr>
          <w:rFonts w:hint="eastAsia" w:ascii="宋体" w:hAnsi="宋体" w:cs="宋体"/>
          <w:b/>
          <w:bCs/>
          <w:color w:val="auto"/>
          <w:sz w:val="32"/>
          <w:szCs w:val="32"/>
          <w:highlight w:val="none"/>
          <w:lang w:eastAsia="zh-CN"/>
        </w:rPr>
        <w:t xml:space="preserve">等栽植</w:t>
      </w:r>
      <w:r>
        <w:rPr>
          <w:rFonts w:hint="eastAsia" w:ascii="宋体" w:hAnsi="宋体" w:cs="宋体"/>
          <w:b/>
          <w:bCs/>
          <w:color w:val="auto"/>
          <w:sz w:val="32"/>
          <w:szCs w:val="32"/>
          <w:highlight w:val="none"/>
        </w:rPr>
        <w:t xml:space="preserve">品种、规格一览表</w:t>
      </w:r>
      <w:r/>
    </w:p>
    <w:tbl>
      <w:tblPr>
        <w:tblStyle w:val="846"/>
        <w:tblW w:w="9488" w:type="dxa"/>
        <w:jc w:val="center"/>
        <w:tblLayout w:type="autofit"/>
        <w:tblCellMar>
          <w:left w:w="108" w:type="dxa"/>
          <w:top w:w="0" w:type="dxa"/>
          <w:right w:w="108" w:type="dxa"/>
          <w:bottom w:w="0" w:type="dxa"/>
        </w:tblCellMar>
        <w:tblLook w:val="04A0" w:firstRow="1" w:lastRow="0" w:firstColumn="1" w:lastColumn="0" w:noHBand="0" w:noVBand="1"/>
      </w:tblPr>
      <w:tblGrid>
        <w:gridCol w:w="1292"/>
        <w:gridCol w:w="877"/>
        <w:gridCol w:w="2089"/>
        <w:gridCol w:w="1858"/>
        <w:gridCol w:w="1546"/>
        <w:gridCol w:w="1826"/>
      </w:tblGrid>
      <w:tr>
        <w:trPr>
          <w:jc w:val="center"/>
          <w:trHeight w:val="415"/>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栽植月份</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89" w:type="dxa"/>
            <w:vAlign w:val="center"/>
            <w:vMerge w:val="restart"/>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品种</w:t>
            </w:r>
            <w:r/>
          </w:p>
        </w:tc>
        <w:tc>
          <w:tcPr>
            <w:tcBorders>
              <w:top w:val="single" w:color="000000" w:sz="4" w:space="0"/>
              <w:left w:val="single" w:color="000000" w:sz="4" w:space="0"/>
              <w:bottom w:val="single" w:color="000000" w:sz="4" w:space="0"/>
              <w:right w:val="single" w:color="000000" w:sz="4" w:space="0"/>
            </w:tcBorders>
            <w:tcW w:w="1858" w:type="dxa"/>
            <w:vAlign w:val="center"/>
            <w:vMerge w:val="restart"/>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系列</w:t>
            </w:r>
            <w:r/>
          </w:p>
        </w:tc>
        <w:tc>
          <w:tcPr>
            <w:gridSpan w:val="2"/>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出圃规格</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89" w:type="dxa"/>
            <w:vAlign w:val="center"/>
            <w:vMerge w:val="continue"/>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58" w:type="dxa"/>
            <w:vAlign w:val="center"/>
            <w:vMerge w:val="continue"/>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株高 CM</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蓬径 CM</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三色堇</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宾哥系列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金盏菊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棒棒系列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雏菊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塔苏系列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非洲菊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五彩石竹</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姬小菊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花毛茛</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多花报春</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20-30</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矾根</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r>
      <w:tr>
        <w:trPr>
          <w:jc w:val="center"/>
          <w:trHeight w:val="410"/>
        </w:trPr>
        <w:tc>
          <w:tcPr>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矮牵牛(重瓣）</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梅林系列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万寿菊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发现系列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黄晶菊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白晶菊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白雪地</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美女樱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水晶系列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紫罗兰</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侏儒系列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15-18</w:t>
            </w:r>
            <w:r/>
          </w:p>
        </w:tc>
      </w:tr>
      <w:tr>
        <w:trPr>
          <w:jc w:val="center"/>
          <w:trHeight w:val="413"/>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孔雀草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小英雄系列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r>
      <w:tr>
        <w:trPr>
          <w:jc w:val="center"/>
          <w:trHeight w:val="415"/>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太阳花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繁星花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紫娇花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绣球</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无尽夏系列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40以上</w:t>
            </w:r>
            <w:r/>
          </w:p>
        </w:tc>
      </w:tr>
      <w:tr>
        <w:trPr>
          <w:jc w:val="center"/>
          <w:trHeight w:val="410"/>
        </w:trPr>
        <w:tc>
          <w:tcPr>
            <w:tcBorders>
              <w:top w:val="non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鼠尾草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万寿菊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发现系列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彩叶草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航路系列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15-18</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百日草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梦境系列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鸡冠花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世纪系列和服系列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夏堇</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公爵夫人</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孔雀草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小英雄系列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紫罗兰</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侏儒系列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15-18</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半枝莲</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太阳神系列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翠菊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蓝雪花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紫鸭跖草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千头菊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假龙头</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40以上</w:t>
            </w:r>
            <w:r/>
          </w:p>
        </w:tc>
      </w:tr>
      <w:tr>
        <w:trPr>
          <w:jc w:val="center"/>
          <w:trHeight w:val="410"/>
        </w:trPr>
        <w:tc>
          <w:tcPr>
            <w:tcBorders>
              <w:top w:val="single" w:color="000000" w:sz="4" w:space="0"/>
              <w:left w:val="single" w:color="000000" w:sz="4" w:space="0"/>
              <w:bottom w:val="non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一串红</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红霞系列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 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繁星花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红叶红穗鸡冠花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世纪系列和服系列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国庆菊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以上</w:t>
            </w:r>
            <w:r/>
          </w:p>
        </w:tc>
      </w:tr>
      <w:tr>
        <w:trPr>
          <w:jc w:val="center"/>
          <w:trHeight w:val="415"/>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万寿菊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发现系列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彩叶草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奇才系列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15-18</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矮牵牛</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梦幻系列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半枝莲</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太阳神系列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r>
      <w:tr>
        <w:trPr>
          <w:jc w:val="center"/>
          <w:trHeight w:val="410"/>
        </w:trPr>
        <w:tc>
          <w:tcPr>
            <w:tcBorders>
              <w:top w:val="none" w:color="000000" w:sz="4" w:space="0"/>
              <w:left w:val="single" w:color="000000" w:sz="4" w:space="0"/>
              <w:bottom w:val="non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美女樱</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水晶系列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20以上</w:t>
            </w:r>
            <w:r/>
          </w:p>
        </w:tc>
      </w:tr>
      <w:tr>
        <w:trPr>
          <w:jc w:val="center"/>
          <w:trHeight w:val="410"/>
        </w:trPr>
        <w:tc>
          <w:tcPr>
            <w:tcBorders>
              <w:top w:val="non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孔雀草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小英雄系列</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平红甘蓝</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鸽</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平白甘蓝</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鸽</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皱红甘蓝</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名古屋</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皱白甘蓝</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名古屋</w:t>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红甜菜</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10-15</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播种</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系列</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百日草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大花金鸡菊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二月兰</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千日红</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硫华菊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酢酱草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波斯菊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点缀</w:t>
            </w:r>
            <w:r/>
          </w:p>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系列</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芒草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狼尾草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 以上</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粉黛乱子草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 以上</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欧石竹</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雪叶菊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佛甲草</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矾根（红黄两色）</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亮晶女贞</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中华景天</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兰花三七</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鸢尾</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麦冬</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12-15</w:t>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蓝羊毛</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长春藤、花叶蔓长春</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花叶络石</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银叶菊</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30-50</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 以上</w:t>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1292" w:type="dxa"/>
            <w:vAlign w:val="center"/>
            <w:vMerge w:val="continue"/>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垂钓牵牛</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以上</w:t>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40 以上</w:t>
            </w:r>
            <w:r/>
          </w:p>
        </w:tc>
      </w:tr>
      <w:tr>
        <w:trPr>
          <w:jc w:val="center"/>
          <w:trHeight w:val="1263"/>
        </w:trPr>
        <w:tc>
          <w:tcPr>
            <w:gridSpan w:val="6"/>
            <w:tcBorders>
              <w:top w:val="single" w:color="000000" w:sz="4" w:space="0"/>
              <w:left w:val="single" w:color="000000" w:sz="4" w:space="0"/>
              <w:bottom w:val="single" w:color="000000" w:sz="4" w:space="0"/>
              <w:right w:val="single" w:color="000000" w:sz="4" w:space="0"/>
            </w:tcBorders>
            <w:tcW w:w="9488" w:type="dxa"/>
            <w:vAlign w:val="center"/>
            <w:textDirection w:val="lrTb"/>
            <w:noWrap w:val="false"/>
          </w:tcPr>
          <w:p>
            <w:pPr>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要求：1.出圃草花及播种草花所用种子均为优质F1代种。</w:t>
            </w:r>
            <w:r/>
          </w:p>
          <w:p>
            <w:pPr>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2.草花生长健壮、无死株、无脱脚、无病虫害、冠形丰满、株型美观，栽植均匀、密度合理，基本不露土，花色纯正。</w:t>
            </w:r>
            <w:r/>
          </w:p>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3.布置后盛花期不少于一个月。</w:t>
            </w:r>
            <w:r/>
          </w:p>
        </w:tc>
      </w:tr>
    </w:tbl>
    <w:p>
      <w:pPr>
        <w:jc w:val="left"/>
        <w:rPr>
          <w:rFonts w:hint="eastAsia" w:ascii="宋体" w:hAnsi="宋体" w:cs="宋体"/>
          <w:b/>
          <w:color w:val="auto"/>
          <w:sz w:val="32"/>
          <w:szCs w:val="32"/>
          <w:highlight w:val="none"/>
        </w:rPr>
        <w:outlineLvl w:val="1"/>
      </w:pPr>
      <w:r>
        <w:rPr>
          <w:rFonts w:hint="eastAsia" w:ascii="宋体" w:hAnsi="宋体" w:cs="宋体"/>
          <w:strike/>
          <w:color w:val="auto"/>
          <w:sz w:val="32"/>
          <w:szCs w:val="32"/>
          <w:highlight w:val="none"/>
        </w:rPr>
        <w:br w:type="page" w:clear="all"/>
      </w:r>
      <w:bookmarkStart w:id="698" w:name="_Toc16754"/>
      <w:r>
        <w:rPr>
          <w:rFonts w:hint="eastAsia" w:ascii="宋体" w:hAnsi="宋体" w:cs="宋体"/>
          <w:b/>
          <w:color w:val="auto"/>
          <w:sz w:val="32"/>
          <w:szCs w:val="32"/>
          <w:highlight w:val="none"/>
        </w:rPr>
        <w:t xml:space="preserve">七、中小企业声明函（服务）</w:t>
      </w:r>
      <w:bookmarkEnd w:id="698"/>
      <w:r/>
      <w:r/>
    </w:p>
    <w:p>
      <w:pPr>
        <w:jc w:val="center"/>
        <w:spacing w:line="560" w:lineRule="exact"/>
        <w:rPr>
          <w:rFonts w:hint="eastAsia" w:ascii="宋体" w:hAnsi="宋体" w:cs="宋体"/>
          <w:color w:val="auto"/>
          <w:sz w:val="24"/>
          <w:szCs w:val="24"/>
          <w:highlight w:val="none"/>
        </w:rPr>
      </w:pPr>
      <w:r>
        <w:rPr>
          <w:rFonts w:hint="eastAsia" w:ascii="宋体" w:hAnsi="宋体" w:cs="宋体"/>
          <w:b/>
          <w:color w:val="auto"/>
          <w:sz w:val="32"/>
          <w:szCs w:val="32"/>
          <w:highlight w:val="none"/>
        </w:rPr>
        <w:t xml:space="preserve">中小企业声明函（服务）</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项目编号为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（项目名称）</w:t>
      </w:r>
      <w:r>
        <w:rPr>
          <w:rFonts w:hint="eastAsia" w:ascii="宋体" w:hAnsi="宋体" w:cs="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5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3"/>
        <w:spacing w:line="2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项目采购活动由本单位提供服务。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pStyle w:val="1147"/>
        <w:spacing w:line="360" w:lineRule="auto"/>
        <w:rPr>
          <w:rFonts w:hint="eastAsia"/>
          <w:color w:val="auto"/>
          <w:highlight w:val="none"/>
        </w:rPr>
      </w:pPr>
      <w:r>
        <w:rPr>
          <w:rFonts w:hint="eastAsia"/>
          <w:color w:val="auto"/>
          <w:highlight w:val="none"/>
        </w:rPr>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spacing w:line="560" w:lineRule="exact"/>
        <w:rPr>
          <w:rFonts w:hint="eastAsia" w:ascii="宋体" w:hAnsi="宋体" w:eastAsia="宋体" w:cs="宋体"/>
          <w:b/>
          <w:color w:val="auto"/>
          <w:sz w:val="32"/>
          <w:szCs w:val="32"/>
          <w:highlight w:val="none"/>
          <w:lang w:eastAsia="zh-CN"/>
        </w:rPr>
        <w:outlineLvl w:val="1"/>
      </w:pPr>
      <w:r>
        <w:rPr>
          <w:rFonts w:hint="eastAsia" w:ascii="宋体" w:hAnsi="宋体" w:cs="宋体"/>
          <w:b/>
          <w:color w:val="auto"/>
          <w:sz w:val="32"/>
          <w:szCs w:val="32"/>
          <w:highlight w:val="none"/>
        </w:rPr>
        <w:br w:type="page" w:clear="all"/>
      </w:r>
      <w:bookmarkStart w:id="699" w:name="_Toc13434"/>
      <w:r>
        <w:rPr>
          <w:rFonts w:hint="eastAsia" w:ascii="宋体" w:hAnsi="宋体" w:cs="宋体"/>
          <w:b/>
          <w:bCs/>
          <w:color w:val="auto"/>
          <w:sz w:val="32"/>
          <w:szCs w:val="32"/>
          <w:highlight w:val="none"/>
        </w:rPr>
        <w:t xml:space="preserve">八、</w:t>
      </w:r>
      <w:bookmarkEnd w:id="699"/>
      <w:r>
        <w:rPr>
          <w:rFonts w:hint="eastAsia" w:ascii="宋体" w:hAnsi="宋体" w:cs="宋体"/>
          <w:b/>
          <w:bCs/>
          <w:color w:val="auto"/>
          <w:sz w:val="32"/>
          <w:szCs w:val="32"/>
          <w:highlight w:val="none"/>
          <w:lang w:eastAsia="zh-CN"/>
        </w:rPr>
        <w:t xml:space="preserve">技术要求响应及偏离表</w:t>
      </w:r>
      <w:r/>
    </w:p>
    <w:p>
      <w:pPr>
        <w:jc w:val="center"/>
        <w:spacing w:before="145" w:after="145" w:line="56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技术要求响应及偏离表</w:t>
      </w:r>
      <w:r/>
    </w:p>
    <w:tbl>
      <w:tblPr>
        <w:tblStyle w:val="84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839"/>
        <w:gridCol w:w="2963"/>
        <w:gridCol w:w="1649"/>
        <w:gridCol w:w="1173"/>
      </w:tblGrid>
      <w:tr>
        <w:trPr>
          <w:cantSplit/>
        </w:trPr>
        <w:tc>
          <w:tcPr>
            <w:tcW w:w="5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839" w:type="dxa"/>
            <w:vAlign w:val="center"/>
            <w:textDirection w:val="lrTb"/>
            <w:noWrap w:val="false"/>
          </w:tcPr>
          <w:p>
            <w:pPr>
              <w:pStyle w:val="1079"/>
              <w:jc w:val="center"/>
              <w:spacing w:before="0" w:beforeAutospacing="0" w:after="0" w:afterAutospacing="0"/>
              <w:rPr>
                <w:rFonts w:hint="eastAsia"/>
                <w:color w:val="auto"/>
                <w:highlight w:val="none"/>
              </w:rPr>
            </w:pPr>
            <w:r>
              <w:rPr>
                <w:rFonts w:hint="eastAsia"/>
                <w:color w:val="auto"/>
                <w:highlight w:val="none"/>
              </w:rPr>
              <w:t xml:space="preserve">技术要求和商务要求</w:t>
            </w:r>
            <w:r/>
          </w:p>
        </w:tc>
        <w:tc>
          <w:tcPr>
            <w:tcW w:w="2963" w:type="dxa"/>
            <w:vAlign w:val="center"/>
            <w:textDirection w:val="lrTb"/>
            <w:noWrap w:val="false"/>
          </w:tcPr>
          <w:p>
            <w:pPr>
              <w:pStyle w:val="1079"/>
              <w:jc w:val="center"/>
              <w:spacing w:before="0" w:beforeAutospacing="0" w:after="0" w:afterAutospacing="0"/>
              <w:rPr>
                <w:rFonts w:hint="eastAsia"/>
                <w:color w:val="auto"/>
                <w:highlight w:val="none"/>
              </w:rPr>
            </w:pPr>
            <w:r>
              <w:rPr>
                <w:rFonts w:hint="eastAsia"/>
                <w:color w:val="auto"/>
                <w:highlight w:val="none"/>
              </w:rPr>
              <w:t xml:space="preserve">响应情况（填报“响应或完全响应”）</w:t>
            </w:r>
            <w:r/>
          </w:p>
        </w:tc>
        <w:tc>
          <w:tcPr>
            <w:tcW w:w="1649" w:type="dxa"/>
            <w:vAlign w:val="center"/>
            <w:textDirection w:val="lrTb"/>
            <w:noWrap w:val="false"/>
          </w:tcPr>
          <w:p>
            <w:pPr>
              <w:pStyle w:val="1079"/>
              <w:jc w:val="center"/>
              <w:spacing w:before="0" w:beforeAutospacing="0" w:after="0" w:afterAutospacing="0"/>
              <w:rPr>
                <w:rFonts w:hint="eastAsia"/>
                <w:color w:val="auto"/>
                <w:highlight w:val="none"/>
              </w:rPr>
            </w:pPr>
            <w:r>
              <w:rPr>
                <w:rFonts w:hint="eastAsia"/>
                <w:color w:val="auto"/>
                <w:highlight w:val="none"/>
              </w:rPr>
              <w:t xml:space="preserve">偏离（填报“正偏离、符合或负偏离”）</w:t>
            </w:r>
            <w:r/>
          </w:p>
        </w:tc>
        <w:tc>
          <w:tcPr>
            <w:tcW w:w="11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3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96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49"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3" w:type="dxa"/>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1.投标人必须对技术要求和商务要求中的实质性要求（打“★”内容）做出明确响应，否则作无效响应处理。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2.如果采购文件要求提供证明材料，投标人必须将证明材料列于该表之下。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3.投标人未对实质性要求作出明确响应的，该分包作无效响应处理。</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行数不够，可自行添加。</w:t>
      </w:r>
      <w:r>
        <w:rPr>
          <w:rFonts w:hint="default" w:ascii="宋体" w:hAnsi="宋体" w:eastAsia="宋体" w:cs="宋体"/>
          <w:color w:val="auto"/>
          <w:sz w:val="24"/>
          <w:highlight w:val="none"/>
          <w:lang w:val="en-US" w:eastAsia="zh-CN"/>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pStyle w:val="1150"/>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700" w:name="_Toc2825"/>
      <w:r>
        <w:rPr>
          <w:rFonts w:hint="eastAsia" w:ascii="宋体" w:hAnsi="宋体" w:eastAsia="宋体" w:cs="宋体"/>
          <w:color w:val="auto"/>
          <w:highlight w:val="none"/>
        </w:rPr>
        <w:t xml:space="preserve">九、项目组人员</w:t>
      </w:r>
      <w:bookmarkEnd w:id="700"/>
      <w:r/>
      <w:r/>
    </w:p>
    <w:p>
      <w:pPr>
        <w:pStyle w:val="1079"/>
        <w:jc w:val="center"/>
        <w:spacing w:line="600" w:lineRule="exact"/>
        <w:rPr>
          <w:rFonts w:hint="eastAsia"/>
          <w:b/>
          <w:bCs/>
          <w:color w:val="auto"/>
          <w:sz w:val="32"/>
          <w:szCs w:val="32"/>
          <w:highlight w:val="none"/>
        </w:rPr>
      </w:pPr>
      <w:r>
        <w:rPr>
          <w:rFonts w:hint="eastAsia"/>
          <w:b/>
          <w:bCs/>
          <w:color w:val="auto"/>
          <w:sz w:val="32"/>
          <w:szCs w:val="32"/>
          <w:highlight w:val="none"/>
          <w:lang w:bidi="ar"/>
        </w:rPr>
        <w:t xml:space="preserve">项目组成员</w:t>
      </w:r>
      <w:r/>
    </w:p>
    <w:tbl>
      <w:tblPr>
        <w:tblStyle w:val="84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51"/>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val="false"/>
          </w:tcPr>
          <w:p>
            <w:pPr>
              <w:pStyle w:val="1151"/>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val="false"/>
          </w:tcPr>
          <w:p>
            <w:pPr>
              <w:pStyle w:val="1151"/>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val="false"/>
          </w:tcPr>
          <w:p>
            <w:pPr>
              <w:pStyle w:val="1151"/>
              <w:ind w:firstLine="280"/>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val="false"/>
          </w:tcPr>
          <w:p>
            <w:pPr>
              <w:pStyle w:val="1151"/>
              <w:jc w:val="center"/>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val="false"/>
          </w:tcPr>
          <w:p>
            <w:pPr>
              <w:pStyle w:val="1151"/>
              <w:spacing w:beforeAutospacing="1"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79"/>
              <w:jc w:val="center"/>
              <w:rPr>
                <w:rFonts w:hint="eastAsia"/>
                <w:color w:val="auto"/>
                <w:sz w:val="20"/>
                <w:szCs w:val="20"/>
                <w:highlight w:val="none"/>
              </w:rPr>
            </w:pPr>
            <w:r>
              <w:rPr>
                <w:rFonts w:hint="eastAsia"/>
                <w:color w:val="auto"/>
                <w:sz w:val="28"/>
                <w:szCs w:val="28"/>
                <w:highlight w:val="none"/>
                <w:lang w:bidi="ar"/>
              </w:rPr>
              <w:t xml:space="preserve">总负责人</w:t>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79"/>
              <w:jc w:val="center"/>
              <w:rPr>
                <w:rFonts w:hint="eastAsia"/>
                <w:color w:val="auto"/>
                <w:sz w:val="28"/>
                <w:szCs w:val="28"/>
                <w:highlight w:val="none"/>
              </w:rPr>
            </w:pPr>
            <w:r>
              <w:rPr>
                <w:rFonts w:hint="eastAsia"/>
                <w:color w:val="auto"/>
                <w:sz w:val="28"/>
                <w:szCs w:val="28"/>
                <w:highlight w:val="none"/>
                <w:lang w:bidi="ar"/>
              </w:rPr>
              <w:t xml:space="preserve">......</w:t>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79"/>
              <w:ind w:firstLine="280"/>
              <w:rPr>
                <w:rFonts w:hint="eastAsia"/>
                <w:color w:val="auto"/>
                <w:sz w:val="28"/>
                <w:szCs w:val="28"/>
                <w:highlight w:val="none"/>
              </w:rPr>
            </w:pPr>
            <w:r>
              <w:rPr>
                <w:rFonts w:hint="eastAsia"/>
                <w:color w:val="auto"/>
                <w:sz w:val="28"/>
                <w:szCs w:val="28"/>
                <w:highlight w:val="none"/>
                <w:lang w:bidi="ar"/>
              </w:rPr>
              <w:t xml:space="preserve">......</w:t>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79"/>
              <w:rPr>
                <w:rFonts w:hint="eastAsia"/>
                <w:color w:val="auto"/>
                <w:sz w:val="28"/>
                <w:szCs w:val="28"/>
                <w:highlight w:val="none"/>
              </w:rPr>
            </w:pPr>
            <w:r>
              <w:rPr>
                <w:rFonts w:hint="eastAsia"/>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079"/>
              <w:rPr>
                <w:rFonts w:hint="eastAsia"/>
                <w:color w:val="auto"/>
                <w:sz w:val="28"/>
                <w:szCs w:val="28"/>
                <w:highlight w:val="none"/>
              </w:rPr>
            </w:pPr>
            <w:r>
              <w:rPr>
                <w:rFonts w:hint="eastAsia"/>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val="false"/>
          </w:tcPr>
          <w:p>
            <w:pPr>
              <w:pStyle w:val="1151"/>
              <w:ind w:firstLine="560"/>
              <w:jc w:val="center"/>
              <w:spacing w:line="5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pStyle w:val="1079"/>
        <w:ind w:firstLine="398"/>
        <w:spacing w:line="460" w:lineRule="exact"/>
        <w:rPr>
          <w:rFonts w:hint="eastAsia"/>
          <w:color w:val="auto"/>
          <w:highlight w:val="none"/>
        </w:rPr>
      </w:pPr>
      <w:r>
        <w:rPr>
          <w:rFonts w:hint="eastAsia"/>
          <w:b/>
          <w:color w:val="auto"/>
          <w:highlight w:val="none"/>
          <w:lang w:bidi="ar"/>
        </w:rPr>
        <w:t xml:space="preserve">注：如供应商中标，项目组成员必须按本表承诺人员操作，不得随意更换。按投标文件要求附相关人员证书。</w:t>
      </w:r>
      <w:r/>
    </w:p>
    <w:p>
      <w:pPr>
        <w:pStyle w:val="1079"/>
        <w:ind w:firstLine="280"/>
        <w:spacing w:line="500" w:lineRule="exact"/>
        <w:rPr>
          <w:rFonts w:hint="eastAsia"/>
          <w:color w:val="auto"/>
          <w:highlight w:val="none"/>
        </w:rPr>
      </w:pPr>
      <w:r>
        <w:rPr>
          <w:rFonts w:hint="eastAsia"/>
          <w:color w:val="auto"/>
          <w:highlight w:val="none"/>
        </w:rPr>
      </w:r>
      <w:r/>
    </w:p>
    <w:p>
      <w:pPr>
        <w:pStyle w:val="1152"/>
        <w:spacing w:line="500" w:lineRule="exact"/>
        <w:rPr>
          <w:rFonts w:hint="eastAsia" w:ascii="宋体" w:hAnsi="宋体" w:cs="宋体"/>
          <w:color w:val="auto"/>
          <w:highlight w:val="none"/>
        </w:rPr>
        <w:outlineLvl w:val="1"/>
      </w:pPr>
      <w:r>
        <w:rPr>
          <w:rFonts w:hint="eastAsia" w:ascii="宋体" w:hAnsi="宋体" w:cs="宋体"/>
          <w:color w:val="auto"/>
          <w:highlight w:val="none"/>
        </w:rPr>
        <w:br w:type="page" w:clear="all"/>
      </w:r>
      <w:bookmarkStart w:id="701" w:name="_Toc11176"/>
      <w:r/>
      <w:bookmarkStart w:id="702" w:name="_Toc4888"/>
      <w:r>
        <w:rPr>
          <w:rFonts w:hint="eastAsia" w:ascii="宋体" w:hAnsi="宋体" w:cs="宋体"/>
          <w:b/>
          <w:bCs/>
          <w:color w:val="auto"/>
          <w:sz w:val="32"/>
          <w:szCs w:val="32"/>
          <w:highlight w:val="none"/>
        </w:rPr>
        <w:t xml:space="preserve">十、</w:t>
      </w:r>
      <w:bookmarkEnd w:id="701"/>
      <w:r>
        <w:rPr>
          <w:rFonts w:hint="eastAsia" w:ascii="宋体" w:hAnsi="宋体" w:cs="宋体"/>
          <w:b/>
          <w:bCs/>
          <w:color w:val="auto"/>
          <w:sz w:val="32"/>
          <w:szCs w:val="32"/>
          <w:highlight w:val="none"/>
        </w:rPr>
        <w:t xml:space="preserve">企业业绩</w:t>
      </w:r>
      <w:bookmarkEnd w:id="702"/>
      <w:r/>
      <w:r/>
    </w:p>
    <w:p>
      <w:pPr>
        <w:pStyle w:val="115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4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54"/>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val="false"/>
          </w:tcPr>
          <w:p>
            <w:pPr>
              <w:pStyle w:val="1154"/>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val="false"/>
          </w:tcPr>
          <w:p>
            <w:pPr>
              <w:pStyle w:val="1154"/>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val="false"/>
          </w:tcPr>
          <w:p>
            <w:pPr>
              <w:pStyle w:val="1154"/>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25"/>
        </w:trPr>
        <w:tc>
          <w:tcPr>
            <w:tcW w:w="1229" w:type="dxa"/>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54"/>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bl>
    <w:p>
      <w:pPr>
        <w:pStyle w:val="1153"/>
        <w:rPr>
          <w:rFonts w:hint="eastAsia" w:ascii="宋体" w:hAnsi="宋体" w:cs="宋体"/>
          <w:color w:val="auto"/>
          <w:highlight w:val="none"/>
        </w:rPr>
      </w:pPr>
      <w:r>
        <w:rPr>
          <w:rFonts w:hint="eastAsia" w:ascii="宋体" w:hAnsi="宋体" w:cs="宋体"/>
          <w:b/>
          <w:color w:val="auto"/>
          <w:sz w:val="24"/>
          <w:highlight w:val="none"/>
        </w:rPr>
        <w:t xml:space="preserve">注：请填写此表，并按要求上传业绩资料电子件。</w:t>
      </w:r>
      <w:r/>
    </w:p>
    <w:p>
      <w:pPr>
        <w:pStyle w:val="1198"/>
        <w:jc w:val="left"/>
        <w:rPr>
          <w:rFonts w:hint="eastAsia" w:ascii="宋体" w:hAnsi="宋体" w:cs="宋体"/>
          <w:b/>
          <w:bCs/>
          <w:color w:val="auto"/>
          <w:sz w:val="32"/>
          <w:szCs w:val="32"/>
          <w:highlight w:val="none"/>
        </w:rPr>
        <w:outlineLvl w:val="1"/>
      </w:pPr>
      <w:r>
        <w:rPr>
          <w:rFonts w:hint="eastAsia" w:ascii="宋体" w:hAnsi="宋体" w:eastAsia="宋体" w:cs="宋体"/>
          <w:color w:val="auto"/>
          <w:highlight w:val="none"/>
        </w:rPr>
        <w:br w:type="page" w:clear="all"/>
      </w:r>
      <w:bookmarkStart w:id="703" w:name="_Toc18346"/>
      <w:r/>
      <w:bookmarkStart w:id="704" w:name="_Toc8151"/>
      <w:r/>
      <w:bookmarkStart w:id="705" w:name="_Toc31149"/>
      <w:r/>
      <w:bookmarkStart w:id="706" w:name="_Toc28140"/>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eastAsia="zh-CN"/>
        </w:rPr>
        <w:t xml:space="preserve">一</w:t>
      </w:r>
      <w:r>
        <w:rPr>
          <w:rFonts w:hint="eastAsia" w:ascii="宋体" w:hAnsi="宋体" w:cs="宋体"/>
          <w:b/>
          <w:bCs/>
          <w:color w:val="auto"/>
          <w:sz w:val="32"/>
          <w:szCs w:val="32"/>
          <w:highlight w:val="none"/>
        </w:rPr>
        <w:t xml:space="preserve">、承诺函</w:t>
      </w:r>
      <w:bookmarkEnd w:id="703"/>
      <w:r/>
      <w:r/>
    </w:p>
    <w:p>
      <w:pPr>
        <w:pStyle w:val="1198"/>
        <w:jc w:val="center"/>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pStyle w:val="1198"/>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t xml:space="preserve">承诺函</w:t>
      </w:r>
      <w:bookmarkEnd w:id="704"/>
      <w:r/>
      <w:bookmarkEnd w:id="705"/>
      <w:r/>
      <w:r/>
    </w:p>
    <w:p>
      <w:pPr>
        <w:pStyle w:val="1199"/>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采购人</w:t>
      </w:r>
      <w:r>
        <w:rPr>
          <w:rFonts w:hint="eastAsia" w:ascii="宋体" w:hAnsi="宋体" w:eastAsia="宋体" w:cs="宋体"/>
          <w:color w:val="auto"/>
          <w:sz w:val="28"/>
          <w:szCs w:val="28"/>
          <w:highlight w:val="none"/>
          <w:u w:val="single"/>
        </w:rPr>
        <w:t xml:space="preserve">名称）</w:t>
      </w:r>
      <w:r>
        <w:rPr>
          <w:rFonts w:hint="eastAsia" w:ascii="宋体" w:hAnsi="宋体" w:eastAsia="宋体" w:cs="宋体"/>
          <w:color w:val="auto"/>
          <w:sz w:val="28"/>
          <w:szCs w:val="28"/>
          <w:highlight w:val="none"/>
        </w:rPr>
        <w:t xml:space="preserve">：</w:t>
      </w:r>
      <w:r/>
    </w:p>
    <w:p>
      <w:pPr>
        <w:pStyle w:val="1199"/>
        <w:ind w:firstLine="520"/>
        <w:keepLines w:val="0"/>
        <w:keepNext w:val="0"/>
        <w:pageBreakBefore w:val="0"/>
        <w:spacing w:line="600" w:lineRule="exact"/>
        <w:widowControl w:val="off"/>
        <w:rPr>
          <w:rFonts w:hint="eastAsia" w:ascii="宋体" w:hAnsi="宋体" w:eastAsia="宋体" w:cs="宋体"/>
          <w:color w:val="auto"/>
          <w:sz w:val="26"/>
          <w:szCs w:val="26"/>
          <w:highlight w:val="none"/>
          <w:lang w:val="en-US" w:eastAsia="zh-CN"/>
        </w:rPr>
      </w:pPr>
      <w:r>
        <w:rPr>
          <w:rFonts w:hint="eastAsia" w:ascii="宋体" w:hAnsi="宋体" w:eastAsia="宋体" w:cs="宋体"/>
          <w:color w:val="auto"/>
          <w:sz w:val="26"/>
          <w:szCs w:val="26"/>
          <w:highlight w:val="none"/>
          <w:lang w:val="en-US" w:eastAsia="zh-CN"/>
        </w:rPr>
        <w:t xml:space="preserve">根据编号为</w:t>
      </w:r>
      <w:r>
        <w:rPr>
          <w:rFonts w:hint="eastAsia" w:ascii="宋体" w:hAnsi="宋体" w:eastAsia="宋体" w:cs="宋体"/>
          <w:color w:val="auto"/>
          <w:sz w:val="26"/>
          <w:szCs w:val="26"/>
          <w:highlight w:val="none"/>
          <w:u w:val="single"/>
          <w:lang w:val="en-US" w:eastAsia="zh-CN"/>
        </w:rPr>
        <w:t xml:space="preserve">      </w:t>
      </w:r>
      <w:r>
        <w:rPr>
          <w:rFonts w:hint="eastAsia" w:ascii="宋体" w:hAnsi="宋体" w:eastAsia="宋体" w:cs="宋体"/>
          <w:color w:val="auto"/>
          <w:sz w:val="26"/>
          <w:szCs w:val="26"/>
          <w:highlight w:val="none"/>
          <w:lang w:val="en-US" w:eastAsia="zh-CN"/>
        </w:rPr>
        <w:t xml:space="preserve">的</w:t>
      </w:r>
      <w:r>
        <w:rPr>
          <w:rFonts w:hint="eastAsia" w:ascii="宋体" w:hAnsi="宋体" w:eastAsia="宋体" w:cs="宋体"/>
          <w:color w:val="auto"/>
          <w:sz w:val="26"/>
          <w:szCs w:val="26"/>
          <w:highlight w:val="none"/>
          <w:u w:val="single"/>
          <w:lang w:val="en-US" w:eastAsia="zh-CN"/>
        </w:rPr>
        <w:t xml:space="preserve">               </w:t>
      </w:r>
      <w:r>
        <w:rPr>
          <w:rFonts w:hint="eastAsia" w:ascii="宋体" w:hAnsi="宋体" w:eastAsia="宋体" w:cs="宋体"/>
          <w:color w:val="auto"/>
          <w:sz w:val="26"/>
          <w:szCs w:val="26"/>
          <w:highlight w:val="none"/>
          <w:u w:val="none"/>
          <w:lang w:val="en-US" w:eastAsia="zh-CN"/>
        </w:rPr>
        <w:t xml:space="preserve">项目的</w:t>
      </w:r>
      <w:r>
        <w:rPr>
          <w:rFonts w:hint="eastAsia" w:ascii="宋体" w:hAnsi="宋体" w:cs="宋体"/>
          <w:color w:val="auto"/>
          <w:sz w:val="26"/>
          <w:szCs w:val="26"/>
          <w:highlight w:val="none"/>
          <w:lang w:val="en-US" w:eastAsia="zh-CN"/>
        </w:rPr>
        <w:t xml:space="preserve">招标</w:t>
      </w:r>
      <w:r>
        <w:rPr>
          <w:rFonts w:hint="eastAsia" w:ascii="宋体" w:hAnsi="宋体" w:eastAsia="宋体" w:cs="宋体"/>
          <w:color w:val="auto"/>
          <w:sz w:val="26"/>
          <w:szCs w:val="26"/>
          <w:highlight w:val="none"/>
          <w:lang w:val="en-US" w:eastAsia="zh-CN"/>
        </w:rPr>
        <w:t xml:space="preserve">文件相关要求，我单位承诺如下：</w:t>
      </w:r>
      <w:r/>
    </w:p>
    <w:p>
      <w:pPr>
        <w:pStyle w:val="1200"/>
        <w:ind w:firstLine="520"/>
        <w:keepLines w:val="0"/>
        <w:keepNext w:val="0"/>
        <w:pageBreakBefore w:val="0"/>
        <w:spacing w:line="600" w:lineRule="exact"/>
        <w:widowControl w:val="off"/>
        <w:rPr>
          <w:rFonts w:hint="eastAsia" w:ascii="宋体" w:hAnsi="宋体" w:eastAsia="宋体" w:cs="宋体"/>
          <w:color w:val="auto"/>
          <w:sz w:val="26"/>
          <w:szCs w:val="26"/>
          <w:highlight w:val="none"/>
          <w:lang w:val="en-US" w:eastAsia="zh-CN"/>
        </w:rPr>
      </w:pPr>
      <w:r>
        <w:rPr>
          <w:rFonts w:hint="eastAsia" w:ascii="宋体" w:hAnsi="宋体" w:eastAsia="宋体" w:cs="宋体"/>
          <w:color w:val="auto"/>
          <w:sz w:val="26"/>
          <w:szCs w:val="26"/>
          <w:highlight w:val="none"/>
          <w:lang w:val="en-US" w:eastAsia="zh-CN"/>
        </w:rPr>
        <w:t xml:space="preserve">1.</w:t>
      </w:r>
      <w:r>
        <w:rPr>
          <w:rFonts w:hint="eastAsia" w:ascii="宋体" w:hAnsi="宋体" w:cs="宋体"/>
          <w:color w:val="auto"/>
          <w:sz w:val="26"/>
          <w:szCs w:val="26"/>
          <w:highlight w:val="none"/>
          <w:lang w:val="en-US" w:eastAsia="zh-CN"/>
        </w:rPr>
        <w:t xml:space="preserve"> 履约期间，</w:t>
      </w:r>
      <w:r>
        <w:rPr>
          <w:rFonts w:hint="eastAsia" w:ascii="宋体" w:hAnsi="宋体" w:eastAsia="宋体" w:cs="宋体"/>
          <w:color w:val="auto"/>
          <w:sz w:val="26"/>
          <w:szCs w:val="26"/>
          <w:highlight w:val="none"/>
          <w:lang w:val="en-US" w:eastAsia="zh-CN"/>
        </w:rPr>
        <w:t xml:space="preserve">无条件服从</w:t>
      </w:r>
      <w:r>
        <w:rPr>
          <w:rFonts w:hint="eastAsia" w:ascii="宋体" w:hAnsi="宋体" w:cs="宋体"/>
          <w:color w:val="auto"/>
          <w:sz w:val="26"/>
          <w:szCs w:val="26"/>
          <w:highlight w:val="none"/>
          <w:lang w:val="en-US" w:eastAsia="zh-CN"/>
        </w:rPr>
        <w:t xml:space="preserve">采购人</w:t>
      </w:r>
      <w:r>
        <w:rPr>
          <w:rFonts w:hint="eastAsia" w:ascii="宋体" w:hAnsi="宋体" w:eastAsia="宋体" w:cs="宋体"/>
          <w:color w:val="auto"/>
          <w:sz w:val="26"/>
          <w:szCs w:val="26"/>
          <w:highlight w:val="none"/>
          <w:lang w:val="en-US" w:eastAsia="zh-CN"/>
        </w:rPr>
        <w:t xml:space="preserve">要求临时抽调人员参与</w:t>
      </w:r>
      <w:r>
        <w:rPr>
          <w:rFonts w:hint="eastAsia" w:ascii="宋体" w:hAnsi="宋体" w:cs="宋体"/>
          <w:color w:val="auto"/>
          <w:sz w:val="26"/>
          <w:szCs w:val="26"/>
          <w:highlight w:val="none"/>
          <w:lang w:val="en-US" w:eastAsia="zh-CN"/>
        </w:rPr>
        <w:t xml:space="preserve">服务</w:t>
      </w:r>
      <w:r>
        <w:rPr>
          <w:rFonts w:hint="eastAsia" w:ascii="宋体" w:hAnsi="宋体" w:eastAsia="宋体" w:cs="宋体"/>
          <w:color w:val="auto"/>
          <w:sz w:val="26"/>
          <w:szCs w:val="26"/>
          <w:highlight w:val="none"/>
          <w:lang w:val="en-US" w:eastAsia="zh-CN"/>
        </w:rPr>
        <w:t xml:space="preserve">；</w:t>
      </w:r>
      <w:r/>
    </w:p>
    <w:p>
      <w:pPr>
        <w:pStyle w:val="1200"/>
        <w:ind w:firstLine="520"/>
        <w:keepLines w:val="0"/>
        <w:keepNext w:val="0"/>
        <w:pageBreakBefore w:val="0"/>
        <w:spacing w:line="600" w:lineRule="exact"/>
        <w:widowControl w:val="off"/>
        <w:rPr>
          <w:rFonts w:hint="eastAsia" w:ascii="宋体" w:hAnsi="宋体" w:eastAsia="宋体" w:cs="宋体"/>
          <w:color w:val="auto"/>
          <w:sz w:val="26"/>
          <w:szCs w:val="26"/>
          <w:highlight w:val="none"/>
          <w:lang w:val="en-US" w:eastAsia="zh-CN"/>
        </w:rPr>
      </w:pPr>
      <w:r>
        <w:rPr>
          <w:rFonts w:hint="eastAsia" w:ascii="宋体" w:hAnsi="宋体" w:eastAsia="宋体" w:cs="宋体"/>
          <w:color w:val="auto"/>
          <w:sz w:val="26"/>
          <w:szCs w:val="26"/>
          <w:highlight w:val="none"/>
          <w:lang w:val="en-US" w:eastAsia="zh-CN"/>
        </w:rPr>
        <w:t xml:space="preserve">2.</w:t>
      </w:r>
      <w:r>
        <w:rPr>
          <w:rFonts w:hint="eastAsia" w:ascii="宋体" w:hAnsi="宋体" w:cs="宋体"/>
          <w:color w:val="auto"/>
          <w:sz w:val="26"/>
          <w:szCs w:val="26"/>
          <w:highlight w:val="none"/>
          <w:lang w:val="en-US" w:eastAsia="zh-CN"/>
        </w:rPr>
        <w:t xml:space="preserve"> 履约期间，</w:t>
      </w:r>
      <w:r>
        <w:rPr>
          <w:rFonts w:hint="eastAsia" w:ascii="宋体" w:hAnsi="宋体" w:eastAsia="宋体" w:cs="宋体"/>
          <w:color w:val="auto"/>
          <w:sz w:val="26"/>
          <w:szCs w:val="26"/>
          <w:highlight w:val="none"/>
          <w:lang w:val="en-US" w:eastAsia="zh-CN"/>
        </w:rPr>
        <w:t xml:space="preserve">按照国家相关要求实施</w:t>
      </w:r>
      <w:r>
        <w:rPr>
          <w:rFonts w:hint="eastAsia" w:ascii="宋体" w:hAnsi="宋体" w:cs="宋体"/>
          <w:color w:val="auto"/>
          <w:sz w:val="26"/>
          <w:szCs w:val="26"/>
          <w:highlight w:val="none"/>
          <w:lang w:val="en-US" w:eastAsia="zh-CN"/>
        </w:rPr>
        <w:t xml:space="preserve">实施项目</w:t>
      </w:r>
      <w:r>
        <w:rPr>
          <w:rFonts w:hint="eastAsia" w:ascii="宋体" w:hAnsi="宋体" w:eastAsia="宋体" w:cs="宋体"/>
          <w:color w:val="auto"/>
          <w:sz w:val="26"/>
          <w:szCs w:val="26"/>
          <w:highlight w:val="none"/>
          <w:lang w:val="en-US" w:eastAsia="zh-CN"/>
        </w:rPr>
        <w:t xml:space="preserve">，制定合理的</w:t>
      </w:r>
      <w:r>
        <w:rPr>
          <w:rFonts w:hint="eastAsia" w:ascii="宋体" w:hAnsi="宋体" w:cs="宋体"/>
          <w:color w:val="auto"/>
          <w:sz w:val="26"/>
          <w:szCs w:val="26"/>
          <w:highlight w:val="none"/>
          <w:lang w:val="en-US" w:eastAsia="zh-CN"/>
        </w:rPr>
        <w:t xml:space="preserve">服务</w:t>
      </w:r>
      <w:r>
        <w:rPr>
          <w:rFonts w:hint="eastAsia" w:ascii="宋体" w:hAnsi="宋体" w:eastAsia="宋体" w:cs="宋体"/>
          <w:color w:val="auto"/>
          <w:sz w:val="26"/>
          <w:szCs w:val="26"/>
          <w:highlight w:val="none"/>
          <w:lang w:val="en-US" w:eastAsia="zh-CN"/>
        </w:rPr>
        <w:t xml:space="preserve">实施方案并依之开展工作；</w:t>
      </w:r>
      <w:r/>
    </w:p>
    <w:p>
      <w:pPr>
        <w:pStyle w:val="1200"/>
        <w:ind w:firstLine="520"/>
        <w:keepLines w:val="0"/>
        <w:keepNext w:val="0"/>
        <w:pageBreakBefore w:val="0"/>
        <w:spacing w:line="600" w:lineRule="exact"/>
        <w:widowControl w:val="off"/>
        <w:rPr>
          <w:rFonts w:hint="eastAsia" w:ascii="宋体" w:hAnsi="宋体" w:eastAsia="宋体" w:cs="宋体"/>
          <w:color w:val="auto"/>
          <w:sz w:val="26"/>
          <w:szCs w:val="26"/>
          <w:highlight w:val="none"/>
          <w:lang w:val="en-US" w:eastAsia="zh-CN"/>
        </w:rPr>
      </w:pPr>
      <w:r>
        <w:rPr>
          <w:rFonts w:hint="eastAsia" w:ascii="宋体" w:hAnsi="宋体" w:eastAsia="宋体" w:cs="宋体"/>
          <w:color w:val="auto"/>
          <w:sz w:val="26"/>
          <w:szCs w:val="26"/>
          <w:highlight w:val="none"/>
          <w:lang w:val="en-US" w:eastAsia="zh-CN"/>
        </w:rPr>
        <w:t xml:space="preserve">3.</w:t>
      </w:r>
      <w:r>
        <w:rPr>
          <w:rFonts w:hint="eastAsia" w:ascii="宋体" w:hAnsi="宋体" w:cs="宋体"/>
          <w:color w:val="auto"/>
          <w:sz w:val="26"/>
          <w:szCs w:val="26"/>
          <w:highlight w:val="none"/>
          <w:lang w:val="en-US" w:eastAsia="zh-CN"/>
        </w:rPr>
        <w:t xml:space="preserve"> 履约期间，严格按照本项目招标文件各项服务内容和标准要求进行服务，包括但不限于人员素质及数量配备、设备车辆种类及数量配备、商务要求等</w:t>
      </w:r>
      <w:r>
        <w:rPr>
          <w:rFonts w:hint="eastAsia" w:ascii="宋体" w:hAnsi="宋体" w:eastAsia="宋体" w:cs="宋体"/>
          <w:color w:val="auto"/>
          <w:sz w:val="26"/>
          <w:szCs w:val="26"/>
          <w:highlight w:val="none"/>
          <w:lang w:val="en-US" w:eastAsia="zh-CN"/>
        </w:rPr>
        <w:t xml:space="preserve">。</w:t>
      </w:r>
      <w:r/>
    </w:p>
    <w:p>
      <w:pPr>
        <w:pStyle w:val="1200"/>
        <w:ind w:firstLine="522"/>
        <w:spacing w:line="360" w:lineRule="auto"/>
        <w:rPr>
          <w:rFonts w:hint="eastAsia" w:ascii="宋体" w:hAnsi="宋体" w:eastAsia="宋体" w:cs="宋体"/>
          <w:b/>
          <w:bCs/>
          <w:color w:val="auto"/>
          <w:sz w:val="26"/>
          <w:szCs w:val="26"/>
          <w:highlight w:val="none"/>
          <w:lang w:val="en-US" w:eastAsia="zh-CN"/>
        </w:rPr>
      </w:pPr>
      <w:r>
        <w:rPr>
          <w:rFonts w:hint="eastAsia" w:ascii="宋体" w:hAnsi="宋体" w:eastAsia="宋体" w:cs="宋体"/>
          <w:b/>
          <w:bCs/>
          <w:color w:val="auto"/>
          <w:sz w:val="26"/>
          <w:szCs w:val="26"/>
          <w:highlight w:val="none"/>
          <w:lang w:val="en-US" w:eastAsia="zh-CN"/>
        </w:rPr>
        <w:t xml:space="preserve"> </w:t>
      </w:r>
      <w:r/>
    </w:p>
    <w:p>
      <w:pPr>
        <w:pStyle w:val="1200"/>
        <w:ind w:firstLine="5742"/>
        <w:spacing w:line="360" w:lineRule="auto"/>
        <w:rPr>
          <w:rFonts w:hint="eastAsia" w:ascii="宋体" w:hAnsi="宋体" w:eastAsia="宋体" w:cs="宋体"/>
          <w:b/>
          <w:bCs/>
          <w:color w:val="auto"/>
          <w:sz w:val="26"/>
          <w:szCs w:val="26"/>
          <w:highlight w:val="none"/>
          <w:lang w:val="en-US" w:eastAsia="zh-CN"/>
        </w:rPr>
      </w:pPr>
      <w:r>
        <w:rPr>
          <w:rFonts w:hint="eastAsia" w:ascii="宋体" w:hAnsi="宋体" w:eastAsia="宋体" w:cs="宋体"/>
          <w:b/>
          <w:bCs/>
          <w:color w:val="auto"/>
          <w:sz w:val="26"/>
          <w:szCs w:val="26"/>
          <w:highlight w:val="none"/>
          <w:lang w:val="en-US" w:eastAsia="zh-CN"/>
        </w:rPr>
      </w:r>
      <w:r/>
    </w:p>
    <w:p>
      <w:pPr>
        <w:pStyle w:val="1200"/>
        <w:ind w:firstLine="520"/>
        <w:spacing w:line="360" w:lineRule="auto"/>
        <w:rPr>
          <w:rFonts w:hint="eastAsia" w:ascii="宋体" w:hAnsi="宋体" w:eastAsia="宋体" w:cs="宋体"/>
          <w:b w:val="0"/>
          <w:bCs w:val="0"/>
          <w:color w:val="auto"/>
          <w:sz w:val="26"/>
          <w:szCs w:val="26"/>
          <w:highlight w:val="none"/>
          <w:lang w:val="en-US" w:eastAsia="zh-CN"/>
        </w:rPr>
      </w:pPr>
      <w:r>
        <w:rPr>
          <w:rFonts w:hint="eastAsia" w:ascii="宋体" w:hAnsi="宋体" w:eastAsia="宋体" w:cs="宋体"/>
          <w:b w:val="0"/>
          <w:bCs w:val="0"/>
          <w:color w:val="auto"/>
          <w:sz w:val="26"/>
          <w:szCs w:val="26"/>
          <w:highlight w:val="none"/>
          <w:lang w:val="en-US" w:eastAsia="zh-CN"/>
        </w:rPr>
        <w:t xml:space="preserve">单位名称：</w:t>
      </w:r>
      <w:r>
        <w:rPr>
          <w:rFonts w:hint="eastAsia" w:ascii="宋体" w:hAnsi="宋体" w:eastAsia="宋体" w:cs="宋体"/>
          <w:b w:val="0"/>
          <w:bCs w:val="0"/>
          <w:color w:val="auto"/>
          <w:sz w:val="26"/>
          <w:szCs w:val="26"/>
          <w:highlight w:val="none"/>
          <w:u w:val="single"/>
          <w:lang w:val="en-US" w:eastAsia="zh-CN"/>
        </w:rPr>
        <w:t xml:space="preserve">            </w:t>
      </w:r>
      <w:r>
        <w:rPr>
          <w:rFonts w:hint="eastAsia" w:ascii="宋体" w:hAnsi="宋体" w:eastAsia="宋体" w:cs="宋体"/>
          <w:b w:val="0"/>
          <w:bCs w:val="0"/>
          <w:color w:val="auto"/>
          <w:sz w:val="26"/>
          <w:szCs w:val="26"/>
          <w:highlight w:val="none"/>
          <w:lang w:val="en-US" w:eastAsia="zh-CN"/>
        </w:rPr>
        <w:t xml:space="preserve">（公章）</w:t>
      </w:r>
      <w:r/>
    </w:p>
    <w:p>
      <w:pPr>
        <w:pStyle w:val="1200"/>
        <w:ind w:firstLine="520"/>
        <w:spacing w:line="360" w:lineRule="auto"/>
        <w:rPr>
          <w:rFonts w:hint="eastAsia" w:ascii="宋体" w:hAnsi="宋体" w:eastAsia="宋体" w:cs="宋体"/>
          <w:color w:val="auto"/>
          <w:sz w:val="26"/>
          <w:szCs w:val="26"/>
          <w:highlight w:val="none"/>
          <w:lang w:val="en-US" w:eastAsia="zh-CN"/>
        </w:rPr>
      </w:pPr>
      <w:r>
        <w:rPr>
          <w:rFonts w:hint="eastAsia" w:ascii="宋体" w:hAnsi="宋体" w:eastAsia="宋体" w:cs="宋体"/>
          <w:color w:val="auto"/>
          <w:sz w:val="26"/>
          <w:szCs w:val="26"/>
          <w:highlight w:val="none"/>
          <w:lang w:val="en-US" w:eastAsia="zh-CN"/>
        </w:rPr>
        <w:t xml:space="preserve">日期：</w:t>
      </w:r>
      <w:r>
        <w:rPr>
          <w:rFonts w:hint="eastAsia" w:ascii="宋体" w:hAnsi="宋体" w:eastAsia="宋体" w:cs="宋体"/>
          <w:b/>
          <w:bCs/>
          <w:color w:val="auto"/>
          <w:sz w:val="26"/>
          <w:szCs w:val="26"/>
          <w:highlight w:val="none"/>
          <w:u w:val="single"/>
          <w:lang w:val="en-US" w:eastAsia="zh-CN"/>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55"/>
        <w:rPr>
          <w:rFonts w:hint="eastAsia" w:ascii="宋体" w:hAnsi="宋体" w:eastAsia="宋体" w:cs="宋体"/>
          <w:color w:val="auto"/>
          <w:highlight w:val="none"/>
        </w:rPr>
        <w:outlineLvl w:val="1"/>
      </w:pPr>
      <w:r/>
      <w:bookmarkStart w:id="707" w:name="_Toc13288"/>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、投标所需其他材料</w:t>
      </w:r>
      <w:bookmarkEnd w:id="706"/>
      <w:r/>
      <w:bookmarkEnd w:id="707"/>
      <w:r/>
      <w:r/>
    </w:p>
    <w:p>
      <w:pPr>
        <w:pStyle w:val="1156"/>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cs="宋体"/>
          <w:color w:val="auto"/>
          <w:sz w:val="20"/>
          <w:highlight w:val="none"/>
        </w:rPr>
      </w:pPr>
      <w:r>
        <w:rPr>
          <w:rFonts w:hint="eastAsia" w:ascii="宋体" w:hAnsi="宋体" w:cs="宋体"/>
          <w:color w:val="auto"/>
          <w:sz w:val="20"/>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bookmarkEnd w:id="687"/>
      <w:r/>
      <w:r/>
    </w:p>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1021"/>
        <w:ind w:firstLine="0"/>
        <w:rPr>
          <w:rFonts w:hint="eastAsia" w:ascii="宋体" w:hAnsi="宋体" w:cs="宋体"/>
          <w:color w:val="auto"/>
          <w:sz w:val="24"/>
          <w:highlight w:val="none"/>
        </w:rPr>
      </w:pPr>
      <w:r/>
      <w:bookmarkStart w:id="708" w:name="_Hlt26609389"/>
      <w:r/>
      <w:bookmarkEnd w:id="708"/>
      <w:r/>
      <w:bookmarkStart w:id="709" w:name="_Hlt26671374"/>
      <w:r/>
      <w:bookmarkEnd w:id="709"/>
      <w:r/>
      <w:bookmarkStart w:id="710" w:name="_Hlt26955066"/>
      <w:r/>
      <w:bookmarkEnd w:id="710"/>
      <w:r/>
      <w:bookmarkStart w:id="711" w:name="_Toc462564146"/>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10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3"/>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3"/>
      <w:r/>
      <w:bookmarkEnd w:id="254"/>
      <w:r/>
      <w:bookmarkEnd w:id="711"/>
      <w:r/>
      <w:r/>
    </w:p>
    <w:p>
      <w:pPr>
        <w:jc w:val="center"/>
        <w:rPr>
          <w:rFonts w:hint="eastAsia" w:ascii="宋体" w:hAnsi="宋体" w:cs="宋体"/>
          <w:b/>
          <w:color w:val="auto"/>
          <w:sz w:val="32"/>
          <w:szCs w:val="32"/>
          <w:highlight w:val="none"/>
        </w:rPr>
      </w:pPr>
      <w:r/>
      <w:bookmarkStart w:id="712" w:name="_格式2__法定代表人授权书"/>
      <w:r/>
      <w:bookmarkEnd w:id="712"/>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lef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br w:type="page" w:clear="all"/>
      </w:r>
      <w:bookmarkStart w:id="713" w:name="_Toc16575"/>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eastAsia="zh-CN"/>
        </w:rPr>
        <w:t xml:space="preserve">三</w:t>
      </w:r>
      <w:r>
        <w:rPr>
          <w:rFonts w:hint="eastAsia" w:ascii="宋体" w:hAnsi="宋体" w:cs="宋体"/>
          <w:b/>
          <w:bCs/>
          <w:color w:val="auto"/>
          <w:sz w:val="32"/>
          <w:szCs w:val="32"/>
          <w:highlight w:val="none"/>
        </w:rPr>
        <w:t xml:space="preserve">、质疑函范本</w:t>
      </w:r>
      <w:bookmarkEnd w:id="713"/>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质疑函范本</w:t>
      </w:r>
      <w:r/>
    </w:p>
    <w:p>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一、质疑投标人基本信息</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质疑投标人：</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021"/>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21"/>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erReference w:type="default" r:id="rId14"/>
      <w:footnotePr/>
      <w:endnotePr/>
      <w:type w:val="nextPage"/>
      <w:pgSz w:w="11906" w:h="16838" w:orient="portrait"/>
      <w:pgMar w:top="1418" w:right="1588" w:bottom="1418" w:left="1585" w:header="851" w:footer="10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1</w:t>
    </w:r>
    <w:r>
      <w:fldChar w:fldCharType="end"/>
    </w:r>
    <w:r/>
  </w:p>
  <w:p>
    <w:pPr>
      <w:pStyle w:val="10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4"/>
      <w:isLgl w:val="false"/>
      <w:suff w:val="nothing"/>
      <w:lvlText w:val=""/>
      <w:lvlJc w:val="left"/>
      <w:pPr>
        <w:ind w:left="0" w:firstLine="0"/>
      </w:pPr>
      <w:rPr>
        <w:rFonts w:hint="eastAsia"/>
      </w:rPr>
    </w:lvl>
    <w:lvl w:ilvl="6">
      <w:start w:val="1"/>
      <w:numFmt w:val="decimal"/>
      <w:pStyle w:val="1025"/>
      <w:isLgl w:val="false"/>
      <w:suff w:val="nothing"/>
      <w:lvlText w:val=""/>
      <w:lvlJc w:val="left"/>
      <w:pPr>
        <w:ind w:left="0" w:firstLine="0"/>
      </w:pPr>
      <w:rPr>
        <w:rFonts w:hint="eastAsia"/>
      </w:rPr>
    </w:lvl>
    <w:lvl w:ilvl="7">
      <w:start w:val="1"/>
      <w:numFmt w:val="decimal"/>
      <w:pStyle w:val="1026"/>
      <w:isLgl w:val="false"/>
      <w:suff w:val="nothing"/>
      <w:lvlText w:val=""/>
      <w:lvlJc w:val="left"/>
      <w:pPr>
        <w:ind w:left="0" w:firstLine="0"/>
      </w:pPr>
      <w:rPr>
        <w:rFonts w:hint="eastAsia"/>
      </w:rPr>
    </w:lvl>
    <w:lvl w:ilvl="8">
      <w:start w:val="1"/>
      <w:numFmt w:val="decimal"/>
      <w:pStyle w:val="1027"/>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845"/>
    <w:link w:val="836"/>
    <w:uiPriority w:val="9"/>
    <w:rPr>
      <w:rFonts w:ascii="Arial" w:hAnsi="Arial" w:eastAsia="Arial" w:cs="Arial"/>
      <w:sz w:val="40"/>
      <w:szCs w:val="40"/>
    </w:rPr>
  </w:style>
  <w:style w:type="character" w:styleId="799">
    <w:name w:val="Heading 2 Char"/>
    <w:basedOn w:val="845"/>
    <w:link w:val="837"/>
    <w:uiPriority w:val="9"/>
    <w:rPr>
      <w:rFonts w:ascii="Arial" w:hAnsi="Arial" w:eastAsia="Arial" w:cs="Arial"/>
      <w:sz w:val="34"/>
    </w:rPr>
  </w:style>
  <w:style w:type="character" w:styleId="800">
    <w:name w:val="Heading 3 Char"/>
    <w:basedOn w:val="845"/>
    <w:link w:val="838"/>
    <w:uiPriority w:val="9"/>
    <w:rPr>
      <w:rFonts w:ascii="Arial" w:hAnsi="Arial" w:eastAsia="Arial" w:cs="Arial"/>
      <w:sz w:val="30"/>
      <w:szCs w:val="30"/>
    </w:rPr>
  </w:style>
  <w:style w:type="character" w:styleId="801">
    <w:name w:val="Heading 4 Char"/>
    <w:basedOn w:val="845"/>
    <w:link w:val="839"/>
    <w:uiPriority w:val="9"/>
    <w:rPr>
      <w:rFonts w:ascii="Arial" w:hAnsi="Arial" w:eastAsia="Arial" w:cs="Arial"/>
      <w:b/>
      <w:bCs/>
      <w:sz w:val="26"/>
      <w:szCs w:val="26"/>
    </w:rPr>
  </w:style>
  <w:style w:type="character" w:styleId="802">
    <w:name w:val="Heading 5 Char"/>
    <w:basedOn w:val="845"/>
    <w:link w:val="840"/>
    <w:uiPriority w:val="9"/>
    <w:rPr>
      <w:rFonts w:ascii="Arial" w:hAnsi="Arial" w:eastAsia="Arial" w:cs="Arial"/>
      <w:b/>
      <w:bCs/>
      <w:sz w:val="24"/>
      <w:szCs w:val="24"/>
    </w:rPr>
  </w:style>
  <w:style w:type="character" w:styleId="803">
    <w:name w:val="Heading 6 Char"/>
    <w:basedOn w:val="845"/>
    <w:link w:val="841"/>
    <w:uiPriority w:val="9"/>
    <w:rPr>
      <w:rFonts w:ascii="Arial" w:hAnsi="Arial" w:eastAsia="Arial" w:cs="Arial"/>
      <w:b/>
      <w:bCs/>
      <w:sz w:val="22"/>
      <w:szCs w:val="22"/>
    </w:rPr>
  </w:style>
  <w:style w:type="character" w:styleId="804">
    <w:name w:val="Heading 7 Char"/>
    <w:basedOn w:val="845"/>
    <w:link w:val="842"/>
    <w:uiPriority w:val="9"/>
    <w:rPr>
      <w:rFonts w:ascii="Arial" w:hAnsi="Arial" w:eastAsia="Arial" w:cs="Arial"/>
      <w:b/>
      <w:bCs/>
      <w:i/>
      <w:iCs/>
      <w:sz w:val="22"/>
      <w:szCs w:val="22"/>
    </w:rPr>
  </w:style>
  <w:style w:type="character" w:styleId="805">
    <w:name w:val="Heading 8 Char"/>
    <w:basedOn w:val="845"/>
    <w:link w:val="843"/>
    <w:uiPriority w:val="9"/>
    <w:rPr>
      <w:rFonts w:ascii="Arial" w:hAnsi="Arial" w:eastAsia="Arial" w:cs="Arial"/>
      <w:i/>
      <w:iCs/>
      <w:sz w:val="22"/>
      <w:szCs w:val="22"/>
    </w:rPr>
  </w:style>
  <w:style w:type="character" w:styleId="806">
    <w:name w:val="Heading 9 Char"/>
    <w:basedOn w:val="845"/>
    <w:link w:val="844"/>
    <w:uiPriority w:val="9"/>
    <w:rPr>
      <w:rFonts w:ascii="Arial" w:hAnsi="Arial" w:eastAsia="Arial" w:cs="Arial"/>
      <w:i/>
      <w:iCs/>
      <w:sz w:val="21"/>
      <w:szCs w:val="21"/>
    </w:rPr>
  </w:style>
  <w:style w:type="character" w:styleId="807">
    <w:name w:val="Title Char"/>
    <w:basedOn w:val="845"/>
    <w:link w:val="865"/>
    <w:uiPriority w:val="10"/>
    <w:rPr>
      <w:sz w:val="48"/>
      <w:szCs w:val="48"/>
    </w:rPr>
  </w:style>
  <w:style w:type="character" w:styleId="808">
    <w:name w:val="Subtitle Char"/>
    <w:basedOn w:val="845"/>
    <w:link w:val="859"/>
    <w:uiPriority w:val="11"/>
    <w:rPr>
      <w:sz w:val="24"/>
      <w:szCs w:val="24"/>
    </w:rPr>
  </w:style>
  <w:style w:type="character" w:styleId="809">
    <w:name w:val="Quote Char"/>
    <w:link w:val="883"/>
    <w:uiPriority w:val="29"/>
    <w:rPr>
      <w:i/>
    </w:rPr>
  </w:style>
  <w:style w:type="character" w:styleId="810">
    <w:name w:val="Intense Quote Char"/>
    <w:link w:val="885"/>
    <w:uiPriority w:val="30"/>
    <w:rPr>
      <w:i/>
    </w:rPr>
  </w:style>
  <w:style w:type="character" w:styleId="811">
    <w:name w:val="Header Char"/>
    <w:basedOn w:val="845"/>
    <w:link w:val="856"/>
    <w:uiPriority w:val="99"/>
  </w:style>
  <w:style w:type="character" w:styleId="812">
    <w:name w:val="Caption Char"/>
    <w:basedOn w:val="848"/>
    <w:link w:val="855"/>
    <w:uiPriority w:val="99"/>
  </w:style>
  <w:style w:type="table" w:styleId="813">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2">
    <w:name w:val="Footnote Text Char"/>
    <w:link w:val="860"/>
    <w:uiPriority w:val="99"/>
    <w:rPr>
      <w:sz w:val="18"/>
    </w:rPr>
  </w:style>
  <w:style w:type="character" w:styleId="833">
    <w:name w:val="Endnote Text Char"/>
    <w:link w:val="854"/>
    <w:uiPriority w:val="99"/>
    <w:rPr>
      <w:sz w:val="20"/>
    </w:rPr>
  </w:style>
  <w:style w:type="paragraph" w:styleId="834">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36">
    <w:name w:val="Heading 1"/>
    <w:basedOn w:val="835"/>
    <w:next w:val="835"/>
    <w:link w:val="870"/>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71"/>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872"/>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73"/>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74"/>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875"/>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77"/>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78"/>
    <w:uiPriority w:val="9"/>
    <w:unhideWhenUsed/>
    <w:qFormat/>
    <w:pPr>
      <w:keepLines/>
      <w:keepNext/>
      <w:spacing w:before="320" w:after="200"/>
      <w:outlineLvl w:val="8"/>
    </w:pPr>
    <w:rPr>
      <w:rFonts w:ascii="Arial" w:hAnsi="Arial" w:eastAsia="Arial" w:cs="Arial"/>
      <w:i/>
      <w:iCs/>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Indent"/>
    <w:basedOn w:val="850"/>
    <w:uiPriority w:val="0"/>
    <w:qFormat/>
    <w:pPr>
      <w:ind w:firstLine="225"/>
    </w:pPr>
    <w:rPr>
      <w:rFonts w:ascii="仿宋_GB2312" w:eastAsia="仿宋_GB2312"/>
      <w:sz w:val="32"/>
    </w:rPr>
  </w:style>
  <w:style w:type="paragraph" w:styleId="850" w:customStyle="1">
    <w:name w:val="Normal_20_1"/>
    <w:uiPriority w:val="0"/>
    <w:qFormat/>
    <w:pPr>
      <w:jc w:val="both"/>
      <w:widowControl w:val="off"/>
    </w:pPr>
    <w:rPr>
      <w:rFonts w:ascii="Calibri" w:hAnsi="Calibri" w:eastAsia="宋体" w:cs="Times New Roman"/>
      <w:sz w:val="21"/>
      <w:szCs w:val="22"/>
      <w:lang w:val="en-US" w:eastAsia="zh-CN" w:bidi="ar-SA"/>
    </w:rPr>
  </w:style>
  <w:style w:type="paragraph" w:styleId="851">
    <w:name w:val="toc 5"/>
    <w:basedOn w:val="835"/>
    <w:next w:val="835"/>
    <w:uiPriority w:val="39"/>
    <w:unhideWhenUsed/>
    <w:qFormat/>
    <w:pPr>
      <w:ind w:left="1134"/>
      <w:spacing w:after="57"/>
    </w:pPr>
  </w:style>
  <w:style w:type="paragraph" w:styleId="852">
    <w:name w:val="toc 3"/>
    <w:basedOn w:val="835"/>
    <w:next w:val="835"/>
    <w:uiPriority w:val="39"/>
    <w:unhideWhenUsed/>
    <w:qFormat/>
    <w:pPr>
      <w:ind w:left="567"/>
      <w:spacing w:after="57"/>
    </w:pPr>
  </w:style>
  <w:style w:type="paragraph" w:styleId="853">
    <w:name w:val="toc 8"/>
    <w:basedOn w:val="835"/>
    <w:next w:val="835"/>
    <w:uiPriority w:val="39"/>
    <w:unhideWhenUsed/>
    <w:qFormat/>
    <w:pPr>
      <w:ind w:left="1984"/>
      <w:spacing w:after="57"/>
    </w:pPr>
  </w:style>
  <w:style w:type="paragraph" w:styleId="854">
    <w:name w:val="endnote text"/>
    <w:basedOn w:val="835"/>
    <w:link w:val="1016"/>
    <w:uiPriority w:val="99"/>
    <w:semiHidden/>
    <w:unhideWhenUsed/>
    <w:qFormat/>
    <w:rPr>
      <w:sz w:val="20"/>
    </w:rPr>
  </w:style>
  <w:style w:type="paragraph" w:styleId="855">
    <w:name w:val="Footer"/>
    <w:basedOn w:val="835"/>
    <w:link w:val="889"/>
    <w:uiPriority w:val="99"/>
    <w:unhideWhenUsed/>
    <w:qFormat/>
    <w:pPr>
      <w:tabs>
        <w:tab w:val="center" w:pos="7143" w:leader="none"/>
        <w:tab w:val="right" w:pos="14287" w:leader="none"/>
      </w:tabs>
    </w:pPr>
  </w:style>
  <w:style w:type="paragraph" w:styleId="856">
    <w:name w:val="Header"/>
    <w:basedOn w:val="835"/>
    <w:link w:val="887"/>
    <w:uiPriority w:val="99"/>
    <w:unhideWhenUsed/>
    <w:qFormat/>
    <w:pPr>
      <w:tabs>
        <w:tab w:val="center" w:pos="7143" w:leader="none"/>
        <w:tab w:val="right" w:pos="14287" w:leader="none"/>
      </w:tabs>
    </w:pPr>
  </w:style>
  <w:style w:type="paragraph" w:styleId="857">
    <w:name w:val="toc 1"/>
    <w:basedOn w:val="835"/>
    <w:next w:val="835"/>
    <w:uiPriority w:val="39"/>
    <w:unhideWhenUsed/>
    <w:qFormat/>
    <w:pPr>
      <w:spacing w:after="57"/>
    </w:pPr>
  </w:style>
  <w:style w:type="paragraph" w:styleId="858">
    <w:name w:val="toc 4"/>
    <w:basedOn w:val="835"/>
    <w:next w:val="835"/>
    <w:uiPriority w:val="39"/>
    <w:unhideWhenUsed/>
    <w:qFormat/>
    <w:pPr>
      <w:ind w:left="850"/>
      <w:spacing w:after="57"/>
    </w:pPr>
  </w:style>
  <w:style w:type="paragraph" w:styleId="859">
    <w:name w:val="Subtitle"/>
    <w:basedOn w:val="835"/>
    <w:next w:val="835"/>
    <w:link w:val="882"/>
    <w:uiPriority w:val="11"/>
    <w:qFormat/>
    <w:pPr>
      <w:spacing w:before="200" w:after="200"/>
    </w:pPr>
    <w:rPr>
      <w:sz w:val="24"/>
      <w:szCs w:val="24"/>
    </w:rPr>
  </w:style>
  <w:style w:type="paragraph" w:styleId="860">
    <w:name w:val="footnote text"/>
    <w:basedOn w:val="835"/>
    <w:link w:val="1015"/>
    <w:uiPriority w:val="99"/>
    <w:semiHidden/>
    <w:unhideWhenUsed/>
    <w:qFormat/>
    <w:pPr>
      <w:spacing w:after="40"/>
    </w:pPr>
    <w:rPr>
      <w:sz w:val="18"/>
    </w:rPr>
  </w:style>
  <w:style w:type="paragraph" w:styleId="861">
    <w:name w:val="toc 6"/>
    <w:basedOn w:val="835"/>
    <w:next w:val="835"/>
    <w:uiPriority w:val="39"/>
    <w:unhideWhenUsed/>
    <w:qFormat/>
    <w:pPr>
      <w:ind w:left="1417"/>
      <w:spacing w:after="57"/>
    </w:pPr>
  </w:style>
  <w:style w:type="paragraph" w:styleId="862">
    <w:name w:val="table of figures"/>
    <w:basedOn w:val="835"/>
    <w:next w:val="835"/>
    <w:uiPriority w:val="99"/>
    <w:unhideWhenUsed/>
    <w:qFormat/>
  </w:style>
  <w:style w:type="paragraph" w:styleId="863">
    <w:name w:val="toc 2"/>
    <w:basedOn w:val="835"/>
    <w:next w:val="835"/>
    <w:uiPriority w:val="39"/>
    <w:unhideWhenUsed/>
    <w:qFormat/>
    <w:pPr>
      <w:ind w:left="283"/>
      <w:spacing w:after="57"/>
    </w:pPr>
  </w:style>
  <w:style w:type="paragraph" w:styleId="864">
    <w:name w:val="toc 9"/>
    <w:basedOn w:val="835"/>
    <w:next w:val="835"/>
    <w:uiPriority w:val="39"/>
    <w:unhideWhenUsed/>
    <w:qFormat/>
    <w:pPr>
      <w:ind w:left="2268"/>
      <w:spacing w:after="57"/>
    </w:pPr>
  </w:style>
  <w:style w:type="paragraph" w:styleId="865">
    <w:name w:val="Title"/>
    <w:basedOn w:val="835"/>
    <w:next w:val="835"/>
    <w:link w:val="881"/>
    <w:uiPriority w:val="10"/>
    <w:qFormat/>
    <w:pPr>
      <w:contextualSpacing/>
      <w:spacing w:before="300" w:after="200"/>
    </w:pPr>
    <w:rPr>
      <w:sz w:val="48"/>
      <w:szCs w:val="48"/>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character" w:styleId="870" w:customStyle="1">
    <w:name w:val="标题 1 字符1"/>
    <w:link w:val="836"/>
    <w:uiPriority w:val="9"/>
    <w:qFormat/>
    <w:rPr>
      <w:rFonts w:ascii="Arial" w:hAnsi="Arial" w:eastAsia="Arial" w:cs="Arial"/>
      <w:sz w:val="40"/>
      <w:szCs w:val="40"/>
    </w:rPr>
  </w:style>
  <w:style w:type="character" w:styleId="871" w:customStyle="1">
    <w:name w:val="标题 2 字符1"/>
    <w:link w:val="837"/>
    <w:uiPriority w:val="9"/>
    <w:qFormat/>
    <w:rPr>
      <w:rFonts w:ascii="Arial" w:hAnsi="Arial" w:eastAsia="Arial" w:cs="Arial"/>
      <w:sz w:val="34"/>
    </w:rPr>
  </w:style>
  <w:style w:type="character" w:styleId="872" w:customStyle="1">
    <w:name w:val="标题 3 字符1"/>
    <w:link w:val="838"/>
    <w:uiPriority w:val="9"/>
    <w:qFormat/>
    <w:rPr>
      <w:rFonts w:ascii="Arial" w:hAnsi="Arial" w:eastAsia="Arial" w:cs="Arial"/>
      <w:sz w:val="30"/>
      <w:szCs w:val="30"/>
    </w:rPr>
  </w:style>
  <w:style w:type="character" w:styleId="873" w:customStyle="1">
    <w:name w:val="标题 4 字符1"/>
    <w:link w:val="839"/>
    <w:uiPriority w:val="9"/>
    <w:qFormat/>
    <w:rPr>
      <w:rFonts w:ascii="Arial" w:hAnsi="Arial" w:eastAsia="Arial" w:cs="Arial"/>
      <w:b/>
      <w:bCs/>
      <w:sz w:val="26"/>
      <w:szCs w:val="26"/>
    </w:rPr>
  </w:style>
  <w:style w:type="character" w:styleId="874" w:customStyle="1">
    <w:name w:val="标题 5 字符1"/>
    <w:link w:val="840"/>
    <w:uiPriority w:val="9"/>
    <w:qFormat/>
    <w:rPr>
      <w:rFonts w:ascii="Arial" w:hAnsi="Arial" w:eastAsia="Arial" w:cs="Arial"/>
      <w:b/>
      <w:bCs/>
      <w:sz w:val="24"/>
      <w:szCs w:val="24"/>
    </w:rPr>
  </w:style>
  <w:style w:type="character" w:styleId="875" w:customStyle="1">
    <w:name w:val="标题 6 字符1"/>
    <w:link w:val="841"/>
    <w:uiPriority w:val="9"/>
    <w:qFormat/>
    <w:rPr>
      <w:rFonts w:ascii="Arial" w:hAnsi="Arial" w:eastAsia="Arial" w:cs="Arial"/>
      <w:b/>
      <w:bCs/>
      <w:sz w:val="22"/>
      <w:szCs w:val="22"/>
    </w:rPr>
  </w:style>
  <w:style w:type="character" w:styleId="876" w:customStyle="1">
    <w:name w:val="标题 7 字符1"/>
    <w:link w:val="842"/>
    <w:uiPriority w:val="9"/>
    <w:qFormat/>
    <w:rPr>
      <w:rFonts w:ascii="Arial" w:hAnsi="Arial" w:eastAsia="Arial" w:cs="Arial"/>
      <w:b/>
      <w:bCs/>
      <w:i/>
      <w:iCs/>
      <w:sz w:val="22"/>
      <w:szCs w:val="22"/>
    </w:rPr>
  </w:style>
  <w:style w:type="character" w:styleId="877" w:customStyle="1">
    <w:name w:val="标题 8 字符1"/>
    <w:link w:val="843"/>
    <w:uiPriority w:val="9"/>
    <w:qFormat/>
    <w:rPr>
      <w:rFonts w:ascii="Arial" w:hAnsi="Arial" w:eastAsia="Arial" w:cs="Arial"/>
      <w:i/>
      <w:iCs/>
      <w:sz w:val="22"/>
      <w:szCs w:val="22"/>
    </w:rPr>
  </w:style>
  <w:style w:type="character" w:styleId="878" w:customStyle="1">
    <w:name w:val="标题 9 字符1"/>
    <w:link w:val="844"/>
    <w:uiPriority w:val="9"/>
    <w:qFormat/>
    <w:rPr>
      <w:rFonts w:ascii="Arial" w:hAnsi="Arial" w:eastAsia="Arial" w:cs="Arial"/>
      <w:i/>
      <w:iCs/>
      <w:sz w:val="21"/>
      <w:szCs w:val="21"/>
    </w:rPr>
  </w:style>
  <w:style w:type="paragraph" w:styleId="879">
    <w:name w:val="List Paragraph"/>
    <w:basedOn w:val="835"/>
    <w:uiPriority w:val="34"/>
    <w:qFormat/>
    <w:pPr>
      <w:contextualSpacing/>
      <w:ind w:left="720"/>
    </w:p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标题 字符"/>
    <w:link w:val="865"/>
    <w:uiPriority w:val="10"/>
    <w:qFormat/>
    <w:rPr>
      <w:sz w:val="48"/>
      <w:szCs w:val="48"/>
    </w:rPr>
  </w:style>
  <w:style w:type="character" w:styleId="882" w:customStyle="1">
    <w:name w:val="副标题 字符"/>
    <w:link w:val="859"/>
    <w:uiPriority w:val="11"/>
    <w:qFormat/>
    <w:rPr>
      <w:sz w:val="24"/>
      <w:szCs w:val="24"/>
    </w:rPr>
  </w:style>
  <w:style w:type="paragraph" w:styleId="883">
    <w:name w:val="Quote"/>
    <w:basedOn w:val="835"/>
    <w:next w:val="835"/>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35"/>
    <w:next w:val="835"/>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页眉 字符1"/>
    <w:link w:val="856"/>
    <w:uiPriority w:val="99"/>
    <w:qFormat/>
  </w:style>
  <w:style w:type="character" w:styleId="888" w:customStyle="1">
    <w:name w:val="Footer Char"/>
    <w:uiPriority w:val="99"/>
    <w:qFormat/>
  </w:style>
  <w:style w:type="character" w:styleId="889" w:customStyle="1">
    <w:name w:val="页脚 字符1"/>
    <w:link w:val="855"/>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字符"/>
    <w:link w:val="860"/>
    <w:uiPriority w:val="99"/>
    <w:qFormat/>
    <w:rPr>
      <w:sz w:val="18"/>
    </w:rPr>
  </w:style>
  <w:style w:type="character" w:styleId="1016" w:customStyle="1">
    <w:name w:val="尾注文本 字符"/>
    <w:link w:val="854"/>
    <w:uiPriority w:val="99"/>
    <w:qFormat/>
    <w:rPr>
      <w:sz w:val="20"/>
    </w:rPr>
  </w:style>
  <w:style w:type="paragraph" w:styleId="1017" w:customStyle="1">
    <w:name w:val="TOC 标题1"/>
    <w:uiPriority w:val="39"/>
    <w:unhideWhenUsed/>
    <w:qFormat/>
    <w:rPr>
      <w:rFonts w:ascii="Times New Roman" w:hAnsi="Times New Roman" w:eastAsia="宋体" w:cs="Times New Roman"/>
      <w:lang w:val="en-US" w:eastAsia="zh-CN" w:bidi="ar-SA"/>
    </w:rPr>
  </w:style>
  <w:style w:type="paragraph" w:styleId="1018" w:customStyle="1">
    <w:name w:val="标题 11"/>
    <w:basedOn w:val="835"/>
    <w:next w:val="835"/>
    <w:link w:val="1030"/>
    <w:uiPriority w:val="0"/>
    <w:qFormat/>
    <w:pPr>
      <w:jc w:val="center"/>
      <w:keepNext/>
      <w:outlineLvl w:val="0"/>
    </w:pPr>
    <w:rPr>
      <w:rFonts w:ascii="楷体_GB2312" w:eastAsia="楷体_GB2312"/>
      <w:sz w:val="28"/>
      <w:szCs w:val="28"/>
    </w:rPr>
  </w:style>
  <w:style w:type="paragraph" w:styleId="1019" w:customStyle="1">
    <w:name w:val="标题 21"/>
    <w:basedOn w:val="835"/>
    <w:next w:val="835"/>
    <w:link w:val="10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0" w:customStyle="1">
    <w:name w:val="标题 31"/>
    <w:basedOn w:val="835"/>
    <w:next w:val="1021"/>
    <w:link w:val="1032"/>
    <w:uiPriority w:val="0"/>
    <w:qFormat/>
    <w:pPr>
      <w:keepLines/>
      <w:keepNext/>
      <w:spacing w:before="260" w:after="260" w:line="416" w:lineRule="auto"/>
      <w:outlineLvl w:val="2"/>
    </w:pPr>
    <w:rPr>
      <w:b/>
      <w:bCs/>
      <w:sz w:val="32"/>
      <w:szCs w:val="32"/>
    </w:rPr>
  </w:style>
  <w:style w:type="paragraph" w:styleId="1021" w:customStyle="1">
    <w:name w:val="正文缩进1"/>
    <w:basedOn w:val="835"/>
    <w:next w:val="835"/>
    <w:link w:val="1033"/>
    <w:uiPriority w:val="0"/>
    <w:qFormat/>
    <w:pPr>
      <w:ind w:firstLine="420"/>
    </w:pPr>
  </w:style>
  <w:style w:type="paragraph" w:styleId="1022" w:customStyle="1">
    <w:name w:val="标题 41"/>
    <w:basedOn w:val="835"/>
    <w:next w:val="1021"/>
    <w:link w:val="1034"/>
    <w:uiPriority w:val="0"/>
    <w:qFormat/>
    <w:pPr>
      <w:keepLines/>
      <w:keepNext/>
      <w:spacing w:before="280" w:after="290" w:line="376" w:lineRule="auto"/>
      <w:outlineLvl w:val="3"/>
    </w:pPr>
    <w:rPr>
      <w:rFonts w:ascii="Arial" w:hAnsi="Arial" w:eastAsia="黑体" w:cs="Arial"/>
      <w:b/>
      <w:bCs/>
      <w:sz w:val="28"/>
      <w:szCs w:val="28"/>
    </w:rPr>
  </w:style>
  <w:style w:type="paragraph" w:styleId="1023" w:customStyle="1">
    <w:name w:val="标题 51"/>
    <w:basedOn w:val="835"/>
    <w:next w:val="1021"/>
    <w:link w:val="1035"/>
    <w:uiPriority w:val="0"/>
    <w:qFormat/>
    <w:pPr>
      <w:keepNext/>
      <w:outlineLvl w:val="4"/>
    </w:pPr>
    <w:rPr>
      <w:rFonts w:ascii="宋体"/>
      <w:color w:val="000000"/>
      <w:sz w:val="28"/>
      <w:szCs w:val="28"/>
    </w:rPr>
  </w:style>
  <w:style w:type="paragraph" w:styleId="1024" w:customStyle="1">
    <w:name w:val="标题 61"/>
    <w:basedOn w:val="835"/>
    <w:next w:val="835"/>
    <w:link w:val="103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5" w:customStyle="1">
    <w:name w:val="标题 71"/>
    <w:basedOn w:val="835"/>
    <w:next w:val="835"/>
    <w:link w:val="1037"/>
    <w:uiPriority w:val="0"/>
    <w:qFormat/>
    <w:pPr>
      <w:numPr>
        <w:ilvl w:val="6"/>
        <w:numId w:val="1"/>
      </w:numPr>
      <w:keepLines/>
      <w:keepNext/>
      <w:spacing w:before="240" w:after="64" w:line="320" w:lineRule="auto"/>
      <w:outlineLvl w:val="6"/>
    </w:pPr>
    <w:rPr>
      <w:b/>
      <w:bCs/>
      <w:sz w:val="24"/>
      <w:szCs w:val="24"/>
    </w:rPr>
  </w:style>
  <w:style w:type="paragraph" w:styleId="1026" w:customStyle="1">
    <w:name w:val="标题 81"/>
    <w:basedOn w:val="835"/>
    <w:next w:val="835"/>
    <w:link w:val="103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7" w:customStyle="1">
    <w:name w:val="标题 91"/>
    <w:basedOn w:val="835"/>
    <w:next w:val="835"/>
    <w:link w:val="1039"/>
    <w:uiPriority w:val="0"/>
    <w:qFormat/>
    <w:pPr>
      <w:numPr>
        <w:ilvl w:val="8"/>
        <w:numId w:val="1"/>
      </w:numPr>
      <w:keepLines/>
      <w:keepNext/>
      <w:spacing w:before="240" w:after="64" w:line="320" w:lineRule="auto"/>
      <w:outlineLvl w:val="8"/>
    </w:pPr>
    <w:rPr>
      <w:rFonts w:ascii="Arial" w:hAnsi="Arial" w:eastAsia="黑体"/>
    </w:rPr>
  </w:style>
  <w:style w:type="character" w:styleId="1028" w:customStyle="1">
    <w:name w:val="默认段落字体11"/>
    <w:uiPriority w:val="1"/>
    <w:unhideWhenUsed/>
    <w:qFormat/>
  </w:style>
  <w:style w:type="table" w:styleId="1029" w:customStyle="1">
    <w:name w:val="普通表格1"/>
    <w:uiPriority w:val="99"/>
    <w:unhideWhenUsed/>
    <w:qFormat/>
    <w:tblPr>
      <w:tblCellMar>
        <w:left w:w="0" w:type="dxa"/>
        <w:top w:w="0" w:type="dxa"/>
        <w:right w:w="0" w:type="dxa"/>
        <w:bottom w:w="0" w:type="dxa"/>
      </w:tblCellMar>
    </w:tblPr>
  </w:style>
  <w:style w:type="character" w:styleId="1030" w:customStyle="1">
    <w:name w:val="标题 1 字符"/>
    <w:link w:val="1018"/>
    <w:uiPriority w:val="0"/>
    <w:qFormat/>
    <w:rPr>
      <w:rFonts w:ascii="楷体_GB2312" w:hAnsi="Times New Roman" w:eastAsia="楷体_GB2312" w:cs="Times New Roman"/>
      <w:sz w:val="28"/>
      <w:szCs w:val="28"/>
    </w:rPr>
  </w:style>
  <w:style w:type="character" w:styleId="1031" w:customStyle="1">
    <w:name w:val="标题 2 字符"/>
    <w:link w:val="1019"/>
    <w:uiPriority w:val="0"/>
    <w:qFormat/>
    <w:rPr>
      <w:rFonts w:ascii="Arial" w:hAnsi="Arial" w:eastAsia="幼圆" w:cs="Arial"/>
      <w:b/>
      <w:bCs/>
      <w:sz w:val="44"/>
      <w:szCs w:val="44"/>
    </w:rPr>
  </w:style>
  <w:style w:type="character" w:styleId="1032" w:customStyle="1">
    <w:name w:val="标题 3 字符"/>
    <w:link w:val="1020"/>
    <w:uiPriority w:val="0"/>
    <w:qFormat/>
    <w:rPr>
      <w:rFonts w:ascii="Times New Roman" w:hAnsi="Times New Roman" w:eastAsia="宋体" w:cs="Times New Roman"/>
      <w:b/>
      <w:bCs/>
      <w:sz w:val="32"/>
      <w:szCs w:val="32"/>
    </w:rPr>
  </w:style>
  <w:style w:type="character" w:styleId="1033" w:customStyle="1">
    <w:name w:val="正文缩进 字符"/>
    <w:link w:val="1021"/>
    <w:uiPriority w:val="0"/>
    <w:qFormat/>
    <w:rPr>
      <w:rFonts w:ascii="Times New Roman" w:hAnsi="Times New Roman" w:eastAsia="宋体" w:cs="Times New Roman"/>
      <w:szCs w:val="21"/>
    </w:rPr>
  </w:style>
  <w:style w:type="character" w:styleId="1034" w:customStyle="1">
    <w:name w:val="标题 4 字符"/>
    <w:link w:val="1022"/>
    <w:uiPriority w:val="0"/>
    <w:qFormat/>
    <w:rPr>
      <w:rFonts w:ascii="Arial" w:hAnsi="Arial" w:eastAsia="黑体" w:cs="Arial"/>
      <w:b/>
      <w:bCs/>
      <w:sz w:val="28"/>
      <w:szCs w:val="28"/>
    </w:rPr>
  </w:style>
  <w:style w:type="character" w:styleId="1035" w:customStyle="1">
    <w:name w:val="标题 5 字符"/>
    <w:link w:val="1023"/>
    <w:uiPriority w:val="0"/>
    <w:qFormat/>
    <w:rPr>
      <w:rFonts w:ascii="宋体" w:hAnsi="Times New Roman" w:eastAsia="宋体" w:cs="Times New Roman"/>
      <w:color w:val="000000"/>
      <w:sz w:val="28"/>
      <w:szCs w:val="28"/>
    </w:rPr>
  </w:style>
  <w:style w:type="character" w:styleId="1036" w:customStyle="1">
    <w:name w:val="标题 6 字符"/>
    <w:link w:val="1024"/>
    <w:uiPriority w:val="0"/>
    <w:qFormat/>
    <w:rPr>
      <w:rFonts w:ascii="Arial" w:hAnsi="Arial" w:eastAsia="黑体" w:cs="Times New Roman"/>
      <w:b/>
      <w:bCs/>
      <w:sz w:val="24"/>
      <w:szCs w:val="24"/>
    </w:rPr>
  </w:style>
  <w:style w:type="character" w:styleId="1037" w:customStyle="1">
    <w:name w:val="标题 7 字符"/>
    <w:link w:val="1025"/>
    <w:uiPriority w:val="0"/>
    <w:qFormat/>
    <w:rPr>
      <w:rFonts w:ascii="Times New Roman" w:hAnsi="Times New Roman" w:eastAsia="宋体" w:cs="Times New Roman"/>
      <w:b/>
      <w:bCs/>
      <w:sz w:val="24"/>
      <w:szCs w:val="24"/>
    </w:rPr>
  </w:style>
  <w:style w:type="character" w:styleId="1038" w:customStyle="1">
    <w:name w:val="标题 8 字符"/>
    <w:link w:val="1026"/>
    <w:uiPriority w:val="0"/>
    <w:qFormat/>
    <w:rPr>
      <w:rFonts w:ascii="Arial" w:hAnsi="Arial" w:eastAsia="黑体" w:cs="Times New Roman"/>
      <w:sz w:val="24"/>
      <w:szCs w:val="24"/>
    </w:rPr>
  </w:style>
  <w:style w:type="character" w:styleId="1039" w:customStyle="1">
    <w:name w:val="标题 9 字符"/>
    <w:link w:val="1027"/>
    <w:uiPriority w:val="0"/>
    <w:qFormat/>
    <w:rPr>
      <w:rFonts w:ascii="Arial" w:hAnsi="Arial" w:eastAsia="黑体" w:cs="Times New Roman"/>
      <w:szCs w:val="21"/>
    </w:rPr>
  </w:style>
  <w:style w:type="paragraph" w:styleId="1040" w:customStyle="1">
    <w:name w:val="列表 31"/>
    <w:basedOn w:val="835"/>
    <w:uiPriority w:val="0"/>
    <w:qFormat/>
    <w:pPr>
      <w:ind w:left="100" w:hanging="200"/>
    </w:pPr>
  </w:style>
  <w:style w:type="paragraph" w:styleId="1041" w:customStyle="1">
    <w:name w:val="目录 71"/>
    <w:basedOn w:val="835"/>
    <w:next w:val="835"/>
    <w:uiPriority w:val="0"/>
    <w:semiHidden/>
    <w:qFormat/>
    <w:pPr>
      <w:ind w:left="1260"/>
      <w:jc w:val="left"/>
    </w:pPr>
  </w:style>
  <w:style w:type="paragraph" w:styleId="1042" w:customStyle="1">
    <w:name w:val="文档结构图1"/>
    <w:basedOn w:val="835"/>
    <w:link w:val="1043"/>
    <w:uiPriority w:val="0"/>
    <w:semiHidden/>
    <w:qFormat/>
    <w:pPr>
      <w:shd w:val="clear" w:color="auto" w:fill="000080"/>
    </w:pPr>
  </w:style>
  <w:style w:type="character" w:styleId="1043" w:customStyle="1">
    <w:name w:val="文档结构图 字符"/>
    <w:link w:val="1042"/>
    <w:uiPriority w:val="0"/>
    <w:semiHidden/>
    <w:qFormat/>
    <w:rPr>
      <w:rFonts w:ascii="Times New Roman" w:hAnsi="Times New Roman" w:eastAsia="宋体" w:cs="Times New Roman"/>
      <w:szCs w:val="21"/>
      <w:shd w:val="clear" w:color="auto" w:fill="000080"/>
    </w:rPr>
  </w:style>
  <w:style w:type="paragraph" w:styleId="1044" w:customStyle="1">
    <w:name w:val="批注文字1"/>
    <w:basedOn w:val="835"/>
    <w:link w:val="1045"/>
    <w:uiPriority w:val="0"/>
    <w:semiHidden/>
    <w:qFormat/>
    <w:pPr>
      <w:jc w:val="left"/>
    </w:pPr>
  </w:style>
  <w:style w:type="character" w:styleId="1045" w:customStyle="1">
    <w:name w:val="批注文字 字符"/>
    <w:link w:val="1044"/>
    <w:uiPriority w:val="0"/>
    <w:semiHidden/>
    <w:qFormat/>
    <w:rPr>
      <w:rFonts w:ascii="Times New Roman" w:hAnsi="Times New Roman" w:eastAsia="宋体" w:cs="Times New Roman"/>
      <w:szCs w:val="21"/>
    </w:rPr>
  </w:style>
  <w:style w:type="paragraph" w:styleId="1046" w:customStyle="1">
    <w:name w:val="正文文本 31"/>
    <w:basedOn w:val="835"/>
    <w:link w:val="1047"/>
    <w:uiPriority w:val="0"/>
    <w:qFormat/>
    <w:rPr>
      <w:rFonts w:ascii="仿宋_GB2312" w:hAnsi="Arial" w:eastAsia="仿宋_GB2312"/>
      <w:sz w:val="32"/>
      <w:szCs w:val="32"/>
    </w:rPr>
  </w:style>
  <w:style w:type="character" w:styleId="1047" w:customStyle="1">
    <w:name w:val="正文文本 3 字符"/>
    <w:link w:val="1046"/>
    <w:uiPriority w:val="0"/>
    <w:qFormat/>
    <w:rPr>
      <w:rFonts w:ascii="仿宋_GB2312" w:hAnsi="Arial" w:eastAsia="仿宋_GB2312" w:cs="Times New Roman"/>
      <w:sz w:val="32"/>
      <w:szCs w:val="32"/>
    </w:rPr>
  </w:style>
  <w:style w:type="paragraph" w:styleId="1048" w:customStyle="1">
    <w:name w:val="正文文本1"/>
    <w:basedOn w:val="835"/>
    <w:link w:val="1049"/>
    <w:uiPriority w:val="0"/>
    <w:qFormat/>
    <w:rPr>
      <w:rFonts w:ascii="楷体_GB2312" w:hAnsi="Arial" w:eastAsia="楷体_GB2312"/>
      <w:sz w:val="28"/>
      <w:szCs w:val="28"/>
    </w:rPr>
  </w:style>
  <w:style w:type="character" w:styleId="1049" w:customStyle="1">
    <w:name w:val="正文文本 字符"/>
    <w:link w:val="1048"/>
    <w:uiPriority w:val="0"/>
    <w:qFormat/>
    <w:rPr>
      <w:rFonts w:ascii="楷体_GB2312" w:hAnsi="Arial" w:eastAsia="楷体_GB2312" w:cs="Times New Roman"/>
      <w:sz w:val="28"/>
      <w:szCs w:val="28"/>
    </w:rPr>
  </w:style>
  <w:style w:type="paragraph" w:styleId="1050" w:customStyle="1">
    <w:name w:val="正文文本缩进1"/>
    <w:basedOn w:val="835"/>
    <w:next w:val="835"/>
    <w:link w:val="1051"/>
    <w:uiPriority w:val="0"/>
    <w:qFormat/>
    <w:pPr>
      <w:ind w:firstLine="645"/>
    </w:pPr>
    <w:rPr>
      <w:rFonts w:ascii="楷体_GB2312" w:eastAsia="楷体_GB2312"/>
      <w:sz w:val="32"/>
      <w:szCs w:val="32"/>
    </w:rPr>
  </w:style>
  <w:style w:type="character" w:styleId="1051" w:customStyle="1">
    <w:name w:val="正文文本缩进 字符"/>
    <w:link w:val="1050"/>
    <w:uiPriority w:val="0"/>
    <w:qFormat/>
    <w:rPr>
      <w:rFonts w:ascii="楷体_GB2312" w:hAnsi="Times New Roman" w:eastAsia="楷体_GB2312" w:cs="Times New Roman"/>
      <w:sz w:val="32"/>
      <w:szCs w:val="32"/>
    </w:rPr>
  </w:style>
  <w:style w:type="paragraph" w:styleId="1052" w:customStyle="1">
    <w:name w:val="列表 21"/>
    <w:basedOn w:val="835"/>
    <w:uiPriority w:val="0"/>
    <w:qFormat/>
    <w:pPr>
      <w:ind w:left="100" w:hanging="200"/>
    </w:pPr>
  </w:style>
  <w:style w:type="paragraph" w:styleId="1053" w:customStyle="1">
    <w:name w:val="目录 51"/>
    <w:basedOn w:val="835"/>
    <w:next w:val="835"/>
    <w:uiPriority w:val="0"/>
    <w:semiHidden/>
    <w:qFormat/>
    <w:pPr>
      <w:ind w:left="840"/>
      <w:jc w:val="left"/>
    </w:pPr>
  </w:style>
  <w:style w:type="paragraph" w:styleId="1054" w:customStyle="1">
    <w:name w:val="目录 31"/>
    <w:basedOn w:val="835"/>
    <w:next w:val="835"/>
    <w:uiPriority w:val="0"/>
    <w:semiHidden/>
    <w:qFormat/>
    <w:pPr>
      <w:ind w:left="420"/>
      <w:jc w:val="left"/>
    </w:pPr>
    <w:rPr>
      <w:i/>
      <w:iCs/>
      <w:szCs w:val="24"/>
    </w:rPr>
  </w:style>
  <w:style w:type="paragraph" w:styleId="1055" w:customStyle="1">
    <w:name w:val="纯文本1"/>
    <w:basedOn w:val="835"/>
    <w:link w:val="1056"/>
    <w:uiPriority w:val="0"/>
    <w:qFormat/>
    <w:rPr>
      <w:rFonts w:ascii="宋体" w:hAnsi="Courier New" w:cs="Courier New"/>
    </w:rPr>
  </w:style>
  <w:style w:type="character" w:styleId="1056" w:customStyle="1">
    <w:name w:val="纯文本 字符"/>
    <w:link w:val="1055"/>
    <w:uiPriority w:val="0"/>
    <w:qFormat/>
    <w:rPr>
      <w:rFonts w:ascii="宋体" w:hAnsi="Courier New" w:eastAsia="宋体" w:cs="Courier New"/>
      <w:szCs w:val="21"/>
    </w:rPr>
  </w:style>
  <w:style w:type="paragraph" w:styleId="1057" w:customStyle="1">
    <w:name w:val="目录 81"/>
    <w:basedOn w:val="835"/>
    <w:next w:val="835"/>
    <w:uiPriority w:val="0"/>
    <w:semiHidden/>
    <w:qFormat/>
    <w:pPr>
      <w:ind w:left="1470"/>
      <w:jc w:val="left"/>
    </w:pPr>
  </w:style>
  <w:style w:type="paragraph" w:styleId="1058" w:customStyle="1">
    <w:name w:val="日期1"/>
    <w:basedOn w:val="835"/>
    <w:next w:val="835"/>
    <w:link w:val="1059"/>
    <w:uiPriority w:val="0"/>
    <w:qFormat/>
    <w:rPr>
      <w:sz w:val="24"/>
      <w:szCs w:val="24"/>
    </w:rPr>
  </w:style>
  <w:style w:type="character" w:styleId="1059" w:customStyle="1">
    <w:name w:val="日期 字符"/>
    <w:link w:val="1058"/>
    <w:uiPriority w:val="0"/>
    <w:qFormat/>
    <w:rPr>
      <w:rFonts w:ascii="Times New Roman" w:hAnsi="Times New Roman" w:eastAsia="宋体" w:cs="Times New Roman"/>
      <w:sz w:val="24"/>
      <w:szCs w:val="24"/>
    </w:rPr>
  </w:style>
  <w:style w:type="paragraph" w:styleId="1060" w:customStyle="1">
    <w:name w:val="正文文本缩进 21"/>
    <w:basedOn w:val="835"/>
    <w:link w:val="1061"/>
    <w:uiPriority w:val="0"/>
    <w:qFormat/>
    <w:pPr>
      <w:ind w:left="630" w:firstLine="645"/>
    </w:pPr>
    <w:rPr>
      <w:rFonts w:ascii="Arial" w:hAnsi="Arial" w:eastAsia="仿宋_GB2312" w:cs="Arial"/>
      <w:sz w:val="32"/>
      <w:szCs w:val="32"/>
    </w:rPr>
  </w:style>
  <w:style w:type="character" w:styleId="1061" w:customStyle="1">
    <w:name w:val="正文文本缩进 2 字符"/>
    <w:link w:val="1060"/>
    <w:uiPriority w:val="0"/>
    <w:qFormat/>
    <w:rPr>
      <w:rFonts w:ascii="Arial" w:hAnsi="Arial" w:eastAsia="仿宋_GB2312" w:cs="Arial"/>
      <w:sz w:val="32"/>
      <w:szCs w:val="32"/>
    </w:rPr>
  </w:style>
  <w:style w:type="paragraph" w:styleId="1062" w:customStyle="1">
    <w:name w:val="批注框文本1"/>
    <w:basedOn w:val="835"/>
    <w:link w:val="1063"/>
    <w:uiPriority w:val="0"/>
    <w:semiHidden/>
    <w:qFormat/>
    <w:rPr>
      <w:sz w:val="18"/>
      <w:szCs w:val="18"/>
    </w:rPr>
  </w:style>
  <w:style w:type="character" w:styleId="1063" w:customStyle="1">
    <w:name w:val="批注框文本 字符"/>
    <w:link w:val="1062"/>
    <w:uiPriority w:val="0"/>
    <w:semiHidden/>
    <w:qFormat/>
    <w:rPr>
      <w:rFonts w:ascii="Times New Roman" w:hAnsi="Times New Roman" w:eastAsia="宋体" w:cs="Times New Roman"/>
      <w:sz w:val="18"/>
      <w:szCs w:val="18"/>
    </w:rPr>
  </w:style>
  <w:style w:type="paragraph" w:styleId="1064" w:customStyle="1">
    <w:name w:val="页脚1"/>
    <w:basedOn w:val="835"/>
    <w:link w:val="1065"/>
    <w:uiPriority w:val="0"/>
    <w:qFormat/>
    <w:pPr>
      <w:jc w:val="left"/>
      <w:tabs>
        <w:tab w:val="center" w:pos="4153" w:leader="none"/>
        <w:tab w:val="right" w:pos="8306" w:leader="none"/>
      </w:tabs>
    </w:pPr>
    <w:rPr>
      <w:sz w:val="18"/>
      <w:szCs w:val="18"/>
    </w:rPr>
  </w:style>
  <w:style w:type="character" w:styleId="1065" w:customStyle="1">
    <w:name w:val="页脚 字符"/>
    <w:link w:val="1064"/>
    <w:uiPriority w:val="0"/>
    <w:qFormat/>
    <w:rPr>
      <w:rFonts w:ascii="Times New Roman" w:hAnsi="Times New Roman" w:eastAsia="宋体" w:cs="Times New Roman"/>
      <w:sz w:val="18"/>
      <w:szCs w:val="18"/>
    </w:rPr>
  </w:style>
  <w:style w:type="paragraph" w:styleId="1066" w:customStyle="1">
    <w:name w:val="页眉1"/>
    <w:basedOn w:val="835"/>
    <w:link w:val="1067"/>
    <w:uiPriority w:val="0"/>
    <w:qFormat/>
    <w:pPr>
      <w:jc w:val="center"/>
      <w:tabs>
        <w:tab w:val="center" w:pos="4153" w:leader="none"/>
        <w:tab w:val="right" w:pos="8306" w:leader="none"/>
      </w:tabs>
      <w:pBdr>
        <w:bottom w:val="single" w:color="000000" w:sz="6" w:space="1"/>
      </w:pBdr>
    </w:pPr>
    <w:rPr>
      <w:sz w:val="18"/>
      <w:szCs w:val="18"/>
    </w:rPr>
  </w:style>
  <w:style w:type="character" w:styleId="1067" w:customStyle="1">
    <w:name w:val="页眉 字符"/>
    <w:link w:val="1066"/>
    <w:uiPriority w:val="0"/>
    <w:qFormat/>
    <w:rPr>
      <w:rFonts w:ascii="Times New Roman" w:hAnsi="Times New Roman" w:eastAsia="宋体" w:cs="Times New Roman"/>
      <w:sz w:val="18"/>
      <w:szCs w:val="18"/>
    </w:rPr>
  </w:style>
  <w:style w:type="paragraph" w:styleId="1068" w:customStyle="1">
    <w:name w:val="目录 11"/>
    <w:basedOn w:val="835"/>
    <w:next w:val="835"/>
    <w:uiPriority w:val="39"/>
    <w:qFormat/>
    <w:pPr>
      <w:jc w:val="left"/>
      <w:spacing w:before="120" w:after="120" w:line="400" w:lineRule="exact"/>
      <w:tabs>
        <w:tab w:val="right" w:pos="8720" w:leader="dot"/>
      </w:tabs>
    </w:pPr>
    <w:rPr>
      <w:rFonts w:ascii="宋体" w:hAnsi="宋体"/>
      <w:caps/>
      <w:sz w:val="24"/>
      <w:szCs w:val="24"/>
    </w:rPr>
  </w:style>
  <w:style w:type="paragraph" w:styleId="1069" w:customStyle="1">
    <w:name w:val="目录 41"/>
    <w:basedOn w:val="835"/>
    <w:next w:val="835"/>
    <w:uiPriority w:val="0"/>
    <w:semiHidden/>
    <w:qFormat/>
    <w:pPr>
      <w:ind w:left="630"/>
      <w:jc w:val="left"/>
    </w:pPr>
  </w:style>
  <w:style w:type="paragraph" w:styleId="1070" w:customStyle="1">
    <w:name w:val="列表1"/>
    <w:basedOn w:val="835"/>
    <w:uiPriority w:val="0"/>
    <w:qFormat/>
    <w:pPr>
      <w:ind w:left="200" w:hanging="200"/>
    </w:pPr>
  </w:style>
  <w:style w:type="paragraph" w:styleId="1071" w:customStyle="1">
    <w:name w:val="目录 61"/>
    <w:basedOn w:val="835"/>
    <w:next w:val="835"/>
    <w:uiPriority w:val="0"/>
    <w:semiHidden/>
    <w:qFormat/>
    <w:pPr>
      <w:ind w:left="1050"/>
      <w:jc w:val="left"/>
    </w:pPr>
  </w:style>
  <w:style w:type="paragraph" w:styleId="1072" w:customStyle="1">
    <w:name w:val="正文文本缩进 31"/>
    <w:basedOn w:val="835"/>
    <w:link w:val="1073"/>
    <w:uiPriority w:val="0"/>
    <w:qFormat/>
    <w:pPr>
      <w:ind w:left="645" w:firstLine="645"/>
    </w:pPr>
    <w:rPr>
      <w:rFonts w:ascii="Arial" w:hAnsi="Arial" w:eastAsia="仿宋_GB2312" w:cs="Arial"/>
      <w:color w:val="ffff00"/>
      <w:sz w:val="32"/>
      <w:szCs w:val="32"/>
    </w:rPr>
  </w:style>
  <w:style w:type="character" w:styleId="1073" w:customStyle="1">
    <w:name w:val="正文文本缩进 3 字符"/>
    <w:link w:val="1072"/>
    <w:uiPriority w:val="0"/>
    <w:qFormat/>
    <w:rPr>
      <w:rFonts w:ascii="Arial" w:hAnsi="Arial" w:eastAsia="仿宋_GB2312" w:cs="Arial"/>
      <w:color w:val="ffff00"/>
      <w:sz w:val="32"/>
      <w:szCs w:val="32"/>
    </w:rPr>
  </w:style>
  <w:style w:type="paragraph" w:styleId="1074" w:customStyle="1">
    <w:name w:val="图表目录1"/>
    <w:basedOn w:val="835"/>
    <w:next w:val="835"/>
    <w:uiPriority w:val="0"/>
    <w:semiHidden/>
    <w:qFormat/>
    <w:pPr>
      <w:ind w:left="840" w:hanging="420"/>
    </w:pPr>
  </w:style>
  <w:style w:type="paragraph" w:styleId="1075" w:customStyle="1">
    <w:name w:val="目录 21"/>
    <w:basedOn w:val="835"/>
    <w:next w:val="835"/>
    <w:uiPriority w:val="39"/>
    <w:qFormat/>
    <w:pPr>
      <w:ind w:left="210"/>
      <w:jc w:val="left"/>
    </w:pPr>
    <w:rPr>
      <w:smallCaps/>
      <w:szCs w:val="24"/>
    </w:rPr>
  </w:style>
  <w:style w:type="paragraph" w:styleId="1076" w:customStyle="1">
    <w:name w:val="目录 91"/>
    <w:basedOn w:val="835"/>
    <w:next w:val="835"/>
    <w:uiPriority w:val="0"/>
    <w:semiHidden/>
    <w:qFormat/>
    <w:pPr>
      <w:ind w:left="1680"/>
      <w:jc w:val="left"/>
    </w:pPr>
  </w:style>
  <w:style w:type="paragraph" w:styleId="1077" w:customStyle="1">
    <w:name w:val="正文文本 21"/>
    <w:basedOn w:val="835"/>
    <w:link w:val="1078"/>
    <w:uiPriority w:val="0"/>
    <w:qFormat/>
    <w:pPr>
      <w:jc w:val="center"/>
      <w:widowControl/>
    </w:pPr>
    <w:rPr>
      <w:rFonts w:ascii="楷体_GB2312" w:eastAsia="楷体_GB2312"/>
      <w:sz w:val="28"/>
      <w:szCs w:val="28"/>
    </w:rPr>
  </w:style>
  <w:style w:type="character" w:styleId="1078" w:customStyle="1">
    <w:name w:val="正文文本 2 字符"/>
    <w:link w:val="1077"/>
    <w:uiPriority w:val="0"/>
    <w:qFormat/>
    <w:rPr>
      <w:rFonts w:ascii="楷体_GB2312" w:hAnsi="Times New Roman" w:eastAsia="楷体_GB2312" w:cs="Times New Roman"/>
      <w:sz w:val="28"/>
      <w:szCs w:val="28"/>
    </w:rPr>
  </w:style>
  <w:style w:type="paragraph" w:styleId="1079" w:customStyle="1">
    <w:name w:val="普通(网站)1"/>
    <w:basedOn w:val="835"/>
    <w:uiPriority w:val="99"/>
    <w:qFormat/>
    <w:pPr>
      <w:jc w:val="left"/>
      <w:spacing w:before="100" w:beforeAutospacing="1" w:after="100" w:afterAutospacing="1"/>
      <w:widowControl/>
    </w:pPr>
    <w:rPr>
      <w:rFonts w:ascii="宋体" w:hAnsi="宋体" w:cs="宋体"/>
      <w:sz w:val="24"/>
      <w:szCs w:val="24"/>
    </w:rPr>
  </w:style>
  <w:style w:type="paragraph" w:styleId="1080" w:customStyle="1">
    <w:name w:val="索引 11"/>
    <w:basedOn w:val="835"/>
    <w:next w:val="835"/>
    <w:uiPriority w:val="0"/>
    <w:semiHidden/>
    <w:qFormat/>
    <w:pPr>
      <w:spacing w:line="240" w:lineRule="atLeast"/>
    </w:pPr>
    <w:rPr>
      <w:b/>
      <w:bCs/>
    </w:rPr>
  </w:style>
  <w:style w:type="paragraph" w:styleId="1081" w:customStyle="1">
    <w:name w:val="批注主题1"/>
    <w:basedOn w:val="1044"/>
    <w:next w:val="1044"/>
    <w:link w:val="1082"/>
    <w:uiPriority w:val="0"/>
    <w:semiHidden/>
    <w:qFormat/>
    <w:rPr>
      <w:b/>
      <w:bCs/>
    </w:rPr>
  </w:style>
  <w:style w:type="character" w:styleId="1082" w:customStyle="1">
    <w:name w:val="批注主题 字符"/>
    <w:link w:val="1081"/>
    <w:uiPriority w:val="0"/>
    <w:semiHidden/>
    <w:qFormat/>
    <w:rPr>
      <w:rFonts w:ascii="Times New Roman" w:hAnsi="Times New Roman" w:eastAsia="宋体" w:cs="Times New Roman"/>
      <w:b/>
      <w:bCs/>
      <w:szCs w:val="21"/>
    </w:rPr>
  </w:style>
  <w:style w:type="paragraph" w:styleId="1083" w:customStyle="1">
    <w:name w:val="正文首行缩进1"/>
    <w:basedOn w:val="835"/>
    <w:link w:val="1084"/>
    <w:uiPriority w:val="0"/>
    <w:qFormat/>
    <w:pPr>
      <w:ind w:firstLine="200"/>
      <w:spacing w:line="360" w:lineRule="auto"/>
    </w:pPr>
    <w:rPr>
      <w:rFonts w:ascii="仿宋_GB2312" w:eastAsia="仿宋_GB2312"/>
      <w:sz w:val="30"/>
      <w:szCs w:val="30"/>
    </w:rPr>
  </w:style>
  <w:style w:type="character" w:styleId="1084" w:customStyle="1">
    <w:name w:val="正文文本首行缩进 字符"/>
    <w:link w:val="1083"/>
    <w:uiPriority w:val="0"/>
    <w:qFormat/>
    <w:rPr>
      <w:rFonts w:ascii="仿宋_GB2312" w:hAnsi="Times New Roman" w:eastAsia="仿宋_GB2312" w:cs="Times New Roman"/>
      <w:sz w:val="30"/>
      <w:szCs w:val="30"/>
    </w:rPr>
  </w:style>
  <w:style w:type="paragraph" w:styleId="1085" w:customStyle="1">
    <w:name w:val="正文首行缩进 21"/>
    <w:basedOn w:val="1050"/>
    <w:link w:val="1086"/>
    <w:uiPriority w:val="0"/>
    <w:qFormat/>
    <w:pPr>
      <w:ind w:firstLine="420"/>
      <w:spacing w:line="360" w:lineRule="auto"/>
    </w:pPr>
    <w:rPr>
      <w:rFonts w:ascii="宋体" w:hAnsi="宋体" w:eastAsia="宋体"/>
      <w:sz w:val="21"/>
      <w:szCs w:val="20"/>
    </w:rPr>
  </w:style>
  <w:style w:type="character" w:styleId="1086" w:customStyle="1">
    <w:name w:val="正文文本首行缩进 2 字符"/>
    <w:link w:val="1085"/>
    <w:uiPriority w:val="0"/>
    <w:qFormat/>
    <w:rPr>
      <w:rFonts w:ascii="宋体" w:hAnsi="宋体" w:eastAsia="宋体" w:cs="Times New Roman"/>
      <w:sz w:val="32"/>
      <w:szCs w:val="20"/>
    </w:rPr>
  </w:style>
  <w:style w:type="table" w:styleId="1087" w:customStyle="1">
    <w:name w:val="网格型1"/>
    <w:basedOn w:val="1029"/>
    <w:uiPriority w:val="0"/>
    <w:qFormat/>
    <w:pPr>
      <w:jc w:val="both"/>
      <w:widowControl w:val="off"/>
    </w:pPr>
    <w:tblPr>
      <w:tblCellMar>
        <w:left w:w="0" w:type="dxa"/>
        <w:top w:w="0" w:type="dxa"/>
        <w:right w:w="0" w:type="dxa"/>
        <w:bottom w:w="0" w:type="dxa"/>
      </w:tblCellMar>
    </w:tblPr>
  </w:style>
  <w:style w:type="character" w:styleId="1088" w:customStyle="1">
    <w:name w:val="要点1"/>
    <w:uiPriority w:val="0"/>
    <w:qFormat/>
    <w:rPr>
      <w:b/>
      <w:bCs/>
    </w:rPr>
  </w:style>
  <w:style w:type="character" w:styleId="1089" w:customStyle="1">
    <w:name w:val="页码1"/>
    <w:uiPriority w:val="0"/>
    <w:qFormat/>
  </w:style>
  <w:style w:type="character" w:styleId="1090" w:customStyle="1">
    <w:name w:val="已访问的超链接1"/>
    <w:uiPriority w:val="0"/>
    <w:qFormat/>
    <w:rPr>
      <w:color w:val="800080"/>
      <w:u w:val="none"/>
    </w:rPr>
  </w:style>
  <w:style w:type="character" w:styleId="1091" w:customStyle="1">
    <w:name w:val="强调1"/>
    <w:uiPriority w:val="20"/>
    <w:qFormat/>
    <w:rPr>
      <w:b/>
      <w:bCs/>
    </w:rPr>
  </w:style>
  <w:style w:type="character" w:styleId="1092" w:customStyle="1">
    <w:name w:val="HTML 定义1"/>
    <w:uiPriority w:val="99"/>
    <w:unhideWhenUsed/>
    <w:qFormat/>
  </w:style>
  <w:style w:type="character" w:styleId="1093" w:customStyle="1">
    <w:name w:val="HTML 打字机1"/>
    <w:uiPriority w:val="99"/>
    <w:unhideWhenUsed/>
    <w:qFormat/>
    <w:rPr>
      <w:rFonts w:ascii="monospace" w:hAnsi="monospace" w:eastAsia="monospace" w:cs="monospace"/>
      <w:sz w:val="20"/>
    </w:rPr>
  </w:style>
  <w:style w:type="character" w:styleId="1094" w:customStyle="1">
    <w:name w:val="HTML 缩写1"/>
    <w:uiPriority w:val="99"/>
    <w:unhideWhenUsed/>
    <w:qFormat/>
  </w:style>
  <w:style w:type="character" w:styleId="1095" w:customStyle="1">
    <w:name w:val="HTML 变量1"/>
    <w:uiPriority w:val="99"/>
    <w:unhideWhenUsed/>
    <w:qFormat/>
  </w:style>
  <w:style w:type="character" w:styleId="1096" w:customStyle="1">
    <w:name w:val="超链接1"/>
    <w:uiPriority w:val="99"/>
    <w:qFormat/>
    <w:rPr>
      <w:color w:val="0000ff"/>
      <w:u w:val="none"/>
    </w:rPr>
  </w:style>
  <w:style w:type="character" w:styleId="1097" w:customStyle="1">
    <w:name w:val="HTML 代码1"/>
    <w:uiPriority w:val="99"/>
    <w:unhideWhenUsed/>
    <w:qFormat/>
    <w:rPr>
      <w:rFonts w:ascii="monospace" w:hAnsi="monospace" w:eastAsia="monospace" w:cs="monospace"/>
      <w:sz w:val="20"/>
    </w:rPr>
  </w:style>
  <w:style w:type="character" w:styleId="1098" w:customStyle="1">
    <w:name w:val="批注引用1"/>
    <w:uiPriority w:val="0"/>
    <w:semiHidden/>
    <w:qFormat/>
    <w:rPr>
      <w:sz w:val="21"/>
      <w:szCs w:val="21"/>
    </w:rPr>
  </w:style>
  <w:style w:type="character" w:styleId="1099" w:customStyle="1">
    <w:name w:val="HTML 引文1"/>
    <w:uiPriority w:val="99"/>
    <w:unhideWhenUsed/>
    <w:qFormat/>
  </w:style>
  <w:style w:type="character" w:styleId="1100" w:customStyle="1">
    <w:name w:val="HTML 键盘1"/>
    <w:uiPriority w:val="99"/>
    <w:unhideWhenUsed/>
    <w:qFormat/>
    <w:rPr>
      <w:rFonts w:ascii="monospace" w:hAnsi="monospace" w:eastAsia="monospace" w:cs="monospace"/>
      <w:sz w:val="20"/>
    </w:rPr>
  </w:style>
  <w:style w:type="character" w:styleId="1101" w:customStyle="1">
    <w:name w:val="HTML 样本1"/>
    <w:uiPriority w:val="99"/>
    <w:unhideWhenUsed/>
    <w:qFormat/>
    <w:rPr>
      <w:rFonts w:ascii="monospace" w:hAnsi="monospace" w:eastAsia="monospace" w:cs="monospace"/>
    </w:rPr>
  </w:style>
  <w:style w:type="character" w:styleId="1102" w:customStyle="1">
    <w:name w:val="默认段落字体1"/>
    <w:uiPriority w:val="1"/>
    <w:unhideWhenUsed/>
    <w:qFormat/>
    <w:rPr>
      <w:rFonts w:ascii="Times New Roman" w:hAnsi="Times New Roman"/>
      <w:sz w:val="21"/>
      <w:szCs w:val="21"/>
      <w:lang w:val="en-US" w:eastAsia="zh-CN" w:bidi="ar-SA"/>
    </w:rPr>
  </w:style>
  <w:style w:type="paragraph" w:styleId="1103" w:customStyle="1">
    <w:name w:val="正文空2字"/>
    <w:basedOn w:val="1104"/>
    <w:uiPriority w:val="99"/>
    <w:qFormat/>
    <w:pPr>
      <w:ind w:firstLine="640"/>
      <w:spacing w:line="560" w:lineRule="exact"/>
      <w:widowControl w:val="off"/>
    </w:pPr>
    <w:rPr>
      <w:rFonts w:ascii="仿宋_GB2312" w:hAnsi="仿宋_GB2312" w:cs="仿宋_GB2312"/>
      <w:lang w:val="zh-TW"/>
    </w:rPr>
  </w:style>
  <w:style w:type="paragraph" w:styleId="1104" w:customStyle="1">
    <w:name w:val="左对齐正文"/>
    <w:uiPriority w:val="99"/>
    <w:qFormat/>
    <w:rPr>
      <w:rFonts w:ascii="Calibri" w:hAnsi="Calibri" w:eastAsia="仿宋_GB2312" w:cs="Calibri"/>
      <w:sz w:val="32"/>
      <w:szCs w:val="32"/>
      <w:lang w:val="en-US" w:eastAsia="zh-CN" w:bidi="ar-SA"/>
    </w:rPr>
  </w:style>
  <w:style w:type="paragraph" w:styleId="1105" w:customStyle="1">
    <w:name w:val="索引 41"/>
    <w:basedOn w:val="835"/>
    <w:next w:val="835"/>
    <w:uiPriority w:val="0"/>
    <w:semiHidden/>
    <w:qFormat/>
    <w:pPr>
      <w:ind w:left="1260"/>
    </w:pPr>
    <w:rPr>
      <w:rFonts w:ascii="Calibri" w:hAnsi="Calibri" w:eastAsia="Calibri" w:cs="宋体"/>
      <w:sz w:val="20"/>
      <w:lang w:val="zh-CN"/>
    </w:rPr>
  </w:style>
  <w:style w:type="character" w:styleId="1106" w:customStyle="1">
    <w:name w:val="font5 Char"/>
    <w:uiPriority w:val="0"/>
    <w:qFormat/>
    <w:rPr>
      <w:rFonts w:ascii="宋体" w:hAnsi="宋体" w:eastAsia="宋体"/>
      <w:sz w:val="28"/>
      <w:szCs w:val="28"/>
      <w:lang w:val="en-US" w:eastAsia="zh-CN" w:bidi="ar-SA"/>
    </w:rPr>
  </w:style>
  <w:style w:type="character" w:styleId="1107" w:customStyle="1">
    <w:name w:val="二级目录 Char"/>
    <w:link w:val="1108"/>
    <w:uiPriority w:val="0"/>
    <w:qFormat/>
    <w:rPr>
      <w:b/>
      <w:sz w:val="30"/>
      <w:szCs w:val="28"/>
    </w:rPr>
  </w:style>
  <w:style w:type="paragraph" w:styleId="1108" w:customStyle="1">
    <w:name w:val="二级目录"/>
    <w:next w:val="835"/>
    <w:link w:val="110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09" w:customStyle="1">
    <w:name w:val="列出段落 Char"/>
    <w:link w:val="1110"/>
    <w:uiPriority w:val="0"/>
    <w:qFormat/>
    <w:rPr>
      <w:rFonts w:ascii="Calibri" w:hAnsi="Calibri"/>
      <w:sz w:val="24"/>
      <w:szCs w:val="24"/>
      <w:lang w:eastAsia="en-US" w:bidi="en-US"/>
    </w:rPr>
  </w:style>
  <w:style w:type="paragraph" w:styleId="1110" w:customStyle="1">
    <w:name w:val="列出段落1"/>
    <w:basedOn w:val="835"/>
    <w:link w:val="1109"/>
    <w:uiPriority w:val="0"/>
    <w:qFormat/>
    <w:pPr>
      <w:contextualSpacing/>
      <w:ind w:left="720"/>
      <w:jc w:val="left"/>
      <w:widowControl/>
    </w:pPr>
    <w:rPr>
      <w:rFonts w:ascii="Calibri" w:hAnsi="Calibri"/>
      <w:sz w:val="24"/>
      <w:szCs w:val="24"/>
      <w:lang w:eastAsia="en-US" w:bidi="en-US"/>
    </w:rPr>
  </w:style>
  <w:style w:type="paragraph" w:styleId="1111" w:customStyle="1">
    <w:name w:val="Body Text(ch)"/>
    <w:basedOn w:val="835"/>
    <w:next w:val="1048"/>
    <w:uiPriority w:val="0"/>
    <w:qFormat/>
    <w:pPr>
      <w:spacing w:after="120"/>
    </w:pPr>
    <w:rPr>
      <w:rFonts w:ascii="宋体" w:hAnsi="Arial"/>
      <w:bCs/>
      <w:iCs/>
      <w:szCs w:val="24"/>
    </w:rPr>
  </w:style>
  <w:style w:type="paragraph" w:styleId="1112" w:customStyle="1">
    <w:name w:val="xl27"/>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xl2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4" w:customStyle="1">
    <w:name w:val="Char"/>
    <w:basedOn w:val="835"/>
    <w:uiPriority w:val="0"/>
    <w:qFormat/>
    <w:pPr>
      <w:ind w:firstLine="200"/>
      <w:tabs>
        <w:tab w:val="left" w:pos="360" w:leader="none"/>
      </w:tabs>
    </w:pPr>
    <w:rPr>
      <w:sz w:val="28"/>
      <w:szCs w:val="30"/>
    </w:rPr>
  </w:style>
  <w:style w:type="paragraph" w:styleId="1115" w:customStyle="1">
    <w:name w:val="Char1"/>
    <w:basedOn w:val="1042"/>
    <w:uiPriority w:val="0"/>
    <w:qFormat/>
    <w:rPr>
      <w:rFonts w:ascii="Tahoma" w:hAnsi="Tahoma"/>
      <w:sz w:val="24"/>
      <w:szCs w:val="24"/>
    </w:rPr>
  </w:style>
  <w:style w:type="paragraph" w:styleId="1116"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117" w:customStyle="1">
    <w:name w:val="table_lines"/>
    <w:basedOn w:val="835"/>
    <w:uiPriority w:val="0"/>
    <w:qFormat/>
    <w:pPr>
      <w:jc w:val="left"/>
      <w:widowControl/>
    </w:pPr>
    <w:rPr>
      <w:sz w:val="20"/>
      <w:szCs w:val="20"/>
      <w:lang w:val="de-DE" w:eastAsia="de-DE"/>
    </w:rPr>
  </w:style>
  <w:style w:type="paragraph" w:styleId="111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19" w:customStyle="1">
    <w:name w:val="font7"/>
    <w:basedOn w:val="835"/>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Char Char Char Char"/>
    <w:basedOn w:val="1042"/>
    <w:uiPriority w:val="0"/>
    <w:qFormat/>
    <w:pPr>
      <w:spacing w:line="360" w:lineRule="auto"/>
    </w:pPr>
    <w:rPr>
      <w:rFonts w:ascii="Tahoma" w:hAnsi="Tahoma"/>
      <w:sz w:val="24"/>
      <w:szCs w:val="24"/>
    </w:rPr>
  </w:style>
  <w:style w:type="paragraph" w:styleId="1121" w:customStyle="1">
    <w:name w:val="列表段落1"/>
    <w:basedOn w:val="835"/>
    <w:uiPriority w:val="0"/>
    <w:qFormat/>
    <w:pPr>
      <w:contextualSpacing/>
      <w:ind w:left="720"/>
      <w:jc w:val="left"/>
      <w:widowControl/>
    </w:pPr>
    <w:rPr>
      <w:rFonts w:ascii="Calibri" w:hAnsi="Calibri"/>
      <w:sz w:val="24"/>
      <w:szCs w:val="24"/>
      <w:lang w:eastAsia="en-US" w:bidi="en-US"/>
    </w:rPr>
  </w:style>
  <w:style w:type="paragraph" w:styleId="1122" w:customStyle="1">
    <w:name w:val="4"/>
    <w:basedOn w:val="835"/>
    <w:next w:val="1072"/>
    <w:uiPriority w:val="0"/>
    <w:qFormat/>
    <w:pPr>
      <w:ind w:firstLine="420"/>
      <w:spacing w:line="360" w:lineRule="auto"/>
    </w:pPr>
    <w:rPr>
      <w:color w:val="ff0000"/>
      <w:sz w:val="24"/>
      <w:szCs w:val="24"/>
    </w:rPr>
  </w:style>
  <w:style w:type="paragraph" w:styleId="1123" w:customStyle="1">
    <w:name w:val="普通 (Web)"/>
    <w:basedOn w:val="835"/>
    <w:uiPriority w:val="0"/>
    <w:qFormat/>
    <w:pPr>
      <w:jc w:val="left"/>
      <w:spacing w:before="100" w:beforeAutospacing="1" w:after="100" w:afterAutospacing="1"/>
      <w:widowControl/>
    </w:pPr>
    <w:rPr>
      <w:rFonts w:ascii="宋体" w:hAnsi="宋体"/>
      <w:sz w:val="24"/>
      <w:szCs w:val="24"/>
    </w:rPr>
  </w:style>
  <w:style w:type="paragraph" w:styleId="1124" w:customStyle="1">
    <w:name w:val="Char Char Char Char Char Char Char Char Char Char"/>
    <w:basedOn w:val="835"/>
    <w:uiPriority w:val="0"/>
    <w:qFormat/>
    <w:pPr>
      <w:spacing w:line="360" w:lineRule="auto"/>
    </w:pPr>
    <w:rPr>
      <w:sz w:val="24"/>
      <w:szCs w:val="20"/>
    </w:rPr>
  </w:style>
  <w:style w:type="paragraph" w:styleId="1125" w:customStyle="1">
    <w:name w:val="样式1"/>
    <w:basedOn w:val="835"/>
    <w:uiPriority w:val="0"/>
    <w:qFormat/>
    <w:pPr>
      <w:numPr>
        <w:ilvl w:val="0"/>
        <w:numId w:val="3"/>
      </w:numPr>
    </w:pPr>
    <w:rPr>
      <w:rFonts w:ascii="宋体" w:hAnsi="宋体"/>
    </w:rPr>
  </w:style>
  <w:style w:type="paragraph" w:styleId="1126" w:customStyle="1">
    <w:name w:val="font6"/>
    <w:basedOn w:val="835"/>
    <w:uiPriority w:val="0"/>
    <w:qFormat/>
    <w:pPr>
      <w:jc w:val="left"/>
      <w:spacing w:before="100" w:beforeAutospacing="1" w:after="100" w:afterAutospacing="1"/>
      <w:widowControl/>
    </w:pPr>
    <w:rPr>
      <w:rFonts w:hint="eastAsia" w:ascii="宋体" w:hAnsi="宋体"/>
      <w:sz w:val="28"/>
      <w:szCs w:val="28"/>
      <w:u w:val="single"/>
    </w:rPr>
  </w:style>
  <w:style w:type="paragraph" w:styleId="1127" w:customStyle="1">
    <w:name w:val="xl25"/>
    <w:basedOn w:val="8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customStyle="1">
    <w:name w:val="图标"/>
    <w:basedOn w:val="835"/>
    <w:next w:val="83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9" w:customStyle="1">
    <w:name w:val="标题3"/>
    <w:basedOn w:val="835"/>
    <w:next w:val="835"/>
    <w:uiPriority w:val="0"/>
    <w:qFormat/>
    <w:pPr>
      <w:ind w:firstLine="624"/>
      <w:spacing w:line="590" w:lineRule="atLeast"/>
    </w:pPr>
    <w:rPr>
      <w:rFonts w:ascii="方正黑体_GBK" w:eastAsia="方正黑体_GBK"/>
      <w:sz w:val="32"/>
      <w:szCs w:val="32"/>
    </w:rPr>
  </w:style>
  <w:style w:type="paragraph" w:styleId="1130" w:customStyle="1">
    <w:name w:val="xl24"/>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customStyle="1">
    <w:name w:val="xl29"/>
    <w:basedOn w:val="8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2" w:customStyle="1">
    <w:name w:val="Char Char Char Char Char Char Char Char"/>
    <w:basedOn w:val="835"/>
    <w:uiPriority w:val="0"/>
    <w:qFormat/>
    <w:pPr>
      <w:jc w:val="left"/>
      <w:spacing w:after="160" w:line="240" w:lineRule="exact"/>
      <w:widowControl/>
    </w:pPr>
    <w:rPr>
      <w:rFonts w:ascii="Verdana" w:hAnsi="Verdana"/>
      <w:sz w:val="20"/>
      <w:szCs w:val="20"/>
      <w:lang w:eastAsia="en-US"/>
    </w:rPr>
  </w:style>
  <w:style w:type="paragraph" w:styleId="1133" w:customStyle="1">
    <w:name w:val="xl2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4" w:customStyle="1">
    <w:name w:val="Char Char Char Char Char Char Char Char1"/>
    <w:basedOn w:val="835"/>
    <w:uiPriority w:val="0"/>
    <w:qFormat/>
    <w:pPr>
      <w:jc w:val="left"/>
      <w:spacing w:after="160" w:line="240" w:lineRule="exact"/>
      <w:widowControl/>
    </w:pPr>
    <w:rPr>
      <w:rFonts w:ascii="Verdana" w:hAnsi="Verdana"/>
      <w:sz w:val="20"/>
      <w:szCs w:val="20"/>
      <w:lang w:eastAsia="en-US"/>
    </w:rPr>
  </w:style>
  <w:style w:type="paragraph" w:styleId="1135" w:customStyle="1">
    <w:name w:val="xl30"/>
    <w:basedOn w:val="835"/>
    <w:uiPriority w:val="0"/>
    <w:qFormat/>
    <w:pPr>
      <w:jc w:val="center"/>
      <w:spacing w:before="100" w:beforeAutospacing="1" w:after="100" w:afterAutospacing="1"/>
      <w:widowControl/>
    </w:pPr>
    <w:rPr>
      <w:rFonts w:ascii="宋体" w:hAnsi="宋体"/>
      <w:b/>
      <w:bCs/>
      <w:sz w:val="36"/>
      <w:szCs w:val="36"/>
    </w:rPr>
  </w:style>
  <w:style w:type="paragraph" w:styleId="1136" w:customStyle="1">
    <w:name w:val="Char Char Char Char1"/>
    <w:basedOn w:val="1042"/>
    <w:uiPriority w:val="0"/>
    <w:qFormat/>
    <w:pPr>
      <w:spacing w:line="360" w:lineRule="auto"/>
    </w:pPr>
    <w:rPr>
      <w:rFonts w:ascii="Tahoma" w:hAnsi="Tahoma"/>
      <w:sz w:val="24"/>
      <w:szCs w:val="24"/>
    </w:rPr>
  </w:style>
  <w:style w:type="paragraph" w:styleId="1137" w:customStyle="1">
    <w:name w:val="table_1stline"/>
    <w:basedOn w:val="835"/>
    <w:uiPriority w:val="0"/>
    <w:qFormat/>
    <w:pPr>
      <w:jc w:val="left"/>
      <w:spacing w:before="120"/>
      <w:widowControl/>
    </w:pPr>
    <w:rPr>
      <w:bCs/>
      <w:sz w:val="20"/>
      <w:szCs w:val="20"/>
      <w:lang w:val="de-DE" w:eastAsia="de-DE"/>
    </w:rPr>
  </w:style>
  <w:style w:type="paragraph" w:styleId="1138" w:customStyle="1">
    <w:name w:val="font5"/>
    <w:basedOn w:val="835"/>
    <w:uiPriority w:val="0"/>
    <w:qFormat/>
    <w:pPr>
      <w:jc w:val="left"/>
      <w:spacing w:before="100" w:beforeAutospacing="1" w:after="100" w:afterAutospacing="1"/>
      <w:widowControl/>
    </w:pPr>
    <w:rPr>
      <w:rFonts w:hint="eastAsia" w:ascii="宋体" w:hAnsi="宋体"/>
      <w:sz w:val="28"/>
      <w:szCs w:val="28"/>
    </w:rPr>
  </w:style>
  <w:style w:type="paragraph" w:styleId="1139" w:customStyle="1">
    <w:name w:val="标题1"/>
    <w:basedOn w:val="835"/>
    <w:next w:val="83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0" w:customStyle="1">
    <w:name w:val="修订1"/>
    <w:uiPriority w:val="99"/>
    <w:semiHidden/>
    <w:qFormat/>
    <w:rPr>
      <w:rFonts w:ascii="Times New Roman" w:hAnsi="Times New Roman" w:eastAsia="宋体" w:cs="Times New Roman"/>
      <w:sz w:val="21"/>
      <w:szCs w:val="21"/>
      <w:lang w:val="en-US" w:eastAsia="zh-CN" w:bidi="ar-SA"/>
    </w:rPr>
  </w:style>
  <w:style w:type="paragraph" w:styleId="11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42" w:customStyle="1">
    <w:name w:val="Table Normal"/>
    <w:uiPriority w:val="0"/>
    <w:qFormat/>
    <w:tblPr>
      <w:tblCellMar>
        <w:left w:w="0" w:type="dxa"/>
        <w:top w:w="0" w:type="dxa"/>
        <w:right w:w="0" w:type="dxa"/>
        <w:bottom w:w="0" w:type="dxa"/>
      </w:tblCellMar>
    </w:tblPr>
  </w:style>
  <w:style w:type="paragraph" w:styleId="1143"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Normal_6_0"/>
    <w:uiPriority w:val="0"/>
    <w:qFormat/>
    <w:rPr>
      <w:rFonts w:ascii="黑体" w:hAnsi="黑体" w:eastAsia="黑体" w:cs="黑体"/>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47" w:customStyle="1">
    <w:name w:val="正文文本12"/>
    <w:basedOn w:val="835"/>
    <w:uiPriority w:val="1"/>
    <w:qFormat/>
    <w:pPr>
      <w:ind w:left="120"/>
    </w:pPr>
    <w:rPr>
      <w:rFonts w:ascii="宋体" w:hAnsi="宋体" w:cs="宋体"/>
      <w:lang w:val="zh-CN" w:bidi="zh-CN"/>
    </w:rPr>
  </w:style>
  <w:style w:type="paragraph" w:styleId="1148" w:customStyle="1">
    <w:name w:val="正文2"/>
    <w:basedOn w:val="835"/>
    <w:uiPriority w:val="0"/>
    <w:qFormat/>
    <w:pPr>
      <w:ind w:firstLine="510"/>
      <w:spacing w:before="156" w:line="360" w:lineRule="auto"/>
    </w:pPr>
    <w:rPr>
      <w:sz w:val="24"/>
      <w:szCs w:val="20"/>
    </w:rPr>
  </w:style>
  <w:style w:type="paragraph" w:styleId="1149" w:customStyle="1">
    <w:name w:val="首行缩进"/>
    <w:basedOn w:val="835"/>
    <w:uiPriority w:val="0"/>
    <w:qFormat/>
    <w:pPr>
      <w:ind w:firstLine="480"/>
    </w:pPr>
    <w:rPr>
      <w:lang w:val="zh-CN"/>
    </w:rPr>
  </w:style>
  <w:style w:type="paragraph" w:styleId="1150" w:customStyle="1">
    <w:name w:val="Normal_18_0"/>
    <w:uiPriority w:val="0"/>
    <w:qFormat/>
    <w:rPr>
      <w:rFonts w:ascii="黑体" w:hAnsi="黑体" w:eastAsia="黑体" w:cs="黑体"/>
      <w:b/>
      <w:sz w:val="32"/>
      <w:szCs w:val="24"/>
      <w:lang w:val="en-US" w:eastAsia="zh-CN" w:bidi="ar-SA"/>
    </w:rPr>
  </w:style>
  <w:style w:type="paragraph" w:styleId="1151" w:customStyle="1">
    <w:name w:val="正文_12_0_0_0_0"/>
    <w:basedOn w:val="835"/>
    <w:uiPriority w:val="0"/>
    <w:qFormat/>
    <w:rPr>
      <w:szCs w:val="24"/>
    </w:rPr>
  </w:style>
  <w:style w:type="paragraph" w:styleId="115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5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Normal_20"/>
    <w:uiPriority w:val="0"/>
    <w:qFormat/>
    <w:rPr>
      <w:rFonts w:ascii="黑体" w:hAnsi="黑体" w:eastAsia="黑体" w:cs="黑体"/>
      <w:b/>
      <w:sz w:val="32"/>
      <w:szCs w:val="24"/>
      <w:lang w:val="en-US" w:eastAsia="zh-CN" w:bidi="ar-SA"/>
    </w:rPr>
  </w:style>
  <w:style w:type="paragraph" w:styleId="115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57" w:customStyle="1">
    <w:name w:val="Normal_0"/>
    <w:uiPriority w:val="0"/>
    <w:qFormat/>
    <w:rPr>
      <w:rFonts w:ascii="黑体" w:hAnsi="黑体" w:eastAsia="黑体" w:cs="Times New Roman"/>
      <w:b/>
      <w:sz w:val="32"/>
      <w:szCs w:val="24"/>
      <w:lang w:val="en-US" w:eastAsia="zh-CN" w:bidi="ar-SA"/>
    </w:rPr>
  </w:style>
  <w:style w:type="paragraph" w:styleId="1158" w:customStyle="1">
    <w:name w:val="部分1"/>
    <w:basedOn w:val="835"/>
    <w:uiPriority w:val="0"/>
    <w:qFormat/>
    <w:pPr>
      <w:jc w:val="center"/>
      <w:keepNext/>
      <w:pageBreakBefore/>
      <w:spacing w:line="360" w:lineRule="auto"/>
      <w:tabs>
        <w:tab w:val="left" w:pos="720" w:leader="none"/>
      </w:tabs>
      <w:outlineLvl w:val="0"/>
    </w:pPr>
    <w:rPr>
      <w:rFonts w:eastAsia="黑体"/>
      <w:b/>
      <w:sz w:val="36"/>
      <w:szCs w:val="20"/>
    </w:rPr>
  </w:style>
  <w:style w:type="paragraph" w:styleId="1159" w:customStyle="1">
    <w:name w:val="WPSOffice手动目录 1"/>
    <w:uiPriority w:val="0"/>
    <w:qFormat/>
    <w:rPr>
      <w:rFonts w:ascii="Times New Roman" w:hAnsi="Times New Roman" w:eastAsia="宋体" w:cs="Times New Roman"/>
      <w:lang w:val="en-US" w:eastAsia="zh-CN" w:bidi="ar-SA"/>
    </w:rPr>
  </w:style>
  <w:style w:type="paragraph" w:styleId="1160" w:customStyle="1">
    <w:name w:val="WPSOffice手动目录 2"/>
    <w:uiPriority w:val="0"/>
    <w:qFormat/>
    <w:rPr>
      <w:rFonts w:ascii="Times New Roman" w:hAnsi="Times New Roman" w:eastAsia="宋体" w:cs="Times New Roman"/>
      <w:lang w:val="en-US" w:eastAsia="zh-CN" w:bidi="ar-SA"/>
    </w:rPr>
  </w:style>
  <w:style w:type="character" w:styleId="1161" w:customStyle="1">
    <w:name w:val="mini-outputtext1"/>
    <w:uiPriority w:val="0"/>
    <w:qFormat/>
  </w:style>
  <w:style w:type="paragraph" w:styleId="1162" w:customStyle="1">
    <w:name w:val="正文_3_0_0_0_0"/>
    <w:uiPriority w:val="0"/>
    <w:qFormat/>
    <w:pPr>
      <w:jc w:val="both"/>
      <w:widowControl w:val="off"/>
    </w:pPr>
    <w:rPr>
      <w:rFonts w:ascii="Calibri" w:hAnsi="Calibri" w:eastAsia="宋体" w:cs="Times New Roman"/>
      <w:lang w:val="en-US" w:eastAsia="zh-CN" w:bidi="ar-SA"/>
    </w:rPr>
  </w:style>
  <w:style w:type="paragraph" w:styleId="1163" w:customStyle="1">
    <w:name w:val="Normal_19_0"/>
    <w:uiPriority w:val="0"/>
    <w:qFormat/>
    <w:pPr>
      <w:widowControl w:val="off"/>
    </w:pPr>
    <w:rPr>
      <w:rFonts w:ascii="微软雅黑" w:hAnsi="Times New Roman" w:eastAsia="微软雅黑" w:cs="微软雅黑"/>
      <w:sz w:val="24"/>
      <w:szCs w:val="24"/>
      <w:lang w:val="en-US" w:eastAsia="zh-CN" w:bidi="ar-SA"/>
    </w:rPr>
  </w:style>
  <w:style w:type="paragraph" w:styleId="1164" w:customStyle="1">
    <w:name w:val="正文_0_2_0_1_0"/>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66" w:customStyle="1">
    <w:name w:val="正文_0_2_0_0_0"/>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68" w:customStyle="1">
    <w:name w:val="List Paragraph_1_0"/>
    <w:basedOn w:val="850"/>
    <w:uiPriority w:val="99"/>
    <w:unhideWhenUsed/>
    <w:qFormat/>
    <w:pPr>
      <w:ind w:firstLine="420"/>
    </w:pPr>
    <w:rPr>
      <w:rFonts w:eastAsia="Times New Roman"/>
    </w:rPr>
  </w:style>
  <w:style w:type="paragraph" w:styleId="1169" w:customStyle="1">
    <w:name w:val="无间隔1_0_0"/>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Normal_21"/>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_18_0_0_0_0"/>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正文_1_2_0"/>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1_4_0"/>
    <w:uiPriority w:val="99"/>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正文_1_1_0"/>
    <w:uiPriority w:val="0"/>
    <w:qFormat/>
    <w:pPr>
      <w:jc w:val="both"/>
      <w:widowControl w:val="off"/>
    </w:pPr>
    <w:rPr>
      <w:rFonts w:ascii="Calibri" w:hAnsi="Calibri" w:eastAsia="宋体" w:cs="Times New Roman"/>
      <w:sz w:val="21"/>
      <w:szCs w:val="22"/>
      <w:lang w:val="en-US" w:eastAsia="zh-CN" w:bidi="ar-SA"/>
    </w:rPr>
  </w:style>
  <w:style w:type="character" w:styleId="1175" w:customStyle="1">
    <w:name w:val="NormalCharacter1"/>
    <w:uiPriority w:val="0"/>
    <w:qFormat/>
  </w:style>
  <w:style w:type="paragraph" w:styleId="1176" w:customStyle="1">
    <w:name w:val="普通(网站)11"/>
    <w:basedOn w:val="1177"/>
    <w:uiPriority w:val="0"/>
    <w:qFormat/>
    <w:pPr>
      <w:spacing w:before="100" w:beforeAutospacing="1" w:after="100" w:afterAutospacing="1"/>
    </w:pPr>
    <w:rPr>
      <w:rFonts w:ascii="宋体"/>
      <w:szCs w:val="20"/>
    </w:rPr>
  </w:style>
  <w:style w:type="paragraph" w:styleId="1177" w:customStyle="1">
    <w:name w:val="正文11"/>
    <w:uiPriority w:val="0"/>
    <w:qFormat/>
    <w:rPr>
      <w:rFonts w:ascii="Times New Roman" w:hAnsi="Times New Roman" w:eastAsia="Times New Roman" w:cs="Times New Roman"/>
      <w:sz w:val="24"/>
      <w:szCs w:val="24"/>
      <w:lang w:val="en-US" w:eastAsia="zh-CN" w:bidi="ar-SA"/>
    </w:rPr>
  </w:style>
  <w:style w:type="paragraph" w:styleId="1178" w:customStyle="1">
    <w:name w:val="Normal_0_1"/>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正文_1_4"/>
    <w:uiPriority w:val="99"/>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正文_0_2_0_1"/>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Normal_13_0_0"/>
    <w:uiPriority w:val="0"/>
    <w:qFormat/>
    <w:pPr>
      <w:jc w:val="both"/>
      <w:widowControl w:val="off"/>
    </w:pPr>
    <w:rPr>
      <w:rFonts w:ascii="Calibri" w:hAnsi="Calibri" w:eastAsia="宋体" w:cs="Times New Roman"/>
      <w:sz w:val="21"/>
      <w:szCs w:val="22"/>
      <w:lang w:val="en-US" w:eastAsia="zh-CN" w:bidi="ar-SA"/>
    </w:rPr>
  </w:style>
  <w:style w:type="character" w:styleId="1183" w:customStyle="1">
    <w:name w:val="font91"/>
    <w:uiPriority w:val="0"/>
    <w:qFormat/>
    <w:rPr>
      <w:rFonts w:ascii="宋体" w:hAnsi="宋体" w:eastAsia="宋体" w:cs="宋体"/>
      <w:b/>
      <w:bCs/>
      <w:color w:val="000000"/>
      <w:sz w:val="24"/>
      <w:szCs w:val="24"/>
      <w:u w:val="none"/>
    </w:rPr>
  </w:style>
  <w:style w:type="character" w:styleId="1184" w:customStyle="1">
    <w:name w:val="font31"/>
    <w:uiPriority w:val="0"/>
    <w:qFormat/>
    <w:rPr>
      <w:rFonts w:ascii="宋体" w:hAnsi="宋体" w:eastAsia="宋体" w:cs="宋体"/>
      <w:color w:val="000000"/>
      <w:sz w:val="24"/>
      <w:szCs w:val="24"/>
      <w:u w:val="none"/>
    </w:rPr>
  </w:style>
  <w:style w:type="character" w:styleId="1185" w:customStyle="1">
    <w:name w:val="font71"/>
    <w:uiPriority w:val="0"/>
    <w:qFormat/>
    <w:rPr>
      <w:rFonts w:ascii="宋体" w:hAnsi="宋体" w:eastAsia="宋体" w:cs="宋体"/>
      <w:b/>
      <w:bCs/>
      <w:color w:val="000000"/>
      <w:sz w:val="24"/>
      <w:szCs w:val="24"/>
      <w:u w:val="none"/>
    </w:rPr>
  </w:style>
  <w:style w:type="character" w:styleId="1186" w:customStyle="1">
    <w:name w:val="font01"/>
    <w:uiPriority w:val="0"/>
    <w:qFormat/>
    <w:rPr>
      <w:rFonts w:ascii="Arial" w:hAnsi="Arial" w:cs="Arial"/>
      <w:color w:val="000000"/>
      <w:sz w:val="22"/>
      <w:szCs w:val="22"/>
      <w:u w:val="none"/>
    </w:rPr>
  </w:style>
  <w:style w:type="character" w:styleId="1187" w:customStyle="1">
    <w:name w:val="font61"/>
    <w:uiPriority w:val="0"/>
    <w:qFormat/>
    <w:rPr>
      <w:rFonts w:hint="eastAsia" w:ascii="宋体" w:hAnsi="宋体" w:eastAsia="宋体" w:cs="宋体"/>
      <w:color w:val="000000"/>
      <w:sz w:val="22"/>
      <w:szCs w:val="22"/>
      <w:u w:val="none"/>
    </w:rPr>
  </w:style>
  <w:style w:type="character" w:styleId="1188" w:customStyle="1">
    <w:name w:val="font101"/>
    <w:uiPriority w:val="0"/>
    <w:qFormat/>
    <w:rPr>
      <w:rFonts w:ascii="宋体" w:hAnsi="宋体" w:eastAsia="宋体" w:cs="宋体"/>
      <w:color w:val="000000"/>
      <w:sz w:val="24"/>
      <w:szCs w:val="24"/>
      <w:u w:val="none"/>
    </w:rPr>
  </w:style>
  <w:style w:type="character" w:styleId="1189" w:customStyle="1">
    <w:name w:val="font111"/>
    <w:uiPriority w:val="0"/>
    <w:qFormat/>
    <w:rPr>
      <w:rFonts w:ascii="Arial" w:hAnsi="Arial" w:cs="Arial"/>
      <w:color w:val="000000"/>
      <w:sz w:val="24"/>
      <w:szCs w:val="24"/>
      <w:u w:val="none"/>
    </w:rPr>
  </w:style>
  <w:style w:type="character" w:styleId="1190" w:customStyle="1">
    <w:name w:val="font41"/>
    <w:uiPriority w:val="0"/>
    <w:qFormat/>
    <w:rPr>
      <w:rFonts w:hint="eastAsia" w:ascii="宋体" w:hAnsi="宋体" w:eastAsia="宋体" w:cs="宋体"/>
      <w:color w:val="000000"/>
      <w:sz w:val="24"/>
      <w:szCs w:val="24"/>
      <w:u w:val="none"/>
    </w:rPr>
  </w:style>
  <w:style w:type="character" w:styleId="1191" w:customStyle="1">
    <w:name w:val="font51"/>
    <w:uiPriority w:val="0"/>
    <w:qFormat/>
    <w:rPr>
      <w:rFonts w:ascii="Arial" w:hAnsi="Arial" w:cs="Arial"/>
      <w:color w:val="000000"/>
      <w:sz w:val="24"/>
      <w:szCs w:val="24"/>
      <w:u w:val="none"/>
    </w:rPr>
  </w:style>
  <w:style w:type="character" w:styleId="1192" w:customStyle="1">
    <w:name w:val="font11"/>
    <w:uiPriority w:val="0"/>
    <w:qFormat/>
    <w:rPr>
      <w:rFonts w:hint="eastAsia" w:ascii="宋体" w:hAnsi="宋体" w:eastAsia="宋体" w:cs="宋体"/>
      <w:b/>
      <w:bCs/>
      <w:color w:val="000000"/>
      <w:sz w:val="24"/>
      <w:szCs w:val="24"/>
      <w:u w:val="none"/>
    </w:rPr>
  </w:style>
  <w:style w:type="character" w:styleId="1193" w:customStyle="1">
    <w:name w:val="font21"/>
    <w:uiPriority w:val="0"/>
    <w:qFormat/>
    <w:rPr>
      <w:rFonts w:ascii="Arial" w:hAnsi="Arial" w:cs="Arial"/>
      <w:b/>
      <w:bCs/>
      <w:color w:val="000000"/>
      <w:sz w:val="24"/>
      <w:szCs w:val="24"/>
      <w:u w:val="none"/>
    </w:rPr>
  </w:style>
  <w:style w:type="character" w:styleId="1194" w:customStyle="1">
    <w:name w:val="font81"/>
    <w:uiPriority w:val="0"/>
    <w:qFormat/>
    <w:rPr>
      <w:rFonts w:ascii="宋体" w:hAnsi="宋体" w:eastAsia="宋体" w:cs="宋体"/>
      <w:color w:val="000000"/>
      <w:sz w:val="22"/>
      <w:szCs w:val="22"/>
      <w:u w:val="none"/>
    </w:rPr>
  </w:style>
  <w:style w:type="character" w:styleId="1195" w:customStyle="1">
    <w:name w:val="font112"/>
    <w:uiPriority w:val="0"/>
    <w:qFormat/>
    <w:rPr>
      <w:rFonts w:ascii="宋体" w:hAnsi="宋体" w:eastAsia="宋体" w:cs="宋体"/>
      <w:color w:val="000000"/>
      <w:sz w:val="20"/>
      <w:szCs w:val="20"/>
      <w:u w:val="none"/>
    </w:rPr>
  </w:style>
  <w:style w:type="character" w:styleId="1196" w:customStyle="1">
    <w:name w:val="font161"/>
    <w:uiPriority w:val="0"/>
    <w:qFormat/>
    <w:rPr>
      <w:rFonts w:ascii="宋体" w:hAnsi="宋体" w:eastAsia="宋体" w:cs="宋体"/>
      <w:b/>
      <w:bCs/>
      <w:color w:val="000000"/>
      <w:sz w:val="24"/>
      <w:szCs w:val="24"/>
      <w:u w:val="none"/>
    </w:rPr>
  </w:style>
  <w:style w:type="character" w:styleId="1197" w:customStyle="1">
    <w:name w:val="font121"/>
    <w:uiPriority w:val="0"/>
    <w:qFormat/>
    <w:rPr>
      <w:rFonts w:hint="eastAsia" w:ascii="宋体" w:hAnsi="宋体" w:eastAsia="宋体" w:cs="宋体"/>
      <w:color w:val="000000"/>
      <w:sz w:val="24"/>
      <w:szCs w:val="24"/>
      <w:u w:val="none"/>
    </w:rPr>
  </w:style>
  <w:style w:type="paragraph" w:styleId="1198" w:customStyle="1">
    <w:name w:val="Normal_34"/>
    <w:uiPriority w:val="0"/>
    <w:qFormat/>
    <w:rPr>
      <w:rFonts w:ascii="黑体" w:hAnsi="黑体" w:eastAsia="黑体" w:cs="Times New Roman"/>
      <w:b/>
      <w:sz w:val="32"/>
      <w:szCs w:val="24"/>
      <w:lang w:bidi="ar-SA"/>
    </w:rPr>
  </w:style>
  <w:style w:type="paragraph" w:styleId="119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正文_15_0_0"/>
    <w:uiPriority w:val="0"/>
    <w:qFormat/>
    <w:pPr>
      <w:jc w:val="both"/>
      <w:widowControl w:val="off"/>
    </w:pPr>
    <w:rPr>
      <w:rFonts w:ascii="Calibri" w:hAnsi="Calibri" w:eastAsia="宋体" w:cs="Times New Roman"/>
      <w:sz w:val="21"/>
      <w:szCs w:val="22"/>
      <w:lang w:val="en-US" w:eastAsia="zh-CN" w:bidi="ar-SA"/>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赵飞飞</cp:lastModifiedBy>
  <cp:revision>23</cp:revision>
  <dcterms:created xsi:type="dcterms:W3CDTF">2023-03-16T02:16:00Z</dcterms:created>
  <dcterms:modified xsi:type="dcterms:W3CDTF">2024-11-18T07:16:25Z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BE94A43FAB1C402C98E4AA0D238471AF_13</vt:lpwstr>
  </property>
</Properties>
</file>