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spacing w:before="120" w:beforeAutospacing="0" w:after="120" w:afterAutospacing="0" w:line="360" w:lineRule="auto"/>
        <w:rPr>
          <w:color w:val="000000"/>
          <w:highlight w:val="none"/>
        </w:rPr>
      </w:pPr>
      <w:r>
        <w:rPr>
          <w:color w:val="000000"/>
          <w:highlight w:val="none"/>
        </w:rPr>
      </w:r>
      <w:r>
        <w:rPr>
          <w:highlight w:val="none"/>
        </w:rPr>
      </w:r>
    </w:p>
    <w:p>
      <w:pPr>
        <w:pStyle w:val="658"/>
        <w:spacing w:before="120" w:beforeAutospacing="0" w:after="120" w:afterAutospacing="0" w:line="360" w:lineRule="auto"/>
        <w:rPr>
          <w:color w:val="000000"/>
          <w:highlight w:val="none"/>
        </w:rPr>
      </w:pPr>
      <w:r>
        <w:rPr>
          <w:color w:val="000000"/>
          <w:highlight w:val="none"/>
        </w:rPr>
      </w:r>
      <w:r>
        <w:rPr>
          <w:highlight w:val="none"/>
        </w:rPr>
      </w:r>
    </w:p>
    <w:p>
      <w:pPr>
        <w:pStyle w:val="658"/>
        <w:spacing w:before="120" w:beforeAutospacing="0" w:after="120" w:afterAutospacing="0" w:line="360" w:lineRule="auto"/>
        <w:rPr>
          <w:color w:val="000000"/>
          <w:highlight w:val="none"/>
        </w:rPr>
      </w:pPr>
      <w:r>
        <w:rPr>
          <w:color w:val="000000"/>
          <w:highlight w:val="none"/>
        </w:rPr>
      </w:r>
      <w:r>
        <w:rPr>
          <w:highlight w:val="none"/>
        </w:rPr>
      </w:r>
    </w:p>
    <w:p>
      <w:pPr>
        <w:pStyle w:val="658"/>
        <w:jc w:val="center"/>
        <w:spacing w:before="120" w:beforeAutospacing="0" w:after="120" w:afterAutospacing="0" w:line="360" w:lineRule="auto"/>
        <w:rPr>
          <w:color w:val="000000"/>
          <w:highlight w:val="none"/>
        </w:rPr>
      </w:pPr>
      <w:r>
        <w:rPr>
          <w:rFonts w:ascii="Arial" w:hAnsi="Arial" w:cs="Arial"/>
          <w:b/>
          <w:color w:val="000000"/>
          <w:sz w:val="84"/>
          <w:szCs w:val="84"/>
          <w:highlight w:val="none"/>
        </w:rPr>
        <w:t xml:space="preserve">招 标 文 件</w:t>
      </w:r>
      <w:r>
        <w:rPr>
          <w:color w:val="000000"/>
          <w:highlight w:val="none"/>
        </w:rPr>
      </w:r>
      <w:r>
        <w:rPr>
          <w:highlight w:val="none"/>
        </w:rPr>
      </w:r>
    </w:p>
    <w:p>
      <w:pPr>
        <w:pStyle w:val="658"/>
        <w:ind w:firstLine="64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rPr>
          <w:highlight w:val="none"/>
        </w:rPr>
      </w:r>
    </w:p>
    <w:p>
      <w:pPr>
        <w:pStyle w:val="658"/>
        <w:ind w:firstLine="643"/>
        <w:spacing w:before="120" w:beforeAutospacing="0" w:after="120" w:afterAutospacing="0" w:line="360" w:lineRule="auto"/>
        <w:rPr>
          <w:rFonts w:hint="eastAsia" w:eastAsia="宋体"/>
          <w:color w:val="000000"/>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东台智慧教育平台升级改造项目</w:t>
      </w:r>
      <w:r>
        <w:rPr>
          <w:rFonts w:hint="eastAsia" w:eastAsia="宋体"/>
          <w:color w:val="000000"/>
          <w:highlight w:val="none"/>
          <w:lang w:eastAsia="zh-CN"/>
        </w:rPr>
      </w:r>
      <w:r>
        <w:rPr>
          <w:highlight w:val="none"/>
        </w:rPr>
      </w:r>
    </w:p>
    <w:p>
      <w:pPr>
        <w:pStyle w:val="658"/>
        <w:ind w:firstLine="643"/>
        <w:spacing w:beforeAutospacing="0" w:afterAutospacing="0"/>
        <w:rPr>
          <w:rFonts w:hint="eastAsia" w:eastAsia="宋体"/>
          <w:color w:val="000000"/>
          <w:highlight w:val="none"/>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lang w:eastAsia="zh-CN"/>
        </w:rPr>
        <w:t xml:space="preserve">JSZC-320981-JZCG-G2025-0011</w:t>
      </w:r>
      <w:r>
        <w:rPr>
          <w:rFonts w:hint="eastAsia" w:eastAsia="宋体"/>
          <w:color w:val="000000"/>
          <w:highlight w:val="none"/>
          <w:lang w:eastAsia="zh-CN"/>
        </w:rPr>
      </w:r>
      <w:r>
        <w:rPr>
          <w:highlight w:val="none"/>
        </w:rPr>
      </w:r>
    </w:p>
    <w:p>
      <w:pPr>
        <w:pStyle w:val="658"/>
        <w:spacing w:beforeAutospacing="0" w:afterAutospacing="0" w:line="360" w:lineRule="auto"/>
        <w:rPr>
          <w:color w:val="000000"/>
          <w:highlight w:val="none"/>
        </w:rPr>
      </w:pPr>
      <w:r>
        <w:rPr>
          <w:color w:val="000000"/>
          <w:highlight w:val="none"/>
        </w:rPr>
        <w:t xml:space="preserve"> </w:t>
      </w:r>
      <w:r>
        <w:rPr>
          <w:color w:val="000000"/>
          <w:highlight w:val="none"/>
        </w:rPr>
      </w:r>
      <w:r>
        <w:rPr>
          <w:highlight w:val="none"/>
        </w:rPr>
      </w:r>
    </w:p>
    <w:p>
      <w:pPr>
        <w:pStyle w:val="658"/>
        <w:spacing w:beforeAutospacing="0" w:afterAutospacing="0" w:line="360" w:lineRule="auto"/>
        <w:rPr>
          <w:color w:val="000000"/>
          <w:highlight w:val="none"/>
        </w:rPr>
      </w:pPr>
      <w:r>
        <w:rPr>
          <w:color w:val="000000"/>
          <w:highlight w:val="none"/>
        </w:rPr>
        <w:t xml:space="preserve"> </w:t>
      </w:r>
      <w:r>
        <w:rPr>
          <w:color w:val="000000"/>
          <w:highlight w:val="none"/>
        </w:rPr>
      </w:r>
      <w:r>
        <w:rPr>
          <w:highlight w:val="none"/>
        </w:rPr>
      </w:r>
    </w:p>
    <w:p>
      <w:pPr>
        <w:pStyle w:val="658"/>
        <w:spacing w:beforeAutospacing="0" w:afterAutospacing="0" w:line="360" w:lineRule="auto"/>
        <w:rPr>
          <w:color w:val="000000"/>
          <w:highlight w:val="none"/>
        </w:rPr>
      </w:pPr>
      <w:r>
        <w:rPr>
          <w:color w:val="000000"/>
          <w:highlight w:val="none"/>
        </w:rPr>
        <w:t xml:space="preserve"> </w:t>
      </w:r>
      <w:r>
        <w:rPr>
          <w:color w:val="000000"/>
          <w:highlight w:val="none"/>
        </w:rPr>
      </w:r>
      <w:r>
        <w:rPr>
          <w:highlight w:val="none"/>
        </w:rPr>
      </w:r>
    </w:p>
    <w:p>
      <w:pPr>
        <w:pStyle w:val="658"/>
        <w:spacing w:beforeAutospacing="0" w:afterAutospacing="0" w:line="360" w:lineRule="auto"/>
        <w:rPr>
          <w:color w:val="000000"/>
          <w:highlight w:val="none"/>
        </w:rPr>
      </w:pPr>
      <w:r>
        <w:rPr>
          <w:color w:val="000000"/>
          <w:highlight w:val="none"/>
        </w:rPr>
        <w:t xml:space="preserve">  </w:t>
      </w:r>
      <w:r>
        <w:rPr>
          <w:color w:val="000000"/>
          <w:highlight w:val="none"/>
        </w:rPr>
      </w:r>
      <w:r>
        <w:rPr>
          <w:highlight w:val="none"/>
        </w:rPr>
      </w:r>
    </w:p>
    <w:p>
      <w:pPr>
        <w:pStyle w:val="658"/>
        <w:spacing w:beforeAutospacing="0" w:afterAutospacing="0" w:line="360" w:lineRule="auto"/>
        <w:rPr>
          <w:color w:val="000000"/>
          <w:highlight w:val="none"/>
        </w:rPr>
      </w:pPr>
      <w:r>
        <w:rPr>
          <w:color w:val="000000"/>
          <w:highlight w:val="none"/>
        </w:rPr>
        <w:t xml:space="preserve"> </w:t>
      </w:r>
      <w:r>
        <w:rPr>
          <w:color w:val="000000"/>
          <w:highlight w:val="none"/>
        </w:rPr>
      </w:r>
      <w:r>
        <w:rPr>
          <w:highlight w:val="none"/>
        </w:rPr>
      </w:r>
    </w:p>
    <w:p>
      <w:pPr>
        <w:pStyle w:val="658"/>
        <w:ind w:firstLine="964"/>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rPr>
          <w:highlight w:val="none"/>
        </w:rPr>
      </w:r>
    </w:p>
    <w:p>
      <w:pPr>
        <w:pStyle w:val="658"/>
        <w:ind w:firstLine="964"/>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rPr>
          <w:highlight w:val="none"/>
        </w:rPr>
      </w:r>
    </w:p>
    <w:p>
      <w:pPr>
        <w:pStyle w:val="658"/>
        <w:ind w:firstLine="964"/>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rPr>
          <w:highlight w:val="none"/>
        </w:rPr>
      </w:r>
    </w:p>
    <w:p>
      <w:pPr>
        <w:pStyle w:val="658"/>
        <w:ind w:firstLine="964"/>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rPr>
          <w:highlight w:val="none"/>
        </w:rPr>
      </w:r>
    </w:p>
    <w:p>
      <w:pPr>
        <w:pStyle w:val="658"/>
        <w:jc w:val="center"/>
        <w:spacing w:before="120" w:beforeAutospacing="0" w:after="120" w:afterAutospacing="0" w:line="360" w:lineRule="auto"/>
        <w:rPr>
          <w:rFonts w:hint="eastAsia" w:ascii="Arial" w:hAnsi="Arial" w:eastAsia="宋体" w:cs="Arial"/>
          <w:b/>
          <w:color w:val="000000"/>
          <w:sz w:val="32"/>
          <w:szCs w:val="32"/>
          <w:highlight w:val="none"/>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东台市教育局</w:t>
      </w:r>
      <w:r>
        <w:rPr>
          <w:rFonts w:hint="eastAsia" w:ascii="Arial" w:hAnsi="Arial" w:eastAsia="宋体" w:cs="Arial"/>
          <w:b/>
          <w:color w:val="000000"/>
          <w:sz w:val="32"/>
          <w:szCs w:val="32"/>
          <w:highlight w:val="none"/>
          <w:lang w:eastAsia="zh-CN"/>
        </w:rPr>
      </w:r>
      <w:r>
        <w:rPr>
          <w:highlight w:val="none"/>
        </w:rPr>
      </w:r>
    </w:p>
    <w:p>
      <w:pPr>
        <w:pStyle w:val="658"/>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rPr>
          <w:highlight w:val="none"/>
        </w:rPr>
      </w:r>
    </w:p>
    <w:p>
      <w:pPr>
        <w:pStyle w:val="658"/>
        <w:jc w:val="center"/>
        <w:spacing w:before="120" w:beforeAutospacing="0" w:after="120" w:afterAutospacing="0" w:line="360" w:lineRule="auto"/>
        <w:rPr>
          <w:color w:val="000000"/>
          <w:highlight w:val="none"/>
        </w:rPr>
      </w:pPr>
      <w:r>
        <w:rPr>
          <w:rFonts w:hint="eastAsia" w:ascii="Arial" w:hAnsi="Arial" w:cs="Arial"/>
          <w:b/>
          <w:color w:val="000000"/>
          <w:sz w:val="32"/>
          <w:szCs w:val="32"/>
          <w:highlight w:val="none"/>
        </w:rPr>
        <w:t xml:space="preserve">202</w:t>
      </w:r>
      <w:r>
        <w:rPr>
          <w:rFonts w:hint="eastAsia" w:ascii="Arial" w:hAnsi="Arial" w:cs="Arial"/>
          <w:b/>
          <w:color w:val="000000"/>
          <w:sz w:val="32"/>
          <w:szCs w:val="32"/>
          <w:highlight w:val="none"/>
          <w:lang w:val="en-US" w:eastAsia="zh-CN"/>
        </w:rPr>
        <w:t xml:space="preserve">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03</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26</w:t>
      </w:r>
      <w:r>
        <w:rPr>
          <w:rFonts w:ascii="Arial" w:hAnsi="Arial" w:cs="Arial"/>
          <w:b/>
          <w:color w:val="000000"/>
          <w:sz w:val="32"/>
          <w:szCs w:val="32"/>
          <w:highlight w:val="none"/>
        </w:rPr>
        <w:t xml:space="preserve">日</w:t>
      </w:r>
      <w:r>
        <w:rPr>
          <w:color w:val="000000"/>
          <w:highlight w:val="none"/>
        </w:rPr>
      </w:r>
      <w:r>
        <w:rPr>
          <w:highlight w:val="none"/>
        </w:rPr>
      </w:r>
    </w:p>
    <w:p>
      <w:pPr>
        <w:pStyle w:val="658"/>
        <w:spacing w:before="120" w:beforeAutospacing="0" w:after="120" w:afterAutospacing="0" w:line="360" w:lineRule="auto"/>
        <w:rPr>
          <w:color w:val="000000"/>
          <w:highlight w:val="none"/>
        </w:rPr>
      </w:pPr>
      <w:r>
        <w:rPr>
          <w:rFonts w:ascii="Arial" w:hAnsi="Arial" w:cs="Arial"/>
          <w:color w:val="000000"/>
          <w:highlight w:val="none"/>
        </w:rPr>
        <w:t xml:space="preserve">                        </w:t>
      </w:r>
      <w:r>
        <w:rPr>
          <w:color w:val="000000"/>
          <w:highlight w:val="none"/>
        </w:rPr>
      </w:r>
      <w:r>
        <w:rPr>
          <w:highlight w:val="none"/>
        </w:rPr>
      </w:r>
    </w:p>
    <w:p>
      <w:pPr>
        <w:pStyle w:val="658"/>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23127445"/>
      <w:r>
        <w:rPr>
          <w:highlight w:val="none"/>
        </w:rPr>
      </w:r>
      <w:bookmarkStart w:id="1" w:name="_Toc479757206"/>
      <w:r>
        <w:rPr>
          <w:highlight w:val="none"/>
        </w:rPr>
      </w:r>
      <w:bookmarkStart w:id="2" w:name="_Toc120614210"/>
      <w:r>
        <w:rPr>
          <w:highlight w:val="none"/>
        </w:rPr>
      </w:r>
      <w:bookmarkStart w:id="3" w:name="_Toc513029200"/>
      <w:r>
        <w:rPr>
          <w:highlight w:val="none"/>
        </w:rPr>
      </w:r>
      <w:bookmarkStart w:id="4" w:name="_Toc20823272"/>
      <w:r>
        <w:rPr>
          <w:highlight w:val="none"/>
        </w:rPr>
      </w:r>
      <w:bookmarkStart w:id="5" w:name="_Toc16938516"/>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r>
        <w:rPr>
          <w:highlight w:val="none"/>
        </w:rPr>
      </w:r>
    </w:p>
    <w:p>
      <w:pPr>
        <w:pStyle w:val="658"/>
        <w:jc w:val="center"/>
        <w:spacing w:beforeAutospacing="0" w:afterAutospacing="0" w:line="480" w:lineRule="auto"/>
        <w:rPr>
          <w:rFonts w:hint="eastAsia" w:ascii="宋体" w:hAnsi="宋体" w:cs="宋体"/>
          <w:color w:val="000000"/>
          <w:highlight w:val="none"/>
        </w:rPr>
      </w:pPr>
      <w:r>
        <w:rPr>
          <w:rFonts w:hint="eastAsia" w:ascii="宋体" w:hAnsi="宋体" w:cs="宋体"/>
          <w:color w:val="000000"/>
          <w:highlight w:val="none"/>
        </w:rPr>
      </w:r>
      <w:r>
        <w:rPr>
          <w:highlight w:val="none"/>
        </w:rPr>
      </w:r>
    </w:p>
    <w:p>
      <w:pPr>
        <w:pStyle w:val="65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rPr>
          <w:highlight w:val="none"/>
        </w:rPr>
      </w:r>
      <w:r>
        <w:rPr>
          <w:highlight w:val="none"/>
        </w:rPr>
      </w:r>
    </w:p>
    <w:p>
      <w:pPr>
        <w:pStyle w:val="65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rPr>
          <w:highlight w:val="none"/>
        </w:rPr>
      </w:r>
      <w:r>
        <w:rPr>
          <w:highlight w:val="none"/>
        </w:rPr>
      </w:r>
    </w:p>
    <w:p>
      <w:pPr>
        <w:pStyle w:val="65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rPr>
          <w:highlight w:val="none"/>
        </w:rPr>
      </w:r>
      <w:r>
        <w:rPr>
          <w:highlight w:val="none"/>
        </w:rPr>
      </w:r>
    </w:p>
    <w:p>
      <w:pPr>
        <w:pStyle w:val="65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rPr>
          <w:highlight w:val="none"/>
        </w:rPr>
      </w:r>
      <w:r>
        <w:rPr>
          <w:highlight w:val="none"/>
        </w:rPr>
      </w:r>
    </w:p>
    <w:p>
      <w:pPr>
        <w:pStyle w:val="65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rPr>
          <w:highlight w:val="none"/>
        </w:rPr>
      </w:r>
      <w:r>
        <w:rPr>
          <w:highlight w:val="none"/>
        </w:rPr>
      </w:r>
    </w:p>
    <w:p>
      <w:pPr>
        <w:pStyle w:val="65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rPr>
          <w:highlight w:val="none"/>
        </w:rPr>
      </w:r>
      <w:r>
        <w:rPr>
          <w:highlight w:val="none"/>
        </w:rPr>
      </w:r>
    </w:p>
    <w:p>
      <w:pPr>
        <w:pStyle w:val="658"/>
        <w:jc w:val="both"/>
        <w:spacing w:beforeAutospacing="0" w:afterAutospacing="0"/>
        <w:rPr>
          <w:rFonts w:hint="eastAsia" w:ascii="宋体" w:hAnsi="宋体" w:cs="宋体"/>
          <w:color w:val="000000"/>
          <w:highlight w:val="none"/>
        </w:rPr>
      </w:pPr>
      <w:r>
        <w:rPr>
          <w:color w:val="000000"/>
          <w:highlight w:val="none"/>
        </w:rPr>
        <w:t xml:space="preserve"> </w:t>
      </w:r>
      <w:r>
        <w:rPr>
          <w:rFonts w:hint="eastAsia" w:ascii="宋体" w:hAnsi="宋体" w:cs="宋体"/>
          <w:color w:val="000000"/>
          <w:highlight w:val="none"/>
        </w:rPr>
      </w:r>
      <w:r>
        <w:rPr>
          <w:highlight w:val="none"/>
        </w:rPr>
      </w:r>
    </w:p>
    <w:p>
      <w:pPr>
        <w:pStyle w:val="658"/>
        <w:jc w:val="center"/>
        <w:keepNext/>
        <w:spacing w:beforeAutospacing="0" w:afterAutospacing="0"/>
        <w:rPr>
          <w:rFonts w:hint="eastAsia" w:ascii="宋体" w:hAnsi="宋体" w:cs="宋体"/>
          <w:color w:val="000000"/>
          <w:highlight w:val="none"/>
        </w:rPr>
        <w:outlineLvl w:val="0"/>
      </w:pPr>
      <w:r>
        <w:rPr>
          <w:highlight w:val="none"/>
        </w:rPr>
      </w:r>
      <w:bookmarkStart w:id="6" w:name="_Toc28359086"/>
      <w:r>
        <w:rPr>
          <w:rFonts w:hint="eastAsia" w:ascii="宋体" w:hAnsi="宋体" w:cs="宋体"/>
          <w:color w:val="000000"/>
          <w:sz w:val="44"/>
          <w:szCs w:val="44"/>
          <w:highlight w:val="none"/>
        </w:rPr>
        <w:br w:type="page" w:clear="all"/>
      </w:r>
      <w:r>
        <w:rPr>
          <w:rFonts w:hint="eastAsia" w:ascii="黑体" w:hAnsi="宋体" w:eastAsia="黑体" w:cs="黑体"/>
          <w:b/>
          <w:color w:val="000000"/>
          <w:sz w:val="44"/>
          <w:szCs w:val="44"/>
          <w:highlight w:val="none"/>
        </w:rPr>
        <w:t xml:space="preserve">第一章 </w:t>
      </w:r>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采购公告</w:t>
      </w:r>
      <w:r>
        <w:rPr>
          <w:rFonts w:hint="eastAsia" w:ascii="宋体" w:hAnsi="宋体" w:cs="宋体"/>
          <w:color w:val="000000"/>
          <w:highlight w:val="none"/>
        </w:rPr>
      </w:r>
      <w:r>
        <w:rPr>
          <w:highlight w:val="none"/>
        </w:rPr>
      </w:r>
    </w:p>
    <w:p>
      <w:pPr>
        <w:pStyle w:val="658"/>
        <w:ind w:firstLine="482"/>
        <w:jc w:val="both"/>
        <w:spacing w:beforeAutospacing="0" w:afterAutospacing="0" w:line="440" w:lineRule="exact"/>
        <w:rPr>
          <w:rFonts w:hint="eastAsia" w:ascii="宋体" w:hAnsi="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highlight w:val="none"/>
        </w:rPr>
        <w:t xml:space="preserve">项目概况</w:t>
      </w:r>
      <w:r>
        <w:rPr>
          <w:rFonts w:hint="eastAsia" w:ascii="宋体" w:hAnsi="宋体" w:cs="宋体"/>
          <w:color w:val="000000"/>
          <w:highlight w:val="none"/>
        </w:rPr>
      </w:r>
      <w:r>
        <w:rPr>
          <w:highlight w:val="none"/>
        </w:rPr>
      </w:r>
    </w:p>
    <w:p>
      <w:pPr>
        <w:pStyle w:val="658"/>
        <w:ind w:firstLine="482"/>
        <w:jc w:val="both"/>
        <w:spacing w:beforeAutospacing="0" w:afterAutospacing="0" w:line="440" w:lineRule="exact"/>
        <w:rPr>
          <w:rFonts w:hint="eastAsia" w:ascii="宋体" w:hAnsi="宋体" w:cs="宋体"/>
          <w:color w:val="000000"/>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highlight w:val="none"/>
          <w:u w:val="none"/>
          <w:lang w:eastAsia="zh-CN"/>
        </w:rPr>
        <w:t xml:space="preserve">东台智慧教育平台升级改造项目JSZC-320981-JZCG-G2025-0011</w:t>
      </w:r>
      <w:r>
        <w:rPr>
          <w:rFonts w:hint="eastAsia" w:ascii="宋体" w:hAnsi="宋体" w:cs="宋体"/>
          <w:color w:val="000000"/>
          <w:highlight w:val="none"/>
        </w:rPr>
        <w:t xml:space="preserve">招标项目的潜在投标人</w:t>
      </w:r>
      <w:r>
        <w:rPr>
          <w:rFonts w:hint="eastAsia" w:ascii="宋体" w:hAnsi="宋体" w:eastAsia="宋体" w:cs="宋体"/>
          <w:color w:val="000000"/>
          <w:sz w:val="24"/>
          <w:highlight w:val="none"/>
          <w:u w:val="none"/>
          <w:lang w:val="en-US" w:eastAsia="zh-CN"/>
        </w:rPr>
        <w:t xml:space="preserve">应</w:t>
      </w:r>
      <w:r>
        <w:rPr>
          <w:rFonts w:hint="eastAsia" w:ascii="宋体" w:hAnsi="宋体" w:cs="宋体"/>
          <w:color w:val="000000"/>
          <w:highlight w:val="none"/>
        </w:rPr>
        <w:t xml:space="preserve">在“苏采云”系统内免费下载（投标人必须在苏采云系统中获取采购文件，方能参与政府采购项目）</w:t>
      </w:r>
      <w:r>
        <w:rPr>
          <w:rFonts w:hint="eastAsia" w:ascii="宋体" w:hAnsi="宋体" w:eastAsia="宋体" w:cs="宋体"/>
          <w:color w:val="000000"/>
          <w:sz w:val="24"/>
          <w:highlight w:val="none"/>
          <w:u w:val="none"/>
          <w:lang w:val="en-US" w:eastAsia="zh-CN"/>
        </w:rPr>
        <w:t xml:space="preserve">获取招标文件</w:t>
      </w:r>
      <w:r>
        <w:rPr>
          <w:rFonts w:hint="eastAsia" w:ascii="宋体" w:hAnsi="宋体" w:cs="宋体"/>
          <w:color w:val="000000"/>
          <w:highlight w:val="none"/>
        </w:rPr>
        <w:t xml:space="preserve">，</w:t>
      </w:r>
      <w:r>
        <w:rPr>
          <w:rFonts w:hint="eastAsia" w:ascii="宋体" w:hAnsi="宋体" w:cs="宋体"/>
          <w:color w:val="000000"/>
          <w:highlight w:val="none"/>
        </w:rPr>
        <w:t xml:space="preserve">并于</w:t>
      </w:r>
      <w:r>
        <w:rPr>
          <w:rFonts w:hint="eastAsia" w:ascii="宋体" w:hAnsi="宋体" w:cs="宋体"/>
          <w:color w:val="000000"/>
          <w:highlight w:val="none"/>
          <w:lang w:eastAsia="zh-CN"/>
        </w:rPr>
        <w:t xml:space="preserve">2025-</w:t>
      </w:r>
      <w:r>
        <w:rPr>
          <w:rFonts w:hint="eastAsia" w:ascii="宋体" w:hAnsi="宋体" w:cs="宋体"/>
          <w:color w:val="000000"/>
          <w:highlight w:val="none"/>
          <w:lang w:val="en-US" w:eastAsia="zh-CN"/>
        </w:rPr>
        <w:t xml:space="preserve">04</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18</w:t>
      </w:r>
      <w:r>
        <w:rPr>
          <w:rFonts w:hint="eastAsia" w:ascii="宋体" w:hAnsi="宋体" w:cs="宋体"/>
          <w:color w:val="000000"/>
          <w:highlight w:val="none"/>
          <w:lang w:eastAsia="zh-CN"/>
        </w:rPr>
        <w:t xml:space="preserve"> 09：00</w:t>
      </w:r>
      <w:r>
        <w:rPr>
          <w:rFonts w:hint="eastAsia" w:ascii="宋体" w:hAnsi="宋体" w:cs="宋体"/>
          <w:color w:val="000000"/>
          <w:highlight w:val="none"/>
        </w:rPr>
        <w:t xml:space="preserve">（北京时间）前递交投标文件。</w:t>
      </w:r>
      <w:r>
        <w:rPr>
          <w:rFonts w:hint="eastAsia" w:ascii="宋体" w:hAnsi="宋体" w:cs="宋体"/>
          <w:color w:val="000000"/>
          <w:highlight w:val="none"/>
        </w:rPr>
      </w:r>
      <w:r>
        <w:rPr>
          <w:highlight w:val="none"/>
        </w:rPr>
      </w:r>
    </w:p>
    <w:p>
      <w:pPr>
        <w:pStyle w:val="658"/>
        <w:ind w:firstLine="498"/>
        <w:jc w:val="both"/>
        <w:keepLines/>
        <w:keepNext/>
        <w:spacing w:before="145" w:beforeAutospacing="0" w:after="145" w:afterAutospacing="0" w:line="440" w:lineRule="exact"/>
        <w:rPr>
          <w:rFonts w:hint="eastAsia" w:ascii="宋体" w:hAnsi="宋体" w:cs="宋体"/>
          <w:b/>
          <w:color w:val="000000"/>
          <w:sz w:val="32"/>
          <w:szCs w:val="32"/>
          <w:highlight w:val="none"/>
        </w:rPr>
      </w:pPr>
      <w:r>
        <w:rPr>
          <w:highlight w:val="none"/>
        </w:rPr>
      </w:r>
      <w:bookmarkStart w:id="7" w:name="_Toc35393790"/>
      <w:r>
        <w:rPr>
          <w:highlight w:val="none"/>
        </w:rPr>
      </w:r>
      <w:bookmarkStart w:id="8" w:name="_Toc28359002"/>
      <w:r>
        <w:rPr>
          <w:highlight w:val="none"/>
        </w:rPr>
      </w:r>
      <w:bookmarkStart w:id="9" w:name="_Toc35393621"/>
      <w:r>
        <w:rPr>
          <w:highlight w:val="none"/>
        </w:rPr>
      </w:r>
      <w:bookmarkStart w:id="10" w:name="_Hlk24379207"/>
      <w:r>
        <w:rPr>
          <w:highlight w:val="none"/>
        </w:rPr>
      </w:r>
      <w:bookmarkStart w:id="11" w:name="_Toc28359079"/>
      <w:r>
        <w:rPr>
          <w:highlight w:val="none"/>
        </w:rPr>
      </w:r>
      <w:bookmarkStart w:id="12" w:name="_Toc38985263"/>
      <w:r>
        <w:rPr>
          <w:rFonts w:hint="eastAsia" w:ascii="宋体" w:hAnsi="宋体" w:cs="宋体"/>
          <w:b/>
          <w:color w:val="000000"/>
          <w:sz w:val="32"/>
          <w:szCs w:val="32"/>
          <w:highlight w:val="none"/>
        </w:rPr>
        <w:t xml:space="preserve">一、项目基本情况</w:t>
      </w:r>
      <w:bookmarkEnd w:id="7"/>
      <w:r>
        <w:rPr>
          <w:highlight w:val="none"/>
        </w:rPr>
      </w:r>
      <w:bookmarkEnd w:id="8"/>
      <w:r>
        <w:rPr>
          <w:highlight w:val="none"/>
        </w:rPr>
      </w:r>
      <w:bookmarkEnd w:id="9"/>
      <w:r>
        <w:rPr>
          <w:highlight w:val="none"/>
        </w:rPr>
      </w:r>
      <w:bookmarkEnd w:id="10"/>
      <w:r>
        <w:rPr>
          <w:highlight w:val="none"/>
        </w:rPr>
      </w:r>
      <w:bookmarkEnd w:id="11"/>
      <w:r>
        <w:rPr>
          <w:highlight w:val="none"/>
        </w:rPr>
      </w:r>
      <w:bookmarkEnd w:id="12"/>
      <w:r>
        <w:rPr>
          <w:rFonts w:hint="eastAsia" w:ascii="宋体" w:hAnsi="宋体" w:cs="宋体"/>
          <w:b/>
          <w:color w:val="000000"/>
          <w:sz w:val="32"/>
          <w:szCs w:val="32"/>
          <w:highlight w:val="none"/>
        </w:rPr>
      </w:r>
      <w:r>
        <w:rPr>
          <w:highlight w:val="none"/>
        </w:rPr>
      </w:r>
    </w:p>
    <w:p>
      <w:pPr>
        <w:pStyle w:val="637"/>
        <w:ind w:firstLine="480"/>
        <w:spacing w:line="360" w:lineRule="auto"/>
        <w:rPr>
          <w:rFonts w:hint="eastAsia" w:ascii="宋体" w:hAnsi="宋体" w:eastAsia="宋体" w:cs="宋体"/>
          <w:color w:val="000000"/>
          <w:sz w:val="24"/>
          <w:highlight w:val="none"/>
          <w:u w:val="none"/>
        </w:rPr>
      </w:pPr>
      <w:r>
        <w:rPr>
          <w:rFonts w:hint="eastAsia" w:ascii="宋体" w:hAnsi="宋体" w:cs="宋体"/>
          <w:color w:val="000000"/>
          <w:sz w:val="24"/>
          <w:highlight w:val="none"/>
          <w:u w:val="none"/>
        </w:rPr>
        <w:t xml:space="preserve">项目编号：</w:t>
      </w:r>
      <w:r>
        <w:rPr>
          <w:rFonts w:hint="eastAsia" w:ascii="宋体" w:hAnsi="宋体" w:cs="宋体"/>
          <w:color w:val="000000"/>
          <w:sz w:val="24"/>
          <w:highlight w:val="none"/>
          <w:u w:val="none"/>
          <w:lang w:eastAsia="zh-CN"/>
        </w:rPr>
        <w:t xml:space="preserve">JSZC-320981-JZCG-G2025-0011</w:t>
      </w:r>
      <w:r>
        <w:rPr>
          <w:rFonts w:hint="eastAsia" w:ascii="宋体" w:hAnsi="宋体" w:eastAsia="宋体" w:cs="宋体"/>
          <w:color w:val="000000"/>
          <w:sz w:val="24"/>
          <w:highlight w:val="none"/>
          <w:u w:val="none"/>
          <w:lang w:eastAsia="zh-CN"/>
        </w:rPr>
      </w:r>
      <w:r>
        <w:rPr>
          <w:highlight w:val="none"/>
        </w:rPr>
      </w:r>
    </w:p>
    <w:p>
      <w:pPr>
        <w:pStyle w:val="637"/>
        <w:ind w:firstLine="480"/>
        <w:spacing w:line="360" w:lineRule="auto"/>
        <w:rPr>
          <w:rFonts w:hint="eastAsia" w:ascii="宋体" w:hAnsi="宋体" w:eastAsia="宋体" w:cs="宋体"/>
          <w:color w:val="000000"/>
          <w:sz w:val="24"/>
          <w:highlight w:val="none"/>
          <w:u w:val="none"/>
        </w:rPr>
      </w:pPr>
      <w:r>
        <w:rPr>
          <w:rFonts w:hint="eastAsia" w:ascii="宋体" w:hAnsi="宋体" w:cs="宋体"/>
          <w:color w:val="000000"/>
          <w:sz w:val="24"/>
          <w:highlight w:val="none"/>
          <w:u w:val="none"/>
        </w:rPr>
        <w:t xml:space="preserve">项目名称：</w:t>
      </w:r>
      <w:r>
        <w:rPr>
          <w:rFonts w:hint="eastAsia" w:ascii="宋体" w:hAnsi="宋体" w:cs="宋体"/>
          <w:color w:val="000000"/>
          <w:sz w:val="24"/>
          <w:highlight w:val="none"/>
          <w:u w:val="none"/>
          <w:lang w:eastAsia="zh-CN"/>
        </w:rPr>
        <w:t xml:space="preserve">东台智慧教育平台升级改造项目</w:t>
      </w:r>
      <w:r>
        <w:rPr>
          <w:rFonts w:hint="eastAsia" w:ascii="宋体" w:hAnsi="宋体" w:eastAsia="宋体" w:cs="宋体"/>
          <w:color w:val="000000"/>
          <w:sz w:val="24"/>
          <w:highlight w:val="none"/>
          <w:u w:val="none"/>
          <w:lang w:eastAsia="zh-CN"/>
        </w:rPr>
      </w:r>
      <w:r>
        <w:rPr>
          <w:highlight w:val="none"/>
        </w:rPr>
      </w:r>
    </w:p>
    <w:p>
      <w:pPr>
        <w:pStyle w:val="637"/>
        <w:ind w:firstLine="480"/>
        <w:spacing w:line="360" w:lineRule="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预算金额：</w:t>
      </w:r>
      <w:r>
        <w:rPr>
          <w:rFonts w:hint="eastAsia" w:ascii="宋体" w:hAnsi="宋体" w:cs="宋体"/>
          <w:color w:val="000000"/>
          <w:sz w:val="24"/>
          <w:highlight w:val="none"/>
          <w:u w:val="none"/>
          <w:lang w:val="en-US" w:eastAsia="zh-CN"/>
        </w:rPr>
        <w:t xml:space="preserve">600</w:t>
      </w:r>
      <w:r>
        <w:rPr>
          <w:rFonts w:hint="eastAsia" w:ascii="宋体" w:hAnsi="宋体" w:cs="宋体"/>
          <w:color w:val="000000"/>
          <w:sz w:val="24"/>
          <w:highlight w:val="none"/>
          <w:u w:val="none"/>
        </w:rPr>
        <w:t xml:space="preserve">.000000万元</w:t>
      </w:r>
      <w:r>
        <w:rPr>
          <w:rFonts w:hint="eastAsia" w:ascii="宋体" w:hAnsi="宋体" w:cs="宋体"/>
          <w:color w:val="000000"/>
          <w:sz w:val="24"/>
          <w:highlight w:val="none"/>
          <w:u w:val="none"/>
        </w:rPr>
      </w:r>
      <w:r>
        <w:rPr>
          <w:highlight w:val="none"/>
        </w:rPr>
      </w:r>
    </w:p>
    <w:p>
      <w:pPr>
        <w:pStyle w:val="637"/>
        <w:ind w:firstLine="480"/>
        <w:spacing w:line="360" w:lineRule="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最高限价（如有）：</w:t>
      </w:r>
      <w:r>
        <w:rPr>
          <w:rFonts w:hint="eastAsia" w:ascii="宋体" w:hAnsi="宋体" w:cs="宋体"/>
          <w:color w:val="000000"/>
          <w:sz w:val="24"/>
          <w:highlight w:val="none"/>
          <w:u w:val="none"/>
          <w:lang w:val="en-US" w:eastAsia="zh-CN"/>
        </w:rPr>
        <w:t xml:space="preserve">580</w:t>
      </w:r>
      <w:r>
        <w:rPr>
          <w:rFonts w:hint="eastAsia" w:ascii="宋体" w:hAnsi="宋体" w:cs="宋体"/>
          <w:color w:val="000000"/>
          <w:sz w:val="24"/>
          <w:highlight w:val="none"/>
          <w:u w:val="none"/>
        </w:rPr>
        <w:t xml:space="preserve">万元</w:t>
      </w:r>
      <w:r>
        <w:rPr>
          <w:rFonts w:hint="eastAsia" w:ascii="宋体" w:hAnsi="宋体" w:cs="宋体"/>
          <w:color w:val="000000"/>
          <w:sz w:val="24"/>
          <w:highlight w:val="none"/>
          <w:u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u w:val="none"/>
        </w:rPr>
      </w:pPr>
      <w:r>
        <w:rPr>
          <w:rFonts w:hint="eastAsia" w:ascii="宋体" w:hAnsi="宋体" w:cs="宋体"/>
          <w:color w:val="000000"/>
          <w:sz w:val="24"/>
          <w:highlight w:val="none"/>
          <w:u w:val="none"/>
          <w:lang w:eastAsia="zh-CN"/>
        </w:rPr>
        <w:t xml:space="preserve">东台智慧教育平台升级改造项目，</w:t>
      </w:r>
      <w:r>
        <w:rPr>
          <w:rFonts w:hint="eastAsia" w:ascii="宋体" w:hAnsi="宋体" w:cs="宋体"/>
          <w:color w:val="000000"/>
          <w:sz w:val="24"/>
          <w:szCs w:val="24"/>
          <w:highlight w:val="none"/>
          <w:lang w:val="en-US" w:eastAsia="zh-CN"/>
        </w:rPr>
        <w:t xml:space="preserve">为推进江苏省智慧教育样板区建设，落实信息系统集约化建设要求，避免数据孤岛，拟对现有东台市智慧教育云平台统一认证、基础数据管理、智慧评价、网络阅卷、教育装备管理等模块依据新的评价体系进行全面升级改造</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u w:val="none"/>
        </w:rPr>
        <w:t xml:space="preserve">（详细内容见本招标文件第四章）</w:t>
      </w:r>
      <w:r>
        <w:rPr>
          <w:rFonts w:hint="eastAsia" w:ascii="宋体" w:hAnsi="宋体" w:cs="宋体"/>
          <w:color w:val="000000"/>
          <w:sz w:val="24"/>
          <w:highlight w:val="none"/>
          <w:u w:val="none"/>
        </w:rPr>
      </w:r>
      <w:r>
        <w:rPr>
          <w:highlight w:val="none"/>
        </w:rPr>
      </w:r>
    </w:p>
    <w:p>
      <w:pPr>
        <w:pStyle w:val="637"/>
        <w:ind w:firstLine="480"/>
        <w:spacing w:line="360" w:lineRule="auto"/>
        <w:rPr>
          <w:rFonts w:hint="eastAsia" w:ascii="宋体" w:hAnsi="宋体" w:cs="宋体"/>
          <w:color w:val="000000"/>
          <w:sz w:val="24"/>
          <w:highlight w:val="none"/>
          <w:u w:val="none"/>
        </w:rPr>
      </w:pPr>
      <w:r>
        <w:rPr>
          <w:rFonts w:hint="eastAsia" w:ascii="宋体" w:hAnsi="宋体" w:cs="宋体"/>
          <w:color w:val="000000"/>
          <w:sz w:val="24"/>
          <w:highlight w:val="none"/>
        </w:rPr>
        <w:t xml:space="preserve">合同履行期限：</w:t>
      </w:r>
      <w:r>
        <w:rPr>
          <w:rFonts w:hint="eastAsia" w:ascii="宋体" w:hAnsi="宋体" w:cs="宋体"/>
          <w:color w:val="000000"/>
          <w:sz w:val="24"/>
          <w:highlight w:val="none"/>
          <w:u w:val="none"/>
        </w:rPr>
        <w:t xml:space="preserve">合同签订后</w:t>
      </w:r>
      <w:r>
        <w:rPr>
          <w:rFonts w:hint="eastAsia" w:ascii="宋体" w:hAnsi="宋体" w:cs="宋体"/>
          <w:color w:val="000000"/>
          <w:sz w:val="24"/>
          <w:highlight w:val="none"/>
          <w:u w:val="none"/>
          <w:lang w:eastAsia="zh-CN"/>
        </w:rPr>
        <w:t xml:space="preserve">30日内</w:t>
      </w:r>
      <w:r>
        <w:rPr>
          <w:rFonts w:hint="eastAsia" w:ascii="宋体" w:hAnsi="宋体" w:cs="宋体"/>
          <w:color w:val="000000"/>
          <w:sz w:val="24"/>
          <w:highlight w:val="none"/>
          <w:u w:val="none"/>
        </w:rPr>
        <w:t xml:space="preserve">全部送达招标人指定地点，并安装调试完毕（具体时间按招标人要求调整）。</w:t>
      </w:r>
      <w:r>
        <w:rPr>
          <w:rFonts w:hint="eastAsia" w:ascii="宋体" w:hAnsi="宋体" w:cs="宋体"/>
          <w:color w:val="000000"/>
          <w:sz w:val="24"/>
          <w:highlight w:val="none"/>
          <w:u w:val="none"/>
        </w:rPr>
      </w:r>
      <w:r>
        <w:rPr>
          <w:highlight w:val="none"/>
        </w:rPr>
      </w:r>
    </w:p>
    <w:p>
      <w:pPr>
        <w:pStyle w:val="637"/>
        <w:ind w:firstLine="480"/>
        <w:spacing w:line="360" w:lineRule="auto"/>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lang w:eastAsia="zh-CN"/>
        </w:rPr>
        <w:t xml:space="preserve">本项目（是/否）接受联合体投标：否</w:t>
      </w:r>
      <w:r>
        <w:rPr>
          <w:rFonts w:hint="eastAsia" w:ascii="宋体" w:hAnsi="宋体" w:eastAsia="宋体" w:cs="宋体"/>
          <w:color w:val="000000"/>
          <w:sz w:val="24"/>
          <w:highlight w:val="none"/>
          <w:u w:val="none"/>
          <w:lang w:eastAsia="zh-CN"/>
        </w:rPr>
      </w:r>
      <w:r>
        <w:rPr>
          <w:highlight w:val="none"/>
        </w:rPr>
      </w:r>
    </w:p>
    <w:p>
      <w:pPr>
        <w:pStyle w:val="658"/>
        <w:ind w:firstLine="498"/>
        <w:jc w:val="both"/>
        <w:keepLines/>
        <w:keepNext/>
        <w:spacing w:beforeAutospacing="0" w:afterAutospacing="0" w:line="440" w:lineRule="exact"/>
        <w:rPr>
          <w:rFonts w:hint="eastAsia" w:ascii="宋体" w:hAnsi="宋体" w:cs="宋体"/>
          <w:color w:val="000000"/>
          <w:highlight w:val="none"/>
        </w:rPr>
      </w:pPr>
      <w:r>
        <w:rPr>
          <w:highlight w:val="none"/>
        </w:rPr>
      </w:r>
      <w:bookmarkStart w:id="13" w:name="_Toc28359003"/>
      <w:r>
        <w:rPr>
          <w:highlight w:val="none"/>
        </w:rPr>
      </w:r>
      <w:bookmarkStart w:id="14" w:name="_Toc38985264"/>
      <w:r>
        <w:rPr>
          <w:highlight w:val="none"/>
        </w:rPr>
      </w:r>
      <w:bookmarkStart w:id="15" w:name="_Toc35393791"/>
      <w:r>
        <w:rPr>
          <w:highlight w:val="none"/>
        </w:rPr>
      </w:r>
      <w:bookmarkStart w:id="16" w:name="_Toc35393622"/>
      <w:r>
        <w:rPr>
          <w:highlight w:val="none"/>
        </w:rPr>
      </w:r>
      <w:bookmarkStart w:id="17" w:name="_Toc28359080"/>
      <w:r>
        <w:rPr>
          <w:rFonts w:hint="eastAsia" w:ascii="宋体" w:hAnsi="宋体" w:cs="宋体"/>
          <w:b/>
          <w:color w:val="000000"/>
          <w:highlight w:val="none"/>
        </w:rPr>
        <w:t xml:space="preserve">二、申请人的资格要求：</w:t>
      </w:r>
      <w:bookmarkEnd w:id="13"/>
      <w:r>
        <w:rPr>
          <w:highlight w:val="none"/>
        </w:rPr>
      </w:r>
      <w:bookmarkEnd w:id="14"/>
      <w:r>
        <w:rPr>
          <w:highlight w:val="none"/>
        </w:rPr>
      </w:r>
      <w:bookmarkEnd w:id="15"/>
      <w:r>
        <w:rPr>
          <w:highlight w:val="none"/>
        </w:rPr>
      </w:r>
      <w:bookmarkEnd w:id="16"/>
      <w:r>
        <w:rPr>
          <w:highlight w:val="none"/>
        </w:rPr>
      </w:r>
      <w:bookmarkEnd w:id="17"/>
      <w:r>
        <w:rPr>
          <w:rFonts w:hint="eastAsia" w:ascii="宋体" w:hAnsi="宋体" w:cs="宋体"/>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（一）满足《中华人民共和国政府采购法》第二十二条规定：</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上一年度的财务状况报表（成立不满一年无需提供）；</w:t>
      </w:r>
      <w:r>
        <w:rPr>
          <w:rFonts w:hint="eastAsia" w:ascii="宋体" w:hAnsi="宋体" w:eastAsia="宋体" w:cs="宋体"/>
          <w:color w:val="000000"/>
          <w:sz w:val="24"/>
          <w:highlight w:val="none"/>
          <w:lang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3.具备履行合同所必需的设备和专业技术能力的书面声明；</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6.投标人法定代表人身份证明和投标文件签署授权委托书（另附法定代表人和被授权人的身份证复印件或扫描件）；</w:t>
      </w:r>
      <w:r>
        <w:rPr>
          <w:rFonts w:hint="eastAsia" w:ascii="宋体" w:hAnsi="宋体" w:eastAsia="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7.投标人为被授权人缴纳的社会养老保险证明（如有）；</w:t>
      </w:r>
      <w:r>
        <w:rPr>
          <w:rFonts w:hint="eastAsia" w:ascii="宋体" w:hAnsi="宋体" w:eastAsia="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8.法律、行政法规规定的其他条件；</w:t>
      </w:r>
      <w:r>
        <w:rPr>
          <w:rFonts w:hint="eastAsia" w:ascii="宋体" w:hAnsi="宋体" w:eastAsia="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10.单位负责人为同一人或者存在直接控股、管理关系的不同供应商，不得参加同一合同项下的政府采购活动（自行承诺，格式自理）。</w:t>
      </w:r>
      <w:r>
        <w:rPr>
          <w:rFonts w:hint="eastAsia" w:ascii="宋体" w:hAnsi="宋体" w:eastAsia="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color w:val="000000"/>
          <w:sz w:val="24"/>
          <w:highlight w:val="none"/>
        </w:rPr>
      </w:r>
      <w:r>
        <w:rPr>
          <w:highlight w:val="none"/>
        </w:rPr>
      </w:r>
    </w:p>
    <w:p>
      <w:pPr>
        <w:pStyle w:val="637"/>
        <w:ind w:firstLine="480"/>
        <w:spacing w:line="460" w:lineRule="exact"/>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lang w:val="en-US" w:eastAsia="zh-CN"/>
        </w:rPr>
        <w:t xml:space="preserve">1.</w:t>
      </w:r>
      <w:r>
        <w:rPr>
          <w:rFonts w:hint="eastAsia" w:ascii="宋体" w:hAnsi="宋体" w:cs="宋体"/>
          <w:i w:val="0"/>
          <w:iCs w:val="0"/>
          <w:color w:val="000000"/>
          <w:sz w:val="24"/>
          <w:highlight w:val="none"/>
          <w:u w:val="none"/>
        </w:rPr>
        <w:t xml:space="preserve">本项目为专门面向中小企业采购的项目,供应商必须为中小微企业，不接受非中小型企业参与本项目投标。</w:t>
      </w:r>
      <w:r>
        <w:rPr>
          <w:rFonts w:ascii="宋体" w:hAnsi="宋体" w:cs="宋体"/>
          <w:i w:val="0"/>
          <w:iCs w:val="0"/>
          <w:color w:val="000000"/>
          <w:sz w:val="24"/>
          <w:highlight w:val="none"/>
          <w:u w:val="none"/>
        </w:rPr>
      </w:r>
      <w:r>
        <w:rPr>
          <w:highlight w:val="none"/>
        </w:rPr>
      </w:r>
    </w:p>
    <w:p>
      <w:pPr>
        <w:pStyle w:val="637"/>
        <w:ind w:firstLine="480"/>
        <w:spacing w:line="360" w:lineRule="auto"/>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（三）本项目的特定资格要求：</w:t>
      </w:r>
      <w:r>
        <w:rPr>
          <w:rFonts w:hint="eastAsia" w:ascii="宋体" w:hAnsi="宋体" w:cs="宋体"/>
          <w:i w:val="0"/>
          <w:iCs w:val="0"/>
          <w:color w:val="000000"/>
          <w:sz w:val="24"/>
          <w:highlight w:val="none"/>
          <w:u w:val="none"/>
        </w:rPr>
      </w:r>
      <w:r>
        <w:rPr>
          <w:highlight w:val="none"/>
        </w:rPr>
      </w:r>
    </w:p>
    <w:p>
      <w:pPr>
        <w:pStyle w:val="658"/>
        <w:ind w:firstLine="498"/>
        <w:jc w:val="both"/>
        <w:keepLines/>
        <w:keepNext/>
        <w:spacing w:beforeAutospacing="0" w:afterAutospacing="0" w:line="440" w:lineRule="exac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lang w:val="en-US" w:eastAsia="zh-CN"/>
        </w:rPr>
        <w:t xml:space="preserve">无。</w:t>
      </w:r>
      <w:r>
        <w:rPr>
          <w:rFonts w:hint="eastAsia" w:ascii="宋体" w:hAnsi="宋体" w:cs="宋体"/>
          <w:i w:val="0"/>
          <w:iCs w:val="0"/>
          <w:color w:val="000000"/>
          <w:sz w:val="24"/>
          <w:highlight w:val="none"/>
          <w:u w:val="none"/>
          <w:lang w:val="en-US" w:eastAsia="zh-CN"/>
        </w:rPr>
      </w:r>
      <w:r>
        <w:rPr>
          <w:highlight w:val="none"/>
        </w:rPr>
      </w:r>
    </w:p>
    <w:p>
      <w:pPr>
        <w:pStyle w:val="658"/>
        <w:ind w:firstLine="498"/>
        <w:jc w:val="both"/>
        <w:keepLines/>
        <w:keepNext/>
        <w:spacing w:beforeAutospacing="0" w:afterAutospacing="0" w:line="440" w:lineRule="exact"/>
        <w:rPr>
          <w:rFonts w:hint="eastAsia" w:ascii="宋体" w:hAnsi="宋体" w:cs="宋体"/>
          <w:b/>
          <w:color w:val="000000"/>
          <w:highlight w:val="none"/>
        </w:rPr>
      </w:pPr>
      <w:r>
        <w:rPr>
          <w:rFonts w:hint="eastAsia" w:ascii="宋体" w:hAnsi="宋体" w:cs="宋体"/>
          <w:b/>
          <w:color w:val="000000"/>
          <w:highlight w:val="none"/>
        </w:rPr>
        <w:t xml:space="preserve">三、获取招标文件</w:t>
      </w:r>
      <w:r>
        <w:rPr>
          <w:rFonts w:hint="eastAsia" w:ascii="宋体" w:hAnsi="宋体" w:cs="宋体"/>
          <w:b/>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highlight w:val="none"/>
        </w:rPr>
      </w:r>
      <w:bookmarkStart w:id="18" w:name="_Toc28359082"/>
      <w:r>
        <w:rPr>
          <w:highlight w:val="none"/>
        </w:rPr>
      </w:r>
      <w:bookmarkStart w:id="19" w:name="_Toc35393624"/>
      <w:r>
        <w:rPr>
          <w:highlight w:val="none"/>
        </w:rPr>
      </w:r>
      <w:bookmarkStart w:id="20" w:name="_Toc35393793"/>
      <w:r>
        <w:rPr>
          <w:highlight w:val="none"/>
        </w:rPr>
      </w:r>
      <w:bookmarkStart w:id="21" w:name="_Toc38985266"/>
      <w:r>
        <w:rPr>
          <w:highlight w:val="none"/>
        </w:rPr>
      </w:r>
      <w:bookmarkStart w:id="22" w:name="_Toc28359005"/>
      <w:r>
        <w:rPr>
          <w:rFonts w:hint="eastAsia" w:ascii="宋体" w:hAnsi="宋体" w:cs="宋体"/>
          <w:color w:val="000000"/>
          <w:sz w:val="24"/>
          <w:highlight w:val="none"/>
        </w:rPr>
        <w:t xml:space="preserve">时间：</w:t>
      </w:r>
      <w:bookmarkEnd w:id="18"/>
      <w:r>
        <w:rPr>
          <w:highlight w:val="none"/>
        </w:rPr>
      </w:r>
      <w:bookmarkEnd w:id="19"/>
      <w:r>
        <w:rPr>
          <w:highlight w:val="none"/>
        </w:rPr>
      </w:r>
      <w:bookmarkEnd w:id="20"/>
      <w:r>
        <w:rPr>
          <w:highlight w:val="none"/>
        </w:rPr>
      </w:r>
      <w:bookmarkEnd w:id="21"/>
      <w:r>
        <w:rPr>
          <w:highlight w:val="none"/>
        </w:rPr>
      </w:r>
      <w:bookmarkEnd w:id="22"/>
      <w:r>
        <w:rPr>
          <w:rFonts w:hint="eastAsia" w:ascii="宋体" w:hAnsi="宋体" w:cs="宋体"/>
          <w:color w:val="000000"/>
          <w:sz w:val="24"/>
          <w:highlight w:val="none"/>
        </w:rPr>
        <w:t xml:space="preserve">自招标文件公告发布之日起5个工作日</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地点：“苏采云”系统内免费下载（投标人必须在苏采云系统中获取采购文件，方能参与政府采购项目）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方式：本项目采用网上注册登记方式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售价：0元</w:t>
      </w:r>
      <w:r>
        <w:rPr>
          <w:rFonts w:hint="eastAsia" w:ascii="宋体" w:hAnsi="宋体" w:cs="宋体"/>
          <w:color w:val="000000"/>
          <w:sz w:val="24"/>
          <w:highlight w:val="none"/>
        </w:rPr>
      </w:r>
      <w:r>
        <w:rPr>
          <w:highlight w:val="none"/>
        </w:rPr>
      </w:r>
    </w:p>
    <w:p>
      <w:pPr>
        <w:pStyle w:val="658"/>
        <w:ind w:firstLine="498"/>
        <w:jc w:val="both"/>
        <w:keepLines/>
        <w:keepNext/>
        <w:spacing w:beforeAutospacing="0" w:afterAutospacing="0" w:line="440" w:lineRule="exact"/>
        <w:rPr>
          <w:rFonts w:hint="eastAsia" w:ascii="宋体" w:hAnsi="宋体" w:cs="宋体"/>
          <w:b/>
          <w:color w:val="000000"/>
          <w:highlight w:val="none"/>
        </w:rPr>
      </w:pPr>
      <w:r>
        <w:rPr>
          <w:rFonts w:hint="eastAsia" w:ascii="宋体" w:hAnsi="宋体" w:cs="宋体"/>
          <w:b/>
          <w:color w:val="000000"/>
          <w:highlight w:val="none"/>
        </w:rPr>
        <w:t xml:space="preserve">四、提交投标文件截止时间、开标时间和地点</w:t>
      </w:r>
      <w:r>
        <w:rPr>
          <w:rFonts w:hint="eastAsia" w:ascii="宋体" w:hAnsi="宋体" w:cs="宋体"/>
          <w:b/>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highlight w:val="none"/>
        </w:rPr>
      </w:r>
      <w:bookmarkStart w:id="23" w:name="_Toc35393794"/>
      <w:r>
        <w:rPr>
          <w:highlight w:val="none"/>
        </w:rPr>
      </w:r>
      <w:bookmarkStart w:id="24" w:name="_Toc35393625"/>
      <w:r>
        <w:rPr>
          <w:highlight w:val="none"/>
        </w:rPr>
      </w:r>
      <w:bookmarkStart w:id="25" w:name="_Toc28359084"/>
      <w:r>
        <w:rPr>
          <w:highlight w:val="none"/>
        </w:rPr>
      </w:r>
      <w:bookmarkStart w:id="26" w:name="_Toc28359007"/>
      <w:r>
        <w:rPr>
          <w:highlight w:val="none"/>
        </w:rPr>
      </w:r>
      <w:bookmarkStart w:id="27" w:name="_Toc38985267"/>
      <w:r>
        <w:rPr>
          <w:rFonts w:hint="eastAsia" w:ascii="宋体" w:hAnsi="宋体" w:cs="宋体"/>
          <w:color w:val="000000"/>
          <w:sz w:val="24"/>
          <w:highlight w:val="none"/>
          <w:lang w:eastAsia="zh-CN"/>
        </w:rPr>
        <w:t xml:space="preserve">2025-</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18</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lang w:eastAsia="zh-CN"/>
        </w:rPr>
        <w:t xml:space="preserve">0</w:t>
      </w:r>
      <w:r>
        <w:rPr>
          <w:rFonts w:hint="eastAsia" w:ascii="宋体" w:hAnsi="宋体" w:cs="宋体"/>
          <w:color w:val="000000"/>
          <w:sz w:val="24"/>
          <w:highlight w:val="none"/>
        </w:rPr>
        <w:t xml:space="preserve"> （北京时间）</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地点：苏采云“不见面”开标大厅。</w:t>
      </w:r>
      <w:r>
        <w:rPr>
          <w:rFonts w:hint="eastAsia" w:ascii="宋体" w:hAnsi="宋体" w:eastAsia="宋体" w:cs="宋体"/>
          <w:color w:val="000000"/>
          <w:sz w:val="24"/>
          <w:highlight w:val="none"/>
        </w:rPr>
      </w:r>
      <w:r>
        <w:rPr>
          <w:highlight w:val="none"/>
        </w:rPr>
      </w:r>
    </w:p>
    <w:p>
      <w:pPr>
        <w:pStyle w:val="658"/>
        <w:ind w:firstLine="498"/>
        <w:jc w:val="both"/>
        <w:keepLines/>
        <w:keepNext/>
        <w:spacing w:beforeAutospacing="0" w:afterAutospacing="0" w:line="440" w:lineRule="exact"/>
        <w:rPr>
          <w:rFonts w:hint="eastAsia" w:ascii="宋体" w:hAnsi="宋体" w:cs="宋体"/>
          <w:color w:val="000000"/>
          <w:highlight w:val="none"/>
        </w:rPr>
      </w:pPr>
      <w:r>
        <w:rPr>
          <w:rFonts w:hint="eastAsia" w:ascii="宋体" w:hAnsi="宋体" w:cs="宋体"/>
          <w:b/>
          <w:color w:val="000000"/>
          <w:highlight w:val="none"/>
        </w:rPr>
        <w:t xml:space="preserve">五、公告期限</w:t>
      </w:r>
      <w:bookmarkEnd w:id="23"/>
      <w:r>
        <w:rPr>
          <w:highlight w:val="none"/>
        </w:rPr>
      </w:r>
      <w:bookmarkEnd w:id="24"/>
      <w:r>
        <w:rPr>
          <w:highlight w:val="none"/>
        </w:rPr>
      </w:r>
      <w:bookmarkEnd w:id="25"/>
      <w:r>
        <w:rPr>
          <w:highlight w:val="none"/>
        </w:rPr>
      </w:r>
      <w:bookmarkEnd w:id="26"/>
      <w:r>
        <w:rPr>
          <w:highlight w:val="none"/>
        </w:rPr>
      </w:r>
      <w:bookmarkEnd w:id="27"/>
      <w:r>
        <w:rPr>
          <w:rFonts w:hint="eastAsia" w:ascii="宋体" w:hAnsi="宋体" w:cs="宋体"/>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highlight w:val="none"/>
        </w:rPr>
      </w:r>
      <w:bookmarkStart w:id="28" w:name="_Toc38985268"/>
      <w:r>
        <w:rPr>
          <w:highlight w:val="none"/>
        </w:rPr>
      </w:r>
      <w:bookmarkStart w:id="29" w:name="_Toc35393795"/>
      <w:r>
        <w:rPr>
          <w:highlight w:val="none"/>
        </w:rPr>
      </w:r>
      <w:bookmarkStart w:id="30" w:name="_Toc35393626"/>
      <w:r>
        <w:rPr>
          <w:rFonts w:hint="eastAsia" w:ascii="宋体" w:hAnsi="宋体" w:cs="宋体"/>
          <w:color w:val="000000"/>
          <w:sz w:val="24"/>
          <w:highlight w:val="none"/>
        </w:rPr>
        <w:t xml:space="preserve">自本公告发布之日起5个工作日。</w:t>
      </w:r>
      <w:bookmarkEnd w:id="28"/>
      <w:r>
        <w:rPr>
          <w:highlight w:val="none"/>
        </w:rPr>
      </w:r>
      <w:bookmarkEnd w:id="29"/>
      <w:r>
        <w:rPr>
          <w:highlight w:val="none"/>
        </w:rPr>
      </w:r>
      <w:bookmarkEnd w:id="30"/>
      <w:r>
        <w:rPr>
          <w:rFonts w:hint="eastAsia" w:ascii="宋体" w:hAnsi="宋体" w:cs="宋体"/>
          <w:color w:val="000000"/>
          <w:sz w:val="24"/>
          <w:highlight w:val="none"/>
        </w:rPr>
      </w:r>
      <w:r>
        <w:rPr>
          <w:highlight w:val="none"/>
        </w:rPr>
      </w:r>
    </w:p>
    <w:p>
      <w:pPr>
        <w:pStyle w:val="658"/>
        <w:ind w:firstLine="498"/>
        <w:jc w:val="both"/>
        <w:keepLines/>
        <w:keepNext/>
        <w:spacing w:beforeAutospacing="0" w:afterAutospacing="0" w:line="440" w:lineRule="exact"/>
        <w:rPr>
          <w:rFonts w:hint="eastAsia" w:ascii="宋体" w:hAnsi="宋体" w:cs="宋体"/>
          <w:color w:val="000000"/>
          <w:highlight w:val="none"/>
        </w:rPr>
      </w:pPr>
      <w:r>
        <w:rPr>
          <w:rFonts w:hint="eastAsia" w:ascii="宋体" w:hAnsi="宋体" w:cs="宋体"/>
          <w:b/>
          <w:color w:val="000000"/>
          <w:highlight w:val="none"/>
        </w:rPr>
        <w:t xml:space="preserve">六、其他补充事宜</w:t>
      </w:r>
      <w:r>
        <w:rPr>
          <w:rFonts w:hint="eastAsia" w:ascii="宋体" w:hAnsi="宋体" w:cs="宋体"/>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highlight w:val="none"/>
        </w:rPr>
      </w:r>
      <w:bookmarkStart w:id="31" w:name="_Toc28359018"/>
      <w:r>
        <w:rPr>
          <w:rFonts w:hint="eastAsia" w:ascii="宋体" w:hAnsi="宋体" w:cs="宋体"/>
          <w:color w:val="000000"/>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 潜在供应商访问电子招标响应交易平台的网络地址和方法： </w:t>
      </w:r>
      <w:r>
        <w:rPr>
          <w:rFonts w:hint="eastAsia" w:ascii="宋体" w:hAnsi="宋体" w:eastAsia="宋体" w:cs="宋体"/>
          <w:color w:val="000000"/>
          <w:sz w:val="24"/>
          <w:highlight w:val="none"/>
          <w:lang w:val="en-US" w:eastAsia="zh-CN"/>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highlight w:val="none"/>
          <w:lang w:val="en-US" w:eastAsia="zh-CN"/>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 潜在投标人访问“苏采云”系统方法：江苏省政府采购网首页-“苏采云”链接。 </w:t>
      </w:r>
      <w:r>
        <w:rPr>
          <w:rFonts w:hint="eastAsia" w:ascii="宋体" w:hAnsi="宋体" w:eastAsia="宋体" w:cs="宋体"/>
          <w:color w:val="000000"/>
          <w:sz w:val="24"/>
          <w:highlight w:val="none"/>
          <w:lang w:val="en-US" w:eastAsia="zh-CN"/>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 采购文件（后缀名为“.kedt”）、供应商操作手册及政府采购客户端 工具可通过“苏采云”系统相应链接进行下载。 </w:t>
      </w:r>
      <w:r>
        <w:rPr>
          <w:rFonts w:hint="eastAsia" w:ascii="宋体" w:hAnsi="宋体" w:eastAsia="宋体" w:cs="宋体"/>
          <w:color w:val="000000"/>
          <w:sz w:val="24"/>
          <w:highlight w:val="none"/>
          <w:lang w:val="en-US" w:eastAsia="zh-CN"/>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2.4 采购代理机构将数据电文形式的采购文件加载至“苏采云”系统，供潜在供应商下载或者查阅。 </w:t>
      </w:r>
      <w:r>
        <w:rPr>
          <w:rFonts w:hint="eastAsia" w:ascii="宋体" w:hAnsi="宋体" w:eastAsia="宋体" w:cs="宋体"/>
          <w:color w:val="000000"/>
          <w:sz w:val="24"/>
          <w:highlight w:val="none"/>
          <w:lang w:val="en-US" w:eastAsia="zh-CN"/>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highlight w:val="none"/>
          <w:lang w:val="en-US" w:eastAsia="zh-CN"/>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如潜在投标人未按上述要求操作，将自行承担所产生的风险。</w:t>
      </w:r>
      <w:r>
        <w:rPr>
          <w:rFonts w:hint="eastAsia" w:ascii="宋体" w:hAnsi="宋体" w:eastAsia="宋体" w:cs="宋体"/>
          <w:color w:val="000000"/>
          <w:sz w:val="24"/>
          <w:highlight w:val="none"/>
          <w:lang w:val="en-US" w:eastAsia="zh-CN"/>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3.有关本次招标的事项若存在变动或修改，敬请及时关注盐城市政府采购中心在“中国政府采购网”、“江苏政府采购网”、“盐城市政府采购网”发布的更正公告。</w:t>
      </w:r>
      <w:r>
        <w:rPr>
          <w:rFonts w:hint="eastAsia" w:ascii="宋体" w:hAnsi="宋体" w:eastAsia="宋体" w:cs="宋体"/>
          <w:color w:val="000000"/>
          <w:sz w:val="24"/>
          <w:highlight w:val="none"/>
          <w:lang w:val="en-US" w:eastAsia="zh-CN"/>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4.本次招标不收取投标保证金，不收取质量保证金。</w:t>
      </w:r>
      <w:r>
        <w:rPr>
          <w:rFonts w:hint="eastAsia" w:ascii="宋体" w:hAnsi="宋体" w:eastAsia="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5.本项目（是/否）接受银行、保险、石油石化、电力、电信等行业的分支机构参与：否。</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6.供应商成交后打印纸质响应文件（正本壹份、副本</w:t>
      </w:r>
      <w:r>
        <w:rPr>
          <w:rFonts w:hint="eastAsia" w:ascii="宋体" w:hAnsi="宋体" w:cs="宋体"/>
          <w:color w:val="000000"/>
          <w:sz w:val="24"/>
          <w:highlight w:val="none"/>
          <w:lang w:val="en-US" w:eastAsia="zh-CN"/>
        </w:rPr>
        <w:t xml:space="preserve">叁</w:t>
      </w:r>
      <w:r>
        <w:rPr>
          <w:rFonts w:hint="eastAsia" w:ascii="宋体" w:hAnsi="宋体" w:cs="宋体"/>
          <w:color w:val="000000"/>
          <w:sz w:val="24"/>
          <w:highlight w:val="none"/>
        </w:rPr>
        <w:t xml:space="preserve">份），在领取成交通知书前与用普通光盘或U盘拷贝的电子响应文件一并送至采购人。</w:t>
      </w:r>
      <w:r>
        <w:rPr>
          <w:rFonts w:hint="eastAsia" w:ascii="宋体" w:hAnsi="宋体" w:cs="宋体"/>
          <w:color w:val="000000"/>
          <w:sz w:val="24"/>
          <w:highlight w:val="none"/>
        </w:rPr>
      </w:r>
      <w:r>
        <w:rPr>
          <w:highlight w:val="none"/>
        </w:rPr>
      </w:r>
    </w:p>
    <w:p>
      <w:pPr>
        <w:pStyle w:val="658"/>
        <w:ind w:firstLine="498"/>
        <w:jc w:val="both"/>
        <w:keepLines/>
        <w:keepNext/>
        <w:spacing w:beforeAutospacing="0" w:afterAutospacing="0" w:line="440" w:lineRule="exact"/>
        <w:rPr>
          <w:rFonts w:hint="eastAsia" w:ascii="宋体" w:hAnsi="宋体" w:cs="宋体"/>
          <w:b/>
          <w:color w:val="000000"/>
          <w:highlight w:val="none"/>
        </w:rPr>
      </w:pPr>
      <w:r>
        <w:rPr>
          <w:rFonts w:hint="eastAsia" w:ascii="宋体" w:hAnsi="宋体" w:cs="宋体"/>
          <w:b/>
          <w:color w:val="000000"/>
          <w:highlight w:val="none"/>
        </w:rPr>
        <w:t xml:space="preserve">七、对本次招标提出询问，请按以下方式联系。</w:t>
      </w:r>
      <w:bookmarkEnd w:id="31"/>
      <w:r>
        <w:rPr>
          <w:rFonts w:hint="eastAsia" w:ascii="宋体" w:hAnsi="宋体" w:cs="宋体"/>
          <w:b/>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1.采购人信息</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lang w:eastAsia="zh-CN"/>
        </w:rPr>
        <w:t xml:space="preserve">东台市教育局</w:t>
      </w:r>
      <w:r>
        <w:rPr>
          <w:rFonts w:hint="eastAsia" w:ascii="宋体" w:hAnsi="宋体" w:eastAsia="宋体" w:cs="宋体"/>
          <w:color w:val="000000"/>
          <w:sz w:val="24"/>
          <w:highlight w:val="none"/>
          <w:lang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eastAsia="zh-CN"/>
        </w:rPr>
        <w:t xml:space="preserve">东台市范公北路9号</w:t>
      </w:r>
      <w:r>
        <w:rPr>
          <w:rFonts w:hint="eastAsia" w:ascii="宋体" w:hAnsi="宋体" w:cs="宋体"/>
          <w:color w:val="000000"/>
          <w:sz w:val="24"/>
          <w:highlight w:val="none"/>
        </w:rPr>
        <w:t xml:space="preserve">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  系人：</w:t>
      </w:r>
      <w:r>
        <w:rPr>
          <w:rFonts w:hint="eastAsia" w:ascii="宋体" w:hAnsi="宋体" w:cs="宋体"/>
          <w:color w:val="000000"/>
          <w:sz w:val="24"/>
          <w:highlight w:val="none"/>
          <w:lang w:val="en-US" w:eastAsia="zh-CN"/>
        </w:rPr>
        <w:t xml:space="preserve">王先生</w:t>
      </w:r>
      <w:r>
        <w:rPr>
          <w:rFonts w:hint="eastAsia" w:ascii="宋体" w:hAnsi="宋体" w:cs="宋体"/>
          <w:color w:val="000000"/>
          <w:sz w:val="24"/>
          <w:highlight w:val="none"/>
        </w:rPr>
        <w:t xml:space="preserve">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13962072111</w:t>
      </w:r>
      <w:r>
        <w:rPr>
          <w:rFonts w:hint="eastAsia" w:ascii="宋体" w:hAnsi="宋体" w:cs="宋体"/>
          <w:color w:val="000000"/>
          <w:sz w:val="24"/>
          <w:highlight w:val="none"/>
        </w:rPr>
        <w:t xml:space="preserve">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    称：东台市公共资源交易中心</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址：东台市北海西路8号</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 系 人：张先生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bookmarkStart w:id="32" w:name="_Toc28359087"/>
      <w:r>
        <w:rPr>
          <w:highlight w:val="none"/>
        </w:rPr>
      </w:r>
      <w:bookmarkStart w:id="33" w:name="_Toc28359010"/>
      <w:r>
        <w:rPr>
          <w:rFonts w:hint="eastAsia" w:ascii="宋体" w:hAnsi="宋体" w:cs="宋体"/>
          <w:color w:val="000000"/>
          <w:sz w:val="24"/>
          <w:highlight w:val="none"/>
        </w:rPr>
        <w:t xml:space="preserve">17851635261       </w:t>
      </w:r>
      <w:bookmarkEnd w:id="32"/>
      <w:r>
        <w:rPr>
          <w:highlight w:val="none"/>
        </w:rPr>
      </w:r>
      <w:bookmarkEnd w:id="33"/>
      <w:r>
        <w:rPr>
          <w:rFonts w:hint="eastAsia" w:ascii="宋体" w:hAnsi="宋体" w:cs="宋体"/>
          <w:color w:val="000000"/>
          <w:sz w:val="24"/>
          <w:highlight w:val="none"/>
        </w:rPr>
        <w:t xml:space="preserve">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highlight w:val="none"/>
        </w:rPr>
      </w:r>
      <w:bookmarkStart w:id="34" w:name="_Toc28359021"/>
      <w:r>
        <w:rPr>
          <w:rFonts w:hint="eastAsia" w:ascii="宋体" w:hAnsi="宋体" w:cs="宋体"/>
          <w:color w:val="000000"/>
          <w:sz w:val="24"/>
          <w:highlight w:val="none"/>
        </w:rPr>
        <w:t xml:space="preserve">3.</w:t>
      </w:r>
      <w:bookmarkEnd w:id="34"/>
      <w:r>
        <w:rPr>
          <w:rFonts w:hint="eastAsia" w:ascii="宋体" w:hAnsi="宋体" w:cs="宋体"/>
          <w:color w:val="000000"/>
          <w:sz w:val="24"/>
          <w:highlight w:val="none"/>
        </w:rPr>
        <w:t xml:space="preserve">项目联系方式</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项目联系人：张先生</w:t>
      </w:r>
      <w:r>
        <w:rPr>
          <w:rFonts w:hint="eastAsia" w:ascii="宋体" w:hAnsi="宋体" w:cs="宋体"/>
          <w:color w:val="000000"/>
          <w:sz w:val="24"/>
          <w:highlight w:val="none"/>
        </w:rPr>
      </w:r>
      <w:r>
        <w:rPr>
          <w:highlight w:val="none"/>
        </w:rPr>
      </w:r>
    </w:p>
    <w:p>
      <w:pPr>
        <w:pStyle w:val="637"/>
        <w:ind w:firstLine="480"/>
        <w:spacing w:line="360" w:lineRule="auto"/>
        <w:rPr>
          <w:rFonts w:hint="eastAsia" w:ascii="仿宋" w:hAnsi="仿宋" w:eastAsia="仿宋" w:cs="仿宋"/>
          <w:color w:val="000000"/>
          <w:highlight w:val="none"/>
        </w:rPr>
      </w:pPr>
      <w:r>
        <w:rPr>
          <w:rFonts w:hint="eastAsia" w:ascii="宋体" w:hAnsi="宋体" w:cs="宋体"/>
          <w:color w:val="000000"/>
          <w:sz w:val="24"/>
          <w:highlight w:val="none"/>
        </w:rPr>
        <w:t xml:space="preserve">电　 　 话：17851635261　　</w:t>
      </w: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rPr>
          <w:highlight w:val="none"/>
        </w:rPr>
      </w:r>
    </w:p>
    <w:p>
      <w:pPr>
        <w:pStyle w:val="658"/>
        <w:jc w:val="center"/>
        <w:keepLines/>
        <w:keepNext/>
        <w:spacing w:before="260" w:beforeAutospacing="0" w:after="260" w:afterAutospacing="0" w:line="415" w:lineRule="auto"/>
        <w:rPr>
          <w:color w:val="000000"/>
          <w:highlight w:val="none"/>
        </w:rPr>
        <w:outlineLvl w:val="0"/>
      </w:pPr>
      <w:r>
        <w:rPr>
          <w:highlight w:val="none"/>
        </w:rPr>
      </w:r>
      <w:bookmarkStart w:id="35" w:name="_Toc120614211"/>
      <w:r>
        <w:rPr>
          <w:rFonts w:hint="eastAsia" w:ascii="黑体" w:hAnsi="宋体" w:eastAsia="黑体" w:cs="黑体"/>
          <w:b/>
          <w:color w:val="000000"/>
          <w:sz w:val="44"/>
          <w:szCs w:val="44"/>
          <w:highlight w:val="none"/>
        </w:rPr>
        <w:br w:type="page" w:clear="all"/>
      </w:r>
      <w:r>
        <w:rPr>
          <w:rFonts w:hint="eastAsia" w:ascii="黑体" w:hAnsi="宋体" w:eastAsia="黑体" w:cs="黑体"/>
          <w:b/>
          <w:color w:val="000000"/>
          <w:sz w:val="44"/>
          <w:szCs w:val="44"/>
          <w:highlight w:val="none"/>
        </w:rPr>
        <w:t xml:space="preserve">第二章  </w:t>
      </w:r>
      <w:bookmarkEnd w:id="35"/>
      <w:r>
        <w:rPr>
          <w:highlight w:val="none"/>
        </w:rPr>
      </w:r>
      <w:bookmarkStart w:id="36" w:name="_Toc513029202"/>
      <w:r>
        <w:rPr>
          <w:highlight w:val="none"/>
        </w:rPr>
      </w:r>
      <w:bookmarkStart w:id="37" w:name="_Toc120614213"/>
      <w:r>
        <w:rPr>
          <w:highlight w:val="none"/>
        </w:rPr>
      </w:r>
      <w:bookmarkStart w:id="38" w:name="_Toc16938518"/>
      <w:r>
        <w:rPr>
          <w:highlight w:val="none"/>
        </w:rPr>
      </w:r>
      <w:bookmarkStart w:id="39" w:name="_Toc20823274"/>
      <w:r>
        <w:rPr>
          <w:rFonts w:hint="eastAsia" w:ascii="黑体" w:hAnsi="宋体" w:eastAsia="黑体" w:cs="黑体"/>
          <w:b/>
          <w:color w:val="000000"/>
          <w:sz w:val="44"/>
          <w:szCs w:val="44"/>
          <w:highlight w:val="none"/>
        </w:rPr>
        <w:t xml:space="preserve">投标人须知</w:t>
      </w:r>
      <w:bookmarkEnd w:id="36"/>
      <w:r>
        <w:rPr>
          <w:highlight w:val="none"/>
        </w:rPr>
      </w:r>
      <w:bookmarkEnd w:id="37"/>
      <w:r>
        <w:rPr>
          <w:highlight w:val="none"/>
        </w:rPr>
      </w:r>
      <w:bookmarkEnd w:id="38"/>
      <w:r>
        <w:rPr>
          <w:highlight w:val="none"/>
        </w:rPr>
      </w:r>
      <w:bookmarkEnd w:id="39"/>
      <w:r>
        <w:rPr>
          <w:color w:val="000000"/>
          <w:highlight w:val="none"/>
        </w:rPr>
      </w:r>
      <w:r>
        <w:rPr>
          <w:highlight w:val="none"/>
        </w:rPr>
      </w:r>
    </w:p>
    <w:p>
      <w:pPr>
        <w:pStyle w:val="658"/>
        <w:ind w:firstLine="498"/>
        <w:jc w:val="both"/>
        <w:keepLines/>
        <w:keepNext/>
        <w:spacing w:before="145" w:beforeAutospacing="0" w:after="145" w:afterAutospacing="0" w:line="360" w:lineRule="auto"/>
        <w:rPr>
          <w:color w:val="000000"/>
          <w:sz w:val="22"/>
          <w:szCs w:val="22"/>
          <w:highlight w:val="none"/>
        </w:rPr>
      </w:pPr>
      <w:r>
        <w:rPr>
          <w:highlight w:val="none"/>
        </w:rPr>
      </w:r>
      <w:bookmarkStart w:id="40" w:name="_Toc120614214"/>
      <w:r>
        <w:rPr>
          <w:highlight w:val="none"/>
        </w:rPr>
      </w:r>
      <w:bookmarkStart w:id="41" w:name="_Toc20823275"/>
      <w:r>
        <w:rPr>
          <w:highlight w:val="none"/>
        </w:rPr>
      </w:r>
      <w:bookmarkStart w:id="42" w:name="_Toc513029203"/>
      <w:r>
        <w:rPr>
          <w:highlight w:val="none"/>
        </w:rPr>
      </w:r>
      <w:bookmarkStart w:id="43" w:name="_Toc16938519"/>
      <w:r>
        <w:rPr>
          <w:rFonts w:ascii="Times New Roman" w:hAnsi="Times New Roman"/>
          <w:b/>
          <w:color w:val="000000"/>
          <w:sz w:val="28"/>
          <w:szCs w:val="28"/>
          <w:highlight w:val="none"/>
        </w:rPr>
        <w:t xml:space="preserve">一、总则</w:t>
      </w:r>
      <w:bookmarkEnd w:id="40"/>
      <w:r>
        <w:rPr>
          <w:highlight w:val="none"/>
        </w:rPr>
      </w:r>
      <w:bookmarkEnd w:id="41"/>
      <w:r>
        <w:rPr>
          <w:highlight w:val="none"/>
        </w:rPr>
      </w:r>
      <w:bookmarkEnd w:id="42"/>
      <w:r>
        <w:rPr>
          <w:highlight w:val="none"/>
        </w:rPr>
      </w:r>
      <w:bookmarkEnd w:id="43"/>
      <w:r>
        <w:rPr>
          <w:color w:val="000000"/>
          <w:sz w:val="22"/>
          <w:szCs w:val="22"/>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highlight w:val="none"/>
        </w:rPr>
      </w:r>
      <w:bookmarkStart w:id="44" w:name="_Toc20823276"/>
      <w:r>
        <w:rPr>
          <w:highlight w:val="none"/>
        </w:rPr>
      </w:r>
      <w:bookmarkStart w:id="45" w:name="_Toc458694821"/>
      <w:r>
        <w:rPr>
          <w:highlight w:val="none"/>
        </w:rPr>
      </w:r>
      <w:bookmarkStart w:id="46" w:name="_Toc513029204"/>
      <w:r>
        <w:rPr>
          <w:highlight w:val="none"/>
        </w:rPr>
      </w:r>
      <w:bookmarkStart w:id="47" w:name="_Toc16938520"/>
      <w:r>
        <w:rPr>
          <w:highlight w:val="none"/>
        </w:rPr>
      </w:r>
      <w:bookmarkStart w:id="48" w:name="_Hlt16619475"/>
      <w:r>
        <w:rPr>
          <w:rFonts w:hint="eastAsia" w:ascii="黑体" w:hAnsi="宋体" w:eastAsia="黑体" w:cs="黑体"/>
          <w:color w:val="000000"/>
          <w:sz w:val="30"/>
          <w:szCs w:val="30"/>
          <w:highlight w:val="none"/>
        </w:rPr>
        <w:t xml:space="preserve">1</w:t>
      </w:r>
      <w:bookmarkEnd w:id="44"/>
      <w:r>
        <w:rPr>
          <w:rFonts w:hint="eastAsia" w:ascii="黑体" w:hAnsi="宋体" w:eastAsia="黑体" w:cs="黑体"/>
          <w:color w:val="000000"/>
          <w:sz w:val="30"/>
          <w:szCs w:val="30"/>
          <w:highlight w:val="none"/>
        </w:rPr>
        <w:t xml:space="preserve">、招标方式</w:t>
      </w:r>
      <w:bookmarkEnd w:id="45"/>
      <w:r>
        <w:rPr>
          <w:highlight w:val="none"/>
        </w:rPr>
      </w:r>
      <w:bookmarkEnd w:id="46"/>
      <w:r>
        <w:rPr>
          <w:highlight w:val="none"/>
        </w:rPr>
      </w:r>
      <w:bookmarkEnd w:id="47"/>
      <w:r>
        <w:rPr>
          <w:rFonts w:hint="eastAsia" w:ascii="黑体" w:hAnsi="宋体" w:eastAsia="黑体" w:cs="黑体"/>
          <w:color w:val="000000"/>
          <w:sz w:val="30"/>
          <w:szCs w:val="30"/>
          <w:highlight w:val="none"/>
        </w:rPr>
      </w:r>
      <w:r>
        <w:rPr>
          <w:highlight w:val="none"/>
        </w:rPr>
      </w:r>
    </w:p>
    <w:p>
      <w:pPr>
        <w:pStyle w:val="637"/>
        <w:ind w:firstLine="480"/>
        <w:jc w:val="left"/>
        <w:spacing w:line="360" w:lineRule="auto"/>
        <w:rPr>
          <w:rFonts w:ascii="宋体" w:hAnsi="宋体" w:eastAsia="宋体" w:cs="宋体"/>
          <w:sz w:val="24"/>
          <w:highlight w:val="none"/>
        </w:rPr>
      </w:pPr>
      <w:r>
        <w:rPr>
          <w:highlight w:val="none"/>
        </w:rPr>
      </w:r>
      <w:bookmarkStart w:id="49" w:name="_Toc120614215"/>
      <w:r>
        <w:rPr>
          <w:highlight w:val="none"/>
        </w:rPr>
      </w:r>
      <w:bookmarkStart w:id="50" w:name="_Toc513029209"/>
      <w:r>
        <w:rPr>
          <w:highlight w:val="none"/>
        </w:rPr>
      </w:r>
      <w:bookmarkStart w:id="51" w:name="_Toc16938525"/>
      <w:r>
        <w:rPr>
          <w:highlight w:val="none"/>
        </w:rPr>
      </w:r>
      <w:bookmarkStart w:id="52" w:name="_Toc20823281"/>
      <w:r>
        <w:rPr>
          <w:rFonts w:hint="eastAsia" w:ascii="宋体" w:hAnsi="宋体" w:eastAsia="宋体" w:cs="宋体"/>
          <w:sz w:val="24"/>
          <w:highlight w:val="none"/>
        </w:rPr>
        <w:t xml:space="preserve">1.1</w:t>
      </w:r>
      <w:r>
        <w:rPr>
          <w:rFonts w:hint="eastAsia" w:ascii="宋体" w:hAnsi="宋体" w:eastAsia="宋体" w:cs="宋体"/>
          <w:color w:val="000000"/>
          <w:sz w:val="24"/>
          <w:szCs w:val="24"/>
          <w:highlight w:val="none"/>
        </w:rPr>
        <w:t xml:space="preserve">本次招标采取公开招标方式，本招标文件仅适用于招标公告中所述项目</w:t>
      </w:r>
      <w:r>
        <w:rPr>
          <w:rFonts w:hint="eastAsia" w:ascii="宋体" w:hAnsi="宋体" w:eastAsia="宋体" w:cs="宋体"/>
          <w:sz w:val="24"/>
          <w:highlight w:val="none"/>
        </w:rPr>
        <w:t xml:space="preserve">。</w:t>
      </w:r>
      <w:r>
        <w:rPr>
          <w:rFonts w:ascii="宋体" w:hAnsi="宋体" w:eastAsia="宋体" w:cs="宋体"/>
          <w:sz w:val="24"/>
          <w:highlight w:val="none"/>
        </w:rPr>
      </w:r>
      <w:r>
        <w:rPr>
          <w:highlight w:val="none"/>
        </w:rPr>
      </w:r>
    </w:p>
    <w:p>
      <w:pPr>
        <w:pStyle w:val="637"/>
        <w:ind w:firstLine="560"/>
        <w:jc w:val="left"/>
        <w:spacing w:line="360" w:lineRule="auto"/>
        <w:rPr>
          <w:rFonts w:ascii="黑体" w:hAnsi="黑体" w:eastAsia="黑体" w:cs="黑体"/>
          <w:sz w:val="28"/>
          <w:szCs w:val="28"/>
          <w:highlight w:val="none"/>
        </w:rPr>
      </w:pPr>
      <w:r>
        <w:rPr>
          <w:rFonts w:hint="eastAsia" w:ascii="黑体" w:hAnsi="黑体" w:eastAsia="黑体" w:cs="黑体"/>
          <w:sz w:val="28"/>
          <w:szCs w:val="28"/>
          <w:highlight w:val="none"/>
        </w:rPr>
        <w:t xml:space="preserve">2、合格的投标人</w:t>
      </w:r>
      <w:r>
        <w:rPr>
          <w:rFonts w:ascii="黑体" w:hAnsi="黑体" w:eastAsia="黑体" w:cs="黑体"/>
          <w:sz w:val="28"/>
          <w:szCs w:val="28"/>
          <w:highlight w:val="none"/>
        </w:rPr>
      </w:r>
      <w:r>
        <w:rPr>
          <w:highlight w:val="none"/>
        </w:rPr>
      </w:r>
    </w:p>
    <w:p>
      <w:pPr>
        <w:pStyle w:val="637"/>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2.1满足招标公告中供应商的资格要求的规定。</w:t>
      </w:r>
      <w:r>
        <w:rPr>
          <w:rFonts w:ascii="宋体" w:hAnsi="宋体" w:eastAsia="宋体" w:cs="宋体"/>
          <w:sz w:val="24"/>
          <w:highlight w:val="none"/>
        </w:rPr>
      </w:r>
      <w:r>
        <w:rPr>
          <w:highlight w:val="none"/>
        </w:rPr>
      </w:r>
    </w:p>
    <w:p>
      <w:pPr>
        <w:pStyle w:val="637"/>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2.2满足本文件实质性条款的规定。</w:t>
      </w:r>
      <w:r>
        <w:rPr>
          <w:rFonts w:ascii="宋体" w:hAnsi="宋体" w:eastAsia="宋体" w:cs="宋体"/>
          <w:sz w:val="24"/>
          <w:highlight w:val="none"/>
        </w:rPr>
      </w:r>
      <w:r>
        <w:rPr>
          <w:highlight w:val="none"/>
        </w:rPr>
      </w:r>
    </w:p>
    <w:p>
      <w:pPr>
        <w:pStyle w:val="637"/>
        <w:ind w:firstLine="560"/>
        <w:jc w:val="left"/>
        <w:spacing w:line="360" w:lineRule="auto"/>
        <w:rPr>
          <w:rFonts w:ascii="黑体" w:hAnsi="黑体" w:eastAsia="黑体" w:cs="黑体"/>
          <w:sz w:val="28"/>
          <w:szCs w:val="28"/>
          <w:highlight w:val="none"/>
        </w:rPr>
      </w:pPr>
      <w:r>
        <w:rPr>
          <w:rFonts w:hint="eastAsia" w:ascii="黑体" w:hAnsi="黑体" w:eastAsia="黑体" w:cs="黑体"/>
          <w:sz w:val="28"/>
          <w:szCs w:val="28"/>
          <w:highlight w:val="none"/>
        </w:rPr>
        <w:t xml:space="preserve">3、适用法律</w:t>
      </w:r>
      <w:r>
        <w:rPr>
          <w:rFonts w:ascii="黑体" w:hAnsi="黑体" w:eastAsia="黑体" w:cs="黑体"/>
          <w:sz w:val="28"/>
          <w:szCs w:val="28"/>
          <w:highlight w:val="none"/>
        </w:rPr>
      </w:r>
      <w:r>
        <w:rPr>
          <w:highlight w:val="none"/>
        </w:rPr>
      </w:r>
    </w:p>
    <w:p>
      <w:pPr>
        <w:pStyle w:val="637"/>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3.1本次招标及由此产生的合同受中华人民共和国有关的法律法规制约和保护。</w:t>
      </w:r>
      <w:r>
        <w:rPr>
          <w:rFonts w:ascii="宋体" w:hAnsi="宋体" w:eastAsia="宋体" w:cs="宋体"/>
          <w:sz w:val="24"/>
          <w:highlight w:val="none"/>
        </w:rPr>
      </w:r>
      <w:r>
        <w:rPr>
          <w:highlight w:val="none"/>
        </w:rPr>
      </w:r>
    </w:p>
    <w:p>
      <w:pPr>
        <w:pStyle w:val="637"/>
        <w:ind w:firstLine="560"/>
        <w:jc w:val="left"/>
        <w:spacing w:line="360" w:lineRule="auto"/>
        <w:rPr>
          <w:rFonts w:ascii="黑体" w:hAnsi="黑体" w:eastAsia="黑体" w:cs="黑体"/>
          <w:sz w:val="28"/>
          <w:szCs w:val="28"/>
          <w:highlight w:val="none"/>
        </w:rPr>
      </w:pPr>
      <w:r>
        <w:rPr>
          <w:rFonts w:hint="eastAsia" w:ascii="黑体" w:hAnsi="黑体" w:eastAsia="黑体" w:cs="黑体"/>
          <w:sz w:val="28"/>
          <w:szCs w:val="28"/>
          <w:highlight w:val="none"/>
        </w:rPr>
        <w:t xml:space="preserve">4、投标费用</w:t>
      </w:r>
      <w:r>
        <w:rPr>
          <w:rFonts w:ascii="黑体" w:hAnsi="黑体" w:eastAsia="黑体" w:cs="黑体"/>
          <w:sz w:val="28"/>
          <w:szCs w:val="28"/>
          <w:highlight w:val="none"/>
        </w:rPr>
      </w:r>
      <w:r>
        <w:rPr>
          <w:highlight w:val="none"/>
        </w:rPr>
      </w:r>
    </w:p>
    <w:p>
      <w:pPr>
        <w:pStyle w:val="637"/>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4.1投标人应自行承担所有与参加投标有关的费用，无论投标过程中的做法和结果如何，采购人在任何情况下均无义务和责任承担这些费用。</w:t>
      </w:r>
      <w:r>
        <w:rPr>
          <w:rFonts w:ascii="宋体" w:hAnsi="宋体" w:eastAsia="宋体" w:cs="宋体"/>
          <w:sz w:val="24"/>
          <w:highlight w:val="none"/>
        </w:rPr>
      </w:r>
      <w:r>
        <w:rPr>
          <w:highlight w:val="none"/>
        </w:rPr>
      </w:r>
    </w:p>
    <w:p>
      <w:pPr>
        <w:pStyle w:val="637"/>
        <w:ind w:firstLine="560"/>
        <w:jc w:val="left"/>
        <w:spacing w:line="360" w:lineRule="auto"/>
        <w:rPr>
          <w:rFonts w:ascii="黑体" w:hAnsi="黑体" w:eastAsia="黑体" w:cs="黑体"/>
          <w:sz w:val="28"/>
          <w:szCs w:val="28"/>
          <w:highlight w:val="none"/>
        </w:rPr>
      </w:pPr>
      <w:r>
        <w:rPr>
          <w:rFonts w:hint="eastAsia" w:ascii="黑体" w:hAnsi="黑体" w:eastAsia="黑体" w:cs="黑体"/>
          <w:sz w:val="28"/>
          <w:szCs w:val="28"/>
          <w:highlight w:val="none"/>
        </w:rPr>
        <w:t xml:space="preserve">5、招标文件的约束力</w:t>
      </w:r>
      <w:r>
        <w:rPr>
          <w:rFonts w:ascii="黑体" w:hAnsi="黑体" w:eastAsia="黑体" w:cs="黑体"/>
          <w:sz w:val="28"/>
          <w:szCs w:val="28"/>
          <w:highlight w:val="none"/>
        </w:rPr>
      </w:r>
      <w:r>
        <w:rPr>
          <w:highlight w:val="none"/>
        </w:rPr>
      </w:r>
    </w:p>
    <w:p>
      <w:pPr>
        <w:pStyle w:val="637"/>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5.1投标人一旦参加本项目采购活动，即被认为接受了本招标文件的规定和约束。</w:t>
      </w:r>
      <w:r>
        <w:rPr>
          <w:rFonts w:ascii="宋体" w:hAnsi="宋体" w:eastAsia="宋体" w:cs="宋体"/>
          <w:sz w:val="24"/>
          <w:highlight w:val="none"/>
        </w:rPr>
      </w:r>
      <w:r>
        <w:rPr>
          <w:highlight w:val="none"/>
        </w:rPr>
      </w:r>
    </w:p>
    <w:p>
      <w:pPr>
        <w:pStyle w:val="658"/>
        <w:ind w:firstLine="498"/>
        <w:jc w:val="both"/>
        <w:keepLines/>
        <w:keepNext/>
        <w:spacing w:before="145" w:beforeAutospacing="0" w:after="145" w:afterAutospacing="0"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二、招标文件</w:t>
      </w:r>
      <w:bookmarkEnd w:id="49"/>
      <w:r>
        <w:rPr>
          <w:highlight w:val="none"/>
        </w:rPr>
      </w:r>
      <w:bookmarkEnd w:id="50"/>
      <w:r>
        <w:rPr>
          <w:highlight w:val="none"/>
        </w:rPr>
      </w:r>
      <w:bookmarkEnd w:id="51"/>
      <w:r>
        <w:rPr>
          <w:highlight w:val="none"/>
        </w:rPr>
      </w:r>
      <w:bookmarkEnd w:id="52"/>
      <w:r>
        <w:rPr>
          <w:rFonts w:ascii="Times New Roman" w:hAnsi="Times New Roman"/>
          <w:b/>
          <w:color w:val="000000"/>
          <w:sz w:val="28"/>
          <w:szCs w:val="28"/>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highlight w:val="none"/>
        </w:rPr>
      </w:r>
      <w:bookmarkStart w:id="53" w:name="_Toc20823282"/>
      <w:r>
        <w:rPr>
          <w:highlight w:val="none"/>
        </w:rPr>
      </w:r>
      <w:bookmarkStart w:id="54" w:name="_Toc513029210"/>
      <w:r>
        <w:rPr>
          <w:highlight w:val="none"/>
        </w:rPr>
      </w:r>
      <w:bookmarkStart w:id="55" w:name="_Toc16938526"/>
      <w:r>
        <w:rPr>
          <w:rFonts w:hint="eastAsia" w:ascii="黑体" w:hAnsi="宋体" w:eastAsia="黑体" w:cs="黑体"/>
          <w:color w:val="000000"/>
          <w:sz w:val="30"/>
          <w:szCs w:val="30"/>
          <w:highlight w:val="none"/>
        </w:rPr>
        <w:t xml:space="preserve">6、招标文件构成</w:t>
      </w:r>
      <w:bookmarkEnd w:id="53"/>
      <w:r>
        <w:rPr>
          <w:highlight w:val="none"/>
        </w:rPr>
      </w:r>
      <w:bookmarkEnd w:id="54"/>
      <w:r>
        <w:rPr>
          <w:highlight w:val="none"/>
        </w:rPr>
      </w:r>
      <w:bookmarkEnd w:id="55"/>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 招标文件由以下部分组成：</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（1）采购公告</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（2）投标人须知</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（3）合同文本</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（4）采购需求</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（5）评标方法与评标标准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（6）投标文件格式</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请仔细检查招标文件是否齐全，如有缺漏请立即与采购人联系解决。</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highlight w:val="none"/>
        </w:rPr>
      </w:r>
      <w:bookmarkStart w:id="56" w:name="_Toc16938527"/>
      <w:r>
        <w:rPr>
          <w:highlight w:val="none"/>
        </w:rPr>
      </w:r>
      <w:bookmarkStart w:id="57" w:name="_Toc513029211"/>
      <w:r>
        <w:rPr>
          <w:highlight w:val="none"/>
        </w:rPr>
      </w:r>
      <w:bookmarkStart w:id="58" w:name="_Toc462564070"/>
      <w:r>
        <w:rPr>
          <w:highlight w:val="none"/>
        </w:rPr>
      </w:r>
      <w:bookmarkStart w:id="59" w:name="_Toc20823283"/>
      <w:r>
        <w:rPr>
          <w:rFonts w:hint="eastAsia" w:ascii="黑体" w:hAnsi="宋体" w:eastAsia="黑体" w:cs="黑体"/>
          <w:color w:val="000000"/>
          <w:sz w:val="30"/>
          <w:szCs w:val="30"/>
          <w:highlight w:val="none"/>
        </w:rPr>
        <w:t xml:space="preserve">7、招标文件的澄清</w:t>
      </w:r>
      <w:bookmarkEnd w:id="56"/>
      <w:r>
        <w:rPr>
          <w:highlight w:val="none"/>
        </w:rPr>
      </w:r>
      <w:bookmarkEnd w:id="57"/>
      <w:r>
        <w:rPr>
          <w:highlight w:val="none"/>
        </w:rPr>
      </w:r>
      <w:bookmarkEnd w:id="58"/>
      <w:r>
        <w:rPr>
          <w:highlight w:val="none"/>
        </w:rPr>
      </w:r>
      <w:bookmarkEnd w:id="59"/>
      <w:r>
        <w:rPr>
          <w:rFonts w:hint="eastAsia" w:ascii="黑体" w:hAnsi="宋体" w:eastAsia="黑体" w:cs="黑体"/>
          <w:color w:val="000000"/>
          <w:sz w:val="30"/>
          <w:szCs w:val="30"/>
          <w:highlight w:val="none"/>
        </w:rPr>
      </w:r>
      <w:r>
        <w:rPr>
          <w:highlight w:val="none"/>
        </w:rPr>
      </w:r>
    </w:p>
    <w:p>
      <w:pPr>
        <w:pStyle w:val="637"/>
        <w:ind w:firstLine="480"/>
        <w:jc w:val="left"/>
        <w:spacing w:line="360" w:lineRule="auto"/>
        <w:rPr>
          <w:rFonts w:ascii="宋体" w:hAnsi="宋体" w:eastAsia="宋体" w:cs="宋体"/>
          <w:sz w:val="24"/>
          <w:highlight w:val="none"/>
        </w:rPr>
      </w:pPr>
      <w:r>
        <w:rPr>
          <w:highlight w:val="none"/>
        </w:rPr>
      </w:r>
      <w:bookmarkStart w:id="60" w:name="_Toc513029215"/>
      <w:r>
        <w:rPr>
          <w:highlight w:val="none"/>
        </w:rPr>
      </w:r>
      <w:bookmarkStart w:id="61" w:name="_Toc462564074"/>
      <w:r>
        <w:rPr>
          <w:highlight w:val="none"/>
        </w:rPr>
      </w:r>
      <w:bookmarkStart w:id="62" w:name="_Toc20823287"/>
      <w:r>
        <w:rPr>
          <w:highlight w:val="none"/>
        </w:rPr>
      </w:r>
      <w:bookmarkStart w:id="63" w:name="_Toc16938531"/>
      <w:r>
        <w:rPr>
          <w:rFonts w:hint="eastAsia" w:ascii="宋体" w:hAnsi="宋体" w:eastAsia="宋体" w:cs="宋体"/>
          <w:sz w:val="24"/>
          <w:highlight w:val="none"/>
        </w:rPr>
        <w:t xml:space="preserve">7.1</w:t>
      </w:r>
      <w:r>
        <w:rPr>
          <w:rFonts w:hint="eastAsia" w:ascii="宋体" w:hAnsi="宋体" w:eastAsia="宋体" w:cs="宋体"/>
          <w:color w:val="000000"/>
          <w:sz w:val="24"/>
          <w:szCs w:val="24"/>
          <w:highlight w:val="none"/>
        </w:rPr>
        <w:t xml:space="preserve">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w:t>
      </w:r>
      <w:r>
        <w:rPr>
          <w:rFonts w:hint="eastAsia" w:ascii="宋体" w:hAnsi="宋体" w:eastAsia="宋体" w:cs="宋体"/>
          <w:sz w:val="24"/>
          <w:highlight w:val="none"/>
        </w:rPr>
        <w:t xml:space="preserve">以书面形式通知采购人。</w:t>
      </w:r>
      <w:r>
        <w:rPr>
          <w:rFonts w:ascii="宋体" w:hAnsi="宋体" w:eastAsia="宋体" w:cs="宋体"/>
          <w:sz w:val="24"/>
          <w:highlight w:val="none"/>
        </w:rPr>
      </w:r>
      <w:r>
        <w:rPr>
          <w:highlight w:val="none"/>
        </w:rPr>
      </w:r>
    </w:p>
    <w:p>
      <w:pPr>
        <w:pStyle w:val="637"/>
        <w:ind w:firstLine="560"/>
        <w:jc w:val="left"/>
        <w:spacing w:line="360" w:lineRule="auto"/>
        <w:rPr>
          <w:rFonts w:ascii="黑体" w:hAnsi="黑体" w:eastAsia="黑体" w:cs="黑体"/>
          <w:sz w:val="28"/>
          <w:szCs w:val="28"/>
          <w:highlight w:val="none"/>
        </w:rPr>
      </w:pPr>
      <w:r>
        <w:rPr>
          <w:rFonts w:hint="eastAsia" w:ascii="黑体" w:hAnsi="黑体" w:eastAsia="黑体" w:cs="黑体"/>
          <w:sz w:val="28"/>
          <w:szCs w:val="28"/>
          <w:highlight w:val="none"/>
        </w:rPr>
        <w:t xml:space="preserve">8、招标文件的修改</w:t>
      </w:r>
      <w:r>
        <w:rPr>
          <w:rFonts w:ascii="黑体" w:hAnsi="黑体" w:eastAsia="黑体" w:cs="黑体"/>
          <w:sz w:val="28"/>
          <w:szCs w:val="28"/>
          <w:highlight w:val="none"/>
        </w:rPr>
      </w:r>
      <w:r>
        <w:rPr>
          <w:highlight w:val="none"/>
        </w:rPr>
      </w:r>
    </w:p>
    <w:p>
      <w:pPr>
        <w:pStyle w:val="637"/>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8.1在投标截止时间前，</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lang w:val="en-US" w:eastAsia="zh-CN"/>
        </w:rPr>
        <w:t xml:space="preserve">或委托的代理机构</w:t>
      </w:r>
      <w:r>
        <w:rPr>
          <w:rFonts w:hint="eastAsia" w:ascii="宋体" w:hAnsi="宋体" w:eastAsia="宋体" w:cs="宋体"/>
          <w:sz w:val="24"/>
          <w:highlight w:val="none"/>
        </w:rPr>
        <w:t xml:space="preserve">可以对招标文件进行修改。</w:t>
      </w:r>
      <w:r>
        <w:rPr>
          <w:rFonts w:ascii="宋体" w:hAnsi="宋体" w:eastAsia="宋体" w:cs="宋体"/>
          <w:sz w:val="24"/>
          <w:highlight w:val="none"/>
        </w:rPr>
      </w:r>
      <w:r>
        <w:rPr>
          <w:highlight w:val="none"/>
        </w:rPr>
      </w:r>
    </w:p>
    <w:p>
      <w:pPr>
        <w:pStyle w:val="637"/>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lang w:val="en-US" w:eastAsia="zh-CN"/>
        </w:rPr>
        <w:t xml:space="preserve">或委托的代理机构</w:t>
      </w:r>
      <w:r>
        <w:rPr>
          <w:rFonts w:hint="eastAsia" w:ascii="宋体" w:hAnsi="宋体" w:eastAsia="宋体" w:cs="宋体"/>
          <w:sz w:val="24"/>
          <w:highlight w:val="none"/>
        </w:rPr>
        <w:t xml:space="preserve">有权按照法定的要求推迟投标截止日期和开标日期。</w:t>
      </w:r>
      <w:r>
        <w:rPr>
          <w:rFonts w:ascii="宋体" w:hAnsi="宋体" w:eastAsia="宋体" w:cs="宋体"/>
          <w:sz w:val="24"/>
          <w:highlight w:val="none"/>
        </w:rPr>
      </w:r>
      <w:r>
        <w:rPr>
          <w:highlight w:val="none"/>
        </w:rPr>
      </w:r>
    </w:p>
    <w:p>
      <w:pPr>
        <w:pStyle w:val="637"/>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8.3招标文件的修改将在“中国政府采购网、江苏政府采购网、盐城市政府采购网”公布，补充文件将作为招标文件的组成部分，并对投标人具有约束力。</w:t>
      </w:r>
      <w:r>
        <w:rPr>
          <w:rFonts w:ascii="宋体" w:hAnsi="宋体" w:eastAsia="宋体" w:cs="宋体"/>
          <w:sz w:val="24"/>
          <w:highlight w:val="none"/>
        </w:rPr>
      </w:r>
      <w:r>
        <w:rPr>
          <w:highlight w:val="none"/>
        </w:rPr>
      </w:r>
    </w:p>
    <w:p>
      <w:pPr>
        <w:pStyle w:val="637"/>
        <w:ind w:firstLine="560"/>
        <w:jc w:val="left"/>
        <w:spacing w:line="360" w:lineRule="auto"/>
        <w:rPr>
          <w:rFonts w:ascii="黑体" w:hAnsi="黑体" w:eastAsia="黑体" w:cs="黑体"/>
          <w:sz w:val="28"/>
          <w:szCs w:val="28"/>
          <w:highlight w:val="none"/>
        </w:rPr>
      </w:pPr>
      <w:r>
        <w:rPr>
          <w:rFonts w:hint="eastAsia" w:ascii="黑体" w:hAnsi="黑体" w:eastAsia="黑体" w:cs="黑体"/>
          <w:sz w:val="28"/>
          <w:szCs w:val="28"/>
          <w:highlight w:val="none"/>
        </w:rPr>
        <w:t xml:space="preserve">三、投标文件的编制</w:t>
      </w:r>
      <w:r>
        <w:rPr>
          <w:rFonts w:ascii="黑体" w:hAnsi="黑体" w:eastAsia="黑体" w:cs="黑体"/>
          <w:sz w:val="28"/>
          <w:szCs w:val="28"/>
          <w:highlight w:val="none"/>
        </w:rPr>
      </w:r>
      <w:r>
        <w:rPr>
          <w:highlight w:val="none"/>
        </w:rPr>
      </w:r>
    </w:p>
    <w:p>
      <w:pPr>
        <w:pStyle w:val="637"/>
        <w:ind w:firstLine="560"/>
        <w:jc w:val="left"/>
        <w:spacing w:line="360" w:lineRule="auto"/>
        <w:rPr>
          <w:rFonts w:ascii="黑体" w:hAnsi="黑体" w:eastAsia="黑体" w:cs="黑体"/>
          <w:sz w:val="28"/>
          <w:szCs w:val="28"/>
          <w:highlight w:val="none"/>
        </w:rPr>
      </w:pPr>
      <w:r>
        <w:rPr>
          <w:rFonts w:hint="eastAsia" w:ascii="黑体" w:hAnsi="黑体" w:eastAsia="黑体" w:cs="黑体"/>
          <w:sz w:val="28"/>
          <w:szCs w:val="28"/>
          <w:highlight w:val="none"/>
        </w:rPr>
        <w:t xml:space="preserve">9、投标文件的语言及度量衡单位</w:t>
      </w:r>
      <w:r>
        <w:rPr>
          <w:rFonts w:ascii="黑体" w:hAnsi="黑体" w:eastAsia="黑体" w:cs="黑体"/>
          <w:sz w:val="28"/>
          <w:szCs w:val="28"/>
          <w:highlight w:val="none"/>
        </w:rPr>
      </w:r>
      <w:r>
        <w:rPr>
          <w:highlight w:val="none"/>
        </w:rPr>
      </w:r>
    </w:p>
    <w:p>
      <w:pPr>
        <w:pStyle w:val="637"/>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9.1</w:t>
      </w:r>
      <w:r>
        <w:rPr>
          <w:rFonts w:hint="eastAsia" w:ascii="宋体" w:hAnsi="宋体"/>
          <w:sz w:val="24"/>
          <w:highlight w:val="none"/>
        </w:rPr>
        <w:t xml:space="preserve">投标人提交的投标文件以及投标人与采购人就有关投标的所有来往通知、函件和文件均应使用</w:t>
      </w:r>
      <w:r>
        <w:rPr>
          <w:rFonts w:hint="eastAsia" w:ascii="宋体" w:hAnsi="宋体"/>
          <w:b/>
          <w:bCs/>
          <w:sz w:val="24"/>
          <w:highlight w:val="none"/>
        </w:rPr>
        <w:t xml:space="preserve">简体中文</w:t>
      </w:r>
      <w:r>
        <w:rPr>
          <w:rFonts w:hint="eastAsia" w:ascii="宋体" w:hAnsi="宋体" w:eastAsia="宋体" w:cs="宋体"/>
          <w:sz w:val="24"/>
          <w:highlight w:val="none"/>
        </w:rPr>
        <w:t xml:space="preserve">。</w:t>
      </w:r>
      <w:r>
        <w:rPr>
          <w:rFonts w:ascii="宋体" w:hAnsi="宋体" w:eastAsia="宋体" w:cs="宋体"/>
          <w:sz w:val="24"/>
          <w:highlight w:val="none"/>
        </w:rPr>
      </w:r>
      <w:r>
        <w:rPr>
          <w:highlight w:val="none"/>
        </w:rPr>
      </w:r>
    </w:p>
    <w:p>
      <w:pPr>
        <w:pStyle w:val="637"/>
        <w:ind w:firstLine="480"/>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rPr>
          <w:rFonts w:hint="eastAsia" w:ascii="宋体" w:hAnsi="宋体" w:eastAsia="宋体" w:cs="宋体"/>
          <w:sz w:val="24"/>
          <w:highlight w:val="none"/>
        </w:rPr>
        <w:t xml:space="preserve">。</w:t>
      </w:r>
      <w:r>
        <w:rPr>
          <w:rFonts w:ascii="宋体" w:hAnsi="宋体" w:eastAsia="宋体" w:cs="宋体"/>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10、投标文件构成</w:t>
      </w:r>
      <w:bookmarkEnd w:id="60"/>
      <w:r>
        <w:rPr>
          <w:highlight w:val="none"/>
        </w:rPr>
      </w:r>
      <w:bookmarkEnd w:id="61"/>
      <w:r>
        <w:rPr>
          <w:highlight w:val="none"/>
        </w:rPr>
      </w:r>
      <w:bookmarkEnd w:id="62"/>
      <w:r>
        <w:rPr>
          <w:highlight w:val="none"/>
        </w:rPr>
      </w:r>
      <w:bookmarkEnd w:id="63"/>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highlight w:val="none"/>
        </w:rPr>
      </w:r>
      <w:bookmarkStart w:id="64" w:name="_Hlt26954838"/>
      <w:r>
        <w:rPr>
          <w:highlight w:val="none"/>
        </w:rPr>
      </w:r>
      <w:bookmarkStart w:id="65" w:name="_Hlt26668975"/>
      <w:r>
        <w:rPr>
          <w:highlight w:val="none"/>
        </w:rPr>
      </w:r>
      <w:bookmarkStart w:id="66" w:name="_Hlt26670360"/>
      <w:r>
        <w:rPr>
          <w:rFonts w:hint="eastAsia" w:ascii="宋体" w:hAnsi="宋体" w:cs="宋体"/>
          <w:color w:val="000000"/>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highlight w:val="none"/>
        </w:rPr>
      </w:r>
      <w:bookmarkStart w:id="67" w:name="_Toc14577355"/>
      <w:r>
        <w:rPr>
          <w:highlight w:val="none"/>
        </w:rPr>
      </w:r>
      <w:bookmarkStart w:id="68" w:name="_Toc49090509"/>
      <w:r>
        <w:rPr>
          <w:highlight w:val="none"/>
        </w:rPr>
      </w:r>
      <w:bookmarkStart w:id="69" w:name="_Toc49090507"/>
      <w:r>
        <w:rPr>
          <w:highlight w:val="none"/>
        </w:rPr>
      </w:r>
      <w:bookmarkStart w:id="70" w:name="_Toc14577357"/>
      <w:r>
        <w:rPr>
          <w:highlight w:val="none"/>
        </w:rPr>
      </w:r>
      <w:bookmarkStart w:id="71" w:name="_Toc513029216"/>
      <w:r>
        <w:rPr>
          <w:highlight w:val="none"/>
        </w:rPr>
      </w:r>
      <w:bookmarkStart w:id="72" w:name="_Toc14577354"/>
      <w:r>
        <w:rPr>
          <w:highlight w:val="none"/>
        </w:rPr>
      </w:r>
      <w:bookmarkStart w:id="73" w:name="_Toc49090508"/>
      <w:r>
        <w:rPr>
          <w:highlight w:val="none"/>
        </w:rPr>
      </w:r>
      <w:bookmarkStart w:id="74" w:name="_Toc513029219"/>
      <w:r>
        <w:rPr>
          <w:rFonts w:hint="eastAsia" w:ascii="宋体" w:hAnsi="宋体" w:cs="宋体"/>
          <w:color w:val="000000"/>
          <w:sz w:val="24"/>
          <w:highlight w:val="none"/>
        </w:rPr>
        <w:t xml:space="preserve">11、证明投标人及投标标的符合招标文件规定的文件</w:t>
      </w:r>
      <w:bookmarkEnd w:id="67"/>
      <w:r>
        <w:rPr>
          <w:highlight w:val="none"/>
        </w:rPr>
      </w:r>
      <w:bookmarkEnd w:id="68"/>
      <w:r>
        <w:rPr>
          <w:highlight w:val="none"/>
        </w:rPr>
      </w:r>
      <w:bookmarkEnd w:id="69"/>
      <w:r>
        <w:rPr>
          <w:highlight w:val="none"/>
        </w:rPr>
      </w:r>
      <w:bookmarkEnd w:id="70"/>
      <w:r>
        <w:rPr>
          <w:highlight w:val="none"/>
        </w:rPr>
      </w:r>
      <w:bookmarkEnd w:id="71"/>
      <w:r>
        <w:rPr>
          <w:highlight w:val="none"/>
        </w:rPr>
      </w:r>
      <w:bookmarkEnd w:id="72"/>
      <w:r>
        <w:rPr>
          <w:highlight w:val="none"/>
        </w:rPr>
      </w:r>
      <w:bookmarkEnd w:id="73"/>
      <w:r>
        <w:rPr>
          <w:highlight w:val="none"/>
        </w:rPr>
      </w:r>
      <w:bookmarkEnd w:id="74"/>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11.1 投标人应按照招标文件要求提交证明文件，证明其及投标标的符合招标文件规定。</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 招标文件对证明文件无明确形式要求的，证明文件可以以文字资料、图纸和数据等形式提交。</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12、投标分项报价表</w:t>
      </w:r>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highlight w:val="none"/>
        </w:rPr>
      </w:r>
      <w:bookmarkStart w:id="75" w:name="_Hlt26954848"/>
      <w:r>
        <w:rPr>
          <w:highlight w:val="none"/>
        </w:rPr>
      </w:r>
      <w:bookmarkStart w:id="76" w:name="_Hlt26670482"/>
      <w:r>
        <w:rPr>
          <w:highlight w:val="none"/>
        </w:rPr>
      </w:r>
      <w:bookmarkStart w:id="77" w:name="_Hlt26954846"/>
      <w:r>
        <w:rPr>
          <w:highlight w:val="none"/>
        </w:rPr>
      </w:r>
      <w:bookmarkStart w:id="78" w:name="_Hlt26670486"/>
      <w:r>
        <w:rPr>
          <w:highlight w:val="none"/>
        </w:rPr>
      </w:r>
      <w:bookmarkStart w:id="79" w:name="_Hlt26954731"/>
      <w:r>
        <w:rPr>
          <w:rFonts w:hint="eastAsia" w:ascii="宋体" w:hAnsi="宋体" w:cs="宋体"/>
          <w:color w:val="000000"/>
          <w:sz w:val="24"/>
          <w:highlight w:val="none"/>
        </w:rPr>
        <w:t xml:space="preserve">12.1 投标人应按照招标文件规定格式填报投标分项报价表。</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 投标货币。投标文件中的单价和总价无特殊规定的采用人民币报价，以元为单位标注。招标文件中另有规定的按规定执行。</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13、技术要求响应及偏离表、商务要求响应及偏离表</w:t>
      </w:r>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13.1 投标人需对招标文件中的技术要求与商务要求逐项作出响应或偏离，并说明原因。</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13.2 投标人可在投标文件中提供认为需要的其他技术文件或说明。</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14、服务承诺、培训计划、人员安排及其他</w:t>
      </w:r>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 投标人需根据招标文件要求提供培训计划。</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 投标人需根据招标文件要求提供所投标的的主要组成部分、功能设计、实现思路及关键技术等。</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highlight w:val="none"/>
        </w:rPr>
      </w:r>
      <w:bookmarkStart w:id="80" w:name="_Toc49090510"/>
      <w:r>
        <w:rPr>
          <w:highlight w:val="none"/>
        </w:rPr>
      </w:r>
      <w:bookmarkStart w:id="81" w:name="_Toc14577359"/>
      <w:r>
        <w:rPr>
          <w:rFonts w:hint="eastAsia" w:ascii="黑体" w:hAnsi="宋体" w:eastAsia="黑体" w:cs="黑体"/>
          <w:color w:val="000000"/>
          <w:sz w:val="30"/>
          <w:szCs w:val="30"/>
          <w:highlight w:val="none"/>
        </w:rPr>
        <w:t xml:space="preserve">15、投标函和开标一览表</w:t>
      </w:r>
      <w:bookmarkEnd w:id="80"/>
      <w:r>
        <w:rPr>
          <w:highlight w:val="none"/>
        </w:rPr>
      </w:r>
      <w:bookmarkEnd w:id="81"/>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 投标人应按照招标文件中提供的格式完整、正确填写投标函、开标一览表。</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highlight w:val="none"/>
        </w:rPr>
      </w:r>
      <w:bookmarkStart w:id="82" w:name="_Toc49090511"/>
      <w:r>
        <w:rPr>
          <w:highlight w:val="none"/>
        </w:rPr>
      </w:r>
      <w:bookmarkStart w:id="83" w:name="_Toc14577360"/>
      <w:r>
        <w:rPr>
          <w:rFonts w:hint="eastAsia" w:ascii="黑体" w:hAnsi="宋体" w:eastAsia="黑体" w:cs="黑体"/>
          <w:color w:val="000000"/>
          <w:sz w:val="30"/>
          <w:szCs w:val="30"/>
          <w:highlight w:val="none"/>
        </w:rPr>
        <w:t xml:space="preserve">16、投标有效期</w:t>
      </w:r>
      <w:bookmarkEnd w:id="82"/>
      <w:r>
        <w:rPr>
          <w:highlight w:val="none"/>
        </w:rPr>
      </w:r>
      <w:bookmarkEnd w:id="83"/>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16.1投标有效期为开标之日后</w:t>
      </w:r>
      <w:r>
        <w:rPr>
          <w:rFonts w:hint="eastAsia" w:ascii="宋体" w:hAnsi="宋体" w:cs="宋体"/>
          <w:b/>
          <w:bCs/>
          <w:color w:val="000000"/>
          <w:sz w:val="24"/>
          <w:highlight w:val="none"/>
          <w:u w:val="single"/>
          <w:lang w:val="en-US" w:eastAsia="zh-CN"/>
        </w:rPr>
        <w:t xml:space="preserve">九</w:t>
      </w:r>
      <w:r>
        <w:rPr>
          <w:rFonts w:hint="eastAsia" w:ascii="宋体" w:hAnsi="宋体" w:cs="宋体"/>
          <w:b/>
          <w:bCs/>
          <w:color w:val="000000"/>
          <w:sz w:val="24"/>
          <w:highlight w:val="none"/>
          <w:u w:val="single"/>
        </w:rPr>
        <w:t xml:space="preserve">十（</w:t>
      </w:r>
      <w:r>
        <w:rPr>
          <w:rFonts w:hint="eastAsia" w:ascii="宋体" w:hAnsi="宋体" w:cs="宋体"/>
          <w:b/>
          <w:bCs/>
          <w:color w:val="000000"/>
          <w:sz w:val="24"/>
          <w:highlight w:val="none"/>
          <w:u w:val="single"/>
          <w:lang w:val="en-US" w:eastAsia="zh-CN"/>
        </w:rPr>
        <w:t xml:space="preserve">9</w:t>
      </w:r>
      <w:r>
        <w:rPr>
          <w:rFonts w:hint="eastAsia" w:ascii="宋体" w:hAnsi="宋体" w:cs="宋体"/>
          <w:b/>
          <w:bCs/>
          <w:color w:val="000000"/>
          <w:sz w:val="24"/>
          <w:highlight w:val="none"/>
          <w:u w:val="single"/>
        </w:rPr>
        <w:t xml:space="preserve">0）</w:t>
      </w:r>
      <w:r>
        <w:rPr>
          <w:rFonts w:hint="eastAsia" w:ascii="宋体" w:hAnsi="宋体" w:cs="宋体"/>
          <w:color w:val="000000"/>
          <w:sz w:val="24"/>
          <w:highlight w:val="none"/>
        </w:rPr>
        <w:t xml:space="preserve">天。投标有效期比规定短的将被视为未实质性响应招标文件而予以拒绝。</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17、投标有效期的延长</w:t>
      </w:r>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rFonts w:hint="eastAsia" w:ascii="宋体" w:hAnsi="宋体" w:cs="宋体"/>
          <w:color w:val="000000"/>
          <w:sz w:val="24"/>
          <w:highlight w:val="none"/>
        </w:rPr>
      </w:r>
      <w:r>
        <w:rPr>
          <w:highlight w:val="none"/>
        </w:rPr>
      </w:r>
    </w:p>
    <w:p>
      <w:pPr>
        <w:pStyle w:val="658"/>
        <w:ind w:firstLine="562"/>
        <w:jc w:val="both"/>
        <w:keepLines/>
        <w:keepNext/>
        <w:spacing w:before="145" w:beforeAutospacing="0" w:after="145" w:afterAutospacing="0" w:line="360" w:lineRule="auto"/>
        <w:rPr>
          <w:color w:val="000000"/>
          <w:sz w:val="22"/>
          <w:szCs w:val="22"/>
          <w:highlight w:val="none"/>
        </w:rPr>
      </w:pPr>
      <w:r>
        <w:rPr>
          <w:highlight w:val="none"/>
        </w:rPr>
      </w:r>
      <w:bookmarkStart w:id="84" w:name="_Toc20823296"/>
      <w:r>
        <w:rPr>
          <w:highlight w:val="none"/>
        </w:rPr>
      </w:r>
      <w:bookmarkStart w:id="85" w:name="_Toc513029224"/>
      <w:r>
        <w:rPr>
          <w:highlight w:val="none"/>
        </w:rPr>
      </w:r>
      <w:bookmarkStart w:id="86" w:name="_Toc16938540"/>
      <w:r>
        <w:rPr>
          <w:highlight w:val="none"/>
        </w:rPr>
      </w:r>
      <w:bookmarkStart w:id="87" w:name="_Toc120614217"/>
      <w:r>
        <w:rPr>
          <w:highlight w:val="none"/>
        </w:rPr>
      </w:r>
      <w:bookmarkStart w:id="88" w:name="_Hlt26954852"/>
      <w:r>
        <w:rPr>
          <w:highlight w:val="none"/>
        </w:rPr>
      </w:r>
      <w:bookmarkStart w:id="89" w:name="_Hlt26954739"/>
      <w:r>
        <w:rPr>
          <w:rFonts w:ascii="Times New Roman" w:hAnsi="Times New Roman"/>
          <w:b/>
          <w:color w:val="000000"/>
          <w:sz w:val="28"/>
          <w:szCs w:val="28"/>
          <w:highlight w:val="none"/>
        </w:rPr>
        <w:t xml:space="preserve">四、投标文件的递交</w:t>
      </w:r>
      <w:bookmarkEnd w:id="84"/>
      <w:r>
        <w:rPr>
          <w:highlight w:val="none"/>
        </w:rPr>
      </w:r>
      <w:bookmarkEnd w:id="85"/>
      <w:r>
        <w:rPr>
          <w:highlight w:val="none"/>
        </w:rPr>
      </w:r>
      <w:bookmarkEnd w:id="86"/>
      <w:r>
        <w:rPr>
          <w:highlight w:val="none"/>
        </w:rPr>
      </w:r>
      <w:bookmarkEnd w:id="87"/>
      <w:r>
        <w:rPr>
          <w:color w:val="000000"/>
          <w:sz w:val="22"/>
          <w:szCs w:val="22"/>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highlight w:val="none"/>
        </w:rPr>
      </w:r>
      <w:bookmarkStart w:id="90" w:name="_Toc20823297"/>
      <w:r>
        <w:rPr>
          <w:highlight w:val="none"/>
        </w:rPr>
      </w:r>
      <w:bookmarkStart w:id="91" w:name="_Toc16938541"/>
      <w:r>
        <w:rPr>
          <w:highlight w:val="none"/>
        </w:rPr>
      </w:r>
      <w:bookmarkStart w:id="92" w:name="_Toc462564084"/>
      <w:r>
        <w:rPr>
          <w:highlight w:val="none"/>
        </w:rPr>
      </w:r>
      <w:bookmarkStart w:id="93" w:name="_Toc513029225"/>
      <w:r>
        <w:rPr>
          <w:rFonts w:hint="eastAsia" w:ascii="黑体" w:hAnsi="宋体" w:eastAsia="黑体" w:cs="黑体"/>
          <w:color w:val="000000"/>
          <w:sz w:val="30"/>
          <w:szCs w:val="30"/>
          <w:highlight w:val="none"/>
        </w:rPr>
        <w:t xml:space="preserve">18、电子投标文件</w:t>
      </w:r>
      <w:bookmarkEnd w:id="90"/>
      <w:r>
        <w:rPr>
          <w:highlight w:val="none"/>
        </w:rPr>
      </w:r>
      <w:bookmarkEnd w:id="91"/>
      <w:r>
        <w:rPr>
          <w:highlight w:val="none"/>
        </w:rPr>
      </w:r>
      <w:bookmarkEnd w:id="92"/>
      <w:r>
        <w:rPr>
          <w:highlight w:val="none"/>
        </w:rPr>
      </w:r>
      <w:bookmarkEnd w:id="93"/>
      <w:r>
        <w:rPr>
          <w:rFonts w:hint="eastAsia" w:ascii="黑体" w:hAnsi="宋体" w:eastAsia="黑体" w:cs="黑体"/>
          <w:color w:val="000000"/>
          <w:sz w:val="30"/>
          <w:szCs w:val="30"/>
          <w:highlight w:val="none"/>
        </w:rPr>
        <w:t xml:space="preserve">的递交</w:t>
      </w:r>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18.1 投标人应当按照《操作手册》规定，在投标截止时间前制作并上传电子投标</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文件。</w:t>
      </w:r>
      <w:bookmarkStart w:id="94" w:name="_Toc20823298"/>
      <w:r>
        <w:rPr>
          <w:highlight w:val="none"/>
        </w:rPr>
      </w:r>
      <w:bookmarkEnd w:id="94"/>
      <w:r>
        <w:rPr>
          <w:highlight w:val="none"/>
        </w:rPr>
      </w:r>
      <w:bookmarkStart w:id="95" w:name="_Toc16938542"/>
      <w:r>
        <w:rPr>
          <w:highlight w:val="none"/>
        </w:rPr>
      </w:r>
      <w:bookmarkEnd w:id="95"/>
      <w:r>
        <w:rPr>
          <w:highlight w:val="none"/>
        </w:rPr>
      </w:r>
      <w:bookmarkStart w:id="96" w:name="_Toc513029226"/>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19、投标截止日期</w:t>
      </w:r>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i/>
          <w:iCs/>
          <w:color w:val="000000"/>
          <w:sz w:val="24"/>
          <w:highlight w:val="none"/>
          <w:u w:val="single"/>
        </w:rPr>
      </w:pPr>
      <w:r>
        <w:rPr>
          <w:highlight w:val="none"/>
        </w:rPr>
      </w:r>
      <w:bookmarkStart w:id="97" w:name="_Toc16938543"/>
      <w:r>
        <w:rPr>
          <w:highlight w:val="none"/>
        </w:rPr>
      </w:r>
      <w:bookmarkStart w:id="98" w:name="_Toc20823299"/>
      <w:r>
        <w:rPr>
          <w:highlight w:val="none"/>
        </w:rPr>
      </w:r>
      <w:bookmarkStart w:id="99" w:name="_Toc513029227"/>
      <w:r>
        <w:rPr>
          <w:rFonts w:hint="eastAsia" w:ascii="宋体" w:hAnsi="宋体" w:cs="宋体"/>
          <w:i/>
          <w:iCs/>
          <w:color w:val="000000"/>
          <w:sz w:val="24"/>
          <w:highlight w:val="none"/>
          <w:u w:val="single"/>
        </w:rPr>
        <w:t xml:space="preserve">19.1 投标人上传电子投标文件的时间不得迟于采购公告中规定的投标截止时间。</w:t>
      </w:r>
      <w:r>
        <w:rPr>
          <w:rFonts w:hint="eastAsia" w:ascii="宋体" w:hAnsi="宋体" w:cs="宋体"/>
          <w:i/>
          <w:iCs/>
          <w:color w:val="000000"/>
          <w:sz w:val="24"/>
          <w:highlight w:val="none"/>
          <w:u w:val="singl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19.2 采购人可以按照规定，通过修改招标文件酌情延长投标截止日期，在此情况下，投标人的所有权利和义务以及投标人受制的截止日期均应以延长后新的截止日期为准。</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20、投标文件</w:t>
      </w:r>
      <w:bookmarkEnd w:id="97"/>
      <w:r>
        <w:rPr>
          <w:highlight w:val="none"/>
        </w:rPr>
      </w:r>
      <w:bookmarkEnd w:id="98"/>
      <w:r>
        <w:rPr>
          <w:highlight w:val="none"/>
        </w:rPr>
      </w:r>
      <w:bookmarkEnd w:id="99"/>
      <w:r>
        <w:rPr>
          <w:rFonts w:hint="eastAsia" w:ascii="黑体" w:hAnsi="宋体" w:eastAsia="黑体" w:cs="黑体"/>
          <w:color w:val="000000"/>
          <w:sz w:val="30"/>
          <w:szCs w:val="30"/>
          <w:highlight w:val="none"/>
        </w:rPr>
        <w:t xml:space="preserve">的拒收</w:t>
      </w:r>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20.1 采购人拒绝接收在其规定的投标截止时间后上传的任何投标文件。</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highlight w:val="none"/>
        </w:rPr>
      </w:r>
      <w:bookmarkStart w:id="100" w:name="_Toc513029228"/>
      <w:r>
        <w:rPr>
          <w:highlight w:val="none"/>
        </w:rPr>
      </w:r>
      <w:bookmarkStart w:id="101" w:name="_Toc20823300"/>
      <w:r>
        <w:rPr>
          <w:highlight w:val="none"/>
        </w:rPr>
      </w:r>
      <w:bookmarkStart w:id="102" w:name="_Toc16938544"/>
      <w:r>
        <w:rPr>
          <w:rFonts w:hint="eastAsia" w:ascii="黑体" w:hAnsi="宋体" w:eastAsia="黑体" w:cs="黑体"/>
          <w:color w:val="000000"/>
          <w:sz w:val="30"/>
          <w:szCs w:val="30"/>
          <w:highlight w:val="none"/>
        </w:rPr>
        <w:t xml:space="preserve">21、投标文件的撤回和修改</w:t>
      </w:r>
      <w:bookmarkEnd w:id="100"/>
      <w:r>
        <w:rPr>
          <w:highlight w:val="none"/>
        </w:rPr>
      </w:r>
      <w:bookmarkEnd w:id="101"/>
      <w:r>
        <w:rPr>
          <w:highlight w:val="none"/>
        </w:rPr>
      </w:r>
      <w:bookmarkEnd w:id="102"/>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 投标文件的撤回</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电子投标文件的撤回</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 投标人撤回电子投标文件，则认为其不再参与本项目投标活动。</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 投标文件的修改</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21.2.1 投标人可在投标截止时间前，对其电子投标文件进行修改，具体操作方法见《操作手册》。</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21.2.2 在投标截止时间之后，投标人不得对其电子投标文件作任何修改。</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 在投标截止时间至招标文件中规定的投标有效期满之间的这段时间内，投标人不得撤回其投标。</w:t>
      </w:r>
      <w:r>
        <w:rPr>
          <w:rFonts w:hint="eastAsia" w:ascii="宋体" w:hAnsi="宋体" w:cs="宋体"/>
          <w:color w:val="000000"/>
          <w:sz w:val="24"/>
          <w:highlight w:val="none"/>
        </w:rPr>
      </w:r>
      <w:r>
        <w:rPr>
          <w:highlight w:val="none"/>
        </w:rPr>
      </w:r>
    </w:p>
    <w:p>
      <w:pPr>
        <w:pStyle w:val="658"/>
        <w:ind w:firstLine="482"/>
        <w:jc w:val="both"/>
        <w:keepLines/>
        <w:keepNext/>
        <w:spacing w:before="145" w:beforeAutospacing="0" w:after="145" w:afterAutospacing="0" w:line="360" w:lineRule="auto"/>
        <w:rPr>
          <w:color w:val="000000"/>
          <w:sz w:val="22"/>
          <w:szCs w:val="22"/>
          <w:highlight w:val="none"/>
        </w:rPr>
      </w:pPr>
      <w:r>
        <w:rPr>
          <w:highlight w:val="none"/>
        </w:rPr>
      </w:r>
      <w:bookmarkStart w:id="103" w:name="_Toc513029229"/>
      <w:r>
        <w:rPr>
          <w:highlight w:val="none"/>
        </w:rPr>
      </w:r>
      <w:bookmarkStart w:id="104" w:name="_Toc16938545"/>
      <w:r>
        <w:rPr>
          <w:highlight w:val="none"/>
        </w:rPr>
      </w:r>
      <w:bookmarkStart w:id="105" w:name="_Toc20823301"/>
      <w:r>
        <w:rPr>
          <w:highlight w:val="none"/>
        </w:rPr>
      </w:r>
      <w:bookmarkStart w:id="106" w:name="_Toc120614218"/>
      <w:r>
        <w:rPr>
          <w:rFonts w:ascii="Times New Roman" w:hAnsi="Times New Roman"/>
          <w:b/>
          <w:color w:val="000000"/>
          <w:sz w:val="28"/>
          <w:szCs w:val="28"/>
          <w:highlight w:val="none"/>
        </w:rPr>
        <w:t xml:space="preserve">五、开标与评标</w:t>
      </w:r>
      <w:bookmarkEnd w:id="103"/>
      <w:r>
        <w:rPr>
          <w:highlight w:val="none"/>
        </w:rPr>
      </w:r>
      <w:bookmarkEnd w:id="104"/>
      <w:r>
        <w:rPr>
          <w:highlight w:val="none"/>
        </w:rPr>
      </w:r>
      <w:bookmarkEnd w:id="105"/>
      <w:r>
        <w:rPr>
          <w:highlight w:val="none"/>
        </w:rPr>
      </w:r>
      <w:bookmarkEnd w:id="106"/>
      <w:r>
        <w:rPr>
          <w:color w:val="000000"/>
          <w:sz w:val="22"/>
          <w:szCs w:val="22"/>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highlight w:val="none"/>
        </w:rPr>
      </w:r>
      <w:bookmarkStart w:id="107" w:name="_Toc513029230"/>
      <w:r>
        <w:rPr>
          <w:highlight w:val="none"/>
        </w:rPr>
      </w:r>
      <w:bookmarkStart w:id="108" w:name="_Toc16938546"/>
      <w:r>
        <w:rPr>
          <w:highlight w:val="none"/>
        </w:rPr>
      </w:r>
      <w:bookmarkStart w:id="109" w:name="_Toc20823302"/>
      <w:r>
        <w:rPr>
          <w:rFonts w:hint="eastAsia" w:ascii="黑体" w:hAnsi="宋体" w:eastAsia="黑体" w:cs="黑体"/>
          <w:color w:val="000000"/>
          <w:sz w:val="30"/>
          <w:szCs w:val="30"/>
          <w:highlight w:val="none"/>
        </w:rPr>
        <w:t xml:space="preserve">22、开标</w:t>
      </w:r>
      <w:bookmarkEnd w:id="107"/>
      <w:r>
        <w:rPr>
          <w:highlight w:val="none"/>
        </w:rPr>
      </w:r>
      <w:bookmarkEnd w:id="108"/>
      <w:r>
        <w:rPr>
          <w:highlight w:val="none"/>
        </w:rPr>
      </w:r>
      <w:bookmarkEnd w:id="109"/>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 采购人将在采购公告中规定的时间和地点组织公开开标。投标人应当按照《操作手册》规定，参加开标活动和在苏采云系统规定的时间内对投标文件进行解密。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22.2 开标仪式由招标人组织。苏采云系统将自动对项目进行开标，并宣布各投标人名称和投标价格。</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22.3 投标人在开标过程中涉及到的投标文件解密、开标结果确认等工作，应按照《操作手册》规定执行。</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22.4 投标人如果对开标过程和开标记录有疑义，应当根据《操作手册》规定提出，如 苏采云系统中《开标记录表》宣布后5分钟内未提出的，视同认可开标结果。</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highlight w:val="none"/>
        </w:rPr>
      </w:r>
      <w:bookmarkStart w:id="110" w:name="_Toc16938547"/>
      <w:r>
        <w:rPr>
          <w:highlight w:val="none"/>
        </w:rPr>
      </w:r>
      <w:bookmarkStart w:id="111" w:name="_Toc20823303"/>
      <w:r>
        <w:rPr>
          <w:highlight w:val="none"/>
        </w:rPr>
      </w:r>
      <w:bookmarkStart w:id="112" w:name="_Toc513029231"/>
      <w:r>
        <w:rPr>
          <w:rFonts w:hint="eastAsia" w:ascii="黑体" w:hAnsi="宋体" w:eastAsia="黑体" w:cs="黑体"/>
          <w:color w:val="000000"/>
          <w:sz w:val="30"/>
          <w:szCs w:val="30"/>
          <w:highlight w:val="none"/>
        </w:rPr>
        <w:t xml:space="preserve">23、评标委员会</w:t>
      </w:r>
      <w:bookmarkEnd w:id="110"/>
      <w:r>
        <w:rPr>
          <w:highlight w:val="none"/>
        </w:rPr>
      </w:r>
      <w:bookmarkEnd w:id="111"/>
      <w:r>
        <w:rPr>
          <w:highlight w:val="none"/>
        </w:rPr>
      </w:r>
      <w:bookmarkEnd w:id="112"/>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23.1 开标后，采购人将立即组织评标委员会（以下简称评委会）进行评标。</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 评委会由采购人代表和有关技术、经济等方面的专家组成，且人员构成符合政府采购有关规定。</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23.3 评委会独立工作，负责评审所有投标文件并确定中标侯选人。</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24．评标过程的保密与公正</w:t>
      </w:r>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 凡是与审查、澄清、评价和比较投标的有关资料以及授标建议等，采购人及评委不得向投标人或与评标无关的其他人员透露。</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 在评标过程中，投标人不得以任何行为影响评标过程，否则其投标文件将被作为无效投标文件。</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 评标委员会不向未中标的投标人解释未中标原因，也不公布评标过程中的相关细节。</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采用综合评分法的项目，未中标的投标人可于中标结果公告期限届满之日起通过苏采云系统查看自己的评审得分及排序情况。</w:t>
      </w:r>
      <w:bookmarkStart w:id="113" w:name="_Toc513029232"/>
      <w:r>
        <w:rPr>
          <w:highlight w:val="none"/>
        </w:rPr>
      </w:r>
      <w:bookmarkStart w:id="114" w:name="_Toc20823304"/>
      <w:r>
        <w:rPr>
          <w:highlight w:val="none"/>
        </w:rPr>
      </w:r>
      <w:bookmarkStart w:id="115" w:name="_Toc16938548"/>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25．投标文件的澄清</w:t>
      </w:r>
      <w:bookmarkEnd w:id="113"/>
      <w:r>
        <w:rPr>
          <w:highlight w:val="none"/>
        </w:rPr>
      </w:r>
      <w:bookmarkEnd w:id="114"/>
      <w:r>
        <w:rPr>
          <w:highlight w:val="none"/>
        </w:rPr>
      </w:r>
      <w:bookmarkEnd w:id="115"/>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highlight w:val="none"/>
        </w:rPr>
      </w:r>
      <w:bookmarkStart w:id="116" w:name="_Toc20823305"/>
      <w:r>
        <w:rPr>
          <w:highlight w:val="none"/>
        </w:rPr>
      </w:r>
      <w:bookmarkStart w:id="117" w:name="_Toc16938549"/>
      <w:r>
        <w:rPr>
          <w:highlight w:val="none"/>
        </w:rPr>
      </w:r>
      <w:bookmarkStart w:id="118" w:name="_Toc513029233"/>
      <w:r>
        <w:rPr>
          <w:rFonts w:hint="eastAsia" w:ascii="宋体" w:hAnsi="宋体" w:cs="宋体"/>
          <w:color w:val="000000"/>
          <w:sz w:val="24"/>
          <w:highlight w:val="none"/>
        </w:rPr>
        <w:t xml:space="preserve">25.1 评标期间，评委会对投标文件中含义不明确、同类问题表述不一致或者有明显文字和计算错误的内容 ，有权要求投标人作出必要的澄清、说明或者补正。</w:t>
      </w:r>
      <w:bookmarkEnd w:id="116"/>
      <w:r>
        <w:rPr>
          <w:highlight w:val="none"/>
        </w:rPr>
      </w:r>
      <w:bookmarkEnd w:id="117"/>
      <w:r>
        <w:rPr>
          <w:highlight w:val="none"/>
        </w:rPr>
      </w:r>
      <w:bookmarkEnd w:id="118"/>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投标人的澄清、说明或者补正不得超出投标文件的范围或者改变投标文件的实质性内容。</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评标委员会并非对每个投标人都做澄清要求。</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接到评委会澄清、说明和补正要求的投标人如未按规定做出澄清、说明和补正，其风险由投标人自行承担。</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26、对投标文件的初审</w:t>
      </w:r>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 投标文件初审分为资格审查和符合性审查。</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26.1.3 未通过资格审查或符合性审查的投标人，将在苏采云系统中告知未通过资格审查或符合性审查的原因，评审结束后，将不再告知未通过资格审查或符合性审查的原因。</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26.3 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26.4 评委会将对确定为实质性响应的投标进行进一步审核，看其是否有计算上或累加上的算术错误，修正错误的原则如下：</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同时出现两种以上错误的，按照前款规定的顺序修正。</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highlight w:val="none"/>
        </w:rPr>
      </w:r>
      <w:bookmarkStart w:id="119" w:name="_Toc20823306"/>
      <w:r>
        <w:rPr>
          <w:highlight w:val="none"/>
        </w:rPr>
      </w:r>
      <w:bookmarkStart w:id="120" w:name="_Toc16938550"/>
      <w:r>
        <w:rPr>
          <w:highlight w:val="none"/>
        </w:rPr>
      </w:r>
      <w:bookmarkStart w:id="121" w:name="_Toc513029234"/>
      <w:r>
        <w:rPr>
          <w:rFonts w:hint="eastAsia" w:ascii="宋体" w:hAnsi="宋体" w:cs="宋体"/>
          <w:color w:val="000000"/>
          <w:sz w:val="24"/>
          <w:highlight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19"/>
      <w:r>
        <w:rPr>
          <w:highlight w:val="none"/>
        </w:rPr>
      </w:r>
      <w:bookmarkEnd w:id="120"/>
      <w:r>
        <w:rPr>
          <w:highlight w:val="none"/>
        </w:rPr>
      </w:r>
      <w:bookmarkEnd w:id="121"/>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非单一产品采购项目，招标文件中将载明其中的核心产品。多家投标人提供的核心产品品牌相同的，按前两款规定处理。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26.7 投标人在开、评标全过程中应保持通讯畅通，及时登录苏采云系统查阅、答复相关信息，并安排专人与采购人及评标委员会联系。</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27、无效投标条款和废标条款</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highlight w:val="none"/>
        </w:rPr>
      </w:r>
      <w:bookmarkStart w:id="122" w:name="_Toc16938551"/>
      <w:r>
        <w:rPr>
          <w:highlight w:val="none"/>
        </w:rPr>
      </w:r>
      <w:bookmarkStart w:id="123" w:name="_Toc513029235"/>
      <w:r>
        <w:rPr>
          <w:highlight w:val="none"/>
        </w:rPr>
      </w:r>
      <w:bookmarkStart w:id="124" w:name="_Toc20823307"/>
      <w:r>
        <w:rPr>
          <w:rFonts w:hint="eastAsia" w:ascii="黑体" w:hAnsi="宋体" w:eastAsia="黑体" w:cs="黑体"/>
          <w:color w:val="000000"/>
          <w:sz w:val="30"/>
          <w:szCs w:val="30"/>
          <w:highlight w:val="none"/>
        </w:rPr>
        <w:t xml:space="preserve">27.1 无效投标条款</w:t>
      </w:r>
      <w:bookmarkEnd w:id="122"/>
      <w:r>
        <w:rPr>
          <w:highlight w:val="none"/>
        </w:rPr>
      </w:r>
      <w:bookmarkEnd w:id="123"/>
      <w:r>
        <w:rPr>
          <w:highlight w:val="none"/>
        </w:rPr>
      </w:r>
      <w:bookmarkEnd w:id="124"/>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27.1.1 投标人在苏采云系统规定的时间内未成功解密电子投标文件的。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27.1.2 投标人未按照招标文件要求上传电子投标文件的。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27.1.3 同一投标人提交两个（含两个）以上不同的投标报价的。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27.1.4 投标人不具备招标文件中规定资格要求的。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27.1.5 投标人的报价超过了采购预算或最高限价的。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27.1.6 未通过符合性审查的。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27.1.7 不符合招标文件中规定的实质性要求和条件的（本招标文件中斜体且有下划线部分为实质性要求和条件）。</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27.1.9 投标文件含有采购人不能接受的附加条件的。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27.1.12 投标文件未按照招标文件要求加盖CA电子公章的。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27.1.13 其他法律、法规及本招标文件规定的属无效投标的情形。</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27.2废标条款</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27.2.1 符合专业条件的供应商或者对招标文件作实质响应的供应商不足三家的。27.2.2出现影响采购公正的违法、违规行为的。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27.2.2 因重大变故，采购任务取消的。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27.2.3评标委员会认定招标文件存在歧义、重大缺陷导致评审工作无法进行。</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27.2.4 因苏采云系统系统故障原因造成开标不成功的。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27.3 投标截止时间结束后参加投标的供应商不足三家的处理：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27.3.1 如出现投标截止时间结束后参加投标的供应商或者在评标期间对招标文件做出实质响应的供应商不足三家情况，按政府采购相关规定执行。</w:t>
      </w:r>
      <w:r>
        <w:rPr>
          <w:rFonts w:hint="eastAsia" w:ascii="宋体" w:hAnsi="宋体" w:cs="宋体"/>
          <w:color w:val="000000"/>
          <w:sz w:val="24"/>
          <w:highlight w:val="none"/>
        </w:rPr>
      </w:r>
      <w:r>
        <w:rPr>
          <w:highlight w:val="none"/>
        </w:rPr>
      </w:r>
    </w:p>
    <w:p>
      <w:pPr>
        <w:pStyle w:val="658"/>
        <w:ind w:firstLine="482"/>
        <w:jc w:val="both"/>
        <w:keepLines/>
        <w:keepNext/>
        <w:spacing w:before="145" w:beforeAutospacing="0" w:after="145" w:afterAutospacing="0" w:line="360" w:lineRule="auto"/>
        <w:rPr>
          <w:color w:val="000000"/>
          <w:sz w:val="22"/>
          <w:szCs w:val="22"/>
          <w:highlight w:val="none"/>
        </w:rPr>
      </w:pPr>
      <w:r>
        <w:rPr>
          <w:highlight w:val="none"/>
        </w:rPr>
      </w:r>
      <w:bookmarkStart w:id="125" w:name="_Toc120614219"/>
      <w:r>
        <w:rPr>
          <w:rFonts w:ascii="Times New Roman" w:hAnsi="Times New Roman"/>
          <w:b/>
          <w:color w:val="000000"/>
          <w:sz w:val="28"/>
          <w:szCs w:val="28"/>
          <w:highlight w:val="none"/>
        </w:rPr>
        <w:t xml:space="preserve">六、定标</w:t>
      </w:r>
      <w:bookmarkEnd w:id="125"/>
      <w:r>
        <w:rPr>
          <w:color w:val="000000"/>
          <w:sz w:val="22"/>
          <w:szCs w:val="22"/>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highlight w:val="none"/>
        </w:rPr>
      </w:r>
      <w:bookmarkStart w:id="126" w:name="_Toc16938554"/>
      <w:r>
        <w:rPr>
          <w:highlight w:val="none"/>
        </w:rPr>
      </w:r>
      <w:bookmarkStart w:id="127" w:name="_Toc513029238"/>
      <w:r>
        <w:rPr>
          <w:highlight w:val="none"/>
        </w:rPr>
      </w:r>
      <w:bookmarkStart w:id="128" w:name="_Toc20823310"/>
      <w:r>
        <w:rPr>
          <w:rFonts w:hint="eastAsia" w:ascii="黑体" w:hAnsi="宋体" w:eastAsia="黑体" w:cs="黑体"/>
          <w:color w:val="000000"/>
          <w:sz w:val="30"/>
          <w:szCs w:val="30"/>
          <w:highlight w:val="none"/>
        </w:rPr>
        <w:t xml:space="preserve">28、</w:t>
      </w:r>
      <w:bookmarkEnd w:id="128"/>
      <w:r>
        <w:rPr>
          <w:rFonts w:hint="eastAsia" w:ascii="黑体" w:hAnsi="宋体" w:eastAsia="黑体" w:cs="黑体"/>
          <w:color w:val="000000"/>
          <w:sz w:val="30"/>
          <w:szCs w:val="30"/>
          <w:highlight w:val="none"/>
        </w:rPr>
        <w:t xml:space="preserve">确定</w:t>
      </w:r>
      <w:bookmarkEnd w:id="126"/>
      <w:r>
        <w:rPr>
          <w:highlight w:val="none"/>
        </w:rPr>
      </w:r>
      <w:bookmarkEnd w:id="127"/>
      <w:r>
        <w:rPr>
          <w:rFonts w:hint="eastAsia" w:ascii="黑体" w:hAnsi="宋体" w:eastAsia="黑体" w:cs="黑体"/>
          <w:color w:val="000000"/>
          <w:sz w:val="30"/>
          <w:szCs w:val="30"/>
          <w:highlight w:val="none"/>
        </w:rPr>
        <w:t xml:space="preserve">中标单位</w:t>
      </w:r>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28.1 中标候选人的选取原则和数量见招标文件第五章规定。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28.2 采购人应根据评委会推荐的中标候选人确定中标人。</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28.3 采购人将在中国政府采购网”、“江苏政府采购网”、“盐城市政府采购网”发布中标公告，公告期限为1个工作日。</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28.4 若有充分证据证明，中标人出现下列情况之一的，一经查实，将被取消中标资格：</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28.4.1 提供虚假材料谋取中标的。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28.4.2 向采购人行贿或者提供其他不正当利益的。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28.4.3 属于本文件规定的无效条件，但在评标过程中又未被评委会发现的。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28.4.4 与采购人或者其他供应商恶意串通的。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28.4.5 采取不正当手段诋毁、排挤其他供应商的。</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highlight w:val="none"/>
        </w:rPr>
      </w:r>
      <w:bookmarkStart w:id="129" w:name="_Toc200451960"/>
      <w:r>
        <w:rPr>
          <w:rFonts w:hint="eastAsia" w:ascii="宋体" w:hAnsi="宋体" w:cs="宋体"/>
          <w:color w:val="000000"/>
          <w:sz w:val="24"/>
          <w:highlight w:val="none"/>
        </w:rPr>
        <w:t xml:space="preserve">28.5 有下列情形之一的，视为投标人串通投标，投标无效：</w:t>
      </w:r>
      <w:bookmarkEnd w:id="129"/>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28.5.1 不同投标人的投标文件由同一单位或者个人编制；</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28.5.2 不同投标人委托同一单位或者个人办理投标事宜；</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28.5.3 不同投标人的投标文件载明的项目管理成员或者联系人员为同一人；</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28.5.4 不同投标人的投标文件异常一致或者投标报价呈规律性差异；</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29、质疑处理</w:t>
      </w:r>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29.2 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29.2.1 对可以质疑的采购文件提出质疑的，为收到采购文件之日或者采购文件公告期限届满之日；</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29.2.2 对采购过程提出质疑的，为各采购程序环节结束之日；</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29.2.3 对中标或者成交结果提出质疑的，为中标或者成交结果公告期限届满之日。</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eastAsia="宋体" w:cs="宋体"/>
          <w:color w:val="000000"/>
          <w:sz w:val="24"/>
          <w:szCs w:val="24"/>
          <w:highlight w:val="none"/>
          <w:lang w:val="en-US" w:eastAsia="zh-CN" w:bidi="ar-SA"/>
        </w:rPr>
        <w:t xml:space="preserve">只接收以纸质原件形式送达的质疑</w:t>
      </w:r>
      <w:r>
        <w:rPr>
          <w:rFonts w:hint="eastAsia" w:ascii="宋体" w:hAnsi="宋体" w:cs="宋体"/>
          <w:color w:val="000000"/>
          <w:sz w:val="24"/>
          <w:highlight w:val="none"/>
        </w:rPr>
        <w:t xml:space="preserve">,采购人不接受未填写快递运单的快件。</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质疑受理部门：</w:t>
      </w:r>
      <w:r>
        <w:rPr>
          <w:rFonts w:hint="eastAsia" w:ascii="宋体" w:hAnsi="宋体" w:cs="宋体"/>
          <w:color w:val="000000"/>
          <w:sz w:val="24"/>
          <w:highlight w:val="none"/>
          <w:lang w:eastAsia="zh-CN"/>
        </w:rPr>
        <w:t xml:space="preserve">东台市教育局</w:t>
      </w:r>
      <w:r>
        <w:rPr>
          <w:rFonts w:hint="eastAsia" w:ascii="宋体" w:hAnsi="宋体" w:cs="宋体"/>
          <w:color w:val="000000"/>
          <w:sz w:val="24"/>
          <w:highlight w:val="none"/>
        </w:rPr>
        <w:t xml:space="preserve">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联系地址：东台市范公北路9号</w:t>
      </w:r>
      <w:r>
        <w:rPr>
          <w:rFonts w:hint="eastAsia" w:ascii="宋体" w:hAnsi="宋体" w:cs="宋体"/>
          <w:color w:val="000000"/>
          <w:sz w:val="24"/>
          <w:highlight w:val="none"/>
        </w:rPr>
      </w:r>
      <w:r>
        <w:rPr>
          <w:highlight w:val="none"/>
        </w:rPr>
      </w:r>
    </w:p>
    <w:p>
      <w:pPr>
        <w:pStyle w:val="637"/>
        <w:ind w:firstLine="480"/>
        <w:spacing w:line="360" w:lineRule="auto"/>
        <w:rPr>
          <w:rFonts w:ascii="宋体" w:hAnsi="宋体" w:eastAsia="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en-US" w:eastAsia="zh-CN"/>
        </w:rPr>
        <w:t xml:space="preserve">0515-68001717</w:t>
      </w:r>
      <w:r>
        <w:rPr>
          <w:rFonts w:ascii="宋体" w:hAnsi="宋体" w:eastAsia="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29.5 以下情形的质疑不予受理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29.5.1 内容不符合《政府采购质疑和投诉办法》第十二条规定的质疑。</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29.5.2 超出政府采购法定期限的质疑。</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29.5.3 以传真、电子邮件等方式递交的非原件形式的质疑。</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29.5.4 未参加投标活动的供应商或在投标活动中自身权益未受到损害的供应商所提出的质疑。</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29.5.5 供应商组成联合体参加投标，联合体中任何一方或多方未按要求签字、盖章、加盖公章的质疑。</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rPr>
        <w:t xml:space="preserve">30、中标通知书</w:t>
      </w:r>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rPr>
          <w:highlight w:val="none"/>
        </w:rPr>
      </w:r>
    </w:p>
    <w:p>
      <w:pPr>
        <w:pStyle w:val="658"/>
        <w:ind w:firstLine="281"/>
        <w:jc w:val="both"/>
        <w:keepLines/>
        <w:keepNext/>
        <w:spacing w:before="145" w:beforeAutospacing="0" w:after="145" w:afterAutospacing="0" w:line="360" w:lineRule="auto"/>
        <w:rPr>
          <w:color w:val="000000"/>
          <w:sz w:val="22"/>
          <w:szCs w:val="22"/>
          <w:highlight w:val="none"/>
        </w:rPr>
      </w:pPr>
      <w:r>
        <w:rPr>
          <w:highlight w:val="none"/>
        </w:rPr>
      </w:r>
      <w:bookmarkStart w:id="130" w:name="_Toc16938552"/>
      <w:r>
        <w:rPr>
          <w:highlight w:val="none"/>
        </w:rPr>
      </w:r>
      <w:bookmarkStart w:id="131" w:name="_Toc20823308"/>
      <w:r>
        <w:rPr>
          <w:highlight w:val="none"/>
        </w:rPr>
      </w:r>
      <w:bookmarkStart w:id="132" w:name="_Toc120614220"/>
      <w:r>
        <w:rPr>
          <w:highlight w:val="none"/>
        </w:rPr>
      </w:r>
      <w:bookmarkStart w:id="133" w:name="_Toc513029236"/>
      <w:r>
        <w:rPr>
          <w:rFonts w:ascii="Times New Roman" w:hAnsi="Times New Roman"/>
          <w:b/>
          <w:color w:val="000000"/>
          <w:sz w:val="28"/>
          <w:szCs w:val="28"/>
          <w:highlight w:val="none"/>
        </w:rPr>
        <w:t xml:space="preserve">七、授予合同</w:t>
      </w:r>
      <w:bookmarkEnd w:id="130"/>
      <w:r>
        <w:rPr>
          <w:highlight w:val="none"/>
        </w:rPr>
      </w:r>
      <w:bookmarkEnd w:id="131"/>
      <w:r>
        <w:rPr>
          <w:highlight w:val="none"/>
        </w:rPr>
      </w:r>
      <w:bookmarkEnd w:id="132"/>
      <w:r>
        <w:rPr>
          <w:highlight w:val="none"/>
        </w:rPr>
      </w:r>
      <w:bookmarkEnd w:id="133"/>
      <w:r>
        <w:rPr>
          <w:color w:val="000000"/>
          <w:sz w:val="22"/>
          <w:szCs w:val="22"/>
          <w:highlight w:val="none"/>
        </w:rPr>
      </w:r>
      <w:r>
        <w:rPr>
          <w:highlight w:val="none"/>
        </w:rPr>
      </w:r>
    </w:p>
    <w:p>
      <w:pPr>
        <w:pStyle w:val="637"/>
        <w:ind w:firstLine="600"/>
        <w:spacing w:line="360" w:lineRule="auto"/>
        <w:rPr>
          <w:rFonts w:hint="eastAsia" w:ascii="黑体" w:hAnsi="宋体" w:eastAsia="黑体" w:cs="黑体"/>
          <w:color w:val="000000"/>
          <w:sz w:val="30"/>
          <w:szCs w:val="30"/>
          <w:highlight w:val="none"/>
        </w:rPr>
      </w:pPr>
      <w:r>
        <w:rPr>
          <w:highlight w:val="none"/>
        </w:rPr>
      </w:r>
      <w:bookmarkStart w:id="134" w:name="_Toc20823309"/>
      <w:r>
        <w:rPr>
          <w:highlight w:val="none"/>
        </w:rPr>
      </w:r>
      <w:bookmarkStart w:id="135" w:name="_Toc16938553"/>
      <w:r>
        <w:rPr>
          <w:highlight w:val="none"/>
        </w:rPr>
      </w:r>
      <w:bookmarkStart w:id="136" w:name="_Toc513029237"/>
      <w:r>
        <w:rPr>
          <w:rFonts w:hint="eastAsia" w:ascii="黑体" w:hAnsi="宋体" w:eastAsia="黑体" w:cs="黑体"/>
          <w:color w:val="000000"/>
          <w:sz w:val="30"/>
          <w:szCs w:val="30"/>
          <w:highlight w:val="none"/>
        </w:rPr>
        <w:t xml:space="preserve">31.签订合同</w:t>
      </w:r>
      <w:bookmarkEnd w:id="134"/>
      <w:r>
        <w:rPr>
          <w:highlight w:val="none"/>
        </w:rPr>
      </w:r>
      <w:bookmarkEnd w:id="135"/>
      <w:r>
        <w:rPr>
          <w:highlight w:val="none"/>
        </w:rPr>
      </w:r>
      <w:bookmarkEnd w:id="136"/>
      <w:r>
        <w:rPr>
          <w:rFonts w:hint="eastAsia" w:ascii="黑体" w:hAnsi="宋体" w:eastAsia="黑体" w:cs="黑体"/>
          <w:color w:val="000000"/>
          <w:sz w:val="30"/>
          <w:szCs w:val="3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31.l 中标人应当在中标通知书发出之日起三十日内，按照招标文件确定的事项与采购人签订政府采购合同。</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 招标文件、中标人的投标文件及招标过程中有关澄清、承诺文件均应作为合同附件。</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 w:val="24"/>
          <w:highlight w:val="none"/>
        </w:rPr>
      </w:r>
      <w:r>
        <w:rPr>
          <w:highlight w:val="none"/>
        </w:rPr>
      </w:r>
    </w:p>
    <w:p>
      <w:pPr>
        <w:pStyle w:val="637"/>
        <w:ind w:firstLine="600"/>
        <w:spacing w:line="360" w:lineRule="auto"/>
        <w:rPr>
          <w:rFonts w:hint="eastAsia" w:ascii="宋体" w:hAnsi="宋体" w:cs="宋体"/>
          <w:color w:val="000000"/>
          <w:sz w:val="24"/>
          <w:highlight w:val="none"/>
        </w:rPr>
      </w:pPr>
      <w:r>
        <w:rPr>
          <w:rFonts w:hint="eastAsia" w:ascii="黑体" w:hAnsi="宋体" w:eastAsia="黑体" w:cs="黑体"/>
          <w:color w:val="000000"/>
          <w:sz w:val="30"/>
          <w:szCs w:val="30"/>
          <w:highlight w:val="none"/>
        </w:rPr>
        <w:t xml:space="preserve">32、服务（包含与服务相关的货物）的追加</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highlight w:val="none"/>
        </w:rPr>
      </w:r>
      <w:r>
        <w:rPr>
          <w:highlight w:val="none"/>
        </w:rPr>
      </w:r>
    </w:p>
    <w:p>
      <w:pPr>
        <w:pStyle w:val="658"/>
        <w:numPr>
          <w:ilvl w:val="0"/>
          <w:numId w:val="0"/>
        </w:numPr>
        <w:ind w:left="474"/>
        <w:jc w:val="both"/>
        <w:spacing w:beforeAutospacing="0" w:afterAutospacing="0"/>
        <w:rPr>
          <w:rFonts w:ascii="黑体" w:hAnsi="宋体" w:eastAsia="黑体" w:cs="黑体"/>
          <w:color w:val="000000"/>
          <w:sz w:val="30"/>
          <w:szCs w:val="30"/>
          <w:highlight w:val="none"/>
        </w:rPr>
      </w:pPr>
      <w:r>
        <w:rPr>
          <w:rFonts w:hint="eastAsia" w:ascii="黑体" w:hAnsi="宋体" w:eastAsia="黑体" w:cs="黑体"/>
          <w:color w:val="000000"/>
          <w:sz w:val="30"/>
          <w:szCs w:val="30"/>
          <w:highlight w:val="none"/>
          <w:lang w:val="en-US" w:eastAsia="zh-CN"/>
        </w:rPr>
        <w:t xml:space="preserve">33.政府采购政策功能落实</w:t>
      </w:r>
      <w:r>
        <w:rPr>
          <w:rFonts w:ascii="黑体" w:hAnsi="宋体" w:eastAsia="黑体" w:cs="黑体"/>
          <w:color w:val="000000"/>
          <w:sz w:val="30"/>
          <w:szCs w:val="30"/>
          <w:highlight w:val="none"/>
          <w:lang w:val="en-US" w:eastAsia="zh-CN"/>
        </w:rPr>
      </w:r>
      <w:r>
        <w:rPr>
          <w:highlight w:val="none"/>
        </w:rPr>
      </w:r>
    </w:p>
    <w:p>
      <w:pPr>
        <w:pStyle w:val="658"/>
        <w:ind w:firstLine="600"/>
        <w:jc w:val="both"/>
        <w:keepLines/>
        <w:keepNext/>
        <w:spacing w:beforeAutospacing="0" w:afterAutospacing="0"/>
        <w:rPr>
          <w:color w:val="000000"/>
          <w:highlight w:val="none"/>
        </w:rPr>
      </w:pPr>
      <w:r>
        <w:rPr>
          <w:rFonts w:hint="eastAsia" w:ascii="黑体" w:hAnsi="宋体" w:eastAsia="黑体" w:cs="黑体"/>
          <w:color w:val="000000"/>
          <w:sz w:val="30"/>
          <w:szCs w:val="30"/>
          <w:highlight w:val="none"/>
          <w:lang w:val="en-US" w:eastAsia="zh-CN"/>
        </w:rPr>
        <w:t xml:space="preserve">33.1</w:t>
      </w:r>
      <w:r>
        <w:rPr>
          <w:rFonts w:hint="eastAsia" w:ascii="黑体" w:hAnsi="宋体" w:eastAsia="黑体" w:cs="黑体"/>
          <w:color w:val="000000"/>
          <w:sz w:val="30"/>
          <w:szCs w:val="30"/>
          <w:highlight w:val="none"/>
        </w:rPr>
        <w:t xml:space="preserve">政府采购</w:t>
      </w:r>
      <w:r>
        <w:rPr>
          <w:rFonts w:hint="eastAsia" w:ascii="黑体" w:hAnsi="宋体" w:eastAsia="黑体" w:cs="黑体"/>
          <w:color w:val="000000"/>
          <w:sz w:val="30"/>
          <w:szCs w:val="30"/>
          <w:highlight w:val="none"/>
          <w:lang w:eastAsia="zh-CN"/>
        </w:rPr>
        <w:t xml:space="preserve">线上合同信用融资</w:t>
      </w:r>
      <w:r>
        <w:rPr>
          <w:rFonts w:hint="eastAsia" w:ascii="黑体" w:hAnsi="宋体" w:eastAsia="黑体" w:cs="黑体"/>
          <w:color w:val="000000"/>
          <w:sz w:val="30"/>
          <w:szCs w:val="30"/>
          <w:highlight w:val="none"/>
        </w:rPr>
        <w:t xml:space="preserve">政策</w:t>
      </w:r>
      <w:r>
        <w:rPr>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rPr>
          <w:rFonts w:hint="eastAsia" w:ascii="宋体" w:hAnsi="宋体" w:cs="宋体"/>
          <w:color w:val="000000"/>
          <w:sz w:val="24"/>
          <w:highlight w:val="none"/>
          <w:lang w:val="en-US" w:eastAsia="zh-CN"/>
        </w:rPr>
      </w:r>
      <w:r>
        <w:rPr>
          <w:highlight w:val="none"/>
        </w:rPr>
      </w:r>
    </w:p>
    <w:p>
      <w:pPr>
        <w:pStyle w:val="637"/>
        <w:ind w:firstLine="482"/>
        <w:spacing w:line="480" w:lineRule="exact"/>
        <w:tabs>
          <w:tab w:val="left" w:pos="1381" w:leader="none"/>
        </w:tabs>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lang w:val="en-US" w:eastAsia="zh-CN" w:bidi="ar-SA"/>
        </w:rPr>
        <w:t xml:space="preserve">33.2进口产品</w:t>
      </w:r>
      <w:r>
        <w:rPr>
          <w:rFonts w:hint="eastAsia" w:ascii="黑体" w:hAnsi="宋体" w:eastAsia="黑体" w:cs="黑体"/>
          <w:color w:val="000000"/>
          <w:sz w:val="30"/>
          <w:szCs w:val="30"/>
          <w:highlight w:val="none"/>
          <w:lang w:val="en-US" w:eastAsia="zh-CN" w:bidi="ar-SA"/>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lang w:val="en-US" w:eastAsia="zh-CN"/>
        </w:rPr>
      </w:r>
      <w:r>
        <w:rPr>
          <w:highlight w:val="none"/>
        </w:rPr>
      </w:r>
    </w:p>
    <w:p>
      <w:pPr>
        <w:pStyle w:val="637"/>
        <w:ind w:firstLine="482"/>
        <w:spacing w:line="480" w:lineRule="exact"/>
        <w:tabs>
          <w:tab w:val="left" w:pos="1381" w:leader="none"/>
        </w:tabs>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lang w:val="en-US" w:eastAsia="zh-CN" w:bidi="ar-SA"/>
        </w:rPr>
        <w:t xml:space="preserve">33.3中小企业、监狱企业及残疾人福利性单位</w:t>
      </w:r>
      <w:r>
        <w:rPr>
          <w:rFonts w:hint="eastAsia" w:ascii="黑体" w:hAnsi="宋体" w:eastAsia="黑体" w:cs="黑体"/>
          <w:color w:val="000000"/>
          <w:sz w:val="30"/>
          <w:szCs w:val="30"/>
          <w:highlight w:val="none"/>
          <w:lang w:val="en-US" w:eastAsia="zh-CN" w:bidi="ar-SA"/>
        </w:rPr>
      </w:r>
      <w:r>
        <w:rPr>
          <w:highlight w:val="none"/>
        </w:rPr>
      </w:r>
    </w:p>
    <w:p>
      <w:pPr>
        <w:pStyle w:val="637"/>
        <w:ind w:firstLine="480"/>
        <w:spacing w:line="48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.3.1</w:t>
      </w:r>
      <w:r>
        <w:rPr>
          <w:rFonts w:ascii="宋体" w:hAnsi="宋体"/>
          <w:sz w:val="24"/>
          <w:szCs w:val="24"/>
          <w:highlight w:val="none"/>
        </w:rPr>
        <w:t xml:space="preserve">中小企业定义：</w:t>
      </w:r>
      <w:r>
        <w:rPr>
          <w:rFonts w:ascii="宋体" w:hAnsi="宋体"/>
          <w:sz w:val="24"/>
          <w:szCs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中小企业</w:t>
      </w:r>
      <w:r>
        <w:rPr>
          <w:rFonts w:hint="eastAsia" w:ascii="宋体" w:hAnsi="宋体" w:eastAsia="宋体" w:cs="宋体"/>
          <w:color w:val="000000"/>
          <w:sz w:val="24"/>
          <w:szCs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33.3.2</w:t>
      </w: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33.3.2.1在货物采购项目中，货物由中小企业制造，即货物由中小企业生产且使用该中小企业商号或者注册商标；</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33.3.2.2在工程采购项目中，工程由中小企业承建，即工程施工单位为中小企业；</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33.3.2.3在服务采购项目中，服务由中小企业承接，即提供服务的人员为中小企业依照《中华人民共和国劳动合同法》订立劳动合同的从业人员。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33.3.3在货物采购项目中，供应商提供的货物既有中小企业制造货物，也有大型企业制造货物的，不享受中小企业扶持政策。</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33.3.4以联合体形式参加政府采购活动，联合体各方均为中小企业的，联合体视同中小企业。其中，联合体各方均为小微企业的，联合体视同小微企业。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33.3.6残疾人福利单位定义：享受政府采购支持政策的残疾人福利性单位应当同时满足以下条件：</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33.3.6.1安置的残疾人占本单位在职职工人数的比例不低于25%（含25%），并且安置的残疾人人数不少于10 人（含10 人）；</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33.3.6.2依法与安置的每位残疾人签订了一年以上（含一年）的劳动合同或服务协议；</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33.3.6.3为安置的每位残疾人按月足额缴纳了基本养老保险、基本医疗保险、失业保险、工伤保险和生育保险等社会保险费；</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33.3.6.4通过银行等金融机构向安置的每位残疾人，按月支付了不低于单位所在区县适用的经省级人民政府批准的月最低工资标准的工资；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33.3.6.5提供本单位制造的货物、承担的工程或者服务（以下简称产品），或者提供其他残疾人福利性单位制造的货物（不包括使用非残疾人福利性单位注册商标的货物）；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33.3.7本项目是否专门面向中小企业预留采购份额见第一章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33.3.8采购标的对应的中小企业划分标准所属行业见第四章《采购需求》。</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33.3.9小微企业价格评审优惠的政策：见第五章《评标方法和评标标准》。</w:t>
      </w:r>
      <w:r>
        <w:rPr>
          <w:rFonts w:hint="eastAsia" w:ascii="宋体" w:hAnsi="宋体" w:cs="宋体"/>
          <w:color w:val="000000"/>
          <w:sz w:val="24"/>
          <w:highlight w:val="none"/>
          <w:lang w:val="en-US" w:eastAsia="zh-CN"/>
        </w:rPr>
      </w:r>
      <w:r>
        <w:rPr>
          <w:highlight w:val="none"/>
        </w:rPr>
      </w:r>
    </w:p>
    <w:p>
      <w:pPr>
        <w:pStyle w:val="637"/>
        <w:ind w:firstLine="482"/>
        <w:spacing w:line="480" w:lineRule="exact"/>
        <w:tabs>
          <w:tab w:val="left" w:pos="1381" w:leader="none"/>
        </w:tabs>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lang w:val="en-US" w:eastAsia="zh-CN" w:bidi="ar-SA"/>
        </w:rPr>
        <w:t xml:space="preserve">33.4政府采购节能产品、环境标志产品</w:t>
      </w:r>
      <w:r>
        <w:rPr>
          <w:rFonts w:hint="eastAsia" w:ascii="黑体" w:hAnsi="宋体" w:eastAsia="黑体" w:cs="黑体"/>
          <w:color w:val="000000"/>
          <w:sz w:val="30"/>
          <w:szCs w:val="30"/>
          <w:highlight w:val="none"/>
          <w:lang w:val="en-US" w:eastAsia="zh-CN" w:bidi="ar-SA"/>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.4.1严格执行政府采购关于支</w:t>
      </w:r>
      <w:r>
        <w:rPr>
          <w:rFonts w:hint="eastAsia" w:ascii="宋体" w:hAnsi="宋体"/>
          <w:sz w:val="24"/>
          <w:szCs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rPr>
          <w:highlight w:val="none"/>
        </w:rPr>
      </w:r>
    </w:p>
    <w:p>
      <w:pPr>
        <w:pStyle w:val="637"/>
        <w:ind w:firstLine="482"/>
        <w:spacing w:line="480" w:lineRule="exact"/>
        <w:tabs>
          <w:tab w:val="left" w:pos="1381" w:leader="none"/>
        </w:tabs>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lang w:val="en-US" w:eastAsia="zh-CN" w:bidi="ar-SA"/>
        </w:rPr>
        <w:t xml:space="preserve">33.5绿色包装</w:t>
      </w:r>
      <w:r>
        <w:rPr>
          <w:rFonts w:hint="eastAsia" w:ascii="黑体" w:hAnsi="宋体" w:eastAsia="黑体" w:cs="黑体"/>
          <w:color w:val="000000"/>
          <w:sz w:val="30"/>
          <w:szCs w:val="30"/>
          <w:highlight w:val="none"/>
          <w:lang w:val="en-US" w:eastAsia="zh-CN" w:bidi="ar-SA"/>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cs="宋体"/>
          <w:color w:val="000000"/>
          <w:sz w:val="24"/>
          <w:highlight w:val="none"/>
          <w:lang w:val="en-US" w:eastAsia="zh-CN"/>
        </w:rPr>
      </w:r>
      <w:r>
        <w:rPr>
          <w:highlight w:val="none"/>
        </w:rPr>
      </w:r>
    </w:p>
    <w:p>
      <w:pPr>
        <w:pStyle w:val="637"/>
        <w:ind w:firstLine="482"/>
        <w:spacing w:line="480" w:lineRule="exact"/>
        <w:tabs>
          <w:tab w:val="left" w:pos="1381" w:leader="none"/>
        </w:tabs>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lang w:val="en-US" w:eastAsia="zh-CN" w:bidi="ar-SA"/>
        </w:rPr>
        <w:t xml:space="preserve">33.6政府采购创新产品</w:t>
      </w:r>
      <w:r>
        <w:rPr>
          <w:rFonts w:hint="eastAsia" w:ascii="黑体" w:hAnsi="宋体" w:eastAsia="黑体" w:cs="黑体"/>
          <w:color w:val="000000"/>
          <w:sz w:val="30"/>
          <w:szCs w:val="30"/>
          <w:highlight w:val="none"/>
          <w:lang w:val="en-US" w:eastAsia="zh-CN" w:bidi="ar-SA"/>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cs="宋体"/>
          <w:color w:val="000000"/>
          <w:sz w:val="24"/>
          <w:highlight w:val="none"/>
          <w:lang w:val="en-US" w:eastAsia="zh-CN"/>
        </w:rPr>
      </w:r>
      <w:r>
        <w:rPr>
          <w:highlight w:val="none"/>
        </w:rPr>
      </w:r>
    </w:p>
    <w:p>
      <w:pPr>
        <w:pStyle w:val="637"/>
        <w:ind w:firstLine="482"/>
        <w:spacing w:line="480" w:lineRule="exact"/>
        <w:tabs>
          <w:tab w:val="left" w:pos="1381" w:leader="none"/>
        </w:tabs>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lang w:val="en-US" w:eastAsia="zh-CN" w:bidi="ar-SA"/>
        </w:rPr>
        <w:t xml:space="preserve">33.7绿色数据中心政策 </w:t>
      </w:r>
      <w:r>
        <w:rPr>
          <w:rFonts w:hint="eastAsia" w:ascii="黑体" w:hAnsi="宋体" w:eastAsia="黑体" w:cs="黑体"/>
          <w:color w:val="000000"/>
          <w:sz w:val="30"/>
          <w:szCs w:val="30"/>
          <w:highlight w:val="none"/>
          <w:lang w:val="en-US" w:eastAsia="zh-CN" w:bidi="ar-SA"/>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cs="宋体"/>
          <w:color w:val="000000"/>
          <w:sz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lang w:val="en-US" w:eastAsia="zh-CN"/>
        </w:rPr>
      </w:r>
      <w:r>
        <w:rPr>
          <w:highlight w:val="none"/>
        </w:rPr>
      </w:r>
    </w:p>
    <w:p>
      <w:pPr>
        <w:pStyle w:val="637"/>
        <w:ind w:firstLine="482"/>
        <w:spacing w:line="480" w:lineRule="exact"/>
        <w:tabs>
          <w:tab w:val="left" w:pos="1381" w:leader="none"/>
        </w:tabs>
        <w:rPr>
          <w:rFonts w:hint="eastAsia" w:ascii="黑体" w:hAnsi="宋体" w:eastAsia="黑体" w:cs="黑体"/>
          <w:color w:val="000000"/>
          <w:sz w:val="30"/>
          <w:szCs w:val="30"/>
          <w:highlight w:val="none"/>
        </w:rPr>
      </w:pPr>
      <w:r>
        <w:rPr>
          <w:rFonts w:hint="eastAsia" w:ascii="黑体" w:hAnsi="宋体" w:eastAsia="黑体" w:cs="黑体"/>
          <w:color w:val="000000"/>
          <w:sz w:val="30"/>
          <w:szCs w:val="30"/>
          <w:highlight w:val="none"/>
          <w:lang w:val="en-US" w:eastAsia="zh-CN" w:bidi="ar-SA"/>
        </w:rPr>
        <w:t xml:space="preserve">33.8履约保证金政策</w:t>
      </w:r>
      <w:r>
        <w:rPr>
          <w:rFonts w:hint="eastAsia" w:ascii="黑体" w:hAnsi="宋体" w:eastAsia="黑体" w:cs="黑体"/>
          <w:color w:val="000000"/>
          <w:sz w:val="30"/>
          <w:szCs w:val="30"/>
          <w:highlight w:val="none"/>
          <w:lang w:val="en-US" w:eastAsia="zh-CN" w:bidi="ar-SA"/>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确需收取履约保证金的，履约保证金的缴纳形式：</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 如以履约保函（保险）形式缴纳履约保证金，供应商可通过政府采购电子履约保函（保险）平台（www.jsdzbh.com）在线申请履约保函（保险）。</w:t>
      </w:r>
      <w:r>
        <w:rPr>
          <w:rFonts w:hint="eastAsia" w:ascii="宋体" w:hAnsi="宋体" w:cs="宋体"/>
          <w:color w:val="000000"/>
          <w:sz w:val="24"/>
          <w:highlight w:val="none"/>
          <w:lang w:val="en-US" w:eastAsia="zh-CN"/>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color w:val="000000"/>
          <w:sz w:val="24"/>
          <w:highlight w:val="none"/>
          <w:lang w:val="en-US" w:eastAsia="zh-CN"/>
        </w:rPr>
      </w:r>
      <w:r>
        <w:rPr>
          <w:highlight w:val="none"/>
        </w:rPr>
      </w:r>
    </w:p>
    <w:p>
      <w:pPr>
        <w:pStyle w:val="637"/>
        <w:ind w:firstLine="482"/>
        <w:spacing w:line="480" w:lineRule="exact"/>
        <w:tabs>
          <w:tab w:val="left" w:pos="1381" w:leader="none"/>
        </w:tabs>
        <w:rPr>
          <w:rFonts w:ascii="黑体" w:hAnsi="宋体" w:eastAsia="黑体" w:cs="黑体"/>
          <w:color w:val="000000"/>
          <w:sz w:val="30"/>
          <w:szCs w:val="30"/>
          <w:highlight w:val="none"/>
        </w:rPr>
      </w:pPr>
      <w:r>
        <w:rPr>
          <w:rFonts w:hint="eastAsia" w:ascii="黑体" w:hAnsi="宋体" w:eastAsia="黑体" w:cs="黑体"/>
          <w:color w:val="000000"/>
          <w:sz w:val="30"/>
          <w:szCs w:val="30"/>
          <w:highlight w:val="none"/>
          <w:lang w:val="en-US" w:eastAsia="zh-CN" w:bidi="ar-SA"/>
        </w:rPr>
        <w:t xml:space="preserve">34. 预付款制度</w:t>
      </w:r>
      <w:r>
        <w:rPr>
          <w:rFonts w:ascii="黑体" w:hAnsi="宋体" w:eastAsia="黑体" w:cs="黑体"/>
          <w:color w:val="000000"/>
          <w:sz w:val="30"/>
          <w:szCs w:val="30"/>
          <w:highlight w:val="none"/>
          <w:lang w:val="en-US" w:eastAsia="zh-CN" w:bidi="ar-SA"/>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本项目落实预付款制度，预付款比例为</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highlight w:val="none"/>
        </w:rPr>
      </w:r>
      <w:r>
        <w:rPr>
          <w:highlight w:val="none"/>
        </w:rPr>
      </w:r>
    </w:p>
    <w:p>
      <w:pPr>
        <w:pStyle w:val="637"/>
        <w:jc w:val="center"/>
        <w:spacing w:line="360" w:lineRule="auto"/>
        <w:rPr>
          <w:rFonts w:hint="eastAsia" w:ascii="黑体" w:hAnsi="宋体" w:eastAsia="黑体" w:cs="黑体"/>
          <w:color w:val="000000"/>
          <w:sz w:val="44"/>
          <w:szCs w:val="44"/>
          <w:highlight w:val="none"/>
        </w:rPr>
      </w:pPr>
      <w:r>
        <w:rPr>
          <w:rFonts w:hint="eastAsia" w:ascii="宋体" w:hAnsi="宋体" w:eastAsia="宋体" w:cs="宋体"/>
          <w:color w:val="000000"/>
          <w:sz w:val="24"/>
          <w:highlight w:val="none"/>
        </w:rPr>
        <w:br w:type="page" w:clear="all"/>
      </w:r>
      <w:r>
        <w:rPr>
          <w:rFonts w:hint="eastAsia" w:ascii="黑体" w:hAnsi="宋体" w:eastAsia="黑体" w:cs="黑体"/>
          <w:color w:val="000000"/>
          <w:sz w:val="44"/>
          <w:szCs w:val="44"/>
          <w:highlight w:val="none"/>
        </w:rPr>
        <w:t xml:space="preserve">第三章  合同文本</w:t>
      </w:r>
      <w:r>
        <w:rPr>
          <w:rFonts w:hint="eastAsia" w:ascii="黑体" w:hAnsi="宋体" w:eastAsia="黑体" w:cs="黑体"/>
          <w:color w:val="000000"/>
          <w:sz w:val="44"/>
          <w:szCs w:val="44"/>
          <w:highlight w:val="none"/>
        </w:rPr>
      </w:r>
      <w:r>
        <w:rPr>
          <w:highlight w:val="none"/>
        </w:rPr>
      </w:r>
    </w:p>
    <w:p>
      <w:pPr>
        <w:pStyle w:val="658"/>
        <w:ind w:firstLine="420"/>
        <w:jc w:val="both"/>
        <w:keepLines/>
        <w:keepNext/>
        <w:spacing w:beforeAutospacing="0" w:afterAutospacing="0" w:line="440" w:lineRule="exact"/>
        <w:rPr>
          <w:rFonts w:hint="eastAsia" w:ascii="宋体" w:hAnsi="宋体" w:cs="宋体"/>
          <w:color w:val="000000"/>
          <w:highlight w:val="none"/>
        </w:rPr>
      </w:pPr>
      <w:r>
        <w:rPr>
          <w:highlight w:val="none"/>
        </w:rPr>
      </w:r>
      <w:bookmarkStart w:id="137" w:name="_Toc513029243"/>
      <w:r>
        <w:rPr>
          <w:highlight w:val="none"/>
        </w:rPr>
      </w:r>
      <w:bookmarkStart w:id="138" w:name="_Toc16938559"/>
      <w:r>
        <w:rPr>
          <w:highlight w:val="none"/>
        </w:rPr>
      </w:r>
      <w:bookmarkStart w:id="139" w:name="_Toc20823315"/>
      <w:r>
        <w:rPr>
          <w:rFonts w:hint="eastAsia" w:ascii="宋体" w:hAnsi="宋体" w:cs="宋体"/>
          <w:color w:val="000000"/>
          <w:highlight w:val="none"/>
        </w:rPr>
        <w:t xml:space="preserve">以下为中标后签定本项目合同的通用条款，中标人不得提出实质性的修改。</w:t>
      </w:r>
      <w:bookmarkEnd w:id="137"/>
      <w:r>
        <w:rPr>
          <w:highlight w:val="none"/>
        </w:rPr>
      </w:r>
      <w:bookmarkEnd w:id="138"/>
      <w:r>
        <w:rPr>
          <w:highlight w:val="none"/>
        </w:rPr>
      </w:r>
      <w:bookmarkEnd w:id="139"/>
      <w:r>
        <w:rPr>
          <w:rFonts w:hint="eastAsia" w:ascii="宋体" w:hAnsi="宋体" w:cs="宋体"/>
          <w:color w:val="000000"/>
          <w:highlight w:val="none"/>
        </w:rPr>
      </w:r>
      <w:r>
        <w:rPr>
          <w:highlight w:val="none"/>
        </w:rPr>
      </w:r>
    </w:p>
    <w:p>
      <w:pPr>
        <w:pStyle w:val="658"/>
        <w:jc w:val="center"/>
        <w:spacing w:before="145" w:beforeAutospacing="0" w:after="145" w:afterAutospacing="0"/>
        <w:rPr>
          <w:color w:val="000000"/>
          <w:highlight w:val="none"/>
        </w:rPr>
      </w:pPr>
      <w:r>
        <w:rPr>
          <w:highlight w:val="none"/>
        </w:rPr>
      </w:r>
      <w:bookmarkStart w:id="140" w:name="_Toc462564139"/>
      <w:r>
        <w:rPr>
          <w:highlight w:val="none"/>
        </w:rPr>
      </w:r>
      <w:bookmarkStart w:id="141" w:name="_Toc479757211"/>
      <w:r>
        <w:rPr>
          <w:highlight w:val="none"/>
        </w:rPr>
      </w:r>
      <w:bookmarkStart w:id="142" w:name="_Toc16938590"/>
      <w:r>
        <w:rPr>
          <w:highlight w:val="none"/>
        </w:rPr>
      </w:r>
      <w:bookmarkStart w:id="143" w:name="_Toc120614244"/>
      <w:r>
        <w:rPr>
          <w:highlight w:val="none"/>
        </w:rPr>
      </w:r>
      <w:bookmarkStart w:id="144" w:name="_Toc20823346"/>
      <w:r>
        <w:rPr>
          <w:highlight w:val="none"/>
        </w:rPr>
      </w:r>
      <w:bookmarkStart w:id="145" w:name="_Hlt16619350"/>
      <w:r>
        <w:rPr>
          <w:highlight w:val="none"/>
        </w:rPr>
      </w:r>
      <w:bookmarkStart w:id="146" w:name="_Hlt16619369"/>
      <w:r>
        <w:rPr>
          <w:rFonts w:hint="eastAsia" w:ascii="宋体" w:hAnsi="宋体" w:cs="宋体"/>
          <w:b/>
          <w:color w:val="000000"/>
          <w:sz w:val="30"/>
          <w:szCs w:val="30"/>
          <w:highlight w:val="none"/>
        </w:rPr>
        <w:t xml:space="preserve">盐城市政府采购合同（</w:t>
      </w:r>
      <w:r>
        <w:rPr>
          <w:rFonts w:hint="eastAsia" w:ascii="宋体" w:hAnsi="宋体" w:eastAsia="宋体" w:cs="宋体"/>
          <w:b/>
          <w:color w:val="000000"/>
          <w:sz w:val="30"/>
          <w:szCs w:val="30"/>
          <w:highlight w:val="none"/>
        </w:rPr>
        <w:t xml:space="preserve">服务</w:t>
      </w:r>
      <w:r>
        <w:rPr>
          <w:rFonts w:hint="eastAsia" w:ascii="宋体" w:hAnsi="宋体" w:cs="宋体"/>
          <w:b/>
          <w:color w:val="000000"/>
          <w:sz w:val="30"/>
          <w:szCs w:val="30"/>
          <w:highlight w:val="none"/>
        </w:rPr>
        <w:t xml:space="preserve">）（合同编号）</w:t>
      </w:r>
      <w:r>
        <w:rPr>
          <w:color w:val="000000"/>
          <w:highlight w:val="none"/>
        </w:rPr>
      </w:r>
      <w:r>
        <w:rPr>
          <w:highlight w:val="none"/>
        </w:rPr>
      </w:r>
    </w:p>
    <w:p>
      <w:pPr>
        <w:pStyle w:val="658"/>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lang w:eastAsia="zh-CN"/>
        </w:rPr>
        <w:t xml:space="preserve">东台智慧教育平台升级改造项目</w:t>
      </w:r>
      <w:r>
        <w:rPr>
          <w:rFonts w:hint="eastAsia" w:ascii="宋体" w:hAnsi="宋体" w:eastAsia="宋体" w:cs="宋体"/>
          <w:color w:val="000000"/>
          <w:highlight w:val="none"/>
          <w:lang w:eastAsia="zh-CN"/>
        </w:rPr>
      </w:r>
      <w:r>
        <w:rPr>
          <w:highlight w:val="none"/>
        </w:rPr>
      </w:r>
    </w:p>
    <w:p>
      <w:pPr>
        <w:pStyle w:val="658"/>
        <w:ind w:firstLine="480"/>
        <w:jc w:val="both"/>
        <w:spacing w:before="120" w:beforeAutospacing="0" w:after="120" w:afterAutospacing="0"/>
        <w:rPr>
          <w:rFonts w:ascii="宋体" w:hAnsi="宋体" w:cs="宋体"/>
          <w:color w:val="000000"/>
          <w:highlight w:val="none"/>
        </w:rPr>
      </w:pPr>
      <w:r>
        <w:rPr>
          <w:rFonts w:hint="eastAsia" w:ascii="宋体" w:hAnsi="宋体" w:cs="宋体"/>
          <w:color w:val="000000"/>
          <w:highlight w:val="none"/>
        </w:rPr>
        <w:t xml:space="preserve">项目编号：</w:t>
      </w:r>
      <w:r>
        <w:rPr>
          <w:rFonts w:ascii="宋体" w:hAnsi="宋体" w:cs="宋体"/>
          <w:color w:val="000000"/>
          <w:highlight w:val="none"/>
        </w:rPr>
      </w:r>
      <w:r>
        <w:rPr>
          <w:highlight w:val="none"/>
        </w:rPr>
      </w:r>
    </w:p>
    <w:p>
      <w:pPr>
        <w:pStyle w:val="658"/>
        <w:ind w:firstLine="480"/>
        <w:jc w:val="both"/>
        <w:spacing w:before="120" w:beforeAutospacing="0" w:after="120" w:afterAutospacing="0"/>
        <w:rPr>
          <w:color w:val="000000"/>
          <w:highlight w:val="none"/>
        </w:rPr>
      </w:pPr>
      <w:r>
        <w:rPr>
          <w:rFonts w:hint="eastAsia" w:ascii="宋体" w:hAnsi="宋体" w:cs="宋体"/>
          <w:color w:val="000000"/>
          <w:highlight w:val="none"/>
        </w:rPr>
        <w:t xml:space="preserve">甲方：（买方）_________</w:t>
      </w:r>
      <w:r>
        <w:rPr>
          <w:color w:val="000000"/>
          <w:highlight w:val="none"/>
        </w:rPr>
      </w:r>
      <w:r>
        <w:rPr>
          <w:highlight w:val="none"/>
        </w:rPr>
      </w:r>
    </w:p>
    <w:p>
      <w:pPr>
        <w:pStyle w:val="658"/>
        <w:ind w:firstLine="480"/>
        <w:jc w:val="both"/>
        <w:spacing w:before="120" w:beforeAutospacing="0" w:after="120" w:afterAutospacing="0"/>
        <w:rPr>
          <w:color w:val="000000"/>
          <w:highlight w:val="none"/>
        </w:rPr>
      </w:pPr>
      <w:r>
        <w:rPr>
          <w:rFonts w:hint="eastAsia" w:ascii="宋体" w:hAnsi="宋体" w:cs="宋体"/>
          <w:color w:val="000000"/>
          <w:highlight w:val="none"/>
        </w:rPr>
        <w:t xml:space="preserve">乙方：（卖方）_________</w:t>
      </w:r>
      <w:r>
        <w:rPr>
          <w:color w:val="000000"/>
          <w:highlight w:val="none"/>
        </w:rPr>
      </w:r>
      <w:r>
        <w:rPr>
          <w:highlight w:val="none"/>
        </w:rPr>
      </w:r>
    </w:p>
    <w:p>
      <w:pPr>
        <w:pStyle w:val="658"/>
        <w:jc w:val="both"/>
        <w:spacing w:before="120" w:beforeAutospacing="0" w:after="120" w:afterAutospacing="0"/>
        <w:rPr>
          <w:color w:val="000000"/>
          <w:highlight w:val="none"/>
        </w:rPr>
      </w:pPr>
      <w:r>
        <w:rPr>
          <w:rFonts w:hint="eastAsia" w:ascii="宋体" w:hAnsi="宋体" w:cs="宋体"/>
          <w:b/>
          <w:color w:val="000000"/>
          <w:highlight w:val="none"/>
        </w:rPr>
        <w:t xml:space="preserve">   </w:t>
      </w:r>
      <w:r>
        <w:rPr>
          <w:rFonts w:hint="eastAsia" w:ascii="宋体" w:hAnsi="宋体" w:cs="宋体"/>
          <w:color w:val="000000"/>
          <w:highlight w:val="none"/>
        </w:rPr>
        <w:t xml:space="preserve">甲、乙双方根据</w:t>
      </w:r>
      <w:r>
        <w:rPr>
          <w:rFonts w:hint="eastAsia" w:ascii="宋体" w:hAnsi="宋体" w:cs="宋体"/>
          <w:color w:val="000000"/>
          <w:highlight w:val="none"/>
          <w:u w:val="single"/>
          <w:lang w:eastAsia="zh-CN"/>
        </w:rPr>
        <w:t xml:space="preserve">东台智慧教育平台升级改造项目</w:t>
      </w:r>
      <w:r>
        <w:rPr>
          <w:rFonts w:hint="eastAsia" w:ascii="宋体" w:hAnsi="宋体" w:cs="宋体"/>
          <w:color w:val="000000"/>
          <w:highlight w:val="none"/>
        </w:rPr>
        <w:t xml:space="preserve">项目公开招标的结果，签署本合同。</w:t>
      </w:r>
      <w:r>
        <w:rPr>
          <w:color w:val="000000"/>
          <w:highlight w:val="none"/>
        </w:rPr>
      </w:r>
      <w:r>
        <w:rPr>
          <w:highlight w:val="none"/>
        </w:rPr>
      </w:r>
    </w:p>
    <w:p>
      <w:pPr>
        <w:pStyle w:val="658"/>
        <w:ind w:firstLine="482"/>
        <w:jc w:val="both"/>
        <w:spacing w:before="120" w:beforeAutospacing="0" w:after="120" w:afterAutospacing="0"/>
        <w:rPr>
          <w:color w:val="000000"/>
          <w:highlight w:val="none"/>
        </w:rPr>
      </w:pPr>
      <w:r>
        <w:rPr>
          <w:rFonts w:hint="eastAsia" w:ascii="宋体" w:hAnsi="宋体" w:cs="宋体"/>
          <w:b/>
          <w:color w:val="000000"/>
          <w:highlight w:val="none"/>
        </w:rPr>
        <w:t xml:space="preserve">一、合同内容</w:t>
      </w:r>
      <w:r>
        <w:rPr>
          <w:color w:val="000000"/>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标的名称：</w:t>
      </w:r>
      <w:r>
        <w:rPr>
          <w:rFonts w:hint="eastAsia" w:ascii="宋体" w:hAnsi="宋体" w:eastAsia="宋体" w:cs="宋体"/>
          <w:color w:val="000000"/>
          <w:sz w:val="24"/>
          <w:highlight w:val="none"/>
          <w:lang w:eastAsia="zh-CN"/>
        </w:rPr>
        <w:t xml:space="preserve">东台智慧教育平台升级改造项目</w:t>
      </w:r>
      <w:r>
        <w:rPr>
          <w:rFonts w:hint="eastAsia" w:ascii="宋体" w:hAnsi="宋体" w:eastAsia="宋体" w:cs="宋体"/>
          <w:color w:val="000000"/>
          <w:sz w:val="24"/>
          <w:highlight w:val="none"/>
          <w:lang w:eastAsia="zh-CN"/>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 标的质量：</w:t>
      </w:r>
      <w:r>
        <w:rPr>
          <w:rFonts w:hint="eastAsia" w:ascii="宋体" w:hAnsi="宋体" w:eastAsia="宋体" w:cs="宋体"/>
          <w:color w:val="000000"/>
          <w:sz w:val="24"/>
          <w:highlight w:val="none"/>
          <w:lang w:eastAsia="zh-CN"/>
        </w:rPr>
        <w:t xml:space="preserve">乙方提供的</w:t>
      </w:r>
      <w:r>
        <w:rPr>
          <w:rFonts w:hint="eastAsia" w:ascii="宋体" w:hAnsi="宋体" w:eastAsia="宋体" w:cs="宋体"/>
          <w:color w:val="000000"/>
          <w:sz w:val="24"/>
          <w:highlight w:val="none"/>
          <w:lang w:val="en-US" w:eastAsia="zh-CN"/>
        </w:rPr>
        <w:t xml:space="preserve">服务质量</w:t>
      </w:r>
      <w:r>
        <w:rPr>
          <w:rFonts w:hint="eastAsia" w:ascii="宋体" w:hAnsi="宋体" w:eastAsia="宋体" w:cs="宋体"/>
          <w:color w:val="000000"/>
          <w:sz w:val="24"/>
          <w:highlight w:val="none"/>
          <w:lang w:eastAsia="zh-CN"/>
        </w:rPr>
        <w:t xml:space="preserve">一律按国家与行业标准执行。软件类满足国家法律法规、相关规范及行业标准要求及采购人的实际需求。</w:t>
      </w:r>
      <w:r>
        <w:rPr>
          <w:rFonts w:hint="eastAsia" w:ascii="宋体" w:hAnsi="宋体" w:eastAsia="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 标的数量（规模）：具体内容详见投标报价表</w:t>
      </w:r>
      <w:r>
        <w:rPr>
          <w:rFonts w:hint="eastAsia" w:ascii="宋体" w:hAnsi="宋体" w:eastAsia="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 履行时间（期限）：合同签订后</w:t>
      </w:r>
      <w:r>
        <w:rPr>
          <w:rFonts w:hint="eastAsia" w:ascii="宋体" w:hAnsi="宋体" w:eastAsia="宋体" w:cs="宋体"/>
          <w:color w:val="000000"/>
          <w:sz w:val="24"/>
          <w:highlight w:val="none"/>
          <w:lang w:eastAsia="zh-CN"/>
        </w:rPr>
        <w:t xml:space="preserve">30日内</w:t>
      </w:r>
      <w:r>
        <w:rPr>
          <w:rFonts w:hint="eastAsia" w:ascii="宋体" w:hAnsi="宋体" w:eastAsia="宋体" w:cs="宋体"/>
          <w:color w:val="000000"/>
          <w:sz w:val="24"/>
          <w:highlight w:val="none"/>
        </w:rPr>
        <w:t xml:space="preserve">全部送达招标人指定地点，并安装调试完毕。</w:t>
      </w:r>
      <w:r>
        <w:rPr>
          <w:rFonts w:hint="eastAsia" w:ascii="宋体" w:hAnsi="宋体" w:eastAsia="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 履行地点：</w:t>
      </w:r>
      <w:r>
        <w:rPr>
          <w:rFonts w:hint="eastAsia" w:ascii="宋体" w:hAnsi="宋体" w:eastAsia="宋体" w:cs="宋体"/>
          <w:color w:val="000000"/>
          <w:sz w:val="24"/>
          <w:highlight w:val="none"/>
          <w:lang w:eastAsia="zh-CN"/>
        </w:rPr>
        <w:t xml:space="preserve">东台市教育局</w:t>
      </w:r>
      <w:r>
        <w:rPr>
          <w:rFonts w:hint="eastAsia" w:ascii="宋体" w:hAnsi="宋体" w:eastAsia="宋体" w:cs="宋体"/>
          <w:color w:val="000000"/>
          <w:sz w:val="24"/>
          <w:highlight w:val="none"/>
        </w:rPr>
        <w:t xml:space="preserve">（采购人指定地点）</w:t>
      </w:r>
      <w:r>
        <w:rPr>
          <w:rFonts w:hint="eastAsia" w:ascii="宋体" w:hAnsi="宋体" w:eastAsia="宋体" w:cs="宋体"/>
          <w:color w:val="000000"/>
          <w:sz w:val="24"/>
          <w:highlight w:val="none"/>
        </w:rPr>
      </w:r>
      <w:r>
        <w:rPr>
          <w:highlight w:val="none"/>
        </w:rPr>
      </w:r>
    </w:p>
    <w:p>
      <w:pPr>
        <w:pStyle w:val="6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1.6 履行方式：</w:t>
      </w:r>
      <w:r>
        <w:rPr>
          <w:rFonts w:hint="eastAsia" w:ascii="宋体" w:hAnsi="宋体" w:eastAsia="宋体" w:cs="宋体"/>
          <w:color w:val="000000"/>
          <w:sz w:val="24"/>
          <w:highlight w:val="none"/>
          <w:lang w:val="en-US" w:eastAsia="zh-CN"/>
        </w:rPr>
        <w:t xml:space="preserve">现场交货</w:t>
      </w:r>
      <w:r>
        <w:rPr>
          <w:rFonts w:ascii="宋体" w:hAnsi="宋体" w:eastAsia="宋体" w:cs="宋体"/>
          <w:color w:val="000000"/>
          <w:sz w:val="24"/>
          <w:highlight w:val="none"/>
          <w:lang w:val="en-US" w:eastAsia="zh-CN"/>
        </w:rPr>
      </w:r>
      <w:r>
        <w:rPr>
          <w:highlight w:val="none"/>
        </w:rPr>
      </w:r>
    </w:p>
    <w:p>
      <w:pPr>
        <w:pStyle w:val="658"/>
        <w:ind w:firstLine="482"/>
        <w:jc w:val="both"/>
        <w:spacing w:before="120" w:beforeAutospacing="0" w:after="120" w:afterAutospacing="0"/>
        <w:rPr>
          <w:rFonts w:hint="eastAsia" w:ascii="宋体" w:hAnsi="宋体" w:cs="宋体"/>
          <w:b/>
          <w:color w:val="000000"/>
          <w:highlight w:val="none"/>
        </w:rPr>
      </w:pPr>
      <w:r>
        <w:rPr>
          <w:rFonts w:hint="eastAsia" w:ascii="宋体" w:hAnsi="宋体" w:cs="宋体"/>
          <w:b/>
          <w:color w:val="000000"/>
          <w:highlight w:val="none"/>
        </w:rPr>
        <w:t xml:space="preserve">二、合同金额</w:t>
      </w:r>
      <w:r>
        <w:rPr>
          <w:rFonts w:hint="eastAsia" w:ascii="宋体" w:hAnsi="宋体" w:cs="宋体"/>
          <w:b/>
          <w:color w:val="000000"/>
          <w:highlight w:val="none"/>
        </w:rPr>
      </w:r>
      <w:r>
        <w:rPr>
          <w:highlight w:val="none"/>
        </w:rPr>
      </w:r>
    </w:p>
    <w:p>
      <w:pPr>
        <w:pStyle w:val="6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 本合同金额为（大写）：_______圆（___元）人民币或其他币种。</w:t>
      </w:r>
      <w:r>
        <w:rPr>
          <w:rFonts w:hint="eastAsia" w:ascii="宋体" w:hAnsi="宋体" w:cs="宋体"/>
          <w:color w:val="000000"/>
          <w:sz w:val="24"/>
          <w:highlight w:val="none"/>
        </w:rPr>
      </w:r>
      <w:r>
        <w:rPr>
          <w:highlight w:val="none"/>
        </w:rPr>
      </w:r>
    </w:p>
    <w:p>
      <w:pPr>
        <w:pStyle w:val="658"/>
        <w:ind w:firstLine="482"/>
        <w:jc w:val="both"/>
        <w:spacing w:before="120" w:beforeAutospacing="0" w:after="120" w:afterAutospacing="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三、技术资料</w:t>
      </w:r>
      <w:r>
        <w:rPr>
          <w:rFonts w:hint="eastAsia" w:ascii="宋体" w:hAnsi="宋体" w:eastAsia="宋体" w:cs="宋体"/>
          <w:b/>
          <w:color w:val="000000"/>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3.1乙方应按招标文件规定的时间向甲方提供服务（包含与服务相关的货物）的有关技术资料。</w:t>
      </w:r>
      <w:r>
        <w:rPr>
          <w:rFonts w:hint="eastAsia" w:ascii="宋体" w:hAnsi="宋体" w:eastAsia="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highlight w:val="none"/>
        </w:rPr>
      </w:r>
      <w:r>
        <w:rPr>
          <w:highlight w:val="none"/>
        </w:rPr>
      </w:r>
    </w:p>
    <w:p>
      <w:pPr>
        <w:pStyle w:val="637"/>
        <w:ind w:firstLine="422"/>
        <w:spacing w:line="500" w:lineRule="exact"/>
        <w:rPr>
          <w:rFonts w:hint="eastAsia" w:ascii="宋体" w:hAnsi="宋体" w:cs="宋体"/>
          <w:b/>
          <w:bCs/>
          <w:color w:val="000000"/>
          <w:sz w:val="24"/>
          <w:highlight w:val="none"/>
        </w:rPr>
      </w:pPr>
      <w:r>
        <w:rPr>
          <w:rFonts w:hint="eastAsia"/>
          <w:b/>
          <w:color w:val="000000"/>
          <w:highlight w:val="none"/>
          <w:lang w:val="en-US" w:eastAsia="zh-CN"/>
        </w:rPr>
        <w:t xml:space="preserve">四</w:t>
      </w:r>
      <w:r>
        <w:rPr>
          <w:rFonts w:hint="eastAsia"/>
          <w:b/>
          <w:color w:val="000000"/>
          <w:highlight w:val="none"/>
        </w:rPr>
        <w:t xml:space="preserve">、</w:t>
      </w:r>
      <w:r>
        <w:rPr>
          <w:rFonts w:hint="eastAsia" w:ascii="宋体" w:hAnsi="宋体" w:cs="宋体"/>
          <w:b/>
          <w:bCs/>
          <w:color w:val="000000"/>
          <w:sz w:val="24"/>
          <w:highlight w:val="none"/>
        </w:rPr>
        <w:t xml:space="preserve">货物的要求 </w:t>
      </w:r>
      <w:r>
        <w:rPr>
          <w:rFonts w:hint="eastAsia" w:ascii="宋体" w:hAnsi="宋体" w:cs="宋体"/>
          <w:b/>
          <w:bCs/>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3.1货物应按照招标文件要求供应，选择使用寿命长、品质佳、性能价格优的货物，并需对响应文件涉及到专利负责，保证在任何情况下，不损害甲方利益。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3.2货物标准、规范：所供货物的质量、规格型号、技术要求及性能应满足招标文件要求，若招标文件要求无相应规定，则应符合相应的国家现行的相关规范标准及有关部门最新颁布的相应的最新标准。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乙方所供货物品牌必须为投标承诺的品牌，如在安装时乙方因种种原因而无法购买的，甲方有权直接采购其品牌，采购费用由乙方承担支付，如乙方拒绝支付或不能及时支付的，甲方有权终止合同，因此给甲方造成损失的，甲方将依法追偿。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3.4乙方在货物供货时要充分考虑相关验收规范要求，若因货物原因造成不能通过验收，乙方应承担相应全部责任。 </w:t>
      </w:r>
      <w:r>
        <w:rPr>
          <w:rFonts w:hint="eastAsia" w:ascii="宋体" w:hAnsi="宋体" w:cs="宋体"/>
          <w:color w:val="000000"/>
          <w:sz w:val="24"/>
          <w:highlight w:val="none"/>
        </w:rPr>
      </w:r>
      <w:r>
        <w:rPr>
          <w:highlight w:val="none"/>
        </w:rPr>
      </w:r>
    </w:p>
    <w:p>
      <w:pPr>
        <w:pStyle w:val="658"/>
        <w:ind w:firstLine="482"/>
        <w:jc w:val="both"/>
        <w:spacing w:before="120" w:beforeAutospacing="0" w:after="120" w:afterAutospacing="0"/>
        <w:rPr>
          <w:rFonts w:hint="eastAsia"/>
          <w:b/>
          <w:bCs/>
          <w:color w:val="000000"/>
          <w:highlight w:val="none"/>
        </w:rPr>
      </w:pPr>
      <w:r>
        <w:rPr>
          <w:rFonts w:hint="eastAsia"/>
          <w:b/>
          <w:color w:val="000000"/>
          <w:highlight w:val="none"/>
          <w:lang w:val="en-US" w:eastAsia="zh-CN"/>
        </w:rPr>
        <w:t xml:space="preserve">五</w:t>
      </w:r>
      <w:r>
        <w:rPr>
          <w:rFonts w:hint="eastAsia"/>
          <w:b/>
          <w:color w:val="000000"/>
          <w:highlight w:val="none"/>
        </w:rPr>
        <w:t xml:space="preserve">、</w:t>
      </w:r>
      <w:r>
        <w:rPr>
          <w:rFonts w:hint="eastAsia"/>
          <w:b/>
          <w:bCs/>
          <w:color w:val="000000"/>
          <w:highlight w:val="none"/>
        </w:rPr>
        <w:t xml:space="preserve">技术要求</w:t>
      </w:r>
      <w:r>
        <w:rPr>
          <w:rFonts w:hint="eastAsia"/>
          <w:b/>
          <w:bCs/>
          <w:color w:val="000000"/>
          <w:highlight w:val="none"/>
        </w:rPr>
      </w:r>
      <w:r>
        <w:rPr>
          <w:highlight w:val="none"/>
        </w:rPr>
      </w:r>
    </w:p>
    <w:p>
      <w:pPr>
        <w:pStyle w:val="658"/>
        <w:ind w:firstLine="480"/>
        <w:jc w:val="both"/>
        <w:spacing w:before="120" w:beforeAutospacing="0" w:after="120" w:afterAutospacing="0"/>
        <w:rPr>
          <w:color w:val="000000"/>
          <w:highlight w:val="none"/>
        </w:rPr>
      </w:pPr>
      <w:r>
        <w:rPr>
          <w:rFonts w:hint="eastAsia"/>
          <w:color w:val="000000"/>
          <w:highlight w:val="none"/>
        </w:rPr>
        <w:t xml:space="preserve">详见招标文件第四章采购需求。</w:t>
      </w:r>
      <w:r>
        <w:rPr>
          <w:color w:val="000000"/>
          <w:highlight w:val="none"/>
        </w:rPr>
      </w:r>
      <w:r>
        <w:rPr>
          <w:highlight w:val="none"/>
        </w:rPr>
      </w:r>
    </w:p>
    <w:p>
      <w:pPr>
        <w:pStyle w:val="658"/>
        <w:ind w:firstLine="482"/>
        <w:jc w:val="both"/>
        <w:spacing w:before="120" w:beforeAutospacing="0" w:after="120" w:afterAutospacing="0"/>
        <w:rPr>
          <w:rFonts w:hint="eastAsia" w:ascii="宋体" w:hAnsi="宋体" w:cs="宋体"/>
          <w:b/>
          <w:color w:val="000000"/>
          <w:highlight w:val="none"/>
        </w:rPr>
      </w:pPr>
      <w:r>
        <w:rPr>
          <w:rFonts w:hint="eastAsia" w:ascii="宋体" w:hAnsi="宋体" w:cs="宋体"/>
          <w:b/>
          <w:color w:val="000000"/>
          <w:highlight w:val="none"/>
          <w:lang w:val="en-US" w:eastAsia="zh-CN"/>
        </w:rPr>
        <w:t xml:space="preserve">六</w:t>
      </w:r>
      <w:r>
        <w:rPr>
          <w:rFonts w:hint="eastAsia" w:ascii="宋体" w:hAnsi="宋体" w:cs="宋体"/>
          <w:b/>
          <w:color w:val="000000"/>
          <w:highlight w:val="none"/>
        </w:rPr>
        <w:t xml:space="preserve">、知识产权</w:t>
      </w:r>
      <w:r>
        <w:rPr>
          <w:rFonts w:hint="eastAsia" w:ascii="宋体" w:hAnsi="宋体" w:cs="宋体"/>
          <w:b/>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宋体"/>
          <w:color w:val="000000"/>
          <w:sz w:val="24"/>
          <w:highlight w:val="none"/>
        </w:rPr>
      </w:r>
      <w:r>
        <w:rPr>
          <w:highlight w:val="none"/>
        </w:rPr>
      </w:r>
    </w:p>
    <w:p>
      <w:pPr>
        <w:pStyle w:val="658"/>
        <w:ind w:firstLine="482"/>
        <w:jc w:val="both"/>
        <w:spacing w:before="120" w:beforeAutospacing="0" w:after="120" w:afterAutospacing="0"/>
        <w:rPr>
          <w:rFonts w:hint="eastAsia" w:ascii="宋体" w:hAnsi="宋体" w:cs="宋体"/>
          <w:b/>
          <w:color w:val="000000"/>
          <w:highlight w:val="none"/>
        </w:rPr>
      </w:pPr>
      <w:r>
        <w:rPr>
          <w:rFonts w:hint="eastAsia" w:ascii="宋体" w:hAnsi="宋体" w:cs="宋体"/>
          <w:b/>
          <w:color w:val="000000"/>
          <w:highlight w:val="none"/>
          <w:lang w:val="en-US" w:eastAsia="zh-CN"/>
        </w:rPr>
        <w:t xml:space="preserve">七</w:t>
      </w:r>
      <w:r>
        <w:rPr>
          <w:rFonts w:hint="eastAsia" w:ascii="宋体" w:hAnsi="宋体" w:cs="宋体"/>
          <w:b/>
          <w:color w:val="000000"/>
          <w:highlight w:val="none"/>
        </w:rPr>
        <w:t xml:space="preserve">、产权担保</w:t>
      </w:r>
      <w:r>
        <w:rPr>
          <w:rFonts w:hint="eastAsia" w:ascii="宋体" w:hAnsi="宋体" w:cs="宋体"/>
          <w:b/>
          <w:color w:val="000000"/>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乙方保证所交付的服务（包含与服务相关的货物）的所有权完全属于乙方且无任何抵押、查封等产权瑕疵。</w:t>
      </w:r>
      <w:r>
        <w:rPr>
          <w:rFonts w:hint="eastAsia" w:ascii="宋体" w:hAnsi="宋体" w:eastAsia="宋体" w:cs="宋体"/>
          <w:color w:val="000000"/>
          <w:sz w:val="24"/>
          <w:highlight w:val="none"/>
        </w:rPr>
      </w:r>
      <w:r>
        <w:rPr>
          <w:highlight w:val="none"/>
        </w:rPr>
      </w:r>
    </w:p>
    <w:p>
      <w:pPr>
        <w:pStyle w:val="658"/>
        <w:ind w:firstLine="482"/>
        <w:jc w:val="both"/>
        <w:spacing w:before="120" w:beforeAutospacing="0" w:after="120" w:afterAutospacing="0"/>
        <w:rPr>
          <w:rFonts w:hint="eastAsia" w:ascii="宋体" w:hAnsi="宋体" w:cs="宋体"/>
          <w:b/>
          <w:strike w:val="0"/>
          <w:color w:val="000000"/>
          <w:highlight w:val="none"/>
        </w:rPr>
      </w:pPr>
      <w:r>
        <w:rPr>
          <w:rFonts w:hint="eastAsia" w:ascii="宋体" w:hAnsi="宋体" w:cs="宋体"/>
          <w:b/>
          <w:strike w:val="0"/>
          <w:color w:val="000000"/>
          <w:highlight w:val="none"/>
          <w:lang w:val="en-US" w:eastAsia="zh-CN"/>
        </w:rPr>
        <w:t xml:space="preserve">八</w:t>
      </w:r>
      <w:r>
        <w:rPr>
          <w:rFonts w:hint="eastAsia" w:ascii="宋体" w:hAnsi="宋体" w:cs="宋体"/>
          <w:b/>
          <w:strike w:val="0"/>
          <w:color w:val="000000"/>
          <w:highlight w:val="none"/>
        </w:rPr>
        <w:t xml:space="preserve">、履约保证金</w:t>
      </w:r>
      <w:r>
        <w:rPr>
          <w:rFonts w:hint="eastAsia" w:ascii="宋体" w:hAnsi="宋体" w:cs="宋体"/>
          <w:b/>
          <w:strike w:val="0"/>
          <w:color w:val="000000"/>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lang w:val="en-US" w:eastAsia="zh-CN"/>
        </w:rPr>
        <w:t xml:space="preserve">8</w:t>
      </w:r>
      <w:r>
        <w:rPr>
          <w:rFonts w:hint="eastAsia" w:ascii="宋体" w:hAnsi="宋体" w:cs="宋体"/>
          <w:strike w:val="0"/>
          <w:color w:val="000000"/>
          <w:sz w:val="24"/>
          <w:highlight w:val="none"/>
        </w:rPr>
        <w:t xml:space="preserve">.1乙方交纳成交价的10%作为本合同的履约保证金。履约保证金用以约束成交供应商在合同履行中的行为，弥补合同执行中由于自身行为可能给采购人带来的各种损失。对AA评级及以上政府采购供应商（需提供信用管理部门备案的第三方信用报告，且信用报告概述页等内容通过“信用盐城”网站可查实），免收履约保证金。</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lang w:val="en-US" w:eastAsia="zh-CN"/>
        </w:rPr>
        <w:t xml:space="preserve">8</w:t>
      </w:r>
      <w:r>
        <w:rPr>
          <w:rFonts w:hint="eastAsia" w:ascii="宋体" w:hAnsi="宋体" w:cs="宋体"/>
          <w:strike w:val="0"/>
          <w:color w:val="000000"/>
          <w:sz w:val="24"/>
          <w:highlight w:val="none"/>
        </w:rPr>
        <w:t xml:space="preserve">.2确需收取履约保证金的，履约保证金的缴纳形式：</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lang w:val="en-US" w:eastAsia="zh-CN"/>
        </w:rPr>
        <w:t xml:space="preserve">8</w:t>
      </w:r>
      <w:r>
        <w:rPr>
          <w:rFonts w:hint="eastAsia" w:ascii="宋体" w:hAnsi="宋体" w:cs="宋体"/>
          <w:strike w:val="0"/>
          <w:color w:val="000000"/>
          <w:sz w:val="24"/>
          <w:highlight w:val="none"/>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lang w:val="en-US" w:eastAsia="zh-CN"/>
        </w:rPr>
        <w:t xml:space="preserve">8</w:t>
      </w:r>
      <w:r>
        <w:rPr>
          <w:rFonts w:hint="eastAsia" w:ascii="宋体" w:hAnsi="宋体" w:cs="宋体"/>
          <w:strike w:val="0"/>
          <w:color w:val="000000"/>
          <w:sz w:val="24"/>
          <w:highlight w:val="none"/>
        </w:rPr>
        <w:t xml:space="preserve">.2.2 如以履约保函（保险）形式缴纳履约保证金，供应商可通过政府采购电子履约保函（保险）平台（www.jsdzbh.com）在线申请履约保函（保险）。</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lang w:val="en-US" w:eastAsia="zh-CN"/>
        </w:rPr>
        <w:t xml:space="preserve">8</w:t>
      </w:r>
      <w:r>
        <w:rPr>
          <w:rFonts w:hint="eastAsia" w:ascii="宋体" w:hAnsi="宋体" w:cs="宋体"/>
          <w:strike w:val="0"/>
          <w:color w:val="000000"/>
          <w:sz w:val="24"/>
          <w:highlight w:val="none"/>
        </w:rPr>
        <w:t xml:space="preserve">.3合同履行结束后，甲方应及时退还交纳的履约保证金。</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lang w:val="en-US" w:eastAsia="zh-CN"/>
        </w:rPr>
        <w:t xml:space="preserve">8</w:t>
      </w:r>
      <w:r>
        <w:rPr>
          <w:rFonts w:hint="eastAsia" w:ascii="宋体" w:hAnsi="宋体" w:cs="宋体"/>
          <w:strike w:val="0"/>
          <w:color w:val="000000"/>
          <w:sz w:val="24"/>
          <w:highlight w:val="none"/>
        </w:rPr>
        <w:t xml:space="preserve">.4履约保证金的退还：</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lang w:val="en-US" w:eastAsia="zh-CN"/>
        </w:rPr>
        <w:t xml:space="preserve">8</w:t>
      </w:r>
      <w:r>
        <w:rPr>
          <w:rFonts w:hint="eastAsia" w:ascii="宋体" w:hAnsi="宋体" w:cs="宋体"/>
          <w:strike w:val="0"/>
          <w:color w:val="000000"/>
          <w:sz w:val="24"/>
          <w:highlight w:val="none"/>
        </w:rPr>
        <w:t xml:space="preserve">.4.1方式：无息退还至投标人缴纳履约保证金的账户。如为保函，在到期时自行失效。</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lang w:val="en-US" w:eastAsia="zh-CN"/>
        </w:rPr>
        <w:t xml:space="preserve">8</w:t>
      </w:r>
      <w:r>
        <w:rPr>
          <w:rFonts w:hint="eastAsia" w:ascii="宋体" w:hAnsi="宋体" w:cs="宋体"/>
          <w:strike w:val="0"/>
          <w:color w:val="000000"/>
          <w:sz w:val="24"/>
          <w:highlight w:val="none"/>
        </w:rPr>
        <w:t xml:space="preserve">.4.2时间：验收合格且采购人收到发票后30日内。</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lang w:val="en-US" w:eastAsia="zh-CN"/>
        </w:rPr>
        <w:t xml:space="preserve">8</w:t>
      </w:r>
      <w:r>
        <w:rPr>
          <w:rFonts w:hint="eastAsia" w:ascii="宋体" w:hAnsi="宋体" w:cs="宋体"/>
          <w:strike w:val="0"/>
          <w:color w:val="000000"/>
          <w:sz w:val="24"/>
          <w:highlight w:val="none"/>
        </w:rPr>
        <w:t xml:space="preserve">.4.3条件：按合同要求全部履约完成并经采购人验收合格，且采购人收到中标人出具的发票。</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lang w:val="en-US" w:eastAsia="zh-CN"/>
        </w:rPr>
        <w:t xml:space="preserve">8</w:t>
      </w:r>
      <w:r>
        <w:rPr>
          <w:rFonts w:hint="eastAsia" w:ascii="宋体" w:hAnsi="宋体" w:cs="宋体"/>
          <w:strike w:val="0"/>
          <w:color w:val="000000"/>
          <w:sz w:val="24"/>
          <w:highlight w:val="none"/>
        </w:rPr>
        <w:t xml:space="preserve">.4.4不予退还情形：</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rPr>
        <w:t xml:space="preserve">除不可抗力情况外，投标人出现下列情形之一的，其履约保证金，招标人将视情节决定不予退还或部分不予退还。</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rPr>
        <w:t xml:space="preserve">（1）中标人无正当理由拒绝签订合同的，或者在签订合同时向采购人提出附加条件或者更改合同实质性内容要求的；</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rPr>
        <w:t xml:space="preserve">（2）中标人不履行与采购人订立的合同的；</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rPr>
        <w:t xml:space="preserve">（3）中标人所供货物或服务不符合招标文件规定要求的；</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rPr>
        <w:t xml:space="preserve">（4）中标人采取欺骗、弄虚作假方式投标的或与其它投标人串通投标的；</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rPr>
        <w:t xml:space="preserve">（5）中标人将合同内容转包、违法分包的；</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rPr>
        <w:t xml:space="preserve">（6）中标人故意捏造事实或伪造证明材料，进行虚假恶意投诉或反映的。</w:t>
      </w:r>
      <w:r>
        <w:rPr>
          <w:rFonts w:hint="eastAsia" w:ascii="宋体" w:hAnsi="宋体" w:cs="宋体"/>
          <w:strike w:val="0"/>
          <w:color w:val="000000"/>
          <w:sz w:val="24"/>
          <w:highlight w:val="none"/>
        </w:rPr>
      </w:r>
      <w:r>
        <w:rPr>
          <w:highlight w:val="none"/>
        </w:rPr>
      </w:r>
    </w:p>
    <w:p>
      <w:pPr>
        <w:pStyle w:val="637"/>
        <w:ind w:firstLine="480"/>
        <w:spacing w:line="360" w:lineRule="auto"/>
        <w:rPr>
          <w:rFonts w:hint="eastAsia" w:ascii="宋体" w:hAnsi="宋体" w:cs="宋体"/>
          <w:strike w:val="0"/>
          <w:color w:val="000000"/>
          <w:sz w:val="24"/>
          <w:highlight w:val="none"/>
        </w:rPr>
      </w:pPr>
      <w:r>
        <w:rPr>
          <w:rFonts w:hint="eastAsia" w:ascii="宋体" w:hAnsi="宋体" w:cs="宋体"/>
          <w:strike w:val="0"/>
          <w:color w:val="000000"/>
          <w:sz w:val="24"/>
          <w:highlight w:val="none"/>
          <w:lang w:val="en-US" w:eastAsia="zh-CN"/>
        </w:rPr>
        <w:t xml:space="preserve">8</w:t>
      </w:r>
      <w:r>
        <w:rPr>
          <w:rFonts w:hint="eastAsia" w:ascii="宋体" w:hAnsi="宋体" w:cs="宋体"/>
          <w:strike w:val="0"/>
          <w:color w:val="000000"/>
          <w:sz w:val="24"/>
          <w:highlight w:val="none"/>
        </w:rPr>
        <w:t xml:space="preserve">.4.5逾期退还的违约责任：采购人逾期无故未退还履约保证金的，按中国人民银行同期贷款基准利率上浮20%后的利率支付超期资金占用费，但因供应商自身原因导致无法及时退还的除外。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s="宋体"/>
          <w:strike w:val="0"/>
          <w:color w:val="000000"/>
          <w:sz w:val="24"/>
          <w:highlight w:val="none"/>
        </w:rPr>
      </w:r>
      <w:r>
        <w:rPr>
          <w:highlight w:val="none"/>
        </w:rPr>
      </w:r>
    </w:p>
    <w:p>
      <w:pPr>
        <w:pStyle w:val="658"/>
        <w:ind w:firstLine="482"/>
        <w:jc w:val="both"/>
        <w:spacing w:before="120" w:beforeAutospacing="0" w:after="120" w:afterAutospacing="0"/>
        <w:rPr>
          <w:rFonts w:hint="eastAsia" w:ascii="宋体" w:hAnsi="宋体" w:cs="宋体"/>
          <w:b/>
          <w:color w:val="000000"/>
          <w:highlight w:val="none"/>
        </w:rPr>
      </w:pPr>
      <w:r>
        <w:rPr>
          <w:rFonts w:hint="eastAsia" w:ascii="宋体" w:hAnsi="宋体" w:cs="宋体"/>
          <w:b/>
          <w:color w:val="000000"/>
          <w:highlight w:val="none"/>
          <w:lang w:val="en-US" w:eastAsia="zh-CN"/>
        </w:rPr>
        <w:t xml:space="preserve">九</w:t>
      </w:r>
      <w:r>
        <w:rPr>
          <w:rFonts w:hint="eastAsia" w:ascii="宋体" w:hAnsi="宋体" w:cs="宋体"/>
          <w:b/>
          <w:color w:val="000000"/>
          <w:highlight w:val="none"/>
        </w:rPr>
        <w:t xml:space="preserve">、合同转包或分包</w:t>
      </w:r>
      <w:r>
        <w:rPr>
          <w:rFonts w:hint="eastAsia" w:ascii="宋体" w:hAnsi="宋体" w:cs="宋体"/>
          <w:b/>
          <w:color w:val="000000"/>
          <w:highlight w:val="none"/>
        </w:rPr>
      </w:r>
      <w:r>
        <w:rPr>
          <w:highlight w:val="none"/>
        </w:rPr>
      </w:r>
    </w:p>
    <w:p>
      <w:pPr>
        <w:pStyle w:val="6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.1乙方不得将合同标的转包给他人履行。</w:t>
      </w:r>
      <w:r>
        <w:rPr>
          <w:rFonts w:hint="eastAsia" w:ascii="宋体" w:hAnsi="宋体" w:cs="宋体"/>
          <w:color w:val="000000"/>
          <w:sz w:val="24"/>
          <w:highlight w:val="none"/>
        </w:rPr>
      </w:r>
      <w:r>
        <w:rPr>
          <w:highlight w:val="none"/>
        </w:rPr>
      </w:r>
    </w:p>
    <w:p>
      <w:pPr>
        <w:pStyle w:val="6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.2乙方不得将合同标的分包给他人履行。</w:t>
      </w:r>
      <w:r>
        <w:rPr>
          <w:rFonts w:hint="eastAsia" w:ascii="宋体" w:hAnsi="宋体" w:cs="宋体"/>
          <w:color w:val="000000"/>
          <w:sz w:val="24"/>
          <w:highlight w:val="none"/>
        </w:rPr>
      </w:r>
      <w:r>
        <w:rPr>
          <w:highlight w:val="none"/>
        </w:rPr>
      </w:r>
    </w:p>
    <w:p>
      <w:pPr>
        <w:pStyle w:val="6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.3乙方如有转包或未经甲方同意的分包行为，甲方有权解除合同。</w:t>
      </w:r>
      <w:r>
        <w:rPr>
          <w:rFonts w:hint="eastAsia" w:ascii="宋体" w:hAnsi="宋体" w:cs="宋体"/>
          <w:color w:val="000000"/>
          <w:sz w:val="24"/>
          <w:highlight w:val="none"/>
        </w:rPr>
      </w:r>
      <w:r>
        <w:rPr>
          <w:highlight w:val="none"/>
        </w:rPr>
      </w:r>
    </w:p>
    <w:p>
      <w:pPr>
        <w:pStyle w:val="658"/>
        <w:ind w:firstLine="482"/>
        <w:jc w:val="both"/>
        <w:spacing w:before="120" w:beforeAutospacing="0" w:after="120" w:afterAutospacing="0"/>
        <w:rPr>
          <w:color w:val="000000"/>
          <w:highlight w:val="none"/>
        </w:rPr>
      </w:pPr>
      <w:r>
        <w:rPr>
          <w:rFonts w:hint="eastAsia" w:ascii="宋体" w:hAnsi="宋体" w:cs="宋体"/>
          <w:b/>
          <w:color w:val="000000"/>
          <w:highlight w:val="none"/>
          <w:lang w:val="en-US" w:eastAsia="zh-CN"/>
        </w:rPr>
        <w:t xml:space="preserve">十</w:t>
      </w:r>
      <w:r>
        <w:rPr>
          <w:rFonts w:hint="eastAsia" w:ascii="宋体" w:hAnsi="宋体" w:cs="宋体"/>
          <w:b/>
          <w:color w:val="000000"/>
          <w:highlight w:val="none"/>
        </w:rPr>
        <w:t xml:space="preserve">、合同款项支付</w:t>
      </w:r>
      <w:r>
        <w:rPr>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.1合同款项的支付方式及进度安排</w:t>
      </w:r>
      <w:r>
        <w:rPr>
          <w:rFonts w:hint="eastAsia" w:ascii="宋体" w:hAnsi="宋体" w:cs="宋体"/>
          <w:color w:val="000000"/>
          <w:sz w:val="24"/>
          <w:highlight w:val="none"/>
        </w:rPr>
      </w:r>
      <w:r>
        <w:rPr>
          <w:highlight w:val="none"/>
        </w:rPr>
      </w:r>
    </w:p>
    <w:p>
      <w:pPr>
        <w:pStyle w:val="658"/>
        <w:ind w:firstLine="480"/>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.1.1合同签订后30日内，支付合同金额30%的预付款。</w:t>
      </w:r>
      <w:r>
        <w:rPr>
          <w:rFonts w:hint="eastAsia" w:ascii="宋体" w:hAnsi="宋体" w:eastAsia="宋体" w:cs="宋体"/>
          <w:color w:val="000000"/>
          <w:highlight w:val="none"/>
        </w:rPr>
      </w:r>
      <w:r>
        <w:rPr>
          <w:highlight w:val="none"/>
        </w:rPr>
      </w:r>
    </w:p>
    <w:p>
      <w:pPr>
        <w:pStyle w:val="658"/>
        <w:ind w:firstLine="480"/>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2项目上线运行付至合同金额50</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rPr>
          <w:highlight w:val="none"/>
        </w:rPr>
      </w:r>
    </w:p>
    <w:p>
      <w:pPr>
        <w:pStyle w:val="658"/>
        <w:ind w:firstLine="480"/>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经验收合格后支付</w:t>
      </w:r>
      <w:r>
        <w:rPr>
          <w:rFonts w:hint="eastAsia" w:ascii="宋体" w:hAnsi="宋体" w:eastAsia="宋体" w:cs="宋体"/>
          <w:color w:val="000000"/>
          <w:highlight w:val="none"/>
          <w:lang w:val="en-US" w:eastAsia="zh-CN"/>
        </w:rPr>
        <w:t xml:space="preserve">至</w:t>
      </w:r>
      <w:r>
        <w:rPr>
          <w:rFonts w:hint="eastAsia" w:ascii="宋体" w:hAnsi="宋体" w:eastAsia="宋体" w:cs="宋体"/>
          <w:color w:val="000000"/>
          <w:highlight w:val="none"/>
        </w:rPr>
        <w:t xml:space="preserve">合同金额的</w:t>
      </w:r>
      <w:r>
        <w:rPr>
          <w:rFonts w:hint="eastAsia" w:ascii="宋体" w:hAnsi="宋体" w:eastAsia="宋体" w:cs="宋体"/>
          <w:color w:val="000000"/>
          <w:highlight w:val="none"/>
          <w:lang w:val="en-US" w:eastAsia="zh-CN"/>
        </w:rPr>
        <w:t xml:space="preserve">95</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rPr>
          <w:highlight w:val="none"/>
        </w:rPr>
      </w:r>
    </w:p>
    <w:p>
      <w:pPr>
        <w:pStyle w:val="658"/>
        <w:ind w:firstLine="480"/>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10.1.4</w:t>
      </w:r>
      <w:r>
        <w:rPr>
          <w:rFonts w:hint="eastAsia" w:ascii="宋体" w:hAnsi="宋体" w:eastAsia="宋体" w:cs="宋体"/>
          <w:color w:val="000000"/>
          <w:highlight w:val="none"/>
        </w:rPr>
        <w:t xml:space="preserve">验收合格之日起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质保期</w:t>
      </w:r>
      <w:r>
        <w:rPr>
          <w:rFonts w:hint="eastAsia" w:ascii="宋体" w:hAnsi="宋体" w:eastAsia="宋体" w:cs="宋体"/>
          <w:color w:val="000000"/>
          <w:highlight w:val="none"/>
        </w:rPr>
        <w:t xml:space="preserve">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一次性付清剩余5%合同款</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rPr>
          <w:highlight w:val="none"/>
        </w:rPr>
      </w:r>
    </w:p>
    <w:p>
      <w:pPr>
        <w:pStyle w:val="658"/>
        <w:ind w:firstLine="480"/>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10.1.5</w:t>
      </w:r>
      <w:r>
        <w:rPr>
          <w:rFonts w:hint="eastAsia" w:ascii="宋体" w:hAnsi="宋体" w:eastAsia="宋体" w:cs="宋体"/>
          <w:color w:val="000000"/>
          <w:highlight w:val="none"/>
        </w:rPr>
        <w:t xml:space="preserve">在签订合同时，乙方明确表示无需预付款或者主动要求降低预付款比例的，甲方可不适用上述关于预付款的规定。</w:t>
      </w:r>
      <w:r>
        <w:rPr>
          <w:rFonts w:hint="eastAsia" w:ascii="宋体" w:hAnsi="宋体" w:eastAsia="宋体" w:cs="宋体"/>
          <w:color w:val="000000"/>
          <w:highlight w:val="none"/>
        </w:rPr>
      </w:r>
      <w:r>
        <w:rPr>
          <w:highlight w:val="none"/>
        </w:rPr>
      </w:r>
    </w:p>
    <w:p>
      <w:pPr>
        <w:pStyle w:val="658"/>
        <w:ind w:firstLine="480"/>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10.1.6</w:t>
      </w:r>
      <w:r>
        <w:rPr>
          <w:rFonts w:hint="eastAsia" w:ascii="宋体" w:hAnsi="宋体" w:eastAsia="宋体" w:cs="宋体"/>
          <w:color w:val="000000"/>
          <w:highlight w:val="none"/>
        </w:rPr>
        <w:t xml:space="preserve">结算款项时乙方须出具相应金额的有效票据。</w:t>
      </w:r>
      <w:r>
        <w:rPr>
          <w:rFonts w:hint="eastAsia" w:ascii="宋体" w:hAnsi="宋体" w:eastAsia="宋体" w:cs="宋体"/>
          <w:color w:val="000000"/>
          <w:highlight w:val="none"/>
        </w:rPr>
      </w:r>
      <w:r>
        <w:rPr>
          <w:highlight w:val="none"/>
        </w:rPr>
      </w:r>
    </w:p>
    <w:p>
      <w:pPr>
        <w:pStyle w:val="658"/>
        <w:ind w:firstLine="480"/>
        <w:jc w:val="both"/>
        <w:spacing w:beforeAutospacing="0" w:afterAutospacing="0" w:line="440" w:lineRule="exact"/>
        <w:rPr>
          <w:rFonts w:hint="eastAsia" w:ascii="宋体" w:hAnsi="宋体" w:cs="宋体"/>
          <w:color w:val="000000"/>
          <w:highlight w:val="none"/>
        </w:rPr>
      </w:pPr>
      <w:r>
        <w:rPr>
          <w:rFonts w:hint="eastAsia" w:ascii="宋体" w:hAnsi="宋体" w:eastAsia="宋体" w:cs="宋体"/>
          <w:color w:val="000000"/>
          <w:highlight w:val="none"/>
          <w:lang w:val="en-US" w:eastAsia="zh-CN"/>
        </w:rPr>
        <w:t xml:space="preserve">10.1.7</w:t>
      </w:r>
      <w:r>
        <w:rPr>
          <w:rFonts w:hint="eastAsia" w:ascii="宋体" w:hAnsi="宋体" w:eastAsia="宋体" w:cs="宋体"/>
          <w:color w:val="000000"/>
          <w:highlight w:val="none"/>
        </w:rPr>
        <w:t xml:space="preserve">甲方原则上自收到发票后10个工作日内将</w:t>
      </w:r>
      <w:r>
        <w:rPr>
          <w:rFonts w:hint="eastAsia" w:ascii="宋体" w:hAnsi="宋体" w:cs="宋体"/>
          <w:color w:val="000000"/>
          <w:highlight w:val="none"/>
        </w:rPr>
        <w:t xml:space="preserve">资金支付到乙方账户。</w:t>
      </w:r>
      <w:r>
        <w:rPr>
          <w:rFonts w:hint="eastAsia" w:ascii="宋体" w:hAnsi="宋体" w:cs="宋体"/>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.2当采购数量与实际使用数量不一致时，乙方应根据实际使用量供货，合同的最终结算金额按实际使用量乘以成交单价进行计算。</w:t>
      </w:r>
      <w:r>
        <w:rPr>
          <w:rFonts w:hint="eastAsia" w:ascii="宋体" w:hAnsi="宋体" w:cs="宋体"/>
          <w:color w:val="000000"/>
          <w:sz w:val="24"/>
          <w:highlight w:val="none"/>
        </w:rPr>
      </w:r>
      <w:r>
        <w:rPr>
          <w:highlight w:val="none"/>
        </w:rPr>
      </w:r>
    </w:p>
    <w:p>
      <w:pPr>
        <w:pStyle w:val="658"/>
        <w:ind w:firstLine="482"/>
        <w:jc w:val="both"/>
        <w:spacing w:before="145" w:beforeAutospacing="0" w:after="145" w:afterAutospacing="0"/>
        <w:rPr>
          <w:color w:val="000000"/>
          <w:highlight w:val="none"/>
        </w:rPr>
      </w:pPr>
      <w:r>
        <w:rPr>
          <w:rFonts w:hint="eastAsia" w:ascii="宋体" w:hAnsi="宋体" w:cs="宋体"/>
          <w:b/>
          <w:color w:val="000000"/>
          <w:highlight w:val="none"/>
          <w:lang w:val="en-US" w:eastAsia="zh-CN"/>
        </w:rPr>
        <w:t xml:space="preserve">十一</w:t>
      </w:r>
      <w:r>
        <w:rPr>
          <w:rFonts w:hint="eastAsia" w:ascii="宋体" w:hAnsi="宋体" w:cs="宋体"/>
          <w:b/>
          <w:color w:val="000000"/>
          <w:highlight w:val="none"/>
        </w:rPr>
        <w:t xml:space="preserve">、税费</w:t>
      </w:r>
      <w:r>
        <w:rPr>
          <w:color w:val="000000"/>
          <w:highlight w:val="none"/>
        </w:rPr>
      </w:r>
      <w:r>
        <w:rPr>
          <w:highlight w:val="none"/>
        </w:rPr>
      </w:r>
    </w:p>
    <w:p>
      <w:pPr>
        <w:pStyle w:val="658"/>
        <w:ind w:firstLine="480"/>
        <w:jc w:val="both"/>
        <w:spacing w:before="145" w:beforeAutospacing="0" w:after="145" w:afterAutospacing="0"/>
        <w:rPr>
          <w:rFonts w:hint="eastAsia" w:ascii="宋体" w:hAnsi="宋体" w:cs="宋体"/>
          <w:color w:val="000000"/>
          <w:highlight w:val="none"/>
        </w:rPr>
      </w:pP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.1本合同执行中相关的一切税费均由乙方负担。</w:t>
      </w:r>
      <w:r>
        <w:rPr>
          <w:rFonts w:hint="eastAsia" w:ascii="宋体" w:hAnsi="宋体" w:cs="宋体"/>
          <w:color w:val="000000"/>
          <w:highlight w:val="none"/>
        </w:rPr>
      </w:r>
      <w:r>
        <w:rPr>
          <w:highlight w:val="none"/>
        </w:rPr>
      </w:r>
    </w:p>
    <w:p>
      <w:pPr>
        <w:pStyle w:val="658"/>
        <w:ind w:left="426" w:firstLine="10"/>
        <w:jc w:val="both"/>
        <w:spacing w:before="120" w:beforeAutospacing="0" w:after="120" w:afterAutospacing="0"/>
        <w:rPr>
          <w:color w:val="000000"/>
          <w:highlight w:val="none"/>
        </w:rPr>
      </w:pPr>
      <w:r>
        <w:rPr>
          <w:rFonts w:hint="eastAsia" w:ascii="宋体" w:hAnsi="宋体" w:cs="宋体"/>
          <w:b/>
          <w:color w:val="000000"/>
          <w:highlight w:val="none"/>
          <w:lang w:val="en-US" w:eastAsia="zh-CN"/>
        </w:rPr>
        <w:t xml:space="preserve">十二</w:t>
      </w:r>
      <w:r>
        <w:rPr>
          <w:rFonts w:hint="eastAsia" w:ascii="宋体" w:hAnsi="宋体" w:cs="宋体"/>
          <w:b/>
          <w:color w:val="000000"/>
          <w:highlight w:val="none"/>
        </w:rPr>
        <w:t xml:space="preserve">、质量保修范围和保修期及售后服务</w:t>
      </w:r>
      <w:r>
        <w:rPr>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.1 乙方应按招标文件规定的货物性能、技术要求、质量标准向甲方提供未经使用的全新产品。</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.2 乙方提供的货物在质量期内因货物本身的质量问题发生故障，乙方应负责免费更换。对达不到技术要求者，根据实际情况，经双方协商，可按以下办法处理：</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⑴更换：由乙方承担所发生的全部费用。</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⑵贬值处理：由甲乙双方合议定价。</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⑶退货处理：乙方应退还甲方支付的合同款，同时应承担该货物的直接费用（运输、保险、检验、货款利息及银行手续费等）。</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.3 如在使用过程中发生质量问题，乙方在接到甲方通知后在</w:t>
      </w:r>
      <w:r>
        <w:rPr>
          <w:rFonts w:hint="eastAsia" w:ascii="宋体" w:hAnsi="宋体" w:cs="宋体"/>
          <w:color w:val="000000"/>
          <w:sz w:val="24"/>
          <w:highlight w:val="none"/>
          <w:lang w:val="en-US" w:eastAsia="zh-CN"/>
        </w:rPr>
        <w:t xml:space="preserve">30分钟</w:t>
      </w:r>
      <w:r>
        <w:rPr>
          <w:rFonts w:hint="eastAsia" w:ascii="宋体" w:hAnsi="宋体" w:cs="宋体"/>
          <w:color w:val="000000"/>
          <w:sz w:val="24"/>
          <w:highlight w:val="none"/>
        </w:rPr>
        <w:t xml:space="preserve">内到达甲方现场。</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.4 在质保期内，乙方应对货物出现的质量及安全问题负责处理解决并承担一切费用。</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.5货物免费保修期为</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年（自交货验收合格之日起计），因人为因素出现的故障不在免费保修范围内。</w:t>
      </w:r>
      <w:r>
        <w:rPr>
          <w:rFonts w:hint="eastAsia" w:ascii="宋体" w:hAnsi="宋体" w:cs="宋体"/>
          <w:color w:val="000000"/>
          <w:sz w:val="24"/>
          <w:highlight w:val="none"/>
        </w:rPr>
      </w:r>
      <w:r>
        <w:rPr>
          <w:highlight w:val="none"/>
        </w:rPr>
      </w:r>
    </w:p>
    <w:p>
      <w:pPr>
        <w:pStyle w:val="658"/>
        <w:ind w:firstLine="482"/>
        <w:jc w:val="both"/>
        <w:spacing w:before="120" w:beforeAutospacing="0" w:after="120" w:afterAutospacing="0"/>
        <w:rPr>
          <w:color w:val="000000"/>
          <w:highlight w:val="none"/>
        </w:rPr>
      </w:pPr>
      <w:r>
        <w:rPr>
          <w:rFonts w:hint="eastAsia" w:ascii="宋体" w:hAnsi="宋体" w:cs="宋体"/>
          <w:b/>
          <w:color w:val="000000"/>
          <w:highlight w:val="none"/>
          <w:lang w:val="en-US" w:eastAsia="zh-CN"/>
        </w:rPr>
        <w:t xml:space="preserve">十三</w:t>
      </w:r>
      <w:r>
        <w:rPr>
          <w:rFonts w:hint="eastAsia" w:ascii="宋体" w:hAnsi="宋体" w:cs="宋体"/>
          <w:b/>
          <w:color w:val="000000"/>
          <w:highlight w:val="none"/>
        </w:rPr>
        <w:t xml:space="preserve">、项目验收</w:t>
      </w:r>
      <w:r>
        <w:rPr>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.1 甲方依法组织履约验收工作。</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.3 对于实际使用人和甲方分离的项目，甲方邀请实际使用人参与验收。</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.4 如有必要，甲方邀请参加本项目的其他供应商或第三方专业机构及专家参与验收，相关意见将作为验收书的参考资料。</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.6 验收合格的项目,甲方根据采购合同的约定及时向乙方支付合同款项、退还履约保证金。验收不合格的项目，甲方依法及时处理。乙方在履约过程中有政府采购法律法规规定的违法违规情形的,甲方将及时报告本级财政部门。</w:t>
      </w:r>
      <w:r>
        <w:rPr>
          <w:rFonts w:hint="eastAsia" w:ascii="宋体" w:hAnsi="宋体" w:cs="宋体"/>
          <w:color w:val="000000"/>
          <w:sz w:val="24"/>
          <w:highlight w:val="none"/>
        </w:rPr>
      </w:r>
      <w:r>
        <w:rPr>
          <w:highlight w:val="none"/>
        </w:rPr>
      </w:r>
    </w:p>
    <w:p>
      <w:pPr>
        <w:pStyle w:val="658"/>
        <w:ind w:firstLine="482"/>
        <w:jc w:val="both"/>
        <w:spacing w:before="120" w:beforeAutospacing="0" w:after="120" w:afterAutospacing="0"/>
        <w:rPr>
          <w:color w:val="000000"/>
          <w:highlight w:val="none"/>
        </w:rPr>
      </w:pPr>
      <w:r>
        <w:rPr>
          <w:rFonts w:hint="eastAsia" w:ascii="宋体" w:hAnsi="宋体" w:cs="宋体"/>
          <w:b/>
          <w:color w:val="000000"/>
          <w:highlight w:val="none"/>
        </w:rPr>
        <w:t xml:space="preserve">十</w:t>
      </w:r>
      <w:r>
        <w:rPr>
          <w:rFonts w:hint="eastAsia" w:ascii="宋体" w:hAnsi="宋体" w:cs="宋体"/>
          <w:b/>
          <w:color w:val="000000"/>
          <w:highlight w:val="none"/>
          <w:lang w:val="en-US" w:eastAsia="zh-CN"/>
        </w:rPr>
        <w:t xml:space="preserve">四</w:t>
      </w:r>
      <w:r>
        <w:rPr>
          <w:rFonts w:hint="eastAsia" w:ascii="宋体" w:hAnsi="宋体" w:cs="宋体"/>
          <w:b/>
          <w:color w:val="000000"/>
          <w:highlight w:val="none"/>
        </w:rPr>
        <w:t xml:space="preserve">、违约责任</w:t>
      </w:r>
      <w:r>
        <w:rPr>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 甲方无正当理由拒绝接受乙方提供服务的，甲方向乙方偿付拒绝接受服务合同价款总值1‰的违约金。</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 甲方无故逾期验收和办理合同款项支付手续的,甲方应按逾期付款总额0.1‰每日向乙方支付违约金。</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.4 乙方所提供服务的标准不符合合同规定及招标文件规定标准的，甲方有权拒绝接受服务，并可单方面解除合同。</w:t>
      </w:r>
      <w:r>
        <w:rPr>
          <w:rFonts w:hint="eastAsia" w:ascii="宋体" w:hAnsi="宋体" w:cs="宋体"/>
          <w:color w:val="000000"/>
          <w:sz w:val="24"/>
          <w:highlight w:val="none"/>
        </w:rPr>
      </w:r>
      <w:r>
        <w:rPr>
          <w:highlight w:val="none"/>
        </w:rPr>
      </w:r>
    </w:p>
    <w:p>
      <w:pPr>
        <w:pStyle w:val="658"/>
        <w:ind w:firstLine="482"/>
        <w:jc w:val="both"/>
        <w:spacing w:before="120" w:beforeAutospacing="0" w:after="120" w:afterAutospacing="0"/>
        <w:rPr>
          <w:color w:val="000000"/>
          <w:highlight w:val="none"/>
        </w:rPr>
      </w:pPr>
      <w:r>
        <w:rPr>
          <w:rFonts w:hint="eastAsia" w:ascii="宋体" w:hAnsi="宋体" w:cs="宋体"/>
          <w:b/>
          <w:color w:val="000000"/>
          <w:highlight w:val="none"/>
        </w:rPr>
        <w:t xml:space="preserve">十</w:t>
      </w:r>
      <w:r>
        <w:rPr>
          <w:rFonts w:hint="eastAsia" w:ascii="宋体" w:hAnsi="宋体" w:cs="宋体"/>
          <w:b/>
          <w:color w:val="000000"/>
          <w:highlight w:val="none"/>
          <w:lang w:val="en-US" w:eastAsia="zh-CN"/>
        </w:rPr>
        <w:t xml:space="preserve">五</w:t>
      </w:r>
      <w:r>
        <w:rPr>
          <w:rFonts w:hint="eastAsia" w:ascii="宋体" w:hAnsi="宋体" w:cs="宋体"/>
          <w:b/>
          <w:color w:val="000000"/>
          <w:highlight w:val="none"/>
        </w:rPr>
        <w:t xml:space="preserve">、不可抗力事件处理</w:t>
      </w:r>
      <w:r>
        <w:rPr>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.1在合同有效期内，任何一方因不可抗力事件导致不能履行合同，则合同履行期可延长，其延长期与不可抗力影响期相同。</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.2不可抗力事件发生后，应立即通知对方，并寄送有关权威机构出具的证明。</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b/>
          <w:color w:val="000000"/>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.3不可抗力事件延续120天以上，双方应通过友好协商，确定是否继续履行合同。</w:t>
      </w:r>
      <w:r>
        <w:rPr>
          <w:rFonts w:hint="eastAsia" w:ascii="宋体" w:hAnsi="宋体" w:cs="宋体"/>
          <w:b/>
          <w:color w:val="000000"/>
          <w:highlight w:val="none"/>
        </w:rPr>
      </w:r>
      <w:r>
        <w:rPr>
          <w:highlight w:val="none"/>
        </w:rPr>
      </w:r>
    </w:p>
    <w:p>
      <w:pPr>
        <w:pStyle w:val="658"/>
        <w:ind w:firstLine="482"/>
        <w:jc w:val="both"/>
        <w:spacing w:before="120" w:beforeAutospacing="0" w:after="120" w:afterAutospacing="0"/>
        <w:rPr>
          <w:color w:val="000000"/>
          <w:highlight w:val="none"/>
        </w:rPr>
      </w:pPr>
      <w:r>
        <w:rPr>
          <w:rFonts w:hint="eastAsia" w:ascii="宋体" w:hAnsi="宋体" w:cs="宋体"/>
          <w:b/>
          <w:color w:val="000000"/>
          <w:highlight w:val="none"/>
        </w:rPr>
        <w:t xml:space="preserve">十</w:t>
      </w:r>
      <w:r>
        <w:rPr>
          <w:rFonts w:hint="eastAsia" w:ascii="宋体" w:hAnsi="宋体" w:cs="宋体"/>
          <w:b/>
          <w:color w:val="000000"/>
          <w:highlight w:val="none"/>
          <w:lang w:val="en-US" w:eastAsia="zh-CN"/>
        </w:rPr>
        <w:t xml:space="preserve">六</w:t>
      </w:r>
      <w:r>
        <w:rPr>
          <w:rFonts w:hint="eastAsia" w:ascii="宋体" w:hAnsi="宋体" w:cs="宋体"/>
          <w:b/>
          <w:color w:val="000000"/>
          <w:highlight w:val="none"/>
        </w:rPr>
        <w:t xml:space="preserve">、解决争议的方法</w:t>
      </w:r>
      <w:r>
        <w:rPr>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.1甲乙双方因合同签订、履行而发生的一切争议，应通过友好协商解决。如协商不成由甲方住所地人民法院管辖。</w:t>
      </w:r>
      <w:r>
        <w:rPr>
          <w:rFonts w:hint="eastAsia" w:ascii="宋体" w:hAnsi="宋体" w:cs="宋体"/>
          <w:color w:val="000000"/>
          <w:sz w:val="24"/>
          <w:highlight w:val="none"/>
        </w:rPr>
      </w:r>
      <w:r>
        <w:rPr>
          <w:highlight w:val="none"/>
        </w:rPr>
      </w:r>
    </w:p>
    <w:p>
      <w:pPr>
        <w:pStyle w:val="658"/>
        <w:ind w:firstLine="482"/>
        <w:jc w:val="both"/>
        <w:spacing w:before="120" w:beforeAutospacing="0" w:after="120" w:afterAutospacing="0"/>
        <w:rPr>
          <w:color w:val="000000"/>
          <w:highlight w:val="none"/>
        </w:rPr>
      </w:pPr>
      <w:r>
        <w:rPr>
          <w:rFonts w:hint="eastAsia" w:ascii="宋体" w:hAnsi="宋体" w:cs="宋体"/>
          <w:b/>
          <w:color w:val="000000"/>
          <w:highlight w:val="none"/>
        </w:rPr>
        <w:t xml:space="preserve">十</w:t>
      </w:r>
      <w:r>
        <w:rPr>
          <w:rFonts w:hint="eastAsia" w:ascii="宋体" w:hAnsi="宋体" w:cs="宋体"/>
          <w:b/>
          <w:color w:val="000000"/>
          <w:highlight w:val="none"/>
          <w:lang w:val="en-US" w:eastAsia="zh-CN"/>
        </w:rPr>
        <w:t xml:space="preserve">七</w:t>
      </w:r>
      <w:r>
        <w:rPr>
          <w:rFonts w:hint="eastAsia" w:ascii="宋体" w:hAnsi="宋体" w:cs="宋体"/>
          <w:b/>
          <w:color w:val="000000"/>
          <w:highlight w:val="none"/>
        </w:rPr>
        <w:t xml:space="preserve">、合同生效及其它</w:t>
      </w:r>
      <w:r>
        <w:rPr>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 合同经双方法定代表人或授权委托代表人签字并加盖单位公章后生效。</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.2本合同未尽事宜，</w:t>
      </w:r>
      <w:r>
        <w:rPr>
          <w:rFonts w:hint="eastAsia" w:ascii="宋体" w:hAnsi="宋体" w:cs="宋体"/>
          <w:color w:val="000000"/>
          <w:sz w:val="24"/>
          <w:highlight w:val="none"/>
          <w:lang w:val="en-US" w:eastAsia="zh-CN"/>
        </w:rPr>
        <w:t xml:space="preserve">由双方协商处理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 本合同正本一式陆份，具有同等法律效力，甲方、乙方各执一份，其余部分交相关单位存档。</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               乙方：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               地址： </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       法定代表人或授权代表：</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             联系电话：          </w:t>
      </w:r>
      <w:r>
        <w:rPr>
          <w:rFonts w:hint="eastAsia" w:ascii="宋体" w:hAnsi="宋体" w:cs="宋体"/>
          <w:color w:val="000000"/>
          <w:sz w:val="24"/>
          <w:highlight w:val="none"/>
        </w:rPr>
      </w:r>
      <w:r>
        <w:rPr>
          <w:highlight w:val="none"/>
        </w:rPr>
      </w:r>
    </w:p>
    <w:p>
      <w:pPr>
        <w:pStyle w:val="63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签订日期：    年    月   日</w:t>
      </w:r>
      <w:r>
        <w:rPr>
          <w:rFonts w:hint="eastAsia" w:ascii="宋体" w:hAnsi="宋体" w:cs="宋体"/>
          <w:color w:val="000000"/>
          <w:sz w:val="24"/>
          <w:highlight w:val="none"/>
        </w:rPr>
      </w:r>
      <w:r>
        <w:rPr>
          <w:highlight w:val="none"/>
        </w:rPr>
      </w:r>
    </w:p>
    <w:p>
      <w:pPr>
        <w:pStyle w:val="637"/>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highlight w:val="none"/>
        </w:rPr>
      </w:r>
    </w:p>
    <w:p>
      <w:pPr>
        <w:pStyle w:val="650"/>
        <w:jc w:val="center"/>
        <w:spacing w:before="240" w:after="240"/>
        <w:rPr>
          <w:rFonts w:ascii="楷体" w:hAnsi="楷体" w:eastAsia="楷体" w:cs="Times New Roman"/>
          <w:b/>
          <w:color w:val="000000"/>
          <w:sz w:val="48"/>
          <w:szCs w:val="44"/>
          <w:highlight w:val="none"/>
        </w:rPr>
      </w:pPr>
      <w:r>
        <w:rPr>
          <w:rFonts w:hint="eastAsia" w:ascii="黑体" w:hAnsi="宋体" w:eastAsia="黑体" w:cs="黑体"/>
          <w:color w:val="000000"/>
          <w:sz w:val="44"/>
          <w:szCs w:val="44"/>
          <w:highlight w:val="none"/>
        </w:rPr>
        <w:br w:type="page" w:clear="all"/>
      </w:r>
      <w:r>
        <w:rPr>
          <w:rFonts w:hint="eastAsia" w:ascii="楷体" w:hAnsi="楷体" w:eastAsia="楷体" w:cs="Times New Roman"/>
          <w:b/>
          <w:color w:val="000000"/>
          <w:sz w:val="48"/>
          <w:szCs w:val="44"/>
          <w:highlight w:val="none"/>
        </w:rPr>
        <w:t xml:space="preserve">保 密 协 议 书</w:t>
      </w:r>
      <w:r>
        <w:rPr>
          <w:rFonts w:ascii="楷体" w:hAnsi="楷体" w:eastAsia="楷体" w:cs="Times New Roman"/>
          <w:b/>
          <w:color w:val="000000"/>
          <w:sz w:val="48"/>
          <w:szCs w:val="44"/>
          <w:highlight w:val="none"/>
        </w:rPr>
      </w:r>
      <w:r>
        <w:rPr>
          <w:highlight w:val="none"/>
        </w:rPr>
      </w:r>
    </w:p>
    <w:p>
      <w:pPr>
        <w:pStyle w:val="650"/>
        <w:spacing w:line="500" w:lineRule="exact"/>
        <w:rPr>
          <w:rFonts w:ascii="楷体" w:hAnsi="楷体" w:eastAsia="楷体"/>
          <w:b/>
          <w:color w:val="000000"/>
          <w:sz w:val="24"/>
          <w:szCs w:val="24"/>
          <w:highlight w:val="none"/>
        </w:rPr>
      </w:pPr>
      <w:r>
        <w:rPr>
          <w:rFonts w:hint="eastAsia" w:ascii="楷体" w:hAnsi="楷体" w:eastAsia="楷体"/>
          <w:b/>
          <w:color w:val="000000"/>
          <w:sz w:val="24"/>
          <w:szCs w:val="24"/>
          <w:highlight w:val="none"/>
        </w:rPr>
        <w:t xml:space="preserve">甲方：</w:t>
      </w:r>
      <w:r>
        <w:rPr>
          <w:rFonts w:hint="eastAsia" w:ascii="楷体" w:hAnsi="楷体" w:eastAsia="楷体"/>
          <w:b/>
          <w:color w:val="000000"/>
          <w:sz w:val="24"/>
          <w:szCs w:val="24"/>
          <w:highlight w:val="none"/>
          <w:u w:val="single"/>
          <w:lang w:eastAsia="zh-CN"/>
        </w:rPr>
        <w:t xml:space="preserve">东台市教育局</w:t>
      </w:r>
      <w:r>
        <w:rPr>
          <w:rFonts w:hint="eastAsia" w:ascii="楷体" w:hAnsi="楷体" w:eastAsia="楷体"/>
          <w:b/>
          <w:color w:val="000000"/>
          <w:sz w:val="24"/>
          <w:szCs w:val="24"/>
          <w:highlight w:val="none"/>
          <w:u w:val="single"/>
        </w:rPr>
        <w:t xml:space="preserve"> </w:t>
      </w:r>
      <w:r>
        <w:rPr>
          <w:rFonts w:ascii="楷体" w:hAnsi="楷体" w:eastAsia="楷体"/>
          <w:b/>
          <w:color w:val="000000"/>
          <w:sz w:val="24"/>
          <w:szCs w:val="24"/>
          <w:highlight w:val="none"/>
        </w:rPr>
      </w:r>
      <w:r>
        <w:rPr>
          <w:highlight w:val="none"/>
        </w:rPr>
      </w:r>
    </w:p>
    <w:p>
      <w:pPr>
        <w:pStyle w:val="650"/>
        <w:spacing w:line="500" w:lineRule="exact"/>
        <w:rPr>
          <w:rFonts w:ascii="楷体" w:hAnsi="楷体" w:eastAsia="楷体"/>
          <w:b/>
          <w:color w:val="000000"/>
          <w:sz w:val="24"/>
          <w:szCs w:val="24"/>
          <w:highlight w:val="none"/>
        </w:rPr>
      </w:pPr>
      <w:r>
        <w:rPr>
          <w:rFonts w:hint="eastAsia" w:ascii="楷体" w:hAnsi="楷体" w:eastAsia="楷体"/>
          <w:b/>
          <w:color w:val="000000"/>
          <w:sz w:val="24"/>
          <w:szCs w:val="24"/>
          <w:highlight w:val="none"/>
        </w:rPr>
        <w:t xml:space="preserve">乙方：</w:t>
      </w:r>
      <w:r>
        <w:rPr>
          <w:rFonts w:hint="eastAsia" w:ascii="楷体" w:hAnsi="楷体" w:eastAsia="楷体"/>
          <w:b/>
          <w:color w:val="000000"/>
          <w:sz w:val="24"/>
          <w:szCs w:val="24"/>
          <w:highlight w:val="none"/>
          <w:u w:val="single"/>
        </w:rPr>
        <w:t xml:space="preserve">               </w:t>
      </w:r>
      <w:r>
        <w:rPr>
          <w:rFonts w:ascii="楷体" w:hAnsi="楷体" w:eastAsia="楷体"/>
          <w:b/>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鉴于乙方接受甲方委托，将在合同规定的期限内对甲方有关</w:t>
      </w:r>
      <w:r>
        <w:rPr>
          <w:rFonts w:hint="eastAsia" w:ascii="楷体" w:hAnsi="楷体" w:eastAsia="楷体"/>
          <w:color w:val="000000"/>
          <w:sz w:val="24"/>
          <w:szCs w:val="24"/>
          <w:highlight w:val="none"/>
          <w:lang w:eastAsia="zh-CN"/>
        </w:rPr>
        <w:t xml:space="preserve">东台智慧教育平台升级改造项目</w:t>
      </w:r>
      <w:r>
        <w:rPr>
          <w:rFonts w:hint="eastAsia" w:ascii="楷体" w:hAnsi="楷体" w:eastAsia="楷体"/>
          <w:color w:val="000000"/>
          <w:sz w:val="24"/>
          <w:szCs w:val="24"/>
          <w:highlight w:val="none"/>
          <w:lang w:val="en-US" w:eastAsia="zh-CN"/>
        </w:rPr>
        <w:t xml:space="preserve">服务</w:t>
      </w:r>
      <w:r>
        <w:rPr>
          <w:rFonts w:hint="eastAsia" w:ascii="楷体" w:hAnsi="楷体" w:eastAsia="楷体"/>
          <w:color w:val="000000"/>
          <w:sz w:val="24"/>
          <w:szCs w:val="24"/>
          <w:highlight w:val="none"/>
        </w:rPr>
        <w:t xml:space="preserve">，而在提供服务过程中，乙方将不可避免地接触到甲方的涉密设备、涉密信息以及保密资料，为落实保密措施，做好保密工作，切实维护国家安全和利益以及甲方部门的利益，双方就有关保密事宜达成如下意见：</w:t>
      </w: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b/>
          <w:color w:val="000000"/>
          <w:sz w:val="24"/>
          <w:szCs w:val="24"/>
          <w:highlight w:val="none"/>
        </w:rPr>
      </w:pPr>
      <w:r>
        <w:rPr>
          <w:rFonts w:hint="eastAsia" w:ascii="楷体" w:hAnsi="楷体" w:eastAsia="楷体"/>
          <w:b/>
          <w:color w:val="000000"/>
          <w:sz w:val="24"/>
          <w:szCs w:val="24"/>
          <w:highlight w:val="none"/>
        </w:rPr>
        <w:t xml:space="preserve">  一、甲方职责</w:t>
      </w:r>
      <w:r>
        <w:rPr>
          <w:rFonts w:ascii="楷体" w:hAnsi="楷体" w:eastAsia="楷体"/>
          <w:b/>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1、甲方应对乙方项目合同金额及合同本身进行保密，对乙方明确为甲方的技术人员进行保密责任、保密义务提醒教育，并对乙方技术服务人员进行技术服务具体实施进行全程跟踪、监督和管理。</w:t>
      </w: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2、对于乙方提出的与技术服务密切相关的工作文档且必须提供保密资料等相关事宜进行保密审查认证，并对提供给乙方的相关保密资料提出比较明确的保密要求，做好交接登记工作。</w:t>
      </w: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3、发现乙方在为甲方实施技术服务过程中存在安全隐患和泄密漏洞的，应当及时提出，并督促落实改进措施，确保安全。</w:t>
      </w: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b/>
          <w:color w:val="000000"/>
          <w:sz w:val="24"/>
          <w:szCs w:val="24"/>
          <w:highlight w:val="none"/>
        </w:rPr>
      </w:pPr>
      <w:r>
        <w:rPr>
          <w:rFonts w:hint="eastAsia" w:ascii="楷体" w:hAnsi="楷体" w:eastAsia="楷体"/>
          <w:b/>
          <w:color w:val="000000"/>
          <w:sz w:val="24"/>
          <w:szCs w:val="24"/>
          <w:highlight w:val="none"/>
        </w:rPr>
        <w:t xml:space="preserve"> 二、乙方职责</w:t>
      </w:r>
      <w:r>
        <w:rPr>
          <w:rFonts w:ascii="楷体" w:hAnsi="楷体" w:eastAsia="楷体"/>
          <w:b/>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1、乙方在接受甲方委托之日起，应当事先做好相关准备工作：一是明确具体上门服务的技术人员，且做到相对固定；二是对相关技术服务人员进行保密教育，明确保密责任、义务，并与之签订《保密协议书》。</w:t>
      </w: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3、乙方在为甲方提供技术服务时，甲方根据乙方提出的要求，必须提供保密资料时，双方应当办理交接手续，做好登记、使用台帐；乙方在将相关保密资料带回使用时，应确保携带、使用、存放全过程的安全；保密资料原则上不得另行复制，确因技术服务需要经甲方同意复制的，按原件要求严格管理。</w:t>
      </w: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4、乙方在完成甲方某项技术服务任务后，与此任务相关、且短期内不再使用的先前甲方提供的保密资料，原则上应先期退回甲方，并办理保密资料退回手续，做好交接登记。甲方认为可以作废不需退回的保密资料，乙方应当及时进行保密销毁，并做好核销登记。</w:t>
      </w: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5、乙方对于甲方提供的保密资料以及相关技术服务人员在为甲方提供技术服务时掌握的其他涉密信息，均不得向第三方或其他无关人员透露，应按照技术服务需要严格控制使用、知悉范围。</w:t>
      </w: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6、乙方在使用电子设备(包括笔记本电脑、移动存储介质等)为甲方提供技术服务时，应严格按照有关保密规定要求，落实技防、人防、物防综合防范措施，确保安全。</w:t>
      </w:r>
      <w:r>
        <w:rPr>
          <w:rFonts w:ascii="楷体" w:hAnsi="楷体" w:eastAsia="楷体"/>
          <w:color w:val="000000"/>
          <w:sz w:val="24"/>
          <w:szCs w:val="24"/>
          <w:highlight w:val="none"/>
        </w:rPr>
      </w:r>
      <w:r>
        <w:rPr>
          <w:highlight w:val="none"/>
        </w:rPr>
      </w:r>
    </w:p>
    <w:p>
      <w:pPr>
        <w:pStyle w:val="650"/>
        <w:spacing w:line="500" w:lineRule="exact"/>
        <w:tabs>
          <w:tab w:val="left" w:pos="315" w:leader="none"/>
        </w:tabs>
        <w:rPr>
          <w:rFonts w:ascii="楷体" w:hAnsi="楷体" w:eastAsia="楷体"/>
          <w:b/>
          <w:color w:val="000000"/>
          <w:sz w:val="24"/>
          <w:szCs w:val="24"/>
          <w:highlight w:val="none"/>
        </w:rPr>
      </w:pPr>
      <w:r>
        <w:rPr>
          <w:rFonts w:hint="eastAsia" w:ascii="楷体" w:hAnsi="楷体" w:eastAsia="楷体"/>
          <w:b/>
          <w:color w:val="000000"/>
          <w:sz w:val="24"/>
          <w:szCs w:val="24"/>
          <w:highlight w:val="none"/>
        </w:rPr>
        <w:t xml:space="preserve">三、其他事宜</w:t>
      </w:r>
      <w:r>
        <w:rPr>
          <w:rFonts w:ascii="楷体" w:hAnsi="楷体" w:eastAsia="楷体"/>
          <w:b/>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1、由于双方违反约定，造成泄密事件发生或者产生严重泄密隐患的，由违约一方承担全部责任。</w:t>
      </w: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2、本协议未尽事宜，双方另行择机商定。</w:t>
      </w: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    3、双方在相关问题上发生争执无法解决时，拟商请保密工作部门进行调解。</w:t>
      </w: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ascii="楷体" w:hAnsi="楷体" w:eastAsia="楷体"/>
          <w:color w:val="000000"/>
          <w:sz w:val="24"/>
          <w:szCs w:val="24"/>
          <w:highlight w:val="none"/>
        </w:rPr>
      </w:r>
      <w:r>
        <w:rPr>
          <w:highlight w:val="none"/>
        </w:rPr>
      </w:r>
    </w:p>
    <w:p>
      <w:pPr>
        <w:pStyle w:val="650"/>
        <w:spacing w:line="500" w:lineRule="exact"/>
        <w:rPr>
          <w:rFonts w:ascii="楷体" w:hAnsi="楷体" w:eastAsia="楷体"/>
          <w:color w:val="000000"/>
          <w:sz w:val="24"/>
          <w:szCs w:val="24"/>
          <w:highlight w:val="none"/>
        </w:rPr>
      </w:pPr>
      <w:r>
        <w:rPr>
          <w:rFonts w:ascii="楷体" w:hAnsi="楷体" w:eastAsia="楷体"/>
          <w:color w:val="000000"/>
          <w:sz w:val="24"/>
          <w:szCs w:val="24"/>
          <w:highlight w:val="none"/>
        </w:rPr>
      </w:r>
      <w:r>
        <w:rPr>
          <w:highlight w:val="none"/>
        </w:rPr>
      </w:r>
    </w:p>
    <w:p>
      <w:pPr>
        <w:pStyle w:val="650"/>
        <w:jc w:val="left"/>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甲方：</w:t>
      </w:r>
      <w:r>
        <w:rPr>
          <w:rFonts w:hint="eastAsia" w:ascii="楷体" w:hAnsi="楷体" w:eastAsia="楷体"/>
          <w:color w:val="000000"/>
          <w:sz w:val="24"/>
          <w:szCs w:val="24"/>
          <w:highlight w:val="none"/>
          <w:u w:val="single"/>
          <w:lang w:eastAsia="zh-CN"/>
        </w:rPr>
        <w:t xml:space="preserve">东台市教育局</w:t>
      </w:r>
      <w:r>
        <w:rPr>
          <w:rFonts w:hint="eastAsia" w:ascii="楷体" w:hAnsi="楷体" w:eastAsia="楷体"/>
          <w:color w:val="000000"/>
          <w:sz w:val="24"/>
          <w:szCs w:val="24"/>
          <w:highlight w:val="none"/>
          <w:u w:val="single"/>
        </w:rPr>
        <w:t xml:space="preserve">   </w:t>
      </w:r>
      <w:r>
        <w:rPr>
          <w:rFonts w:hint="eastAsia" w:ascii="楷体" w:hAnsi="楷体" w:eastAsia="楷体"/>
          <w:color w:val="000000"/>
          <w:sz w:val="24"/>
          <w:szCs w:val="24"/>
          <w:highlight w:val="none"/>
        </w:rPr>
        <w:t xml:space="preserve">                乙方：</w:t>
      </w:r>
      <w:r>
        <w:rPr>
          <w:rFonts w:hint="eastAsia" w:ascii="楷体" w:hAnsi="楷体" w:eastAsia="楷体"/>
          <w:color w:val="000000"/>
          <w:sz w:val="24"/>
          <w:szCs w:val="24"/>
          <w:highlight w:val="none"/>
          <w:u w:val="single"/>
        </w:rPr>
        <w:t xml:space="preserve">                   </w:t>
      </w:r>
      <w:r>
        <w:rPr>
          <w:rFonts w:ascii="楷体" w:hAnsi="楷体" w:eastAsia="楷体"/>
          <w:color w:val="000000"/>
          <w:sz w:val="24"/>
          <w:szCs w:val="24"/>
          <w:highlight w:val="none"/>
        </w:rPr>
      </w:r>
      <w:r>
        <w:rPr>
          <w:highlight w:val="none"/>
        </w:rPr>
      </w:r>
    </w:p>
    <w:p>
      <w:pPr>
        <w:pStyle w:val="650"/>
        <w:jc w:val="left"/>
        <w:spacing w:before="240"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甲方代表(签字)：                       乙方代表(签字)：</w:t>
      </w:r>
      <w:r>
        <w:rPr>
          <w:rFonts w:ascii="楷体" w:hAnsi="楷体" w:eastAsia="楷体"/>
          <w:color w:val="000000"/>
          <w:sz w:val="24"/>
          <w:szCs w:val="24"/>
          <w:highlight w:val="none"/>
        </w:rPr>
      </w:r>
      <w:r>
        <w:rPr>
          <w:highlight w:val="none"/>
        </w:rPr>
      </w:r>
    </w:p>
    <w:p>
      <w:pPr>
        <w:pStyle w:val="650"/>
        <w:jc w:val="left"/>
        <w:spacing w:line="500" w:lineRule="exact"/>
        <w:rPr>
          <w:rFonts w:ascii="楷体" w:hAnsi="楷体" w:eastAsia="楷体"/>
          <w:color w:val="000000"/>
          <w:sz w:val="24"/>
          <w:szCs w:val="24"/>
          <w:highlight w:val="none"/>
        </w:rPr>
      </w:pPr>
      <w:r>
        <w:rPr>
          <w:rFonts w:hint="eastAsia" w:ascii="楷体" w:hAnsi="楷体" w:eastAsia="楷体"/>
          <w:color w:val="000000"/>
          <w:sz w:val="24"/>
          <w:szCs w:val="24"/>
          <w:highlight w:val="none"/>
        </w:rPr>
        <w:t xml:space="preserve">签署日期：  年  月  日                 签署日期：  年  月  日</w:t>
      </w:r>
      <w:r>
        <w:rPr>
          <w:rFonts w:ascii="楷体" w:hAnsi="楷体" w:eastAsia="楷体"/>
          <w:color w:val="000000"/>
          <w:sz w:val="24"/>
          <w:szCs w:val="24"/>
          <w:highlight w:val="none"/>
        </w:rPr>
      </w:r>
      <w:r>
        <w:rPr>
          <w:highlight w:val="none"/>
        </w:rPr>
      </w:r>
    </w:p>
    <w:p>
      <w:pPr>
        <w:pStyle w:val="637"/>
        <w:jc w:val="center"/>
        <w:rPr>
          <w:color w:val="000000"/>
          <w:highlight w:val="none"/>
        </w:rPr>
        <w:outlineLvl w:val="0"/>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第</w:t>
      </w:r>
      <w:bookmarkEnd w:id="141"/>
      <w:r>
        <w:rPr>
          <w:rFonts w:hint="eastAsia" w:ascii="黑体" w:hAnsi="宋体" w:eastAsia="黑体" w:cs="黑体"/>
          <w:color w:val="000000"/>
          <w:sz w:val="44"/>
          <w:szCs w:val="44"/>
          <w:highlight w:val="none"/>
        </w:rPr>
        <w:t xml:space="preserve">四章 </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采购需求</w:t>
      </w:r>
      <w:bookmarkEnd w:id="140"/>
      <w:r>
        <w:rPr>
          <w:highlight w:val="none"/>
        </w:rPr>
      </w:r>
      <w:bookmarkEnd w:id="142"/>
      <w:r>
        <w:rPr>
          <w:highlight w:val="none"/>
        </w:rPr>
      </w:r>
      <w:bookmarkEnd w:id="143"/>
      <w:r>
        <w:rPr>
          <w:highlight w:val="none"/>
        </w:rPr>
      </w:r>
      <w:bookmarkEnd w:id="144"/>
      <w:r>
        <w:rPr>
          <w:highlight w:val="none"/>
        </w:rPr>
      </w:r>
      <w:bookmarkEnd w:id="145"/>
      <w:r>
        <w:rPr>
          <w:color w:val="000000"/>
          <w:highlight w:val="none"/>
        </w:rPr>
      </w:r>
      <w:r>
        <w:rPr>
          <w:highlight w:val="none"/>
        </w:rPr>
      </w:r>
    </w:p>
    <w:p>
      <w:pPr>
        <w:pStyle w:val="637"/>
        <w:spacing w:before="160" w:after="160" w:line="360" w:lineRule="auto"/>
        <w:tabs>
          <w:tab w:val="left" w:pos="0" w:leader="none"/>
        </w:tabs>
        <w:rPr>
          <w:rFonts w:hint="eastAsia" w:ascii="宋体" w:hAnsi="宋体" w:eastAsia="宋体" w:cs="宋体"/>
          <w:color w:val="000000"/>
          <w:highlight w:val="none"/>
          <w:shd w:val="clear" w:color="auto" w:fill="ffff00"/>
        </w:rPr>
        <w:outlineLvl w:val="9"/>
      </w:pPr>
      <w:r>
        <w:rPr>
          <w:highlight w:val="none"/>
        </w:rPr>
      </w:r>
      <w:bookmarkStart w:id="147" w:name="_Toc49090575"/>
      <w:r>
        <w:rPr>
          <w:highlight w:val="none"/>
        </w:rPr>
      </w:r>
      <w:bookmarkStart w:id="148" w:name="_Toc26554093"/>
      <w:r>
        <w:rPr>
          <w:rFonts w:hint="eastAsia" w:ascii="宋体" w:hAnsi="宋体" w:eastAsia="宋体" w:cs="宋体"/>
          <w:color w:val="000000"/>
          <w:highlight w:val="none"/>
        </w:rPr>
        <w:t xml:space="preserve">项目属性:服务类项目。</w:t>
      </w:r>
      <w:r>
        <w:rPr>
          <w:rFonts w:hint="eastAsia" w:ascii="宋体" w:hAnsi="宋体" w:eastAsia="宋体" w:cs="宋体"/>
          <w:color w:val="000000"/>
          <w:highlight w:val="none"/>
          <w:shd w:val="clear" w:color="auto" w:fill="ffff00"/>
        </w:rPr>
        <w:t xml:space="preserve">（此为固定内容）</w:t>
      </w:r>
      <w:bookmarkEnd w:id="147"/>
      <w:r>
        <w:rPr>
          <w:highlight w:val="none"/>
        </w:rPr>
      </w:r>
      <w:bookmarkEnd w:id="148"/>
      <w:r>
        <w:rPr>
          <w:rFonts w:hint="eastAsia" w:ascii="宋体" w:hAnsi="宋体" w:eastAsia="宋体" w:cs="宋体"/>
          <w:color w:val="000000"/>
          <w:highlight w:val="none"/>
          <w:shd w:val="clear" w:color="auto" w:fill="ffff00"/>
        </w:rPr>
      </w:r>
      <w:r>
        <w:rPr>
          <w:highlight w:val="none"/>
        </w:rPr>
      </w:r>
    </w:p>
    <w:p>
      <w:pPr>
        <w:pStyle w:val="637"/>
        <w:ind w:firstLine="562"/>
        <w:keepLines w:val="0"/>
        <w:keepNext w:val="0"/>
        <w:pageBreakBefore w:val="0"/>
        <w:spacing w:line="46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cs="宋体"/>
          <w:b/>
          <w:bCs/>
          <w:color w:val="000000"/>
          <w:sz w:val="24"/>
          <w:szCs w:val="24"/>
          <w:highlight w:val="none"/>
        </w:rPr>
      </w:r>
      <w:r>
        <w:rPr>
          <w:highlight w:val="none"/>
        </w:rPr>
      </w:r>
    </w:p>
    <w:p>
      <w:pPr>
        <w:pStyle w:val="637"/>
        <w:ind w:firstLine="562"/>
        <w:keepLines w:val="0"/>
        <w:keepNext w:val="0"/>
        <w:pageBreakBefore w:val="0"/>
        <w:spacing w:line="46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cs="宋体"/>
          <w:b/>
          <w:bCs/>
          <w:color w:val="000000"/>
          <w:sz w:val="24"/>
          <w:szCs w:val="24"/>
          <w:highlight w:val="none"/>
        </w:rPr>
      </w:r>
      <w:r>
        <w:rPr>
          <w:highlight w:val="none"/>
        </w:rPr>
      </w:r>
    </w:p>
    <w:p>
      <w:pPr>
        <w:pStyle w:val="637"/>
        <w:ind w:firstLine="562"/>
        <w:keepLines w:val="0"/>
        <w:keepNext w:val="0"/>
        <w:pageBreakBefore w:val="0"/>
        <w:spacing w:line="460" w:lineRule="exact"/>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其内容包含：</w:t>
      </w:r>
      <w:r>
        <w:rPr>
          <w:rFonts w:ascii="宋体" w:hAnsi="宋体" w:cs="宋体"/>
          <w:b/>
          <w:bCs/>
          <w:color w:val="000000"/>
          <w:sz w:val="24"/>
          <w:szCs w:val="24"/>
          <w:highlight w:val="none"/>
        </w:rPr>
      </w:r>
      <w:r>
        <w:rPr>
          <w:highlight w:val="none"/>
        </w:rPr>
      </w:r>
    </w:p>
    <w:p>
      <w:pPr>
        <w:pStyle w:val="637"/>
        <w:ind w:firstLine="482"/>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一、建设依据：</w:t>
      </w:r>
      <w:r>
        <w:rPr>
          <w:rFonts w:ascii="宋体" w:hAnsi="宋体" w:cs="宋体"/>
          <w:b/>
          <w:bCs/>
          <w:color w:val="000000"/>
          <w:sz w:val="24"/>
          <w:highlight w:val="none"/>
        </w:rPr>
      </w:r>
      <w:r>
        <w:rPr>
          <w:highlight w:val="none"/>
        </w:rPr>
      </w:r>
    </w:p>
    <w:p>
      <w:pPr>
        <w:pStyle w:val="637"/>
        <w:ind w:left="56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《中华人民共和国网络安全法》；</w:t>
      </w:r>
      <w:r>
        <w:rPr>
          <w:rFonts w:hint="eastAsia" w:ascii="宋体" w:hAnsi="宋体" w:cs="宋体"/>
          <w:color w:val="000000"/>
          <w:sz w:val="24"/>
          <w:highlight w:val="none"/>
        </w:rPr>
      </w:r>
      <w:r>
        <w:rPr>
          <w:highlight w:val="none"/>
        </w:rPr>
      </w:r>
    </w:p>
    <w:p>
      <w:pPr>
        <w:pStyle w:val="637"/>
        <w:ind w:left="56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《中华人民共和国数据安全法》；</w:t>
      </w:r>
      <w:r>
        <w:rPr>
          <w:rFonts w:hint="eastAsia" w:ascii="宋体" w:hAnsi="宋体" w:cs="宋体"/>
          <w:color w:val="000000"/>
          <w:sz w:val="24"/>
          <w:highlight w:val="none"/>
        </w:rPr>
      </w:r>
      <w:r>
        <w:rPr>
          <w:highlight w:val="none"/>
        </w:rPr>
      </w:r>
    </w:p>
    <w:p>
      <w:pPr>
        <w:pStyle w:val="637"/>
        <w:ind w:left="56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《中华人民共和国个人信息保护法》；</w:t>
      </w:r>
      <w:r>
        <w:rPr>
          <w:rFonts w:hint="eastAsia" w:ascii="宋体" w:hAnsi="宋体" w:cs="宋体"/>
          <w:color w:val="000000"/>
          <w:sz w:val="24"/>
          <w:highlight w:val="none"/>
        </w:rPr>
      </w:r>
      <w:r>
        <w:rPr>
          <w:highlight w:val="none"/>
        </w:rPr>
      </w:r>
    </w:p>
    <w:p>
      <w:pPr>
        <w:pStyle w:val="637"/>
        <w:ind w:left="56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《中华人民共和国密码法》；</w:t>
      </w:r>
      <w:r>
        <w:rPr>
          <w:rFonts w:hint="eastAsia" w:ascii="宋体" w:hAnsi="宋体" w:cs="宋体"/>
          <w:color w:val="000000"/>
          <w:sz w:val="24"/>
          <w:highlight w:val="none"/>
        </w:rPr>
      </w:r>
      <w:r>
        <w:rPr>
          <w:highlight w:val="none"/>
        </w:rPr>
      </w:r>
    </w:p>
    <w:p>
      <w:pPr>
        <w:pStyle w:val="637"/>
        <w:ind w:left="562"/>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《网络安全等级保护基本要求》（GB/T 22239-2019）；</w:t>
      </w:r>
      <w:r>
        <w:rPr>
          <w:rFonts w:hint="eastAsia" w:ascii="宋体" w:hAnsi="宋体" w:eastAsia="宋体" w:cs="宋体"/>
          <w:color w:val="000000"/>
          <w:sz w:val="24"/>
          <w:highlight w:val="none"/>
        </w:rPr>
      </w:r>
      <w:r>
        <w:rPr>
          <w:highlight w:val="none"/>
        </w:rPr>
      </w:r>
    </w:p>
    <w:p>
      <w:pPr>
        <w:pStyle w:val="637"/>
        <w:ind w:left="562"/>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《信息安全技术 个人信息安全规范》（GB/T 35273-2020）；</w:t>
      </w:r>
      <w:r>
        <w:rPr>
          <w:rFonts w:hint="eastAsia" w:ascii="宋体" w:hAnsi="宋体" w:eastAsia="宋体" w:cs="宋体"/>
          <w:color w:val="000000"/>
          <w:sz w:val="24"/>
          <w:highlight w:val="none"/>
        </w:rPr>
      </w:r>
      <w:r>
        <w:rPr>
          <w:highlight w:val="none"/>
        </w:rPr>
      </w:r>
    </w:p>
    <w:p>
      <w:pPr>
        <w:pStyle w:val="637"/>
        <w:ind w:left="562"/>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《信息安全技术 个人信息去标识化指南》（GB/T 37964-2019）；</w:t>
      </w:r>
      <w:r>
        <w:rPr>
          <w:rFonts w:hint="eastAsia" w:ascii="宋体" w:hAnsi="宋体" w:eastAsia="宋体" w:cs="宋体"/>
          <w:color w:val="000000"/>
          <w:sz w:val="24"/>
          <w:highlight w:val="none"/>
        </w:rPr>
      </w:r>
      <w:r>
        <w:rPr>
          <w:highlight w:val="none"/>
        </w:rPr>
      </w:r>
    </w:p>
    <w:p>
      <w:pPr>
        <w:pStyle w:val="637"/>
        <w:ind w:left="562"/>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《信息安全技术 信息安全风险评估方法》（GB/T 20984-2022）；</w:t>
      </w:r>
      <w:r>
        <w:rPr>
          <w:rFonts w:hint="eastAsia" w:ascii="宋体" w:hAnsi="宋体" w:eastAsia="宋体" w:cs="宋体"/>
          <w:color w:val="000000"/>
          <w:sz w:val="24"/>
          <w:highlight w:val="none"/>
        </w:rPr>
      </w:r>
      <w:r>
        <w:rPr>
          <w:highlight w:val="none"/>
        </w:rPr>
      </w:r>
    </w:p>
    <w:p>
      <w:pPr>
        <w:pStyle w:val="637"/>
        <w:ind w:left="562"/>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《信息安全技术 大数据安全管理指南》（GB/T 37973-2019）；</w:t>
      </w:r>
      <w:r>
        <w:rPr>
          <w:rFonts w:hint="eastAsia" w:ascii="宋体" w:hAnsi="宋体" w:eastAsia="宋体" w:cs="宋体"/>
          <w:color w:val="000000"/>
          <w:sz w:val="24"/>
          <w:highlight w:val="none"/>
        </w:rPr>
      </w:r>
      <w:r>
        <w:rPr>
          <w:highlight w:val="none"/>
        </w:rPr>
      </w:r>
    </w:p>
    <w:p>
      <w:pPr>
        <w:pStyle w:val="637"/>
        <w:ind w:left="562"/>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《中国教育信息化技术标准》</w:t>
      </w:r>
      <w:r>
        <w:rPr>
          <w:rFonts w:hint="eastAsia" w:ascii="宋体" w:hAnsi="宋体" w:eastAsia="宋体" w:cs="宋体"/>
          <w:color w:val="000000"/>
          <w:sz w:val="24"/>
          <w:highlight w:val="none"/>
        </w:rPr>
      </w:r>
      <w:r>
        <w:rPr>
          <w:highlight w:val="none"/>
        </w:rPr>
      </w:r>
    </w:p>
    <w:p>
      <w:pPr>
        <w:pStyle w:val="637"/>
        <w:ind w:left="562"/>
        <w:spacing w:line="460" w:lineRule="exact"/>
        <w:rPr>
          <w:rFonts w:hint="eastAsia" w:ascii="宋体" w:hAnsi="宋体" w:eastAsia="宋体" w:cs="宋体"/>
          <w:color w:val="000000"/>
          <w:sz w:val="24"/>
          <w:highlight w:val="none"/>
        </w:rPr>
      </w:pPr>
      <w:r>
        <w:rPr>
          <w:rFonts w:ascii="宋体" w:hAnsi="宋体" w:eastAsia="宋体" w:cs="宋体"/>
          <w:color w:val="000000"/>
          <w:sz w:val="24"/>
          <w:highlight w:val="none"/>
        </w:rPr>
        <w:t xml:space="preserve">《数据中心基础设施运行维护标准》（GB/T51314-2018）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rPr>
          <w:highlight w:val="none"/>
        </w:rPr>
      </w:r>
    </w:p>
    <w:p>
      <w:pPr>
        <w:pStyle w:val="637"/>
        <w:ind w:left="562"/>
        <w:spacing w:line="460" w:lineRule="exact"/>
        <w:rPr>
          <w:rFonts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智慧城市SOA标准应用指南》</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GB/T36445-2018</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w:t>
      </w:r>
      <w:r>
        <w:rPr>
          <w:rFonts w:ascii="宋体" w:hAnsi="宋体" w:eastAsia="宋体" w:cs="宋体"/>
          <w:color w:val="000000"/>
          <w:sz w:val="24"/>
          <w:highlight w:val="none"/>
        </w:rPr>
      </w:r>
      <w:r>
        <w:rPr>
          <w:highlight w:val="none"/>
        </w:rPr>
      </w:r>
    </w:p>
    <w:p>
      <w:pPr>
        <w:pStyle w:val="637"/>
        <w:ind w:left="562"/>
        <w:spacing w:line="46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《智慧城市信息技术运营指南》</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GB/T36621-2018</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w:t>
      </w:r>
      <w:r>
        <w:rPr>
          <w:rFonts w:ascii="宋体" w:hAnsi="宋体" w:eastAsia="宋体" w:cs="宋体"/>
          <w:color w:val="000000"/>
          <w:sz w:val="24"/>
          <w:highlight w:val="none"/>
        </w:rPr>
      </w:r>
      <w:r>
        <w:rPr>
          <w:highlight w:val="none"/>
        </w:rPr>
      </w:r>
    </w:p>
    <w:p>
      <w:pPr>
        <w:pStyle w:val="637"/>
        <w:ind w:left="562"/>
        <w:spacing w:line="460" w:lineRule="exact"/>
        <w:rPr>
          <w:rFonts w:hint="eastAsia" w:ascii="宋体" w:hAnsi="宋体" w:eastAsia="宋体" w:cs="宋体"/>
          <w:color w:val="000000"/>
          <w:sz w:val="24"/>
          <w:highlight w:val="none"/>
        </w:rPr>
      </w:pPr>
      <w:r>
        <w:rPr>
          <w:rFonts w:ascii="宋体" w:hAnsi="宋体" w:eastAsia="宋体" w:cs="宋体"/>
          <w:color w:val="000000"/>
          <w:sz w:val="24"/>
          <w:highlight w:val="none"/>
        </w:rPr>
        <w:t xml:space="preserve">《信息技术服务运行维护第1部分：通用要求》</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GB/T28827-2012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rPr>
          <w:highlight w:val="none"/>
        </w:rPr>
      </w:r>
    </w:p>
    <w:p>
      <w:pPr>
        <w:pStyle w:val="637"/>
        <w:ind w:left="562"/>
        <w:spacing w:line="460" w:lineRule="exact"/>
        <w:rPr>
          <w:rFonts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江苏省智慧教育样板示范区创建要求</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val="en-US" w:eastAsia="zh-CN"/>
        </w:rPr>
      </w:r>
      <w:r>
        <w:rPr>
          <w:highlight w:val="none"/>
        </w:rPr>
      </w:r>
    </w:p>
    <w:p>
      <w:pPr>
        <w:pStyle w:val="637"/>
        <w:numPr>
          <w:ilvl w:val="0"/>
          <w:numId w:val="0"/>
        </w:numPr>
        <w:ind w:firstLine="562"/>
        <w:keepLines w:val="0"/>
        <w:keepNext w:val="0"/>
        <w:pageBreakBefore w:val="0"/>
        <w:spacing w:line="460" w:lineRule="exact"/>
        <w:widowControl w:val="off"/>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二、技术要求：</w:t>
      </w:r>
      <w:r>
        <w:rPr>
          <w:rFonts w:ascii="宋体" w:hAnsi="宋体" w:eastAsia="宋体" w:cs="宋体"/>
          <w:b/>
          <w:bCs/>
          <w:color w:val="000000"/>
          <w:sz w:val="28"/>
          <w:szCs w:val="28"/>
          <w:highlight w:val="none"/>
          <w:lang w:val="en-US" w:eastAsia="zh-CN"/>
        </w:rPr>
      </w:r>
      <w:r>
        <w:rPr>
          <w:highlight w:val="none"/>
        </w:rPr>
      </w:r>
    </w:p>
    <w:p>
      <w:pPr>
        <w:pStyle w:val="637"/>
        <w:numPr>
          <w:ilvl w:val="0"/>
          <w:numId w:val="0"/>
        </w:numPr>
        <w:ind w:firstLine="562"/>
        <w:keepLines w:val="0"/>
        <w:keepNext w:val="0"/>
        <w:pageBreakBefore w:val="0"/>
        <w:spacing w:line="46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（一）采购内容</w:t>
      </w:r>
      <w:r>
        <w:rPr>
          <w:rFonts w:hint="eastAsia" w:ascii="宋体" w:hAnsi="宋体" w:eastAsia="宋体" w:cs="宋体"/>
          <w:b/>
          <w:bCs/>
          <w:color w:val="000000"/>
          <w:sz w:val="28"/>
          <w:szCs w:val="28"/>
          <w:highlight w:val="none"/>
          <w:lang w:val="en-US" w:eastAsia="zh-CN"/>
        </w:rPr>
      </w:r>
      <w:r>
        <w:rPr>
          <w:highlight w:val="none"/>
        </w:rPr>
      </w:r>
    </w:p>
    <w:tbl>
      <w:tblPr>
        <w:tblStyle w:val="660"/>
        <w:tblW w:w="4927" w:type="pct"/>
        <w:jc w:val="center"/>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3399"/>
        <w:gridCol w:w="2401"/>
        <w:gridCol w:w="749"/>
        <w:gridCol w:w="684"/>
        <w:gridCol w:w="1835"/>
      </w:tblGrid>
      <w:tr>
        <w:trPr>
          <w:trHeight w:val="635"/>
        </w:trPr>
        <w:tc>
          <w:tcPr>
            <w:tcW w:w="382" w:type="dxa"/>
            <w:vAlign w:val="center"/>
            <w:textDirection w:val="lrTb"/>
            <w:noWrap w:val="false"/>
          </w:tcPr>
          <w:p>
            <w:pPr>
              <w:pStyle w:val="637"/>
              <w:jc w:val="center"/>
              <w:rPr>
                <w:color w:val="000000"/>
                <w:highlight w:val="none"/>
              </w:rPr>
            </w:pPr>
            <w:r>
              <w:rPr>
                <w:rFonts w:hint="eastAsia"/>
                <w:color w:val="000000"/>
                <w:highlight w:val="none"/>
              </w:rPr>
              <w:t xml:space="preserve">序号</w:t>
            </w:r>
            <w:r>
              <w:rPr>
                <w:color w:val="000000"/>
                <w:highlight w:val="none"/>
              </w:rPr>
            </w:r>
            <w:r>
              <w:rPr>
                <w:highlight w:val="none"/>
              </w:rPr>
            </w:r>
          </w:p>
        </w:tc>
        <w:tc>
          <w:tcPr>
            <w:tcW w:w="1730" w:type="dxa"/>
            <w:vAlign w:val="center"/>
            <w:textDirection w:val="lrTb"/>
            <w:noWrap w:val="false"/>
          </w:tcPr>
          <w:p>
            <w:pPr>
              <w:pStyle w:val="637"/>
              <w:jc w:val="center"/>
              <w:rPr>
                <w:color w:val="000000"/>
                <w:highlight w:val="none"/>
              </w:rPr>
            </w:pPr>
            <w:r>
              <w:rPr>
                <w:rFonts w:hint="eastAsia"/>
                <w:color w:val="000000"/>
                <w:highlight w:val="none"/>
              </w:rPr>
              <w:t xml:space="preserve">名称</w:t>
            </w:r>
            <w:r>
              <w:rPr>
                <w:color w:val="000000"/>
                <w:highlight w:val="none"/>
              </w:rPr>
            </w:r>
            <w:r>
              <w:rPr>
                <w:highlight w:val="none"/>
              </w:rPr>
            </w:r>
          </w:p>
        </w:tc>
        <w:tc>
          <w:tcPr>
            <w:tcW w:w="1222" w:type="dxa"/>
            <w:vAlign w:val="center"/>
            <w:textDirection w:val="lrTb"/>
            <w:noWrap w:val="false"/>
          </w:tcPr>
          <w:p>
            <w:pPr>
              <w:pStyle w:val="637"/>
              <w:jc w:val="center"/>
              <w:rPr>
                <w:color w:val="000000"/>
                <w:highlight w:val="none"/>
              </w:rPr>
            </w:pPr>
            <w:r>
              <w:rPr>
                <w:rFonts w:hint="eastAsia"/>
                <w:color w:val="000000"/>
                <w:highlight w:val="none"/>
              </w:rPr>
              <w:t xml:space="preserve">功能及技术参数</w:t>
            </w:r>
            <w:r>
              <w:rPr>
                <w:color w:val="000000"/>
                <w:highlight w:val="none"/>
              </w:rPr>
            </w:r>
            <w:r>
              <w:rPr>
                <w:highlight w:val="none"/>
              </w:rPr>
            </w:r>
          </w:p>
        </w:tc>
        <w:tc>
          <w:tcPr>
            <w:tcW w:w="381" w:type="dxa"/>
            <w:vAlign w:val="center"/>
            <w:textDirection w:val="lrTb"/>
            <w:noWrap w:val="false"/>
          </w:tcPr>
          <w:p>
            <w:pPr>
              <w:pStyle w:val="637"/>
              <w:jc w:val="center"/>
              <w:rPr>
                <w:color w:val="000000"/>
                <w:highlight w:val="none"/>
              </w:rPr>
            </w:pPr>
            <w:r>
              <w:rPr>
                <w:rFonts w:hint="eastAsia"/>
                <w:color w:val="000000"/>
                <w:highlight w:val="none"/>
              </w:rPr>
              <w:t xml:space="preserve">单位</w:t>
            </w:r>
            <w:r>
              <w:rPr>
                <w:color w:val="000000"/>
                <w:highlight w:val="none"/>
              </w:rPr>
            </w:r>
            <w:r>
              <w:rPr>
                <w:highlight w:val="none"/>
              </w:rPr>
            </w:r>
          </w:p>
        </w:tc>
        <w:tc>
          <w:tcPr>
            <w:tcW w:w="348" w:type="dxa"/>
            <w:vAlign w:val="center"/>
            <w:textDirection w:val="lrTb"/>
            <w:noWrap w:val="false"/>
          </w:tcPr>
          <w:p>
            <w:pPr>
              <w:pStyle w:val="637"/>
              <w:jc w:val="center"/>
              <w:rPr>
                <w:color w:val="000000"/>
                <w:highlight w:val="none"/>
              </w:rPr>
            </w:pPr>
            <w:r>
              <w:rPr>
                <w:rFonts w:hint="eastAsia"/>
                <w:color w:val="000000"/>
                <w:highlight w:val="none"/>
              </w:rPr>
              <w:t xml:space="preserve">数量</w:t>
            </w:r>
            <w:r>
              <w:rPr>
                <w:color w:val="000000"/>
                <w:highlight w:val="none"/>
              </w:rPr>
            </w:r>
            <w:r>
              <w:rPr>
                <w:highlight w:val="none"/>
              </w:rPr>
            </w:r>
          </w:p>
        </w:tc>
        <w:tc>
          <w:tcPr>
            <w:tcW w:w="934" w:type="dxa"/>
            <w:vAlign w:val="center"/>
            <w:textDirection w:val="lrTb"/>
            <w:noWrap w:val="false"/>
          </w:tcPr>
          <w:p>
            <w:pPr>
              <w:pStyle w:val="637"/>
              <w:jc w:val="center"/>
              <w:rPr>
                <w:color w:val="000000"/>
                <w:highlight w:val="none"/>
              </w:rPr>
            </w:pPr>
            <w:r>
              <w:rPr>
                <w:rFonts w:hint="eastAsia"/>
                <w:color w:val="000000"/>
                <w:highlight w:val="none"/>
              </w:rPr>
              <w:t xml:space="preserve">免费</w:t>
            </w:r>
            <w:r>
              <w:rPr>
                <w:rFonts w:hint="eastAsia"/>
                <w:color w:val="000000"/>
                <w:highlight w:val="none"/>
                <w:lang w:val="en-US" w:eastAsia="zh-CN"/>
              </w:rPr>
              <w:t xml:space="preserve">质保（维保）</w:t>
            </w:r>
            <w:r>
              <w:rPr>
                <w:rFonts w:hint="eastAsia"/>
                <w:color w:val="000000"/>
                <w:highlight w:val="none"/>
              </w:rPr>
              <w:t xml:space="preserve">期</w:t>
            </w:r>
            <w:r>
              <w:rPr>
                <w:color w:val="000000"/>
                <w:highlight w:val="none"/>
              </w:rPr>
            </w:r>
            <w:r>
              <w:rPr>
                <w:highlight w:val="none"/>
              </w:rPr>
            </w:r>
          </w:p>
        </w:tc>
      </w:tr>
      <w:tr>
        <w:trPr>
          <w:trHeight w:val="229"/>
        </w:trPr>
        <w:tc>
          <w:tcPr>
            <w:tcW w:w="382" w:type="dxa"/>
            <w:vAlign w:val="center"/>
            <w:textDirection w:val="lrTb"/>
            <w:noWrap w:val="false"/>
          </w:tcPr>
          <w:p>
            <w:pPr>
              <w:pStyle w:val="637"/>
              <w:jc w:val="center"/>
              <w:rPr>
                <w:color w:val="000000"/>
                <w:highlight w:val="none"/>
              </w:rPr>
            </w:pPr>
            <w:r>
              <w:rPr>
                <w:rFonts w:hint="eastAsia"/>
                <w:color w:val="000000"/>
                <w:highlight w:val="none"/>
              </w:rPr>
              <w:t xml:space="preserve">1</w:t>
            </w:r>
            <w:r>
              <w:rPr>
                <w:color w:val="000000"/>
                <w:highlight w:val="none"/>
              </w:rPr>
            </w:r>
            <w:r>
              <w:rPr>
                <w:highlight w:val="none"/>
              </w:rPr>
            </w:r>
          </w:p>
        </w:tc>
        <w:tc>
          <w:tcPr>
            <w:tcW w:w="1730"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智慧评价平台</w:t>
            </w:r>
            <w:r>
              <w:rPr>
                <w:rFonts w:hint="eastAsia" w:eastAsia="宋体" w:cs="Times New Roman"/>
                <w:color w:val="000000"/>
                <w:highlight w:val="none"/>
                <w:lang w:eastAsia="zh-CN"/>
              </w:rPr>
              <w:t xml:space="preserve">技术服务</w:t>
            </w:r>
            <w:r>
              <w:rPr>
                <w:rFonts w:hint="eastAsia" w:eastAsia="宋体" w:cs="Times New Roman"/>
                <w:color w:val="000000"/>
                <w:highlight w:val="none"/>
                <w:lang w:eastAsia="zh-CN"/>
              </w:rPr>
            </w:r>
            <w:r>
              <w:rPr>
                <w:highlight w:val="none"/>
              </w:rPr>
            </w:r>
          </w:p>
        </w:tc>
        <w:tc>
          <w:tcPr>
            <w:tcW w:w="1222"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详见技术及功能要求</w:t>
            </w:r>
            <w:r>
              <w:rPr>
                <w:rFonts w:hint="eastAsia" w:eastAsia="宋体" w:cs="Times New Roman"/>
                <w:color w:val="000000"/>
                <w:highlight w:val="none"/>
              </w:rPr>
            </w:r>
            <w:r>
              <w:rPr>
                <w:highlight w:val="none"/>
              </w:rPr>
            </w:r>
          </w:p>
        </w:tc>
        <w:tc>
          <w:tcPr>
            <w:tcW w:w="381"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套</w:t>
            </w:r>
            <w:r>
              <w:rPr>
                <w:rFonts w:hint="eastAsia" w:eastAsia="宋体" w:cs="Times New Roman"/>
                <w:color w:val="000000"/>
                <w:highlight w:val="none"/>
              </w:rPr>
            </w:r>
            <w:r>
              <w:rPr>
                <w:highlight w:val="none"/>
              </w:rPr>
            </w:r>
          </w:p>
        </w:tc>
        <w:tc>
          <w:tcPr>
            <w:tcW w:w="348"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1</w:t>
            </w:r>
            <w:r>
              <w:rPr>
                <w:rFonts w:hint="eastAsia" w:eastAsia="宋体" w:cs="Times New Roman"/>
                <w:color w:val="000000"/>
                <w:highlight w:val="none"/>
              </w:rPr>
            </w:r>
            <w:r>
              <w:rPr>
                <w:highlight w:val="none"/>
              </w:rPr>
            </w:r>
          </w:p>
        </w:tc>
        <w:tc>
          <w:tcPr>
            <w:tcW w:w="934"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三</w:t>
            </w:r>
            <w:r>
              <w:rPr>
                <w:rFonts w:hint="eastAsia" w:eastAsia="宋体" w:cs="Times New Roman"/>
                <w:color w:val="000000"/>
                <w:highlight w:val="none"/>
              </w:rPr>
              <w:t xml:space="preserve">年</w:t>
            </w:r>
            <w:r>
              <w:rPr>
                <w:rFonts w:hint="eastAsia" w:eastAsia="宋体" w:cs="Times New Roman"/>
                <w:color w:val="000000"/>
                <w:highlight w:val="none"/>
              </w:rPr>
            </w:r>
            <w:r>
              <w:rPr>
                <w:highlight w:val="none"/>
              </w:rPr>
            </w:r>
          </w:p>
        </w:tc>
      </w:tr>
      <w:tr>
        <w:trPr>
          <w:trHeight w:val="491"/>
        </w:trPr>
        <w:tc>
          <w:tcPr>
            <w:tcW w:w="382" w:type="dxa"/>
            <w:vAlign w:val="center"/>
            <w:textDirection w:val="lrTb"/>
            <w:noWrap w:val="false"/>
          </w:tcPr>
          <w:p>
            <w:pPr>
              <w:pStyle w:val="637"/>
              <w:jc w:val="center"/>
              <w:rPr>
                <w:rFonts w:hint="eastAsia" w:eastAsia="宋体"/>
                <w:color w:val="000000"/>
                <w:highlight w:val="none"/>
              </w:rPr>
            </w:pPr>
            <w:r>
              <w:rPr>
                <w:rFonts w:hint="eastAsia"/>
                <w:color w:val="000000"/>
                <w:highlight w:val="none"/>
                <w:lang w:val="en-US" w:eastAsia="zh-CN"/>
              </w:rPr>
              <w:t xml:space="preserve">2</w:t>
            </w:r>
            <w:r>
              <w:rPr>
                <w:rFonts w:hint="eastAsia" w:eastAsia="宋体"/>
                <w:color w:val="000000"/>
                <w:highlight w:val="none"/>
                <w:lang w:val="en-US" w:eastAsia="zh-CN"/>
              </w:rPr>
            </w:r>
            <w:r>
              <w:rPr>
                <w:highlight w:val="none"/>
              </w:rPr>
            </w:r>
          </w:p>
        </w:tc>
        <w:tc>
          <w:tcPr>
            <w:tcW w:w="1730"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中小学实验室及实验教学管理平台</w:t>
            </w:r>
            <w:r>
              <w:rPr>
                <w:rFonts w:hint="eastAsia" w:eastAsia="宋体" w:cs="Times New Roman"/>
                <w:color w:val="000000"/>
                <w:highlight w:val="none"/>
                <w:lang w:eastAsia="zh-CN"/>
              </w:rPr>
              <w:t xml:space="preserve">技术服务</w:t>
            </w:r>
            <w:r>
              <w:rPr>
                <w:rFonts w:hint="eastAsia" w:eastAsia="宋体" w:cs="Times New Roman"/>
                <w:color w:val="000000"/>
                <w:highlight w:val="none"/>
                <w:lang w:eastAsia="zh-CN"/>
              </w:rPr>
            </w:r>
            <w:r>
              <w:rPr>
                <w:highlight w:val="none"/>
              </w:rPr>
            </w:r>
          </w:p>
        </w:tc>
        <w:tc>
          <w:tcPr>
            <w:tcW w:w="1222"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详见技术及功能要求</w:t>
            </w:r>
            <w:r>
              <w:rPr>
                <w:rFonts w:hint="eastAsia" w:eastAsia="宋体" w:cs="Times New Roman"/>
                <w:color w:val="000000"/>
                <w:highlight w:val="none"/>
              </w:rPr>
            </w:r>
            <w:r>
              <w:rPr>
                <w:highlight w:val="none"/>
              </w:rPr>
            </w:r>
          </w:p>
        </w:tc>
        <w:tc>
          <w:tcPr>
            <w:tcW w:w="381"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套</w:t>
            </w:r>
            <w:r>
              <w:rPr>
                <w:rFonts w:hint="eastAsia" w:eastAsia="宋体" w:cs="Times New Roman"/>
                <w:color w:val="000000"/>
                <w:highlight w:val="none"/>
              </w:rPr>
            </w:r>
            <w:r>
              <w:rPr>
                <w:highlight w:val="none"/>
              </w:rPr>
            </w:r>
          </w:p>
        </w:tc>
        <w:tc>
          <w:tcPr>
            <w:tcW w:w="348"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1</w:t>
            </w:r>
            <w:r>
              <w:rPr>
                <w:rFonts w:hint="eastAsia" w:eastAsia="宋体" w:cs="Times New Roman"/>
                <w:color w:val="000000"/>
                <w:highlight w:val="none"/>
              </w:rPr>
            </w:r>
            <w:r>
              <w:rPr>
                <w:highlight w:val="none"/>
              </w:rPr>
            </w:r>
          </w:p>
        </w:tc>
        <w:tc>
          <w:tcPr>
            <w:tcW w:w="934"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三</w:t>
            </w:r>
            <w:r>
              <w:rPr>
                <w:rFonts w:hint="eastAsia" w:eastAsia="宋体" w:cs="Times New Roman"/>
                <w:color w:val="000000"/>
                <w:highlight w:val="none"/>
              </w:rPr>
              <w:t xml:space="preserve">年</w:t>
            </w:r>
            <w:r>
              <w:rPr>
                <w:rFonts w:hint="eastAsia" w:eastAsia="宋体" w:cs="Times New Roman"/>
                <w:color w:val="000000"/>
                <w:highlight w:val="none"/>
                <w:lang w:val="en-US" w:eastAsia="zh-CN"/>
              </w:rPr>
            </w:r>
            <w:r>
              <w:rPr>
                <w:highlight w:val="none"/>
              </w:rPr>
            </w:r>
          </w:p>
        </w:tc>
      </w:tr>
      <w:tr>
        <w:trPr>
          <w:trHeight w:val="243"/>
        </w:trPr>
        <w:tc>
          <w:tcPr>
            <w:tcW w:w="382" w:type="dxa"/>
            <w:vAlign w:val="center"/>
            <w:textDirection w:val="lrTb"/>
            <w:noWrap w:val="false"/>
          </w:tcPr>
          <w:p>
            <w:pPr>
              <w:pStyle w:val="637"/>
              <w:jc w:val="center"/>
              <w:rPr>
                <w:rFonts w:hint="eastAsia" w:eastAsia="宋体"/>
                <w:color w:val="000000"/>
                <w:highlight w:val="none"/>
              </w:rPr>
            </w:pPr>
            <w:r>
              <w:rPr>
                <w:rFonts w:hint="eastAsia"/>
                <w:color w:val="000000"/>
                <w:highlight w:val="none"/>
                <w:lang w:val="en-US" w:eastAsia="zh-CN"/>
              </w:rPr>
              <w:t xml:space="preserve">3</w:t>
            </w:r>
            <w:r>
              <w:rPr>
                <w:rFonts w:hint="eastAsia" w:eastAsia="宋体"/>
                <w:color w:val="000000"/>
                <w:highlight w:val="none"/>
                <w:lang w:val="en-US" w:eastAsia="zh-CN"/>
              </w:rPr>
            </w:r>
            <w:r>
              <w:rPr>
                <w:highlight w:val="none"/>
              </w:rPr>
            </w:r>
          </w:p>
        </w:tc>
        <w:tc>
          <w:tcPr>
            <w:tcW w:w="1730"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中小学实验室危化品管理平台</w:t>
            </w:r>
            <w:r>
              <w:rPr>
                <w:rFonts w:hint="eastAsia" w:eastAsia="宋体" w:cs="Times New Roman"/>
                <w:color w:val="000000"/>
                <w:highlight w:val="none"/>
                <w:lang w:eastAsia="zh-CN"/>
              </w:rPr>
              <w:t xml:space="preserve">技术服务</w:t>
            </w:r>
            <w:r>
              <w:rPr>
                <w:rFonts w:hint="eastAsia" w:eastAsia="宋体" w:cs="Times New Roman"/>
                <w:color w:val="000000"/>
                <w:highlight w:val="none"/>
                <w:lang w:eastAsia="zh-CN"/>
              </w:rPr>
            </w:r>
            <w:r>
              <w:rPr>
                <w:highlight w:val="none"/>
              </w:rPr>
            </w:r>
          </w:p>
        </w:tc>
        <w:tc>
          <w:tcPr>
            <w:tcW w:w="1222"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详见技术及功能要求</w:t>
            </w:r>
            <w:r>
              <w:rPr>
                <w:rFonts w:hint="eastAsia" w:eastAsia="宋体" w:cs="Times New Roman"/>
                <w:color w:val="000000"/>
                <w:highlight w:val="none"/>
              </w:rPr>
            </w:r>
            <w:r>
              <w:rPr>
                <w:highlight w:val="none"/>
              </w:rPr>
            </w:r>
          </w:p>
        </w:tc>
        <w:tc>
          <w:tcPr>
            <w:tcW w:w="381"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套</w:t>
            </w:r>
            <w:r>
              <w:rPr>
                <w:rFonts w:hint="eastAsia" w:eastAsia="宋体" w:cs="Times New Roman"/>
                <w:color w:val="000000"/>
                <w:highlight w:val="none"/>
              </w:rPr>
            </w:r>
            <w:r>
              <w:rPr>
                <w:highlight w:val="none"/>
              </w:rPr>
            </w:r>
          </w:p>
        </w:tc>
        <w:tc>
          <w:tcPr>
            <w:tcW w:w="348"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1</w:t>
            </w:r>
            <w:r>
              <w:rPr>
                <w:rFonts w:hint="eastAsia" w:eastAsia="宋体" w:cs="Times New Roman"/>
                <w:color w:val="000000"/>
                <w:highlight w:val="none"/>
              </w:rPr>
            </w:r>
            <w:r>
              <w:rPr>
                <w:highlight w:val="none"/>
              </w:rPr>
            </w:r>
          </w:p>
        </w:tc>
        <w:tc>
          <w:tcPr>
            <w:tcW w:w="934"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三</w:t>
            </w:r>
            <w:r>
              <w:rPr>
                <w:rFonts w:hint="eastAsia" w:eastAsia="宋体" w:cs="Times New Roman"/>
                <w:color w:val="000000"/>
                <w:highlight w:val="none"/>
              </w:rPr>
              <w:t xml:space="preserve">年</w:t>
            </w:r>
            <w:r>
              <w:rPr>
                <w:rFonts w:hint="eastAsia" w:eastAsia="宋体" w:cs="Times New Roman"/>
                <w:color w:val="000000"/>
                <w:highlight w:val="none"/>
                <w:lang w:val="en-US" w:eastAsia="zh-CN"/>
              </w:rPr>
            </w:r>
            <w:r>
              <w:rPr>
                <w:highlight w:val="none"/>
              </w:rPr>
            </w:r>
          </w:p>
        </w:tc>
      </w:tr>
      <w:tr>
        <w:trPr>
          <w:trHeight w:val="396"/>
        </w:trPr>
        <w:tc>
          <w:tcPr>
            <w:tcW w:w="382" w:type="dxa"/>
            <w:vAlign w:val="center"/>
            <w:textDirection w:val="lrTb"/>
            <w:noWrap w:val="false"/>
          </w:tcPr>
          <w:p>
            <w:pPr>
              <w:pStyle w:val="637"/>
              <w:jc w:val="center"/>
              <w:rPr>
                <w:rFonts w:hint="eastAsia" w:eastAsia="宋体"/>
                <w:color w:val="000000"/>
                <w:highlight w:val="none"/>
              </w:rPr>
            </w:pPr>
            <w:r>
              <w:rPr>
                <w:rFonts w:hint="eastAsia"/>
                <w:color w:val="000000"/>
                <w:highlight w:val="none"/>
                <w:lang w:val="en-US" w:eastAsia="zh-CN"/>
              </w:rPr>
              <w:t xml:space="preserve">4</w:t>
            </w:r>
            <w:r>
              <w:rPr>
                <w:rFonts w:hint="eastAsia" w:eastAsia="宋体"/>
                <w:color w:val="000000"/>
                <w:highlight w:val="none"/>
                <w:lang w:val="en-US" w:eastAsia="zh-CN"/>
              </w:rPr>
            </w:r>
            <w:r>
              <w:rPr>
                <w:highlight w:val="none"/>
              </w:rPr>
            </w:r>
          </w:p>
        </w:tc>
        <w:tc>
          <w:tcPr>
            <w:tcW w:w="1730"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东台市教育装备管理平台</w:t>
            </w:r>
            <w:r>
              <w:rPr>
                <w:rFonts w:hint="eastAsia" w:eastAsia="宋体" w:cs="Times New Roman"/>
                <w:color w:val="000000"/>
                <w:highlight w:val="none"/>
                <w:lang w:eastAsia="zh-CN"/>
              </w:rPr>
              <w:t xml:space="preserve">技术服务</w:t>
            </w:r>
            <w:r>
              <w:rPr>
                <w:rFonts w:hint="eastAsia" w:eastAsia="宋体" w:cs="Times New Roman"/>
                <w:color w:val="000000"/>
                <w:highlight w:val="none"/>
                <w:lang w:eastAsia="zh-CN"/>
              </w:rPr>
            </w:r>
            <w:r>
              <w:rPr>
                <w:highlight w:val="none"/>
              </w:rPr>
            </w:r>
          </w:p>
        </w:tc>
        <w:tc>
          <w:tcPr>
            <w:tcW w:w="1222"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详见技术及功能要求</w:t>
            </w:r>
            <w:r>
              <w:rPr>
                <w:rFonts w:hint="eastAsia" w:eastAsia="宋体" w:cs="Times New Roman"/>
                <w:color w:val="000000"/>
                <w:highlight w:val="none"/>
              </w:rPr>
            </w:r>
            <w:r>
              <w:rPr>
                <w:highlight w:val="none"/>
              </w:rPr>
            </w:r>
          </w:p>
        </w:tc>
        <w:tc>
          <w:tcPr>
            <w:tcW w:w="381"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套</w:t>
            </w:r>
            <w:r>
              <w:rPr>
                <w:rFonts w:hint="eastAsia" w:eastAsia="宋体" w:cs="Times New Roman"/>
                <w:color w:val="000000"/>
                <w:highlight w:val="none"/>
              </w:rPr>
            </w:r>
            <w:r>
              <w:rPr>
                <w:highlight w:val="none"/>
              </w:rPr>
            </w:r>
          </w:p>
        </w:tc>
        <w:tc>
          <w:tcPr>
            <w:tcW w:w="348"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1</w:t>
            </w:r>
            <w:r>
              <w:rPr>
                <w:rFonts w:hint="eastAsia" w:eastAsia="宋体" w:cs="Times New Roman"/>
                <w:color w:val="000000"/>
                <w:highlight w:val="none"/>
              </w:rPr>
            </w:r>
            <w:r>
              <w:rPr>
                <w:highlight w:val="none"/>
              </w:rPr>
            </w:r>
          </w:p>
        </w:tc>
        <w:tc>
          <w:tcPr>
            <w:tcW w:w="934"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三</w:t>
            </w:r>
            <w:r>
              <w:rPr>
                <w:rFonts w:hint="eastAsia" w:eastAsia="宋体" w:cs="Times New Roman"/>
                <w:color w:val="000000"/>
                <w:highlight w:val="none"/>
              </w:rPr>
              <w:t xml:space="preserve">年</w:t>
            </w:r>
            <w:r>
              <w:rPr>
                <w:rFonts w:hint="eastAsia" w:eastAsia="宋体" w:cs="Times New Roman"/>
                <w:color w:val="000000"/>
                <w:highlight w:val="none"/>
                <w:lang w:val="en-US" w:eastAsia="zh-CN"/>
              </w:rPr>
            </w:r>
            <w:r>
              <w:rPr>
                <w:highlight w:val="none"/>
              </w:rPr>
            </w:r>
          </w:p>
        </w:tc>
      </w:tr>
      <w:tr>
        <w:trPr>
          <w:trHeight w:val="650"/>
        </w:trPr>
        <w:tc>
          <w:tcPr>
            <w:tcW w:w="382" w:type="dxa"/>
            <w:vAlign w:val="center"/>
            <w:textDirection w:val="lrTb"/>
            <w:noWrap w:val="false"/>
          </w:tcPr>
          <w:p>
            <w:pPr>
              <w:pStyle w:val="637"/>
              <w:jc w:val="center"/>
              <w:rPr>
                <w:rFonts w:hint="eastAsia" w:eastAsia="宋体"/>
                <w:color w:val="000000"/>
                <w:highlight w:val="none"/>
              </w:rPr>
            </w:pPr>
            <w:r>
              <w:rPr>
                <w:rFonts w:hint="eastAsia"/>
                <w:color w:val="000000"/>
                <w:highlight w:val="none"/>
                <w:lang w:val="en-US" w:eastAsia="zh-CN"/>
              </w:rPr>
              <w:t xml:space="preserve">5</w:t>
            </w:r>
            <w:r>
              <w:rPr>
                <w:rFonts w:hint="eastAsia" w:eastAsia="宋体"/>
                <w:color w:val="000000"/>
                <w:highlight w:val="none"/>
                <w:lang w:val="en-US" w:eastAsia="zh-CN"/>
              </w:rPr>
            </w:r>
            <w:r>
              <w:rPr>
                <w:highlight w:val="none"/>
              </w:rPr>
            </w:r>
          </w:p>
        </w:tc>
        <w:tc>
          <w:tcPr>
            <w:tcW w:w="1730"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智慧测评系统年度服务（含支撑全市所有学校单校、联考服务，含</w:t>
            </w:r>
            <w:r>
              <w:rPr>
                <w:rFonts w:hint="eastAsia" w:eastAsia="宋体" w:cs="Times New Roman"/>
                <w:color w:val="000000"/>
                <w:highlight w:val="none"/>
                <w:lang w:val="en-US" w:eastAsia="zh-CN"/>
              </w:rPr>
              <w:t xml:space="preserve">2</w:t>
            </w:r>
            <w:r>
              <w:rPr>
                <w:rFonts w:hint="eastAsia" w:eastAsia="宋体" w:cs="Times New Roman"/>
                <w:color w:val="000000"/>
                <w:highlight w:val="none"/>
              </w:rPr>
              <w:t xml:space="preserve">人驻场服务）</w:t>
            </w:r>
            <w:r>
              <w:rPr>
                <w:rFonts w:hint="eastAsia" w:eastAsia="宋体" w:cs="Times New Roman"/>
                <w:color w:val="000000"/>
                <w:highlight w:val="none"/>
              </w:rPr>
            </w:r>
            <w:r>
              <w:rPr>
                <w:highlight w:val="none"/>
              </w:rPr>
            </w:r>
          </w:p>
        </w:tc>
        <w:tc>
          <w:tcPr>
            <w:tcW w:w="1222"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详见技术及功能要求</w:t>
            </w:r>
            <w:r>
              <w:rPr>
                <w:rFonts w:hint="eastAsia" w:eastAsia="宋体" w:cs="Times New Roman"/>
                <w:color w:val="000000"/>
                <w:highlight w:val="none"/>
              </w:rPr>
            </w:r>
            <w:r>
              <w:rPr>
                <w:highlight w:val="none"/>
              </w:rPr>
            </w:r>
          </w:p>
        </w:tc>
        <w:tc>
          <w:tcPr>
            <w:tcW w:w="381"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年</w:t>
            </w:r>
            <w:r>
              <w:rPr>
                <w:rFonts w:hint="eastAsia" w:eastAsia="宋体" w:cs="Times New Roman"/>
                <w:color w:val="000000"/>
                <w:highlight w:val="none"/>
              </w:rPr>
            </w:r>
            <w:r>
              <w:rPr>
                <w:highlight w:val="none"/>
              </w:rPr>
            </w:r>
          </w:p>
        </w:tc>
        <w:tc>
          <w:tcPr>
            <w:tcW w:w="348"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3</w:t>
            </w:r>
            <w:r>
              <w:rPr>
                <w:rFonts w:hint="eastAsia" w:eastAsia="宋体" w:cs="Times New Roman"/>
                <w:color w:val="000000"/>
                <w:highlight w:val="none"/>
              </w:rPr>
            </w:r>
            <w:r>
              <w:rPr>
                <w:highlight w:val="none"/>
              </w:rPr>
            </w:r>
          </w:p>
        </w:tc>
        <w:tc>
          <w:tcPr>
            <w:tcW w:w="934"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三</w:t>
            </w:r>
            <w:r>
              <w:rPr>
                <w:rFonts w:hint="eastAsia" w:eastAsia="宋体" w:cs="Times New Roman"/>
                <w:color w:val="000000"/>
                <w:highlight w:val="none"/>
              </w:rPr>
              <w:t xml:space="preserve">年</w:t>
            </w:r>
            <w:r>
              <w:rPr>
                <w:rFonts w:hint="eastAsia" w:eastAsia="宋体" w:cs="Times New Roman"/>
                <w:color w:val="000000"/>
                <w:highlight w:val="none"/>
                <w:lang w:val="en-US" w:eastAsia="zh-CN"/>
              </w:rPr>
            </w:r>
            <w:r>
              <w:rPr>
                <w:highlight w:val="none"/>
              </w:rPr>
            </w:r>
          </w:p>
        </w:tc>
      </w:tr>
      <w:tr>
        <w:trPr>
          <w:trHeight w:val="270"/>
        </w:trPr>
        <w:tc>
          <w:tcPr>
            <w:tcW w:w="382" w:type="dxa"/>
            <w:vAlign w:val="center"/>
            <w:textDirection w:val="lrTb"/>
            <w:noWrap w:val="false"/>
          </w:tcPr>
          <w:p>
            <w:pPr>
              <w:pStyle w:val="637"/>
              <w:jc w:val="center"/>
              <w:rPr>
                <w:rFonts w:hint="eastAsia" w:eastAsia="宋体"/>
                <w:color w:val="000000"/>
                <w:highlight w:val="none"/>
              </w:rPr>
            </w:pPr>
            <w:r>
              <w:rPr>
                <w:rFonts w:hint="eastAsia"/>
                <w:color w:val="000000"/>
                <w:highlight w:val="none"/>
                <w:lang w:val="en-US" w:eastAsia="zh-CN"/>
              </w:rPr>
              <w:t xml:space="preserve">6</w:t>
            </w:r>
            <w:r>
              <w:rPr>
                <w:rFonts w:hint="eastAsia" w:eastAsia="宋体"/>
                <w:color w:val="000000"/>
                <w:highlight w:val="none"/>
                <w:lang w:val="en-US" w:eastAsia="zh-CN"/>
              </w:rPr>
            </w:r>
            <w:r>
              <w:rPr>
                <w:highlight w:val="none"/>
              </w:rPr>
            </w:r>
          </w:p>
        </w:tc>
        <w:tc>
          <w:tcPr>
            <w:tcW w:w="1730"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电子图书云平台年度服务</w:t>
            </w:r>
            <w:r>
              <w:rPr>
                <w:rFonts w:hint="eastAsia" w:eastAsia="宋体" w:cs="Times New Roman"/>
                <w:color w:val="000000"/>
                <w:highlight w:val="none"/>
              </w:rPr>
            </w:r>
            <w:r>
              <w:rPr>
                <w:highlight w:val="none"/>
              </w:rPr>
            </w:r>
          </w:p>
        </w:tc>
        <w:tc>
          <w:tcPr>
            <w:tcW w:w="1222"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详见技术及功能要求</w:t>
            </w:r>
            <w:r>
              <w:rPr>
                <w:rFonts w:hint="eastAsia" w:eastAsia="宋体" w:cs="Times New Roman"/>
                <w:color w:val="000000"/>
                <w:highlight w:val="none"/>
              </w:rPr>
            </w:r>
            <w:r>
              <w:rPr>
                <w:highlight w:val="none"/>
              </w:rPr>
            </w:r>
          </w:p>
        </w:tc>
        <w:tc>
          <w:tcPr>
            <w:tcW w:w="381"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年</w:t>
            </w:r>
            <w:r>
              <w:rPr>
                <w:rFonts w:hint="eastAsia" w:eastAsia="宋体" w:cs="Times New Roman"/>
                <w:color w:val="000000"/>
                <w:highlight w:val="none"/>
              </w:rPr>
            </w:r>
            <w:r>
              <w:rPr>
                <w:highlight w:val="none"/>
              </w:rPr>
            </w:r>
          </w:p>
        </w:tc>
        <w:tc>
          <w:tcPr>
            <w:tcW w:w="348"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3</w:t>
            </w:r>
            <w:r>
              <w:rPr>
                <w:rFonts w:hint="eastAsia" w:eastAsia="宋体" w:cs="Times New Roman"/>
                <w:color w:val="000000"/>
                <w:highlight w:val="none"/>
              </w:rPr>
            </w:r>
            <w:r>
              <w:rPr>
                <w:highlight w:val="none"/>
              </w:rPr>
            </w:r>
          </w:p>
        </w:tc>
        <w:tc>
          <w:tcPr>
            <w:tcW w:w="934"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三</w:t>
            </w:r>
            <w:r>
              <w:rPr>
                <w:rFonts w:hint="eastAsia" w:eastAsia="宋体" w:cs="Times New Roman"/>
                <w:color w:val="000000"/>
                <w:highlight w:val="none"/>
              </w:rPr>
              <w:t xml:space="preserve">年</w:t>
            </w:r>
            <w:r>
              <w:rPr>
                <w:rFonts w:hint="eastAsia" w:eastAsia="宋体" w:cs="Times New Roman"/>
                <w:color w:val="000000"/>
                <w:highlight w:val="none"/>
                <w:lang w:val="en-US" w:eastAsia="zh-CN"/>
              </w:rPr>
            </w:r>
            <w:r>
              <w:rPr>
                <w:highlight w:val="none"/>
              </w:rPr>
            </w:r>
          </w:p>
        </w:tc>
      </w:tr>
      <w:tr>
        <w:trPr>
          <w:trHeight w:val="330"/>
        </w:trPr>
        <w:tc>
          <w:tcPr>
            <w:tcW w:w="382" w:type="dxa"/>
            <w:vAlign w:val="center"/>
            <w:textDirection w:val="lrTb"/>
            <w:noWrap w:val="false"/>
          </w:tcPr>
          <w:p>
            <w:pPr>
              <w:pStyle w:val="637"/>
              <w:jc w:val="center"/>
              <w:rPr>
                <w:rFonts w:hint="eastAsia" w:eastAsia="宋体"/>
                <w:color w:val="000000"/>
                <w:highlight w:val="none"/>
              </w:rPr>
            </w:pPr>
            <w:r>
              <w:rPr>
                <w:rFonts w:hint="eastAsia"/>
                <w:color w:val="000000"/>
                <w:highlight w:val="none"/>
                <w:lang w:val="en-US" w:eastAsia="zh-CN"/>
              </w:rPr>
              <w:t xml:space="preserve">7</w:t>
            </w:r>
            <w:r>
              <w:rPr>
                <w:rFonts w:hint="eastAsia" w:eastAsia="宋体"/>
                <w:color w:val="000000"/>
                <w:highlight w:val="none"/>
                <w:lang w:val="en-US" w:eastAsia="zh-CN"/>
              </w:rPr>
            </w:r>
            <w:r>
              <w:rPr>
                <w:highlight w:val="none"/>
              </w:rPr>
            </w:r>
          </w:p>
        </w:tc>
        <w:tc>
          <w:tcPr>
            <w:tcW w:w="1730"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云资源及安全服务</w:t>
            </w:r>
            <w:r>
              <w:rPr>
                <w:rFonts w:hint="eastAsia" w:eastAsia="宋体" w:cs="Times New Roman"/>
                <w:color w:val="000000"/>
                <w:highlight w:val="none"/>
              </w:rPr>
            </w:r>
            <w:r>
              <w:rPr>
                <w:highlight w:val="none"/>
              </w:rPr>
            </w:r>
          </w:p>
        </w:tc>
        <w:tc>
          <w:tcPr>
            <w:tcW w:w="1222"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详见技术及功能要求</w:t>
            </w:r>
            <w:r>
              <w:rPr>
                <w:rFonts w:hint="eastAsia" w:eastAsia="宋体" w:cs="Times New Roman"/>
                <w:color w:val="000000"/>
                <w:highlight w:val="none"/>
              </w:rPr>
            </w:r>
            <w:r>
              <w:rPr>
                <w:highlight w:val="none"/>
              </w:rPr>
            </w:r>
          </w:p>
        </w:tc>
        <w:tc>
          <w:tcPr>
            <w:tcW w:w="381"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年</w:t>
            </w:r>
            <w:r>
              <w:rPr>
                <w:rFonts w:hint="eastAsia" w:eastAsia="宋体" w:cs="Times New Roman"/>
                <w:color w:val="000000"/>
                <w:highlight w:val="none"/>
                <w:lang w:eastAsia="zh-CN"/>
              </w:rPr>
            </w:r>
            <w:r>
              <w:rPr>
                <w:highlight w:val="none"/>
              </w:rPr>
            </w:r>
          </w:p>
        </w:tc>
        <w:tc>
          <w:tcPr>
            <w:tcW w:w="348"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3</w:t>
            </w:r>
            <w:r>
              <w:rPr>
                <w:rFonts w:hint="eastAsia" w:eastAsia="宋体" w:cs="Times New Roman"/>
                <w:color w:val="000000"/>
                <w:highlight w:val="none"/>
                <w:lang w:eastAsia="zh-CN"/>
              </w:rPr>
            </w:r>
            <w:r>
              <w:rPr>
                <w:highlight w:val="none"/>
              </w:rPr>
            </w:r>
          </w:p>
        </w:tc>
        <w:tc>
          <w:tcPr>
            <w:tcW w:w="934"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三</w:t>
            </w:r>
            <w:r>
              <w:rPr>
                <w:rFonts w:hint="eastAsia" w:eastAsia="宋体" w:cs="Times New Roman"/>
                <w:color w:val="000000"/>
                <w:highlight w:val="none"/>
              </w:rPr>
              <w:t xml:space="preserve">年</w:t>
            </w:r>
            <w:r>
              <w:rPr>
                <w:rFonts w:hint="eastAsia" w:eastAsia="宋体" w:cs="Times New Roman"/>
                <w:color w:val="000000"/>
                <w:highlight w:val="none"/>
                <w:lang w:val="en-US" w:eastAsia="zh-CN"/>
              </w:rPr>
            </w:r>
            <w:r>
              <w:rPr>
                <w:highlight w:val="none"/>
              </w:rPr>
            </w:r>
          </w:p>
        </w:tc>
      </w:tr>
      <w:tr>
        <w:trPr>
          <w:trHeight w:val="340"/>
        </w:trPr>
        <w:tc>
          <w:tcPr>
            <w:tcW w:w="382" w:type="dxa"/>
            <w:vAlign w:val="center"/>
            <w:textDirection w:val="lrTb"/>
            <w:noWrap w:val="false"/>
          </w:tcPr>
          <w:p>
            <w:pPr>
              <w:pStyle w:val="637"/>
              <w:jc w:val="center"/>
              <w:rPr>
                <w:rFonts w:hint="eastAsia" w:eastAsia="宋体"/>
                <w:color w:val="000000"/>
                <w:highlight w:val="none"/>
              </w:rPr>
            </w:pPr>
            <w:r>
              <w:rPr>
                <w:rFonts w:hint="eastAsia"/>
                <w:color w:val="000000"/>
                <w:highlight w:val="none"/>
                <w:lang w:val="en-US" w:eastAsia="zh-CN"/>
              </w:rPr>
              <w:t xml:space="preserve">8</w:t>
            </w:r>
            <w:r>
              <w:rPr>
                <w:rFonts w:hint="eastAsia" w:eastAsia="宋体"/>
                <w:color w:val="000000"/>
                <w:highlight w:val="none"/>
                <w:lang w:val="en-US" w:eastAsia="zh-CN"/>
              </w:rPr>
            </w:r>
            <w:r>
              <w:rPr>
                <w:highlight w:val="none"/>
              </w:rPr>
            </w:r>
          </w:p>
        </w:tc>
        <w:tc>
          <w:tcPr>
            <w:tcW w:w="1730"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智能研修平台</w:t>
            </w:r>
            <w:r>
              <w:rPr>
                <w:rFonts w:hint="eastAsia" w:eastAsia="宋体" w:cs="Times New Roman"/>
                <w:color w:val="000000"/>
                <w:highlight w:val="none"/>
                <w:lang w:eastAsia="zh-CN"/>
              </w:rPr>
              <w:t xml:space="preserve">技术服务</w:t>
            </w:r>
            <w:r>
              <w:rPr>
                <w:rFonts w:hint="eastAsia" w:eastAsia="宋体" w:cs="Times New Roman"/>
                <w:color w:val="000000"/>
                <w:highlight w:val="none"/>
                <w:lang w:eastAsia="zh-CN"/>
              </w:rPr>
            </w:r>
            <w:r>
              <w:rPr>
                <w:highlight w:val="none"/>
              </w:rPr>
            </w:r>
          </w:p>
        </w:tc>
        <w:tc>
          <w:tcPr>
            <w:tcW w:w="1222"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详见技术及功能要求</w:t>
            </w:r>
            <w:r>
              <w:rPr>
                <w:rFonts w:hint="eastAsia" w:eastAsia="宋体" w:cs="Times New Roman"/>
                <w:color w:val="000000"/>
                <w:highlight w:val="none"/>
              </w:rPr>
            </w:r>
            <w:r>
              <w:rPr>
                <w:highlight w:val="none"/>
              </w:rPr>
            </w:r>
          </w:p>
        </w:tc>
        <w:tc>
          <w:tcPr>
            <w:tcW w:w="381"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套</w:t>
            </w:r>
            <w:r>
              <w:rPr>
                <w:rFonts w:hint="eastAsia" w:eastAsia="宋体" w:cs="Times New Roman"/>
                <w:color w:val="000000"/>
                <w:highlight w:val="none"/>
              </w:rPr>
            </w:r>
            <w:r>
              <w:rPr>
                <w:highlight w:val="none"/>
              </w:rPr>
            </w:r>
          </w:p>
        </w:tc>
        <w:tc>
          <w:tcPr>
            <w:tcW w:w="348"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1</w:t>
            </w:r>
            <w:r>
              <w:rPr>
                <w:rFonts w:hint="eastAsia" w:eastAsia="宋体" w:cs="Times New Roman"/>
                <w:color w:val="000000"/>
                <w:highlight w:val="none"/>
              </w:rPr>
            </w:r>
            <w:r>
              <w:rPr>
                <w:highlight w:val="none"/>
              </w:rPr>
            </w:r>
          </w:p>
        </w:tc>
        <w:tc>
          <w:tcPr>
            <w:tcW w:w="934"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三</w:t>
            </w:r>
            <w:r>
              <w:rPr>
                <w:rFonts w:hint="eastAsia" w:eastAsia="宋体" w:cs="Times New Roman"/>
                <w:color w:val="000000"/>
                <w:highlight w:val="none"/>
              </w:rPr>
              <w:t xml:space="preserve">年</w:t>
            </w:r>
            <w:r>
              <w:rPr>
                <w:rFonts w:hint="eastAsia" w:eastAsia="宋体" w:cs="Times New Roman"/>
                <w:color w:val="000000"/>
                <w:highlight w:val="none"/>
                <w:lang w:val="en-US" w:eastAsia="zh-CN"/>
              </w:rPr>
            </w:r>
            <w:r>
              <w:rPr>
                <w:highlight w:val="none"/>
              </w:rPr>
            </w:r>
          </w:p>
        </w:tc>
      </w:tr>
      <w:tr>
        <w:trPr>
          <w:trHeight w:val="340"/>
        </w:trPr>
        <w:tc>
          <w:tcPr>
            <w:tcW w:w="382" w:type="dxa"/>
            <w:vAlign w:val="center"/>
            <w:textDirection w:val="lrTb"/>
            <w:noWrap w:val="false"/>
          </w:tcPr>
          <w:p>
            <w:pPr>
              <w:pStyle w:val="637"/>
              <w:jc w:val="center"/>
              <w:rPr>
                <w:color w:val="000000"/>
                <w:highlight w:val="none"/>
              </w:rPr>
            </w:pPr>
            <w:r>
              <w:rPr>
                <w:rFonts w:hint="eastAsia"/>
                <w:color w:val="000000"/>
                <w:highlight w:val="none"/>
                <w:lang w:val="en-US" w:eastAsia="zh-CN"/>
              </w:rPr>
              <w:t xml:space="preserve">9</w:t>
            </w:r>
            <w:r>
              <w:rPr>
                <w:color w:val="000000"/>
                <w:highlight w:val="none"/>
                <w:lang w:val="en-US" w:eastAsia="zh-CN"/>
              </w:rPr>
            </w:r>
            <w:r>
              <w:rPr>
                <w:highlight w:val="none"/>
              </w:rPr>
            </w:r>
          </w:p>
        </w:tc>
        <w:tc>
          <w:tcPr>
            <w:tcW w:w="1730"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教师招聘管理系统年度服务</w:t>
            </w:r>
            <w:r>
              <w:rPr>
                <w:rFonts w:hint="eastAsia" w:eastAsia="宋体" w:cs="Times New Roman"/>
                <w:color w:val="000000"/>
                <w:highlight w:val="none"/>
              </w:rPr>
            </w:r>
            <w:r>
              <w:rPr>
                <w:highlight w:val="none"/>
              </w:rPr>
            </w:r>
          </w:p>
        </w:tc>
        <w:tc>
          <w:tcPr>
            <w:tcW w:w="1222"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rPr>
              <w:t xml:space="preserve">详见技术及功能要求</w:t>
            </w:r>
            <w:r>
              <w:rPr>
                <w:rFonts w:hint="eastAsia" w:eastAsia="宋体" w:cs="Times New Roman"/>
                <w:color w:val="000000"/>
                <w:highlight w:val="none"/>
              </w:rPr>
            </w:r>
            <w:r>
              <w:rPr>
                <w:highlight w:val="none"/>
              </w:rPr>
            </w:r>
          </w:p>
        </w:tc>
        <w:tc>
          <w:tcPr>
            <w:tcW w:w="381"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年</w:t>
            </w:r>
            <w:r>
              <w:rPr>
                <w:rFonts w:hint="eastAsia" w:eastAsia="宋体" w:cs="Times New Roman"/>
                <w:color w:val="000000"/>
                <w:highlight w:val="none"/>
                <w:lang w:val="en-US" w:eastAsia="zh-CN"/>
              </w:rPr>
            </w:r>
            <w:r>
              <w:rPr>
                <w:highlight w:val="none"/>
              </w:rPr>
            </w:r>
          </w:p>
        </w:tc>
        <w:tc>
          <w:tcPr>
            <w:tcW w:w="348"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3</w:t>
            </w:r>
            <w:r>
              <w:rPr>
                <w:rFonts w:hint="eastAsia" w:eastAsia="宋体" w:cs="Times New Roman"/>
                <w:color w:val="000000"/>
                <w:highlight w:val="none"/>
                <w:lang w:val="en-US" w:eastAsia="zh-CN"/>
              </w:rPr>
            </w:r>
            <w:r>
              <w:rPr>
                <w:highlight w:val="none"/>
              </w:rPr>
            </w:r>
          </w:p>
        </w:tc>
        <w:tc>
          <w:tcPr>
            <w:tcW w:w="934" w:type="dxa"/>
            <w:vAlign w:val="center"/>
            <w:textDirection w:val="lrTb"/>
            <w:noWrap w:val="false"/>
          </w:tcPr>
          <w:p>
            <w:pPr>
              <w:pStyle w:val="637"/>
              <w:jc w:val="center"/>
              <w:rPr>
                <w:rFonts w:hint="eastAsia" w:eastAsia="宋体" w:cs="Times New Roman"/>
                <w:color w:val="000000"/>
                <w:highlight w:val="none"/>
              </w:rPr>
            </w:pPr>
            <w:r>
              <w:rPr>
                <w:rFonts w:hint="eastAsia" w:eastAsia="宋体" w:cs="Times New Roman"/>
                <w:color w:val="000000"/>
                <w:highlight w:val="none"/>
                <w:lang w:val="en-US" w:eastAsia="zh-CN"/>
              </w:rPr>
              <w:t xml:space="preserve">三</w:t>
            </w:r>
            <w:r>
              <w:rPr>
                <w:rFonts w:hint="eastAsia" w:eastAsia="宋体" w:cs="Times New Roman"/>
                <w:color w:val="000000"/>
                <w:highlight w:val="none"/>
              </w:rPr>
              <w:t xml:space="preserve">年</w:t>
            </w:r>
            <w:r>
              <w:rPr>
                <w:rFonts w:hint="eastAsia" w:eastAsia="宋体" w:cs="Times New Roman"/>
                <w:color w:val="000000"/>
                <w:highlight w:val="none"/>
                <w:lang w:val="en-US" w:eastAsia="zh-CN"/>
              </w:rPr>
            </w:r>
            <w:r>
              <w:rPr>
                <w:highlight w:val="none"/>
              </w:rPr>
            </w:r>
          </w:p>
        </w:tc>
      </w:tr>
    </w:tbl>
    <w:p>
      <w:pPr>
        <w:pStyle w:val="637"/>
        <w:numPr>
          <w:ilvl w:val="0"/>
          <w:numId w:val="1"/>
        </w:num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功能及技术参数要求</w:t>
      </w:r>
      <w:r>
        <w:rPr>
          <w:rFonts w:hint="eastAsia" w:ascii="宋体" w:hAnsi="宋体" w:eastAsia="宋体" w:cs="宋体"/>
          <w:b/>
          <w:bCs/>
          <w:color w:val="000000"/>
          <w:sz w:val="28"/>
          <w:szCs w:val="28"/>
          <w:highlight w:val="none"/>
          <w:lang w:val="en-US" w:eastAsia="zh-CN"/>
        </w:rPr>
      </w:r>
      <w:r>
        <w:rPr>
          <w:highlight w:val="none"/>
        </w:rPr>
      </w:r>
    </w:p>
    <w:tbl>
      <w:tblPr>
        <w:tblW w:w="10259" w:type="dxa"/>
        <w:tblInd w:w="-19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2050"/>
        <w:gridCol w:w="5441"/>
        <w:gridCol w:w="827"/>
        <w:gridCol w:w="666"/>
      </w:tblGrid>
      <w:tr>
        <w:trPr>
          <w:trHeight w:val="395"/>
        </w:trPr>
        <w:tc>
          <w:tcPr>
            <w:tcW w:w="1275" w:type="dxa"/>
            <w:vAlign w:val="center"/>
            <w:textDirection w:val="lrTb"/>
            <w:noWrap w:val="false"/>
          </w:tcPr>
          <w:p>
            <w:pPr>
              <w:pStyle w:val="6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系统名称</w:t>
            </w:r>
            <w:r>
              <w:rPr>
                <w:rFonts w:hint="eastAsia" w:ascii="宋体" w:hAnsi="宋体" w:eastAsia="宋体" w:cs="宋体"/>
                <w:b/>
                <w:bCs/>
                <w:i w:val="0"/>
                <w:iCs w:val="0"/>
                <w:color w:val="000000"/>
                <w:sz w:val="21"/>
                <w:szCs w:val="21"/>
                <w:highlight w:val="none"/>
                <w:u w:val="none"/>
              </w:rPr>
            </w:r>
            <w:r>
              <w:rPr>
                <w:highlight w:val="none"/>
              </w:rPr>
            </w:r>
          </w:p>
        </w:tc>
        <w:tc>
          <w:tcPr>
            <w:tcW w:w="2050" w:type="dxa"/>
            <w:vAlign w:val="center"/>
            <w:textDirection w:val="lrTb"/>
            <w:noWrap w:val="false"/>
          </w:tcPr>
          <w:p>
            <w:pPr>
              <w:pStyle w:val="6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应用模块</w:t>
            </w:r>
            <w:r>
              <w:rPr>
                <w:rFonts w:hint="eastAsia" w:ascii="宋体" w:hAnsi="宋体" w:eastAsia="宋体" w:cs="宋体"/>
                <w:b/>
                <w:bCs/>
                <w:i w:val="0"/>
                <w:iCs w:val="0"/>
                <w:color w:val="000000"/>
                <w:sz w:val="21"/>
                <w:szCs w:val="21"/>
                <w:highlight w:val="none"/>
                <w:u w:val="none"/>
              </w:rPr>
            </w:r>
            <w:r>
              <w:rPr>
                <w:highlight w:val="none"/>
              </w:rPr>
            </w:r>
          </w:p>
        </w:tc>
        <w:tc>
          <w:tcPr>
            <w:tcW w:w="5441" w:type="dxa"/>
            <w:vAlign w:val="center"/>
            <w:textDirection w:val="lrTb"/>
            <w:noWrap w:val="false"/>
          </w:tcPr>
          <w:p>
            <w:pPr>
              <w:pStyle w:val="6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详细技术功能要求</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rPr>
                <w:highlight w:val="none"/>
              </w:rPr>
            </w:r>
          </w:p>
        </w:tc>
      </w:tr>
      <w:tr>
        <w:trPr>
          <w:trHeight w:val="395"/>
        </w:trPr>
        <w:tc>
          <w:tcPr>
            <w:gridSpan w:val="5"/>
            <w:tcW w:w="10259"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一、智慧评价平台技术服务</w:t>
            </w:r>
            <w:r>
              <w:rPr>
                <w:rFonts w:hint="eastAsia" w:ascii="宋体" w:hAnsi="宋体" w:eastAsia="宋体" w:cs="宋体"/>
                <w:b/>
                <w:bCs/>
                <w:i w:val="0"/>
                <w:iCs w:val="0"/>
                <w:color w:val="000000"/>
                <w:sz w:val="21"/>
                <w:szCs w:val="21"/>
                <w:highlight w:val="none"/>
                <w:u w:val="none"/>
              </w:rPr>
            </w:r>
            <w:r>
              <w:rPr>
                <w:highlight w:val="none"/>
              </w:rPr>
            </w:r>
          </w:p>
        </w:tc>
      </w:tr>
      <w:tr>
        <w:trPr>
          <w:trHeight w:val="56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基础平台升级</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统一用户与统一身份认证升级</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1.基于现有智慧教育云平台，对基础数据平台、统一身份认证平台进行升级，要求与现有应用无缝对接，历史数据全部保留无缝平滑升级并满足清单功能需求。</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2.建立覆盖教育局行政人员、学校、老师、学生、家长等所有成员的统一用户身份。用户在教育局体系内身份唯一；</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3.组织及用户账户的统一管理为用户提供对用户账户的生命周期、身份源的管理，并支持平台用</w:t>
            </w:r>
            <w:r>
              <w:rPr>
                <w:rFonts w:hint="eastAsia" w:ascii="宋体" w:hAnsi="宋体" w:eastAsia="宋体" w:cs="宋体"/>
                <w:i w:val="0"/>
                <w:iCs w:val="0"/>
                <w:color w:val="000000"/>
                <w:sz w:val="21"/>
                <w:szCs w:val="21"/>
                <w:highlight w:val="none"/>
                <w:u w:val="none"/>
                <w:lang w:val="en-US" w:eastAsia="zh-CN" w:bidi="ar"/>
              </w:rPr>
              <w:t xml:space="preserve">户与应用系统用户相关联。支持市、区、校三级管理架构体系，可同时创建多个具备多级组织架构的单位，支持通过关联单位，为多个单位建立上下级的从属关系，实现局校分布式管理体系；支持用户信息、用户角色的创建、修改、删除；支持通过设置不同角色对用户进行管理；实现基于用户角色进行权限配置、禁用/恢复、信息修改、口令设置、信息查询等功能，支持模糊查询，支持用户信息的导入、导出；支持系统用户与各应用系统用户关联关系设置，对于无法实现统一用户的系统设置关联后，即可实现用户通过统一入口进入，就可以访问所有具有访问权限的应用系统；</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8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用户身份的认证、单点登录、单点登出功能；支持用户链接超时自动退出；支持对接入应用系统管理，可实现对接入应用系统信息的添加、删除、编辑等操作；支持应用系统身份在单点登录系统的注册、认证；应用系统的身份注册、认证须具有唯一性和防伪造性；支持对应用系统的浏览、查询功能；支持基于用户、用户组、角色的访问控制策略的配置与管理功能；支持设置不同级别权限的管理员管理系统。</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应用管理</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1.支持对平台中各应用进行管理，包括快速注册应用、上架与下架，支持系统内、外部应用的应用注册，支持应用链接具体功能菜单，也支持应用链接门户、自定义的信息频道等；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12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应用注册的功能，方便第三方系统接入；支持通过应用注册的形式在系统内注册单点登录访问或者链接地址直接访问的系统；对于不获取登录信息的应用，无需在系统中进行身份认证即可使用；对于需要实现单点登录的业务应用，则需要通过身份认证后才可完成登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▲3.支持应用统一下发，基于局校管理架构模型，可一键向所有关联单位下发应用。实现局校应用的批量快捷授权。投标时提供系统功能截图，并加盖投标人公章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安全审计</w:t>
            </w:r>
            <w:r>
              <w:rPr>
                <w:rFonts w:hint="eastAsia" w:ascii="宋体" w:hAnsi="宋体" w:eastAsia="宋体" w:cs="宋体"/>
                <w:i w:val="0"/>
                <w:iCs w:val="0"/>
                <w:color w:val="000000"/>
                <w:sz w:val="21"/>
                <w:szCs w:val="21"/>
                <w:highlight w:val="none"/>
                <w:u w:val="none"/>
              </w:rPr>
            </w:r>
            <w:r>
              <w:rPr>
                <w:highlight w:val="none"/>
              </w:rP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记录系统的所有关键行为的操作日志，监控用户的操作，追溯用户的行为，为系统的安全运行及安全管理提供保障。系统实现操作与审计的权限分离，系统管理员与审计管理员是独立的。</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6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移动端支持</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需开发统一移动端H5平台，集成其他模块，如阅卷系统、研修平台、教育装备的等，支持移动端审批。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60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业务中台升级</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门户平台</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支持通过拖拽式自定义配置管理者、教职工、业务处室等各种用户的个人空间，真正实现人人一空间，人人个性化空间。具体须实现的功能有：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1.布局设置：支持对空间布局进行页面结构的自定义，可按12等分如/363/255/66/48/84/3333或任意分栏自定义定制显示区域比例；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门户设计：支持对门户布局、组件样式、整体样式进行设计，支持拖拽式门户空间内容设计，须提供丰富的门户空间组件选择使用，提供空间集成组件可直接嵌入脚本代码获取第三方系统的数据或展示第三方系统的应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组件设计：支持自定义门户组件的各类属性，包括添加与调整名称、描述、分类、唯一标识、数据链接、排序码等；支持自由调整各组件的内容与样式，可对组件的大小（高度）、圆角设置、边框属性、标题属性、内容显示进行自定义调整。</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4.应用导航：支持对前台应用导航的样式进行切换；</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5.皮肤颜色：支持统一修改皮肤颜色顺序，如果上级单位已设置可自动根据上级单位设置的顺序显示；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门户组件：提供信息、审批、公文、德育、工作任务、课表、日程、周行事历等常用应用组件；提供HTML编辑器组件允许用户自定义显示内容；提供常用应用与常用流程组件实现常用应用与常用流程的个性化配置；提供系统数据类组件包括学校基础数据、教师学生班级家长、教师使用情况、教师月活跃度排行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7.个人门户：支持平台中的每位用户通过无代码拖拽的方式，自定义自己的个人空间，按需打造自己的个人主页，实现个性化空间；</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8.支持教育局将局端自定义的门户统一下发至校端，构建局校一体化的网络空间，减轻各单校配置的工作量。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流程平台</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支持通过流程平台自定义搭建多种审批业务，并可根据业务需求修改审批表单及流程。具体须实现的功能有：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14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表单自定义能力：支持对表单进行各类自定义设置，包括实现表单基础信息（标题、描述、字段、颜色、触发字段、赋值字段、SQL语句等）、布局控件（一行两列、一行三列、一行多列、明细子表、表格布局等）、字段控件（单行文本、多行文本、数字、审批意见、单选框、复选框、下拉框、多级下拉框、日期、金额、上传附件、文档在线编辑、周次、等级转化、图片选择、评分控件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流程引擎能力：支持活动的网关类型设置（互斥、并行、包含）；支持对活动的办理方式进行设置，可选择抢占、会签、串签；支持批示意见设置，可设置办理人为空自动跳过、办理人重复自动跳过。支持对教育行业属性的支持，如对学科组长、备课组长、班主任等参与者角色的自动识别。</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不同用户体系的流程配置：支持配置教职工应用流程，同时支持配置学生端应用流程。支持配置教职工应用流程，同时支持配置学生端应用流程。学生审批可在后台选择流转到发起学生班主任或发起学生制定科目的任教老师，系统支持调用任教关系数据实现流程流转；</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4.数据操作权限及按钮定义：支持流程审批环节配置数据权限（只读、隐藏、编辑）、支持对操作按钮进行自定义，配置哪些显示，哪些可以不显示；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集成规则调用：支持流程的标题表达式结合变量进行自定义展示；支持流流程对第三方接口调用进行配置，通过接口配置实现流程与其它业务的深度集成；支持流程对集成规则的调用，可配置集成规则在审批发起、通过、作废等状态调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6.支持教育局端配置流程下发到学校端使用。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业务定制平台</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调用零代码表单自定义工具及流程自定义工具搭建业务应用所需要的多个表单及流程,同时支持对应用的列表展示内容、数据查询权限、操作按钮进行自定义，并可支持通过菜单定义将表单、报表及其它应用通过链接组装的形式组成一个全新的业务应用，并可发布到应用中心。</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具体须实现的功能有：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业务类型：支持关联相关的流程表单模板，表单型业务应用支持带流程审批的业务与不带流程审批的业务两种类型，还可支持报表平台的自定义报表类应用，还可连接外部的各类业务，支持将以上各类型应用汇聚成全新的业务模块；</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2.数据权限：支持对搭建的应用可根据用户角色身份的不同实现数据查看范围的控制，如教师看自己的数据、年级组长看年级的数据、校长看全校的数据；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应用方案:支持通过无代码的方式创建应用方案，支持配置多个应用方案供不同的角色使用，支持在应用方案中可实现包括列表展示（包括列表展示的字段，列宽定义）、查询方案（可定义标准查询字段，）、按钮使用授权、数据查询条件、消息提醒设置、定时提醒任务、用户录入次数限制等方案属性的灵活定义。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报表平台</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支持通过报表平台实现快捷自定义各类业务报表。具体须实现的功能有：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1.无须任何代码，仅通过拖拽表单字段的配置即可实现统计报表的自由添加，包括实现报表名称、排序、数据来源表（关联数据表）、子表等数据的导入；</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2.支持提供丰富的统计报表满足不同的统计场景。提供明细表、分组表和交叉表等不同类型的报表；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报表设置：支持对报表的维度、指标进行自定义设置，可自定义设置报表的行表头与列表头；支持设置数据筛选条件的自定义，并对查询方案进行设置（可选择字段、运算符设置查询条件等）；支持选择折线图、柱状图、饼状图等统计图，设置统计图形与统计报表同时在一个界面展示。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集成平台</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支持为每个接入的业务应用提供标准接口及接入规范，支持第三方系统的应用注册，支持通过零代码配置集成规则实现两个不同业务之间的数据同步。具体须实现的功能有：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14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系统注册：为第三方应用接入提供标准接口，实现第三方应用无缝接入与实现数据同步等；为实现更好的数据兼容性，各个应用系统的数据都将通过平台API接口进行交互和调用，平台的所有接口都将以REST的设计和开发方式呈现；通过统一的应用接口管理，应用可以遵照平台数据交互标准向任何平台上的其他应用提供数据调用接口，方便数据交互；</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应用注册：须提供应用注册的功能，以供第三方系统接入；第三方应用可通过应用注册的方式，与平台实现单点登录或链接地址直接访问；对于不获取登录信息的应用，无需在系统中进行身份认证即可使用；对于需要实现单点登录的业务应用，则需要通过身份认证后才可完成登录；在实现应用与平台或应用间的数据交换和请求时系统密钥则将成为平台上唯一的通用的且安全的标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集成规则配置：通过集成规则的配置（无须通过代码）即可完成来源表字段与目标表字段之间的字段对应关系设置，支持对数据的新建、修改及删除的中操作，支持子表数据的对应设置。通过流程活动对集成规则的调用，实现不同数据表之间的数据同步。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4.接口日志：支持自动记录接口的调用情况，包括系统名称、接口名称、调用开始时间、调用耗时、调用结果等，日志信息支持在线查询、支持批量导出。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局校一体三大评价</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督导评价系统</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现上级教育局对下属学校的综合督导检查工作的管理，包括综合督导评价指标及督导方案的制定，评价指标包括人工手动打分及自动算分多种模式。学校上传评价相关佐证材料，自评打分及填写自评评语，上级教育局进行督导评分，实现督导过程有序可控，督导结果支持多维度报表展现，具体功能如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1.指标管理：系统可自定义指标维度，支持三级指标从属体系（二级从属于一级指标，三级从属于二级指标），指标支持多种评分方式的设定，包括人工分数评分，人工等级赋分，加减分，附加分等；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2.评价模板管理：支持针对不同的评价对象主体设定不同的评价模板，新建模板可选择考评指标及指标评价人，如幼儿园的评价，小学的评价，初中的评价标准都支持各不相同；</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考评管理：支持统一管理评价活动，可自定义评价对象，评价模板，上传材料的时间，评价的起止时间等基础设置，若评价活动中存在人工打分指标，支持按评价的学校数量自动生成多份评价表，学校可进行自评材料的上传，学校提交后打分人可进行打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▲4.上传材料：支持被评价人针对评价指标上传佐证材料，填写自评分数及上传自评评语，支持佐证材料以文件夹的形式直接上传；投标时提供系统功能截图，并加盖投标人公章。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8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考评考核：根据指标的评价权限进行评价，支持评价人员把指标分配给其他成员，支持按指标评价与按评价对像评价两种评价维度进行评价，按指标评价罗列当前用户有权限评价的所有指标，按单个指标进行评价，单个指标展示该指标所有参评学校，可一次性将所有参评对象评价完成，可在线浏览“佐证材料”文件，可结合“任务管理”进行过程性评价。按评价对象评价时显示一所学校的所有评价指标，根据当前用户的评价权限对有权限的指标进行评价；</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6.评价结果查询：支持快捷查询评价结果，提供局端管理员查询与学校查询，局端管理员可以查看所有学校的排名表，学校可以查询自己的评价表。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教师评价系统(局端)</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育局可根据教师管理与评价要求，统筹定义全区标准评价维度及具体的评价指标数据，并可设置教育局个性化维度与指标。下属学校可根据局端设置的相关评价维度及指标上传校内教师数据，同时可在教育局定义的评价维度与指标的基础上增加学校个性特色评价指标，以此促进学校多样化、特色化发展。具体功能须实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一、维度自定义及教师基础信息自定义</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1.支持局端管理员统筹设置全区教师画像维度与指标，可根据不同的年级设置不同的评价维度，可支持关联业务定制平台自定义数据表单能力，实现教师画像数据的自定义；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基础信息设置:可通过表单自定义平台自定义教师基础信息表单、学历教育、个人履历、行政职务、专业技术职称、教师资格、荣誉信息、教育科研成果及获奖、培训信息、技能与证书、交流轮岗等各方面的信息内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1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二、局端管理功能</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1.记录查询：</w:t>
            </w:r>
            <w:r>
              <w:rPr>
                <w:rFonts w:hint="eastAsia" w:ascii="宋体" w:hAnsi="宋体" w:eastAsia="宋体" w:cs="宋体"/>
                <w:i w:val="0"/>
                <w:iCs w:val="0"/>
                <w:color w:val="000000"/>
                <w:sz w:val="21"/>
                <w:szCs w:val="21"/>
                <w:highlight w:val="none"/>
                <w:u w:val="none"/>
                <w:lang w:val="en-US" w:eastAsia="zh-CN" w:bidi="ar"/>
              </w:rPr>
              <w:t xml:space="preserve">查询最近一周、一个月、本学期或自定义时间段内各教师画像各维度数据记录数占比及具体数量。可按学校展示各学校教师总数、总记录数、已上传教师数、各维度记录数，同导出数据到EXCEL文件；</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2.获奖统计：</w:t>
            </w:r>
            <w:r>
              <w:rPr>
                <w:rFonts w:hint="eastAsia" w:ascii="宋体" w:hAnsi="宋体" w:eastAsia="宋体" w:cs="宋体"/>
                <w:i w:val="0"/>
                <w:iCs w:val="0"/>
                <w:color w:val="000000"/>
                <w:sz w:val="21"/>
                <w:szCs w:val="21"/>
                <w:highlight w:val="none"/>
                <w:u w:val="none"/>
                <w:lang w:val="en-US" w:eastAsia="zh-CN" w:bidi="ar"/>
              </w:rPr>
              <w:t xml:space="preserve">查询近半年、一年，自定义时间段、所有学校或选择的学校所有获奖清单及获奖类型统计；</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3.教师查询：</w:t>
            </w:r>
            <w:r>
              <w:rPr>
                <w:rFonts w:hint="eastAsia" w:ascii="宋体" w:hAnsi="宋体" w:eastAsia="宋体" w:cs="宋体"/>
                <w:i w:val="0"/>
                <w:iCs w:val="0"/>
                <w:color w:val="000000"/>
                <w:sz w:val="21"/>
                <w:szCs w:val="21"/>
                <w:highlight w:val="none"/>
                <w:u w:val="none"/>
                <w:lang w:val="en-US" w:eastAsia="zh-CN" w:bidi="ar"/>
              </w:rPr>
              <w:t xml:space="preserve">支持按学校、类别、专业、民族、在岗情况、行政职务、学历、学段、教龄、政治面貌、性别等所有教师基础信息字段均可参与查询统计，支持通过拖拽方式增加或删除查询字段。教师信息展示列表页面可支持自定义设置，可导出查询的教师清单至EXCEL文件；</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4.填写任务：</w:t>
            </w:r>
            <w:r>
              <w:rPr>
                <w:rFonts w:hint="eastAsia" w:ascii="宋体" w:hAnsi="宋体" w:eastAsia="宋体" w:cs="宋体"/>
                <w:i w:val="0"/>
                <w:iCs w:val="0"/>
                <w:color w:val="000000"/>
                <w:sz w:val="21"/>
                <w:szCs w:val="21"/>
                <w:highlight w:val="none"/>
                <w:u w:val="none"/>
                <w:lang w:val="en-US" w:eastAsia="zh-CN" w:bidi="ar"/>
              </w:rPr>
              <w:t xml:space="preserve">可针对教师基础信息的维护发起填写任务，发起填写任务后教师可收到个人信息维护的通知，管理员可跟踪教师个人信息维护的进度情况。</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三、教师考评</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考评可涵盖教师职业道德、专业知识、专业能力以及工作成效的指标，能够全面、客观地评价教师的工作表现，为教师各类型考核与考评提供数据支撑，形成教师个人年度考核结论，同时为教师的职业生涯发展提供建设性指导意见。</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1、指标设置：指标可支持子指标赋分、人工赋分、系统赋分、附加分等多种评分方式。当客观评价采用系统赋分时，佐证材料可关联教师发展维度数据并支持规则设置。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2、模版设置：创建考核模板，可自由选择指标组合生成考评模版，系统自动计算模版各项指标总分。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3、评价管理：支持按照学期或学年建立考评考核信息，可配置评价模版、评价时间、评价周期、人员筛选条件、材料有效时间等内容发布考评任务，任务发布后可查看提交率、评价进度、结果查询等数据。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4、考评结果：按评价任务展示评价概况和评价内容，支持查看各学校评价的进度和平均得分，并可向下钻取学校内已评价、未评价等教师详情数据。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5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教师评价系统(校端)</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评价系统学校端可记录教师发展全方面的信息，并进行多维分析和过程性评价。系统支持记录教师基本信息、获奖、任教、课件、讲座、公开课、论文、课题立项、学生竞赛、培训课程等多方面内容，支持从系统内相关模块获取教师数据也可通过对接的方式获取其他系统的教师数据。系统包括首页、我的画像、我的发展、记录统计、教师查询和设置等功能。具体功能须实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一.教师个人画像</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1.首页：教师画像首页卡片，一张卡片展示教师所有发展轨迹，支持查看个人专业发展动态及内容；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2.我的画像：展示教师个人全部画像信息，包括个人信息、生涯树、获奖情况及各维度专业发展记录；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3.生涯树：按照设置的维度展示教师个人发展的所有记录，并按照时间顺序显示各年度教师上传的发展记录；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我的发展：汇总展示教师专业发展方面的所有记录内容，包括公开课情况、论文情况、课题研究、指导学生情况、比赛情况、听课情况、任教情况等，并支持根据学校需求，自定义设置教师专业发展维度的指标内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5.移动端：教师可在手机端查看个人简要信息；编辑基本信息；查看获奖记录以及各自定义维度记录等方面的记录数量与内容。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二.教师考评</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1.数据上报：校端教师可按照局端设置的基础信息及发展维度上报个人发展数据，支持教师在线填报并审核，教师填写完成并审核通过后可将数据引用至教师考评任务内作为参照。</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2.我的任务：教师个人可在我的任务中查看自己各年度的教师考评数据以及上报后的作证材料，可在其中进行自评打分，可展示教师最终的考评结果及各评价指标得分详情数据。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3.任务分配：管理员可在任务分配内查看局端发布的考评任务，包括任务进度以及评价名单，可在评价名单中对评价对象进行删减和新增，并可在其中为各项评价指标分配校级评审人员。</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25"/>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评价管理：校端管理员可在其中创建校端的评价任务，支持按照学期或学年建立考评考核信息，可选择不同考评模板对范围内教师进行评价，可选择对应考评类型、考评时间、考评人员等发布考评任务，任务发布后管理员可在线查看评价进度及评价结果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待评任务：评审教师可在待评任务中查看自己各年度所需评价的任务，可查看教师的作证材料，并进行评价打分。系统可根据提交的材料中的奖项，获奖荣誉，职务等相关信息自动计算，生成参考得分，为评审教师提供打分的决策参考。</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三.学校端管理</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1.记录统计</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25"/>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（1）记录统计：包括维度统计，实现记录量占比统计及各维度平均得分情况分析，支持各维度记录数量统计。可选择一部分教师看这部分教师的维度记录占比及维度平均得分与整体平均得分的比较；</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（2）记录查询：分维度查看各维度上传的记录数据，同时支持管理员通过此处新建、导入及导出数据；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（3）积分统计：通过各维度内设置的相关积分规则，统计学校内各教师所获积分情况，显示各教师总积分，各维度的积分，积分排名。</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2.教师查询：</w:t>
            </w:r>
            <w:r>
              <w:rPr>
                <w:rFonts w:hint="eastAsia" w:ascii="宋体" w:hAnsi="宋体" w:eastAsia="宋体" w:cs="宋体"/>
                <w:i w:val="0"/>
                <w:iCs w:val="0"/>
                <w:color w:val="000000"/>
                <w:sz w:val="21"/>
                <w:szCs w:val="21"/>
                <w:highlight w:val="none"/>
                <w:u w:val="none"/>
                <w:lang w:val="en-US" w:eastAsia="zh-CN" w:bidi="ar"/>
              </w:rPr>
              <w:t xml:space="preserve">可根据学校、学段、年级、学科、年龄、性别、职称、专业型称号等条件组合筛选查询教师信息，可查看单个教师的完整信息卡片；支持导出教师信息列表；</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3.信息审核：</w:t>
            </w:r>
            <w:r>
              <w:rPr>
                <w:rFonts w:hint="eastAsia" w:ascii="宋体" w:hAnsi="宋体" w:eastAsia="宋体" w:cs="宋体"/>
                <w:i w:val="0"/>
                <w:iCs w:val="0"/>
                <w:color w:val="000000"/>
                <w:sz w:val="21"/>
                <w:szCs w:val="21"/>
                <w:highlight w:val="none"/>
                <w:u w:val="none"/>
                <w:lang w:val="en-US" w:eastAsia="zh-CN" w:bidi="ar"/>
              </w:rPr>
              <w:t xml:space="preserve">对所有维度数据记录需要相应的职能部门审核的情况，可通过信息审核完成审核。</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rPr>
                <w:rFonts w:hint="eastAsia" w:ascii="宋体" w:hAnsi="宋体" w:eastAsia="宋体" w:cs="宋体"/>
                <w:b/>
                <w:bCs/>
                <w:i w:val="0"/>
                <w:iCs w:val="0"/>
                <w:color w:val="000000"/>
                <w:sz w:val="21"/>
                <w:szCs w:val="21"/>
                <w:highlight w:val="none"/>
                <w:u w:val="none"/>
                <w:lang w:val="en-US" w:eastAsia="zh-CN" w:bidi="ar"/>
              </w:rPr>
              <w:t xml:space="preserve">.设置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▲1.教师评价维度支持根据教育局与学校的需求进行自定义配置，局端可自定义区域统一的教师画像数据维度，学校可在教育局的基础上进行个性化维度自定义；投标时提供系统功能截图，并加盖投标人公章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结合业务定制中台表单自定义能力实现各评价维度的表单内容自定义，满足教育局、学校个性化需求。同时可采集系统各业务模块的数据纳入到教师画像,可关联的业务模块包括成绩分析、课表、课题、科研比赛、教师培训、考勤、证书管理、在线评教等。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学生综合素质评价系统（局端）</w:t>
            </w:r>
            <w:r>
              <w:rPr>
                <w:rFonts w:hint="eastAsia" w:ascii="宋体" w:hAnsi="宋体" w:eastAsia="宋体" w:cs="宋体"/>
                <w:i w:val="0"/>
                <w:iCs w:val="0"/>
                <w:color w:val="000000"/>
                <w:sz w:val="21"/>
                <w:szCs w:val="21"/>
                <w:highlight w:val="none"/>
                <w:u w:val="none"/>
              </w:rPr>
            </w:r>
            <w:r>
              <w:rPr>
                <w:highlight w:val="none"/>
              </w:rP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育局可根据省、市学生综合评价要求，统筹定义全区标准评价维度及具体的评价指标数据，并可设置教育局个性化维度与指标。下属学校可根据局端设置的相关评价维度及指标上传校内学生数据，同时可在教育局定义的评价维度与指标的基础上增加学校个性特色评价指标，以此促进学校多样化、特色化发展，进一步朝着全面育人、全过程育人的方向发展。具体功能须实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1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一、维度设置</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1.支持局端管理员统筹设置全区学生素质评价维度与指标，可根据不同的年级设置不同的评价维度，也可支持关联自定义数据表单；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2.自定义数据表单：支持定义各评价维度下方的具体评价指标，评价指标内容可通过自定义数据表单实现；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值设置：根据雷达图的需要，各项评价记录需转化成分值，可根据数据表单关健字进行分值设置，可设置每条记录多少分，也可根据字段内容设置不同的分值，如获奖记录中国家级、省级、市级、校级可设置得不同的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▲4.支持的采集的数据进行流程审核：可设置哪些评价指标数据需要审核，可自定义审核流程。投标时提供系统功能截图，并加盖投标人公章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二、评价分析</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1.支持查看全区学校数、学生数、数据记录总数，支持按学段统计记录总数，支持按评价维度统计数据记录占比，支持按月度查看数据记录走势图；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2.支持按全部学段、分学段查看其下各学校班级数、学生数、数据记录总数，各评价维度下数据记录数；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3.支持查看各学校学生个人详细信息，可按校区、年级、班级展示学生，支持按姓名查询学生。</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三、学生统计</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按学校、学段、性别、证件类型、政治面貌、港澳台侨外、健康状况、血型、学生类别、户籍性质、是否独生子女、是否流动人口、是否进城务工人员子女、是否留守儿童、是否单亲、是否孤儿、是否烈士优抚子女、民族、国籍/地区等字段内容组合查询符合条件的学生，可将查询的结果导出到EXCEL。</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学生综合素质评价系统（校端）</w:t>
            </w:r>
            <w:r>
              <w:rPr>
                <w:rFonts w:hint="eastAsia" w:ascii="宋体" w:hAnsi="宋体" w:eastAsia="宋体" w:cs="宋体"/>
                <w:i w:val="0"/>
                <w:iCs w:val="0"/>
                <w:color w:val="000000"/>
                <w:sz w:val="21"/>
                <w:szCs w:val="21"/>
                <w:highlight w:val="none"/>
                <w:u w:val="none"/>
              </w:rPr>
            </w:r>
            <w:r>
              <w:rPr>
                <w:highlight w:val="none"/>
              </w:rPr>
            </w:r>
          </w:p>
        </w:tc>
        <w:tc>
          <w:tcPr>
            <w:tcW w:w="5441" w:type="dxa"/>
            <w:vAlign w:val="top"/>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一、设置</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14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维度设置：学校端评价维度处自动显示教育局评价维度，学校可在此基础上进行学校的维度与评价指标自定义。学校可根据不同的年级设置不同的评价维度，评价维度可关联现有业务模块（如德育、体质健康、课堂评价、学生考勤等），也可支持关联自定义数据表单，自定义数据表单、分值设置、流程设置同教育局端基础能力；</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2.▲报告管理：报告支持WORD模板定义；报告可按年级定义，也可设置全校统一报告模板；可定义获取哪些评价维度及其具体指标数据，可定义展示哪些学生基础信息；投标时提供系统功能截图，并加盖投标人公章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3.报告生成：报告可批量下载，同时报告自动推送到家长端；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学科评价：支持学校端自定义学科评价指标、评价标准、指标对应的评价学科及适用的年级范围，可批量导入学科评价指标。可对学科评价的星级进行定义，可定义1-4个星级，同时可定义各星级的要求简介，星级标准适用的年级范围；</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5.奖章设置：可自定义奖章的名称、关联的评价维度、奖章评定规则是按积分还是按内容，奖章颁发周期，按积分可定义积分的前%多少，按内容则须定义评价维度下具体的指标数据的记录次数；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学生信息设置：学生信息表单设置，可自定义学生基础信息。学生的评价分析、维度分析采用的评分规则为T分法。可按照学生各项维度实际获得积分分值显示对应阶段成长图，成长图有灯塔少年主题与海洋主题两个主题，成长阶段共分为5个阶段，满分100分，可按分值区分各阶段的分值。</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二、首页</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1.首页汇聚班级学生各类的数据信息，可选择学期、校区、年级、班级，按班级为单位展示班级学生综合评价记录分析、评价分析、维度分析三个方面的情况；</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2.记录分析：支持自动统计各维度班级内学生记录数量分布情况，以饼状图形式展示各维度记录占比，同时显示对应维度记录数；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3.评价分析：针对学生各评价维度数据可进行评价分析，按照雷达图展示德、智、体、美、劳各评价维度班级平均发得分情况，并显示各维度的平均得分；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4.维度分析：指下钻到德、智、体、美、劳各维度下面的指标分析，对各维度下的多个指标进行雷达图分析，同时展示各指标班级平均得分。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三、学生画像</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1.可选择校区、年级、按班级展示班级内所有学生头像，教师可快速查找对应学生，并可查看该学生画像信息；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2.学生画像，包括学生个人信息，评价分析、评价报告、班主任评</w:t>
            </w:r>
            <w:r>
              <w:rPr>
                <w:rFonts w:hint="eastAsia" w:ascii="宋体" w:hAnsi="宋体" w:eastAsia="宋体" w:cs="宋体"/>
                <w:i w:val="0"/>
                <w:iCs w:val="0"/>
                <w:color w:val="000000"/>
                <w:sz w:val="21"/>
                <w:szCs w:val="21"/>
                <w:highlight w:val="none"/>
                <w:u w:val="none"/>
                <w:lang w:val="en-US" w:eastAsia="zh-CN" w:bidi="ar"/>
              </w:rPr>
              <w:t xml:space="preserve">语、家长评语、学生自评、德、智、体、美、劳等各评价维度内容。评价分析可按学期进行，包括总体分析、详细分析与成长变化，总体分析包括对应学期内平均得分、德育总分、最近一次考试总均分、本学期身高、体重及BMI，包括各评价维度与班级平均比较的雷达图效果展示，包括成长变化，成长变化以时间轴的形式展示各学校各个综合得分与班级均分的变化曲线。评价报告展示各学期历次生成的评价报告。各评价维度信息展示该评价维度的维度分析及指标下的指标数据记录，维度分析展示维度总得分，维度下的指标得分以雷达图形式展示并与班级平均进行对比分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3.教师可查看本班级所有学生，并可批量导入学生基本信息、上传学生照片等操作，并可在线维护学生基本信息。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四、学校端管理</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1.自评他评</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按对应学期录入评语信息，可展示班主任评语、学生自评及家长评语内容。班主任可在线录入学生评语，支持批量导入操作，方便教师快速录入学生评语，录入完成后即可在线查评语内容。支持家长、学生自行录入评语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2.评价报告</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报告模块是班主任给班级学生生成评价报告的功能界面，支持按学期展示各班级评价报告的生成情况，可手动按班级点击“生成报告”，系统后台操作自动按设置的评价报告模板生成报告，生成的报告以PDF的形式在家长端展示，同时在学生画像处“评价报告”处展示，同时报告可批量下载与在线打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3.记录汇总</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展示全校各维度下各指标的所有数据记录，方便校领导查看全校数据记录上传情况；</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4.记录审核</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记录审核，各维度下指标提交的数据记录可设置直接生效还是需要经过相应的审核流程审核生效。记录审核所有需要审核的或已经审核通过的记录，系统以待审核与已审核两个页面分别显示等待当前用户审核的评价记录与已审核通过的评价记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5.数据统计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评价分析：展示班级内所有学生德、智、体、美、劳等各评价维度得分情况，展示班级整体评价分析结果以及班级内各学生评价分析数据；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数据查询：展示班级内每个学生德、智、体、美、劳等各评价维度记录数据。教师可按照对应权限查看范围内的学生各项数据记录，并可进行快速查询，了解学生近期发展情况；</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6.积分统计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展示全校所有学生的各维度积分得分情况，展示姓名、班级、总分、德、智、体、美、劳各维度得分、班级总排名、年级排名、学校排名，同时可导出积分报表到EXCEL；</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7.奖章颁发</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用于给一定周期内符合某项奖章获奖条件的学生颁发奖章，显示奖章颁发周期、奖章颁发名称、范围、奖章名称、奖章规则，可查看详细获奖名单，可进行重新发布。</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学生综合素质评价系统（家长端）</w:t>
            </w:r>
            <w:r>
              <w:rPr>
                <w:rFonts w:hint="eastAsia" w:ascii="宋体" w:hAnsi="宋体" w:eastAsia="宋体" w:cs="宋体"/>
                <w:i w:val="0"/>
                <w:iCs w:val="0"/>
                <w:color w:val="000000"/>
                <w:sz w:val="21"/>
                <w:szCs w:val="21"/>
                <w:highlight w:val="none"/>
                <w:u w:val="none"/>
              </w:rPr>
            </w:r>
            <w:r>
              <w:rPr>
                <w:highlight w:val="none"/>
              </w:rP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需支持对接公众号，家长可通过公众号使用学生综合素质评价。</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一、首页</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1.首页可以“雷达图”形式查看学生各维度评价分析，同时可查看各个维度的数据，点击维度信息可查看该评价维度的数据；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2.奖章墙可查看学生的奖章情况；</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3.成长图可查看学生的积分记录以及系统以伴随式成长的形式展现学生成长情况。</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二、评价报告</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支持查看学生的评价报告，学期报告单，周期报告。</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三、我的</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页面显示学生基础信息，记录总数，可修改个人信息、查看评语。</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支持新建维度记录。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gridSpan w:val="5"/>
            <w:tcW w:w="10259"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二、中小学实验室及实验教学管理平台技术服务</w:t>
            </w:r>
            <w:r>
              <w:rPr>
                <w:rFonts w:hint="eastAsia" w:ascii="宋体" w:hAnsi="宋体" w:eastAsia="宋体" w:cs="宋体"/>
                <w:b/>
                <w:bCs/>
                <w:i w:val="0"/>
                <w:iCs w:val="0"/>
                <w:color w:val="000000"/>
                <w:sz w:val="21"/>
                <w:szCs w:val="21"/>
                <w:highlight w:val="none"/>
                <w:u w:val="none"/>
              </w:rPr>
            </w:r>
            <w:r>
              <w:rPr>
                <w:highlight w:val="none"/>
              </w:rPr>
            </w:r>
          </w:p>
        </w:tc>
      </w:tr>
      <w:tr>
        <w:trPr>
          <w:trHeight w:val="30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实验仪器管理</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仪器采购计划</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支持按学科权限填报教学仪器采购计划；</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依据教育部《基础教育装备分类与代码》（JY/T 0595－2019）标准分类填报；</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通过图文并茂的展示提供教学仪器的规格、性能、单价等参考数值，包括：仪器名称、规格型号、材质、制造商、品牌、价格、等信息；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支持仪器采购计划的审核审批；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审核审批通过后生成教学仪器采购计划。</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仪器入库</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按照教学仪器采购计划进行入库；</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支持批量导入功能。</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仪器库管理</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支持入库仪器属性修改；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支持仪器借出与归还管理；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支持仪器报修登记；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支持仪器报废管理。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耗材管理</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支持实验耗材、试剂出库登记；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6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▲系统对危险化学试剂进行标识提示。投标时提供系统功能截图，并加盖投标人公章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达标评测</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以学科仪器存量为单位，比对后台学科仪器的配置标准，系统智能生成学校学科仪器配备数量的差额；</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支持仪器配置多套评测标准的输出。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查询统计</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学校端：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教学仪器的分类统计，及明细查询功能；</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教育局端：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1、学校教学仪器年度采购计划统计；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2、学校教学仪器存量数据统计及；</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3、学校教学仪器配置标准监管。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实验（专用）室管理</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创建与维护</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实验（专用）室信息创建和修改，包括实验（专用）室名称、面积、学科、建设时间、座位数、地点等信息；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支持室内橱柜快速创建和信息修改。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管理制度维护</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支持实验（专用）室的管理制度、个性化特色功能结算等文件的上传备案。</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安全管理</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实验（专用）室周期安全排查信息和安全隐患整改信息的填报；</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▲系统内置实验（专用）室安全排查清单；投标时提供系统功能截图，并加盖投标人公章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支持安全管理制度与安全管理队伍建设的信息备案登记；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支持安全教育与培训的信息备案登记；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支持应急预案与演练的信息备案登记。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报修管理</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支持实验（专用）室报修信息汇总，及维修信息填报。</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使用登记</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▲专用室使用信息登记，包括学科、教师、班级、时间、场景照片等；投标时提供系统功能截图，并加盖投标人公章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支持重复登记信息的纠错；</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支持专用室设备实施的报修。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达标评测</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以学科实验（专用）室配备数量为单位，比对后台学科实验（专用）室的装备标准，系统智能生成学校学科实验（专用）室配备数量和面积的差额；</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支持实验（专用）室装备多套评测标准的输出。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查询统计</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学校端：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1、实验（专用）室安全排查与隐患整改清单查看；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2、实验（专用）室安全管理制度查询；</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3、实验（专用）室分类统计，及明细清单查询；</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4、专用室使用绩效统计，及使用明细查询。</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教育局端：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支持与学校端查询统计对等功能。</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实验教学管理</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实验计划</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以学期为单位进行学科实验计划的编制，包括学年、班级、教材版本、实验名称、实验类型、周次等信息；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支持同一学科跨教材进行实验计划编制；</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支持校本实验计划的编制。</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实验预约</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学科老师预约实验，包括实验名称、实验室、时间、学科、班级等信息；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支持重复预约和实验预约冲突信息的禁止并提示；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支持按实验计划和实验目录两种来源预约实验。</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实验安排</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实验管理员按照实验预约信息进行实验安排，并准备实验所需的实验器材和耗材。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实验登记</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登记实验完成结果，上传实验场景照片；</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支持实验室设备实施的报修。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简易模式</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是指省去实验预约 、安排，直接进行实验登记；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学科老师登记实验信息，包括实验名称、实验室、时间、学科、班级、实验结果、实验场景照片等信息；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支持实验室设备实施的报修；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支持教育局端授权模式。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查询统计</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学校端 ：</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支持已编制实验计划的查询；</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支持实验开出记录查询；</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支持实验开出率分类统计，计算实验应开数、实开数和开出率；</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实验开出率可按多统计口径进行开出率的统计。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教育局端：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支持与学校端查询统计对等功能。</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人员管理</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人员基本信息</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教师个人信息包括：姓名、性别、年龄、学历、职称及是否实验员信息。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人员任课信息</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教师任课学段、课程、班级。</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人员培训信息</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教师填报培训名称、内容、时间、课时及培训累计课时；</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支持教育局认证。</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人员获奖信息</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教师填报获奖名称、类别、等级、日期及获奖证书。</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查询统计</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各级按学科统计教师或实验员的数量及其基本信息；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各级按学科统计教师或实验员参与培训的总课时和人均课时；</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各级按学科统计教师或实验员的获奖信息等。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系统设置</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单位信息</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单位基本信息：单位名称、统一信用代码、地址、性质、属性、班级数、教职工数、学生数等；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支持年级班级新增、修改；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支持学校课程节次表设置。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用户信息</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支持学校组织架构设置；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支持人员账号、角色设置。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地点信息</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支持学校场所地点设置。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管理员授权</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支持按学科对实验管理员进行授权。</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后台配置</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支持教学仪器评测标准的配置及数值加权；</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支持实验（专用）室评测标准的配置；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▲支持多套教材实验目录的录入，及实验达标数据设置。投标时提供系统功能截图，并加盖投标人公章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内嵌数据字典</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仪器统一代码</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教育部《基础教育装备分类与代码》（JY/T 0595－2019）</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学科仪器配置标准</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教育部理科仪器配置标准2019版</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实验（专用）室装备标准</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江苏省义务教育学校资源配置标准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公共信息</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资讯管理</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支持资讯信息发布、审核、查看、下载等；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支持资讯信息分类自定义。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00"/>
        </w:trPr>
        <w:tc>
          <w:tcPr>
            <w:tcW w:w="1275"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对接服务</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第三方平台对接</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支持与业务相关的系统的数据对接及融合，包括：统一身份认证、业务数据互通等。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技术需求</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跨平台与多终端操作</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平台同时支持Windows、Android、iOS平台，能够实现多终端跨平台应用，可以利用微信小程序进行功能操作。</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O2O 技术与工作方式</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平台是O2O模式的中小学实验室危化品专业管理平台，是通过日常工作过程中的线上线下相结合的操作，实现专业化的管理目标。在线上推进与规范工作，在线下执行与有效实施，二者相辅相成和互为促进。</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技术架构</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（1）平台采用B/S模式，支持分布式部署，可扩展性强。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（2）前端采用主流开发技术，支持当前各种常见浏览器。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系统性能</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（1）灵活架构：平台设计时基于云端应用标准上进行系统构架，不仅能够满足城域网与学校应用的要求，同时也能够多层级的架构，平滑实现架构的向上升级与向下扩展。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无缝升级：系统采用模块化设计，以不同的版本不同应用功能进行对客户区分，适合不同类型学校与各级装备部门的个性化的需求，适合不同角色的个性需求定制开发，不同版本之间可以进行无缝升级和扩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（3）个性深化：系统可提供个性定制开发接口，满足用户在产品基础上的个性化、深层次的拓展应用。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（4）兼容第三方平台：可根据需求提供标准数据接口及标准字段数据，实现与第三方平台的数据交换与友好融合。</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gridSpan w:val="5"/>
            <w:tcW w:w="10259"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三、中小学实验室危化品管理平台技术服务</w:t>
            </w:r>
            <w:r>
              <w:rPr>
                <w:rFonts w:hint="eastAsia" w:ascii="宋体" w:hAnsi="宋体" w:eastAsia="宋体" w:cs="宋体"/>
                <w:b/>
                <w:bCs/>
                <w:i w:val="0"/>
                <w:iCs w:val="0"/>
                <w:color w:val="000000"/>
                <w:sz w:val="21"/>
                <w:szCs w:val="21"/>
                <w:highlight w:val="none"/>
                <w:u w:val="none"/>
              </w:rPr>
            </w:r>
            <w:r>
              <w:rPr>
                <w:highlight w:val="none"/>
              </w:rPr>
            </w:r>
          </w:p>
        </w:tc>
      </w:tr>
      <w:tr>
        <w:trPr>
          <w:trHeight w:val="56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危化品管理</w:t>
            </w:r>
            <w:r>
              <w:rPr>
                <w:rFonts w:hint="eastAsia" w:ascii="宋体" w:hAnsi="宋体" w:eastAsia="宋体" w:cs="宋体"/>
                <w:b/>
                <w:bCs/>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危化品采购</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采购人根据平台中的危化品库选择危化品分类、名称、规格属性，填写采购数量，上报部门审核；</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▲部门审核人在线审核危化品采购清单，平台根据采购清单中的药品属性，强制需上传公安购买许可证或者购买备案证明，审核通过后上报学校领导审批；投标时提供系统功能截图，并加盖投标人公章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学校领导在线审批采购清单，审批通过后生成危险化学药品的采购计划。</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危化品贮存</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线下采购完成后，及时在线办理入库：</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危化品保管人在平台中选择待入库采购计划表，按采购计划表中的危化品条目逐条进行入库，填写危化品数量、品牌、单价、有效截止日、存放地点、供应商名称，上传危化品MSDS，填写完成后，上报部门审核；</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支持入库数量上限的控制，上限数量为原采购计划数量；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支持危化品分批次入库，及入库总量控制；</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部门审核人在线审核入库清单，平台根据入库清单中的药品属性，强制需上传公安备案证明，审核通过后，危化品才能进入危化品存量库中；</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支持在线采购退货，并打印退货红字单；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支持危化品的在线盘点，并生成盘点记录；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支持可设置危化品的可使用属性，做到危化品存量可统计、领用可控制、报废可选择；</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支持危化品报废处理，并分类进入危废物待处置库中；</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▲支持危化品库超量储存和超期储存预警功能；投标时提供系统功能截图，并加盖投标人公章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支持危化品存储管理中的“五双制度”，双人入库、双人保管及双本账的管理要求。</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存量危化品录入</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平台实施前学校已有存量的危化品：</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平台提供存量录入的采集模板，由学校完成存量录入，包含的核心字段有标准名称、规格属性、数量、单价、存放地点、有效期及MSDS等；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支持单条录入和批量导入平台。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危化品领用</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领用人在线申领所需危化品，选择危化品分类、名称、规格属性，填写危化品数量和用途后，上报部门审核；</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支持直接发起领用和加入领用车两种方式；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部门审核人在线审核危化品领用清单，审核通过后，平台推送信息给保管人在线配货；</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危化品保管人在线配货完成后，平台向危化品领用人发送领用信息和实物领取认证码；</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平台按照库存中已拆分危化品和离危化品有效期近的原则推送危化品批次给配货人；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▲领取认证码支持双人双密和双人单密两种模式，学校根据自身需求进行选择；投标时提供系统功能截图，并加盖投标人公章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支持危化品分类别、分批次发放，也可按人整合批次进行发放；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实验完成后，领用人可在线退回实验剩余危化品，并确认是否产生危废物，如产生危废物，平台自动更新危废物存量库数据；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支持危化品领用与发放管理中的“五双制度”，双人领用和双人发放的管理要求。</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危废物处置</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支持危废物库存量数据的自动更新和人工修改；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支持危废物保管人在线申请危废物的处置；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部门审核人在线审核危废物处置清单，审核通过后，才可进行线下处置；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危废物现场处置完成后，危化品保管人需在线填报危废物现场专业处置企业名称和时间，上传相关处置材料，如：危废签收交接表、现场搬运照片等。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安全保障要求</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支持学校填报与更新平台中的危化品学校相关责任人和各项制度；</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支持学校定期上报培训和安全教育活动，包括：负责人、时间、地点、培训内容、现场照片等；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支持学校定期上报事故应急预案演练活动，包括：负责人、时间、地点、演练内容、现场照片等。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业务配置</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支持危化品库可自定义，含危化品标准分类、标准名称、规格属性、危险属性等；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支持危化品供应商名称名称固定可选和自行录入混合配置；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支持学校危化品管理业务审核、审批流程自定义。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危化品监管</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教育局端可针对学校危化品超量、超期、使用年限、保障要求、工作指导等进行预警查看。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台账打印</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▲支持危化品管理业务的台账可在线打印，包括危化品采购台账、领用台账、存量台账、处置台账。投标时提供系统功能截图，并加盖投标人公章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危化品治理</w:t>
            </w:r>
            <w:r>
              <w:rPr>
                <w:rFonts w:hint="eastAsia" w:ascii="宋体" w:hAnsi="宋体" w:eastAsia="宋体" w:cs="宋体"/>
                <w:b/>
                <w:bCs/>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排查申报</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支持学校按周排查申报；</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支持学校在规定的时间范围内按月排查申报；</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平台内嵌问题与隐患排查的清单列表；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支持对排查中发现的问题与隐患进行整改期限的设定，并可上传相关材料；</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支持在线打印学校危险化学品安全综合治理情况周统计表和月统计报表。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安全检查</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支持上级主管部门可在线对学校发起安全检查任务；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支持在线生成需检查的学校名单；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支持在线填写检查内容，含检查任务名称、参与人（专家、领导、工作人员）、检查存在的问题和整改的措施；</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支持在线打印学校危险化学品安全综合治理检查记录表。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问题隐患清单及整改</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依据学校排查和上级检查汇总生成待整改的问题隐患库；</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支持上传问题与隐患的整改方法、结果，及整改附件材料；</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▲支持问题与隐患超时未整改到位的报警。投标时提供系统功能截图，并加盖投标人公章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业务配置</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支持对学校周排查和月排查业务要求的配置，包括有效申报时间段等；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支持配置区域内需申报排查情况的单位。</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大数据分析</w:t>
            </w:r>
            <w:r>
              <w:rPr>
                <w:rFonts w:hint="eastAsia" w:ascii="宋体" w:hAnsi="宋体" w:eastAsia="宋体" w:cs="宋体"/>
                <w:b/>
                <w:bCs/>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数据可视化</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数据统计：学校危化品年度采购数据统计，年度领用数据统计，领用人数据统计，危废物存量和已处置数量的统计等；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财务报表：采购入库单、领用出库单、危化品存量库；</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危化品安全问题与隐患：学校排查和上级部门检查发现问题与隐患的数量统计，学校安全问题与隐患待整改和已整改数量统计；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采用可视化分析技术和报告单形式呈现，生成多维图标、专业分析报告，提高用户的统计分析与数据挖掘的效率与质量。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风险监管一张图</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利用平台实现危险化学品管理过程中的大数据分析，形成教育系统危险化学品安全风险监管一张图。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112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内嵌数据字典</w:t>
            </w:r>
            <w:r>
              <w:rPr>
                <w:rFonts w:hint="eastAsia" w:ascii="宋体" w:hAnsi="宋体" w:eastAsia="宋体" w:cs="宋体"/>
                <w:b/>
                <w:bCs/>
                <w:i w:val="0"/>
                <w:iCs w:val="0"/>
                <w:color w:val="000000"/>
                <w:sz w:val="21"/>
                <w:szCs w:val="21"/>
                <w:highlight w:val="none"/>
                <w:u w:val="none"/>
              </w:rPr>
            </w:r>
            <w:r>
              <w:rPr>
                <w:highlight w:val="none"/>
              </w:rP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危化品分类字典</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需提供中小学实验室危化品最新字典，作为最低层数据，须与教育部的最新分类数据词典同步，并能够符合公安等相关主管部门的要求，实现专业性和权威性要求。同时，任何地方性的标准、字典数据，都可与本平台的底层数据进行关联，从而实现区域性的个性数据要求。</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危废物分类字典</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依据生态环境管理部门的要求及标准，针对实验室危化品危废物，平台需内设好危废固废物的分类标准，方便实时更新及统计危废物存量情况，并据此进行后续的处置。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问题与隐患清单字典</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包括学校发起的自我排查，还是教育局发起的检查督导，都可以利用平台内置的问题隐患清单进行逐一核查，该字典需要覆盖危化品采购、贮存、使用、处置、制度建设、队伍建设及监督检查等核心环节。</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textDirection w:val="lrTb"/>
            <w:noWrap w:val="false"/>
          </w:tcPr>
          <w:p>
            <w:pPr>
              <w:pStyle w:val="6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公共信息</w:t>
            </w:r>
            <w:r>
              <w:rPr>
                <w:rFonts w:hint="eastAsia" w:ascii="宋体" w:hAnsi="宋体" w:eastAsia="宋体" w:cs="宋体"/>
                <w:b/>
                <w:bCs/>
                <w:i w:val="0"/>
                <w:iCs w:val="0"/>
                <w:color w:val="000000"/>
                <w:sz w:val="21"/>
                <w:szCs w:val="21"/>
                <w:highlight w:val="none"/>
                <w:u w:val="none"/>
              </w:rPr>
            </w:r>
            <w:r>
              <w:rPr>
                <w:highlight w:val="none"/>
              </w:rP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资讯管理</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按照政策法规（区分部委、省、市发文）、通知公告、帮助文档等分类形式进行资讯的发布与管理。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对接服务</w:t>
            </w:r>
            <w:r>
              <w:rPr>
                <w:rFonts w:hint="eastAsia" w:ascii="宋体" w:hAnsi="宋体" w:eastAsia="宋体" w:cs="宋体"/>
                <w:b/>
                <w:bCs/>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第三方平台对接</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支持与业务相关的系统的数据对接及融合，包括：统一身份认证、业务数据互通等；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能够支持对接东台市装备管理平台数据，实现无缝对接；</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技术需求</w:t>
            </w:r>
            <w:r>
              <w:rPr>
                <w:rFonts w:hint="eastAsia" w:ascii="宋体" w:hAnsi="宋体" w:eastAsia="宋体" w:cs="宋体"/>
                <w:b/>
                <w:bCs/>
                <w:i w:val="0"/>
                <w:iCs w:val="0"/>
                <w:color w:val="000000"/>
                <w:sz w:val="21"/>
                <w:szCs w:val="21"/>
                <w:highlight w:val="none"/>
                <w:u w:val="none"/>
              </w:rPr>
            </w:r>
            <w:r>
              <w:rPr>
                <w:highlight w:val="none"/>
              </w:rP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跨平台与多终端操作</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平台同时支持Windows、Android、iOS平台，能够实现多终端跨平台应用，可以利用微信小程序进行功能操作。</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O2O 技术与工作方式</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平台是O2O模式的中小学实验室危化品专业管理平台，是通过日常工作过程中的线上线下相结合的操作，实现专业化的管理目标。在线上推进与规范工作，在线下执行与有效实施，二者相辅相成和互为促进。</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技术架构</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（1）平台采用B/S模式，支持分布式部署，可扩展性强。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（2）前端采用主流开发技术，支持当前各种常见浏览器。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系统性能</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（1）灵活架构：平台设计时基于云端应用标准上进行系统构架，不仅能够满足城域网与学校应用的要求，同时也能够多层级的架构，平滑实现架构的向上升级与向下扩展。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无缝升级：系统采用模块化设计，以不同的版本不同应用功能进行对客户区分，适合不同类型学校与各级装备部门的个性化的需求，适合不同角色的个性需求定制开发，不同版本之间可以进行无缝升级和扩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（3）个性深化：系统可提供个性定制开发接口，满足用户在产品基础上的个性化、深层次的拓展应用。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（4）兼容第三方平台：可根据需求提供标准数据接口及标准字段数据，实现与第三方平台的数据交换与友好融合。</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20"/>
        </w:trPr>
        <w:tc>
          <w:tcPr>
            <w:gridSpan w:val="5"/>
            <w:tcW w:w="10259"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四、东台市教育装备管理平台技术服务</w:t>
            </w:r>
            <w:r>
              <w:rPr>
                <w:rFonts w:hint="eastAsia" w:ascii="宋体" w:hAnsi="宋体" w:eastAsia="宋体" w:cs="宋体"/>
                <w:b/>
                <w:bCs/>
                <w:i w:val="0"/>
                <w:iCs w:val="0"/>
                <w:color w:val="000000"/>
                <w:sz w:val="21"/>
                <w:szCs w:val="21"/>
                <w:highlight w:val="none"/>
                <w:u w:val="none"/>
              </w:rPr>
            </w:r>
            <w:r>
              <w:rPr>
                <w:highlight w:val="none"/>
              </w:rPr>
            </w:r>
          </w:p>
        </w:tc>
      </w:tr>
      <w:tr>
        <w:trPr>
          <w:trHeight w:val="112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技术服务</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数据整形</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年度对供应商录入的合同清单和学校零星采购录入的资产清单进行标准化与专业分类，及资产字段的规范性进行审核，并请供应商据此全面核算服务费用成本并提供报价，关于此项需求后续一概不再支付额外费用。针对平台内数据处理的内容及要求说明如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1）按照平台中的标准设备名称（参考教育部2019年基础教育装备分类编码）对录入的设备名称进行规范化统一命名（标准化、专业化目录名称）。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2）按照平台中的装备类别对录入的设备进行统一（财政部数据标准、教育部数据标准）分类（如：电脑设备类、多媒体类、木器类等）。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3）按照平台中的项目标准词典，对录入平台的设备数据，按装备项目的属性进行分类（如：设备、工程、耗材、服务），以便统计分析、计划编制服务和绩效审计。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4）按照财政部资产数据标准类别，进行一对一的映射分类（如：通用类、专用类等），形成财政固定资产管理数据。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5）对录入平台的设备进行编码，生成二维码图片，实现一物一码，并可提供成品二维码粘贴标签。保障设备信息与合同信息准确可用。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6）根据市级用户业务需求，定制装备业务数据报表。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7）需伴随提供平台基础的技术支持及售后培训服务。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8）对供应商及学校提供相关技术咨询服务，协助办理系统相关流程。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运维服务</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1）区、校、企业三级用户平台数据的初始化与维护，及用户单位帐号的维护与更新。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2）区、校、企业三级用户的技术支持（包括：在线、电话、现场）和帮助文档的更新维护。</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3）对在平台上新注册企业的审核，维修服务商的资格和服务范围的审核。</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4）区、校、企业三级用户的培训，区和学校每年的常规使用培训，及功能升级后的培训；新加入企业的使用培训。</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5）收集汇总区、校、企业用户的新生需求，汇总编制需求方案。</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6）对平台进行缺陷及安全漏洞修补，功能优化完善，不断提升用户体验感与友好界面和网络安全需求。</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7）配合学校针对存量资料录入各类问题的处理，及时解决学校操作问题，并确保录入平台数据的正确性。</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8）如因服务器硬件发生故障，及时将平台软件及备份服务器中数据迁移至新服务器。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服务要求</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供应商须为采购人基于此项目上述需求内容建立起专业支撑服务团队，不低于5人，整体组成结构为资深项目经理不低于1人，专业客服人员不低于2人，需求分析及系统架构师不低于1人，研发人员不低于1人。业务支撑服务团队负责项目的总体规划、各项工作计划及内容制定、重大故障处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2）供应商如无法解决采购人项目故障，需要聘请第三方专业公司或专业人士协助解决，期间所发生的费用全部由成交供应商承担。</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gridSpan w:val="5"/>
            <w:tcW w:w="10259"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五、智慧测评系统年度服务（含支撑全市所有学校单校、联考服务，含2人驻场服务）</w:t>
            </w:r>
            <w:r>
              <w:rPr>
                <w:rFonts w:hint="eastAsia" w:ascii="宋体" w:hAnsi="宋体" w:eastAsia="宋体" w:cs="宋体"/>
                <w:b/>
                <w:bCs/>
                <w:i w:val="0"/>
                <w:iCs w:val="0"/>
                <w:color w:val="000000"/>
                <w:sz w:val="21"/>
                <w:szCs w:val="21"/>
                <w:highlight w:val="none"/>
                <w:u w:val="none"/>
              </w:rPr>
            </w:r>
            <w:r>
              <w:rPr>
                <w:highlight w:val="none"/>
              </w:rPr>
            </w:r>
          </w:p>
        </w:tc>
      </w:tr>
      <w:tr>
        <w:trPr>
          <w:trHeight w:val="56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智慧测评系统年度服务</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区域教学质量分析与监测平台</w:t>
            </w:r>
            <w:r>
              <w:rPr>
                <w:rFonts w:hint="eastAsia" w:ascii="宋体" w:hAnsi="宋体" w:eastAsia="宋体" w:cs="宋体"/>
                <w:i w:val="0"/>
                <w:iCs w:val="0"/>
                <w:color w:val="000000"/>
                <w:sz w:val="21"/>
                <w:szCs w:val="21"/>
                <w:highlight w:val="none"/>
                <w:u w:val="none"/>
              </w:rPr>
            </w:r>
            <w:r>
              <w:rPr>
                <w:highlight w:val="none"/>
              </w:rP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1．系统支持在市、县、区等范围内，组织开展多校间的联合考试；可支持某几所学校组织的联合测评活动；支持下载统考、联考学校名册；</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2．统考、联考支持普通考试模式、文理科考试模式、各地区新高考考试模式；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3．统考、联考管理员可对阅卷进度和阅卷质量进行监测；支持查看整体统考、联考的阅卷卷质量情况，阅卷任务分配情况；支持查看阅卷用时、批改的平均分、最高分和最低分，系统支持阅卷异常筛查；</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4．系统会自动生成统考、联考报告，报告可按照市以及各县区等指定范围，生成区域统考、联考报告；</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5．支持修改/删除/新增统考、联考组；支持下载统考、联考组老师名册；支持统考、联考阅卷任务管理设置，支持各校自阅、校级交叉阅卷、区域交叉阅卷或自定义阅卷任务分配；</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考试院或考试组织机构管理员可查看所有范围考试报告，区域统考、联考员智能看到各自区域及区域所在学校的考试报告，各学校校领导可以查看各自学校考试报告，考试院或考试组织机构管理员对统考、联考报告的可见性进行控制，包括：控制可见角色、控制可见内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系统自动生成区域统考需要的基础报表，至少包括：成绩单、一分四率、前后N名分布、分数段分布、学生档次分布、上线率统计、学科单双上线等，且报表中的参数支持自主设置，并可从学校、班级不同的维度进行分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智能阅卷批改系统</w:t>
            </w:r>
            <w:r>
              <w:rPr>
                <w:rFonts w:hint="eastAsia" w:ascii="宋体" w:hAnsi="宋体" w:eastAsia="宋体" w:cs="宋体"/>
                <w:i w:val="0"/>
                <w:iCs w:val="0"/>
                <w:color w:val="000000"/>
                <w:sz w:val="21"/>
                <w:szCs w:val="21"/>
                <w:highlight w:val="none"/>
                <w:u w:val="none"/>
              </w:rPr>
            </w:r>
            <w:r>
              <w:rPr>
                <w:highlight w:val="none"/>
              </w:rP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1．支持线上作业由作业实名的各改各班的模式切换为诊断匿名的批量混改模式，提高阅卷的公平性，从而具备模拟线上诊断模式。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2．支持老师可引用历史答题卡，历史答题卡的题型、题量、分值等信息自动引用，老师只需要根据诊断稍微修改即可，增加答题卡制作效率。</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3．答题卡需同时支持两种模式，线上批改和线下批改，线上批改用于上传答题卡后网上阅卷，线下批改用于在纸质试卷批改后再上传，线下批改答题卡即可以打分框打分，也可以手写打分；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4．答题卡必支持A3/A4页面、A3二分栏/三分栏、页数的调整,答题卡可以添加密封线和禁止作答区域；</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5．答题卡学号支持条形码、填涂学号、手写考号等多种方式；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6．支持添加多个类型的题型：单选题、多选题、判断题、填空题、解答题、选做题以及添加卷面分等；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7．支持拖动题目调整顺序、添加二维码、选择颜色、高考模式、设置分值、题号；答题卡支持课程标记，开启标记后答题卡底部自动添加课程名称；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8．答题卡编辑支持一键切换高考模式，在诊断模式下能够高仿高考答题卡，提升学生适应性，同时支持隐藏掉二维码等与诊断无关信息，确保答题卡的整洁度；</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答题卡可以不分学校按年级上传，也可以按照学校年级上或班级分批上传，以满足小型测验和大型诊断的不同需要，扫描是对答题卡摆放的顺序、正反面、上下颠倒等无任何要求，扫描识别软件可以自动识别校正；</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10．系统既支持系统自制答题卡，也支持第三方答题卡，答题卡扫描支持主流厂商的扫描设备，系统提供扫描设备驱动安装服务。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11．支持答题卡异常识别，系统具备异常快速处理入口，异常处理时可同步扫描，不影响扫描进度，支持补扫；</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12．支持电脑端阅卷和移动端阅卷；支持微信小程序阅卷，微信阅卷支持横屏、竖屏阅卷，并能够对打分栏进行自定义设置，方便老师移动端阅卷；</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13．支持将答题卡扫描后，直接在线上进行批阅；也可支持线下批改，在纸质试卷批改后再上，系统能自动识别线下批改老师批改的分数，线下批改答题卡即可以打分框打分，也可以手写打分；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14．支持加减打分，适用于仅需计算扣分的批分方式；支持鼠标打分，通过点击分数按钮给分；支持键盘打分，即键盘输入分数给分；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阅卷区域支持通过拖拽等方式对阅卷窗口进行个性化布局，符合个人习惯，具有低分保护机制，以防止老师误打低分数。鼠标打分时，支持记录高频分数，方便老师快速点击所需分数；同时打分支持按照多个批分点进行打分，用于分步骤解答的题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16．支持对作答区域进行放大、缩小、旋转等操作，支持对作答区域进行批注，用于标记优秀作答；支持自定义批注和图标批注；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17．支持实时预览阅卷进度，查看阅卷历史；支持实时跟踪作题目作答质量，查看均分和最低最高分；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18．支持批量批阅，支持全科填空题一次性批改多个学生的作答，加快老师阅卷效率，数量可以自己设置；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19．支持双评、三评、四评，支持阅卷仲裁，通过阅卷页面即可进行仲裁阅卷，支持查看仲裁卷份数与试卷详情；支持单个题块打回重阅及选择多个题块或全选按题块打回重阅；</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20．阅卷支持独立设置阅卷密码，确保阅卷的安全性。同时阅卷账号与老师平常使用账号保持一致，不需要每次诊断独立分配阅卷账号。</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21．阅卷过程中如果发现试题分值错误、切割有误，支持不暂停老师阅卷任务对错误数据进行处理，处理完成支持是否保留已阅数据。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22．阅卷结束后能批量下载老师阅卷任务量，方便统计老师的工作量。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校级精准教学系统</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一、诊断报告模块</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校长、学校管理员查看校级诊断报告，包括所有年级、班级的诊断数据；支持对生成基础成绩单、试卷讲解单、知识点分析、班级对比、班内对比、试卷分析、上线分析、临界生统计、短板生统计、档次分析以及根据学校实际情况开展的自定义分析，以上每个分析子项既能够单独导出分析报表，也可通过报告进行整体呈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2．报告可以按照年级、班级、学科进行生成；报告可以对指标进行勾选，来调整报告内容，支持报告下载前预览；</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3．支持生成习题讲解单，支持生成PPT和Excel格式，讲解单包括：优秀作答、典型错误和试卷批注；支持班级得分率和档次得分率查看表单，表单支持表格和图表两种方式展现，可支持对表单进行色彩标注设置；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4．表单中每道试题可查看详情，包括选择题选项选率和选择选项学生，主观题分数段分布和试题原题及解析。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5．支持上传试题讲解视频，在投影和白板全屏显示，帮助老师课堂教学；</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6．支持对诊断中涉及的知识点进行分析，可以通过班级、学科、知识点层次等维度筛选知识点分析列表，列表包含了知识点掌握程度，包括：未通过、未达标、接近达标和达标，可通过颜色进行标记；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班级对比，支持按课程进行筛选；支持导出报表/图片，表格和图片切换；支持查看所有班级一分四率、前后N名分布、分数段分布、名次段分布、题型均分、小题均分、教学箱体图、各科均分排名、优劣势学科对比；支持一分四率、报表显示指标参数设置；支持按班级名称搜索；</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8．支持学校自主划线：划线后系统自动统计各班上线率、各科单双上线、学科贡献率、命中率、临界生、短板生等。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9．上线分析：支持导出报表/图片，表格和图片切换；支持从上线率、各科单双上线及A/B/C线三大维度查看上线分析；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10．临界生、短板生（整体概况/学生列表）：支持按照班级、A/B/C线临界生、短板生筛选；支持导出报表、查看学生成绩概况详情；</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11．学生档次分布：支持按课程进行筛选；支持导出报表/图片，表格和图片切换；</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12．自定义报表：支持按照学校筛选；支持设置时间、输入模板名称查询；支持通过设置报表信息、诊断报告、选择业务对象来新建报表；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诊断工具箱：支持更正答案、修正成绩、补传答题卡、调整分值、报告管理、重新批阅、参数设置、答题卡下载、优秀作答下载、评语导入、学生/老师管理、导入成绩、试卷信息/基本信息查看、阅卷密码设置、公布成绩管理、权限/机动分/诊断可见性设置、合并诊断、异常卷处理、诊断课程管理、试题转换；</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系统自动生成基本的成绩统计报表，至少包含：学生成绩单、学生小题分、学生题型均分、一分四率分析、分数段分析、前后N名分布、名次段分析、学生档次分布、班级小题均分分析、班级题型均分分析、试卷分析、临界生分析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15．支持一份诊断生成多份报告，报告中支持剔除学科、剔除班级、剔除学生，具有科目分数折算功能。</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支持按照新高考等级赋分统计，自主设定赋分规则及各个比例的赋分区间，依据赋分规则根据学生选科组合，计算各学生赋分后分数并进行排名；支持自定义添加选科组合，并根据选科组合计算学生在各个组合下的成绩排名，辅助学生进行选科；</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二、班级学情模块</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班级学情整体情况分析，可以查看班级内所有或单个学科的一场或多长诊断整体状况：综合能力值、综合概况、指标分析、得分率明细表，包括的分类变化趋势图、得分率位次变化趋势图、班级平均得分率、班级错题总数、优秀率、优良率、及格率、低分率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2．考点分析：系统根据历年中高考真题试卷抽取中高考真实考点，与本班级考核知识点的掌握情况进行对比，形成本班级的考点分析，帮助科任老师定位本班级考点差距。</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3．班级错题再做：系统可将每次作业、诊断根据低于班级得分率的大小选择自动筛选题目后归入班级错题本，并可将错题本的试题重新组成一张班级薄弱知识点训练试卷，用于线下练习或诊断。</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三、学生学情模块</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1．学生学情整体状况：可以直接看到单个学生历次诊断的趋势分析、学生得分率、学生新增错题和错题数量、学生得分率变化趋势图、成绩明细表，学生趋势分析包括得分情况、班级排名、年级排名等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薄弱知识点训练：系统可以自动统计学生历次作业、诊断的知识点掌握度，并利用算法分析和模型建立得到学生薄弱知识点训练阶次，老师可通过选择阶次和课程查看该学生知识点诊断频次和知识点掌握度，选择对应知识点可自动组一张适合该学生的薄弱知识点训练试卷，进行线下练习或诊断。</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3．学生错题再做：系统可将每次作业、诊断学生错题自动归入学生错题本，并可将错题本的试题重新组成一张试卷，用于学生线下练习或线上练习。</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4．临界生、短板生跟踪：系统可以根据学生成绩自动划分学生类型，得到临界生、短板生信息，同时老师可以对临界生、短板生进行重点关注标记。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5．学生成绩升降：老师自主选择诊断后查看学生历次诊断排名变化详情。</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基础数据管理平台</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学校快速构建用户信息：学校可通过批量导入、单独创建和第三方接入等方式创建和维护基础用户信息；支持创建多种角色包括：学校管理员、学校负责人、年级主任、备课组长、班主任、任课教师、学生、家长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2．支持批量导入学校基础信息：通过系统下载学校信息模板，模板内容需包括新增学生、新增教师、新增班级、新增年级、新增年级负责人、新增班级负责人等内容，并支持学校信息批量导出；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3．支持灵活调整基础信息：系统支持单独对教师、学生、班级、年级等信息进行创建修改。支持通过系统对教师、学生、班级、年级等信息进行导出；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4．教师信息管理：系统既支持批量导入或修改教师信息，也可单独新增和调整教师信息；支持通过索引或条件筛选，进行查看和导出教师任课信息；支持将教师信息同步至其他教学系统；</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年级信息管理：对在校年级信息进行维护与管理，支持批量新增年级或对现有的年级信息进行再次编辑，支持手动对毕业年级至下一个年级；支持批量导入年级负责人信息，支持对年级所用教材进行配置，对分析报告内容以及可见程度进行权限设置；支持导师制度，可导入、重置导师信息，支持一键跳转至班级管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6．班级信息管理：支持导入、新增、编辑班级，支持新高考班级模式，支持设置分科、下载班级、修改班级导入、支持删除、批量删除班级，支持班级信息同步至其他教学应用，支持一键跳转至学生管理；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7．学生信息管理：支持按照年级、班级、标签、类别查询学生信息；可对学生信息进行导入、导出、修改等操作；支持导入学籍、批量转班、批量修改、批量生成账号等操作；</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8．其他信息管理：支持新增、修改、删除学校负责人信息；支持输入课程名称查询课程信息，支持新增、编辑、删除课程信息。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配套服务</w:t>
            </w:r>
            <w:r>
              <w:rPr>
                <w:rFonts w:hint="eastAsia" w:ascii="宋体" w:hAnsi="宋体" w:eastAsia="宋体" w:cs="宋体"/>
                <w:i w:val="0"/>
                <w:iCs w:val="0"/>
                <w:color w:val="000000"/>
                <w:sz w:val="21"/>
                <w:szCs w:val="21"/>
                <w:highlight w:val="none"/>
                <w:u w:val="none"/>
              </w:rPr>
            </w:r>
            <w:r>
              <w:rPr>
                <w:highlight w:val="none"/>
              </w:rP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为甲方提供并支持东台市所有小初高学校及市教研院提供智慧测评平台服务，包括阅卷系统的使用及维护；提供考前联络、培训及信息收集等服务；提供靠后阅卷技术支持，包含答题卡扫描及上传、网上阅卷技术支持（满足同时在线3000名教师阅卷）；处理各类数据，提供质量分析报告等服务。具体如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1．智慧测评系统支持服务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内容：智慧测评系统采购、提供系统维护服务。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要求：需要向甲方支持的东台市小初高学校和市教研院提供网上阅卷平台服务，包括阅卷系统的使用及升级维护，并为考试机房及教师办公电脑安装最新版阅卷系统软件。</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2．考前联络、培训及信息收集服务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内容：协助甲方与用户联络印刷厂、阅卷信息收集、进行相关培训等。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要求：根据网上阅卷需求，在东台市教育局与印刷厂间进行沟通，进行试题、答题卡的校对工作；在考前10天完成学生信息及阅卷教师信息的收集工作；与印刷厂进行联络，督促各年级各学科试卷、答题卡、条形码的印刷及配送工作；对各校技术人员、教师做好阅卷平台使用的相关培训工作。</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3．考后阅卷技术支持服务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内容：答题卡扫描及上传、网上阅卷技术支持等。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要求：在规定时间内，负责协助指导各扫描点完成各年级各学科答题卡的扫描及上传工作；必要情况下提供现场阅卷技术支持等服务。要求所有人员对阅卷系统数据和内容保密，不得发生任何泄密行为。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4．质量分析报告服务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内容：在阅卷结束后一周内，按要求进行数据分析并出具质量分析报告。</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要求：按市教育局和各校要求对评卷成绩进行分析，并出具质量分析报告。报告需包含平均分、标准差、标准分、各分数段人数分布、总体情况、学校排名分布、各题型得分情况分析等分析数据，详细列出目前各校各考试年级学生存在的主要问题及教师教学中可能存在的问题。</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5．运维服务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运维保障组提供7*24小时的售后服务保障，在接到用户故障报告后响应时间不超过30分钟（响应方式包括现场、远程、电话指导等）；一般故障的修复时间不超过6小时，严重故障修复时间不超过24小时；特别重大故障如遇不能修复的，将提供应急措施，保证系统正常运行。</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top"/>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在服务期内，需对软件故障进行免费维护和不定期版本升级优化，以确保整个应用系统和功能随着时间推移而变得越来越先进、运行性能越来越佳。同时，安排交付实施专家对接学校一线用户，及时收集用户使用需求，对于系统暂时无法满足的个性化需求进行记录，反馈技术小组评估，由技术团队排期进行开发升级，最大程度满足用户需要。</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技术要求</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历史数据全部保留，无缝配合统一认证和基础数据平台升级，需与智慧评价系统无缝对接。</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gridSpan w:val="5"/>
            <w:tcW w:w="10259"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六、  电子图书云平台年度服务</w:t>
            </w:r>
            <w:r>
              <w:rPr>
                <w:rFonts w:hint="eastAsia" w:ascii="宋体" w:hAnsi="宋体" w:eastAsia="宋体" w:cs="宋体"/>
                <w:b/>
                <w:bCs/>
                <w:i w:val="0"/>
                <w:iCs w:val="0"/>
                <w:color w:val="000000"/>
                <w:sz w:val="21"/>
                <w:szCs w:val="21"/>
                <w:highlight w:val="none"/>
                <w:u w:val="none"/>
              </w:rPr>
            </w:r>
            <w:r>
              <w:rPr>
                <w:highlight w:val="none"/>
              </w:rPr>
            </w:r>
          </w:p>
        </w:tc>
      </w:tr>
      <w:tr>
        <w:trPr>
          <w:trHeight w:val="308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电子图书云平台年度服务</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电子图书云平台年度服务</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1.提供不低于100万种图书目录分类表。覆盖中图分类法22个大类，并具备分类导航功能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平台提供普通检索、二次检索、高级检索和全文检索。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2.阅读界面简单易用，提供图书目录导航，高清晰全文在线阅读，具备快速定位翻页、文字摘录、下载借阅、打印、旋转、页内检索等功能。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3.平台提供多种在线阅读方式，图像、文本、pdf、epub等多种阅读方式供用户选择。部分图书支持移动端扫码阅读。支持单页、连续页、双页阅读。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4.提供标注功能，支持用户对图书进行批注，提供椭圆、矩形、曲线、直线四种标注图形，支持用户自定义标注的颜色。支持用户删除已有标注。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5.阅读器提供书签功能，支持用户自主插入书签，支持用户浏览插入的所有书签，并快速定位到已有书签页。</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w:t>
            </w:r>
            <w:r>
              <w:rPr>
                <w:rFonts w:hint="eastAsia" w:ascii="宋体" w:hAnsi="宋体" w:eastAsia="宋体" w:cs="宋体"/>
                <w:i w:val="0"/>
                <w:iCs w:val="0"/>
                <w:color w:val="000000"/>
                <w:sz w:val="21"/>
                <w:szCs w:val="21"/>
                <w:highlight w:val="none"/>
                <w:u w:val="none"/>
              </w:rPr>
            </w:r>
            <w:r>
              <w:rPr>
                <w:highlight w:val="none"/>
              </w:rPr>
            </w:r>
          </w:p>
        </w:tc>
      </w:tr>
      <w:tr>
        <w:trPr>
          <w:trHeight w:val="28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6.阅读软件具广泛的兼容性，可以阅读多种格式的数字资源,如EPUB、PDG、PDF、TXT、PDZ、PDZX等；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7.平台提供IP认证和个人账号登录的权限管理方式。平台可通过帐号密码形式访问，使读者在局域网外也可不受限制访问系统；可以对接单位统一认证平台来实现校外访问资源。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8.平台中的精品图书可以实现AI阅读，总书量不少于10万册。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9.需要能查询到图书的被引用情况。提供100年来中文图书被引用情况的分析，尤其可对每种中文图书是否有被引用及具体的被引用情况进行查询，从而作为评价中文图书学术影响力的重要指标和依据。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10.支持精选好书推荐功能。</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48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1.提供适合手机使用的电子书资源，需包含书籍封面信息、目录及在手机中完成试读。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2.提供适合手机使用的且具有完全自主知识产权的视频，支持有声读物播放。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3.提供适合不同手机阅读的EPUB格式热门电子书，不少于5万种，所有电子书支持全文下载，保存在手机中。并提供相关搜索服务。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4.支持用户在用手机查找文献时，可提出申请将检索结果通过文献互动的方式获取。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需支持全文检索服务，可定位到相关电子书的具体页数，支持在线阅读相关页。同时支持知识点搜索，用户可在不少于17.7亿页图书资料中通过搜索找到所需知识点并直接阅读，阅读中提供文字提取、查看来源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6、移动APP中包含中小学教育、历史、文学等各类期刊文献，期刊内容为流媒体格式，支持直接内容文字复制分享，支持PDF格式下载。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7.移动APP平台内所有功能模块都要求结构灵活，支持用户根据喜好，常用度，使用习惯随意调整位置。通过APP服务可自由添加、删除相关模块。app内支持讨论、笔记、小组、云盘、问卷、资料等功能。</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92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移动客户端提供教育教学相关适合智能手机直接播放的学术视频资源。不低于两级分类，一级分类包含但不限于教师培训、通识培训、学科培训等，二级分类包含但不限于法学、古代文学、教育社科、科学技术、历史、文学、文化、医学、新闻传播学、社会科学、治学方法、初中新课程、文学、艺术理论、最细方法、信息技术、教育教学研究、学前教育、校长培训、师德教育教育教学新技能、教育教学新理念、教师心理健康教育、教育技术培训、班主任培训、家庭教育等模块资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9.系统需具备分享功能，必须具备微信好友、微信朋友圈、邮箱等社交分享平台。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10.中小学学生精选精品电子图书资源，涵盖统编教材推荐的课外阅读书目、教育部中小学阅读指导目录的相关图书，支持按分类、学科查看，资源支持系列展示，引导学生多维度阅读。支持分12个年级筛选查看。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11.不受IP限制，通过账号登录，只要通过随身设备连接网络，就可在任何地点访问。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2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12.活动运营系统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（1）APP端、小程序端提供作品征集平台，支持上传图片、文字、视频等格式的作品，可设置对作品的投票、点赞、评论等操作权限。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APP端支持配置阅读积分大赛，通过看视频、做测评、读经典、观直播等获得积分，进行排行。（1）提供阅读积分资源内容，书籍数量不少于200本，名师导读视频资源不少于50集，测试题目不少于400条，包含国学经典、中国文学、世界文学、人类思想、历史文明、艺术审美、科学技术、经济社会等不同类型的资源目录体系。（2）支持单位自定义学习时间，以及定制个性化学习内容。（3）支持根据单位要求进行积分规则和达标积分数进行设置，支持对登录、视频观看、阅读、答题讨论、笔记等考核维度和积分规则设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APP端、小程序端提供图书共读功能，通过共同阅读一本书深入了解原著，支持打卡、书评、排行。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（5）APP端、小程序端提供知识闯关模块，通过灵活配置的活动规则，答题+阅读的方式调动用户的阅读积极性。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（6）APP端、小程序端提供朗读模块，可以生成朗读作品，进行分享。</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24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13.积分管理系统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（1）提供“我的积分”，用户可实时查看积分明细，积分明细包含积分日期、积分收入数量、积分来源说明等详细信息。用户可在个人空间查看个人在本单位积分排名，可查看总榜、月榜、近七日排行榜。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积分商城前台，单位用户可根据兑换量、商品价值进行快速排序查找，进行兑换；在商城后台，可编辑商品基本信息，设置上下架时间，管理商品库存，并对兑换订单进行跟踪和处理。在“积分规则管理”中可灵活添加、修改、删除积分项，系统默认积分项包括阅读图书、观看讲座、听书、阅读期刊和观看绘本。</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gridSpan w:val="5"/>
            <w:tcW w:w="10259"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七、云资源及安全服务</w:t>
            </w:r>
            <w:r>
              <w:rPr>
                <w:rFonts w:hint="eastAsia" w:ascii="宋体" w:hAnsi="宋体" w:eastAsia="宋体" w:cs="宋体"/>
                <w:b/>
                <w:bCs/>
                <w:i w:val="0"/>
                <w:iCs w:val="0"/>
                <w:color w:val="000000"/>
                <w:sz w:val="21"/>
                <w:szCs w:val="21"/>
                <w:highlight w:val="none"/>
                <w:u w:val="none"/>
              </w:rPr>
            </w:r>
            <w:r>
              <w:rPr>
                <w:highlight w:val="none"/>
              </w:rPr>
            </w:r>
          </w:p>
        </w:tc>
      </w:tr>
      <w:tr>
        <w:trPr>
          <w:trHeight w:val="2340"/>
        </w:trPr>
        <w:tc>
          <w:tcPr>
            <w:tcW w:w="1275"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云资源及安全服务</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云资源及安全服务</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本平台需部署在政务云平台，云环境需通过等保三级测评（系统部署前提供等保三级测评报告），需具备电子政务外网部署环境，互联网区和电子政务外网区之间通过网闸互联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1、含等保三级测评服务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2、互联网共享带宽1000M，独立公网IP不低于3个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3、提供项目所需云主机服务：10台云主机（单台配置：CPU不低于16核，内存不低于32GB，存储不低于1TB)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4、提供7*24小时值班值守服务，提供云资源驻场运维服务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gridSpan w:val="5"/>
            <w:tcW w:w="10259"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八、智能研修平台技术服务</w:t>
            </w:r>
            <w:r>
              <w:rPr>
                <w:rFonts w:hint="eastAsia" w:ascii="宋体" w:hAnsi="宋体" w:eastAsia="宋体" w:cs="宋体"/>
                <w:b/>
                <w:bCs/>
                <w:i w:val="0"/>
                <w:iCs w:val="0"/>
                <w:color w:val="000000"/>
                <w:sz w:val="21"/>
                <w:szCs w:val="21"/>
                <w:highlight w:val="none"/>
                <w:u w:val="none"/>
              </w:rPr>
            </w:r>
            <w:r>
              <w:rPr>
                <w:highlight w:val="none"/>
              </w:rPr>
            </w:r>
          </w:p>
        </w:tc>
      </w:tr>
      <w:tr>
        <w:trPr>
          <w:trHeight w:val="300"/>
        </w:trPr>
        <w:tc>
          <w:tcPr>
            <w:tcW w:w="1275"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基础模块</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基础模块</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基础功能</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1）支持自定义设置当前站点机构组织、用户导入、用户组及角色权限管理，支持建立和批量导入班级，具备师生注册审核机制；</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2）门户页面采用简洁风格设计，支持自定义设置门户导航目录，可通过直观图标排列呈现系统模块，用户点击模块图标可跳转至对应功能页面；支持自定义设置各模块显示状态及对应的图标；</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3）支持设置平台名称、logo、页脚信息，设置数据展示的学期范围，设置课程、活动、专辑等默认封面等，支持填写≥2个备案信息及其链接地址；</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4）支持国家重大事件发生时，一键将平台设置为灰色风格；5）支持系统默认播放模式设置为电影模式、资源模式，支持自定义开启或关闭OCR 分析；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6）支持对教室进行管理及设备查看,支持一键跳转集控管理平台进行设备管理；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7）支持添加、导入互动终端，支持自定义设置内外网互动模式、会控服务器IP、服务端口等；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自定义添加、编辑、启用及禁用系统的学科、学段、年级、教材版本、教材册等信息，支持批量导入教材目录，支持一键同步本站学段、学科、年级、教材版本、教材册的设置至下级站点，支持学期新建和删除，新建学期可设置学期开始日期和预计周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10）支持自定义创建评分量表、设置量表指标及分值，支持基于已有量表进行指标添加，支持设置量表总分等于各一级指标得分×各自权重，汇总求和；</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11）支持录播设备接入平台实现自动转码、多画面直播及点播等，支持扫码观看直播、查看公告及浏览资源等；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12）支持自定义自动删除策略，根据文件上传时间和引用数进行清理周期、清理范围、清理方式等设置，支持服务器磁盘剩余容量达到设定警戒值时进行预警提示；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13）支持自定义设置当前站点服务器配置、维护平台使用手册,支持系统应用服务配置，支持针对教室端录播设备进行单个或批量升级。</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14）支持平台、集控/站点、流媒体及AI服务的内外网IP端口管理，含虚IP设定与自动校验连接功能。</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个人空间</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1）提供个人空间，支持个人信息、资源及量表管理，支持消息发送和接收，支持在个人空间上传、管理、搜索、收藏资源；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2）支持通过课表对录播教室进行录像和直播预约，课程结束后，课堂录像自动上传至主讲人个人空间；</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3）支持在个人空间针对原视频进行裁剪、编辑、合成及发布，具备文字轨道、视频轨道、台标等编辑功能；</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查看我的课表，通过在个人课表添加课表或者导入课表进行约课，支持查看我的授课班级、授课班级学生，班主任可以编辑班级信；支持查看我所加入的教研组、我的备课情况、我的磨课情况、我的视频教研情况，支持创建、编辑教研组、添加课例等，支持查看我的教学反思、收到的反思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5）支持汇总我的评审任务，包含优课评审、听课评审和集体磨课评审等；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6）支持查看我参与的互动课程和联校空间，查看我加入的听评课、讲课反馈，支持查看平台的使用说明；</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7）支持教师自行上传人脸照片进行人脸模型训练；</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应用管理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1）支持管理员编辑及修改通知公告，支持设定公告类型、公告定时发布信息；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2）支持学情分析阈值设置，可新增、编辑及删除敏感词，支持管理员通过上传多位教师照片进行批量模型训练；</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3）支持汇总平台资源，对资源进行发布、删除、查看、编辑、推荐、AI分析等，支持查看资源的观看记录，可查看每个资源观看的用户明细和时长；；</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4）支持视频添加教案、课件、习题等文档及图片作为附件进行在线无插件预览；</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5）支持用户对资源进行收藏、下载、分享等，支持用户对资源进行评论；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6）支持用户在点播观看视频时可通过系统提供的量表进行在线打分评价，支持自定义设置量表；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t xml:space="preserve">支持用户对课堂视频录像进行量化评估，可根据实际教学评估要求设置多套评估标准，每套评估标准可设置不同总分，可设置多项评估项目，每项评估项目可设置多项评估子项，满足不同评估要求；</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9）支持多种搜索条件进行组合搜索，支持用户通过资源名称、班级、教师快速搜索资源；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10）支持管理员设置资源审核、关闭审核开关，设置免审核模式；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11）支持自定义录像主题、录像专辑等，支持录像资源删除后进入回收站，支持在站群内子站向父站推送课程。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课表管理</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1）支持根据教室和教师维度查看和添加课表、批量导入课表，支持依据日历和课表两种方式查看教室课表，支持设置教室相应的时间节次方案；</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2）支持按时间或设置好的节次方案进行课表约课，支持修改课程名称、班级、学段、教师、学科、年级等信息，设置教室及输入直播源，支持约课时，班级多选；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3）支持根据教师、课程、教室、班级、学生等关键词查询课表；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4）支持课表约课时控制录像、直播、聊天室、AI分析、直播评课、直播时移、手机端直播的功能开启状态；</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视频点播、直播</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1）支持多画面资源模式点播，如以三分屏的方式同步播放教师画面、学生画面、课件画面，支持视频直接拖拽播放；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2）支持观看视频时可通过系统提供的量表进行在线打分评价；</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3）具有教育行业特性，直播课堂结束，课后可实现课堂S-T分析，自动分析课堂教师、学生行为时间并自动画出行为曲线，自动分析课堂类型；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4）直播过程支持量表打分，直播结束后系统将视频和评论记录自动上传到教师个人空间；</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5）直播过程中支持用户以二维码、链接地址形式分享直播；</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6）支持自定义直播开始、结束时间，设置直播评分量表；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7）支持直播时移，直播开始后可拖动播放器时间轴回放直播；</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8）支持设置直播观看密码，支持匿名用户观看直播；</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9）支持微信扫描平台二维码进行直播观看、课程点播等。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直播门户</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1）支持查看当前正在进行的直播课、将要开始的直播课、已经结束且已发布的直播课，支持按照学校、学段、学科、时间段、资源名称、作者和标签等搜索直播课；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2）支持统计直播门户下的所有直播课数量和播放量，支持统计不同时间周期内的直播课程数量、累计观看人数及课程；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数据统计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1）支持展示平台录播教室数量、用户数量、资源数量、教研活动开展数量、量表报告数量；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2）支持以图表形式直观显示领导及教师数量，呈现教学视频、教案、导学案、课件和其它资源数量，呈现个人备课、集体磨课，呈现各科教学模式及教学行为应用占比等数据；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3）支持移动鼠标至相应图表呈现具体数值，如各类型资源数值、各类型教学模式具体占比数值、十一种类型教学行为具体占比数值等；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4）支持导出各教研组的成员数、开展听评课次数、开展磨课次数等数据。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5）支持展示平台教学视频、教案、导学案及其它资源数量；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6）支持以图表形式直观显示新增教学视频和新增资源趋势，可按近7天、近30天、本学期、本学年及自定义时间进行趋势查看，当移动鼠标至相应图表，可显示该日期新增教学视频、新增资源具体数值；</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7）支持以图表形式直观显示各学科的教学视频、教案、导学案及其它资源数量，支持按学段进行筛选，支持查看本年新增资源和全部资源平均值，移动鼠标至相应图表，可显示具体数值；</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优课专辑</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1）支持在模块首页展示优课资源数量和专辑数量；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2）支持按照资源发布时间、点赞量和播放量，对资源进行排行展示，支持按照学段、学科进行筛选优课，支持按资源名称、作者、标签搜索查找优课，支持教案、课件、习题等文档进行在线无插件预览；</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3）支持对资源进行收藏、下载、分享等，支持对资源进行量表评分和文字评论。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微课资源</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1）支持以知识点系列形式组织微课专辑，自定义微课发布方式，支持在微课资源首页展示微课资源数量、点播数量；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2）支持按发布时间、播放量、点赞量进行微课排行展示，支持按学段、学科、微课名称、作者、标签等筛选及搜索微课；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3）支持对微课资源进行在线评分，支持采用预设量表评分、主观评价等，支持删除个人讨论内容，管理员可删除任意讨论内容。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教研模块</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个人备课</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用户开展个人备课，提供线上科学化备课流程，支持在教案设计的教学前期分析中内置分析维度，教师可基于内置维度进行教案的教学前期分析，支持在教学反思中内置维度，教师基于内置维度进行教学反思；</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3）支持个人备课按不同维度统计备课数量，支持按学段、学科筛选备课，支持搜索备课名称、新建备课、对已有备课进行编辑操作，支持修改备课学段、学科、年级、教材版本、册及章节内容；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4）支持采用教案设计、导学案设计、教学资源、课堂实录、教学反思的科学化备课流程开展个人备课活动；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5）个人备课的教案设计支持向导式教案模式、无模板模式及上传已有文档模式，向导式教案模式支持采用教学前期分析、教学策略与方案、教学过程设计、课堂板书设计的流程进行教案设计；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个人备课的导学案设计支持向导式导学案模式及上传已有导学案模式，向导式导学案模式支持采用学习目标、重难点指导、导学过程设计的环节进行导学案设计，支持上传教学资源、导学资源和其他资源的视频文件或文档，支持将录像库文件与课堂实录进行关联，支持手动上传课程视频文件；</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7）个人备课的教学反思支持向导式教学反思模式及上传已有反思模式，向导式教学反思模式支持采用内置的反思维度进行教学反思；</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8）个人备课过程支持课表约课，支持与已有课表关联，支持引用我的备课、我的收藏及案例池中的备课资源；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9）支持以列表形式显示我的备课，支持按学段、学科、年级、版本、册、章节多个维度筛选备课，支持直接搜索备课名称；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10）支持以列表形式显示备课案例，支持按学段、学科、年级、版本、册、章节多个维度筛选备课案例，支持直接搜索备课案例名称；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11）支持首页展示平台个人备课数量、教学视频数量、教案数量、导学案数量、其他数量；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支持以图表形式直观显示新增个人备课趋势和新增个人备课资源趋势，可按近7天、近30天、本学期、本学年进行趋势查看，也可按指定时间段进行趋势查看；当移动鼠标至相应图表，可显示该日期新增备课、新增备课资源的具体数值；</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13）支持以图表形式直观显示个人备课数、人均备课数及上传资源数；支持以图表形式直观显示各学科的个人备课数、人均备课数及上传资源数；当移动鼠标至相应图表，可显示具体数值；</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集体磨课</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1）支持用户创建教研组，添加组成员，开展磨课活动；支持磨课课例、磨课教师数量统计；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2）支持磨课小组成员自定义创建磨课课例，磨课过程中可添加磨课环节，支持磨课过程中上传教案、ppt、视频等课例资料，磨课成员可在线观看；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3）支持磨课小组成员观看课堂实录，课堂实录支持多源观看，自由切换教师、学生及ppt画面，支持在线预览教案、课件等文档；</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4）支持磨课组成员对资源发表文字点评；</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5）支持教师对比两次、数次磨课资源及点评信息，进行总结反思；</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6）支持环节对比，教师可对比两次磨课，直接调用课堂AI分析数据，支持显示量表和教学能力矩阵对比，支持生成报告和导出报告</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7）支持首页展示平台集体磨课数量、教学视频数量、教案数量、导学案数量及其它数量；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以图表形式直观显示新增集体磨课趋势和新增磨课资源趋势，可按近7天、近30天、本学期、本学年进行趋势查看，也可按指定时间段进行趋势查看；当移动鼠标至相应图表，可显示该日期新增集体磨课、新增磨课资源的具体数值；</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9）支持以图表形式直观显示集体磨课数、人均磨课数，支持按学段、学科进行筛选近7天、其他时间新增集体磨课数和人均磨课数，支持查看磨课平均值，当移动鼠标至相应图表，可显示具体数值；</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10）支持以图表形式直观显示磨课热度排行榜、日均参与人数、参与磨课比，支持按学段、学科进行筛选磨课热度和参与度，当移动鼠标至相应图表，可显示具体数值；</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11）支持以图表形式直观显示备课研讨次数分布、课堂研讨次数分布；支持按学段、学科进行筛选磨课流程分布当移动鼠标至相应图表，可显示具体数值；</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12）支持以图表形式直观显示磨课资源上传数，支持以图表形式直观显示磨课资源上传数，支持按学段、学科进行筛选磨课资源上传情况，当移动鼠标至相应图表，可显示具体数值；</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13）支持按学段、学科、年级、教研组内及独立活动筛选磨课活动，可按活动名或教师搜索，高效定位磨课资源。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优课评选</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1）支持组织在线大规模优课评选活动，包含从评选公告发布到上报优课、专家评选、奖项公布、获奖视频归档等全部流程操作；</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2）支持查看活动进程，用户可在活动首页查看活动报名数量统计及活动进程情况</w:t>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3）支持管理员或组织者可自定义创建评选活动、编辑活动信息，设置活动进程截止日、添加评委等；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4）支持管理员将待评选课程分门别类分配给相关专家，分配完成后专家可在个人空间收到消息提醒；</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5）支持管理员对评选活动的奖项进行设置；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6）支持上报参赛作品，教师进入正在进行中的活动评选页面，可上传课堂录像，并关联教案课件；</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7）支持专家在活动页进行评课，可查看已评课程和待评课程；支持自定义量表评估、文字总评和打分评价；</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8）支持发起优课评选活动时将活动设定为投票模式，对参加评选的课程可以投票，根据投票结果排名；</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9）支持评选过程和评选结果通过消息系统反馈参赛人员、专家和活动组织者；</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10）支持优质课程归档，集中展示历次评选的优质课程；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11）支持根据评审结果自动为参赛作品匹配预设奖项功能，也可在发布前手动干预调整作品获奖结果；</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12）支持批量报名功能，支持以“纯文档”或“文档+视频”的形式报名参赛，可在报名时间结束前前往报名记录中编辑报名信息或取消报名；</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13）支持分组报名名额限制，报名时只显示有报名名额的分组，已满额分组不在展示；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14）支持自定义设置是否公开评审团队；</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15）支持报名设置中，自定义设置报名作品数量、视频文件大小、视频播放时长等限制指标；</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16）支持评审中站点管理员、平台管理员、运维管理员继续报名，直至评审结束不可再报名；</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17）支持手工结束评选活动，支持查看作品详情。</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在线听课</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1）支持管理员创建听课任务，支持教师选择任务中的任一课程视频即可开始听课；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2）支持教师可一边观看课程视频一边做在线记录，支持对课程进行文字评论，支持根据设定好的评分量表对课程进行打分；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3）支持教育管理者可看到每位教师的听课记录情况；</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4）支持教师查看个人的听课任务完成情况，并可统计听课任务完成情况；</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听课评课</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1、活动管理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1）支持创建录像评课（课例评课）、直播评课（在线评课）和实地评课（现场观摩）三种类型网络听评课活动；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2）支持创建教研课，设置基础信息、量表和权限，平台预置评价量表；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3）支持创建活动时，自定义设置等级评价方式、等级名称及标准；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4）支持创建量表时，支持为末级指标添加文本描述；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5）支持创建教研组，设置成员、组长、学段、年级、学科和权限等，可针对某一个主题进行研讨，在组内创建教研课，针对教研组成员开展录像评课、直播评课或实地评课活动；</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6）支持审核创建教研课和教研组申请；</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7）支持活动归档，结束活动自动保存活动过程数据；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8）支持在听课过程中，用户打点记录听课过程，从课程亮点、待改进点及课程思考三个方面对课程进行综合评价与反思；</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9）支持查看评分记录和听课记录；</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10）支持主题教研，并可基于主题教研支持创建多节听评课；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11）支持创建听评课-直播评课-去约课-选择教师的流程设置，支持选择其他站点的教师；</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2、听评课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1）支持针对已经结束课程进行听评课，有AI分析数据的可查看AI数据进行评价；直播评课通过网络直播的方式，在线听课并实时评价；实地评课可以在平台上共享资源、记录笔记和签到；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2）支持听评课中查看课例基础信息，查看教师、学生和板书等多路视频、素材，支持进行量表评课，听课记录中做笔记、进行评价思考，并可留言讨论；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3）支持对有AI分析的课程查看师生课堂教学行为时序、学生课堂参与度分布、教学行为分布和课堂授课类型等；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4）支持针对教研课程进行量表评课和主观评课，评课结束后生成包含师生课堂行为数据、课堂授课类型、量表得分、教师教学能力矩阵等内容在内的评课报告，支持导出评课报告；</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5）支持游客扫码评课；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6）支持按学段、学科、教研组内及独立活动筛选听评课活动，可按听评课关键字搜索，高效定位听评课资源。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3、数据展示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1）支持听评课对比中可选择两节课进行对比，查看对比分析报告；</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2）支持通过搜索教研组和听评课名称查找教研组/听评课；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3）支持教研组广场中查看全部教研组，浏览教研组教研开展情况，未加入的教研组可以申请加入；</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4）支持通过我的教研组列表查看已加入的教研组，缩略页显示教研组听评课数量、成员数、磨课数及访问量；</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5）支持教研组内查本组全部听评课情况，支持根据未开始、进行中和已结束活动进行筛选查看； </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6）支持教研组内查看组内成员及其学校、学科信息，成员活跃榜可显示活跃指数高的成员；</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7）支持按学段和学科筛选筛选听评课活动，支持按全部、即将开始、进行中、已结束进行筛选；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8）支持按浏览量排行展示热门课程，可呈现排行前五名的课程信息；</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4、扫码教研</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1）支持手机扫码进入研修活动，通过手机端进行网络教研；</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2）支持切换站点，扫一扫加入教研组和教研课，搜索课程和教研组；</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3）支持查看即将开始和正在进行的教研课，查看公开的教研组；</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4）支持查看课堂教学视频实录与量化数据，可快速进行教学反思；</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5）支持教研组，教研课活动的创建和参与；</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6）根据不同教研场景，可创建多种听评课模式：直播评课、录像评课、实地评课；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7）支持多路视角听评课，可以查看教师、学生、电影、VGA等多路视频，全方位听评课堂；</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8）支持多种评课形式，包括主观评价、量表评价、教学环节评价等；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9）支持同时查看教研课视频和自动量化的行为分析数据，通过AI分析的数据结果辅助教师进行听评课；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10）支持量表评价后自动生成教师教学能力矩阵图；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11）支持评课过程中同时开展讨论、签到和查看相关资料；</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支持同课异构对比，对两节教研课进行对比分析，从课堂学情分析、课堂场景、师生行为、师生对话时长、学生应答时长、学生应答活跃度、四何问题分布、四何问题列表、老师教学特征、老师巡视特征、S-T曲线、课堂教学模式、课堂词云、课堂话语文本、量表得分、能力矩阵等多个维度对比查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支持评课结束导出包含课堂学情分析、课堂场景、师生行为、师生对话时长、学生应答时长、学生应答活跃度、四何问题分布、四何问题列表、老师教学特征、老师巡视特征、S-T曲线、课堂教学模式、课堂词云、课堂话语文本、量表评分详情、教师教学能力矩阵、评课总结等数据报告；</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AI模块</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vMerge w:val="restart"/>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学情分析</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1）支持查看大数据页面，包含设备信息，教学质量等长期数据的汇总；</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3）支持通过导入课表实现课堂教学分析的自动开启与停止；</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4）支持呈现的课堂教学行为包括教师录播主机能自动识别的教师和学生行为,如：老师发言、课件操作、板书、巡视、师生对话、学生发言、学生应答、上台展示、生生互动、学生读写、学生听讲等多种行为；</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5）支持课程结束后自动生成该教师课堂观察分析报告，支持在线预览和导出报告；</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6）支持教师查看每节课课堂实录，支持根据师生行为分析数据生成教学行为时序图，并基于教学行为时序图进行智能打点切片，可自动定位到课堂实录特定时刻，方便进行快速回顾教学环节；</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7）支持视频检索功能，满足教师依据关键词查找所需的视频文件；</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8）支持教师查看每节课教与学课堂行为的占比，方便教师了解课堂中个人教学行为分布情况；</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9）支持基于结构化课堂观察方法，自动进行S-T分析，分析每节课教学模式；如：讲授型、练习型、对话型、混合型；</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10）支持教师按照时间维度查看全班学生活跃度、行为一致性及参与度情况，以便调整自己的课堂节奏和教学设计；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11）支持二次分析功能，课程结束后启动AI分析，会修正课堂教学AI数据；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12）支持基于课堂学情时序图、课堂教学行为时序图及 S-T 曲线，点击曲线节点自动跳转至视频对应位置；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13）支持校教学管理者查看各科教师课堂观察分析报告，支持在线预览和导出报告，为教学管理提供客观数据；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支持校教学管理者查看各科教师课堂实录、教学模式、S-T行为分析、课堂学情时序、课堂教学行为时序、行为一致性、学生参与度、学生活跃度、课堂文本、课堂场景、师生行为、师生对话时长、学生应答分析、学生应答活跃度、站立学生位置分布、四何问题分布和四何问题列表、教师语速、教师口头禅、教师巡视特征等情况；</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8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支持校教学管理者任选两位教师的课例进行同课同构、同课异构、异课异构对比，可查看两位教师授课过程中的教师课堂实录、教学模式、S-T行为分析、课堂学情时序、课堂教学行为时序、行为一致性、学生参与度、学生活跃度、课堂文本、课堂场景、师生行为、师生对话时长、学生应答分析、学生应答活跃度、站立学生位置分布、四何问题分布和四何问题列表、教师语速、教师口头禅、教师巡视特征的对比分析数据，支持导出对比报告；</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17）支持校教学管理者根据学科、时间等自定义查询导出相应的教师长期数据；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18）支持按时间、站点、学段、学科进行课例筛选，也可通过搜索课例关键字进行课例查找；</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支持将选定的2节课例进行对比分析，查看2节课例的教师课堂实录、教学模式、S-T行为分析、课堂学情时序、课堂教学行为时序、行为一致性、学生参与度、学生活跃度、课堂文本、课堂场景、师生行为、师生对话时长、学生应答分析、学生应答活跃度、站立学生位置分布、四何问题分布和四何问题列表、教师语速、教师口头禅、教师巡视特征；</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0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在课程页面上同时呈现教师画面和学生画面，同步能够呈现课堂教学行为时序图和课堂学情时序图，课堂教学行为书序图中的AI分析数据包含老师发言、课件操作、板书、巡视、师生对话、学生发言、学生应答、上台展示、生生互动、学生读写、学生听讲等，课堂学情时序图的AI分析数据包含学生参与度、行为一致性、学生活跃度三条分析曲线及课堂内举手/站立、听讲、读写及其他指标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2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在课程页面上同时呈现教师画面和学生画面，同步能够呈现学生应答时长分析数据、学生应答类型分析数据（至少包括声音过低、短应答、长应答、齐答）、学生应答活跃度分析数据、师生对话时长分析数据（至少包括老师话语、齐答、学生站立应答、学生直接应答、沉寂混乱）、站立学生位置分布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在课程页面上同时呈现教师画面和学生画面，同步能够呈现四何问题分析数据和具体问题列表，四何问题分析数据包括是何问题、若何问题、如何问题、为何问题及其他问题占比分析数据，具体问题列表支持列表中问题的手动编辑；</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lang w:val="en-US" w:eastAsia="zh-CN" w:bidi="ar"/>
              </w:rPr>
              <w:t xml:space="preserve">在课程页面上同时呈现教师画面和学生画面，同步能够呈现课堂文本，支持列表及词云形式直观显示文本高频词汇，支持通过关键词搜索定位话语文本，并允许用户手动编辑；</w:t>
            </w:r>
            <w:r>
              <w:rPr>
                <w:rFonts w:hint="eastAsia" w:ascii="宋体" w:hAnsi="宋体" w:eastAsia="宋体" w:cs="宋体"/>
                <w:b/>
                <w:bCs/>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68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在课程页面上同时呈现教师画面和学生画面，同步能够呈现课堂场景统计数据和师生行为统计数据，课堂场景包含老师讲授、学生练习、上台展示、生生互动、师生对话等，场景统计数据支持以雷达图呈现课堂参与度和学生活跃度，支持以圆环图呈现各个课堂场景的时间和个数，师生行为统计数据分别统计教师行为包含老师发言、课件操作、板书、巡视、师生对话的时长，学生行为包含学生发言、学生应答、上台展示、生生互动、学生读写、学生听讲的时长；</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34）在课程页面上同时呈现教师画面和学生画面，同步能够呈现教师讲授时长分析、教师讲课语速分析、教师讲课口头禅分析、教师巡视时长分析、教师巡视次数分析、教师巡视位置分布分析等；</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40"/>
        </w:trPr>
        <w:tc>
          <w:tcPr>
            <w:tcW w:w="1275"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vMerge w:val="continue"/>
            <w:textDirection w:val="lrTb"/>
            <w:noWrap w:val="false"/>
          </w:tcPr>
          <w:p>
            <w:pPr>
              <w:pStyle w:val="637"/>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441" w:type="dxa"/>
            <w:vAlign w:val="center"/>
            <w:textDirection w:val="lrTb"/>
            <w:noWrap w:val="false"/>
          </w:tcPr>
          <w:p>
            <w:pPr>
              <w:pStyle w:val="637"/>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35）在课程页面上同时呈现教师画面和学生画面，同步能够呈现教学模式分析数据，包括S-T曲线分析、课堂教学模式（Rt-Ch）分析，其中S-T分析中会给出本节课教师时间和学生时间时长的分析；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66"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gridSpan w:val="5"/>
            <w:tcW w:w="10259" w:type="dxa"/>
            <w:vAlign w:val="center"/>
            <w:textDirection w:val="lrTb"/>
            <w:noWrap w:val="false"/>
          </w:tcPr>
          <w:p>
            <w:pPr>
              <w:pStyle w:val="63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九、教师招聘管理系统年度服务</w:t>
            </w:r>
            <w:r>
              <w:rPr>
                <w:rFonts w:hint="eastAsia" w:ascii="宋体" w:hAnsi="宋体" w:eastAsia="宋体" w:cs="宋体"/>
                <w:b/>
                <w:bCs/>
                <w:i w:val="0"/>
                <w:iCs w:val="0"/>
                <w:color w:val="000000"/>
                <w:sz w:val="21"/>
                <w:szCs w:val="21"/>
                <w:highlight w:val="none"/>
                <w:u w:val="none"/>
              </w:rPr>
            </w:r>
            <w:r>
              <w:rPr>
                <w:highlight w:val="none"/>
              </w:rPr>
            </w:r>
          </w:p>
        </w:tc>
      </w:tr>
      <w:tr>
        <w:trPr>
          <w:trHeight w:val="1200"/>
        </w:trPr>
        <w:tc>
          <w:tcPr>
            <w:tcW w:w="1275" w:type="dxa"/>
            <w:vAlign w:val="center"/>
            <w:vMerge w:val="restart"/>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招聘管理系统</w:t>
            </w:r>
            <w:r>
              <w:rPr>
                <w:rFonts w:hint="eastAsia" w:ascii="宋体" w:hAnsi="宋体" w:eastAsia="宋体" w:cs="宋体"/>
                <w:i w:val="0"/>
                <w:iCs w:val="0"/>
                <w:color w:val="000000"/>
                <w:sz w:val="21"/>
                <w:szCs w:val="21"/>
                <w:highlight w:val="none"/>
                <w:u w:val="none"/>
              </w:rPr>
            </w:r>
            <w:r>
              <w:rPr>
                <w:highlight w:val="none"/>
              </w:rP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建设要求</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台市教育局教师招聘系统主要面向东台市教育局提供教师招聘管理服务，按照东台市教育局教师招聘流程设计、开发的网上招聘系统。主要实现报名管理、审核管理、缴费管理、准考证管理、成绩管理、数据统计、资料下载、通知公告、群发短信、系统管理等功能。</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18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数据展示</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1.招聘计划：按照招聘单位、招聘岗位统计招聘计划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2.注册用户：展示系统注册用户数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3.报名人数：按照招聘单位、招聘岗位展示报名的人数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4.未审核数：按照招聘岗位展示未审核人数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5.已审核数：按照招聘岗位展示已经审核通过的人数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6.已缴费数：按照招聘岗位展示已经缴费成功的人数</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12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通知公告</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1.通知公告：根据人员审核情况、缴费情况选择不同发送对象，进行精准发送通知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2.公告回复：重要通知公告，设定弹窗功能，阅读通知后自动回复，并统计回复数据</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69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考试管理</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3.新增考试：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(1)编辑基本信息：招聘名称、类型（选调/招聘）、报名开始时间、报名截止时间、修改报名时间、选择招聘单位。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(2)确定招聘流程（笔试、复审、面试、专业、总成绩）；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(3)支持自定义方式编辑报名表的填写内容，支持自定义方式编辑报名需要的附件材料；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(4)设置招聘基本信息：岗位名称、岗位代码、招聘单位招聘人数、开考比例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4.查看：查看制定的招聘计划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5.编辑：修改招聘计划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6.审核材料：审核应聘教师提交的审核材料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(1)审核权限管理：多机构权限管理，每个机构的管理员，设定审核员审核权限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(2)审核员分配：给审核员按岗位代码分配审核岗位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(3)审核备注：审核员审核过程中能为审核材料添加备注功能，备注能直接展示给考生，使考生能清晰的了解未通过的原因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7.缴费管理：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(1)审核通过的应聘人员，通过与农商行金融系统对接，实现在线缴费和退费功能。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8.准考证：制作准考证，形成准考证模板，供应聘教师下载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9.岗位核减：针对岗位核减人员，制定重新报名计划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10.考试结果：发布考试成绩，应聘者可以通过系统查询成绩、排名。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11.停用招聘：招聘结束后，可以停用本次招聘</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6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数据统计</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1.数据统计：按照单位名称、岗位名称、岗位代码、报名人数、未审核数、初审通过、招聘人数、开考比、报考比例进行数据统计。</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12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导出管理</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1.导出EXLCE：根据审核情况、缴费情况、岗位代码选择导出教师类型，支持选择不同的字段导出相应的数据。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2.导出PFD:根据审核情况、缴费情况、岗位代码选择导出教师类型，支持单个文件和多个文件方式导出应聘教师的报名资料。</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9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短信通知</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1.短信通知：根据审核情况、缴费情况、岗位代码、自定义方式选择群发对象；提供多种短信群发模板，快捷编辑短信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2.短信充值：充值短信套餐</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9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配置中心</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1.表单配置：自定义报名表的栏目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2.字段管理：自定义报名的字段内容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3.附件配置：自定义上传附件的内容</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r>
        <w:trPr>
          <w:trHeight w:val="600"/>
        </w:trPr>
        <w:tc>
          <w:tcPr>
            <w:tcW w:w="1275" w:type="dxa"/>
            <w:vAlign w:val="center"/>
            <w:vMerge w:val="continue"/>
            <w:textDirection w:val="lrTb"/>
            <w:noWrap w:val="false"/>
          </w:tcPr>
          <w:p>
            <w:pPr>
              <w:pStyle w:val="63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0"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信息管理</w:t>
            </w:r>
            <w:r>
              <w:rPr>
                <w:rFonts w:hint="eastAsia" w:ascii="宋体" w:hAnsi="宋体" w:eastAsia="宋体" w:cs="宋体"/>
                <w:i w:val="0"/>
                <w:iCs w:val="0"/>
                <w:color w:val="000000"/>
                <w:sz w:val="21"/>
                <w:szCs w:val="21"/>
                <w:highlight w:val="none"/>
                <w:u w:val="none"/>
              </w:rPr>
            </w:r>
            <w:r>
              <w:rPr>
                <w:highlight w:val="none"/>
              </w:rPr>
            </w:r>
          </w:p>
        </w:tc>
        <w:tc>
          <w:tcPr>
            <w:tcW w:w="5441" w:type="dxa"/>
            <w:vAlign w:val="center"/>
            <w:textDirection w:val="lrTb"/>
            <w:noWrap w:val="false"/>
          </w:tcPr>
          <w:p>
            <w:pPr>
              <w:pStyle w:val="63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1.用户管理：注册用户的管理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2.单位管理：招聘单位管理</w:t>
            </w:r>
            <w:r>
              <w:rPr>
                <w:rFonts w:hint="eastAsia" w:ascii="宋体" w:hAnsi="宋体" w:eastAsia="宋体" w:cs="宋体"/>
                <w:i w:val="0"/>
                <w:iCs w:val="0"/>
                <w:color w:val="000000"/>
                <w:sz w:val="21"/>
                <w:szCs w:val="21"/>
                <w:highlight w:val="none"/>
                <w:u w:val="none"/>
              </w:rPr>
            </w:r>
            <w:r>
              <w:rPr>
                <w:highlight w:val="none"/>
              </w:rPr>
            </w:r>
          </w:p>
        </w:tc>
        <w:tc>
          <w:tcPr>
            <w:tcW w:w="827"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rPr>
                <w:highlight w:val="none"/>
              </w:rPr>
            </w:r>
          </w:p>
        </w:tc>
        <w:tc>
          <w:tcPr>
            <w:tcW w:w="666" w:type="dxa"/>
            <w:vAlign w:val="center"/>
            <w:textDirection w:val="lrTb"/>
            <w:noWrap w:val="false"/>
          </w:tcPr>
          <w:p>
            <w:pPr>
              <w:pStyle w:val="63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rPr>
                <w:highlight w:val="none"/>
              </w:rPr>
            </w:r>
          </w:p>
        </w:tc>
      </w:tr>
    </w:tbl>
    <w:p>
      <w:pPr>
        <w:pStyle w:val="637"/>
        <w:spacing w:line="46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highlight w:val="none"/>
        </w:rPr>
      </w:r>
    </w:p>
    <w:p>
      <w:pPr>
        <w:pStyle w:val="637"/>
        <w:ind w:left="420"/>
        <w:spacing w:line="46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三、其他要求：</w:t>
      </w:r>
      <w:r>
        <w:rPr>
          <w:rFonts w:ascii="宋体" w:hAnsi="宋体" w:cs="宋体"/>
          <w:b/>
          <w:bCs/>
          <w:color w:val="000000"/>
          <w:sz w:val="28"/>
          <w:szCs w:val="28"/>
          <w:highlight w:val="none"/>
        </w:rPr>
      </w:r>
      <w:r>
        <w:rPr>
          <w:highlight w:val="none"/>
        </w:rPr>
      </w:r>
    </w:p>
    <w:p>
      <w:pPr>
        <w:pStyle w:val="6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1.所有招标要求条款投标供应商均必须如实反映响应或偏离情况，如投标单位虚假响应招标文件要求，则一切后果由投标供应商自行承担。招标单位保留追究法律责任的权利。</w:t>
      </w:r>
      <w:r>
        <w:rPr>
          <w:rFonts w:hint="eastAsia" w:ascii="宋体" w:hAnsi="宋体" w:cs="宋体"/>
          <w:color w:val="000000"/>
          <w:sz w:val="24"/>
          <w:highlight w:val="none"/>
        </w:rPr>
      </w:r>
      <w:r>
        <w:rPr>
          <w:highlight w:val="none"/>
        </w:rPr>
      </w:r>
    </w:p>
    <w:p>
      <w:pPr>
        <w:pStyle w:val="637"/>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 “▲”为重要技术参数，</w:t>
      </w:r>
      <w:r>
        <w:rPr>
          <w:rFonts w:hint="eastAsia" w:ascii="宋体" w:hAnsi="宋体" w:eastAsia="宋体" w:cs="宋体"/>
          <w:color w:val="000000"/>
          <w:sz w:val="24"/>
          <w:highlight w:val="none"/>
          <w:lang w:val="en-US" w:eastAsia="zh-CN"/>
        </w:rPr>
        <w:t xml:space="preserve">响应文件</w:t>
      </w:r>
      <w:r>
        <w:rPr>
          <w:rFonts w:hint="eastAsia" w:ascii="宋体" w:hAnsi="宋体" w:eastAsia="宋体" w:cs="宋体"/>
          <w:color w:val="000000"/>
          <w:sz w:val="24"/>
          <w:highlight w:val="none"/>
        </w:rPr>
        <w:t xml:space="preserve">须</w:t>
      </w:r>
      <w:r>
        <w:rPr>
          <w:rFonts w:hint="eastAsia" w:ascii="宋体" w:hAnsi="宋体" w:eastAsia="宋体" w:cs="宋体"/>
          <w:color w:val="000000"/>
          <w:sz w:val="24"/>
          <w:highlight w:val="none"/>
          <w:lang w:val="en-US" w:eastAsia="zh-CN"/>
        </w:rPr>
        <w:t xml:space="preserve">按照要求</w:t>
      </w:r>
      <w:r>
        <w:rPr>
          <w:rFonts w:hint="eastAsia" w:ascii="宋体" w:hAnsi="宋体" w:eastAsia="宋体" w:cs="宋体"/>
          <w:color w:val="000000"/>
          <w:sz w:val="24"/>
          <w:highlight w:val="none"/>
        </w:rPr>
        <w:t xml:space="preserve">提供相关有效佐证截图证明文</w:t>
      </w:r>
      <w:r>
        <w:rPr>
          <w:rFonts w:hint="eastAsia" w:ascii="宋体" w:hAnsi="宋体" w:eastAsia="宋体" w:cs="宋体"/>
          <w:color w:val="000000"/>
          <w:sz w:val="24"/>
          <w:highlight w:val="none"/>
        </w:rPr>
        <w:t xml:space="preserve">件</w:t>
      </w:r>
      <w:r>
        <w:rPr>
          <w:rFonts w:hint="eastAsia" w:ascii="宋体" w:hAnsi="宋体" w:eastAsia="宋体" w:cs="宋体"/>
          <w:color w:val="000000"/>
          <w:sz w:val="24"/>
          <w:highlight w:val="none"/>
          <w:lang w:val="en-US" w:eastAsia="zh-CN"/>
        </w:rPr>
        <w:t xml:space="preserve">或提供具有国家权威检测机构出具的检测报告</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若有部分“▲”条款未响应或不满足，将根据评审要求影响其得分，但不作为无效投标条款。</w:t>
      </w:r>
      <w:r>
        <w:rPr>
          <w:rFonts w:hint="eastAsia" w:ascii="宋体" w:hAnsi="宋体" w:eastAsia="宋体" w:cs="宋体"/>
          <w:color w:val="000000"/>
          <w:sz w:val="24"/>
          <w:highlight w:val="none"/>
        </w:rPr>
      </w:r>
      <w:r>
        <w:rPr>
          <w:highlight w:val="none"/>
        </w:rPr>
      </w:r>
    </w:p>
    <w:p>
      <w:pPr>
        <w:pStyle w:val="637"/>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、单价、报价及总价中包含生产、运输、安装调试、售后服务、培训、税费等全部费用，报价时应逐项填写单价和报价，最后汇总得出总价；</w:t>
      </w:r>
      <w:r>
        <w:rPr>
          <w:rFonts w:hint="eastAsia" w:ascii="宋体" w:hAnsi="宋体" w:eastAsia="宋体" w:cs="宋体"/>
          <w:color w:val="000000"/>
          <w:sz w:val="24"/>
          <w:highlight w:val="none"/>
        </w:rPr>
      </w:r>
      <w:r>
        <w:rPr>
          <w:highlight w:val="none"/>
        </w:rPr>
      </w:r>
    </w:p>
    <w:p>
      <w:pPr>
        <w:pStyle w:val="637"/>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、投标商需在投标之前充分调研</w:t>
      </w:r>
      <w:r>
        <w:rPr>
          <w:rFonts w:hint="eastAsia" w:ascii="宋体" w:hAnsi="宋体" w:eastAsia="宋体" w:cs="宋体"/>
          <w:color w:val="000000"/>
          <w:sz w:val="24"/>
          <w:highlight w:val="none"/>
          <w:lang w:val="en-US" w:eastAsia="zh-CN"/>
        </w:rPr>
        <w:t xml:space="preserve">东台市智慧教育云平台现状</w:t>
      </w:r>
      <w:r>
        <w:rPr>
          <w:rFonts w:hint="eastAsia" w:ascii="宋体" w:hAnsi="宋体" w:eastAsia="宋体" w:cs="宋体"/>
          <w:color w:val="000000"/>
          <w:sz w:val="24"/>
          <w:highlight w:val="none"/>
        </w:rPr>
        <w:t xml:space="preserve">，所投的报价含系统开发、升级、调试、对接、运维、培训、</w:t>
      </w:r>
      <w:r>
        <w:rPr>
          <w:rFonts w:hint="eastAsia" w:ascii="宋体" w:hAnsi="宋体" w:eastAsia="宋体" w:cs="宋体"/>
          <w:color w:val="000000"/>
          <w:sz w:val="24"/>
          <w:highlight w:val="none"/>
          <w:lang w:val="en-US" w:eastAsia="zh-CN"/>
        </w:rPr>
        <w:t xml:space="preserve">服务费、代理费、</w:t>
      </w:r>
      <w:r>
        <w:rPr>
          <w:rFonts w:hint="eastAsia" w:ascii="宋体" w:hAnsi="宋体" w:eastAsia="宋体" w:cs="宋体"/>
          <w:color w:val="000000"/>
          <w:sz w:val="24"/>
          <w:highlight w:val="none"/>
        </w:rPr>
        <w:t xml:space="preserve">税金及质保期内的后续服务一切费用，即甲方不再另行支付其他费用。</w:t>
      </w:r>
      <w:r>
        <w:rPr>
          <w:rFonts w:hint="eastAsia" w:ascii="宋体" w:hAnsi="宋体" w:eastAsia="宋体" w:cs="宋体"/>
          <w:color w:val="000000"/>
          <w:sz w:val="24"/>
          <w:highlight w:val="none"/>
        </w:rPr>
      </w:r>
      <w:r>
        <w:rPr>
          <w:highlight w:val="none"/>
        </w:rPr>
      </w:r>
    </w:p>
    <w:p>
      <w:pPr>
        <w:pStyle w:val="637"/>
        <w:numPr>
          <w:ilvl w:val="0"/>
          <w:numId w:val="0"/>
        </w:numPr>
        <w:ind w:left="420"/>
        <w:keepLines w:val="0"/>
        <w:keepNext w:val="0"/>
        <w:pageBreakBefore w:val="0"/>
        <w:spacing w:line="46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四、商务要求</w:t>
      </w:r>
      <w:r>
        <w:rPr>
          <w:rFonts w:hint="eastAsia" w:ascii="宋体" w:hAnsi="宋体" w:eastAsia="宋体" w:cs="宋体"/>
          <w:b/>
          <w:bCs/>
          <w:color w:val="000000"/>
          <w:sz w:val="28"/>
          <w:szCs w:val="28"/>
          <w:highlight w:val="none"/>
          <w:lang w:val="en-US" w:eastAsia="zh-CN"/>
        </w:rPr>
      </w:r>
      <w:r>
        <w:rPr>
          <w:highlight w:val="none"/>
        </w:rPr>
      </w:r>
    </w:p>
    <w:p>
      <w:pPr>
        <w:pStyle w:val="637"/>
        <w:ind w:firstLine="480"/>
        <w:keepLines w:val="0"/>
        <w:keepNext w:val="0"/>
        <w:pageBreakBefore w:val="0"/>
        <w:spacing w:line="460" w:lineRule="exact"/>
        <w:widowControl w:val="off"/>
        <w:rPr>
          <w:rFonts w:hint="eastAsia" w:ascii="宋体" w:hAnsi="宋体" w:eastAsia="宋体" w:cs="宋体"/>
          <w:color w:val="000000"/>
          <w:sz w:val="24"/>
          <w:highlight w:val="none"/>
        </w:rPr>
      </w:pPr>
      <w:r>
        <w:rPr>
          <w:highlight w:val="none"/>
        </w:rPr>
      </w:r>
      <w:bookmarkStart w:id="149" w:name="_Hlk161135196"/>
      <w:r>
        <w:rPr>
          <w:highlight w:val="none"/>
        </w:rPr>
      </w:r>
      <w:bookmarkStart w:id="150" w:name="_Hlk157591027"/>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项目完成</w:t>
      </w:r>
      <w:bookmarkEnd w:id="150"/>
      <w:r>
        <w:rPr>
          <w:rFonts w:hint="eastAsia" w:ascii="宋体" w:hAnsi="宋体" w:eastAsia="宋体" w:cs="宋体"/>
          <w:color w:val="000000"/>
          <w:sz w:val="24"/>
          <w:highlight w:val="none"/>
        </w:rPr>
        <w:t xml:space="preserve">时间、地点：</w:t>
      </w:r>
      <w:r>
        <w:rPr>
          <w:rFonts w:hint="eastAsia" w:ascii="宋体" w:hAnsi="宋体" w:eastAsia="宋体" w:cs="宋体"/>
          <w:color w:val="000000"/>
          <w:sz w:val="24"/>
          <w:highlight w:val="none"/>
        </w:rPr>
      </w:r>
      <w:r>
        <w:rPr>
          <w:highlight w:val="none"/>
        </w:rPr>
      </w:r>
    </w:p>
    <w:p>
      <w:pPr>
        <w:pStyle w:val="6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1.项目完成时间：合同签订后30日内完成。</w:t>
      </w:r>
      <w:r>
        <w:rPr>
          <w:rFonts w:hint="eastAsia" w:ascii="宋体" w:hAnsi="宋体" w:cs="宋体"/>
          <w:color w:val="000000"/>
          <w:sz w:val="24"/>
          <w:highlight w:val="none"/>
        </w:rPr>
      </w:r>
      <w:r>
        <w:rPr>
          <w:highlight w:val="none"/>
        </w:rPr>
      </w:r>
    </w:p>
    <w:p>
      <w:pPr>
        <w:pStyle w:val="6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2.项目地点：采购人指定地点。</w:t>
      </w:r>
      <w:r>
        <w:rPr>
          <w:rFonts w:hint="eastAsia" w:ascii="宋体" w:hAnsi="宋体" w:cs="宋体"/>
          <w:color w:val="000000"/>
          <w:sz w:val="24"/>
          <w:highlight w:val="none"/>
        </w:rPr>
      </w:r>
      <w:r>
        <w:rPr>
          <w:highlight w:val="none"/>
        </w:rPr>
      </w:r>
    </w:p>
    <w:p>
      <w:pPr>
        <w:pStyle w:val="637"/>
        <w:ind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培训及售后服务</w:t>
      </w:r>
      <w:r>
        <w:rPr>
          <w:rFonts w:hint="eastAsia" w:ascii="宋体" w:hAnsi="宋体" w:eastAsia="宋体" w:cs="宋体"/>
          <w:color w:val="000000"/>
          <w:sz w:val="24"/>
          <w:highlight w:val="none"/>
        </w:rPr>
      </w:r>
      <w:r>
        <w:rPr>
          <w:highlight w:val="none"/>
        </w:rPr>
      </w:r>
    </w:p>
    <w:p>
      <w:pPr>
        <w:pStyle w:val="6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1.根据采购单位要求，中标人提供现场操作培训，至操作人员可熟练操作。</w:t>
      </w:r>
      <w:r>
        <w:rPr>
          <w:rFonts w:hint="eastAsia" w:ascii="宋体" w:hAnsi="宋体" w:cs="宋体"/>
          <w:color w:val="000000"/>
          <w:sz w:val="24"/>
          <w:highlight w:val="none"/>
        </w:rPr>
      </w:r>
      <w:r>
        <w:rPr>
          <w:highlight w:val="none"/>
        </w:rPr>
      </w:r>
    </w:p>
    <w:p>
      <w:pPr>
        <w:pStyle w:val="6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2.项目维保期要求：</w:t>
      </w:r>
      <w:r>
        <w:rPr>
          <w:rFonts w:hint="eastAsia" w:ascii="宋体" w:hAnsi="宋体" w:cs="宋体"/>
          <w:color w:val="000000"/>
          <w:sz w:val="24"/>
          <w:highlight w:val="none"/>
          <w:lang w:val="en-US" w:eastAsia="zh-CN"/>
        </w:rPr>
        <w:t xml:space="preserve">不低于招标内容清单中要求的质保期</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6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3.售后服务：</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乙方应按招标文件规定的</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技术要求、质量标准向甲方提供</w:t>
      </w:r>
      <w:r>
        <w:rPr>
          <w:rFonts w:hint="eastAsia" w:ascii="宋体" w:hAnsi="宋体" w:cs="宋体"/>
          <w:color w:val="000000"/>
          <w:sz w:val="24"/>
          <w:highlight w:val="none"/>
          <w:lang w:val="en-US" w:eastAsia="zh-CN"/>
        </w:rPr>
        <w:t xml:space="preserve">合格服务</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6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服务</w:t>
      </w:r>
      <w:r>
        <w:rPr>
          <w:rFonts w:hint="eastAsia" w:ascii="宋体" w:hAnsi="宋体" w:cs="宋体"/>
          <w:color w:val="000000"/>
          <w:sz w:val="24"/>
          <w:highlight w:val="none"/>
        </w:rPr>
        <w:t xml:space="preserve">免费保修期为</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年（自交货验收合格之日起计）</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rPr>
          <w:highlight w:val="none"/>
        </w:rPr>
      </w:r>
    </w:p>
    <w:p>
      <w:pPr>
        <w:pStyle w:val="637"/>
        <w:ind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遵守相关保密协议，保证不擅自使用用户数据，并不将用户数据泄露给第三方。</w:t>
      </w:r>
      <w:r>
        <w:rPr>
          <w:rFonts w:hint="eastAsia" w:ascii="宋体" w:hAnsi="宋体" w:eastAsia="宋体" w:cs="宋体"/>
          <w:color w:val="000000"/>
          <w:sz w:val="24"/>
          <w:highlight w:val="none"/>
        </w:rPr>
      </w:r>
      <w:r>
        <w:rPr>
          <w:highlight w:val="none"/>
        </w:rPr>
      </w:r>
    </w:p>
    <w:p>
      <w:pPr>
        <w:pStyle w:val="637"/>
        <w:ind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（三）验收</w:t>
      </w:r>
      <w:r>
        <w:rPr>
          <w:rFonts w:hint="eastAsia" w:ascii="宋体" w:hAnsi="宋体" w:eastAsia="宋体" w:cs="宋体"/>
          <w:color w:val="000000"/>
          <w:sz w:val="24"/>
          <w:highlight w:val="none"/>
        </w:rPr>
      </w:r>
      <w:r>
        <w:rPr>
          <w:highlight w:val="none"/>
        </w:rPr>
      </w:r>
    </w:p>
    <w:p>
      <w:pPr>
        <w:pStyle w:val="637"/>
        <w:ind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按采购人的招标文件、投标人的响应文件、国家及行业相关规定验收。</w:t>
      </w:r>
      <w:r>
        <w:rPr>
          <w:rFonts w:hint="eastAsia" w:ascii="宋体" w:hAnsi="宋体" w:eastAsia="宋体" w:cs="宋体"/>
          <w:color w:val="000000"/>
          <w:sz w:val="24"/>
          <w:highlight w:val="none"/>
        </w:rPr>
      </w:r>
      <w:r>
        <w:rPr>
          <w:highlight w:val="none"/>
        </w:rPr>
      </w:r>
    </w:p>
    <w:p>
      <w:pPr>
        <w:pStyle w:val="63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（四）付款方式：</w:t>
      </w:r>
      <w:bookmarkEnd w:id="149"/>
      <w:r>
        <w:rPr>
          <w:rFonts w:hint="eastAsia" w:ascii="宋体" w:hAnsi="宋体" w:eastAsia="宋体" w:cs="宋体"/>
          <w:color w:val="000000"/>
          <w:sz w:val="24"/>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合同款项的支付方式及进度安排</w:t>
      </w:r>
      <w:r>
        <w:rPr>
          <w:rFonts w:hint="eastAsia" w:ascii="宋体" w:hAnsi="宋体" w:cs="宋体"/>
          <w:color w:val="000000"/>
          <w:sz w:val="24"/>
          <w:highlight w:val="none"/>
        </w:rPr>
      </w:r>
      <w:r>
        <w:rPr>
          <w:highlight w:val="none"/>
        </w:rPr>
      </w:r>
    </w:p>
    <w:p>
      <w:pPr>
        <w:pStyle w:val="658"/>
        <w:ind w:firstLine="480"/>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合同签订后30日内，支付合同金额30%的预付款。</w:t>
      </w:r>
      <w:r>
        <w:rPr>
          <w:rFonts w:hint="eastAsia" w:ascii="宋体" w:hAnsi="宋体" w:eastAsia="宋体" w:cs="宋体"/>
          <w:color w:val="000000"/>
          <w:highlight w:val="none"/>
        </w:rPr>
      </w:r>
      <w:r>
        <w:rPr>
          <w:highlight w:val="none"/>
        </w:rPr>
      </w:r>
    </w:p>
    <w:p>
      <w:pPr>
        <w:pStyle w:val="658"/>
        <w:ind w:firstLine="480"/>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2、项目上线运行付至合同金额50</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rPr>
          <w:highlight w:val="none"/>
        </w:rPr>
      </w:r>
    </w:p>
    <w:p>
      <w:pPr>
        <w:pStyle w:val="658"/>
        <w:ind w:firstLine="480"/>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经验收合格后支付</w:t>
      </w:r>
      <w:r>
        <w:rPr>
          <w:rFonts w:hint="eastAsia" w:ascii="宋体" w:hAnsi="宋体" w:eastAsia="宋体" w:cs="宋体"/>
          <w:color w:val="000000"/>
          <w:highlight w:val="none"/>
          <w:lang w:val="en-US" w:eastAsia="zh-CN"/>
        </w:rPr>
        <w:t xml:space="preserve">至</w:t>
      </w:r>
      <w:r>
        <w:rPr>
          <w:rFonts w:hint="eastAsia" w:ascii="宋体" w:hAnsi="宋体" w:eastAsia="宋体" w:cs="宋体"/>
          <w:color w:val="000000"/>
          <w:highlight w:val="none"/>
        </w:rPr>
        <w:t xml:space="preserve">合同金额的</w:t>
      </w:r>
      <w:r>
        <w:rPr>
          <w:rFonts w:hint="eastAsia" w:ascii="宋体" w:hAnsi="宋体" w:eastAsia="宋体" w:cs="宋体"/>
          <w:color w:val="000000"/>
          <w:highlight w:val="none"/>
          <w:lang w:val="en-US" w:eastAsia="zh-CN"/>
        </w:rPr>
        <w:t xml:space="preserve">95</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rPr>
          <w:highlight w:val="none"/>
        </w:rPr>
      </w:r>
    </w:p>
    <w:p>
      <w:pPr>
        <w:pStyle w:val="658"/>
        <w:ind w:firstLine="480"/>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验收合格之日起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质保期</w:t>
      </w:r>
      <w:r>
        <w:rPr>
          <w:rFonts w:hint="eastAsia" w:ascii="宋体" w:hAnsi="宋体" w:eastAsia="宋体" w:cs="宋体"/>
          <w:color w:val="000000"/>
          <w:highlight w:val="none"/>
        </w:rPr>
        <w:t xml:space="preserve">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一次性付清剩余5%合同款</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rPr>
          <w:highlight w:val="none"/>
        </w:rPr>
      </w:r>
    </w:p>
    <w:p>
      <w:pPr>
        <w:pStyle w:val="637"/>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在签订合同时，乙方明确表示无需预付款或者主动要求降低预付款比例的，甲方可不适用上述关于预付款的规定</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rPr>
          <w:highlight w:val="none"/>
        </w:rPr>
      </w:r>
    </w:p>
    <w:p>
      <w:pPr>
        <w:pStyle w:val="658"/>
        <w:ind w:firstLine="480"/>
        <w:jc w:val="both"/>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结算款项时乙方须出具相应金额的有效票据。</w:t>
      </w:r>
      <w:r>
        <w:rPr>
          <w:rFonts w:hint="eastAsia" w:ascii="宋体" w:hAnsi="宋体" w:eastAsia="宋体" w:cs="宋体"/>
          <w:color w:val="000000"/>
          <w:highlight w:val="none"/>
        </w:rPr>
      </w:r>
      <w:r>
        <w:rPr>
          <w:highlight w:val="none"/>
        </w:rPr>
      </w:r>
    </w:p>
    <w:p>
      <w:pPr>
        <w:pStyle w:val="658"/>
        <w:ind w:firstLine="480"/>
        <w:jc w:val="both"/>
        <w:spacing w:beforeAutospacing="0" w:afterAutospacing="0" w:line="440" w:lineRule="exact"/>
        <w:rPr>
          <w:rFonts w:hint="eastAsia" w:ascii="宋体" w:hAnsi="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甲方原则上自收到发票后10个工作日内将</w:t>
      </w:r>
      <w:r>
        <w:rPr>
          <w:rFonts w:hint="eastAsia" w:ascii="宋体" w:hAnsi="宋体" w:cs="宋体"/>
          <w:color w:val="000000"/>
          <w:highlight w:val="none"/>
        </w:rPr>
        <w:t xml:space="preserve">资金支付到乙方账户。</w:t>
      </w:r>
      <w:r>
        <w:rPr>
          <w:rFonts w:hint="eastAsia" w:ascii="宋体" w:hAnsi="宋体" w:cs="宋体"/>
          <w:color w:val="000000"/>
          <w:highlight w:val="none"/>
        </w:rPr>
      </w:r>
      <w:r>
        <w:rPr>
          <w:highlight w:val="none"/>
        </w:rPr>
      </w:r>
    </w:p>
    <w:p>
      <w:pPr>
        <w:pStyle w:val="63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当采购数量与实际使用数量不一致时，乙方应根据实际使用量供货，合同的最终结算金额按实际使用量乘以成交单价进行计算。</w:t>
      </w:r>
      <w:r>
        <w:rPr>
          <w:rFonts w:hint="eastAsia" w:ascii="宋体" w:hAnsi="宋体" w:cs="宋体"/>
          <w:color w:val="000000"/>
          <w:sz w:val="24"/>
          <w:highlight w:val="none"/>
        </w:rPr>
      </w:r>
      <w:r>
        <w:rPr>
          <w:highlight w:val="none"/>
        </w:rPr>
      </w:r>
    </w:p>
    <w:p>
      <w:pPr>
        <w:pStyle w:val="637"/>
        <w:ind w:left="420"/>
        <w:spacing w:line="46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五、演示要求 </w:t>
      </w:r>
      <w:r>
        <w:rPr>
          <w:rFonts w:hint="eastAsia" w:ascii="宋体" w:hAnsi="宋体" w:cs="宋体"/>
          <w:b/>
          <w:bCs/>
          <w:color w:val="000000"/>
          <w:sz w:val="28"/>
          <w:szCs w:val="28"/>
          <w:highlight w:val="none"/>
        </w:rPr>
      </w:r>
      <w:r>
        <w:rPr>
          <w:highlight w:val="none"/>
        </w:rPr>
      </w:r>
    </w:p>
    <w:p>
      <w:pPr>
        <w:pStyle w:val="637"/>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上传视频演示</w:t>
      </w:r>
      <w:r>
        <w:rPr>
          <w:rFonts w:hint="eastAsia" w:ascii="宋体" w:hAnsi="宋体" w:cs="宋体"/>
          <w:color w:val="000000"/>
          <w:sz w:val="24"/>
          <w:highlight w:val="none"/>
        </w:rPr>
      </w:r>
      <w:r>
        <w:rPr>
          <w:highlight w:val="none"/>
        </w:rPr>
      </w:r>
    </w:p>
    <w:p>
      <w:pPr>
        <w:pStyle w:val="637"/>
        <w:numPr>
          <w:ilvl w:val="0"/>
          <w:numId w:val="0"/>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bidi="ar-SA"/>
        </w:rPr>
        <w:t xml:space="preserve">（1）</w:t>
      </w:r>
      <w:r>
        <w:rPr>
          <w:rFonts w:hint="eastAsia" w:ascii="宋体" w:hAnsi="宋体" w:cs="宋体"/>
          <w:color w:val="000000"/>
          <w:sz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color w:val="000000"/>
          <w:sz w:val="24"/>
          <w:highlight w:val="none"/>
        </w:rPr>
      </w:r>
      <w:r>
        <w:rPr>
          <w:highlight w:val="none"/>
        </w:rPr>
      </w:r>
    </w:p>
    <w:p>
      <w:pPr>
        <w:pStyle w:val="637"/>
        <w:numPr>
          <w:ilvl w:val="0"/>
          <w:numId w:val="0"/>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bidi="ar-SA"/>
        </w:rPr>
        <w:t xml:space="preserve">（2）</w:t>
      </w:r>
      <w:r>
        <w:rPr>
          <w:rFonts w:hint="eastAsia" w:ascii="宋体" w:hAnsi="宋体" w:cs="宋体"/>
          <w:color w:val="000000"/>
          <w:sz w:val="24"/>
          <w:highlight w:val="none"/>
          <w:lang w:val="en-US" w:eastAsia="zh-CN"/>
        </w:rPr>
        <w:t xml:space="preserve">演示内容：</w:t>
      </w:r>
      <w:r>
        <w:rPr>
          <w:rFonts w:hint="eastAsia" w:ascii="宋体" w:hAnsi="宋体" w:cs="宋体"/>
          <w:color w:val="000000"/>
          <w:sz w:val="24"/>
          <w:highlight w:val="none"/>
        </w:rPr>
      </w:r>
      <w:r>
        <w:rPr>
          <w:highlight w:val="none"/>
        </w:rPr>
      </w:r>
    </w:p>
    <w:p>
      <w:pPr>
        <w:pStyle w:val="637"/>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视频演示1（门户平台）：门户平台支持对空间布局进行页面结构的自定义，可按12等分或任意分栏自定义定制显示区域比例；提供系统数据类组件包括学校基础数据、教师学生班级家长、教师使用情况、教师月活跃度排行等。</w:t>
      </w:r>
      <w:r>
        <w:rPr>
          <w:rFonts w:hint="eastAsia" w:ascii="宋体" w:hAnsi="宋体" w:eastAsia="宋体" w:cs="宋体"/>
          <w:color w:val="000000"/>
          <w:sz w:val="24"/>
          <w:highlight w:val="none"/>
          <w:lang w:val="en-US" w:eastAsia="zh-CN"/>
        </w:rPr>
      </w:r>
      <w:r>
        <w:rPr>
          <w:highlight w:val="none"/>
        </w:rPr>
      </w:r>
    </w:p>
    <w:p>
      <w:pPr>
        <w:pStyle w:val="637"/>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视频演示2（智慧评价）：评价管理支持按照学期或学年建立考评考核信息，可配置评价模版、评价时间、评价周期、人员筛选条件、材料有效时间等内容发布考评任务，任务发布后可查看提交率、评价进度、结果查询等数据。</w:t>
      </w:r>
      <w:r>
        <w:rPr>
          <w:rFonts w:hint="eastAsia" w:ascii="宋体" w:hAnsi="宋体" w:eastAsia="宋体" w:cs="宋体"/>
          <w:color w:val="000000"/>
          <w:sz w:val="24"/>
          <w:highlight w:val="none"/>
          <w:lang w:val="en-US" w:eastAsia="zh-CN"/>
        </w:rPr>
      </w:r>
      <w:r>
        <w:rPr>
          <w:highlight w:val="none"/>
        </w:rPr>
      </w:r>
    </w:p>
    <w:p>
      <w:pPr>
        <w:pStyle w:val="637"/>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视频演示3（中小学实验室及实验教学管理平台）：通过图文并茂的展示提供教学仪器的规格、性能、单价等参考数值，包括：仪器名称、规格型号、材质、制造商、品牌、价格、等信息。</w:t>
      </w:r>
      <w:r>
        <w:rPr>
          <w:rFonts w:hint="eastAsia" w:ascii="宋体" w:hAnsi="宋体" w:eastAsia="宋体" w:cs="宋体"/>
          <w:color w:val="000000"/>
          <w:sz w:val="24"/>
          <w:highlight w:val="none"/>
          <w:lang w:val="en-US" w:eastAsia="zh-CN"/>
        </w:rPr>
      </w:r>
      <w:r>
        <w:rPr>
          <w:highlight w:val="none"/>
        </w:rPr>
      </w:r>
    </w:p>
    <w:p>
      <w:pPr>
        <w:pStyle w:val="637"/>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视频演示4（中小学实验室危化品管理平台）：利用平台实现危险化学品管理过程中的大数据分析，形成教育系统危险化学品安全风险监管一张图。</w:t>
      </w:r>
      <w:r>
        <w:rPr>
          <w:rFonts w:hint="eastAsia" w:ascii="宋体" w:hAnsi="宋体" w:eastAsia="宋体" w:cs="宋体"/>
          <w:color w:val="000000"/>
          <w:sz w:val="24"/>
          <w:highlight w:val="none"/>
          <w:lang w:val="en-US" w:eastAsia="zh-CN"/>
        </w:rPr>
      </w:r>
      <w:r>
        <w:rPr>
          <w:highlight w:val="none"/>
        </w:rPr>
      </w:r>
    </w:p>
    <w:p>
      <w:pPr>
        <w:pStyle w:val="637"/>
        <w:numPr>
          <w:ilvl w:val="0"/>
          <w:numId w:val="0"/>
        </w:num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视频演示5（智慧测评系统）：统考、联考管理员可对阅卷进度和阅卷质量进行监测；支持查看整体统考、联考的阅卷卷质量情况，阅卷任务分配情况；支持查看阅卷用时、批改的平均分、最高分和最低分，系统支持阅卷异常筛查。</w:t>
      </w:r>
      <w:r>
        <w:rPr>
          <w:rFonts w:hint="eastAsia" w:ascii="宋体" w:hAnsi="宋体" w:eastAsia="宋体" w:cs="宋体"/>
          <w:color w:val="000000"/>
          <w:sz w:val="24"/>
          <w:highlight w:val="none"/>
          <w:lang w:val="en-US" w:eastAsia="zh-CN"/>
        </w:rPr>
      </w:r>
      <w:r>
        <w:rPr>
          <w:highlight w:val="none"/>
        </w:rPr>
      </w:r>
    </w:p>
    <w:p>
      <w:pPr>
        <w:pStyle w:val="637"/>
        <w:numPr>
          <w:ilvl w:val="0"/>
          <w:numId w:val="0"/>
        </w:numPr>
        <w:ind w:firstLine="480"/>
        <w:spacing w:line="460" w:lineRule="exact"/>
        <w:rPr>
          <w:rFonts w:hint="eastAsia" w:ascii="宋体" w:hAnsi="宋体" w:cs="宋体"/>
          <w:b/>
          <w:bCs/>
          <w:color w:val="000000"/>
          <w:sz w:val="28"/>
          <w:szCs w:val="28"/>
          <w:highlight w:val="none"/>
        </w:rPr>
      </w:pPr>
      <w:r>
        <w:rPr>
          <w:rFonts w:hint="eastAsia" w:ascii="宋体" w:hAnsi="宋体" w:eastAsia="宋体" w:cs="宋体"/>
          <w:color w:val="000000"/>
          <w:sz w:val="24"/>
          <w:highlight w:val="none"/>
          <w:lang w:val="en-US" w:eastAsia="zh-CN"/>
        </w:rPr>
        <w:t xml:space="preserve">视频演示6（智能研修平台）：支持校教学管理者查看各科教师课堂实录、教学模式、S-T行为分析、课堂学情时序、课堂教学行为时序、行为一致性、学生参与度、学生活跃度、课堂文本、课堂场景、师生行为、师生对话时长、学生应答分析、学生应答活跃度、站立学生位置分布、四何问题分布和四何问题列表、教师语速、教师口头禅、教师巡视特征等情况。</w:t>
      </w:r>
      <w:r>
        <w:rPr>
          <w:rFonts w:hint="eastAsia" w:ascii="宋体" w:hAnsi="宋体" w:cs="宋体"/>
          <w:b/>
          <w:bCs/>
          <w:color w:val="000000"/>
          <w:sz w:val="28"/>
          <w:szCs w:val="28"/>
          <w:highlight w:val="none"/>
        </w:rPr>
        <w:t xml:space="preserve">六、本项目不接受进口产品投标</w:t>
      </w:r>
      <w:r>
        <w:rPr>
          <w:rFonts w:hint="eastAsia" w:ascii="宋体" w:hAnsi="宋体" w:cs="宋体"/>
          <w:b/>
          <w:bCs/>
          <w:color w:val="000000"/>
          <w:sz w:val="28"/>
          <w:szCs w:val="28"/>
          <w:highlight w:val="none"/>
        </w:rPr>
      </w:r>
      <w:r>
        <w:rPr>
          <w:highlight w:val="none"/>
        </w:rPr>
      </w:r>
    </w:p>
    <w:p>
      <w:pPr>
        <w:pStyle w:val="637"/>
        <w:ind w:firstLine="562"/>
        <w:spacing w:line="46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七、采购标的对应的中小企业划分标准所属行业一览表</w:t>
      </w:r>
      <w:r>
        <w:rPr>
          <w:rFonts w:hint="eastAsia" w:ascii="宋体" w:hAnsi="宋体" w:cs="宋体"/>
          <w:b/>
          <w:bCs/>
          <w:color w:val="000000"/>
          <w:sz w:val="28"/>
          <w:szCs w:val="28"/>
          <w:highlight w:val="none"/>
        </w:rPr>
      </w:r>
      <w:r>
        <w:rPr>
          <w:highlight w:val="none"/>
        </w:rPr>
      </w:r>
    </w:p>
    <w:tbl>
      <w:tblPr>
        <w:tblW w:w="6910" w:type="dxa"/>
        <w:jc w:val="center"/>
        <w:tblCellSpacing w:w="0"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3291"/>
        <w:gridCol w:w="2852"/>
      </w:tblGrid>
      <w:tr>
        <w:trPr>
          <w:tblCellSpacing w:w="0" w:type="dxa"/>
        </w:trPr>
        <w:tc>
          <w:tcPr>
            <w:tcW w:w="767"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cs="宋体"/>
                <w:color w:val="000000"/>
                <w:highlight w:val="none"/>
              </w:rPr>
              <w:t xml:space="preserve">序号</w:t>
            </w:r>
            <w:r>
              <w:rPr>
                <w:color w:val="000000"/>
                <w:highlight w:val="none"/>
              </w:rPr>
            </w:r>
            <w:r>
              <w:rPr>
                <w:highlight w:val="none"/>
              </w:rPr>
            </w:r>
          </w:p>
        </w:tc>
        <w:tc>
          <w:tcPr>
            <w:tcW w:w="3291"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cs="宋体"/>
                <w:color w:val="000000"/>
                <w:highlight w:val="none"/>
              </w:rPr>
              <w:t xml:space="preserve">采购标的</w:t>
            </w:r>
            <w:r>
              <w:rPr>
                <w:color w:val="000000"/>
                <w:highlight w:val="none"/>
              </w:rPr>
            </w:r>
            <w:r>
              <w:rPr>
                <w:highlight w:val="none"/>
              </w:rPr>
            </w:r>
          </w:p>
        </w:tc>
        <w:tc>
          <w:tcPr>
            <w:tcW w:w="2852"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cs="宋体"/>
                <w:color w:val="000000"/>
                <w:highlight w:val="none"/>
              </w:rPr>
              <w:t xml:space="preserve">对应中小企业划分标准所属行业</w:t>
            </w:r>
            <w:r>
              <w:rPr>
                <w:color w:val="000000"/>
                <w:highlight w:val="none"/>
              </w:rPr>
            </w:r>
            <w:r>
              <w:rPr>
                <w:highlight w:val="none"/>
              </w:rPr>
            </w:r>
          </w:p>
        </w:tc>
      </w:tr>
      <w:tr>
        <w:trPr>
          <w:tblCellSpacing w:w="0" w:type="dxa"/>
          <w:trHeight w:val="291"/>
        </w:trPr>
        <w:tc>
          <w:tcPr>
            <w:tcW w:w="767" w:type="dxa"/>
            <w:vAlign w:val="top"/>
            <w:textDirection w:val="lrTb"/>
            <w:noWrap w:val="false"/>
          </w:tcPr>
          <w:p>
            <w:pPr>
              <w:pStyle w:val="666"/>
              <w:numPr>
                <w:ilvl w:val="0"/>
                <w:numId w:val="0"/>
              </w:numPr>
              <w:jc w:val="center"/>
              <w:rPr>
                <w:rFonts w:hint="eastAsia" w:eastAsia="宋体"/>
                <w:b w:val="0"/>
                <w:bCs w:val="0"/>
                <w:color w:val="000000"/>
                <w:highlight w:val="none"/>
              </w:rPr>
            </w:pPr>
            <w:r>
              <w:rPr>
                <w:rFonts w:hint="eastAsia"/>
                <w:b w:val="0"/>
                <w:bCs w:val="0"/>
                <w:color w:val="000000"/>
                <w:highlight w:val="none"/>
                <w:lang w:val="en-US" w:eastAsia="zh-CN"/>
              </w:rPr>
              <w:t xml:space="preserve">1</w:t>
            </w:r>
            <w:r>
              <w:rPr>
                <w:rFonts w:hint="eastAsia" w:eastAsia="宋体"/>
                <w:b w:val="0"/>
                <w:bCs w:val="0"/>
                <w:color w:val="000000"/>
                <w:highlight w:val="none"/>
                <w:lang w:val="en-US" w:eastAsia="zh-CN"/>
              </w:rPr>
            </w:r>
            <w:r>
              <w:rPr>
                <w:highlight w:val="none"/>
              </w:rPr>
            </w:r>
          </w:p>
        </w:tc>
        <w:tc>
          <w:tcPr>
            <w:tcW w:w="3291" w:type="dxa"/>
            <w:vAlign w:val="center"/>
            <w:textDirection w:val="lrTb"/>
            <w:noWrap w:val="false"/>
          </w:tcPr>
          <w:p>
            <w:pPr>
              <w:pStyle w:val="637"/>
              <w:jc w:val="center"/>
              <w:rPr>
                <w:rFonts w:hint="eastAsia" w:ascii="宋体" w:hAnsi="宋体" w:eastAsia="宋体" w:cs="宋体"/>
                <w:b w:val="0"/>
                <w:bCs w:val="0"/>
                <w:color w:val="000000"/>
                <w:sz w:val="20"/>
                <w:szCs w:val="20"/>
                <w:highlight w:val="none"/>
              </w:rPr>
            </w:pPr>
            <w:r>
              <w:rPr>
                <w:rFonts w:hint="eastAsia" w:ascii="宋体" w:hAnsi="宋体" w:eastAsia="宋体" w:cs="宋体"/>
                <w:b w:val="0"/>
                <w:bCs w:val="0"/>
                <w:color w:val="000000"/>
                <w:sz w:val="20"/>
                <w:szCs w:val="20"/>
                <w:highlight w:val="none"/>
                <w:lang w:val="en-US" w:eastAsia="zh-CN" w:bidi="ar"/>
              </w:rPr>
              <w:t xml:space="preserve">东台智慧教育平台升级改造项目</w:t>
            </w:r>
            <w:r>
              <w:rPr>
                <w:rFonts w:hint="eastAsia" w:ascii="宋体" w:hAnsi="宋体" w:eastAsia="宋体" w:cs="宋体"/>
                <w:b w:val="0"/>
                <w:bCs w:val="0"/>
                <w:color w:val="000000"/>
                <w:sz w:val="20"/>
                <w:szCs w:val="20"/>
                <w:highlight w:val="none"/>
                <w:lang w:val="en-US" w:eastAsia="zh-CN" w:bidi="ar"/>
              </w:rPr>
            </w:r>
            <w:r>
              <w:rPr>
                <w:highlight w:val="none"/>
              </w:rPr>
            </w:r>
          </w:p>
        </w:tc>
        <w:tc>
          <w:tcPr>
            <w:tcW w:w="2852" w:type="dxa"/>
            <w:vAlign w:val="center"/>
            <w:textDirection w:val="lrTb"/>
            <w:noWrap w:val="false"/>
          </w:tcPr>
          <w:p>
            <w:pPr>
              <w:pStyle w:val="637"/>
              <w:jc w:val="center"/>
              <w:spacing w:beforeAutospacing="0" w:afterAutospacing="0" w:line="0" w:lineRule="atLeast"/>
              <w:rPr>
                <w:b w:val="0"/>
                <w:bCs w:val="0"/>
                <w:color w:val="000000"/>
                <w:highlight w:val="none"/>
              </w:rPr>
            </w:pPr>
            <w:r>
              <w:rPr>
                <w:rFonts w:hint="eastAsia" w:ascii="宋体" w:hAnsi="宋体" w:cs="宋体"/>
                <w:color w:val="000000"/>
                <w:sz w:val="20"/>
                <w:szCs w:val="20"/>
                <w:highlight w:val="none"/>
                <w:lang w:bidi="ar"/>
              </w:rPr>
              <w:t xml:space="preserve">软件和信息技术服务业</w:t>
            </w:r>
            <w:r>
              <w:rPr>
                <w:b w:val="0"/>
                <w:bCs w:val="0"/>
                <w:color w:val="000000"/>
                <w:highlight w:val="none"/>
              </w:rPr>
            </w:r>
            <w:r>
              <w:rPr>
                <w:highlight w:val="none"/>
              </w:rPr>
            </w:r>
          </w:p>
        </w:tc>
      </w:tr>
    </w:tbl>
    <w:p>
      <w:pPr>
        <w:pStyle w:val="637"/>
        <w:ind w:firstLine="1405"/>
        <w:keepLines w:val="0"/>
        <w:keepNext w:val="0"/>
        <w:pageBreakBefore w:val="0"/>
        <w:spacing w:line="46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r>
      <w:r>
        <w:rPr>
          <w:highlight w:val="none"/>
        </w:rPr>
      </w:r>
    </w:p>
    <w:p>
      <w:pPr>
        <w:pStyle w:val="658"/>
        <w:jc w:val="center"/>
        <w:spacing w:before="120" w:beforeAutospacing="0" w:after="120" w:afterAutospacing="0" w:line="0" w:lineRule="atLeast"/>
        <w:rPr>
          <w:rFonts w:hint="eastAsia" w:ascii="黑体" w:hAnsi="宋体" w:eastAsia="黑体" w:cs="黑体"/>
          <w:color w:val="000000"/>
          <w:sz w:val="44"/>
          <w:szCs w:val="44"/>
          <w:highlight w:val="none"/>
        </w:rPr>
        <w:outlineLvl w:val="0"/>
      </w:pPr>
      <w:r>
        <w:rPr>
          <w:highlight w:val="none"/>
        </w:rPr>
      </w:r>
      <w:bookmarkStart w:id="151" w:name="_Toc120614281"/>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t xml:space="preserve">第五章  评标方法与评标标准</w:t>
      </w:r>
      <w:r>
        <w:rPr>
          <w:rFonts w:hint="eastAsia" w:ascii="黑体" w:hAnsi="宋体" w:eastAsia="黑体" w:cs="黑体"/>
          <w:color w:val="000000"/>
          <w:sz w:val="44"/>
          <w:szCs w:val="44"/>
          <w:highlight w:val="none"/>
        </w:rPr>
      </w:r>
      <w:r>
        <w:rPr>
          <w:highlight w:val="none"/>
        </w:rPr>
      </w:r>
    </w:p>
    <w:p>
      <w:pPr>
        <w:pStyle w:val="658"/>
        <w:jc w:val="both"/>
        <w:keepLines w:val="0"/>
        <w:keepNext w:val="0"/>
        <w:pageBreakBefore w:val="0"/>
        <w:spacing w:beforeAutospacing="0" w:afterAutospacing="0" w:line="360" w:lineRule="auto"/>
        <w:widowControl w:val="off"/>
        <w:rPr>
          <w:color w:val="000000"/>
          <w:highlight w:val="none"/>
        </w:rPr>
      </w:pPr>
      <w:r>
        <w:rPr>
          <w:rFonts w:hint="eastAsia"/>
          <w:color w:val="000000"/>
          <w:highlight w:val="none"/>
          <w:lang w:val="en-US" w:eastAsia="zh-CN"/>
        </w:rPr>
        <w:t xml:space="preserve">    </w:t>
      </w:r>
      <w:r>
        <w:rPr>
          <w:rFonts w:ascii="Arial" w:hAnsi="Arial" w:cs="Arial"/>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Arial" w:hAnsi="Arial" w:cs="Arial"/>
          <w:color w:val="000000"/>
          <w:highlight w:val="none"/>
        </w:rPr>
        <w:t xml:space="preserve">1</w:t>
      </w:r>
      <w:r>
        <w:rPr>
          <w:rFonts w:ascii="Arial" w:hAnsi="Arial" w:cs="Arial"/>
          <w:color w:val="000000"/>
          <w:highlight w:val="none"/>
        </w:rPr>
        <w:t xml:space="preserve">选取1名中标候选人。</w:t>
      </w:r>
      <w:r>
        <w:rPr>
          <w:color w:val="000000"/>
          <w:highlight w:val="none"/>
        </w:rPr>
      </w:r>
      <w:r>
        <w:rPr>
          <w:highlight w:val="none"/>
        </w:rPr>
      </w:r>
    </w:p>
    <w:p>
      <w:pPr>
        <w:pStyle w:val="658"/>
        <w:ind w:firstLine="482"/>
        <w:keepLines w:val="0"/>
        <w:keepNext w:val="0"/>
        <w:pageBreakBefore w:val="0"/>
        <w:spacing w:beforeAutospacing="0" w:afterAutospacing="0" w:line="360" w:lineRule="auto"/>
        <w:widowControl w:val="off"/>
        <w:rPr>
          <w:rFonts w:ascii="宋体" w:hAnsi="宋体" w:eastAsia="宋体" w:cs="宋体"/>
          <w:b/>
          <w:color w:val="000000"/>
          <w:highlight w:val="none"/>
        </w:rPr>
      </w:pPr>
      <w:r>
        <w:rPr>
          <w:rFonts w:hint="eastAsia" w:ascii="宋体" w:hAnsi="宋体" w:eastAsia="宋体" w:cs="宋体"/>
          <w:b/>
          <w:color w:val="000000"/>
          <w:highlight w:val="none"/>
        </w:rPr>
        <w:t xml:space="preserve">政府采购政策功能落实</w:t>
      </w:r>
      <w:r>
        <w:rPr>
          <w:rFonts w:ascii="宋体" w:hAnsi="宋体" w:eastAsia="宋体" w:cs="宋体"/>
          <w:b/>
          <w:color w:val="000000"/>
          <w:highlight w:val="none"/>
        </w:rPr>
      </w:r>
      <w:r>
        <w:rPr>
          <w:highlight w:val="none"/>
        </w:rPr>
      </w:r>
    </w:p>
    <w:p>
      <w:pPr>
        <w:pStyle w:val="658"/>
        <w:ind w:firstLine="480"/>
        <w:keepLines w:val="0"/>
        <w:keepNext w:val="0"/>
        <w:pageBreakBefore w:val="0"/>
        <w:spacing w:beforeAutospacing="0" w:afterAutospacing="0" w:line="360" w:lineRule="auto"/>
        <w:widowControl w:val="off"/>
        <w:rPr>
          <w:color w:val="000000"/>
          <w:highlight w:val="none"/>
        </w:rPr>
      </w:pPr>
      <w:r>
        <w:rPr>
          <w:rFonts w:hint="eastAsia" w:ascii="宋体" w:hAnsi="宋体" w:cs="宋体"/>
          <w:bCs/>
          <w:color w:val="000000"/>
          <w:highlight w:val="none"/>
        </w:rPr>
        <w:t xml:space="preserve">本项目专门面向中小企业采购，不再对小微企业服务给予价格扣除</w:t>
      </w:r>
      <w:r>
        <w:rPr>
          <w:color w:val="000000"/>
          <w:highlight w:val="none"/>
        </w:rPr>
      </w:r>
      <w:r>
        <w:rPr>
          <w:highlight w:val="none"/>
        </w:rPr>
      </w:r>
    </w:p>
    <w:p>
      <w:pPr>
        <w:pStyle w:val="658"/>
        <w:ind w:firstLine="482"/>
        <w:keepLines w:val="0"/>
        <w:keepNext w:val="0"/>
        <w:pageBreakBefore w:val="0"/>
        <w:spacing w:beforeAutospacing="0" w:afterAutospacing="0" w:line="360" w:lineRule="auto"/>
        <w:widowControl w:val="off"/>
        <w:rPr>
          <w:rFonts w:hint="eastAsia" w:ascii="宋体" w:hAnsi="宋体" w:cs="宋体"/>
          <w:b/>
          <w:color w:val="000000"/>
          <w:sz w:val="22"/>
          <w:szCs w:val="22"/>
          <w:highlight w:val="none"/>
        </w:rPr>
        <w:outlineLvl w:val="1"/>
      </w:pPr>
      <w:r>
        <w:rPr>
          <w:rFonts w:hint="eastAsia" w:ascii="宋体" w:hAnsi="宋体" w:cs="宋体"/>
          <w:b/>
          <w:color w:val="000000"/>
          <w:sz w:val="22"/>
          <w:szCs w:val="22"/>
          <w:highlight w:val="none"/>
        </w:rPr>
        <w:t xml:space="preserve">评标方法与评标标准</w:t>
      </w:r>
      <w:r>
        <w:rPr>
          <w:rFonts w:hint="eastAsia" w:ascii="宋体" w:hAnsi="宋体" w:cs="宋体"/>
          <w:b/>
          <w:color w:val="000000"/>
          <w:sz w:val="22"/>
          <w:szCs w:val="22"/>
          <w:highlight w:val="none"/>
        </w:rPr>
      </w:r>
      <w:r>
        <w:rPr>
          <w:highlight w:val="none"/>
        </w:rPr>
      </w:r>
    </w:p>
    <w:p>
      <w:pPr>
        <w:pStyle w:val="637"/>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本次招标采用</w:t>
      </w:r>
      <w:r>
        <w:rPr>
          <w:rFonts w:hint="eastAsia" w:ascii="宋体" w:hAnsi="宋体" w:cs="宋体"/>
          <w:color w:val="000000"/>
          <w:sz w:val="24"/>
          <w:highlight w:val="none"/>
        </w:rPr>
        <w:t xml:space="preserve">使用综合评分法，综合评分法，是指各标段投标文件满足招标文件全部实质性要求，且按照评审因素的量化指标评审得分最高的投标人为该标段中标候选人的评标方法。</w:t>
      </w:r>
      <w:r>
        <w:rPr>
          <w:rFonts w:hint="eastAsia" w:ascii="宋体" w:hAnsi="宋体" w:cs="宋体"/>
          <w:color w:val="000000"/>
          <w:sz w:val="24"/>
          <w:highlight w:val="none"/>
        </w:rPr>
      </w:r>
      <w:r>
        <w:rPr>
          <w:highlight w:val="none"/>
        </w:rPr>
      </w:r>
    </w:p>
    <w:p>
      <w:pPr>
        <w:pStyle w:val="644"/>
        <w:ind w:firstLine="560"/>
        <w:keepLines w:val="0"/>
        <w:keepNext w:val="0"/>
        <w:pageBreakBefore w:val="0"/>
        <w:spacing w:line="360" w:lineRule="auto"/>
        <w:widowControl w:val="off"/>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具体评审细则如下：</w:t>
      </w:r>
      <w:r>
        <w:rPr>
          <w:rFonts w:ascii="宋体" w:hAnsi="宋体" w:eastAsia="宋体" w:cs="宋体"/>
          <w:color w:val="000000"/>
          <w:sz w:val="28"/>
          <w:szCs w:val="28"/>
          <w:highlight w:val="none"/>
        </w:rPr>
      </w:r>
      <w:r>
        <w:rPr>
          <w:highlight w:val="none"/>
        </w:rPr>
      </w:r>
    </w:p>
    <w:tbl>
      <w:tblPr>
        <w:tblW w:w="93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352"/>
        <w:gridCol w:w="818"/>
        <w:gridCol w:w="5499"/>
      </w:tblGrid>
      <w:tr>
        <w:trPr>
          <w:trHeight w:val="543"/>
          <w:tblHeader/>
        </w:trPr>
        <w:tc>
          <w:tcPr>
            <w:tcW w:w="575" w:type="dxa"/>
            <w:vAlign w:val="center"/>
            <w:textDirection w:val="lrTb"/>
            <w:noWrap w:val="false"/>
          </w:tcPr>
          <w:p>
            <w:pPr>
              <w:pStyle w:val="637"/>
              <w:jc w:val="center"/>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序</w:t>
            </w:r>
            <w:r>
              <w:rPr>
                <w:rFonts w:hint="eastAsia" w:ascii="宋体" w:hAnsi="宋体" w:cs="宋体"/>
                <w:b/>
                <w:color w:val="000000"/>
                <w:sz w:val="21"/>
                <w:szCs w:val="21"/>
                <w:highlight w:val="none"/>
              </w:rPr>
            </w:r>
            <w:r>
              <w:rPr>
                <w:highlight w:val="none"/>
              </w:rPr>
            </w:r>
          </w:p>
        </w:tc>
        <w:tc>
          <w:tcPr>
            <w:tcW w:w="1118" w:type="dxa"/>
            <w:vAlign w:val="center"/>
            <w:textDirection w:val="lrTb"/>
            <w:noWrap w:val="false"/>
          </w:tcPr>
          <w:p>
            <w:pPr>
              <w:pStyle w:val="637"/>
              <w:jc w:val="center"/>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分部内容</w:t>
            </w:r>
            <w:r>
              <w:rPr>
                <w:rFonts w:hint="eastAsia" w:ascii="宋体" w:hAnsi="宋体" w:cs="宋体"/>
                <w:b/>
                <w:color w:val="000000"/>
                <w:sz w:val="21"/>
                <w:szCs w:val="21"/>
                <w:highlight w:val="none"/>
              </w:rPr>
            </w:r>
            <w:r>
              <w:rPr>
                <w:highlight w:val="none"/>
              </w:rPr>
            </w:r>
          </w:p>
        </w:tc>
        <w:tc>
          <w:tcPr>
            <w:tcW w:w="1352" w:type="dxa"/>
            <w:vAlign w:val="center"/>
            <w:textDirection w:val="lrTb"/>
            <w:noWrap w:val="false"/>
          </w:tcPr>
          <w:p>
            <w:pPr>
              <w:pStyle w:val="637"/>
              <w:jc w:val="center"/>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分项内容</w:t>
            </w:r>
            <w:r>
              <w:rPr>
                <w:rFonts w:hint="eastAsia" w:ascii="宋体" w:hAnsi="宋体" w:cs="宋体"/>
                <w:b/>
                <w:color w:val="000000"/>
                <w:sz w:val="21"/>
                <w:szCs w:val="21"/>
                <w:highlight w:val="none"/>
              </w:rPr>
            </w:r>
            <w:r>
              <w:rPr>
                <w:highlight w:val="none"/>
              </w:rPr>
            </w:r>
          </w:p>
        </w:tc>
        <w:tc>
          <w:tcPr>
            <w:tcW w:w="818" w:type="dxa"/>
            <w:vAlign w:val="center"/>
            <w:textDirection w:val="lrTb"/>
            <w:noWrap w:val="false"/>
          </w:tcPr>
          <w:p>
            <w:pPr>
              <w:pStyle w:val="637"/>
              <w:jc w:val="center"/>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分值</w:t>
            </w:r>
            <w:r>
              <w:rPr>
                <w:rFonts w:hint="eastAsia" w:ascii="宋体" w:hAnsi="宋体" w:cs="宋体"/>
                <w:b/>
                <w:color w:val="000000"/>
                <w:sz w:val="21"/>
                <w:szCs w:val="21"/>
                <w:highlight w:val="none"/>
              </w:rPr>
            </w:r>
            <w:r>
              <w:rPr>
                <w:highlight w:val="none"/>
              </w:rPr>
            </w:r>
          </w:p>
        </w:tc>
        <w:tc>
          <w:tcPr>
            <w:tcW w:w="5499" w:type="dxa"/>
            <w:vAlign w:val="center"/>
            <w:textDirection w:val="lrTb"/>
            <w:noWrap w:val="false"/>
          </w:tcPr>
          <w:p>
            <w:pPr>
              <w:pStyle w:val="637"/>
              <w:jc w:val="center"/>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打分要求</w:t>
            </w:r>
            <w:r>
              <w:rPr>
                <w:rFonts w:hint="eastAsia" w:ascii="宋体" w:hAnsi="宋体" w:cs="宋体"/>
                <w:b/>
                <w:color w:val="000000"/>
                <w:sz w:val="21"/>
                <w:szCs w:val="21"/>
                <w:highlight w:val="none"/>
              </w:rPr>
            </w:r>
            <w:r>
              <w:rPr>
                <w:highlight w:val="none"/>
              </w:rPr>
            </w:r>
          </w:p>
        </w:tc>
      </w:tr>
      <w:tr>
        <w:trPr>
          <w:trHeight w:val="543"/>
          <w:tblHeader/>
        </w:trPr>
        <w:tc>
          <w:tcPr>
            <w:tcW w:w="575" w:type="dxa"/>
            <w:vAlign w:val="center"/>
            <w:textDirection w:val="lrTb"/>
            <w:noWrap w:val="false"/>
          </w:tcPr>
          <w:p>
            <w:pPr>
              <w:pStyle w:val="637"/>
              <w:jc w:val="cente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bidi="ar"/>
              </w:rPr>
              <w:t xml:space="preserve">一</w:t>
            </w:r>
            <w:r>
              <w:rPr>
                <w:rFonts w:hint="eastAsia" w:ascii="宋体" w:hAnsi="宋体" w:eastAsia="宋体" w:cs="宋体"/>
                <w:color w:val="000000"/>
                <w:sz w:val="21"/>
                <w:szCs w:val="21"/>
                <w:highlight w:val="none"/>
                <w:lang w:val="en-US" w:eastAsia="zh-CN" w:bidi="ar"/>
              </w:rPr>
            </w:r>
            <w:r>
              <w:rPr>
                <w:highlight w:val="none"/>
              </w:rPr>
            </w:r>
          </w:p>
        </w:tc>
        <w:tc>
          <w:tcPr>
            <w:tcW w:w="1118" w:type="dxa"/>
            <w:vAlign w:val="center"/>
            <w:textDirection w:val="lrTb"/>
            <w:noWrap w:val="false"/>
          </w:tcPr>
          <w:p>
            <w:pPr>
              <w:pStyle w:val="637"/>
              <w:jc w:val="cente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bidi="ar"/>
              </w:rPr>
              <w:t xml:space="preserve">价格部分</w:t>
            </w:r>
            <w:r>
              <w:rPr>
                <w:rFonts w:hint="eastAsia" w:ascii="宋体" w:hAnsi="宋体" w:eastAsia="宋体" w:cs="宋体"/>
                <w:color w:val="000000"/>
                <w:sz w:val="21"/>
                <w:szCs w:val="21"/>
                <w:highlight w:val="none"/>
                <w:lang w:val="en-US" w:eastAsia="zh-CN" w:bidi="ar"/>
              </w:rPr>
            </w:r>
            <w:r>
              <w:rPr>
                <w:highlight w:val="none"/>
              </w:rPr>
            </w:r>
          </w:p>
        </w:tc>
        <w:tc>
          <w:tcPr>
            <w:tcW w:w="1352" w:type="dxa"/>
            <w:vAlign w:val="center"/>
            <w:textDirection w:val="lrTb"/>
            <w:noWrap w:val="false"/>
          </w:tcPr>
          <w:p>
            <w:pPr>
              <w:pStyle w:val="637"/>
              <w:jc w:val="cente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bidi="ar"/>
              </w:rPr>
              <w:t xml:space="preserve">投标报价</w:t>
            </w:r>
            <w:r>
              <w:rPr>
                <w:rFonts w:hint="eastAsia" w:ascii="宋体" w:hAnsi="宋体" w:eastAsia="宋体" w:cs="宋体"/>
                <w:color w:val="000000"/>
                <w:sz w:val="21"/>
                <w:szCs w:val="21"/>
                <w:highlight w:val="none"/>
                <w:lang w:val="en-US" w:eastAsia="zh-CN" w:bidi="ar"/>
              </w:rPr>
            </w:r>
            <w:r>
              <w:rPr>
                <w:highlight w:val="none"/>
              </w:rPr>
            </w:r>
          </w:p>
        </w:tc>
        <w:tc>
          <w:tcPr>
            <w:tcW w:w="818" w:type="dxa"/>
            <w:vAlign w:val="center"/>
            <w:textDirection w:val="lrTb"/>
            <w:noWrap w:val="false"/>
          </w:tcPr>
          <w:p>
            <w:pPr>
              <w:pStyle w:val="637"/>
              <w:jc w:val="center"/>
              <w:keepLines w:val="0"/>
              <w:keepNext w:val="0"/>
              <w:pageBreakBefore w:val="0"/>
              <w:spacing w:line="40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10</w:t>
            </w:r>
            <w:r>
              <w:rPr>
                <w:rFonts w:ascii="宋体" w:hAnsi="宋体" w:eastAsia="宋体" w:cs="宋体"/>
                <w:color w:val="000000"/>
                <w:sz w:val="21"/>
                <w:szCs w:val="21"/>
                <w:highlight w:val="none"/>
                <w:lang w:val="en-US" w:eastAsia="zh-CN" w:bidi="ar"/>
              </w:rPr>
            </w:r>
            <w:r>
              <w:rPr>
                <w:highlight w:val="none"/>
              </w:rPr>
            </w:r>
          </w:p>
        </w:tc>
        <w:tc>
          <w:tcPr>
            <w:tcW w:w="5499" w:type="dxa"/>
            <w:vAlign w:val="center"/>
            <w:textDirection w:val="lrTb"/>
            <w:noWrap w:val="false"/>
          </w:tcPr>
          <w:p>
            <w:pPr>
              <w:pStyle w:val="637"/>
              <w:ind w:firstLine="420"/>
              <w:jc w:val="left"/>
              <w:keepLines w:val="0"/>
              <w:keepNext w:val="0"/>
              <w:pageBreakBefore w:val="0"/>
              <w:spacing w:line="30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bidi="ar"/>
              </w:rPr>
              <w:t xml:space="preserve">满足招标文件要求且投标价格最低的投标报价为基准价，其价格分为满分。报价得分＝（评标基准价/投标报价）×10。</w:t>
            </w:r>
            <w:r>
              <w:rPr>
                <w:rFonts w:hint="eastAsia" w:ascii="宋体" w:hAnsi="宋体" w:cs="宋体"/>
                <w:color w:val="000000"/>
                <w:sz w:val="21"/>
                <w:szCs w:val="21"/>
                <w:highlight w:val="none"/>
                <w:lang w:val="en-US" w:eastAsia="zh-CN" w:bidi="ar"/>
              </w:rPr>
            </w:r>
            <w:r>
              <w:rPr>
                <w:highlight w:val="none"/>
              </w:rPr>
            </w:r>
          </w:p>
        </w:tc>
      </w:tr>
      <w:tr>
        <w:trPr>
          <w:trHeight w:val="543"/>
          <w:tblHeader/>
        </w:trPr>
        <w:tc>
          <w:tcPr>
            <w:tcW w:w="575" w:type="dxa"/>
            <w:vAlign w:val="center"/>
            <w:vMerge w:val="restart"/>
            <w:textDirection w:val="lrTb"/>
            <w:noWrap w:val="false"/>
          </w:tcPr>
          <w:p>
            <w:pPr>
              <w:pStyle w:val="637"/>
              <w:jc w:val="cente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二</w:t>
            </w:r>
            <w:r>
              <w:rPr>
                <w:rFonts w:hint="eastAsia" w:ascii="宋体" w:hAnsi="宋体" w:eastAsia="宋体" w:cs="宋体"/>
                <w:color w:val="000000"/>
                <w:sz w:val="21"/>
                <w:szCs w:val="21"/>
                <w:highlight w:val="none"/>
                <w:lang w:val="en-US" w:eastAsia="zh-CN" w:bidi="ar"/>
              </w:rPr>
            </w:r>
            <w:r>
              <w:rPr>
                <w:highlight w:val="none"/>
              </w:rPr>
            </w:r>
          </w:p>
        </w:tc>
        <w:tc>
          <w:tcPr>
            <w:tcW w:w="1118" w:type="dxa"/>
            <w:vAlign w:val="center"/>
            <w:vMerge w:val="restart"/>
            <w:textDirection w:val="lrTb"/>
            <w:noWrap w:val="false"/>
          </w:tcPr>
          <w:p>
            <w:pPr>
              <w:pStyle w:val="637"/>
              <w:jc w:val="center"/>
              <w:keepLines w:val="0"/>
              <w:keepNext w:val="0"/>
              <w:pageBreakBefore w:val="0"/>
              <w:spacing w:line="400" w:lineRule="exact"/>
              <w:widowControl/>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技术部分</w:t>
            </w:r>
            <w:r>
              <w:rPr>
                <w:rFonts w:ascii="宋体" w:hAnsi="宋体" w:eastAsia="宋体" w:cs="宋体"/>
                <w:color w:val="000000"/>
                <w:sz w:val="21"/>
                <w:szCs w:val="21"/>
                <w:highlight w:val="none"/>
                <w:lang w:val="en-US" w:eastAsia="zh-CN" w:bidi="ar"/>
              </w:rPr>
            </w:r>
            <w:r>
              <w:rPr>
                <w:highlight w:val="none"/>
              </w:rPr>
            </w:r>
          </w:p>
        </w:tc>
        <w:tc>
          <w:tcPr>
            <w:tcW w:w="1352" w:type="dxa"/>
            <w:vAlign w:val="center"/>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技术参数</w:t>
            </w:r>
            <w:r>
              <w:rPr>
                <w:rFonts w:hint="eastAsia" w:ascii="宋体" w:hAnsi="宋体" w:cs="宋体"/>
                <w:color w:val="000000"/>
                <w:sz w:val="21"/>
                <w:szCs w:val="21"/>
                <w:highlight w:val="none"/>
                <w:lang w:bidi="ar"/>
              </w:rPr>
            </w:r>
            <w:r>
              <w:rPr>
                <w:highlight w:val="none"/>
              </w:rPr>
            </w:r>
          </w:p>
        </w:tc>
        <w:tc>
          <w:tcPr>
            <w:tcW w:w="818" w:type="dxa"/>
            <w:vAlign w:val="center"/>
            <w:textDirection w:val="lrTb"/>
            <w:noWrap w:val="false"/>
          </w:tcPr>
          <w:p>
            <w:pPr>
              <w:pStyle w:val="637"/>
              <w:jc w:val="center"/>
              <w:keepLines w:val="0"/>
              <w:keepNext w:val="0"/>
              <w:pageBreakBefore w:val="0"/>
              <w:spacing w:line="400" w:lineRule="exact"/>
              <w:widowControl/>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18</w:t>
            </w:r>
            <w:r>
              <w:rPr>
                <w:rFonts w:ascii="宋体" w:hAnsi="宋体" w:eastAsia="宋体" w:cs="宋体"/>
                <w:color w:val="000000"/>
                <w:sz w:val="21"/>
                <w:szCs w:val="21"/>
                <w:highlight w:val="none"/>
                <w:lang w:val="en-US" w:eastAsia="zh-CN" w:bidi="ar"/>
              </w:rPr>
            </w:r>
            <w:r>
              <w:rPr>
                <w:highlight w:val="none"/>
              </w:rPr>
            </w:r>
          </w:p>
        </w:tc>
        <w:tc>
          <w:tcPr>
            <w:tcW w:w="5499" w:type="dxa"/>
            <w:vAlign w:val="center"/>
            <w:textDirection w:val="lrTb"/>
            <w:noWrap w:val="false"/>
          </w:tcPr>
          <w:p>
            <w:pPr>
              <w:pStyle w:val="637"/>
              <w:ind w:firstLine="420"/>
              <w:jc w:val="left"/>
              <w:keepLines w:val="0"/>
              <w:keepNext w:val="0"/>
              <w:pageBreakBefore w:val="0"/>
              <w:spacing w:line="300" w:lineRule="exact"/>
              <w:widowControl/>
              <w:rPr>
                <w:rFonts w:hint="eastAsia"/>
                <w:color w:val="000000"/>
                <w:sz w:val="21"/>
                <w:szCs w:val="24"/>
                <w:highlight w:val="none"/>
              </w:rPr>
            </w:pPr>
            <w:r>
              <w:rPr>
                <w:rFonts w:hint="eastAsia" w:ascii="宋体" w:hAnsi="宋体" w:eastAsia="宋体" w:cs="宋体"/>
                <w:color w:val="000000"/>
                <w:sz w:val="21"/>
                <w:szCs w:val="21"/>
                <w:highlight w:val="none"/>
                <w:lang w:bidi="ar"/>
              </w:rPr>
              <w:t xml:space="preserve">投标人是否已充分理解并全部响应本次项目采购要求中所需功能模块和业务需求，评委针对响应文件技术响应指标与需求的吻合程度和偏差情况打分，</w:t>
            </w:r>
            <w:r>
              <w:rPr>
                <w:rFonts w:hint="eastAsia" w:ascii="宋体" w:hAnsi="宋体" w:eastAsia="宋体" w:cs="宋体"/>
                <w:color w:val="000000"/>
                <w:sz w:val="21"/>
                <w:szCs w:val="21"/>
                <w:highlight w:val="none"/>
                <w:lang w:val="en-US" w:eastAsia="zh-CN"/>
              </w:rPr>
              <w:t xml:space="preserve">带“▲”项为本项目关键功能需求</w:t>
            </w:r>
            <w:r>
              <w:rPr>
                <w:rFonts w:hint="eastAsia" w:ascii="宋体" w:hAnsi="宋体" w:cs="宋体"/>
                <w:color w:val="000000"/>
                <w:sz w:val="21"/>
                <w:szCs w:val="21"/>
                <w:highlight w:val="none"/>
                <w:lang w:val="en-US" w:eastAsia="zh-CN" w:bidi="ar"/>
              </w:rPr>
              <w:t xml:space="preserve">，投标文件</w:t>
            </w:r>
            <w:r>
              <w:rPr>
                <w:rFonts w:hint="eastAsia" w:ascii="宋体" w:hAnsi="宋体" w:cs="宋体"/>
                <w:color w:val="000000"/>
                <w:sz w:val="21"/>
                <w:szCs w:val="21"/>
                <w:highlight w:val="none"/>
                <w:lang w:bidi="ar"/>
              </w:rPr>
              <w:t xml:space="preserve">须</w:t>
            </w:r>
            <w:r>
              <w:rPr>
                <w:rFonts w:hint="eastAsia" w:ascii="宋体" w:hAnsi="宋体" w:cs="宋体"/>
                <w:color w:val="000000"/>
                <w:sz w:val="21"/>
                <w:szCs w:val="21"/>
                <w:highlight w:val="none"/>
                <w:lang w:val="en-US" w:eastAsia="zh-CN" w:bidi="ar"/>
              </w:rPr>
              <w:t xml:space="preserve">提供系统功能截图或提供具有国家权威检测机构出具的检测报告，并加盖投标人公章，每负偏离一项扣1分，扣完为止。</w:t>
            </w:r>
            <w:r>
              <w:rPr>
                <w:rFonts w:hint="eastAsia"/>
                <w:color w:val="000000"/>
                <w:sz w:val="21"/>
                <w:szCs w:val="24"/>
                <w:highlight w:val="none"/>
              </w:rPr>
            </w:r>
            <w:r>
              <w:rPr>
                <w:highlight w:val="none"/>
              </w:rPr>
            </w:r>
          </w:p>
        </w:tc>
      </w:tr>
      <w:tr>
        <w:trPr>
          <w:trHeight w:val="543"/>
          <w:tblHeader/>
        </w:trPr>
        <w:tc>
          <w:tcPr>
            <w:tcW w:w="575"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c>
          <w:tcPr>
            <w:tcW w:w="1118"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c>
          <w:tcPr>
            <w:tcW w:w="1352" w:type="dxa"/>
            <w:vAlign w:val="center"/>
            <w:textDirection w:val="lrTb"/>
            <w:noWrap w:val="false"/>
          </w:tcPr>
          <w:p>
            <w:pPr>
              <w:pStyle w:val="637"/>
              <w:jc w:val="center"/>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项目实施方案</w:t>
            </w:r>
            <w:r>
              <w:rPr>
                <w:rFonts w:hint="eastAsia" w:ascii="宋体" w:hAnsi="宋体" w:cs="宋体"/>
                <w:color w:val="000000"/>
                <w:sz w:val="21"/>
                <w:szCs w:val="21"/>
                <w:highlight w:val="none"/>
                <w:lang w:val="en-US" w:eastAsia="zh-CN" w:bidi="ar"/>
              </w:rPr>
            </w:r>
            <w:r>
              <w:rPr>
                <w:highlight w:val="none"/>
              </w:rPr>
            </w:r>
          </w:p>
        </w:tc>
        <w:tc>
          <w:tcPr>
            <w:tcW w:w="818" w:type="dxa"/>
            <w:vAlign w:val="center"/>
            <w:textDirection w:val="lrTb"/>
            <w:noWrap w:val="false"/>
          </w:tcPr>
          <w:p>
            <w:pPr>
              <w:pStyle w:val="637"/>
              <w:jc w:val="center"/>
              <w:keepLines w:val="0"/>
              <w:keepNext w:val="0"/>
              <w:pageBreakBefore w:val="0"/>
              <w:spacing w:line="40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ascii="宋体" w:hAnsi="宋体" w:cs="宋体"/>
                <w:color w:val="000000"/>
                <w:sz w:val="21"/>
                <w:szCs w:val="21"/>
                <w:highlight w:val="none"/>
                <w:lang w:val="en-US" w:eastAsia="zh-CN" w:bidi="ar"/>
              </w:rPr>
            </w:r>
            <w:r>
              <w:rPr>
                <w:highlight w:val="none"/>
              </w:rPr>
            </w:r>
          </w:p>
        </w:tc>
        <w:tc>
          <w:tcPr>
            <w:tcW w:w="5499" w:type="dxa"/>
            <w:vAlign w:val="center"/>
            <w:textDirection w:val="lrTb"/>
            <w:noWrap w:val="false"/>
          </w:tcPr>
          <w:p>
            <w:pPr>
              <w:pStyle w:val="637"/>
              <w:ind w:left="423"/>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1、需求分析</w:t>
            </w:r>
            <w:r>
              <w:rPr>
                <w:rFonts w:hint="eastAsia" w:ascii="宋体" w:hAnsi="宋体" w:eastAsia="宋体" w:cs="宋体"/>
                <w:color w:val="000000"/>
                <w:sz w:val="21"/>
                <w:szCs w:val="21"/>
                <w:highlight w:val="none"/>
              </w:rPr>
            </w:r>
            <w:r>
              <w:rPr>
                <w:highlight w:val="none"/>
              </w:rPr>
            </w:r>
          </w:p>
          <w:p>
            <w:pPr>
              <w:pStyle w:val="637"/>
              <w:ind w:left="-2" w:firstLine="424"/>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投标人在针对本项目进行充分调研的基础上，</w:t>
            </w:r>
            <w:r>
              <w:rPr>
                <w:rFonts w:hint="eastAsia" w:ascii="宋体" w:hAnsi="宋体" w:eastAsia="宋体" w:cs="宋体"/>
                <w:color w:val="000000"/>
                <w:sz w:val="21"/>
                <w:szCs w:val="21"/>
                <w:highlight w:val="none"/>
                <w:lang w:val="en-US" w:eastAsia="zh-CN"/>
              </w:rPr>
              <w:t xml:space="preserve">对项目需求理解深刻，</w:t>
            </w:r>
            <w:r>
              <w:rPr>
                <w:rFonts w:hint="eastAsia" w:ascii="宋体" w:hAnsi="宋体" w:eastAsia="宋体" w:cs="宋体"/>
                <w:color w:val="000000"/>
                <w:sz w:val="21"/>
                <w:szCs w:val="21"/>
                <w:highlight w:val="none"/>
              </w:rPr>
              <w:t xml:space="preserve">能有效分析和总结。评标委员会根据投标人提供的</w:t>
            </w:r>
            <w:r>
              <w:rPr>
                <w:rFonts w:hint="eastAsia" w:ascii="宋体" w:hAnsi="宋体" w:eastAsia="宋体" w:cs="宋体"/>
                <w:color w:val="000000"/>
                <w:sz w:val="21"/>
                <w:szCs w:val="21"/>
                <w:highlight w:val="none"/>
                <w:lang w:val="en-US" w:eastAsia="zh-CN"/>
              </w:rPr>
              <w:t xml:space="preserve">需求分析方案</w:t>
            </w:r>
            <w:r>
              <w:rPr>
                <w:rFonts w:hint="eastAsia" w:ascii="宋体" w:hAnsi="宋体" w:eastAsia="宋体" w:cs="宋体"/>
                <w:color w:val="000000"/>
                <w:sz w:val="21"/>
                <w:szCs w:val="21"/>
                <w:highlight w:val="none"/>
              </w:rPr>
              <w:t xml:space="preserve">，从</w:t>
            </w:r>
            <w:r>
              <w:rPr>
                <w:rFonts w:hint="eastAsia" w:ascii="宋体" w:hAnsi="宋体" w:eastAsia="宋体" w:cs="宋体"/>
                <w:color w:val="000000"/>
                <w:sz w:val="21"/>
                <w:szCs w:val="21"/>
                <w:highlight w:val="none"/>
                <w:lang w:val="en-US" w:eastAsia="zh-CN"/>
              </w:rPr>
              <w:t xml:space="preserve">项目目标、现状分析、业务需求分析、数据资源需求分析等方面进行评审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rPr>
                <w:highlight w:val="none"/>
              </w:rPr>
            </w:r>
          </w:p>
          <w:p>
            <w:pPr>
              <w:pStyle w:val="637"/>
              <w:ind w:left="423"/>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2、组织架构及实施步骤</w:t>
            </w:r>
            <w:r>
              <w:rPr>
                <w:rFonts w:hint="eastAsia" w:ascii="宋体" w:hAnsi="宋体" w:eastAsia="宋体" w:cs="宋体"/>
                <w:color w:val="000000"/>
                <w:sz w:val="21"/>
                <w:szCs w:val="21"/>
                <w:highlight w:val="none"/>
              </w:rPr>
            </w:r>
            <w:r>
              <w:rPr>
                <w:highlight w:val="none"/>
              </w:rPr>
            </w:r>
          </w:p>
          <w:p>
            <w:pPr>
              <w:pStyle w:val="637"/>
              <w:ind w:left="-2" w:firstLine="424"/>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投标人结合根据本项目的特点，提出对应的组织架构和实施步骤，评标委员会根据投标人提供的方案内容，从</w:t>
            </w:r>
            <w:r>
              <w:rPr>
                <w:rFonts w:hint="eastAsia" w:ascii="宋体" w:hAnsi="宋体" w:eastAsia="宋体" w:cs="宋体"/>
                <w:color w:val="000000"/>
                <w:sz w:val="21"/>
                <w:szCs w:val="21"/>
                <w:highlight w:val="none"/>
                <w:lang w:val="en-US" w:eastAsia="zh-CN"/>
              </w:rPr>
              <w:t xml:space="preserve">人员组织架构、系统实施、测试、试运行</w:t>
            </w:r>
            <w:r>
              <w:rPr>
                <w:rFonts w:hint="eastAsia" w:ascii="宋体" w:hAnsi="宋体" w:eastAsia="宋体" w:cs="宋体"/>
                <w:color w:val="000000"/>
                <w:sz w:val="21"/>
                <w:szCs w:val="21"/>
                <w:highlight w:val="none"/>
              </w:rPr>
              <w:t xml:space="preserve">等方面评审。</w:t>
            </w:r>
            <w:r>
              <w:rPr>
                <w:rFonts w:hint="eastAsia" w:ascii="宋体" w:hAnsi="宋体" w:eastAsia="宋体" w:cs="宋体"/>
                <w:color w:val="000000"/>
                <w:sz w:val="21"/>
                <w:szCs w:val="21"/>
                <w:highlight w:val="none"/>
              </w:rPr>
            </w:r>
            <w:r>
              <w:rPr>
                <w:highlight w:val="none"/>
              </w:rPr>
            </w:r>
          </w:p>
          <w:p>
            <w:pPr>
              <w:pStyle w:val="637"/>
              <w:ind w:left="-2" w:firstLine="424"/>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3、项目实施计划及时间进度安排</w:t>
            </w:r>
            <w:r>
              <w:rPr>
                <w:rFonts w:hint="eastAsia" w:ascii="宋体" w:hAnsi="宋体" w:eastAsia="宋体" w:cs="宋体"/>
                <w:color w:val="000000"/>
                <w:sz w:val="21"/>
                <w:szCs w:val="21"/>
                <w:highlight w:val="none"/>
              </w:rPr>
            </w:r>
            <w:r>
              <w:rPr>
                <w:highlight w:val="none"/>
              </w:rPr>
            </w:r>
          </w:p>
          <w:p>
            <w:pPr>
              <w:pStyle w:val="637"/>
              <w:ind w:left="-2" w:firstLine="424"/>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投标人结合根据本项目的特点，提出对应的项目实施计划及时间进度安排，评标委员会根据投标人提供的方案内容，从</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实施计划、时间进度安排、验收方案</w:t>
            </w:r>
            <w:r>
              <w:rPr>
                <w:rFonts w:hint="eastAsia" w:ascii="宋体" w:hAnsi="宋体" w:eastAsia="宋体" w:cs="宋体"/>
                <w:color w:val="000000"/>
                <w:sz w:val="21"/>
                <w:szCs w:val="21"/>
                <w:highlight w:val="none"/>
                <w:lang w:val="en-US" w:eastAsia="zh-CN"/>
              </w:rPr>
              <w:t xml:space="preserve">等方面</w:t>
            </w: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rPr>
            </w:r>
            <w:r>
              <w:rPr>
                <w:highlight w:val="none"/>
              </w:rPr>
            </w:r>
          </w:p>
          <w:p>
            <w:pPr>
              <w:pStyle w:val="637"/>
              <w:ind w:firstLine="422"/>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bidi="ar"/>
              </w:rPr>
              <w:t xml:space="preserve">满足以上</w:t>
            </w:r>
            <w:r>
              <w:rPr>
                <w:rFonts w:hint="eastAsia" w:ascii="宋体" w:hAnsi="宋体" w:eastAsia="宋体" w:cs="宋体"/>
                <w:b/>
                <w:bCs/>
                <w:color w:val="000000"/>
                <w:sz w:val="21"/>
                <w:szCs w:val="21"/>
                <w:highlight w:val="none"/>
                <w:lang w:val="en-US" w:eastAsia="zh-CN" w:bidi="ar"/>
              </w:rPr>
              <w:t xml:space="preserve">3</w:t>
            </w:r>
            <w:r>
              <w:rPr>
                <w:rFonts w:hint="eastAsia" w:ascii="宋体" w:hAnsi="宋体" w:eastAsia="宋体" w:cs="宋体"/>
                <w:b/>
                <w:bCs/>
                <w:color w:val="000000"/>
                <w:sz w:val="21"/>
                <w:szCs w:val="21"/>
                <w:highlight w:val="none"/>
                <w:lang w:val="zh-CN" w:bidi="ar"/>
              </w:rPr>
              <w:t xml:space="preserve">项要求最多得</w:t>
            </w:r>
            <w:r>
              <w:rPr>
                <w:rFonts w:hint="eastAsia" w:ascii="宋体" w:hAnsi="宋体" w:eastAsia="宋体" w:cs="宋体"/>
                <w:b/>
                <w:bCs/>
                <w:color w:val="000000"/>
                <w:sz w:val="21"/>
                <w:szCs w:val="21"/>
                <w:highlight w:val="none"/>
                <w:lang w:val="en-US" w:eastAsia="zh-CN" w:bidi="ar"/>
              </w:rPr>
              <w:t xml:space="preserve">15</w:t>
            </w:r>
            <w:r>
              <w:rPr>
                <w:rFonts w:hint="eastAsia" w:ascii="宋体" w:hAnsi="宋体" w:eastAsia="宋体" w:cs="宋体"/>
                <w:b/>
                <w:bCs/>
                <w:color w:val="000000"/>
                <w:sz w:val="21"/>
                <w:szCs w:val="21"/>
                <w:highlight w:val="none"/>
                <w:lang w:val="zh-CN" w:bidi="ar"/>
              </w:rPr>
              <w:t xml:space="preserve">分；满足任意</w:t>
            </w:r>
            <w:r>
              <w:rPr>
                <w:rFonts w:hint="eastAsia" w:ascii="宋体" w:hAnsi="宋体" w:eastAsia="宋体" w:cs="宋体"/>
                <w:b/>
                <w:bCs/>
                <w:color w:val="000000"/>
                <w:sz w:val="21"/>
                <w:szCs w:val="21"/>
                <w:highlight w:val="none"/>
                <w:lang w:bidi="ar"/>
              </w:rPr>
              <w:t xml:space="preserve">1</w:t>
            </w:r>
            <w:r>
              <w:rPr>
                <w:rFonts w:hint="eastAsia" w:ascii="宋体" w:hAnsi="宋体" w:eastAsia="宋体" w:cs="宋体"/>
                <w:b/>
                <w:bCs/>
                <w:color w:val="000000"/>
                <w:sz w:val="21"/>
                <w:szCs w:val="21"/>
                <w:highlight w:val="none"/>
                <w:lang w:val="zh-CN" w:bidi="ar"/>
              </w:rPr>
              <w:t xml:space="preserve">项得</w:t>
            </w:r>
            <w:r>
              <w:rPr>
                <w:rFonts w:hint="eastAsia" w:ascii="宋体" w:hAnsi="宋体" w:eastAsia="宋体" w:cs="宋体"/>
                <w:b/>
                <w:bCs/>
                <w:color w:val="000000"/>
                <w:sz w:val="21"/>
                <w:szCs w:val="21"/>
                <w:highlight w:val="none"/>
                <w:lang w:val="en-US" w:eastAsia="zh-CN" w:bidi="ar"/>
              </w:rPr>
              <w:t xml:space="preserve">5</w:t>
            </w:r>
            <w:r>
              <w:rPr>
                <w:rFonts w:hint="eastAsia" w:ascii="宋体" w:hAnsi="宋体" w:eastAsia="宋体" w:cs="宋体"/>
                <w:b/>
                <w:bCs/>
                <w:color w:val="000000"/>
                <w:sz w:val="21"/>
                <w:szCs w:val="21"/>
                <w:highlight w:val="none"/>
                <w:lang w:val="zh-CN" w:bidi="ar"/>
              </w:rPr>
              <w:t xml:space="preserve">分；其余情况不得分。</w:t>
            </w:r>
            <w:r>
              <w:rPr>
                <w:rFonts w:hint="eastAsia" w:ascii="宋体" w:hAnsi="宋体" w:eastAsia="宋体" w:cs="宋体"/>
                <w:b/>
                <w:bCs/>
                <w:color w:val="000000"/>
                <w:sz w:val="21"/>
                <w:szCs w:val="21"/>
                <w:highlight w:val="none"/>
                <w:lang w:val="zh-CN" w:bidi="ar"/>
              </w:rPr>
            </w:r>
            <w:r>
              <w:rPr>
                <w:highlight w:val="none"/>
              </w:rPr>
            </w:r>
          </w:p>
          <w:p>
            <w:pPr>
              <w:pStyle w:val="637"/>
              <w:ind w:firstLine="422"/>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bidi="ar"/>
              </w:rPr>
              <w:t xml:space="preserve">注：评审委员会根据各供应商的具体响应内容按照以下量化的评审因素指标对各项要求进行评审：</w:t>
            </w:r>
            <w:r>
              <w:rPr>
                <w:rFonts w:hint="eastAsia" w:ascii="宋体" w:hAnsi="宋体" w:eastAsia="宋体" w:cs="宋体"/>
                <w:b/>
                <w:bCs/>
                <w:color w:val="000000"/>
                <w:sz w:val="21"/>
                <w:szCs w:val="21"/>
                <w:highlight w:val="none"/>
                <w:lang w:val="zh-CN"/>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bidi="ar"/>
              </w:rPr>
              <w:t xml:space="preserve">1、方案完整，专业、可行，考虑周全，思路特别清晰，符合项目需求该项得</w:t>
            </w:r>
            <w:r>
              <w:rPr>
                <w:rFonts w:hint="eastAsia" w:ascii="宋体" w:hAnsi="宋体" w:eastAsia="宋体" w:cs="宋体"/>
                <w:b w:val="0"/>
                <w:bCs w:val="0"/>
                <w:color w:val="000000"/>
                <w:sz w:val="21"/>
                <w:szCs w:val="21"/>
                <w:highlight w:val="none"/>
                <w:lang w:val="en-US" w:eastAsia="zh-CN" w:bidi="ar"/>
              </w:rPr>
              <w:t xml:space="preserve">5</w:t>
            </w:r>
            <w:r>
              <w:rPr>
                <w:rFonts w:hint="eastAsia" w:ascii="宋体" w:hAnsi="宋体" w:eastAsia="宋体" w:cs="宋体"/>
                <w:b w:val="0"/>
                <w:bCs w:val="0"/>
                <w:color w:val="000000"/>
                <w:sz w:val="21"/>
                <w:szCs w:val="21"/>
                <w:highlight w:val="none"/>
                <w:lang w:val="zh-CN" w:bidi="ar"/>
              </w:rPr>
              <w:t xml:space="preserve">分；</w:t>
            </w:r>
            <w:r>
              <w:rPr>
                <w:rFonts w:hint="eastAsia" w:ascii="宋体" w:hAnsi="宋体" w:eastAsia="宋体" w:cs="宋体"/>
                <w:b w:val="0"/>
                <w:bCs w:val="0"/>
                <w:color w:val="000000"/>
                <w:sz w:val="21"/>
                <w:szCs w:val="21"/>
                <w:highlight w:val="none"/>
                <w:lang w:val="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bidi="ar"/>
              </w:rPr>
              <w:t xml:space="preserve">2、方案</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bidi="ar"/>
              </w:rPr>
              <w:t xml:space="preserve">完整、思路</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bidi="ar"/>
              </w:rPr>
              <w:t xml:space="preserve">清晰，与项目需求响应度低，该项得</w:t>
            </w:r>
            <w:r>
              <w:rPr>
                <w:rFonts w:hint="eastAsia" w:ascii="宋体" w:hAnsi="宋体" w:eastAsia="宋体" w:cs="宋体"/>
                <w:b w:val="0"/>
                <w:bCs w:val="0"/>
                <w:color w:val="000000"/>
                <w:sz w:val="21"/>
                <w:szCs w:val="21"/>
                <w:highlight w:val="none"/>
                <w:lang w:val="en-US" w:eastAsia="zh-CN" w:bidi="ar"/>
              </w:rPr>
              <w:t xml:space="preserve">3</w:t>
            </w:r>
            <w:r>
              <w:rPr>
                <w:rFonts w:hint="eastAsia" w:ascii="宋体" w:hAnsi="宋体" w:eastAsia="宋体" w:cs="宋体"/>
                <w:b w:val="0"/>
                <w:bCs w:val="0"/>
                <w:color w:val="000000"/>
                <w:sz w:val="21"/>
                <w:szCs w:val="21"/>
                <w:highlight w:val="none"/>
                <w:lang w:val="zh-CN" w:bidi="ar"/>
              </w:rPr>
              <w:t xml:space="preserve">分；</w:t>
            </w:r>
            <w:r>
              <w:rPr>
                <w:rFonts w:hint="eastAsia" w:ascii="宋体" w:hAnsi="宋体" w:eastAsia="宋体" w:cs="宋体"/>
                <w:b w:val="0"/>
                <w:bCs w:val="0"/>
                <w:color w:val="000000"/>
                <w:sz w:val="21"/>
                <w:szCs w:val="21"/>
                <w:highlight w:val="none"/>
                <w:lang w:val="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bidi="ar"/>
              </w:rPr>
              <w:t xml:space="preserve">3、方案</w:t>
            </w:r>
            <w:r>
              <w:rPr>
                <w:rFonts w:hint="eastAsia" w:ascii="宋体" w:hAnsi="宋体" w:eastAsia="宋体" w:cs="宋体"/>
                <w:b w:val="0"/>
                <w:bCs w:val="0"/>
                <w:color w:val="000000"/>
                <w:sz w:val="21"/>
                <w:szCs w:val="21"/>
                <w:highlight w:val="none"/>
                <w:lang w:val="en-US" w:eastAsia="zh-CN" w:bidi="ar"/>
              </w:rPr>
              <w:t xml:space="preserve">简单</w:t>
            </w:r>
            <w:r>
              <w:rPr>
                <w:rFonts w:hint="eastAsia" w:ascii="宋体" w:hAnsi="宋体" w:eastAsia="宋体" w:cs="宋体"/>
                <w:b w:val="0"/>
                <w:bCs w:val="0"/>
                <w:color w:val="000000"/>
                <w:sz w:val="21"/>
                <w:szCs w:val="21"/>
                <w:highlight w:val="none"/>
                <w:lang w:val="zh-CN" w:bidi="ar"/>
              </w:rPr>
              <w:t xml:space="preserve">，与项目需求</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bidi="ar"/>
              </w:rPr>
              <w:t xml:space="preserve">响应该项得</w:t>
            </w: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eastAsia="宋体" w:cs="宋体"/>
                <w:b w:val="0"/>
                <w:bCs w:val="0"/>
                <w:color w:val="000000"/>
                <w:sz w:val="21"/>
                <w:szCs w:val="21"/>
                <w:highlight w:val="none"/>
                <w:lang w:val="zh-CN" w:bidi="ar"/>
              </w:rPr>
              <w:t xml:space="preserve">分。</w:t>
            </w:r>
            <w:r>
              <w:rPr>
                <w:rFonts w:hint="eastAsia" w:ascii="宋体" w:hAnsi="宋体" w:eastAsia="宋体" w:cs="宋体"/>
                <w:b w:val="0"/>
                <w:bCs w:val="0"/>
                <w:color w:val="000000"/>
                <w:sz w:val="21"/>
                <w:szCs w:val="21"/>
                <w:highlight w:val="none"/>
                <w:lang w:val="zh-CN" w:bidi="ar"/>
              </w:rPr>
            </w:r>
            <w:r>
              <w:rPr>
                <w:highlight w:val="none"/>
              </w:rPr>
            </w:r>
          </w:p>
          <w:p>
            <w:pPr>
              <w:pStyle w:val="638"/>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xml:space="preserve">   </w:t>
            </w:r>
            <w:r>
              <w:rPr>
                <w:rFonts w:hint="eastAsia" w:ascii="宋体" w:hAnsi="宋体" w:eastAsia="宋体" w:cs="宋体"/>
                <w:b w:val="0"/>
                <w:bCs w:val="0"/>
                <w:color w:val="000000"/>
                <w:sz w:val="21"/>
                <w:szCs w:val="21"/>
                <w:highlight w:val="none"/>
                <w:lang w:val="zh-CN" w:eastAsia="zh-CN" w:bidi="ar"/>
              </w:rPr>
              <w:t xml:space="preserve">4、不提供或者经评标委员会认定非常差的不得分。</w:t>
            </w:r>
            <w:r>
              <w:rPr>
                <w:rFonts w:hint="eastAsia" w:ascii="宋体" w:hAnsi="宋体" w:eastAsia="宋体" w:cs="宋体"/>
                <w:b w:val="0"/>
                <w:bCs w:val="0"/>
                <w:color w:val="000000"/>
                <w:sz w:val="21"/>
                <w:szCs w:val="21"/>
                <w:highlight w:val="none"/>
                <w:lang w:val="zh-CN" w:eastAsia="zh-CN" w:bidi="ar"/>
              </w:rPr>
            </w:r>
            <w:r>
              <w:rPr>
                <w:highlight w:val="none"/>
              </w:rPr>
            </w:r>
          </w:p>
        </w:tc>
      </w:tr>
      <w:tr>
        <w:trPr>
          <w:trHeight w:val="543"/>
          <w:tblHeader/>
        </w:trPr>
        <w:tc>
          <w:tcPr>
            <w:tcW w:w="575"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c>
          <w:tcPr>
            <w:tcW w:w="1118"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c>
          <w:tcPr>
            <w:tcW w:w="1352" w:type="dxa"/>
            <w:vAlign w:val="center"/>
            <w:textDirection w:val="lrTb"/>
            <w:noWrap w:val="false"/>
          </w:tcPr>
          <w:p>
            <w:pPr>
              <w:pStyle w:val="637"/>
              <w:jc w:val="center"/>
              <w:keepLines w:val="0"/>
              <w:keepNext w:val="0"/>
              <w:pageBreakBefore w:val="0"/>
              <w:spacing w:line="400" w:lineRule="exact"/>
              <w:rPr>
                <w:rFonts w:hint="eastAsia" w:ascii="宋体" w:hAnsi="宋体" w:cs="宋体"/>
                <w:color w:val="000000"/>
                <w:sz w:val="21"/>
                <w:szCs w:val="21"/>
                <w:highlight w:val="none"/>
              </w:rPr>
            </w:pPr>
            <w:r>
              <w:rPr>
                <w:rFonts w:ascii="Times New Roman" w:hAnsi="Times New Roman" w:cs="Times New Roman"/>
                <w:color w:val="000000"/>
                <w:highlight w:val="none"/>
              </w:rPr>
              <w:t xml:space="preserve">商用密码应用设计方案</w:t>
            </w:r>
            <w:r>
              <w:rPr>
                <w:rFonts w:hint="eastAsia" w:ascii="宋体" w:hAnsi="宋体" w:cs="宋体"/>
                <w:color w:val="000000"/>
                <w:sz w:val="21"/>
                <w:szCs w:val="21"/>
                <w:highlight w:val="none"/>
                <w:lang w:val="en-US" w:eastAsia="zh-CN" w:bidi="ar"/>
              </w:rPr>
            </w:r>
            <w:r>
              <w:rPr>
                <w:highlight w:val="none"/>
              </w:rPr>
            </w:r>
          </w:p>
        </w:tc>
        <w:tc>
          <w:tcPr>
            <w:tcW w:w="818" w:type="dxa"/>
            <w:vAlign w:val="center"/>
            <w:textDirection w:val="lrTb"/>
            <w:noWrap w:val="false"/>
          </w:tcPr>
          <w:p>
            <w:pPr>
              <w:pStyle w:val="637"/>
              <w:jc w:val="center"/>
              <w:keepLines w:val="0"/>
              <w:keepNext w:val="0"/>
              <w:pageBreakBefore w:val="0"/>
              <w:spacing w:line="40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ascii="宋体" w:hAnsi="宋体" w:cs="宋体"/>
                <w:color w:val="000000"/>
                <w:sz w:val="21"/>
                <w:szCs w:val="21"/>
                <w:highlight w:val="none"/>
                <w:lang w:val="en-US" w:eastAsia="zh-CN" w:bidi="ar"/>
              </w:rPr>
            </w:r>
            <w:r>
              <w:rPr>
                <w:highlight w:val="none"/>
              </w:rPr>
            </w:r>
          </w:p>
        </w:tc>
        <w:tc>
          <w:tcPr>
            <w:tcW w:w="5499" w:type="dxa"/>
            <w:vAlign w:val="center"/>
            <w:textDirection w:val="lrTb"/>
            <w:noWrap w:val="false"/>
          </w:tcPr>
          <w:p>
            <w:pPr>
              <w:pStyle w:val="637"/>
              <w:ind w:firstLine="371"/>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评标委员会根据投标人</w:t>
            </w:r>
            <w:r>
              <w:rPr>
                <w:rFonts w:ascii="Times New Roman" w:hAnsi="Times New Roman" w:cs="Times New Roman"/>
                <w:color w:val="000000"/>
                <w:highlight w:val="none"/>
              </w:rPr>
              <w:t xml:space="preserve">商用密码应用设计方案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包含</w:t>
            </w:r>
            <w:r>
              <w:rPr>
                <w:rFonts w:ascii="Times New Roman" w:hAnsi="Times New Roman" w:cs="Times New Roman"/>
                <w:highlight w:val="none"/>
                <w:lang w:val="en-US" w:eastAsia="zh-CN"/>
              </w:rPr>
              <w:t xml:space="preserve">系统现状和</w:t>
            </w:r>
            <w:r>
              <w:rPr>
                <w:rFonts w:ascii="Times New Roman" w:hAnsi="Times New Roman" w:cs="Times New Roman"/>
                <w:highlight w:val="none"/>
              </w:rPr>
              <w:t xml:space="preserve">密码应用需求分析</w:t>
            </w:r>
            <w:r>
              <w:rPr>
                <w:rFonts w:hint="eastAsia" w:ascii="宋体" w:hAnsi="宋体" w:eastAsia="宋体" w:cs="宋体"/>
                <w:color w:val="000000"/>
                <w:sz w:val="21"/>
                <w:szCs w:val="21"/>
                <w:highlight w:val="none"/>
                <w:lang w:val="en-US" w:eastAsia="zh-CN"/>
              </w:rPr>
              <w:t xml:space="preserve">、</w:t>
            </w:r>
            <w:r>
              <w:rPr>
                <w:rFonts w:ascii="Times New Roman" w:hAnsi="Times New Roman" w:cs="Times New Roman"/>
                <w:highlight w:val="none"/>
              </w:rPr>
              <w:t xml:space="preserve">密码应用</w:t>
            </w:r>
            <w:r>
              <w:rPr>
                <w:rFonts w:ascii="Times New Roman" w:hAnsi="Times New Roman" w:cs="Times New Roman"/>
                <w:highlight w:val="none"/>
                <w:lang w:val="en-US" w:eastAsia="zh-CN"/>
              </w:rPr>
              <w:t xml:space="preserve">总体及原则</w:t>
            </w:r>
            <w:r>
              <w:rPr>
                <w:rFonts w:hint="eastAsia" w:ascii="Times New Roman" w:hAnsi="Times New Roman" w:cs="Times New Roman"/>
                <w:highlight w:val="none"/>
                <w:lang w:val="en-US" w:eastAsia="zh-CN"/>
              </w:rPr>
              <w:t xml:space="preserve">、</w:t>
            </w:r>
            <w:r>
              <w:rPr>
                <w:rFonts w:ascii="Times New Roman" w:hAnsi="Times New Roman" w:cs="Times New Roman"/>
                <w:highlight w:val="none"/>
              </w:rPr>
              <w:t xml:space="preserve">密码</w:t>
            </w:r>
            <w:r>
              <w:rPr>
                <w:rFonts w:ascii="Times New Roman" w:hAnsi="Times New Roman" w:cs="Times New Roman"/>
                <w:highlight w:val="none"/>
                <w:lang w:val="en-US" w:eastAsia="zh-CN"/>
              </w:rPr>
              <w:t xml:space="preserve">技术方案</w:t>
            </w:r>
            <w:r>
              <w:rPr>
                <w:rFonts w:hint="eastAsia" w:ascii="Times New Roman" w:hAnsi="Times New Roman" w:cs="Times New Roman"/>
                <w:highlight w:val="none"/>
                <w:lang w:val="en-US" w:eastAsia="zh-CN"/>
              </w:rPr>
              <w:t xml:space="preserve">、</w:t>
            </w:r>
            <w:r>
              <w:rPr>
                <w:rFonts w:ascii="Times New Roman" w:hAnsi="Times New Roman" w:cs="Times New Roman"/>
                <w:highlight w:val="none"/>
                <w:lang w:val="en-US" w:eastAsia="zh-CN"/>
              </w:rPr>
              <w:t xml:space="preserve">安全管理方案</w:t>
            </w:r>
            <w:r>
              <w:rPr>
                <w:rFonts w:hint="eastAsia" w:ascii="Times New Roman" w:hAnsi="Times New Roman" w:cs="Times New Roman"/>
                <w:highlight w:val="none"/>
                <w:lang w:val="en-US" w:eastAsia="zh-CN"/>
              </w:rPr>
              <w:t xml:space="preserve">、实施保障方案</w:t>
            </w:r>
            <w:r>
              <w:rPr>
                <w:rFonts w:hint="eastAsia" w:ascii="宋体" w:hAnsi="宋体" w:eastAsia="宋体" w:cs="宋体"/>
                <w:color w:val="000000"/>
                <w:sz w:val="21"/>
                <w:szCs w:val="21"/>
                <w:highlight w:val="none"/>
                <w:lang w:val="en-US" w:eastAsia="zh-CN"/>
              </w:rPr>
              <w:t xml:space="preserve">等方面进行</w:t>
            </w: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lang w:val="en-US" w:eastAsia="zh-CN"/>
              </w:rPr>
            </w:r>
            <w:r>
              <w:rPr>
                <w:highlight w:val="none"/>
              </w:rPr>
            </w:r>
          </w:p>
          <w:p>
            <w:pPr>
              <w:pStyle w:val="637"/>
              <w:ind w:firstLine="422"/>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bidi="ar"/>
              </w:rPr>
              <w:t xml:space="preserve">满足以上</w:t>
            </w:r>
            <w:r>
              <w:rPr>
                <w:rFonts w:hint="eastAsia" w:ascii="宋体" w:hAnsi="宋体" w:eastAsia="宋体" w:cs="宋体"/>
                <w:b/>
                <w:bCs/>
                <w:color w:val="000000"/>
                <w:sz w:val="21"/>
                <w:szCs w:val="21"/>
                <w:highlight w:val="none"/>
                <w:lang w:val="en-US" w:eastAsia="zh-CN" w:bidi="ar"/>
              </w:rPr>
              <w:t xml:space="preserve">5</w:t>
            </w:r>
            <w:r>
              <w:rPr>
                <w:rFonts w:hint="eastAsia" w:ascii="宋体" w:hAnsi="宋体" w:eastAsia="宋体" w:cs="宋体"/>
                <w:b/>
                <w:bCs/>
                <w:color w:val="000000"/>
                <w:sz w:val="21"/>
                <w:szCs w:val="21"/>
                <w:highlight w:val="none"/>
                <w:lang w:val="zh-CN" w:bidi="ar"/>
              </w:rPr>
              <w:t xml:space="preserve">项要求最多得</w:t>
            </w:r>
            <w:r>
              <w:rPr>
                <w:rFonts w:hint="eastAsia" w:ascii="宋体" w:hAnsi="宋体" w:eastAsia="宋体" w:cs="宋体"/>
                <w:b/>
                <w:bCs/>
                <w:color w:val="000000"/>
                <w:sz w:val="21"/>
                <w:szCs w:val="21"/>
                <w:highlight w:val="none"/>
                <w:lang w:val="en-US" w:eastAsia="zh-CN" w:bidi="ar"/>
              </w:rPr>
              <w:t xml:space="preserve">15</w:t>
            </w:r>
            <w:r>
              <w:rPr>
                <w:rFonts w:hint="eastAsia" w:ascii="宋体" w:hAnsi="宋体" w:eastAsia="宋体" w:cs="宋体"/>
                <w:b/>
                <w:bCs/>
                <w:color w:val="000000"/>
                <w:sz w:val="21"/>
                <w:szCs w:val="21"/>
                <w:highlight w:val="none"/>
                <w:lang w:val="zh-CN" w:bidi="ar"/>
              </w:rPr>
              <w:t xml:space="preserve">分；满足任意</w:t>
            </w:r>
            <w:r>
              <w:rPr>
                <w:rFonts w:hint="eastAsia" w:ascii="宋体" w:hAnsi="宋体" w:eastAsia="宋体" w:cs="宋体"/>
                <w:b/>
                <w:bCs/>
                <w:color w:val="000000"/>
                <w:sz w:val="21"/>
                <w:szCs w:val="21"/>
                <w:highlight w:val="none"/>
                <w:lang w:bidi="ar"/>
              </w:rPr>
              <w:t xml:space="preserve">1</w:t>
            </w:r>
            <w:r>
              <w:rPr>
                <w:rFonts w:hint="eastAsia" w:ascii="宋体" w:hAnsi="宋体" w:eastAsia="宋体" w:cs="宋体"/>
                <w:b/>
                <w:bCs/>
                <w:color w:val="000000"/>
                <w:sz w:val="21"/>
                <w:szCs w:val="21"/>
                <w:highlight w:val="none"/>
                <w:lang w:val="zh-CN" w:bidi="ar"/>
              </w:rPr>
              <w:t xml:space="preserve">项得</w:t>
            </w:r>
            <w:r>
              <w:rPr>
                <w:rFonts w:hint="eastAsia" w:ascii="宋体" w:hAnsi="宋体" w:eastAsia="宋体" w:cs="宋体"/>
                <w:b/>
                <w:bCs/>
                <w:color w:val="000000"/>
                <w:sz w:val="21"/>
                <w:szCs w:val="21"/>
                <w:highlight w:val="none"/>
                <w:lang w:val="en-US" w:eastAsia="zh-CN" w:bidi="ar"/>
              </w:rPr>
              <w:t xml:space="preserve">3</w:t>
            </w:r>
            <w:r>
              <w:rPr>
                <w:rFonts w:hint="eastAsia" w:ascii="宋体" w:hAnsi="宋体" w:eastAsia="宋体" w:cs="宋体"/>
                <w:b/>
                <w:bCs/>
                <w:color w:val="000000"/>
                <w:sz w:val="21"/>
                <w:szCs w:val="21"/>
                <w:highlight w:val="none"/>
                <w:lang w:val="zh-CN" w:bidi="ar"/>
              </w:rPr>
              <w:t xml:space="preserve">分；其余情况不得分。</w:t>
            </w:r>
            <w:r>
              <w:rPr>
                <w:rFonts w:hint="eastAsia" w:ascii="宋体" w:hAnsi="宋体" w:eastAsia="宋体" w:cs="宋体"/>
                <w:b/>
                <w:bCs/>
                <w:color w:val="000000"/>
                <w:sz w:val="21"/>
                <w:szCs w:val="21"/>
                <w:highlight w:val="none"/>
                <w:lang w:val="zh-CN" w:bidi="ar"/>
              </w:rPr>
            </w:r>
            <w:r>
              <w:rPr>
                <w:highlight w:val="none"/>
              </w:rPr>
            </w:r>
          </w:p>
          <w:p>
            <w:pPr>
              <w:pStyle w:val="637"/>
              <w:ind w:firstLine="422"/>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bidi="ar"/>
              </w:rPr>
              <w:t xml:space="preserve">注：评审委员会根据各供应商的具体响应内容按照以下量化的评审因素指标对各项要求进行评审：</w:t>
            </w:r>
            <w:r>
              <w:rPr>
                <w:rFonts w:hint="eastAsia" w:ascii="宋体" w:hAnsi="宋体" w:eastAsia="宋体" w:cs="宋体"/>
                <w:b/>
                <w:bCs/>
                <w:color w:val="000000"/>
                <w:sz w:val="21"/>
                <w:szCs w:val="21"/>
                <w:highlight w:val="none"/>
                <w:lang w:val="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bidi="ar"/>
              </w:rPr>
              <w:t xml:space="preserve">1、方案完整，专业、可行，考虑周全，思路特别清晰，符合项目需求该项得</w:t>
            </w:r>
            <w:r>
              <w:rPr>
                <w:rFonts w:hint="eastAsia" w:ascii="宋体" w:hAnsi="宋体" w:eastAsia="宋体" w:cs="宋体"/>
                <w:b w:val="0"/>
                <w:bCs w:val="0"/>
                <w:color w:val="000000"/>
                <w:sz w:val="21"/>
                <w:szCs w:val="21"/>
                <w:highlight w:val="none"/>
                <w:lang w:val="en-US" w:eastAsia="zh-CN" w:bidi="ar"/>
              </w:rPr>
              <w:t xml:space="preserve">3</w:t>
            </w:r>
            <w:r>
              <w:rPr>
                <w:rFonts w:hint="eastAsia" w:ascii="宋体" w:hAnsi="宋体" w:eastAsia="宋体" w:cs="宋体"/>
                <w:b w:val="0"/>
                <w:bCs w:val="0"/>
                <w:color w:val="000000"/>
                <w:sz w:val="21"/>
                <w:szCs w:val="21"/>
                <w:highlight w:val="none"/>
                <w:lang w:val="zh-CN" w:bidi="ar"/>
              </w:rPr>
              <w:t xml:space="preserve">分；</w:t>
            </w:r>
            <w:r>
              <w:rPr>
                <w:rFonts w:hint="eastAsia" w:ascii="宋体" w:hAnsi="宋体" w:eastAsia="宋体" w:cs="宋体"/>
                <w:b w:val="0"/>
                <w:bCs w:val="0"/>
                <w:color w:val="000000"/>
                <w:sz w:val="21"/>
                <w:szCs w:val="21"/>
                <w:highlight w:val="none"/>
                <w:lang w:val="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bidi="ar"/>
              </w:rPr>
              <w:t xml:space="preserve">2、方案</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bidi="ar"/>
              </w:rPr>
              <w:t xml:space="preserve">完整、思路</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bidi="ar"/>
              </w:rPr>
              <w:t xml:space="preserve">清晰，与项目需求响应度低，该项得</w:t>
            </w:r>
            <w:r>
              <w:rPr>
                <w:rFonts w:hint="eastAsia" w:ascii="宋体" w:hAnsi="宋体" w:eastAsia="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val="zh-CN" w:bidi="ar"/>
              </w:rPr>
              <w:t xml:space="preserve">分；</w:t>
            </w:r>
            <w:r>
              <w:rPr>
                <w:rFonts w:hint="eastAsia" w:ascii="宋体" w:hAnsi="宋体" w:eastAsia="宋体" w:cs="宋体"/>
                <w:b w:val="0"/>
                <w:bCs w:val="0"/>
                <w:color w:val="000000"/>
                <w:sz w:val="21"/>
                <w:szCs w:val="21"/>
                <w:highlight w:val="none"/>
                <w:lang w:val="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bidi="ar"/>
              </w:rPr>
              <w:t xml:space="preserve">3、方案</w:t>
            </w:r>
            <w:r>
              <w:rPr>
                <w:rFonts w:hint="eastAsia" w:ascii="宋体" w:hAnsi="宋体" w:eastAsia="宋体" w:cs="宋体"/>
                <w:b w:val="0"/>
                <w:bCs w:val="0"/>
                <w:color w:val="000000"/>
                <w:sz w:val="21"/>
                <w:szCs w:val="21"/>
                <w:highlight w:val="none"/>
                <w:lang w:val="en-US" w:eastAsia="zh-CN" w:bidi="ar"/>
              </w:rPr>
              <w:t xml:space="preserve">简单</w:t>
            </w:r>
            <w:r>
              <w:rPr>
                <w:rFonts w:hint="eastAsia" w:ascii="宋体" w:hAnsi="宋体" w:eastAsia="宋体" w:cs="宋体"/>
                <w:b w:val="0"/>
                <w:bCs w:val="0"/>
                <w:color w:val="000000"/>
                <w:sz w:val="21"/>
                <w:szCs w:val="21"/>
                <w:highlight w:val="none"/>
                <w:lang w:val="zh-CN" w:bidi="ar"/>
              </w:rPr>
              <w:t xml:space="preserve">，与项目需求</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bidi="ar"/>
              </w:rPr>
              <w:t xml:space="preserve">响应该项得</w:t>
            </w: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eastAsia="宋体" w:cs="宋体"/>
                <w:b w:val="0"/>
                <w:bCs w:val="0"/>
                <w:color w:val="000000"/>
                <w:sz w:val="21"/>
                <w:szCs w:val="21"/>
                <w:highlight w:val="none"/>
                <w:lang w:val="zh-CN" w:bidi="ar"/>
              </w:rPr>
              <w:t xml:space="preserve">分。</w:t>
            </w:r>
            <w:r>
              <w:rPr>
                <w:rFonts w:hint="eastAsia" w:ascii="宋体" w:hAnsi="宋体" w:eastAsia="宋体" w:cs="宋体"/>
                <w:b w:val="0"/>
                <w:bCs w:val="0"/>
                <w:color w:val="000000"/>
                <w:sz w:val="21"/>
                <w:szCs w:val="21"/>
                <w:highlight w:val="none"/>
                <w:lang w:val="zh-CN" w:bidi="ar"/>
              </w:rPr>
            </w:r>
            <w:r>
              <w:rPr>
                <w:highlight w:val="none"/>
              </w:rPr>
            </w:r>
          </w:p>
          <w:p>
            <w:pPr>
              <w:pStyle w:val="638"/>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xml:space="preserve">   </w:t>
            </w:r>
            <w:r>
              <w:rPr>
                <w:rFonts w:hint="eastAsia" w:ascii="宋体" w:hAnsi="宋体" w:eastAsia="宋体" w:cs="宋体"/>
                <w:b w:val="0"/>
                <w:bCs w:val="0"/>
                <w:color w:val="000000"/>
                <w:sz w:val="21"/>
                <w:szCs w:val="21"/>
                <w:highlight w:val="none"/>
                <w:lang w:val="zh-CN" w:eastAsia="zh-CN" w:bidi="ar"/>
              </w:rPr>
              <w:t xml:space="preserve">4、不提供或者经评标委员会认定非常差的不得分。</w:t>
            </w:r>
            <w:r>
              <w:rPr>
                <w:rFonts w:hint="eastAsia" w:ascii="宋体" w:hAnsi="宋体" w:eastAsia="宋体" w:cs="宋体"/>
                <w:b w:val="0"/>
                <w:bCs w:val="0"/>
                <w:color w:val="000000"/>
                <w:sz w:val="21"/>
                <w:szCs w:val="21"/>
                <w:highlight w:val="none"/>
                <w:lang w:val="zh-CN" w:eastAsia="zh-CN" w:bidi="ar"/>
              </w:rPr>
            </w:r>
            <w:r>
              <w:rPr>
                <w:highlight w:val="none"/>
              </w:rPr>
            </w:r>
          </w:p>
        </w:tc>
      </w:tr>
      <w:tr>
        <w:trPr>
          <w:trHeight w:val="543"/>
          <w:tblHeader/>
        </w:trPr>
        <w:tc>
          <w:tcPr>
            <w:tcW w:w="575"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c>
          <w:tcPr>
            <w:tcW w:w="1118"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c>
          <w:tcPr>
            <w:tcW w:w="1352" w:type="dxa"/>
            <w:vAlign w:val="center"/>
            <w:textDirection w:val="lrTb"/>
            <w:noWrap w:val="false"/>
          </w:tcPr>
          <w:p>
            <w:pPr>
              <w:pStyle w:val="637"/>
              <w:jc w:val="center"/>
              <w:keepLines w:val="0"/>
              <w:keepNext w:val="0"/>
              <w:pageBreakBefore w:val="0"/>
              <w:spacing w:line="4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数据资源</w:t>
            </w:r>
            <w:r>
              <w:rPr>
                <w:rFonts w:hint="eastAsia" w:ascii="Times New Roman" w:hAnsi="Times New Roman" w:cs="Times New Roman"/>
                <w:color w:val="000000"/>
                <w:highlight w:val="none"/>
                <w:lang w:val="en-US" w:eastAsia="zh-CN"/>
              </w:rPr>
              <w:t xml:space="preserve">设计</w:t>
            </w:r>
            <w:r>
              <w:rPr>
                <w:rFonts w:ascii="Times New Roman" w:hAnsi="Times New Roman" w:cs="Times New Roman"/>
                <w:color w:val="000000"/>
                <w:highlight w:val="none"/>
              </w:rPr>
              <w:t xml:space="preserve">方案</w:t>
            </w:r>
            <w:r>
              <w:rPr>
                <w:rFonts w:ascii="Times New Roman" w:hAnsi="Times New Roman" w:cs="Times New Roman"/>
                <w:color w:val="000000"/>
                <w:highlight w:val="none"/>
              </w:rPr>
            </w:r>
            <w:r>
              <w:rPr>
                <w:highlight w:val="none"/>
              </w:rPr>
            </w:r>
          </w:p>
        </w:tc>
        <w:tc>
          <w:tcPr>
            <w:tcW w:w="818" w:type="dxa"/>
            <w:vAlign w:val="center"/>
            <w:textDirection w:val="lrTb"/>
            <w:noWrap w:val="false"/>
          </w:tcPr>
          <w:p>
            <w:pPr>
              <w:pStyle w:val="637"/>
              <w:jc w:val="center"/>
              <w:keepLines w:val="0"/>
              <w:keepNext w:val="0"/>
              <w:pageBreakBefore w:val="0"/>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rPr>
                <w:highlight w:val="none"/>
              </w:rPr>
            </w:r>
          </w:p>
        </w:tc>
        <w:tc>
          <w:tcPr>
            <w:tcW w:w="5499" w:type="dxa"/>
            <w:vAlign w:val="center"/>
            <w:textDirection w:val="lrTb"/>
            <w:noWrap w:val="false"/>
          </w:tcPr>
          <w:p>
            <w:pPr>
              <w:pStyle w:val="637"/>
              <w:ind w:firstLine="371"/>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评标委员会根据投标人</w:t>
            </w:r>
            <w:r>
              <w:rPr>
                <w:rFonts w:ascii="宋体" w:hAnsi="宋体" w:eastAsia="宋体" w:cs="宋体"/>
                <w:color w:val="000000"/>
                <w:sz w:val="21"/>
                <w:szCs w:val="21"/>
                <w:highlight w:val="none"/>
              </w:rPr>
              <w:t xml:space="preserve">数据资源</w:t>
            </w:r>
            <w:r>
              <w:rPr>
                <w:rFonts w:hint="eastAsia" w:ascii="宋体" w:hAnsi="宋体" w:eastAsia="宋体" w:cs="宋体"/>
                <w:color w:val="000000"/>
                <w:sz w:val="21"/>
                <w:szCs w:val="21"/>
                <w:highlight w:val="none"/>
                <w:lang w:val="en-US" w:eastAsia="zh-CN"/>
              </w:rPr>
              <w:t xml:space="preserve">设计</w:t>
            </w:r>
            <w:r>
              <w:rPr>
                <w:rFonts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包含</w:t>
            </w:r>
            <w:r>
              <w:rPr>
                <w:rFonts w:hint="eastAsia" w:ascii="宋体" w:hAnsi="宋体" w:eastAsia="宋体" w:cs="宋体"/>
                <w:color w:val="000000"/>
                <w:sz w:val="21"/>
                <w:szCs w:val="21"/>
                <w:highlight w:val="none"/>
              </w:rPr>
              <w:t xml:space="preserve">本期</w:t>
            </w:r>
            <w:r>
              <w:rPr>
                <w:rFonts w:hint="eastAsia" w:ascii="宋体" w:hAnsi="宋体" w:eastAsia="宋体" w:cs="宋体"/>
                <w:color w:val="000000"/>
                <w:sz w:val="21"/>
                <w:szCs w:val="21"/>
                <w:highlight w:val="none"/>
                <w:lang w:val="en-US" w:eastAsia="zh-CN"/>
              </w:rPr>
              <w:t xml:space="preserve">建成后的公共数据开放建议</w:t>
            </w:r>
            <w:r>
              <w:rPr>
                <w:rFonts w:hint="eastAsia" w:ascii="宋体" w:hAnsi="宋体" w:eastAsia="宋体" w:cs="宋体"/>
                <w:color w:val="000000"/>
                <w:sz w:val="21"/>
                <w:szCs w:val="21"/>
                <w:highlight w:val="none"/>
              </w:rPr>
              <w:t xml:space="preserve">目录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与</w:t>
            </w:r>
            <w:r>
              <w:rPr>
                <w:rFonts w:hint="eastAsia" w:ascii="宋体" w:hAnsi="宋体" w:eastAsia="宋体" w:cs="宋体"/>
                <w:color w:val="000000"/>
                <w:sz w:val="21"/>
                <w:szCs w:val="21"/>
                <w:highlight w:val="none"/>
              </w:rPr>
              <w:t xml:space="preserve">东台市</w:t>
            </w:r>
            <w:r>
              <w:rPr>
                <w:rFonts w:hint="eastAsia" w:ascii="宋体" w:hAnsi="宋体" w:eastAsia="宋体" w:cs="宋体"/>
                <w:color w:val="000000"/>
                <w:sz w:val="21"/>
                <w:szCs w:val="21"/>
                <w:highlight w:val="none"/>
                <w:lang w:val="en-US" w:eastAsia="zh-CN"/>
              </w:rPr>
              <w:t xml:space="preserve">数据</w:t>
            </w:r>
            <w:r>
              <w:rPr>
                <w:rFonts w:hint="eastAsia" w:ascii="宋体" w:hAnsi="宋体" w:eastAsia="宋体" w:cs="宋体"/>
                <w:color w:val="000000"/>
                <w:sz w:val="21"/>
                <w:szCs w:val="21"/>
                <w:highlight w:val="none"/>
              </w:rPr>
              <w:t xml:space="preserve">共享交换平台对接</w:t>
            </w:r>
            <w:r>
              <w:rPr>
                <w:rFonts w:hint="eastAsia" w:ascii="宋体" w:hAnsi="宋体" w:eastAsia="宋体" w:cs="宋体"/>
                <w:color w:val="000000"/>
                <w:sz w:val="21"/>
                <w:szCs w:val="21"/>
                <w:highlight w:val="none"/>
                <w:lang w:val="en-US" w:eastAsia="zh-CN"/>
              </w:rPr>
              <w:t xml:space="preserve">方案等方面进行</w:t>
            </w: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lang w:val="en-US" w:eastAsia="zh-CN"/>
              </w:rPr>
            </w:r>
            <w:r>
              <w:rPr>
                <w:highlight w:val="none"/>
              </w:rPr>
            </w:r>
          </w:p>
          <w:p>
            <w:pPr>
              <w:pStyle w:val="637"/>
              <w:ind w:firstLine="422"/>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bidi="ar"/>
              </w:rPr>
              <w:t xml:space="preserve">满足以上</w:t>
            </w:r>
            <w:r>
              <w:rPr>
                <w:rFonts w:hint="eastAsia" w:ascii="宋体" w:hAnsi="宋体" w:eastAsia="宋体" w:cs="宋体"/>
                <w:b/>
                <w:bCs/>
                <w:color w:val="000000"/>
                <w:sz w:val="21"/>
                <w:szCs w:val="21"/>
                <w:highlight w:val="none"/>
                <w:lang w:val="en-US" w:eastAsia="zh-CN" w:bidi="ar"/>
              </w:rPr>
              <w:t xml:space="preserve">2</w:t>
            </w:r>
            <w:r>
              <w:rPr>
                <w:rFonts w:hint="eastAsia" w:ascii="宋体" w:hAnsi="宋体" w:eastAsia="宋体" w:cs="宋体"/>
                <w:b/>
                <w:bCs/>
                <w:color w:val="000000"/>
                <w:sz w:val="21"/>
                <w:szCs w:val="21"/>
                <w:highlight w:val="none"/>
                <w:lang w:val="zh-CN" w:bidi="ar"/>
              </w:rPr>
              <w:t xml:space="preserve">项要求最多得</w:t>
            </w:r>
            <w:r>
              <w:rPr>
                <w:rFonts w:hint="eastAsia" w:ascii="宋体" w:hAnsi="宋体" w:eastAsia="宋体" w:cs="宋体"/>
                <w:b/>
                <w:bCs/>
                <w:color w:val="000000"/>
                <w:sz w:val="21"/>
                <w:szCs w:val="21"/>
                <w:highlight w:val="none"/>
                <w:lang w:val="en-US" w:eastAsia="zh-CN" w:bidi="ar"/>
              </w:rPr>
              <w:t xml:space="preserve">6</w:t>
            </w:r>
            <w:r>
              <w:rPr>
                <w:rFonts w:hint="eastAsia" w:ascii="宋体" w:hAnsi="宋体" w:eastAsia="宋体" w:cs="宋体"/>
                <w:b/>
                <w:bCs/>
                <w:color w:val="000000"/>
                <w:sz w:val="21"/>
                <w:szCs w:val="21"/>
                <w:highlight w:val="none"/>
                <w:lang w:val="zh-CN" w:bidi="ar"/>
              </w:rPr>
              <w:t xml:space="preserve">分；满足任意</w:t>
            </w:r>
            <w:r>
              <w:rPr>
                <w:rFonts w:hint="eastAsia" w:ascii="宋体" w:hAnsi="宋体" w:eastAsia="宋体" w:cs="宋体"/>
                <w:b/>
                <w:bCs/>
                <w:color w:val="000000"/>
                <w:sz w:val="21"/>
                <w:szCs w:val="21"/>
                <w:highlight w:val="none"/>
                <w:lang w:bidi="ar"/>
              </w:rPr>
              <w:t xml:space="preserve">1</w:t>
            </w:r>
            <w:r>
              <w:rPr>
                <w:rFonts w:hint="eastAsia" w:ascii="宋体" w:hAnsi="宋体" w:eastAsia="宋体" w:cs="宋体"/>
                <w:b/>
                <w:bCs/>
                <w:color w:val="000000"/>
                <w:sz w:val="21"/>
                <w:szCs w:val="21"/>
                <w:highlight w:val="none"/>
                <w:lang w:val="zh-CN" w:bidi="ar"/>
              </w:rPr>
              <w:t xml:space="preserve">项得</w:t>
            </w:r>
            <w:r>
              <w:rPr>
                <w:rFonts w:hint="eastAsia" w:ascii="宋体" w:hAnsi="宋体" w:eastAsia="宋体" w:cs="宋体"/>
                <w:b/>
                <w:bCs/>
                <w:color w:val="000000"/>
                <w:sz w:val="21"/>
                <w:szCs w:val="21"/>
                <w:highlight w:val="none"/>
                <w:lang w:val="en-US" w:eastAsia="zh-CN" w:bidi="ar"/>
              </w:rPr>
              <w:t xml:space="preserve">3</w:t>
            </w:r>
            <w:r>
              <w:rPr>
                <w:rFonts w:hint="eastAsia" w:ascii="宋体" w:hAnsi="宋体" w:eastAsia="宋体" w:cs="宋体"/>
                <w:b/>
                <w:bCs/>
                <w:color w:val="000000"/>
                <w:sz w:val="21"/>
                <w:szCs w:val="21"/>
                <w:highlight w:val="none"/>
                <w:lang w:val="zh-CN" w:bidi="ar"/>
              </w:rPr>
              <w:t xml:space="preserve">分；其余情况不得分。</w:t>
            </w:r>
            <w:r>
              <w:rPr>
                <w:rFonts w:hint="eastAsia" w:ascii="宋体" w:hAnsi="宋体" w:eastAsia="宋体" w:cs="宋体"/>
                <w:b/>
                <w:bCs/>
                <w:color w:val="000000"/>
                <w:sz w:val="21"/>
                <w:szCs w:val="21"/>
                <w:highlight w:val="none"/>
                <w:lang w:val="zh-CN" w:bidi="ar"/>
              </w:rPr>
            </w:r>
            <w:r>
              <w:rPr>
                <w:highlight w:val="none"/>
              </w:rPr>
            </w:r>
          </w:p>
          <w:p>
            <w:pPr>
              <w:pStyle w:val="637"/>
              <w:ind w:firstLine="422"/>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bidi="ar"/>
              </w:rPr>
              <w:t xml:space="preserve">注：评审委员会根据各供应商的具体响应内容按照以下量化的评审因素指标对各项要求进行评审：</w:t>
            </w:r>
            <w:r>
              <w:rPr>
                <w:rFonts w:hint="eastAsia" w:ascii="宋体" w:hAnsi="宋体" w:eastAsia="宋体" w:cs="宋体"/>
                <w:b/>
                <w:bCs/>
                <w:color w:val="000000"/>
                <w:sz w:val="21"/>
                <w:szCs w:val="21"/>
                <w:highlight w:val="none"/>
                <w:lang w:val="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bidi="ar"/>
              </w:rPr>
              <w:t xml:space="preserve">1、方案完整，专业、可行，考虑周全，思路特别清晰，符合项目需求该项得</w:t>
            </w:r>
            <w:r>
              <w:rPr>
                <w:rFonts w:hint="eastAsia" w:ascii="宋体" w:hAnsi="宋体" w:eastAsia="宋体" w:cs="宋体"/>
                <w:b w:val="0"/>
                <w:bCs w:val="0"/>
                <w:color w:val="000000"/>
                <w:sz w:val="21"/>
                <w:szCs w:val="21"/>
                <w:highlight w:val="none"/>
                <w:lang w:val="en-US" w:eastAsia="zh-CN" w:bidi="ar"/>
              </w:rPr>
              <w:t xml:space="preserve">3</w:t>
            </w:r>
            <w:r>
              <w:rPr>
                <w:rFonts w:hint="eastAsia" w:ascii="宋体" w:hAnsi="宋体" w:eastAsia="宋体" w:cs="宋体"/>
                <w:b w:val="0"/>
                <w:bCs w:val="0"/>
                <w:color w:val="000000"/>
                <w:sz w:val="21"/>
                <w:szCs w:val="21"/>
                <w:highlight w:val="none"/>
                <w:lang w:val="zh-CN" w:bidi="ar"/>
              </w:rPr>
              <w:t xml:space="preserve">分；</w:t>
            </w:r>
            <w:r>
              <w:rPr>
                <w:rFonts w:hint="eastAsia" w:ascii="宋体" w:hAnsi="宋体" w:eastAsia="宋体" w:cs="宋体"/>
                <w:b w:val="0"/>
                <w:bCs w:val="0"/>
                <w:color w:val="000000"/>
                <w:sz w:val="21"/>
                <w:szCs w:val="21"/>
                <w:highlight w:val="none"/>
                <w:lang w:val="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bidi="ar"/>
              </w:rPr>
              <w:t xml:space="preserve">2、方案</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bidi="ar"/>
              </w:rPr>
              <w:t xml:space="preserve">完整、思路</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bidi="ar"/>
              </w:rPr>
              <w:t xml:space="preserve">清晰，与项目需求响应度低，该项得</w:t>
            </w:r>
            <w:r>
              <w:rPr>
                <w:rFonts w:hint="eastAsia" w:ascii="宋体" w:hAnsi="宋体" w:eastAsia="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val="zh-CN" w:bidi="ar"/>
              </w:rPr>
              <w:t xml:space="preserve">分；</w:t>
            </w:r>
            <w:r>
              <w:rPr>
                <w:rFonts w:hint="eastAsia" w:ascii="宋体" w:hAnsi="宋体" w:eastAsia="宋体" w:cs="宋体"/>
                <w:b w:val="0"/>
                <w:bCs w:val="0"/>
                <w:color w:val="000000"/>
                <w:sz w:val="21"/>
                <w:szCs w:val="21"/>
                <w:highlight w:val="none"/>
                <w:lang w:val="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bidi="ar"/>
              </w:rPr>
              <w:t xml:space="preserve">3、方案</w:t>
            </w:r>
            <w:r>
              <w:rPr>
                <w:rFonts w:hint="eastAsia" w:ascii="宋体" w:hAnsi="宋体" w:eastAsia="宋体" w:cs="宋体"/>
                <w:b w:val="0"/>
                <w:bCs w:val="0"/>
                <w:color w:val="000000"/>
                <w:sz w:val="21"/>
                <w:szCs w:val="21"/>
                <w:highlight w:val="none"/>
                <w:lang w:val="en-US" w:eastAsia="zh-CN" w:bidi="ar"/>
              </w:rPr>
              <w:t xml:space="preserve">简单</w:t>
            </w:r>
            <w:r>
              <w:rPr>
                <w:rFonts w:hint="eastAsia" w:ascii="宋体" w:hAnsi="宋体" w:eastAsia="宋体" w:cs="宋体"/>
                <w:b w:val="0"/>
                <w:bCs w:val="0"/>
                <w:color w:val="000000"/>
                <w:sz w:val="21"/>
                <w:szCs w:val="21"/>
                <w:highlight w:val="none"/>
                <w:lang w:val="zh-CN" w:bidi="ar"/>
              </w:rPr>
              <w:t xml:space="preserve">，与项目需求</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bidi="ar"/>
              </w:rPr>
              <w:t xml:space="preserve">响应该项得</w:t>
            </w: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eastAsia="宋体" w:cs="宋体"/>
                <w:b w:val="0"/>
                <w:bCs w:val="0"/>
                <w:color w:val="000000"/>
                <w:sz w:val="21"/>
                <w:szCs w:val="21"/>
                <w:highlight w:val="none"/>
                <w:lang w:val="zh-CN" w:bidi="ar"/>
              </w:rPr>
              <w:t xml:space="preserve">分。</w:t>
            </w:r>
            <w:r>
              <w:rPr>
                <w:rFonts w:hint="eastAsia" w:ascii="宋体" w:hAnsi="宋体" w:eastAsia="宋体" w:cs="宋体"/>
                <w:b w:val="0"/>
                <w:bCs w:val="0"/>
                <w:color w:val="000000"/>
                <w:sz w:val="21"/>
                <w:szCs w:val="21"/>
                <w:highlight w:val="none"/>
                <w:lang w:val="zh-CN" w:bidi="ar"/>
              </w:rPr>
            </w:r>
            <w:r>
              <w:rPr>
                <w:highlight w:val="none"/>
              </w:rPr>
            </w:r>
          </w:p>
          <w:p>
            <w:pPr>
              <w:pStyle w:val="638"/>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xml:space="preserve">   </w:t>
            </w:r>
            <w:r>
              <w:rPr>
                <w:rFonts w:hint="eastAsia" w:ascii="宋体" w:hAnsi="宋体" w:eastAsia="宋体" w:cs="宋体"/>
                <w:b w:val="0"/>
                <w:bCs w:val="0"/>
                <w:color w:val="000000"/>
                <w:sz w:val="21"/>
                <w:szCs w:val="21"/>
                <w:highlight w:val="none"/>
                <w:lang w:val="zh-CN" w:eastAsia="zh-CN" w:bidi="ar"/>
              </w:rPr>
              <w:t xml:space="preserve">4、不提供或者经评标委员会认定非常差的不得分。</w:t>
            </w:r>
            <w:r>
              <w:rPr>
                <w:rFonts w:hint="eastAsia" w:ascii="宋体" w:hAnsi="宋体" w:eastAsia="宋体" w:cs="宋体"/>
                <w:b w:val="0"/>
                <w:bCs w:val="0"/>
                <w:color w:val="000000"/>
                <w:sz w:val="21"/>
                <w:szCs w:val="21"/>
                <w:highlight w:val="none"/>
                <w:lang w:val="en-US" w:eastAsia="zh-CN" w:bidi="ar"/>
              </w:rPr>
            </w:r>
            <w:r>
              <w:rPr>
                <w:highlight w:val="none"/>
              </w:rPr>
            </w:r>
          </w:p>
        </w:tc>
      </w:tr>
      <w:tr>
        <w:trPr>
          <w:trHeight w:val="543"/>
          <w:tblHeader/>
        </w:trPr>
        <w:tc>
          <w:tcPr>
            <w:tcW w:w="575"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c>
          <w:tcPr>
            <w:tcW w:w="1118"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c>
          <w:tcPr>
            <w:tcW w:w="1352" w:type="dxa"/>
            <w:vAlign w:val="center"/>
            <w:textDirection w:val="lrTb"/>
            <w:noWrap w:val="false"/>
          </w:tcPr>
          <w:p>
            <w:pPr>
              <w:pStyle w:val="637"/>
              <w:jc w:val="center"/>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培训方案</w:t>
            </w:r>
            <w:r>
              <w:rPr>
                <w:rFonts w:hint="eastAsia" w:ascii="宋体" w:hAnsi="宋体" w:cs="宋体"/>
                <w:color w:val="000000"/>
                <w:sz w:val="21"/>
                <w:szCs w:val="21"/>
                <w:highlight w:val="none"/>
                <w:lang w:val="en-US" w:eastAsia="zh-CN" w:bidi="ar"/>
              </w:rPr>
            </w:r>
            <w:r>
              <w:rPr>
                <w:highlight w:val="none"/>
              </w:rPr>
            </w:r>
          </w:p>
        </w:tc>
        <w:tc>
          <w:tcPr>
            <w:tcW w:w="818" w:type="dxa"/>
            <w:vAlign w:val="center"/>
            <w:textDirection w:val="lrTb"/>
            <w:noWrap w:val="false"/>
          </w:tcPr>
          <w:p>
            <w:pPr>
              <w:pStyle w:val="637"/>
              <w:jc w:val="center"/>
              <w:keepLines w:val="0"/>
              <w:keepNext w:val="0"/>
              <w:pageBreakBefore w:val="0"/>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bidi="ar"/>
              </w:rPr>
            </w:r>
            <w:r>
              <w:rPr>
                <w:highlight w:val="none"/>
              </w:rPr>
            </w:r>
          </w:p>
        </w:tc>
        <w:tc>
          <w:tcPr>
            <w:tcW w:w="5499" w:type="dxa"/>
            <w:vAlign w:val="center"/>
            <w:textDirection w:val="lrTb"/>
            <w:noWrap w:val="false"/>
          </w:tcPr>
          <w:p>
            <w:pPr>
              <w:pStyle w:val="637"/>
              <w:ind w:firstLine="371"/>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评标委员会根据投标人所提供的人员培训方案，</w:t>
            </w:r>
            <w:r>
              <w:rPr>
                <w:rFonts w:hint="eastAsia" w:ascii="宋体" w:hAnsi="宋体" w:eastAsia="宋体" w:cs="宋体"/>
                <w:color w:val="000000"/>
                <w:sz w:val="21"/>
                <w:szCs w:val="21"/>
                <w:highlight w:val="none"/>
                <w:lang w:val="en-US" w:eastAsia="zh-CN"/>
              </w:rPr>
              <w:t xml:space="preserve">包含培训目的、培训服务原则、培训质量保障、培训时间计划、培训内容等方面进行</w:t>
            </w: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rPr>
            </w:r>
            <w:r>
              <w:rPr>
                <w:highlight w:val="none"/>
              </w:rPr>
            </w:r>
          </w:p>
          <w:p>
            <w:pPr>
              <w:pStyle w:val="637"/>
              <w:ind w:firstLine="422"/>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bidi="ar"/>
              </w:rPr>
              <w:t xml:space="preserve">满足以上</w:t>
            </w:r>
            <w:r>
              <w:rPr>
                <w:rFonts w:hint="eastAsia" w:ascii="宋体" w:hAnsi="宋体" w:eastAsia="宋体" w:cs="宋体"/>
                <w:b/>
                <w:bCs/>
                <w:color w:val="000000"/>
                <w:sz w:val="21"/>
                <w:szCs w:val="21"/>
                <w:highlight w:val="none"/>
                <w:lang w:val="en-US" w:eastAsia="zh-CN" w:bidi="ar"/>
              </w:rPr>
              <w:t xml:space="preserve">5</w:t>
            </w:r>
            <w:r>
              <w:rPr>
                <w:rFonts w:hint="eastAsia" w:ascii="宋体" w:hAnsi="宋体" w:eastAsia="宋体" w:cs="宋体"/>
                <w:b/>
                <w:bCs/>
                <w:color w:val="000000"/>
                <w:sz w:val="21"/>
                <w:szCs w:val="21"/>
                <w:highlight w:val="none"/>
                <w:lang w:val="zh-CN" w:bidi="ar"/>
              </w:rPr>
              <w:t xml:space="preserve">项要求最多得</w:t>
            </w:r>
            <w:r>
              <w:rPr>
                <w:rFonts w:hint="eastAsia" w:ascii="宋体" w:hAnsi="宋体" w:eastAsia="宋体" w:cs="宋体"/>
                <w:b/>
                <w:bCs/>
                <w:color w:val="000000"/>
                <w:sz w:val="21"/>
                <w:szCs w:val="21"/>
                <w:highlight w:val="none"/>
                <w:lang w:val="en-US" w:eastAsia="zh-CN" w:bidi="ar"/>
              </w:rPr>
              <w:t xml:space="preserve">5</w:t>
            </w:r>
            <w:r>
              <w:rPr>
                <w:rFonts w:hint="eastAsia" w:ascii="宋体" w:hAnsi="宋体" w:eastAsia="宋体" w:cs="宋体"/>
                <w:b/>
                <w:bCs/>
                <w:color w:val="000000"/>
                <w:sz w:val="21"/>
                <w:szCs w:val="21"/>
                <w:highlight w:val="none"/>
                <w:lang w:val="zh-CN" w:bidi="ar"/>
              </w:rPr>
              <w:t xml:space="preserve">分；满足任意</w:t>
            </w:r>
            <w:r>
              <w:rPr>
                <w:rFonts w:hint="eastAsia" w:ascii="宋体" w:hAnsi="宋体" w:eastAsia="宋体" w:cs="宋体"/>
                <w:b/>
                <w:bCs/>
                <w:color w:val="000000"/>
                <w:sz w:val="21"/>
                <w:szCs w:val="21"/>
                <w:highlight w:val="none"/>
                <w:lang w:bidi="ar"/>
              </w:rPr>
              <w:t xml:space="preserve">1</w:t>
            </w:r>
            <w:r>
              <w:rPr>
                <w:rFonts w:hint="eastAsia" w:ascii="宋体" w:hAnsi="宋体" w:eastAsia="宋体" w:cs="宋体"/>
                <w:b/>
                <w:bCs/>
                <w:color w:val="000000"/>
                <w:sz w:val="21"/>
                <w:szCs w:val="21"/>
                <w:highlight w:val="none"/>
                <w:lang w:val="zh-CN" w:bidi="ar"/>
              </w:rPr>
              <w:t xml:space="preserve">项得</w:t>
            </w:r>
            <w:r>
              <w:rPr>
                <w:rFonts w:hint="eastAsia" w:ascii="宋体" w:hAnsi="宋体" w:eastAsia="宋体" w:cs="宋体"/>
                <w:b/>
                <w:bCs/>
                <w:color w:val="000000"/>
                <w:sz w:val="21"/>
                <w:szCs w:val="21"/>
                <w:highlight w:val="none"/>
                <w:lang w:val="en-US" w:eastAsia="zh-CN" w:bidi="ar"/>
              </w:rPr>
              <w:t xml:space="preserve">1</w:t>
            </w:r>
            <w:r>
              <w:rPr>
                <w:rFonts w:hint="eastAsia" w:ascii="宋体" w:hAnsi="宋体" w:eastAsia="宋体" w:cs="宋体"/>
                <w:b/>
                <w:bCs/>
                <w:color w:val="000000"/>
                <w:sz w:val="21"/>
                <w:szCs w:val="21"/>
                <w:highlight w:val="none"/>
                <w:lang w:val="zh-CN" w:bidi="ar"/>
              </w:rPr>
              <w:t xml:space="preserve">分；其余情况不得分。</w:t>
            </w:r>
            <w:r>
              <w:rPr>
                <w:rFonts w:hint="eastAsia" w:ascii="宋体" w:hAnsi="宋体" w:eastAsia="宋体" w:cs="宋体"/>
                <w:b/>
                <w:bCs/>
                <w:color w:val="000000"/>
                <w:sz w:val="21"/>
                <w:szCs w:val="21"/>
                <w:highlight w:val="none"/>
                <w:lang w:val="zh-CN" w:bidi="ar"/>
              </w:rPr>
            </w:r>
            <w:r>
              <w:rPr>
                <w:highlight w:val="none"/>
              </w:rPr>
            </w:r>
          </w:p>
          <w:p>
            <w:pPr>
              <w:pStyle w:val="637"/>
              <w:ind w:firstLine="422"/>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bidi="ar"/>
              </w:rPr>
              <w:t xml:space="preserve">注：评审委员会根据各供应商的具体响应内容按照以下量化的评审因素指标对各项要求进行评审：</w:t>
            </w:r>
            <w:r>
              <w:rPr>
                <w:rFonts w:hint="eastAsia" w:ascii="宋体" w:hAnsi="宋体" w:eastAsia="宋体" w:cs="宋体"/>
                <w:b/>
                <w:bCs/>
                <w:color w:val="000000"/>
                <w:sz w:val="21"/>
                <w:szCs w:val="21"/>
                <w:highlight w:val="none"/>
                <w:lang w:val="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bidi="ar"/>
              </w:rPr>
              <w:t xml:space="preserve">1、方案完整，专业、可行，考虑周全，思路特别清晰，符合项目需求该项得</w:t>
            </w: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eastAsia="宋体" w:cs="宋体"/>
                <w:b w:val="0"/>
                <w:bCs w:val="0"/>
                <w:color w:val="000000"/>
                <w:sz w:val="21"/>
                <w:szCs w:val="21"/>
                <w:highlight w:val="none"/>
                <w:lang w:val="zh-CN" w:bidi="ar"/>
              </w:rPr>
              <w:t xml:space="preserve">分；</w:t>
            </w:r>
            <w:r>
              <w:rPr>
                <w:rFonts w:hint="eastAsia" w:ascii="宋体" w:hAnsi="宋体" w:eastAsia="宋体" w:cs="宋体"/>
                <w:b w:val="0"/>
                <w:bCs w:val="0"/>
                <w:color w:val="000000"/>
                <w:sz w:val="21"/>
                <w:szCs w:val="21"/>
                <w:highlight w:val="none"/>
                <w:lang w:val="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bidi="ar"/>
              </w:rPr>
              <w:t xml:space="preserve">2、方案</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bidi="ar"/>
              </w:rPr>
              <w:t xml:space="preserve">完整、思路</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bidi="ar"/>
              </w:rPr>
              <w:t xml:space="preserve">清晰，与项目需求响应度低，该项得</w:t>
            </w:r>
            <w:r>
              <w:rPr>
                <w:rFonts w:hint="eastAsia" w:ascii="宋体" w:hAnsi="宋体" w:eastAsia="宋体" w:cs="宋体"/>
                <w:b w:val="0"/>
                <w:bCs w:val="0"/>
                <w:color w:val="000000"/>
                <w:sz w:val="21"/>
                <w:szCs w:val="21"/>
                <w:highlight w:val="none"/>
                <w:lang w:val="en-US" w:eastAsia="zh-CN" w:bidi="ar"/>
              </w:rPr>
              <w:t xml:space="preserve">0.7</w:t>
            </w:r>
            <w:r>
              <w:rPr>
                <w:rFonts w:hint="eastAsia" w:ascii="宋体" w:hAnsi="宋体" w:eastAsia="宋体" w:cs="宋体"/>
                <w:b w:val="0"/>
                <w:bCs w:val="0"/>
                <w:color w:val="000000"/>
                <w:sz w:val="21"/>
                <w:szCs w:val="21"/>
                <w:highlight w:val="none"/>
                <w:lang w:val="zh-CN" w:bidi="ar"/>
              </w:rPr>
              <w:t xml:space="preserve">分；</w:t>
            </w:r>
            <w:r>
              <w:rPr>
                <w:rFonts w:hint="eastAsia" w:ascii="宋体" w:hAnsi="宋体" w:eastAsia="宋体" w:cs="宋体"/>
                <w:b w:val="0"/>
                <w:bCs w:val="0"/>
                <w:color w:val="000000"/>
                <w:sz w:val="21"/>
                <w:szCs w:val="21"/>
                <w:highlight w:val="none"/>
                <w:lang w:val="zh-CN" w:eastAsia="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eastAsia="zh-CN" w:bidi="ar"/>
              </w:rPr>
              <w:t xml:space="preserve">3、方案</w:t>
            </w:r>
            <w:r>
              <w:rPr>
                <w:rFonts w:hint="eastAsia" w:ascii="宋体" w:hAnsi="宋体" w:eastAsia="宋体" w:cs="宋体"/>
                <w:b w:val="0"/>
                <w:bCs w:val="0"/>
                <w:color w:val="000000"/>
                <w:sz w:val="21"/>
                <w:szCs w:val="21"/>
                <w:highlight w:val="none"/>
                <w:lang w:val="en-US" w:eastAsia="zh-CN" w:bidi="ar"/>
              </w:rPr>
              <w:t xml:space="preserve">简单</w:t>
            </w:r>
            <w:r>
              <w:rPr>
                <w:rFonts w:hint="eastAsia" w:ascii="宋体" w:hAnsi="宋体" w:eastAsia="宋体" w:cs="宋体"/>
                <w:b w:val="0"/>
                <w:bCs w:val="0"/>
                <w:color w:val="000000"/>
                <w:sz w:val="21"/>
                <w:szCs w:val="21"/>
                <w:highlight w:val="none"/>
                <w:lang w:val="zh-CN" w:eastAsia="zh-CN" w:bidi="ar"/>
              </w:rPr>
              <w:t xml:space="preserve">，与项目需求</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eastAsia="zh-CN" w:bidi="ar"/>
              </w:rPr>
              <w:t xml:space="preserve">响应该项得</w:t>
            </w:r>
            <w:r>
              <w:rPr>
                <w:rFonts w:hint="eastAsia" w:ascii="宋体" w:hAnsi="宋体" w:eastAsia="宋体" w:cs="宋体"/>
                <w:b w:val="0"/>
                <w:bCs w:val="0"/>
                <w:color w:val="000000"/>
                <w:sz w:val="21"/>
                <w:szCs w:val="21"/>
                <w:highlight w:val="none"/>
                <w:lang w:val="en-US" w:eastAsia="zh-CN" w:bidi="ar"/>
              </w:rPr>
              <w:t xml:space="preserve">0.4</w:t>
            </w:r>
            <w:r>
              <w:rPr>
                <w:rFonts w:hint="eastAsia" w:ascii="宋体" w:hAnsi="宋体" w:eastAsia="宋体" w:cs="宋体"/>
                <w:b w:val="0"/>
                <w:bCs w:val="0"/>
                <w:color w:val="000000"/>
                <w:sz w:val="21"/>
                <w:szCs w:val="21"/>
                <w:highlight w:val="none"/>
                <w:lang w:val="zh-CN" w:eastAsia="zh-CN" w:bidi="ar"/>
              </w:rPr>
              <w:t xml:space="preserve">分。</w:t>
            </w:r>
            <w:r>
              <w:rPr>
                <w:rFonts w:hint="eastAsia" w:ascii="宋体" w:hAnsi="宋体" w:eastAsia="宋体" w:cs="宋体"/>
                <w:b w:val="0"/>
                <w:bCs w:val="0"/>
                <w:color w:val="000000"/>
                <w:sz w:val="21"/>
                <w:szCs w:val="21"/>
                <w:highlight w:val="none"/>
                <w:lang w:val="zh-CN" w:eastAsia="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bidi="ar"/>
              </w:rPr>
              <w:t xml:space="preserve">4、不提供或者经评标委员会认定非常差的不得分。</w:t>
            </w:r>
            <w:r>
              <w:rPr>
                <w:rFonts w:hint="eastAsia" w:ascii="宋体" w:hAnsi="宋体" w:eastAsia="宋体" w:cs="宋体"/>
                <w:color w:val="000000"/>
                <w:sz w:val="21"/>
                <w:szCs w:val="21"/>
                <w:highlight w:val="none"/>
                <w:lang w:val="zh-CN" w:eastAsia="zh-CN" w:bidi="ar"/>
              </w:rPr>
            </w:r>
            <w:r>
              <w:rPr>
                <w:highlight w:val="none"/>
              </w:rPr>
            </w:r>
          </w:p>
        </w:tc>
      </w:tr>
      <w:tr>
        <w:trPr>
          <w:trHeight w:val="543"/>
          <w:tblHeader/>
        </w:trPr>
        <w:tc>
          <w:tcPr>
            <w:tcW w:w="575"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c>
          <w:tcPr>
            <w:tcW w:w="1118"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c>
          <w:tcPr>
            <w:tcW w:w="1352" w:type="dxa"/>
            <w:vAlign w:val="center"/>
            <w:textDirection w:val="lrTb"/>
            <w:noWrap w:val="false"/>
          </w:tcPr>
          <w:p>
            <w:pPr>
              <w:pStyle w:val="637"/>
              <w:jc w:val="center"/>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售后服务方案</w:t>
            </w:r>
            <w:r>
              <w:rPr>
                <w:rFonts w:hint="eastAsia" w:ascii="宋体" w:hAnsi="宋体" w:cs="宋体"/>
                <w:color w:val="000000"/>
                <w:sz w:val="21"/>
                <w:szCs w:val="21"/>
                <w:highlight w:val="none"/>
                <w:lang w:val="en-US" w:eastAsia="zh-CN" w:bidi="ar"/>
              </w:rPr>
            </w:r>
            <w:r>
              <w:rPr>
                <w:highlight w:val="none"/>
              </w:rPr>
            </w:r>
          </w:p>
        </w:tc>
        <w:tc>
          <w:tcPr>
            <w:tcW w:w="818" w:type="dxa"/>
            <w:vAlign w:val="center"/>
            <w:textDirection w:val="lrTb"/>
            <w:noWrap w:val="false"/>
          </w:tcPr>
          <w:p>
            <w:pPr>
              <w:pStyle w:val="637"/>
              <w:jc w:val="center"/>
              <w:keepLines w:val="0"/>
              <w:keepNext w:val="0"/>
              <w:pageBreakBefore w:val="0"/>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w:t>
            </w:r>
            <w:r>
              <w:rPr>
                <w:rFonts w:ascii="宋体" w:hAnsi="宋体" w:eastAsia="宋体" w:cs="宋体"/>
                <w:color w:val="000000"/>
                <w:sz w:val="21"/>
                <w:szCs w:val="21"/>
                <w:highlight w:val="none"/>
                <w:lang w:val="en-US" w:eastAsia="zh-CN" w:bidi="ar"/>
              </w:rPr>
            </w:r>
            <w:r>
              <w:rPr>
                <w:highlight w:val="none"/>
              </w:rPr>
            </w:r>
          </w:p>
        </w:tc>
        <w:tc>
          <w:tcPr>
            <w:tcW w:w="5499" w:type="dxa"/>
            <w:vAlign w:val="center"/>
            <w:textDirection w:val="lrTb"/>
            <w:noWrap w:val="false"/>
          </w:tcPr>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xml:space="preserve">评标委员会根据投标人所提供的售后服务方案，包括：服务目标、服务内容、售后服务承诺和保证、售后服务队伍等方面进行评审。</w:t>
            </w:r>
            <w:r>
              <w:rPr>
                <w:rFonts w:hint="eastAsia" w:ascii="宋体" w:hAnsi="宋体" w:eastAsia="宋体" w:cs="宋体"/>
                <w:b w:val="0"/>
                <w:bCs w:val="0"/>
                <w:color w:val="000000"/>
                <w:sz w:val="21"/>
                <w:szCs w:val="21"/>
                <w:highlight w:val="none"/>
                <w:lang w:val="en-US" w:eastAsia="zh-CN" w:bidi="ar"/>
              </w:rPr>
            </w:r>
            <w:r>
              <w:rPr>
                <w:highlight w:val="none"/>
              </w:rPr>
            </w:r>
          </w:p>
          <w:p>
            <w:pPr>
              <w:pStyle w:val="637"/>
              <w:ind w:firstLine="422"/>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bidi="ar"/>
              </w:rPr>
              <w:t xml:space="preserve">满足以上</w:t>
            </w:r>
            <w:r>
              <w:rPr>
                <w:rFonts w:hint="eastAsia" w:ascii="宋体" w:hAnsi="宋体" w:eastAsia="宋体" w:cs="宋体"/>
                <w:b/>
                <w:bCs/>
                <w:color w:val="000000"/>
                <w:sz w:val="21"/>
                <w:szCs w:val="21"/>
                <w:highlight w:val="none"/>
                <w:lang w:val="en-US" w:eastAsia="zh-CN" w:bidi="ar"/>
              </w:rPr>
              <w:t xml:space="preserve">4</w:t>
            </w:r>
            <w:r>
              <w:rPr>
                <w:rFonts w:hint="eastAsia" w:ascii="宋体" w:hAnsi="宋体" w:eastAsia="宋体" w:cs="宋体"/>
                <w:b/>
                <w:bCs/>
                <w:color w:val="000000"/>
                <w:sz w:val="21"/>
                <w:szCs w:val="21"/>
                <w:highlight w:val="none"/>
                <w:lang w:val="zh-CN" w:bidi="ar"/>
              </w:rPr>
              <w:t xml:space="preserve">项要求最多得</w:t>
            </w:r>
            <w:r>
              <w:rPr>
                <w:rFonts w:hint="eastAsia" w:ascii="宋体" w:hAnsi="宋体" w:eastAsia="宋体" w:cs="宋体"/>
                <w:b/>
                <w:bCs/>
                <w:color w:val="000000"/>
                <w:sz w:val="21"/>
                <w:szCs w:val="21"/>
                <w:highlight w:val="none"/>
                <w:lang w:val="en-US" w:eastAsia="zh-CN" w:bidi="ar"/>
              </w:rPr>
              <w:t xml:space="preserve">4</w:t>
            </w:r>
            <w:r>
              <w:rPr>
                <w:rFonts w:hint="eastAsia" w:ascii="宋体" w:hAnsi="宋体" w:eastAsia="宋体" w:cs="宋体"/>
                <w:b/>
                <w:bCs/>
                <w:color w:val="000000"/>
                <w:sz w:val="21"/>
                <w:szCs w:val="21"/>
                <w:highlight w:val="none"/>
                <w:lang w:val="zh-CN" w:bidi="ar"/>
              </w:rPr>
              <w:t xml:space="preserve">分；满足任意</w:t>
            </w:r>
            <w:r>
              <w:rPr>
                <w:rFonts w:hint="eastAsia" w:ascii="宋体" w:hAnsi="宋体" w:eastAsia="宋体" w:cs="宋体"/>
                <w:b/>
                <w:bCs/>
                <w:color w:val="000000"/>
                <w:sz w:val="21"/>
                <w:szCs w:val="21"/>
                <w:highlight w:val="none"/>
                <w:lang w:bidi="ar"/>
              </w:rPr>
              <w:t xml:space="preserve">1</w:t>
            </w:r>
            <w:r>
              <w:rPr>
                <w:rFonts w:hint="eastAsia" w:ascii="宋体" w:hAnsi="宋体" w:eastAsia="宋体" w:cs="宋体"/>
                <w:b/>
                <w:bCs/>
                <w:color w:val="000000"/>
                <w:sz w:val="21"/>
                <w:szCs w:val="21"/>
                <w:highlight w:val="none"/>
                <w:lang w:val="zh-CN" w:bidi="ar"/>
              </w:rPr>
              <w:t xml:space="preserve">项得</w:t>
            </w:r>
            <w:r>
              <w:rPr>
                <w:rFonts w:hint="eastAsia" w:ascii="宋体" w:hAnsi="宋体" w:eastAsia="宋体" w:cs="宋体"/>
                <w:b/>
                <w:bCs/>
                <w:color w:val="000000"/>
                <w:sz w:val="21"/>
                <w:szCs w:val="21"/>
                <w:highlight w:val="none"/>
                <w:lang w:val="en-US" w:eastAsia="zh-CN" w:bidi="ar"/>
              </w:rPr>
              <w:t xml:space="preserve">1</w:t>
            </w:r>
            <w:r>
              <w:rPr>
                <w:rFonts w:hint="eastAsia" w:ascii="宋体" w:hAnsi="宋体" w:eastAsia="宋体" w:cs="宋体"/>
                <w:b/>
                <w:bCs/>
                <w:color w:val="000000"/>
                <w:sz w:val="21"/>
                <w:szCs w:val="21"/>
                <w:highlight w:val="none"/>
                <w:lang w:val="zh-CN" w:bidi="ar"/>
              </w:rPr>
              <w:t xml:space="preserve">分；其余情况不得分。</w:t>
            </w:r>
            <w:r>
              <w:rPr>
                <w:rFonts w:hint="eastAsia" w:ascii="宋体" w:hAnsi="宋体" w:eastAsia="宋体" w:cs="宋体"/>
                <w:b/>
                <w:bCs/>
                <w:color w:val="000000"/>
                <w:sz w:val="21"/>
                <w:szCs w:val="21"/>
                <w:highlight w:val="none"/>
                <w:lang w:val="zh-CN" w:bidi="ar"/>
              </w:rPr>
            </w:r>
            <w:r>
              <w:rPr>
                <w:highlight w:val="none"/>
              </w:rPr>
            </w:r>
          </w:p>
          <w:p>
            <w:pPr>
              <w:pStyle w:val="637"/>
              <w:ind w:firstLine="422"/>
              <w:jc w:val="left"/>
              <w:keepLines w:val="0"/>
              <w:keepNext w:val="0"/>
              <w:pageBreakBefore w:val="0"/>
              <w:spacing w:line="3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bidi="ar"/>
              </w:rPr>
              <w:t xml:space="preserve">注：评审委员会根据各供应商的具体响应内容按照以下量化的评审因素指标对各项要求进行评审：</w:t>
            </w:r>
            <w:r>
              <w:rPr>
                <w:rFonts w:hint="eastAsia" w:ascii="宋体" w:hAnsi="宋体" w:eastAsia="宋体" w:cs="宋体"/>
                <w:b/>
                <w:bCs/>
                <w:color w:val="000000"/>
                <w:sz w:val="21"/>
                <w:szCs w:val="21"/>
                <w:highlight w:val="none"/>
                <w:lang w:val="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eastAsia="zh-CN" w:bidi="ar"/>
              </w:rPr>
              <w:t xml:space="preserve">1、方案完整，专业、可行，考虑周全，思路特别清晰，符合项目需求该项得</w:t>
            </w: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eastAsia="宋体" w:cs="宋体"/>
                <w:b w:val="0"/>
                <w:bCs w:val="0"/>
                <w:color w:val="000000"/>
                <w:sz w:val="21"/>
                <w:szCs w:val="21"/>
                <w:highlight w:val="none"/>
                <w:lang w:val="zh-CN" w:eastAsia="zh-CN" w:bidi="ar"/>
              </w:rPr>
              <w:t xml:space="preserve">分；</w:t>
            </w:r>
            <w:r>
              <w:rPr>
                <w:rFonts w:hint="eastAsia" w:ascii="宋体" w:hAnsi="宋体" w:eastAsia="宋体" w:cs="宋体"/>
                <w:b w:val="0"/>
                <w:bCs w:val="0"/>
                <w:color w:val="000000"/>
                <w:sz w:val="21"/>
                <w:szCs w:val="21"/>
                <w:highlight w:val="none"/>
                <w:lang w:val="zh-CN" w:eastAsia="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eastAsia="zh-CN" w:bidi="ar"/>
              </w:rPr>
              <w:t xml:space="preserve">2、方案</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eastAsia="zh-CN" w:bidi="ar"/>
              </w:rPr>
              <w:t xml:space="preserve">完整、思路</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eastAsia="zh-CN" w:bidi="ar"/>
              </w:rPr>
              <w:t xml:space="preserve">清晰，与项目需求响应度低，该项得</w:t>
            </w:r>
            <w:r>
              <w:rPr>
                <w:rFonts w:hint="eastAsia" w:ascii="宋体" w:hAnsi="宋体" w:eastAsia="宋体" w:cs="宋体"/>
                <w:b w:val="0"/>
                <w:bCs w:val="0"/>
                <w:color w:val="000000"/>
                <w:sz w:val="21"/>
                <w:szCs w:val="21"/>
                <w:highlight w:val="none"/>
                <w:lang w:val="en-US" w:eastAsia="zh-CN" w:bidi="ar"/>
              </w:rPr>
              <w:t xml:space="preserve">0.7</w:t>
            </w:r>
            <w:r>
              <w:rPr>
                <w:rFonts w:hint="eastAsia" w:ascii="宋体" w:hAnsi="宋体" w:eastAsia="宋体" w:cs="宋体"/>
                <w:b w:val="0"/>
                <w:bCs w:val="0"/>
                <w:color w:val="000000"/>
                <w:sz w:val="21"/>
                <w:szCs w:val="21"/>
                <w:highlight w:val="none"/>
                <w:lang w:val="zh-CN" w:eastAsia="zh-CN" w:bidi="ar"/>
              </w:rPr>
              <w:t xml:space="preserve">分；</w:t>
            </w:r>
            <w:r>
              <w:rPr>
                <w:rFonts w:hint="eastAsia" w:ascii="宋体" w:hAnsi="宋体" w:eastAsia="宋体" w:cs="宋体"/>
                <w:b w:val="0"/>
                <w:bCs w:val="0"/>
                <w:color w:val="000000"/>
                <w:sz w:val="21"/>
                <w:szCs w:val="21"/>
                <w:highlight w:val="none"/>
                <w:lang w:val="zh-CN" w:eastAsia="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eastAsia="zh-CN" w:bidi="ar"/>
              </w:rPr>
              <w:t xml:space="preserve">3、方案</w:t>
            </w:r>
            <w:r>
              <w:rPr>
                <w:rFonts w:hint="eastAsia" w:ascii="宋体" w:hAnsi="宋体" w:eastAsia="宋体" w:cs="宋体"/>
                <w:b w:val="0"/>
                <w:bCs w:val="0"/>
                <w:color w:val="000000"/>
                <w:sz w:val="21"/>
                <w:szCs w:val="21"/>
                <w:highlight w:val="none"/>
                <w:lang w:val="en-US" w:eastAsia="zh-CN" w:bidi="ar"/>
              </w:rPr>
              <w:t xml:space="preserve">简单</w:t>
            </w:r>
            <w:r>
              <w:rPr>
                <w:rFonts w:hint="eastAsia" w:ascii="宋体" w:hAnsi="宋体" w:eastAsia="宋体" w:cs="宋体"/>
                <w:b w:val="0"/>
                <w:bCs w:val="0"/>
                <w:color w:val="000000"/>
                <w:sz w:val="21"/>
                <w:szCs w:val="21"/>
                <w:highlight w:val="none"/>
                <w:lang w:val="zh-CN" w:eastAsia="zh-CN" w:bidi="ar"/>
              </w:rPr>
              <w:t xml:space="preserve">，与项目需求</w:t>
            </w:r>
            <w:r>
              <w:rPr>
                <w:rFonts w:hint="eastAsia" w:ascii="宋体" w:hAnsi="宋体" w:eastAsia="宋体" w:cs="宋体"/>
                <w:b w:val="0"/>
                <w:bCs w:val="0"/>
                <w:color w:val="000000"/>
                <w:sz w:val="21"/>
                <w:szCs w:val="21"/>
                <w:highlight w:val="none"/>
                <w:lang w:val="en-US" w:eastAsia="zh-CN" w:bidi="ar"/>
              </w:rPr>
              <w:t xml:space="preserve">不</w:t>
            </w:r>
            <w:r>
              <w:rPr>
                <w:rFonts w:hint="eastAsia" w:ascii="宋体" w:hAnsi="宋体" w:eastAsia="宋体" w:cs="宋体"/>
                <w:b w:val="0"/>
                <w:bCs w:val="0"/>
                <w:color w:val="000000"/>
                <w:sz w:val="21"/>
                <w:szCs w:val="21"/>
                <w:highlight w:val="none"/>
                <w:lang w:val="zh-CN" w:eastAsia="zh-CN" w:bidi="ar"/>
              </w:rPr>
              <w:t xml:space="preserve">响应该项得</w:t>
            </w:r>
            <w:r>
              <w:rPr>
                <w:rFonts w:hint="eastAsia" w:ascii="宋体" w:hAnsi="宋体" w:eastAsia="宋体" w:cs="宋体"/>
                <w:b w:val="0"/>
                <w:bCs w:val="0"/>
                <w:color w:val="000000"/>
                <w:sz w:val="21"/>
                <w:szCs w:val="21"/>
                <w:highlight w:val="none"/>
                <w:lang w:val="en-US" w:eastAsia="zh-CN" w:bidi="ar"/>
              </w:rPr>
              <w:t xml:space="preserve">0.4</w:t>
            </w:r>
            <w:r>
              <w:rPr>
                <w:rFonts w:hint="eastAsia" w:ascii="宋体" w:hAnsi="宋体" w:eastAsia="宋体" w:cs="宋体"/>
                <w:b w:val="0"/>
                <w:bCs w:val="0"/>
                <w:color w:val="000000"/>
                <w:sz w:val="21"/>
                <w:szCs w:val="21"/>
                <w:highlight w:val="none"/>
                <w:lang w:val="zh-CN" w:eastAsia="zh-CN" w:bidi="ar"/>
              </w:rPr>
              <w:t xml:space="preserve">分。</w:t>
            </w:r>
            <w:r>
              <w:rPr>
                <w:rFonts w:hint="eastAsia" w:ascii="宋体" w:hAnsi="宋体" w:eastAsia="宋体" w:cs="宋体"/>
                <w:b w:val="0"/>
                <w:bCs w:val="0"/>
                <w:color w:val="000000"/>
                <w:sz w:val="21"/>
                <w:szCs w:val="21"/>
                <w:highlight w:val="none"/>
                <w:lang w:val="zh-CN" w:eastAsia="zh-CN" w:bidi="ar"/>
              </w:rPr>
            </w:r>
            <w:r>
              <w:rPr>
                <w:highlight w:val="none"/>
              </w:rPr>
            </w:r>
          </w:p>
          <w:p>
            <w:pPr>
              <w:pStyle w:val="637"/>
              <w:ind w:firstLine="420"/>
              <w:jc w:val="left"/>
              <w:keepLines w:val="0"/>
              <w:keepNext w:val="0"/>
              <w:pageBreakBefore w:val="0"/>
              <w:spacing w:line="300" w:lineRule="exact"/>
              <w:widowControl/>
              <w:rPr>
                <w:rFonts w:hint="eastAsia" w:ascii="Calibri" w:hAnsi="Calibri"/>
                <w:color w:val="000000"/>
                <w:sz w:val="21"/>
                <w:szCs w:val="24"/>
                <w:highlight w:val="none"/>
              </w:rPr>
            </w:pPr>
            <w:r>
              <w:rPr>
                <w:rFonts w:hint="eastAsia" w:ascii="宋体" w:hAnsi="宋体" w:eastAsia="宋体" w:cs="宋体"/>
                <w:b w:val="0"/>
                <w:bCs w:val="0"/>
                <w:color w:val="000000"/>
                <w:sz w:val="21"/>
                <w:szCs w:val="21"/>
                <w:highlight w:val="none"/>
                <w:lang w:val="zh-CN" w:eastAsia="zh-CN" w:bidi="ar"/>
              </w:rPr>
              <w:t xml:space="preserve">4、不提供或者经评标委员会认定非常差的不得分。</w:t>
            </w:r>
            <w:r>
              <w:rPr>
                <w:rFonts w:hint="eastAsia" w:ascii="Calibri" w:hAnsi="Calibri"/>
                <w:color w:val="000000"/>
                <w:sz w:val="21"/>
                <w:szCs w:val="24"/>
                <w:highlight w:val="none"/>
                <w:lang w:val="zh-CN" w:eastAsia="zh-CN" w:bidi="ar-SA"/>
              </w:rPr>
            </w:r>
            <w:r>
              <w:rPr>
                <w:highlight w:val="none"/>
              </w:rPr>
            </w:r>
          </w:p>
        </w:tc>
      </w:tr>
      <w:tr>
        <w:trPr>
          <w:trHeight w:val="543"/>
          <w:tblHeader/>
        </w:trPr>
        <w:tc>
          <w:tcPr>
            <w:tcW w:w="575"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c>
          <w:tcPr>
            <w:tcW w:w="1118"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r>
            <w:r/>
          </w:p>
        </w:tc>
        <w:tc>
          <w:tcPr>
            <w:tcW w:w="1352" w:type="dxa"/>
            <w:vAlign w:val="center"/>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bidi="ar"/>
              </w:rPr>
              <w:t xml:space="preserve">视频演示</w:t>
            </w:r>
            <w:r>
              <w:rPr>
                <w:rFonts w:hint="eastAsia" w:ascii="宋体" w:hAnsi="宋体" w:cs="宋体"/>
                <w:color w:val="000000"/>
                <w:sz w:val="21"/>
                <w:szCs w:val="21"/>
                <w:highlight w:val="none"/>
                <w:lang w:bidi="ar"/>
              </w:rPr>
            </w:r>
            <w:r>
              <w:rPr>
                <w:highlight w:val="none"/>
              </w:rPr>
            </w:r>
          </w:p>
        </w:tc>
        <w:tc>
          <w:tcPr>
            <w:tcW w:w="818" w:type="dxa"/>
            <w:vAlign w:val="center"/>
            <w:textDirection w:val="lrTb"/>
            <w:noWrap w:val="false"/>
          </w:tcPr>
          <w:p>
            <w:pPr>
              <w:pStyle w:val="637"/>
              <w:jc w:val="center"/>
              <w:keepLines w:val="0"/>
              <w:keepNext w:val="0"/>
              <w:pageBreakBefore w:val="0"/>
              <w:spacing w:line="400" w:lineRule="exact"/>
              <w:widowControl/>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12</w:t>
            </w:r>
            <w:r>
              <w:rPr>
                <w:rFonts w:ascii="宋体" w:hAnsi="宋体" w:eastAsia="宋体" w:cs="宋体"/>
                <w:color w:val="000000"/>
                <w:sz w:val="21"/>
                <w:szCs w:val="21"/>
                <w:highlight w:val="none"/>
                <w:lang w:val="en-US" w:eastAsia="zh-CN" w:bidi="ar"/>
              </w:rPr>
            </w:r>
            <w:r>
              <w:rPr>
                <w:highlight w:val="none"/>
              </w:rPr>
            </w:r>
          </w:p>
        </w:tc>
        <w:tc>
          <w:tcPr>
            <w:tcW w:w="5499" w:type="dxa"/>
            <w:vAlign w:val="center"/>
            <w:textDirection w:val="lrTb"/>
            <w:noWrap w:val="false"/>
          </w:tcPr>
          <w:p>
            <w:pPr>
              <w:pStyle w:val="637"/>
              <w:ind w:firstLine="420"/>
              <w:jc w:val="left"/>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提供视频演示和讲解，演示总时长不超过15分钟，每满足一项，得2分，最多得12分。不演示，不得分。演示设备须自行准备，</w:t>
            </w:r>
            <w:r>
              <w:rPr>
                <w:rFonts w:ascii="宋体" w:hAnsi="宋体" w:eastAsia="宋体" w:cs="宋体"/>
                <w:szCs w:val="21"/>
                <w:highlight w:val="none"/>
              </w:rPr>
              <w:t xml:space="preserve">必须调用真实平台或真实应用系统进行演示，如使用PPT或DEMO</w:t>
            </w:r>
            <w:r>
              <w:rPr>
                <w:rFonts w:hint="eastAsia" w:ascii="宋体" w:hAnsi="宋体" w:eastAsia="宋体" w:cs="宋体"/>
                <w:szCs w:val="21"/>
                <w:highlight w:val="none"/>
                <w:lang w:val="en-US" w:eastAsia="zh-CN"/>
              </w:rPr>
              <w:t xml:space="preserve">等非真实系统</w:t>
            </w:r>
            <w:r>
              <w:rPr>
                <w:rFonts w:ascii="宋体" w:hAnsi="宋体" w:eastAsia="宋体" w:cs="宋体"/>
                <w:szCs w:val="21"/>
                <w:highlight w:val="none"/>
              </w:rPr>
              <w:t xml:space="preserve">演示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则</w:t>
            </w:r>
            <w:r>
              <w:rPr>
                <w:rFonts w:ascii="宋体" w:hAnsi="宋体" w:eastAsia="宋体" w:cs="宋体"/>
                <w:szCs w:val="21"/>
                <w:highlight w:val="none"/>
              </w:rPr>
              <w:t xml:space="preserve">不得分</w:t>
            </w:r>
            <w:r>
              <w:rPr>
                <w:rFonts w:hint="eastAsia" w:ascii="宋体" w:hAnsi="宋体" w:eastAsia="宋体" w:cs="宋体"/>
                <w:szCs w:val="21"/>
                <w:highlight w:val="none"/>
                <w:lang w:eastAsia="zh-CN"/>
              </w:rPr>
              <w:t xml:space="preserve">。</w:t>
            </w:r>
            <w:r>
              <w:rPr>
                <w:rFonts w:hint="eastAsia" w:ascii="宋体" w:hAnsi="宋体" w:eastAsia="宋体" w:cs="宋体"/>
                <w:color w:val="000000"/>
                <w:sz w:val="21"/>
                <w:szCs w:val="21"/>
                <w:highlight w:val="none"/>
                <w:lang w:val="en-US" w:eastAsia="zh-CN" w:bidi="ar"/>
              </w:rPr>
            </w:r>
            <w:r>
              <w:rPr>
                <w:highlight w:val="none"/>
              </w:rPr>
            </w:r>
          </w:p>
          <w:p>
            <w:pPr>
              <w:pStyle w:val="637"/>
              <w:ind w:firstLine="420"/>
              <w:jc w:val="left"/>
              <w:keepLines w:val="0"/>
              <w:keepNext w:val="0"/>
              <w:pageBreakBefore w:val="0"/>
              <w:spacing w:line="300" w:lineRule="exact"/>
              <w:widowControl/>
              <w:rPr>
                <w:rFonts w:hint="eastAsia"/>
                <w:color w:val="000000"/>
                <w:sz w:val="21"/>
                <w:szCs w:val="24"/>
                <w:highlight w:val="none"/>
              </w:rPr>
            </w:pPr>
            <w:r>
              <w:rPr>
                <w:rFonts w:hint="eastAsia" w:ascii="宋体" w:hAnsi="宋体" w:eastAsia="宋体" w:cs="宋体"/>
                <w:color w:val="000000"/>
                <w:sz w:val="21"/>
                <w:szCs w:val="21"/>
                <w:highlight w:val="none"/>
                <w:lang w:val="en-US" w:eastAsia="zh-CN" w:bidi="ar"/>
              </w:rPr>
              <w:t xml:space="preserve">视频</w:t>
            </w:r>
            <w:r>
              <w:rPr>
                <w:rFonts w:hint="eastAsia" w:ascii="宋体" w:hAnsi="宋体" w:cs="宋体"/>
                <w:color w:val="000000"/>
                <w:sz w:val="21"/>
                <w:szCs w:val="21"/>
                <w:highlight w:val="none"/>
                <w:lang w:val="en-US" w:eastAsia="zh-CN" w:bidi="ar"/>
              </w:rPr>
              <w:t xml:space="preserve">演示1（门户平台）：门户平台支持对空间布局进行页面结构的自定义，可按12等分或任意分栏自定义定制显示区域比例；提供系统数据类组件包括学校基础数据、教师学生班级家长、教师使用情况、教师月活跃度排行等。</w:t>
            </w:r>
            <w:r>
              <w:rPr>
                <w:rFonts w:hint="eastAsia"/>
                <w:color w:val="000000"/>
                <w:sz w:val="21"/>
                <w:szCs w:val="24"/>
                <w:highlight w:val="none"/>
              </w:rPr>
            </w:r>
            <w:r>
              <w:rPr>
                <w:highlight w:val="none"/>
              </w:rPr>
            </w:r>
          </w:p>
          <w:p>
            <w:pPr>
              <w:pStyle w:val="648"/>
              <w:ind w:left="0" w:firstLine="420"/>
              <w:keepLines w:val="0"/>
              <w:keepNext w:val="0"/>
              <w:pageBreakBefore w:val="0"/>
              <w:spacing w:line="300" w:lineRule="exact"/>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4"/>
                <w:highlight w:val="none"/>
                <w:lang w:val="en-US" w:eastAsia="zh-CN"/>
              </w:rPr>
              <w:t xml:space="preserve">视频演示2（智慧评价）：评价管理支持按照学期或学年建立考评考核信息，可配置评价模版、评价时间、评价周期、人员筛选条件、材料有效时间等内容发布考评任务，任务发布后可查看提交率、评价进度、结果查询等数据。</w:t>
            </w:r>
            <w:r>
              <w:rPr>
                <w:rFonts w:hint="eastAsia" w:ascii="宋体" w:hAnsi="宋体" w:eastAsia="宋体" w:cs="宋体"/>
                <w:color w:val="000000"/>
                <w:sz w:val="21"/>
                <w:szCs w:val="21"/>
                <w:highlight w:val="none"/>
                <w:lang w:val="en-US" w:eastAsia="zh-CN" w:bidi="ar"/>
              </w:rPr>
            </w:r>
            <w:r>
              <w:rPr>
                <w:highlight w:val="none"/>
              </w:rPr>
            </w:r>
          </w:p>
          <w:p>
            <w:pPr>
              <w:pStyle w:val="648"/>
              <w:ind w:left="0" w:firstLine="420"/>
              <w:keepLines w:val="0"/>
              <w:keepNext w:val="0"/>
              <w:pageBreakBefore w:val="0"/>
              <w:spacing w:line="300" w:lineRule="exact"/>
              <w:widowControl/>
              <w:rPr>
                <w:rFonts w:hint="eastAsia" w:ascii="宋体" w:hAnsi="宋体" w:eastAsia="宋体" w:cs="宋体"/>
                <w:bCs/>
                <w:color w:val="000000"/>
                <w:sz w:val="21"/>
                <w:szCs w:val="24"/>
                <w:highlight w:val="none"/>
              </w:rPr>
            </w:pPr>
            <w:r>
              <w:rPr>
                <w:rFonts w:hint="eastAsia" w:ascii="宋体" w:hAnsi="宋体" w:eastAsia="宋体" w:cs="宋体"/>
                <w:color w:val="000000"/>
                <w:sz w:val="21"/>
                <w:szCs w:val="21"/>
                <w:highlight w:val="none"/>
                <w:lang w:val="en-US" w:eastAsia="zh-CN" w:bidi="ar"/>
              </w:rPr>
              <w:t xml:space="preserve">视频演示3（中小学实验室及实验教学管理平台）：</w:t>
            </w:r>
            <w:r>
              <w:rPr>
                <w:rFonts w:hint="eastAsia" w:ascii="宋体" w:hAnsi="宋体" w:cs="宋体"/>
                <w:bCs/>
                <w:color w:val="000000"/>
                <w:sz w:val="21"/>
                <w:szCs w:val="24"/>
                <w:highlight w:val="none"/>
              </w:rPr>
              <w:t xml:space="preserve">通过图文并茂的展示提供教学仪器的规格、性能、单价等参考数值，包括：仪器名称、规格型号、材质、制造商、品牌、价格、等信息</w:t>
            </w:r>
            <w:r>
              <w:rPr>
                <w:rFonts w:hint="eastAsia" w:ascii="宋体" w:hAnsi="宋体" w:cs="宋体"/>
                <w:bCs/>
                <w:color w:val="000000"/>
                <w:sz w:val="21"/>
                <w:szCs w:val="24"/>
                <w:highlight w:val="none"/>
                <w:lang w:eastAsia="zh-CN"/>
              </w:rPr>
              <w:t xml:space="preserve">。</w:t>
            </w:r>
            <w:r>
              <w:rPr>
                <w:rFonts w:hint="eastAsia" w:ascii="宋体" w:hAnsi="宋体" w:eastAsia="宋体" w:cs="宋体"/>
                <w:bCs/>
                <w:color w:val="000000"/>
                <w:sz w:val="21"/>
                <w:szCs w:val="24"/>
                <w:highlight w:val="none"/>
                <w:lang w:eastAsia="zh-CN"/>
              </w:rPr>
            </w:r>
            <w:r>
              <w:rPr>
                <w:highlight w:val="none"/>
              </w:rPr>
            </w:r>
          </w:p>
          <w:p>
            <w:pPr>
              <w:pStyle w:val="648"/>
              <w:ind w:left="0" w:firstLine="420"/>
              <w:keepLines w:val="0"/>
              <w:keepNext w:val="0"/>
              <w:pageBreakBefore w:val="0"/>
              <w:spacing w:line="300" w:lineRule="exact"/>
              <w:widowControl/>
              <w:rPr>
                <w:rFonts w:hint="eastAsia" w:ascii="宋体" w:hAnsi="宋体" w:eastAsia="宋体" w:cs="宋体"/>
                <w:bCs/>
                <w:color w:val="000000"/>
                <w:sz w:val="21"/>
                <w:szCs w:val="24"/>
                <w:highlight w:val="none"/>
              </w:rPr>
            </w:pPr>
            <w:r>
              <w:rPr>
                <w:rFonts w:hint="eastAsia" w:ascii="宋体" w:hAnsi="宋体" w:eastAsia="宋体" w:cs="宋体"/>
                <w:color w:val="000000"/>
                <w:sz w:val="21"/>
                <w:szCs w:val="21"/>
                <w:highlight w:val="none"/>
                <w:lang w:val="en-US" w:eastAsia="zh-CN" w:bidi="ar"/>
              </w:rPr>
              <w:t xml:space="preserve">视频演示4（中小学实验室危化品管理平台）：利用平台实现危险化学品管理过程中的大数据分析，形成教育系统危险化学品安全风险监管一张图。</w:t>
            </w:r>
            <w:r>
              <w:rPr>
                <w:rFonts w:hint="eastAsia" w:ascii="宋体" w:hAnsi="宋体" w:eastAsia="宋体" w:cs="宋体"/>
                <w:bCs/>
                <w:color w:val="000000"/>
                <w:sz w:val="21"/>
                <w:szCs w:val="24"/>
                <w:highlight w:val="none"/>
                <w:lang w:val="en-US" w:eastAsia="zh-CN"/>
              </w:rPr>
            </w:r>
            <w:r>
              <w:rPr>
                <w:highlight w:val="none"/>
              </w:rPr>
            </w:r>
          </w:p>
          <w:p>
            <w:pPr>
              <w:pStyle w:val="648"/>
              <w:ind w:left="0" w:firstLine="420"/>
              <w:keepLines w:val="0"/>
              <w:keepNext w:val="0"/>
              <w:pageBreakBefore w:val="0"/>
              <w:spacing w:line="300" w:lineRule="exact"/>
              <w:widowControl/>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lang w:val="en-US" w:eastAsia="zh-CN"/>
              </w:rPr>
              <w:t xml:space="preserve">视频演示5（智慧测评系统）：统考、联考管理员可对阅卷进度和阅卷质量进行监测；支持查看整体统考、联考的阅卷卷质量情况，阅卷任务分配情况；支持查看阅卷用时、批改的平均分、最高分和最低分，系统支持阅卷异常筛查。</w:t>
            </w:r>
            <w:r>
              <w:rPr>
                <w:rFonts w:hint="eastAsia" w:ascii="宋体" w:hAnsi="宋体" w:eastAsia="宋体" w:cs="宋体"/>
                <w:bCs/>
                <w:color w:val="000000"/>
                <w:sz w:val="21"/>
                <w:szCs w:val="24"/>
                <w:highlight w:val="none"/>
                <w:lang w:val="en-US" w:eastAsia="zh-CN"/>
              </w:rPr>
            </w:r>
            <w:r>
              <w:rPr>
                <w:highlight w:val="none"/>
              </w:rPr>
            </w:r>
          </w:p>
          <w:p>
            <w:pPr>
              <w:pStyle w:val="648"/>
              <w:ind w:left="0" w:firstLine="420"/>
              <w:keepLines w:val="0"/>
              <w:keepNext w:val="0"/>
              <w:pageBreakBefore w:val="0"/>
              <w:spacing w:line="300" w:lineRule="exact"/>
              <w:widowControl/>
              <w:rPr>
                <w:rFonts w:hint="eastAsia"/>
                <w:color w:val="000000"/>
                <w:sz w:val="21"/>
                <w:szCs w:val="24"/>
                <w:highlight w:val="none"/>
              </w:rPr>
            </w:pPr>
            <w:r>
              <w:rPr>
                <w:rFonts w:hint="eastAsia" w:ascii="宋体" w:hAnsi="宋体" w:eastAsia="宋体" w:cs="宋体"/>
                <w:bCs/>
                <w:color w:val="000000"/>
                <w:sz w:val="21"/>
                <w:szCs w:val="24"/>
                <w:highlight w:val="none"/>
                <w:lang w:val="en-US" w:eastAsia="zh-CN"/>
              </w:rPr>
              <w:t xml:space="preserve">视频演示6（智能研修平台）：</w:t>
            </w:r>
            <w:r>
              <w:rPr>
                <w:rFonts w:hint="eastAsia" w:ascii="宋体" w:hAnsi="宋体" w:eastAsia="宋体" w:cs="宋体"/>
                <w:bCs/>
                <w:color w:val="000000"/>
                <w:sz w:val="21"/>
                <w:szCs w:val="24"/>
                <w:highlight w:val="none"/>
              </w:rPr>
              <w:t xml:space="preserve">支持校教学管理者查看各科教师课堂实录、教学模式、S-T行为分析、课堂学情时序、课堂教学行为时序、行为一致性、学生参与度、学生活跃度、课堂文本、课堂场景、师生行为、师生对话时长、学生应答分析、学生应答活跃度、站立学生位置分布、四何问题分布和四何问题列表、教师语速、教师口头禅、教师巡视特征等情况</w:t>
            </w:r>
            <w:r>
              <w:rPr>
                <w:rFonts w:hint="eastAsia" w:ascii="宋体" w:hAnsi="宋体" w:eastAsia="宋体" w:cs="宋体"/>
                <w:bCs/>
                <w:color w:val="000000"/>
                <w:sz w:val="21"/>
                <w:szCs w:val="24"/>
                <w:highlight w:val="none"/>
                <w:lang w:val="en-US" w:eastAsia="zh-CN"/>
              </w:rPr>
              <w:t xml:space="preserve">。</w:t>
            </w:r>
            <w:r>
              <w:rPr>
                <w:rFonts w:hint="eastAsia"/>
                <w:color w:val="000000"/>
                <w:sz w:val="21"/>
                <w:szCs w:val="24"/>
                <w:highlight w:val="none"/>
              </w:rPr>
            </w:r>
            <w:r>
              <w:rPr>
                <w:highlight w:val="none"/>
              </w:rPr>
            </w:r>
          </w:p>
        </w:tc>
      </w:tr>
      <w:tr>
        <w:trPr>
          <w:trHeight w:val="543"/>
          <w:tblHeader/>
        </w:trPr>
        <w:tc>
          <w:tcPr>
            <w:tcW w:w="575" w:type="dxa"/>
            <w:vAlign w:val="center"/>
            <w:vMerge w:val="restart"/>
            <w:textDirection w:val="lrTb"/>
            <w:noWrap w:val="false"/>
          </w:tcPr>
          <w:p>
            <w:pPr>
              <w:pStyle w:val="637"/>
              <w:jc w:val="cente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三</w:t>
            </w:r>
            <w:r>
              <w:rPr>
                <w:rFonts w:hint="eastAsia" w:ascii="宋体" w:hAnsi="宋体" w:eastAsia="宋体" w:cs="宋体"/>
                <w:color w:val="000000"/>
                <w:sz w:val="21"/>
                <w:szCs w:val="21"/>
                <w:highlight w:val="none"/>
                <w:lang w:val="en-US" w:eastAsia="zh-CN" w:bidi="ar"/>
              </w:rPr>
            </w:r>
            <w:r>
              <w:rPr>
                <w:highlight w:val="none"/>
              </w:rPr>
            </w:r>
          </w:p>
        </w:tc>
        <w:tc>
          <w:tcPr>
            <w:tcW w:w="1118" w:type="dxa"/>
            <w:vAlign w:val="center"/>
            <w:vMerge w:val="restart"/>
            <w:textDirection w:val="lrTb"/>
            <w:noWrap w:val="false"/>
          </w:tcPr>
          <w:p>
            <w:pPr>
              <w:pStyle w:val="637"/>
              <w:jc w:val="center"/>
              <w:keepLines w:val="0"/>
              <w:keepNext w:val="0"/>
              <w:pageBreakBefore w:val="0"/>
              <w:spacing w:line="400" w:lineRule="exact"/>
              <w:widowControl/>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商务部分</w:t>
            </w:r>
            <w:r>
              <w:rPr>
                <w:rFonts w:ascii="宋体" w:hAnsi="宋体" w:eastAsia="宋体" w:cs="宋体"/>
                <w:color w:val="000000"/>
                <w:sz w:val="21"/>
                <w:szCs w:val="21"/>
                <w:highlight w:val="none"/>
                <w:lang w:val="en-US" w:eastAsia="zh-CN" w:bidi="ar"/>
              </w:rPr>
            </w:r>
            <w:r>
              <w:rPr>
                <w:highlight w:val="none"/>
              </w:rPr>
            </w:r>
          </w:p>
        </w:tc>
        <w:tc>
          <w:tcPr>
            <w:tcW w:w="1352" w:type="dxa"/>
            <w:vAlign w:val="center"/>
            <w:textDirection w:val="lrTb"/>
            <w:noWrap w:val="false"/>
          </w:tcPr>
          <w:p>
            <w:pPr>
              <w:pStyle w:val="637"/>
              <w:jc w:val="center"/>
              <w:keepLines w:val="0"/>
              <w:keepNext w:val="0"/>
              <w:pageBreakBefore w:val="0"/>
              <w:spacing w:line="400" w:lineRule="exact"/>
              <w:widowControl/>
              <w:rPr>
                <w:rFonts w:ascii="宋体" w:hAnsi="宋体" w:eastAsia="宋体" w:cs="宋体"/>
                <w:b w:val="0"/>
                <w:bCs w:val="0"/>
                <w:color w:val="000000"/>
                <w:sz w:val="21"/>
                <w:szCs w:val="21"/>
                <w:highlight w:val="none"/>
              </w:rPr>
            </w:pPr>
            <w:r>
              <w:rPr>
                <w:rFonts w:hint="eastAsia" w:ascii="宋体" w:hAnsi="宋体" w:cs="宋体"/>
                <w:color w:val="000000"/>
                <w:sz w:val="21"/>
                <w:szCs w:val="21"/>
                <w:highlight w:val="none"/>
                <w:lang w:val="en-US" w:eastAsia="zh-CN" w:bidi="ar"/>
              </w:rPr>
              <w:t xml:space="preserve">研发实力</w:t>
            </w:r>
            <w:r>
              <w:rPr>
                <w:rFonts w:ascii="宋体" w:hAnsi="宋体" w:eastAsia="宋体" w:cs="宋体"/>
                <w:b w:val="0"/>
                <w:bCs w:val="0"/>
                <w:color w:val="000000"/>
                <w:sz w:val="21"/>
                <w:szCs w:val="21"/>
                <w:highlight w:val="none"/>
                <w:lang w:val="en-US" w:eastAsia="zh-CN" w:bidi="ar"/>
              </w:rPr>
            </w:r>
            <w:r>
              <w:rPr>
                <w:highlight w:val="none"/>
              </w:rPr>
            </w:r>
          </w:p>
        </w:tc>
        <w:tc>
          <w:tcPr>
            <w:tcW w:w="818" w:type="dxa"/>
            <w:vAlign w:val="center"/>
            <w:textDirection w:val="lrTb"/>
            <w:noWrap w:val="false"/>
          </w:tcPr>
          <w:p>
            <w:pPr>
              <w:pStyle w:val="637"/>
              <w:jc w:val="center"/>
              <w:keepLines w:val="0"/>
              <w:keepNext w:val="0"/>
              <w:pageBreakBefore w:val="0"/>
              <w:spacing w:line="400" w:lineRule="exact"/>
              <w:widowControl/>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bidi="ar"/>
              </w:rPr>
              <w:t xml:space="preserve">9</w:t>
            </w:r>
            <w:r>
              <w:rPr>
                <w:rFonts w:ascii="宋体" w:hAnsi="宋体" w:cs="宋体"/>
                <w:color w:val="000000"/>
                <w:sz w:val="21"/>
                <w:szCs w:val="21"/>
                <w:highlight w:val="none"/>
                <w:lang w:val="en-US" w:eastAsia="zh-CN" w:bidi="ar"/>
              </w:rPr>
            </w:r>
            <w:r>
              <w:rPr>
                <w:highlight w:val="none"/>
              </w:rPr>
            </w:r>
          </w:p>
        </w:tc>
        <w:tc>
          <w:tcPr>
            <w:tcW w:w="5499" w:type="dxa"/>
            <w:vAlign w:val="center"/>
            <w:textDirection w:val="lrTb"/>
            <w:noWrap w:val="false"/>
          </w:tcPr>
          <w:p>
            <w:pPr>
              <w:pStyle w:val="637"/>
              <w:numPr>
                <w:ilvl w:val="0"/>
                <w:numId w:val="0"/>
              </w:numPr>
              <w:ind w:firstLine="420"/>
              <w:jc w:val="left"/>
              <w:keepLines w:val="0"/>
              <w:keepNext w:val="0"/>
              <w:pageBreakBefore w:val="0"/>
              <w:spacing w:line="300" w:lineRule="exact"/>
              <w:widowControl/>
              <w:rPr>
                <w:rFonts w:hint="eastAsia" w:ascii="宋体" w:hAnsi="宋体" w:eastAsia="宋体"/>
                <w:color w:val="000000"/>
                <w:sz w:val="21"/>
                <w:szCs w:val="24"/>
                <w:highlight w:val="none"/>
              </w:rPr>
            </w:pPr>
            <w:r>
              <w:rPr>
                <w:rFonts w:hint="eastAsia" w:ascii="宋体" w:hAnsi="宋体" w:cs="宋体"/>
                <w:color w:val="000000"/>
                <w:sz w:val="21"/>
                <w:szCs w:val="21"/>
                <w:highlight w:val="none"/>
                <w:lang w:val="zh-CN" w:bidi="ar"/>
              </w:rPr>
              <w:t xml:space="preserve">投标</w:t>
            </w:r>
            <w:r>
              <w:rPr>
                <w:rFonts w:hint="eastAsia" w:ascii="宋体" w:hAnsi="宋体" w:cs="宋体"/>
                <w:color w:val="000000"/>
                <w:sz w:val="21"/>
                <w:szCs w:val="21"/>
                <w:highlight w:val="none"/>
                <w:lang w:val="en-US" w:eastAsia="zh-CN" w:bidi="ar"/>
              </w:rPr>
              <w:t xml:space="preserve">人</w:t>
            </w:r>
            <w:r>
              <w:rPr>
                <w:rFonts w:hint="eastAsia" w:ascii="宋体" w:hAnsi="宋体" w:cs="宋体"/>
                <w:color w:val="000000"/>
                <w:sz w:val="21"/>
                <w:szCs w:val="21"/>
                <w:highlight w:val="none"/>
                <w:lang w:bidi="ar"/>
              </w:rPr>
              <w:t xml:space="preserve">具有</w:t>
            </w:r>
            <w:r>
              <w:rPr>
                <w:rFonts w:hint="eastAsia" w:ascii="宋体" w:hAnsi="宋体"/>
                <w:color w:val="000000"/>
                <w:sz w:val="21"/>
                <w:szCs w:val="24"/>
                <w:highlight w:val="none"/>
              </w:rPr>
              <w:t xml:space="preserve">“</w:t>
            </w:r>
            <w:r>
              <w:rPr>
                <w:rFonts w:hint="eastAsia" w:ascii="宋体" w:hAnsi="宋体"/>
                <w:color w:val="000000"/>
                <w:sz w:val="21"/>
                <w:szCs w:val="24"/>
                <w:highlight w:val="none"/>
                <w:lang w:val="en-US" w:eastAsia="zh-CN"/>
              </w:rPr>
              <w:t xml:space="preserve">设备设施管理</w:t>
            </w:r>
            <w:r>
              <w:rPr>
                <w:rFonts w:hint="eastAsia" w:ascii="宋体" w:hAnsi="宋体"/>
                <w:color w:val="000000"/>
                <w:sz w:val="21"/>
                <w:szCs w:val="24"/>
                <w:highlight w:val="none"/>
              </w:rPr>
              <w:t xml:space="preserve">”</w:t>
            </w:r>
            <w:r>
              <w:rPr>
                <w:rFonts w:hint="eastAsia" w:ascii="宋体" w:hAnsi="宋体"/>
                <w:color w:val="000000"/>
                <w:sz w:val="21"/>
                <w:szCs w:val="24"/>
                <w:highlight w:val="none"/>
                <w:lang w:val="en-US" w:eastAsia="zh-CN"/>
              </w:rPr>
              <w:t xml:space="preserve">类</w:t>
            </w:r>
            <w:r>
              <w:rPr>
                <w:rFonts w:hint="eastAsia" w:ascii="宋体" w:hAnsi="宋体"/>
                <w:color w:val="000000"/>
                <w:sz w:val="21"/>
                <w:szCs w:val="24"/>
                <w:highlight w:val="none"/>
              </w:rPr>
              <w:t xml:space="preserve">、“数据共享交换”</w:t>
            </w:r>
            <w:r>
              <w:rPr>
                <w:rFonts w:hint="eastAsia" w:ascii="宋体" w:hAnsi="宋体"/>
                <w:color w:val="000000"/>
                <w:sz w:val="21"/>
                <w:szCs w:val="24"/>
                <w:highlight w:val="none"/>
                <w:lang w:val="en-US" w:eastAsia="zh-CN"/>
              </w:rPr>
              <w:t xml:space="preserve">类</w:t>
            </w:r>
            <w:r>
              <w:rPr>
                <w:rFonts w:hint="eastAsia" w:ascii="宋体" w:hAnsi="宋体"/>
                <w:color w:val="000000"/>
                <w:sz w:val="21"/>
                <w:szCs w:val="24"/>
                <w:highlight w:val="none"/>
              </w:rPr>
              <w:t xml:space="preserve">、“统一认证”</w:t>
            </w:r>
            <w:r>
              <w:rPr>
                <w:rFonts w:hint="eastAsia" w:ascii="宋体" w:hAnsi="宋体"/>
                <w:color w:val="000000"/>
                <w:sz w:val="21"/>
                <w:szCs w:val="24"/>
                <w:highlight w:val="none"/>
                <w:lang w:val="en-US" w:eastAsia="zh-CN"/>
              </w:rPr>
              <w:t xml:space="preserve">类</w:t>
            </w:r>
            <w:r>
              <w:rPr>
                <w:rFonts w:hint="eastAsia" w:ascii="宋体" w:hAnsi="宋体"/>
                <w:color w:val="000000"/>
                <w:sz w:val="21"/>
                <w:szCs w:val="24"/>
                <w:highlight w:val="none"/>
              </w:rPr>
              <w:t xml:space="preserve">、“智慧教育”</w:t>
            </w:r>
            <w:r>
              <w:rPr>
                <w:rFonts w:hint="eastAsia" w:ascii="宋体" w:hAnsi="宋体"/>
                <w:color w:val="000000"/>
                <w:sz w:val="21"/>
                <w:szCs w:val="24"/>
                <w:highlight w:val="none"/>
                <w:lang w:val="en-US" w:eastAsia="zh-CN"/>
              </w:rPr>
              <w:t xml:space="preserve">类</w:t>
            </w:r>
            <w:r>
              <w:rPr>
                <w:rFonts w:hint="eastAsia" w:ascii="宋体" w:hAnsi="宋体"/>
                <w:color w:val="000000"/>
                <w:sz w:val="21"/>
                <w:szCs w:val="24"/>
                <w:highlight w:val="none"/>
              </w:rPr>
              <w:t xml:space="preserve">、“中小学实验室管理”</w:t>
            </w:r>
            <w:r>
              <w:rPr>
                <w:rFonts w:hint="eastAsia" w:ascii="宋体" w:hAnsi="宋体"/>
                <w:color w:val="000000"/>
                <w:sz w:val="21"/>
                <w:szCs w:val="24"/>
                <w:highlight w:val="none"/>
                <w:lang w:val="en-US" w:eastAsia="zh-CN"/>
              </w:rPr>
              <w:t xml:space="preserve">类</w:t>
            </w:r>
            <w:r>
              <w:rPr>
                <w:rFonts w:hint="eastAsia" w:ascii="宋体" w:hAnsi="宋体"/>
                <w:color w:val="000000"/>
                <w:sz w:val="21"/>
                <w:szCs w:val="24"/>
                <w:highlight w:val="none"/>
              </w:rPr>
              <w:t xml:space="preserve">、“中小学危险化学品监管”</w:t>
            </w:r>
            <w:r>
              <w:rPr>
                <w:rFonts w:hint="eastAsia" w:ascii="宋体" w:hAnsi="宋体"/>
                <w:color w:val="000000"/>
                <w:sz w:val="21"/>
                <w:szCs w:val="24"/>
                <w:highlight w:val="none"/>
                <w:lang w:val="en-US" w:eastAsia="zh-CN"/>
              </w:rPr>
              <w:t xml:space="preserve">类</w:t>
            </w:r>
            <w:r>
              <w:rPr>
                <w:rFonts w:hint="eastAsia" w:ascii="宋体" w:hAnsi="宋体" w:cs="宋体"/>
                <w:color w:val="000000"/>
                <w:sz w:val="21"/>
                <w:szCs w:val="21"/>
                <w:highlight w:val="none"/>
                <w:lang w:bidi="ar"/>
              </w:rPr>
              <w:t xml:space="preserve">等的产品自主研发能力，并提供对应的软件著作权证书。每</w:t>
            </w:r>
            <w:r>
              <w:rPr>
                <w:rFonts w:ascii="宋体" w:hAnsi="宋体" w:cs="宋体"/>
                <w:color w:val="000000"/>
                <w:sz w:val="21"/>
                <w:szCs w:val="21"/>
                <w:highlight w:val="none"/>
                <w:lang w:bidi="ar"/>
              </w:rPr>
              <w:t xml:space="preserve">有一</w:t>
            </w:r>
            <w:r>
              <w:rPr>
                <w:rFonts w:hint="eastAsia" w:ascii="宋体" w:hAnsi="宋体" w:cs="宋体"/>
                <w:color w:val="000000"/>
                <w:sz w:val="21"/>
                <w:szCs w:val="21"/>
                <w:highlight w:val="none"/>
                <w:lang w:bidi="ar"/>
              </w:rPr>
              <w:t xml:space="preserve">类</w:t>
            </w:r>
            <w:r>
              <w:rPr>
                <w:rFonts w:ascii="宋体" w:hAnsi="宋体" w:cs="宋体"/>
                <w:color w:val="000000"/>
                <w:sz w:val="21"/>
                <w:szCs w:val="21"/>
                <w:highlight w:val="none"/>
                <w:lang w:bidi="ar"/>
              </w:rPr>
              <w:t xml:space="preserve">得</w:t>
            </w:r>
            <w:r>
              <w:rPr>
                <w:rFonts w:hint="eastAsia" w:ascii="宋体" w:hAnsi="宋体" w:cs="宋体"/>
                <w:color w:val="000000"/>
                <w:sz w:val="21"/>
                <w:szCs w:val="21"/>
                <w:highlight w:val="none"/>
                <w:lang w:val="en-US" w:eastAsia="zh-CN" w:bidi="ar"/>
              </w:rPr>
              <w:t xml:space="preserve">1.5</w:t>
            </w:r>
            <w:r>
              <w:rPr>
                <w:rFonts w:hint="eastAsia" w:ascii="宋体" w:hAnsi="宋体" w:cs="宋体"/>
                <w:color w:val="000000"/>
                <w:sz w:val="21"/>
                <w:szCs w:val="21"/>
                <w:highlight w:val="none"/>
                <w:lang w:bidi="ar"/>
              </w:rPr>
              <w:t xml:space="preserve">分</w:t>
            </w:r>
            <w:r>
              <w:rPr>
                <w:rFonts w:ascii="宋体" w:hAnsi="宋体" w:cs="宋体"/>
                <w:color w:val="000000"/>
                <w:sz w:val="21"/>
                <w:szCs w:val="21"/>
                <w:highlight w:val="none"/>
                <w:lang w:bidi="ar"/>
              </w:rPr>
              <w:t xml:space="preserve">，</w:t>
            </w:r>
            <w:r>
              <w:rPr>
                <w:rFonts w:hint="eastAsia" w:ascii="宋体" w:hAnsi="宋体"/>
                <w:color w:val="000000"/>
                <w:sz w:val="21"/>
                <w:szCs w:val="24"/>
                <w:highlight w:val="none"/>
              </w:rPr>
              <w:t xml:space="preserve">最多得</w:t>
            </w:r>
            <w:r>
              <w:rPr>
                <w:rFonts w:hint="eastAsia" w:ascii="宋体" w:hAnsi="宋体"/>
                <w:color w:val="000000"/>
                <w:sz w:val="21"/>
                <w:szCs w:val="24"/>
                <w:highlight w:val="none"/>
                <w:lang w:val="en-US" w:eastAsia="zh-CN"/>
              </w:rPr>
              <w:t xml:space="preserve">9</w:t>
            </w:r>
            <w:r>
              <w:rPr>
                <w:rFonts w:hint="eastAsia" w:ascii="宋体" w:hAnsi="宋体"/>
                <w:color w:val="000000"/>
                <w:sz w:val="21"/>
                <w:szCs w:val="24"/>
                <w:highlight w:val="none"/>
              </w:rPr>
              <w:t xml:space="preserve">分</w:t>
            </w:r>
            <w:r>
              <w:rPr>
                <w:rFonts w:hint="eastAsia" w:ascii="宋体" w:hAnsi="宋体"/>
                <w:color w:val="000000"/>
                <w:sz w:val="21"/>
                <w:szCs w:val="24"/>
                <w:highlight w:val="none"/>
                <w:lang w:eastAsia="zh-CN"/>
              </w:rPr>
              <w:t xml:space="preserve">。</w:t>
            </w:r>
            <w:r>
              <w:rPr>
                <w:rFonts w:hint="eastAsia" w:ascii="宋体" w:hAnsi="宋体" w:eastAsia="宋体"/>
                <w:color w:val="000000"/>
                <w:sz w:val="21"/>
                <w:szCs w:val="24"/>
                <w:highlight w:val="none"/>
                <w:lang w:val="en-US" w:eastAsia="zh-CN"/>
              </w:rPr>
            </w:r>
            <w:r>
              <w:rPr>
                <w:highlight w:val="none"/>
              </w:rPr>
            </w:r>
          </w:p>
          <w:p>
            <w:pPr>
              <w:pStyle w:val="637"/>
              <w:ind w:firstLine="422"/>
              <w:jc w:val="left"/>
              <w:keepLines w:val="0"/>
              <w:keepNext w:val="0"/>
              <w:pageBreakBefore w:val="0"/>
              <w:spacing w:line="300" w:lineRule="exact"/>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bidi="ar"/>
              </w:rPr>
              <w:t xml:space="preserve">注：1.相关软件著作权须为投标</w:t>
            </w:r>
            <w:r>
              <w:rPr>
                <w:rFonts w:hint="eastAsia" w:ascii="宋体" w:hAnsi="宋体" w:cs="宋体"/>
                <w:b/>
                <w:bCs/>
                <w:color w:val="000000"/>
                <w:sz w:val="21"/>
                <w:szCs w:val="21"/>
                <w:highlight w:val="none"/>
                <w:lang w:val="en-US" w:eastAsia="zh-CN" w:bidi="ar"/>
              </w:rPr>
              <w:t xml:space="preserve">人</w:t>
            </w:r>
            <w:r>
              <w:rPr>
                <w:rFonts w:hint="eastAsia" w:ascii="宋体" w:hAnsi="宋体" w:cs="宋体"/>
                <w:b/>
                <w:bCs/>
                <w:color w:val="000000"/>
                <w:sz w:val="21"/>
                <w:szCs w:val="21"/>
                <w:highlight w:val="none"/>
                <w:lang w:bidi="ar"/>
              </w:rPr>
              <w:t xml:space="preserve">自有，所登记注册的软件名称可以与上述名称略有不同，但必须是功能相同的产品。含相同关键字段的软件著作权不重复计数</w:t>
            </w:r>
            <w:r>
              <w:rPr>
                <w:rFonts w:hint="eastAsia" w:ascii="宋体" w:hAnsi="宋体" w:cs="宋体"/>
                <w:b/>
                <w:bCs/>
                <w:color w:val="000000"/>
                <w:sz w:val="21"/>
                <w:szCs w:val="21"/>
                <w:highlight w:val="none"/>
                <w:lang w:bidi="ar"/>
              </w:rPr>
            </w:r>
            <w:r>
              <w:rPr>
                <w:highlight w:val="none"/>
              </w:rPr>
            </w:r>
          </w:p>
          <w:p>
            <w:pPr>
              <w:pStyle w:val="637"/>
              <w:keepLines w:val="0"/>
              <w:keepNext w:val="0"/>
              <w:pageBreakBefore w:val="0"/>
              <w:spacing w:line="300" w:lineRule="exact"/>
              <w:widowControl/>
              <w:rPr>
                <w:rFonts w:hint="eastAsia"/>
                <w:color w:val="000000"/>
                <w:sz w:val="21"/>
                <w:szCs w:val="24"/>
                <w:highlight w:val="none"/>
              </w:rPr>
            </w:pPr>
            <w:r>
              <w:rPr>
                <w:rFonts w:hint="eastAsia" w:ascii="宋体" w:hAnsi="宋体" w:cs="宋体"/>
                <w:b/>
                <w:bCs/>
                <w:color w:val="000000"/>
                <w:sz w:val="21"/>
                <w:szCs w:val="21"/>
                <w:highlight w:val="none"/>
                <w:lang w:bidi="ar"/>
              </w:rPr>
              <w:t xml:space="preserve">2.需提以上相关供有效证书扫描件或相关证明材料扫描件。相关资料成交供应商合同签订前核查。</w:t>
            </w:r>
            <w:r>
              <w:rPr>
                <w:rFonts w:hint="eastAsia"/>
                <w:color w:val="000000"/>
                <w:sz w:val="21"/>
                <w:szCs w:val="24"/>
                <w:highlight w:val="none"/>
                <w:lang w:val="en-US" w:eastAsia="zh-CN"/>
              </w:rPr>
            </w:r>
            <w:r>
              <w:rPr>
                <w:highlight w:val="none"/>
              </w:rPr>
            </w:r>
          </w:p>
        </w:tc>
      </w:tr>
      <w:tr>
        <w:trPr>
          <w:trHeight w:val="543"/>
          <w:tblHeader/>
        </w:trPr>
        <w:tc>
          <w:tcPr>
            <w:tcW w:w="575"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r>
            <w:r/>
          </w:p>
        </w:tc>
        <w:tc>
          <w:tcPr>
            <w:tcW w:w="1118" w:type="dxa"/>
            <w:vAlign w:val="center"/>
            <w:vMerge w:val="continue"/>
            <w:textDirection w:val="lrTb"/>
            <w:noWrap w:val="false"/>
          </w:tcPr>
          <w:p>
            <w:pPr>
              <w:pStyle w:val="637"/>
              <w:jc w:val="center"/>
              <w:keepLines w:val="0"/>
              <w:keepNext w:val="0"/>
              <w:pageBreakBefore w:val="0"/>
              <w:spacing w:line="400" w:lineRule="exact"/>
              <w:widowControl/>
              <w:rPr>
                <w:rFonts w:hint="eastAsia" w:ascii="宋体" w:hAnsi="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r>
            <w:r/>
          </w:p>
        </w:tc>
        <w:tc>
          <w:tcPr>
            <w:tcW w:w="1352" w:type="dxa"/>
            <w:vAlign w:val="center"/>
            <w:textDirection w:val="lrTb"/>
            <w:noWrap w:val="false"/>
          </w:tcPr>
          <w:p>
            <w:pPr>
              <w:pStyle w:val="637"/>
              <w:jc w:val="center"/>
              <w:rPr>
                <w:rFonts w:hint="eastAsia" w:ascii="宋体" w:hAnsi="宋体" w:eastAsia="宋体" w:cs="宋体"/>
                <w:color w:val="000000"/>
                <w:sz w:val="21"/>
                <w:szCs w:val="21"/>
                <w:highlight w:val="none"/>
              </w:rPr>
            </w:pPr>
            <w:r>
              <w:rPr>
                <w:rFonts w:hint="eastAsia" w:ascii="宋体" w:hAnsi="宋体" w:eastAsia="宋体" w:cs="宋体"/>
                <w:color w:val="000000"/>
                <w:sz w:val="22"/>
                <w:szCs w:val="22"/>
                <w:highlight w:val="none"/>
              </w:rPr>
              <w:t xml:space="preserve">人员</w:t>
            </w:r>
            <w:r>
              <w:rPr>
                <w:rFonts w:hint="eastAsia" w:ascii="宋体" w:hAnsi="宋体" w:eastAsia="宋体" w:cs="宋体"/>
                <w:color w:val="000000"/>
                <w:sz w:val="22"/>
                <w:szCs w:val="22"/>
                <w:highlight w:val="none"/>
                <w:lang w:val="en-US" w:eastAsia="zh-CN"/>
              </w:rPr>
              <w:t xml:space="preserve">配备</w:t>
            </w:r>
            <w:r>
              <w:rPr>
                <w:rFonts w:hint="eastAsia" w:ascii="宋体" w:hAnsi="宋体" w:eastAsia="宋体" w:cs="宋体"/>
                <w:color w:val="000000"/>
                <w:sz w:val="21"/>
                <w:szCs w:val="21"/>
                <w:highlight w:val="none"/>
                <w:lang w:val="en-US" w:eastAsia="zh-CN" w:bidi="ar"/>
              </w:rPr>
            </w:r>
            <w:r>
              <w:rPr>
                <w:highlight w:val="none"/>
              </w:rPr>
            </w:r>
          </w:p>
        </w:tc>
        <w:tc>
          <w:tcPr>
            <w:tcW w:w="818" w:type="dxa"/>
            <w:vAlign w:val="center"/>
            <w:textDirection w:val="lrTb"/>
            <w:noWrap w:val="false"/>
          </w:tcPr>
          <w:p>
            <w:pPr>
              <w:pStyle w:val="637"/>
              <w:jc w:val="center"/>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bidi="ar"/>
              </w:rPr>
              <w:t xml:space="preserve">6</w:t>
            </w:r>
            <w:r>
              <w:rPr>
                <w:rFonts w:ascii="宋体" w:hAnsi="宋体" w:cs="宋体"/>
                <w:color w:val="000000"/>
                <w:sz w:val="21"/>
                <w:szCs w:val="21"/>
                <w:highlight w:val="none"/>
                <w:lang w:val="en-US" w:eastAsia="zh-CN" w:bidi="ar"/>
              </w:rPr>
            </w:r>
            <w:r>
              <w:rPr>
                <w:highlight w:val="none"/>
              </w:rPr>
            </w:r>
          </w:p>
        </w:tc>
        <w:tc>
          <w:tcPr>
            <w:tcW w:w="5499" w:type="dxa"/>
            <w:vAlign w:val="center"/>
            <w:textDirection w:val="lrTb"/>
            <w:noWrap w:val="false"/>
          </w:tcPr>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bidi="ar"/>
              </w:rPr>
              <w:t xml:space="preserve">1、投标人投入本项目的项目经理具有信息系统项目管理师、系统规划与管理师等相关证书的，每有一类得3分，最高得3分</w:t>
            </w:r>
            <w:r>
              <w:rPr>
                <w:rFonts w:hint="eastAsia" w:ascii="宋体" w:hAnsi="宋体" w:eastAsia="宋体" w:cs="宋体"/>
                <w:b w:val="0"/>
                <w:bCs w:val="0"/>
                <w:color w:val="000000"/>
                <w:szCs w:val="21"/>
                <w:highlight w:val="none"/>
                <w:lang w:val="zh-CN" w:eastAsia="zh-CN" w:bidi="ar"/>
              </w:rPr>
              <w:t xml:space="preserve">；</w:t>
            </w:r>
            <w:r>
              <w:rPr>
                <w:rFonts w:hint="eastAsia" w:ascii="宋体" w:hAnsi="宋体" w:eastAsia="宋体" w:cs="宋体"/>
                <w:b w:val="0"/>
                <w:bCs w:val="0"/>
                <w:color w:val="000000"/>
                <w:szCs w:val="21"/>
                <w:highlight w:val="none"/>
                <w:lang w:val="en-US" w:eastAsia="zh-CN" w:bidi="ar"/>
              </w:rPr>
            </w:r>
            <w:r>
              <w:rPr>
                <w:highlight w:val="none"/>
              </w:rPr>
            </w:r>
          </w:p>
          <w:p>
            <w:pPr>
              <w:pStyle w:val="637"/>
              <w:ind w:firstLine="420"/>
              <w:jc w:val="left"/>
              <w:keepLines w:val="0"/>
              <w:keepNext w:val="0"/>
              <w:pageBreakBefore w:val="0"/>
              <w:spacing w:line="300" w:lineRule="exact"/>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bidi="ar"/>
              </w:rPr>
              <w:t xml:space="preserve">2、投标人投入本项目的项目部成员（不含项目经理）具有信息安全工程师、数据库系统工程师、信息系统管理工程师证书，有一类得1分，本项目最高得3分。</w:t>
            </w:r>
            <w:r>
              <w:rPr>
                <w:rFonts w:hint="eastAsia" w:ascii="宋体" w:hAnsi="宋体" w:eastAsia="宋体" w:cs="宋体"/>
                <w:b w:val="0"/>
                <w:bCs w:val="0"/>
                <w:color w:val="000000"/>
                <w:szCs w:val="21"/>
                <w:highlight w:val="none"/>
                <w:lang w:val="en-US" w:eastAsia="zh-CN" w:bidi="ar"/>
              </w:rPr>
            </w:r>
            <w:r>
              <w:rPr>
                <w:highlight w:val="none"/>
              </w:rPr>
            </w:r>
          </w:p>
          <w:p>
            <w:pPr>
              <w:pStyle w:val="637"/>
              <w:ind w:firstLine="420"/>
              <w:jc w:val="left"/>
              <w:keepLines w:val="0"/>
              <w:keepNext w:val="0"/>
              <w:pageBreakBefore w:val="0"/>
              <w:spacing w:line="300" w:lineRule="exact"/>
              <w:widowControl/>
              <w:rPr>
                <w:rFonts w:hint="eastAsia" w:ascii="宋体" w:hAnsi="宋体" w:cs="宋体"/>
                <w:b/>
                <w:bCs/>
                <w:color w:val="000000"/>
                <w:sz w:val="21"/>
                <w:szCs w:val="21"/>
                <w:highlight w:val="none"/>
              </w:rPr>
            </w:pPr>
            <w:r>
              <w:rPr>
                <w:rFonts w:hint="eastAsia" w:ascii="宋体" w:hAnsi="宋体" w:eastAsia="宋体" w:cs="宋体"/>
                <w:b w:val="0"/>
                <w:bCs w:val="0"/>
                <w:color w:val="000000"/>
                <w:szCs w:val="21"/>
                <w:highlight w:val="none"/>
                <w:lang w:val="en-US" w:eastAsia="zh-CN" w:bidi="ar"/>
              </w:rPr>
              <w:t xml:space="preserve">注：投标文件中须提供人员证书原件扫描件，否则不得分。</w:t>
            </w:r>
            <w:r>
              <w:rPr>
                <w:rFonts w:hint="eastAsia" w:ascii="宋体" w:hAnsi="宋体" w:cs="宋体"/>
                <w:b/>
                <w:bCs/>
                <w:color w:val="000000"/>
                <w:sz w:val="21"/>
                <w:szCs w:val="21"/>
                <w:highlight w:val="none"/>
                <w:lang w:bidi="ar"/>
              </w:rPr>
            </w:r>
            <w:r>
              <w:rPr>
                <w:highlight w:val="none"/>
              </w:rPr>
            </w:r>
          </w:p>
        </w:tc>
      </w:tr>
    </w:tbl>
    <w:p>
      <w:pPr>
        <w:pStyle w:val="658"/>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r>
      <w:r>
        <w:rPr>
          <w:highlight w:val="none"/>
        </w:rPr>
      </w:r>
    </w:p>
    <w:p>
      <w:pPr>
        <w:pStyle w:val="637"/>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r>
      <w:r>
        <w:rPr>
          <w:highlight w:val="none"/>
        </w:rPr>
      </w:r>
    </w:p>
    <w:p>
      <w:pPr>
        <w:pStyle w:val="65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r>
        <w:rPr>
          <w:rFonts w:hint="eastAsia" w:ascii="黑体" w:hAnsi="宋体" w:eastAsia="黑体" w:cs="黑体"/>
          <w:color w:val="000000"/>
          <w:sz w:val="44"/>
          <w:szCs w:val="44"/>
          <w:highlight w:val="none"/>
        </w:rPr>
      </w:r>
      <w:r>
        <w:rPr>
          <w:highlight w:val="none"/>
        </w:rPr>
      </w:r>
    </w:p>
    <w:p>
      <w:pPr>
        <w:pStyle w:val="658"/>
        <w:jc w:val="center"/>
        <w:spacing w:beforeAutospacing="0" w:afterAutospacing="0"/>
        <w:rPr>
          <w:rFonts w:hint="eastAsia" w:ascii="宋体" w:hAnsi="宋体" w:cs="宋体"/>
          <w:b/>
          <w:color w:val="000000"/>
          <w:sz w:val="72"/>
          <w:szCs w:val="72"/>
          <w:highlight w:val="none"/>
        </w:rPr>
      </w:pPr>
      <w:r>
        <w:rPr>
          <w:highlight w:val="none"/>
        </w:rPr>
      </w:r>
      <w:bookmarkStart w:id="152" w:name="_Toc120614282"/>
      <w:r>
        <w:rPr>
          <w:highlight w:val="none"/>
        </w:rPr>
      </w:r>
      <w:bookmarkEnd w:id="152"/>
      <w:r>
        <w:rPr>
          <w:highlight w:val="none"/>
        </w:rPr>
      </w:r>
      <w:bookmarkStart w:id="153" w:name="_Toc49090576"/>
      <w:r>
        <w:rPr>
          <w:highlight w:val="none"/>
        </w:rPr>
      </w:r>
      <w:bookmarkEnd w:id="153"/>
      <w:r>
        <w:rPr>
          <w:highlight w:val="none"/>
        </w:rPr>
      </w:r>
      <w:bookmarkStart w:id="154" w:name="_Hlt26955039"/>
      <w:r>
        <w:rPr>
          <w:highlight w:val="none"/>
        </w:rPr>
      </w:r>
      <w:bookmarkStart w:id="155" w:name="_Hlt26671244"/>
      <w:r>
        <w:rPr>
          <w:highlight w:val="none"/>
        </w:rPr>
      </w:r>
      <w:bookmarkStart w:id="156" w:name="_Toc26554094"/>
      <w:r>
        <w:rPr>
          <w:rFonts w:hint="eastAsia" w:ascii="宋体" w:hAnsi="宋体" w:cs="宋体"/>
          <w:b/>
          <w:color w:val="000000"/>
          <w:sz w:val="72"/>
          <w:szCs w:val="72"/>
          <w:highlight w:val="none"/>
        </w:rPr>
      </w:r>
      <w:r>
        <w:rPr>
          <w:highlight w:val="none"/>
        </w:rPr>
      </w:r>
    </w:p>
    <w:p>
      <w:pPr>
        <w:pStyle w:val="658"/>
        <w:jc w:val="center"/>
        <w:spacing w:beforeAutospacing="0" w:afterAutospacing="0"/>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rPr>
          <w:highlight w:val="none"/>
        </w:rPr>
      </w:r>
    </w:p>
    <w:p>
      <w:pPr>
        <w:pStyle w:val="658"/>
        <w:jc w:val="center"/>
        <w:spacing w:beforeAutospacing="0" w:afterAutospacing="0"/>
        <w:rPr>
          <w:color w:val="000000"/>
          <w:highlight w:val="none"/>
        </w:rPr>
      </w:pPr>
      <w:r>
        <w:rPr>
          <w:rFonts w:hint="eastAsia" w:ascii="宋体" w:hAnsi="宋体" w:cs="宋体"/>
          <w:b/>
          <w:color w:val="000000"/>
          <w:sz w:val="72"/>
          <w:szCs w:val="72"/>
          <w:highlight w:val="none"/>
        </w:rPr>
        <w:t xml:space="preserve">投  标  文  件</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名 称：</w:t>
      </w:r>
      <w:r>
        <w:rPr>
          <w:rFonts w:hint="eastAsia" w:ascii="宋体" w:hAnsi="宋体" w:cs="宋体"/>
          <w:b/>
          <w:color w:val="000000"/>
          <w:sz w:val="36"/>
          <w:szCs w:val="36"/>
          <w:highlight w:val="none"/>
          <w:u w:val="single"/>
        </w:rPr>
        <w:t xml:space="preserve">             </w:t>
      </w:r>
      <w:r>
        <w:rPr>
          <w:color w:val="000000"/>
          <w:highlight w:val="none"/>
        </w:rPr>
      </w:r>
      <w:r>
        <w:rPr>
          <w:highlight w:val="none"/>
        </w:rPr>
      </w:r>
    </w:p>
    <w:p>
      <w:pPr>
        <w:pStyle w:val="658"/>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编 号：</w:t>
      </w:r>
      <w:r>
        <w:rPr>
          <w:rFonts w:hint="eastAsia" w:ascii="宋体" w:hAnsi="宋体" w:cs="宋体"/>
          <w:b/>
          <w:color w:val="000000"/>
          <w:sz w:val="36"/>
          <w:szCs w:val="36"/>
          <w:highlight w:val="none"/>
          <w:u w:val="single"/>
        </w:rPr>
        <w:t xml:space="preserve">             </w:t>
      </w:r>
      <w:r>
        <w:rPr>
          <w:color w:val="000000"/>
          <w:highlight w:val="none"/>
        </w:rPr>
      </w:r>
      <w:r>
        <w:rPr>
          <w:highlight w:val="none"/>
        </w:rPr>
      </w:r>
    </w:p>
    <w:p>
      <w:pPr>
        <w:pStyle w:val="658"/>
        <w:jc w:val="both"/>
        <w:spacing w:beforeAutospacing="0" w:afterAutospacing="0"/>
        <w:rPr>
          <w:color w:val="000000"/>
          <w:highlight w:val="none"/>
        </w:rPr>
      </w:pPr>
      <w:r>
        <w:rPr>
          <w:rFonts w:hint="eastAsia" w:ascii="宋体" w:hAnsi="宋体" w:cs="宋体"/>
          <w:b/>
          <w:color w:val="000000"/>
          <w:sz w:val="36"/>
          <w:szCs w:val="36"/>
          <w:highlight w:val="none"/>
        </w:rPr>
        <w:t xml:space="preserve">   投标人名称 ：</w:t>
      </w:r>
      <w:r>
        <w:rPr>
          <w:rFonts w:hint="eastAsia" w:ascii="宋体" w:hAnsi="宋体" w:cs="宋体"/>
          <w:b/>
          <w:color w:val="000000"/>
          <w:sz w:val="36"/>
          <w:szCs w:val="36"/>
          <w:highlight w:val="none"/>
          <w:u w:val="single"/>
        </w:rPr>
        <w:t xml:space="preserve">（加盖CA电子公章）</w:t>
      </w:r>
      <w:r>
        <w:rPr>
          <w:color w:val="000000"/>
          <w:highlight w:val="none"/>
        </w:rPr>
      </w:r>
      <w:r>
        <w:rPr>
          <w:highlight w:val="none"/>
        </w:rPr>
      </w:r>
    </w:p>
    <w:p>
      <w:pPr>
        <w:pStyle w:val="658"/>
        <w:jc w:val="both"/>
        <w:spacing w:beforeAutospacing="0" w:afterAutospacing="0"/>
        <w:rPr>
          <w:color w:val="000000"/>
          <w:highlight w:val="none"/>
        </w:rPr>
      </w:pPr>
      <w:r>
        <w:rPr>
          <w:rFonts w:hint="eastAsia" w:ascii="宋体" w:hAnsi="宋体" w:cs="宋体"/>
          <w:b/>
          <w:color w:val="000000"/>
          <w:sz w:val="36"/>
          <w:szCs w:val="36"/>
          <w:highlight w:val="none"/>
        </w:rPr>
        <w:t xml:space="preserve">   日   期 ：</w:t>
      </w:r>
      <w:r>
        <w:rPr>
          <w:rFonts w:hint="eastAsia" w:ascii="宋体" w:hAnsi="宋体" w:cs="宋体"/>
          <w:b/>
          <w:color w:val="000000"/>
          <w:sz w:val="36"/>
          <w:szCs w:val="36"/>
          <w:highlight w:val="none"/>
          <w:u w:val="single"/>
        </w:rPr>
        <w:t xml:space="preserve">             </w:t>
      </w: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r>
      <w:r>
        <w:rPr>
          <w:highlight w:val="none"/>
        </w:rPr>
      </w:r>
    </w:p>
    <w:p>
      <w:pPr>
        <w:pStyle w:val="658"/>
        <w:jc w:val="center"/>
        <w:spacing w:beforeAutospacing="0" w:afterAutospacing="0" w:line="0" w:lineRule="atLeast"/>
        <w:rPr>
          <w:color w:val="000000"/>
          <w:highlight w:val="none"/>
        </w:rPr>
      </w:pPr>
      <w:r>
        <w:rPr>
          <w:rFonts w:hint="eastAsia" w:ascii="宋体" w:hAnsi="宋体" w:cs="宋体"/>
          <w:b/>
          <w:color w:val="000000"/>
          <w:sz w:val="32"/>
          <w:szCs w:val="32"/>
          <w:highlight w:val="none"/>
        </w:rPr>
        <w:t xml:space="preserve">投标文件目录</w:t>
      </w: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p>
      <w:pPr>
        <w:pStyle w:val="658"/>
        <w:ind w:firstLine="560"/>
        <w:jc w:val="both"/>
        <w:spacing w:beforeAutospacing="0" w:afterAutospacing="0" w:line="440" w:lineRule="exact"/>
        <w:rPr>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一、法人或者其他组织的营业执照等证明文件，自然人的身份证明</w:t>
      </w:r>
      <w:r>
        <w:rPr>
          <w:i/>
          <w:iCs w:val="0"/>
          <w:color w:val="000000"/>
          <w:sz w:val="28"/>
          <w:szCs w:val="28"/>
          <w:highlight w:val="none"/>
          <w:u w:val="single"/>
        </w:rPr>
      </w:r>
      <w:r>
        <w:rPr>
          <w:highlight w:val="none"/>
        </w:rPr>
      </w:r>
    </w:p>
    <w:p>
      <w:pPr>
        <w:pStyle w:val="637"/>
        <w:ind w:firstLine="560"/>
        <w:jc w:val="left"/>
        <w:spacing w:line="440" w:lineRule="exact"/>
        <w:tabs>
          <w:tab w:val="left" w:pos="1331" w:leader="none"/>
        </w:tabs>
        <w:rPr>
          <w:i/>
          <w:color w:val="000000"/>
          <w:sz w:val="28"/>
          <w:szCs w:val="28"/>
          <w:highlight w:val="none"/>
          <w:u w:val="single"/>
        </w:rPr>
      </w:pPr>
      <w:r>
        <w:rPr>
          <w:rFonts w:hint="eastAsia" w:ascii="宋体" w:hAnsi="宋体" w:cs="宋体"/>
          <w:i/>
          <w:color w:val="000000"/>
          <w:sz w:val="28"/>
          <w:szCs w:val="28"/>
          <w:highlight w:val="none"/>
          <w:u w:val="single"/>
        </w:rPr>
        <w:t xml:space="preserve">二、</w:t>
      </w:r>
      <w:r>
        <w:rPr>
          <w:rFonts w:hint="eastAsia" w:ascii="宋体" w:hAnsi="宋体" w:cs="宋体"/>
          <w:i/>
          <w:color w:val="000000"/>
          <w:sz w:val="28"/>
          <w:szCs w:val="28"/>
          <w:highlight w:val="none"/>
          <w:u w:val="single"/>
          <w:lang w:eastAsia="zh-CN"/>
        </w:rPr>
        <w:t xml:space="preserve">上一年度的财务状况报表</w:t>
      </w:r>
      <w:r>
        <w:rPr>
          <w:rFonts w:hint="eastAsia" w:ascii="宋体" w:hAnsi="宋体" w:cs="宋体"/>
          <w:i/>
          <w:color w:val="000000"/>
          <w:sz w:val="28"/>
          <w:szCs w:val="28"/>
          <w:highlight w:val="none"/>
          <w:u w:val="single"/>
        </w:rPr>
        <w:t xml:space="preserve">（至少提供资产负债表、利润表、现金流量表，</w:t>
      </w:r>
      <w:r>
        <w:rPr>
          <w:rFonts w:hint="eastAsia" w:ascii="宋体" w:hAnsi="宋体" w:cs="宋体"/>
          <w:i/>
          <w:color w:val="000000"/>
          <w:sz w:val="28"/>
          <w:szCs w:val="28"/>
          <w:highlight w:val="none"/>
          <w:u w:val="single"/>
        </w:rPr>
        <w:t xml:space="preserve">投标人成立不满一年无需提供）</w:t>
      </w:r>
      <w:r>
        <w:rPr>
          <w:i/>
          <w:color w:val="000000"/>
          <w:sz w:val="28"/>
          <w:szCs w:val="28"/>
          <w:highlight w:val="none"/>
          <w:u w:val="single"/>
        </w:rPr>
      </w:r>
      <w:r>
        <w:rPr>
          <w:highlight w:val="none"/>
        </w:rPr>
      </w:r>
    </w:p>
    <w:p>
      <w:pPr>
        <w:pStyle w:val="658"/>
        <w:ind w:firstLine="560"/>
        <w:jc w:val="both"/>
        <w:spacing w:beforeAutospacing="0" w:afterAutospacing="0" w:line="440" w:lineRule="exact"/>
        <w:rPr>
          <w:rFonts w:hint="eastAsia" w:ascii="宋体" w:hAnsi="宋体" w:cs="宋体"/>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三、具备履行合同所必需的设备和专业技术能力的书面声明</w:t>
      </w:r>
      <w:r>
        <w:rPr>
          <w:rFonts w:hint="eastAsia" w:ascii="宋体" w:hAnsi="宋体" w:cs="宋体"/>
          <w:i/>
          <w:iCs w:val="0"/>
          <w:color w:val="000000"/>
          <w:sz w:val="28"/>
          <w:szCs w:val="28"/>
          <w:highlight w:val="none"/>
          <w:u w:val="single"/>
        </w:rPr>
      </w:r>
      <w:r>
        <w:rPr>
          <w:highlight w:val="none"/>
        </w:rPr>
      </w:r>
    </w:p>
    <w:p>
      <w:pPr>
        <w:pStyle w:val="658"/>
        <w:ind w:firstLine="560"/>
        <w:jc w:val="both"/>
        <w:spacing w:beforeAutospacing="0" w:afterAutospacing="0" w:line="440" w:lineRule="exact"/>
        <w:rPr>
          <w:rFonts w:hint="eastAsia" w:ascii="宋体" w:hAnsi="宋体" w:cs="宋体"/>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iCs w:val="0"/>
          <w:color w:val="000000"/>
          <w:sz w:val="28"/>
          <w:szCs w:val="28"/>
          <w:highlight w:val="none"/>
          <w:u w:val="single"/>
        </w:rPr>
      </w:r>
      <w:r>
        <w:rPr>
          <w:highlight w:val="none"/>
        </w:rPr>
      </w:r>
    </w:p>
    <w:p>
      <w:pPr>
        <w:pStyle w:val="658"/>
        <w:ind w:firstLine="560"/>
        <w:jc w:val="both"/>
        <w:spacing w:beforeAutospacing="0" w:afterAutospacing="0" w:line="440" w:lineRule="exact"/>
        <w:rPr>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五、参加政府采购活动前 3 年内在经营活动中没有重大违法记录的书面声明</w:t>
      </w:r>
      <w:r>
        <w:rPr>
          <w:i/>
          <w:iCs w:val="0"/>
          <w:color w:val="000000"/>
          <w:sz w:val="28"/>
          <w:szCs w:val="28"/>
          <w:highlight w:val="none"/>
          <w:u w:val="single"/>
        </w:rPr>
      </w:r>
      <w:r>
        <w:rPr>
          <w:highlight w:val="none"/>
        </w:rPr>
      </w:r>
    </w:p>
    <w:p>
      <w:pPr>
        <w:pStyle w:val="658"/>
        <w:ind w:firstLine="560"/>
        <w:jc w:val="both"/>
        <w:spacing w:beforeAutospacing="0" w:afterAutospacing="0" w:line="440" w:lineRule="exact"/>
        <w:rPr>
          <w:rFonts w:hint="eastAsia" w:ascii="宋体" w:hAnsi="宋体" w:cs="宋体"/>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六、投标人法定代表人身份证明和投标文件签署授权委托书（另附法定代表人和被授权人的身份证复印件）</w:t>
      </w:r>
      <w:r>
        <w:rPr>
          <w:rFonts w:hint="eastAsia" w:ascii="宋体" w:hAnsi="宋体" w:cs="宋体"/>
          <w:i/>
          <w:iCs w:val="0"/>
          <w:color w:val="000000"/>
          <w:sz w:val="28"/>
          <w:szCs w:val="28"/>
          <w:highlight w:val="none"/>
          <w:u w:val="single"/>
        </w:rPr>
      </w:r>
      <w:r>
        <w:rPr>
          <w:highlight w:val="none"/>
        </w:rPr>
      </w:r>
    </w:p>
    <w:p>
      <w:pPr>
        <w:pStyle w:val="658"/>
        <w:ind w:firstLine="560"/>
        <w:jc w:val="both"/>
        <w:spacing w:beforeAutospacing="0" w:afterAutospacing="0" w:line="440" w:lineRule="exact"/>
        <w:rPr>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七、投标人为被授权人缴纳的社会养老保险证明</w:t>
      </w:r>
      <w:r>
        <w:rPr>
          <w:i/>
          <w:iCs w:val="0"/>
          <w:color w:val="000000"/>
          <w:sz w:val="28"/>
          <w:szCs w:val="28"/>
          <w:highlight w:val="none"/>
          <w:u w:val="single"/>
        </w:rPr>
      </w:r>
      <w:r>
        <w:rPr>
          <w:highlight w:val="none"/>
        </w:rPr>
      </w:r>
    </w:p>
    <w:p>
      <w:pPr>
        <w:pStyle w:val="658"/>
        <w:ind w:firstLine="560"/>
        <w:jc w:val="both"/>
        <w:spacing w:beforeAutospacing="0" w:afterAutospacing="0" w:line="440" w:lineRule="exact"/>
        <w:rPr>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八、投标函</w:t>
      </w:r>
      <w:r>
        <w:rPr>
          <w:i/>
          <w:iCs w:val="0"/>
          <w:color w:val="000000"/>
          <w:sz w:val="28"/>
          <w:szCs w:val="28"/>
          <w:highlight w:val="none"/>
          <w:u w:val="single"/>
        </w:rPr>
      </w:r>
      <w:r>
        <w:rPr>
          <w:highlight w:val="none"/>
        </w:rPr>
      </w:r>
    </w:p>
    <w:p>
      <w:pPr>
        <w:pStyle w:val="658"/>
        <w:ind w:firstLine="560"/>
        <w:jc w:val="both"/>
        <w:spacing w:beforeAutospacing="0" w:afterAutospacing="0" w:line="440" w:lineRule="exact"/>
        <w:rPr>
          <w:rFonts w:hint="eastAsia" w:eastAsia="宋体"/>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九、</w:t>
      </w:r>
      <w:r>
        <w:rPr>
          <w:rFonts w:hint="eastAsia" w:ascii="宋体" w:hAnsi="宋体" w:cs="宋体"/>
          <w:i/>
          <w:iCs w:val="0"/>
          <w:color w:val="000000"/>
          <w:sz w:val="28"/>
          <w:szCs w:val="28"/>
          <w:highlight w:val="none"/>
          <w:u w:val="single"/>
          <w:lang w:eastAsia="zh-CN"/>
        </w:rPr>
        <w:t xml:space="preserve">中小企业声明函</w:t>
      </w:r>
      <w:r>
        <w:rPr>
          <w:rFonts w:hint="eastAsia" w:eastAsia="宋体"/>
          <w:i/>
          <w:iCs w:val="0"/>
          <w:color w:val="000000"/>
          <w:sz w:val="28"/>
          <w:szCs w:val="28"/>
          <w:highlight w:val="none"/>
          <w:u w:val="single"/>
          <w:lang w:eastAsia="zh-CN"/>
        </w:rPr>
      </w:r>
      <w:r>
        <w:rPr>
          <w:highlight w:val="none"/>
        </w:rPr>
      </w:r>
    </w:p>
    <w:p>
      <w:pPr>
        <w:pStyle w:val="658"/>
        <w:ind w:firstLine="560"/>
        <w:jc w:val="both"/>
        <w:spacing w:beforeAutospacing="0" w:afterAutospacing="0" w:line="440" w:lineRule="exact"/>
        <w:rPr>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十、残疾人福利性单位声明函</w:t>
      </w:r>
      <w:r>
        <w:rPr>
          <w:i/>
          <w:iCs w:val="0"/>
          <w:color w:val="000000"/>
          <w:sz w:val="28"/>
          <w:szCs w:val="28"/>
          <w:highlight w:val="none"/>
          <w:u w:val="single"/>
        </w:rPr>
      </w:r>
      <w:r>
        <w:rPr>
          <w:highlight w:val="none"/>
        </w:rPr>
      </w:r>
    </w:p>
    <w:p>
      <w:pPr>
        <w:pStyle w:val="658"/>
        <w:ind w:firstLine="560"/>
        <w:jc w:val="both"/>
        <w:spacing w:beforeAutospacing="0" w:afterAutospacing="0" w:line="440" w:lineRule="exact"/>
        <w:rPr>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十一、投标分项报价表</w:t>
      </w:r>
      <w:r>
        <w:rPr>
          <w:i/>
          <w:iCs w:val="0"/>
          <w:color w:val="000000"/>
          <w:sz w:val="28"/>
          <w:szCs w:val="28"/>
          <w:highlight w:val="none"/>
          <w:u w:val="single"/>
        </w:rPr>
      </w:r>
      <w:r>
        <w:rPr>
          <w:highlight w:val="none"/>
        </w:rPr>
      </w:r>
    </w:p>
    <w:p>
      <w:pPr>
        <w:pStyle w:val="658"/>
        <w:ind w:firstLine="560"/>
        <w:jc w:val="both"/>
        <w:spacing w:beforeAutospacing="0" w:afterAutospacing="0" w:line="440" w:lineRule="exact"/>
        <w:rPr>
          <w:rFonts w:hint="eastAsia" w:ascii="宋体" w:hAnsi="宋体" w:cs="宋体"/>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十二、技术要求响应及偏离表</w:t>
      </w:r>
      <w:r>
        <w:rPr>
          <w:rFonts w:hint="eastAsia" w:ascii="宋体" w:hAnsi="宋体" w:cs="宋体"/>
          <w:i/>
          <w:iCs w:val="0"/>
          <w:color w:val="000000"/>
          <w:sz w:val="28"/>
          <w:szCs w:val="28"/>
          <w:highlight w:val="none"/>
          <w:u w:val="single"/>
        </w:rPr>
      </w:r>
      <w:r>
        <w:rPr>
          <w:highlight w:val="none"/>
        </w:rPr>
      </w:r>
    </w:p>
    <w:p>
      <w:pPr>
        <w:pStyle w:val="658"/>
        <w:ind w:firstLine="560"/>
        <w:jc w:val="both"/>
        <w:spacing w:beforeAutospacing="0" w:afterAutospacing="0" w:line="440" w:lineRule="exact"/>
        <w:rPr>
          <w:rFonts w:hint="eastAsia" w:ascii="宋体" w:hAnsi="宋体" w:cs="宋体"/>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十三、商务要求响应及偏离表</w:t>
      </w:r>
      <w:r>
        <w:rPr>
          <w:rFonts w:hint="eastAsia" w:ascii="宋体" w:hAnsi="宋体" w:cs="宋体"/>
          <w:i/>
          <w:iCs w:val="0"/>
          <w:color w:val="000000"/>
          <w:sz w:val="28"/>
          <w:szCs w:val="28"/>
          <w:highlight w:val="none"/>
          <w:u w:val="single"/>
        </w:rPr>
      </w:r>
      <w:r>
        <w:rPr>
          <w:highlight w:val="none"/>
        </w:rPr>
      </w:r>
    </w:p>
    <w:p>
      <w:pPr>
        <w:pStyle w:val="658"/>
        <w:ind w:firstLine="560"/>
        <w:jc w:val="both"/>
        <w:spacing w:beforeAutospacing="0" w:afterAutospacing="0" w:line="440" w:lineRule="exact"/>
        <w:rPr>
          <w:rFonts w:hint="eastAsia" w:ascii="宋体" w:hAnsi="宋体" w:cs="宋体"/>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十四、开标一览表</w:t>
      </w:r>
      <w:r>
        <w:rPr>
          <w:rFonts w:hint="eastAsia" w:ascii="宋体" w:hAnsi="宋体" w:cs="宋体"/>
          <w:i/>
          <w:iCs w:val="0"/>
          <w:color w:val="000000"/>
          <w:sz w:val="28"/>
          <w:szCs w:val="28"/>
          <w:highlight w:val="none"/>
          <w:u w:val="single"/>
        </w:rPr>
      </w:r>
      <w:r>
        <w:rPr>
          <w:highlight w:val="none"/>
        </w:rPr>
      </w:r>
    </w:p>
    <w:p>
      <w:pPr>
        <w:pStyle w:val="658"/>
        <w:ind w:firstLine="560"/>
        <w:jc w:val="both"/>
        <w:spacing w:beforeAutospacing="0" w:afterAutospacing="0" w:line="440" w:lineRule="exact"/>
        <w:rPr>
          <w:rFonts w:hint="eastAsia" w:ascii="宋体" w:hAnsi="宋体" w:cs="宋体"/>
          <w:i/>
          <w:iCs w:val="0"/>
          <w:color w:val="000000"/>
          <w:sz w:val="28"/>
          <w:szCs w:val="28"/>
          <w:highlight w:val="none"/>
          <w:u w:val="single"/>
        </w:rPr>
      </w:pPr>
      <w:r>
        <w:rPr>
          <w:rFonts w:hint="eastAsia" w:ascii="宋体" w:hAnsi="宋体" w:cs="宋体"/>
          <w:i/>
          <w:iCs w:val="0"/>
          <w:color w:val="000000"/>
          <w:sz w:val="28"/>
          <w:szCs w:val="28"/>
          <w:highlight w:val="none"/>
          <w:u w:val="single"/>
        </w:rPr>
        <w:t xml:space="preserve">十六、盐城市政府采购事前信用承诺书</w:t>
      </w:r>
      <w:r>
        <w:rPr>
          <w:rFonts w:hint="eastAsia" w:ascii="宋体" w:hAnsi="宋体" w:cs="宋体"/>
          <w:i/>
          <w:iCs w:val="0"/>
          <w:color w:val="000000"/>
          <w:sz w:val="28"/>
          <w:szCs w:val="28"/>
          <w:highlight w:val="none"/>
          <w:u w:val="single"/>
        </w:rPr>
      </w:r>
      <w:r>
        <w:rPr>
          <w:highlight w:val="none"/>
        </w:rPr>
      </w:r>
    </w:p>
    <w:p>
      <w:pPr>
        <w:pStyle w:val="658"/>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p>
      <w:pPr>
        <w:pStyle w:val="658"/>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rFonts w:hint="eastAsia" w:ascii="黑体" w:hAnsi="宋体" w:eastAsia="黑体" w:cs="黑体"/>
          <w:i/>
          <w:color w:val="000000"/>
          <w:sz w:val="32"/>
          <w:szCs w:val="32"/>
          <w:highlight w:val="none"/>
          <w:u w:val="single"/>
        </w:rPr>
        <w:br w:type="page" w:clear="all"/>
      </w:r>
      <w:r>
        <w:rPr>
          <w:rFonts w:hint="eastAsia" w:ascii="黑体" w:hAnsi="宋体" w:eastAsia="黑体" w:cs="黑体"/>
          <w:i/>
          <w:color w:val="000000"/>
          <w:sz w:val="32"/>
          <w:szCs w:val="32"/>
          <w:highlight w:val="none"/>
          <w:u w:val="single"/>
        </w:rPr>
        <w:t xml:space="preserve">一、法人或者其他组织的营业执照等证明文件，自然人的身份证明</w:t>
      </w:r>
      <w:r>
        <w:rPr>
          <w:color w:val="000000"/>
          <w:highlight w:val="none"/>
        </w:rPr>
      </w:r>
      <w:r>
        <w:rPr>
          <w:highlight w:val="none"/>
        </w:rPr>
      </w:r>
    </w:p>
    <w:p>
      <w:pPr>
        <w:pStyle w:val="658"/>
        <w:ind w:firstLine="480"/>
        <w:jc w:val="both"/>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rFonts w:hint="eastAsia" w:eastAsia="黑体"/>
          <w:color w:val="000000"/>
          <w:highlight w:val="none"/>
        </w:rPr>
      </w:pPr>
      <w:r>
        <w:rPr>
          <w:rFonts w:hint="eastAsia" w:ascii="黑体" w:hAnsi="宋体" w:eastAsia="黑体" w:cs="黑体"/>
          <w:i/>
          <w:color w:val="000000"/>
          <w:sz w:val="32"/>
          <w:szCs w:val="32"/>
          <w:highlight w:val="none"/>
          <w:u w:val="single"/>
        </w:rPr>
        <w:t xml:space="preserve">二、</w:t>
      </w:r>
      <w:r>
        <w:rPr>
          <w:rFonts w:hint="eastAsia" w:ascii="黑体" w:hAnsi="宋体" w:eastAsia="黑体" w:cs="黑体"/>
          <w:i/>
          <w:color w:val="000000"/>
          <w:sz w:val="32"/>
          <w:szCs w:val="32"/>
          <w:highlight w:val="none"/>
          <w:u w:val="single"/>
          <w:lang w:eastAsia="zh-CN"/>
        </w:rPr>
        <w:t xml:space="preserve">上一年度的财务状况报表</w:t>
      </w:r>
      <w:r>
        <w:rPr>
          <w:rFonts w:hint="eastAsia" w:eastAsia="黑体"/>
          <w:color w:val="000000"/>
          <w:highlight w:val="none"/>
          <w:lang w:eastAsia="zh-CN"/>
        </w:rPr>
      </w:r>
      <w:r>
        <w:rPr>
          <w:highlight w:val="none"/>
        </w:rPr>
      </w:r>
    </w:p>
    <w:p>
      <w:pPr>
        <w:pStyle w:val="658"/>
        <w:ind w:firstLine="480"/>
        <w:jc w:val="both"/>
        <w:spacing w:beforeAutospacing="0" w:afterAutospacing="0" w:line="0" w:lineRule="atLeast"/>
        <w:rPr>
          <w:color w:val="000000"/>
          <w:highlight w:val="none"/>
        </w:rPr>
      </w:pPr>
      <w:r>
        <w:rPr>
          <w:rFonts w:hint="eastAsia" w:ascii="宋体" w:hAnsi="宋体" w:cs="宋体"/>
          <w:color w:val="000000"/>
          <w:highlight w:val="none"/>
        </w:rPr>
        <w:t xml:space="preserve">投标人成立不满一年无需提供</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37"/>
        <w:rPr>
          <w:color w:val="000000"/>
          <w:highlight w:val="none"/>
        </w:rPr>
      </w:pPr>
      <w:r>
        <w:rPr>
          <w:rFonts w:hint="eastAsia" w:ascii="黑体" w:hAnsi="宋体" w:eastAsia="黑体" w:cs="黑体"/>
          <w:i/>
          <w:color w:val="000000"/>
          <w:sz w:val="32"/>
          <w:szCs w:val="32"/>
          <w:highlight w:val="none"/>
          <w:u w:val="single"/>
        </w:rPr>
        <w:t xml:space="preserve">三、具备履行合同所必需的设备和专业技术能力的书面声明</w:t>
      </w:r>
      <w:r>
        <w:rPr>
          <w:color w:val="000000"/>
          <w:highlight w:val="none"/>
        </w:rPr>
      </w:r>
      <w:r>
        <w:rPr>
          <w:highlight w:val="none"/>
        </w:rPr>
      </w:r>
    </w:p>
    <w:p>
      <w:pPr>
        <w:pStyle w:val="637"/>
        <w:jc w:val="center"/>
        <w:rPr>
          <w:rFonts w:hint="eastAsia" w:ascii="黑体" w:eastAsia="黑体"/>
          <w:b/>
          <w:bCs/>
          <w:color w:val="000000"/>
          <w:sz w:val="32"/>
          <w:szCs w:val="32"/>
          <w:highlight w:val="none"/>
        </w:rPr>
      </w:pPr>
      <w:r>
        <w:rPr>
          <w:rFonts w:hint="eastAsia" w:ascii="黑体" w:hAnsi="Times New Roman" w:eastAsia="黑体"/>
          <w:b/>
          <w:bCs/>
          <w:color w:val="000000"/>
          <w:sz w:val="32"/>
          <w:szCs w:val="32"/>
          <w:highlight w:val="none"/>
        </w:rPr>
        <w:t xml:space="preserve">具有履</w:t>
      </w:r>
      <w:r>
        <w:rPr>
          <w:rFonts w:hint="eastAsia" w:ascii="黑体" w:eastAsia="黑体"/>
          <w:b/>
          <w:bCs/>
          <w:color w:val="000000"/>
          <w:sz w:val="32"/>
          <w:szCs w:val="32"/>
          <w:highlight w:val="none"/>
        </w:rPr>
        <w:t xml:space="preserve">行合同所必需的设备和专业技术能力的书面声明</w:t>
      </w:r>
      <w:r>
        <w:rPr>
          <w:rFonts w:hint="eastAsia" w:ascii="黑体" w:eastAsia="黑体"/>
          <w:b/>
          <w:bCs/>
          <w:color w:val="000000"/>
          <w:sz w:val="32"/>
          <w:szCs w:val="32"/>
          <w:highlight w:val="none"/>
        </w:rPr>
      </w:r>
      <w:r>
        <w:rPr>
          <w:highlight w:val="none"/>
        </w:rPr>
      </w:r>
    </w:p>
    <w:p>
      <w:pPr>
        <w:pStyle w:val="637"/>
        <w:rPr>
          <w:rFonts w:hint="eastAsia" w:ascii="仿宋_GB2312" w:eastAsia="仿宋_GB2312"/>
          <w:color w:val="000000"/>
          <w:sz w:val="24"/>
          <w:highlight w:val="none"/>
        </w:rPr>
      </w:pPr>
      <w:r>
        <w:rPr>
          <w:rFonts w:hint="eastAsia" w:ascii="仿宋_GB2312" w:eastAsia="仿宋_GB2312"/>
          <w:color w:val="000000"/>
          <w:sz w:val="24"/>
          <w:highlight w:val="none"/>
        </w:rPr>
      </w:r>
      <w:r>
        <w:rPr>
          <w:highlight w:val="none"/>
        </w:rPr>
      </w:r>
    </w:p>
    <w:p>
      <w:pPr>
        <w:pStyle w:val="637"/>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z w:val="24"/>
          <w:highlight w:val="none"/>
        </w:rPr>
      </w:r>
      <w:r>
        <w:rPr>
          <w:highlight w:val="none"/>
        </w:rPr>
      </w:r>
    </w:p>
    <w:p>
      <w:pPr>
        <w:pStyle w:val="637"/>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主要设备有：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637"/>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主要专业技术能力有：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637"/>
        <w:ind w:firstLine="460"/>
        <w:spacing w:line="60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637"/>
        <w:ind w:firstLine="460"/>
        <w:spacing w:line="60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637"/>
        <w:ind w:firstLine="46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rPr>
          <w:highlight w:val="none"/>
        </w:rPr>
      </w:r>
    </w:p>
    <w:p>
      <w:pPr>
        <w:pStyle w:val="637"/>
        <w:ind w:firstLine="28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法定代表人或被授权人（签字）：</w:t>
      </w:r>
      <w:r>
        <w:rPr>
          <w:rFonts w:hint="eastAsia" w:ascii="宋体" w:hAnsi="宋体" w:cs="宋体"/>
          <w:color w:val="000000"/>
          <w:sz w:val="24"/>
          <w:highlight w:val="none"/>
        </w:rPr>
      </w:r>
      <w:r>
        <w:rPr>
          <w:highlight w:val="none"/>
        </w:rPr>
      </w:r>
    </w:p>
    <w:p>
      <w:pPr>
        <w:pStyle w:val="637"/>
        <w:ind w:firstLine="1680"/>
        <w:spacing w:line="60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637"/>
        <w:ind w:firstLine="28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企业名称（加盖CA电子公章）：</w:t>
      </w:r>
      <w:r>
        <w:rPr>
          <w:rFonts w:hint="eastAsia" w:ascii="宋体" w:hAnsi="宋体" w:cs="宋体"/>
          <w:color w:val="000000"/>
          <w:sz w:val="24"/>
          <w:highlight w:val="none"/>
        </w:rPr>
      </w:r>
      <w:r>
        <w:rPr>
          <w:highlight w:val="none"/>
        </w:rPr>
      </w:r>
    </w:p>
    <w:p>
      <w:pPr>
        <w:pStyle w:val="637"/>
        <w:ind w:firstLine="16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rPr>
          <w:highlight w:val="none"/>
        </w:rPr>
      </w:r>
    </w:p>
    <w:p>
      <w:pPr>
        <w:pStyle w:val="637"/>
        <w:jc w:val="right"/>
        <w:spacing w:line="600" w:lineRule="exact"/>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rPr>
          <w:highlight w:val="none"/>
        </w:rPr>
      </w:r>
    </w:p>
    <w:p>
      <w:pPr>
        <w:pStyle w:val="637"/>
        <w:rPr>
          <w:color w:val="000000"/>
          <w:highlight w:val="none"/>
        </w:rPr>
      </w:pPr>
      <w:r>
        <w:rPr>
          <w:rFonts w:hint="eastAsia" w:ascii="黑体" w:hAnsi="宋体" w:eastAsia="黑体" w:cs="黑体"/>
          <w:i/>
          <w:color w:val="000000"/>
          <w:sz w:val="32"/>
          <w:szCs w:val="32"/>
          <w:highlight w:val="none"/>
          <w:u w:val="single"/>
        </w:rPr>
        <w:br w:type="page" w:clear="all"/>
      </w:r>
      <w:r>
        <w:rPr>
          <w:rFonts w:hint="eastAsia" w:ascii="黑体" w:hAnsi="宋体" w:eastAsia="黑体" w:cs="黑体"/>
          <w:i/>
          <w:color w:val="000000"/>
          <w:sz w:val="32"/>
          <w:szCs w:val="32"/>
          <w:highlight w:val="none"/>
          <w:u w:val="single"/>
        </w:rPr>
        <w:t xml:space="preserve">四、依法缴纳税收和社会保障资金的相关材料</w:t>
      </w:r>
      <w:r>
        <w:rPr>
          <w:color w:val="000000"/>
          <w:highlight w:val="none"/>
        </w:rPr>
      </w:r>
      <w:r>
        <w:rPr>
          <w:highlight w:val="none"/>
        </w:rPr>
      </w:r>
    </w:p>
    <w:p>
      <w:pPr>
        <w:pStyle w:val="658"/>
        <w:ind w:firstLine="480"/>
        <w:jc w:val="both"/>
        <w:spacing w:beforeAutospacing="0" w:afterAutospacing="0"/>
        <w:rPr>
          <w:color w:val="000000"/>
          <w:highlight w:val="none"/>
        </w:rPr>
      </w:pPr>
      <w:r>
        <w:rPr>
          <w:rFonts w:hint="eastAsia" w:ascii="宋体" w:hAnsi="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rPr>
          <w:color w:val="000000"/>
          <w:highlight w:val="none"/>
        </w:rPr>
      </w:r>
      <w:r>
        <w:rPr>
          <w:highlight w:val="none"/>
        </w:rPr>
      </w:r>
    </w:p>
    <w:p>
      <w:pPr>
        <w:pStyle w:val="637"/>
        <w:jc w:val="center"/>
        <w:spacing w:line="600" w:lineRule="exact"/>
        <w:rPr>
          <w:rFonts w:hint="eastAsia" w:ascii="黑体" w:eastAsia="黑体"/>
          <w:b/>
          <w:bCs/>
          <w:color w:val="000000"/>
          <w:sz w:val="32"/>
          <w:szCs w:val="32"/>
          <w:highlight w:val="none"/>
        </w:rPr>
      </w:pPr>
      <w:r>
        <w:rPr>
          <w:rFonts w:hint="eastAsia" w:ascii="宋体" w:hAnsi="宋体" w:cs="宋体"/>
          <w:b/>
          <w:color w:val="000000"/>
          <w:sz w:val="44"/>
          <w:szCs w:val="44"/>
          <w:highlight w:val="none"/>
        </w:rPr>
        <w:t xml:space="preserve"> </w:t>
      </w:r>
      <w:r>
        <w:rPr>
          <w:rFonts w:hint="eastAsia" w:ascii="黑体" w:eastAsia="黑体"/>
          <w:b/>
          <w:bCs/>
          <w:color w:val="000000"/>
          <w:sz w:val="32"/>
          <w:szCs w:val="32"/>
          <w:highlight w:val="none"/>
        </w:rPr>
        <w:t xml:space="preserve">参加政府采购活动前3年内在经营活动中</w:t>
      </w:r>
      <w:r>
        <w:rPr>
          <w:rFonts w:hint="eastAsia" w:ascii="黑体" w:eastAsia="黑体"/>
          <w:b/>
          <w:bCs/>
          <w:color w:val="000000"/>
          <w:sz w:val="32"/>
          <w:szCs w:val="32"/>
          <w:highlight w:val="none"/>
        </w:rPr>
      </w:r>
      <w:r>
        <w:rPr>
          <w:highlight w:val="none"/>
        </w:rPr>
      </w:r>
    </w:p>
    <w:p>
      <w:pPr>
        <w:pStyle w:val="637"/>
        <w:jc w:val="center"/>
        <w:spacing w:line="600" w:lineRule="exact"/>
        <w:rPr>
          <w:rFonts w:hint="eastAsia" w:ascii="黑体" w:eastAsia="黑体"/>
          <w:b/>
          <w:bCs/>
          <w:color w:val="000000"/>
          <w:sz w:val="32"/>
          <w:szCs w:val="32"/>
          <w:highlight w:val="none"/>
        </w:rPr>
      </w:pPr>
      <w:r>
        <w:rPr>
          <w:rFonts w:hint="eastAsia" w:ascii="黑体" w:eastAsia="黑体"/>
          <w:b/>
          <w:bCs/>
          <w:color w:val="000000"/>
          <w:sz w:val="32"/>
          <w:szCs w:val="32"/>
          <w:highlight w:val="none"/>
        </w:rPr>
        <w:t xml:space="preserve">没有重大违法记录的书面声明</w:t>
      </w:r>
      <w:r>
        <w:rPr>
          <w:rFonts w:hint="eastAsia" w:ascii="黑体" w:eastAsia="黑体"/>
          <w:b/>
          <w:bCs/>
          <w:color w:val="000000"/>
          <w:sz w:val="32"/>
          <w:szCs w:val="32"/>
          <w:highlight w:val="none"/>
        </w:rPr>
      </w:r>
      <w:r>
        <w:rPr>
          <w:highlight w:val="none"/>
        </w:rPr>
      </w:r>
    </w:p>
    <w:p>
      <w:pPr>
        <w:pStyle w:val="637"/>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rPr>
          <w:highlight w:val="none"/>
        </w:rPr>
      </w:r>
    </w:p>
    <w:p>
      <w:pPr>
        <w:pStyle w:val="637"/>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cs="宋体"/>
          <w:color w:val="000000"/>
          <w:sz w:val="24"/>
          <w:highlight w:val="none"/>
        </w:rPr>
      </w:r>
      <w:r>
        <w:rPr>
          <w:highlight w:val="none"/>
        </w:rPr>
      </w:r>
    </w:p>
    <w:p>
      <w:pPr>
        <w:pStyle w:val="637"/>
        <w:ind w:firstLine="460"/>
        <w:spacing w:line="60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637"/>
        <w:ind w:firstLine="46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rPr>
          <w:highlight w:val="none"/>
        </w:rPr>
      </w:r>
    </w:p>
    <w:p>
      <w:pPr>
        <w:pStyle w:val="637"/>
        <w:ind w:firstLine="460"/>
        <w:spacing w:line="60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637"/>
        <w:ind w:firstLine="312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法定代表人或被授权人（签字）：</w:t>
      </w:r>
      <w:r>
        <w:rPr>
          <w:rFonts w:hint="eastAsia" w:ascii="宋体" w:hAnsi="宋体" w:cs="宋体"/>
          <w:color w:val="000000"/>
          <w:sz w:val="24"/>
          <w:highlight w:val="none"/>
        </w:rPr>
      </w:r>
      <w:r>
        <w:rPr>
          <w:highlight w:val="none"/>
        </w:rPr>
      </w:r>
    </w:p>
    <w:p>
      <w:pPr>
        <w:pStyle w:val="637"/>
        <w:ind w:firstLine="1680"/>
        <w:spacing w:line="60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637"/>
        <w:ind w:firstLine="312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企业名称（加盖CA电子公章）：</w:t>
      </w:r>
      <w:r>
        <w:rPr>
          <w:rFonts w:hint="eastAsia" w:ascii="宋体" w:hAnsi="宋体" w:cs="宋体"/>
          <w:color w:val="000000"/>
          <w:sz w:val="24"/>
          <w:highlight w:val="none"/>
        </w:rPr>
      </w:r>
      <w:r>
        <w:rPr>
          <w:highlight w:val="none"/>
        </w:rPr>
      </w:r>
    </w:p>
    <w:p>
      <w:pPr>
        <w:pStyle w:val="637"/>
        <w:ind w:firstLine="1680"/>
        <w:spacing w:line="60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637"/>
        <w:ind w:firstLine="1680"/>
        <w:jc w:val="right"/>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rPr>
          <w:highlight w:val="none"/>
        </w:rPr>
      </w:r>
    </w:p>
    <w:p>
      <w:pPr>
        <w:pStyle w:val="658"/>
        <w:jc w:val="both"/>
        <w:spacing w:beforeAutospacing="0" w:afterAutospacing="0"/>
        <w:rPr>
          <w:color w:val="000000"/>
          <w:highlight w:val="none"/>
        </w:rPr>
      </w:pPr>
      <w:r>
        <w:rPr>
          <w:color w:val="000000"/>
          <w:highlight w:val="none"/>
        </w:rPr>
      </w:r>
      <w:r>
        <w:rPr>
          <w:highlight w:val="none"/>
        </w:rPr>
      </w:r>
    </w:p>
    <w:p>
      <w:pPr>
        <w:pStyle w:val="658"/>
        <w:jc w:val="both"/>
        <w:spacing w:beforeAutospacing="0" w:afterAutospacing="0"/>
        <w:rPr>
          <w:rFonts w:hint="eastAsia" w:ascii="黑体" w:hAnsi="宋体" w:eastAsia="黑体" w:cs="黑体"/>
          <w:i/>
          <w:color w:val="000000"/>
          <w:sz w:val="32"/>
          <w:szCs w:val="32"/>
          <w:highlight w:val="none"/>
          <w:u w:val="single"/>
        </w:rPr>
      </w:pPr>
      <w:r>
        <w:rPr>
          <w:highlight w:val="none"/>
        </w:rPr>
      </w:r>
      <w:bookmarkStart w:id="157" w:name="_Hlt26955070"/>
      <w:r>
        <w:rPr>
          <w:highlight w:val="none"/>
        </w:rPr>
      </w:r>
      <w:bookmarkStart w:id="158" w:name="_Hlt26671380"/>
      <w:r>
        <w:rPr>
          <w:highlight w:val="none"/>
        </w:rPr>
      </w:r>
      <w:bookmarkStart w:id="159" w:name="_Toc120614284"/>
      <w:r>
        <w:rPr>
          <w:highlight w:val="none"/>
        </w:rPr>
      </w:r>
      <w:bookmarkStart w:id="160" w:name="_格式3__银行出具的资信证明"/>
      <w:r>
        <w:rPr>
          <w:rFonts w:hint="eastAsia" w:ascii="黑体" w:hAnsi="宋体" w:eastAsia="黑体" w:cs="黑体"/>
          <w:i/>
          <w:color w:val="000000"/>
          <w:sz w:val="32"/>
          <w:szCs w:val="32"/>
          <w:highlight w:val="none"/>
          <w:u w:val="single"/>
        </w:rPr>
      </w:r>
      <w:r>
        <w:rPr>
          <w:highlight w:val="none"/>
        </w:rPr>
      </w:r>
    </w:p>
    <w:p>
      <w:pPr>
        <w:pStyle w:val="65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rPr>
          <w:highlight w:val="none"/>
        </w:rPr>
      </w:r>
    </w:p>
    <w:p>
      <w:pPr>
        <w:pStyle w:val="658"/>
        <w:jc w:val="both"/>
        <w:spacing w:beforeAutospacing="0" w:afterAutospacing="0"/>
        <w:rPr>
          <w:color w:val="000000"/>
          <w:highlight w:val="none"/>
        </w:rPr>
      </w:pPr>
      <w:r>
        <w:rPr>
          <w:rFonts w:hint="eastAsia" w:ascii="黑体" w:hAnsi="宋体" w:eastAsia="黑体" w:cs="黑体"/>
          <w:i/>
          <w:color w:val="000000"/>
          <w:sz w:val="32"/>
          <w:szCs w:val="32"/>
          <w:highlight w:val="none"/>
          <w:u w:val="single"/>
        </w:rPr>
        <w:br w:type="page" w:clear="all"/>
      </w:r>
      <w:r>
        <w:rPr>
          <w:rFonts w:hint="eastAsia" w:ascii="黑体" w:hAnsi="宋体" w:eastAsia="黑体" w:cs="黑体"/>
          <w:i/>
          <w:color w:val="000000"/>
          <w:sz w:val="32"/>
          <w:szCs w:val="32"/>
          <w:highlight w:val="none"/>
          <w:u w:val="single"/>
        </w:rPr>
        <w:t xml:space="preserve">六、投标人法定代表人身份证明和投标文件签署授权委托书（另附法定代表人和被授权人的身份证复印件）</w:t>
      </w:r>
      <w:r>
        <w:rPr>
          <w:color w:val="000000"/>
          <w:highlight w:val="none"/>
        </w:rPr>
      </w:r>
      <w:r>
        <w:rPr>
          <w:highlight w:val="none"/>
        </w:rPr>
      </w:r>
    </w:p>
    <w:p>
      <w:pPr>
        <w:pStyle w:val="637"/>
        <w:jc w:val="center"/>
        <w:spacing w:line="600" w:lineRule="exact"/>
        <w:rPr>
          <w:rFonts w:hint="eastAsia" w:ascii="黑体" w:eastAsia="黑体"/>
          <w:b/>
          <w:bCs/>
          <w:i/>
          <w:iCs/>
          <w:color w:val="000000"/>
          <w:sz w:val="32"/>
          <w:szCs w:val="32"/>
          <w:highlight w:val="none"/>
          <w:u w:val="single"/>
        </w:rPr>
        <w:outlineLvl w:val="1"/>
      </w:pPr>
      <w:r>
        <w:rPr>
          <w:rFonts w:hint="eastAsia" w:ascii="黑体" w:eastAsia="黑体"/>
          <w:b/>
          <w:bCs/>
          <w:i/>
          <w:iCs/>
          <w:color w:val="000000"/>
          <w:sz w:val="32"/>
          <w:szCs w:val="32"/>
          <w:highlight w:val="none"/>
          <w:u w:val="single"/>
        </w:rPr>
        <w:t xml:space="preserve">法定代表人身份证明书</w:t>
      </w:r>
      <w:r>
        <w:rPr>
          <w:rFonts w:hint="eastAsia" w:ascii="黑体" w:eastAsia="黑体"/>
          <w:b/>
          <w:bCs/>
          <w:i/>
          <w:iCs/>
          <w:color w:val="000000"/>
          <w:sz w:val="32"/>
          <w:szCs w:val="32"/>
          <w:highlight w:val="none"/>
          <w:u w:val="single"/>
        </w:rPr>
      </w:r>
      <w:r>
        <w:rPr>
          <w:highlight w:val="none"/>
        </w:rPr>
      </w:r>
    </w:p>
    <w:p>
      <w:pPr>
        <w:pStyle w:val="637"/>
        <w:jc w:val="center"/>
        <w:spacing w:line="600" w:lineRule="exact"/>
        <w:rPr>
          <w:rFonts w:hint="eastAsia" w:ascii="黑体" w:eastAsia="黑体"/>
          <w:b/>
          <w:color w:val="000000"/>
          <w:sz w:val="28"/>
          <w:highlight w:val="none"/>
        </w:rPr>
      </w:pPr>
      <w:r>
        <w:rPr>
          <w:rFonts w:hint="eastAsia" w:ascii="黑体" w:eastAsia="黑体"/>
          <w:b/>
          <w:color w:val="000000"/>
          <w:sz w:val="28"/>
          <w:highlight w:val="none"/>
        </w:rPr>
      </w:r>
      <w:r>
        <w:rPr>
          <w:highlight w:val="none"/>
        </w:rPr>
      </w:r>
    </w:p>
    <w:p>
      <w:pPr>
        <w:pStyle w:val="637"/>
        <w:spacing w:line="600" w:lineRule="exact"/>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：（采购人名称）</w:t>
      </w:r>
      <w:r>
        <w:rPr>
          <w:rFonts w:hint="eastAsia" w:ascii="宋体" w:hAnsi="宋体" w:cs="宋体"/>
          <w:color w:val="000000"/>
          <w:sz w:val="24"/>
          <w:highlight w:val="none"/>
        </w:rPr>
      </w:r>
      <w:r>
        <w:rPr>
          <w:highlight w:val="none"/>
        </w:rPr>
      </w:r>
    </w:p>
    <w:p>
      <w:pPr>
        <w:pStyle w:val="637"/>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u w:val="single"/>
        </w:rPr>
        <w:t xml:space="preserve">  （法定代表人姓名） </w:t>
      </w:r>
      <w:r>
        <w:rPr>
          <w:rFonts w:hint="eastAsia" w:ascii="宋体" w:hAnsi="宋体" w:cs="宋体"/>
          <w:color w:val="000000"/>
          <w:sz w:val="24"/>
          <w:highlight w:val="none"/>
        </w:rPr>
        <w:t xml:space="preserve">在</w:t>
      </w:r>
      <w:r>
        <w:rPr>
          <w:rFonts w:hint="eastAsia" w:ascii="宋体" w:hAnsi="宋体" w:cs="宋体"/>
          <w:color w:val="000000"/>
          <w:sz w:val="24"/>
          <w:highlight w:val="none"/>
          <w:u w:val="single"/>
        </w:rPr>
        <w:t xml:space="preserve">     （投标人名称）     </w:t>
      </w:r>
      <w:r>
        <w:rPr>
          <w:rFonts w:hint="eastAsia" w:ascii="宋体" w:hAnsi="宋体" w:cs="宋体"/>
          <w:color w:val="000000"/>
          <w:sz w:val="24"/>
          <w:highlight w:val="none"/>
        </w:rPr>
        <w:t xml:space="preserve"> 任</w:t>
      </w:r>
      <w:r>
        <w:rPr>
          <w:rFonts w:hint="eastAsia" w:ascii="宋体" w:hAnsi="宋体" w:cs="宋体"/>
          <w:color w:val="000000"/>
          <w:sz w:val="24"/>
          <w:highlight w:val="none"/>
          <w:u w:val="single"/>
        </w:rPr>
        <w:t xml:space="preserve">（职务名称）</w:t>
      </w:r>
      <w:r>
        <w:rPr>
          <w:rFonts w:hint="eastAsia" w:ascii="宋体" w:hAnsi="宋体" w:cs="宋体"/>
          <w:color w:val="000000"/>
          <w:sz w:val="24"/>
          <w:highlight w:val="none"/>
        </w:rPr>
        <w:t xml:space="preserve">职务，是</w:t>
      </w:r>
      <w:r>
        <w:rPr>
          <w:rFonts w:hint="eastAsia" w:ascii="宋体" w:hAnsi="宋体" w:cs="宋体"/>
          <w:color w:val="000000"/>
          <w:sz w:val="24"/>
          <w:highlight w:val="none"/>
          <w:u w:val="single"/>
        </w:rPr>
        <w:t xml:space="preserve">        （投标人名称）      </w:t>
      </w:r>
      <w:r>
        <w:rPr>
          <w:rFonts w:hint="eastAsia" w:ascii="宋体" w:hAnsi="宋体" w:cs="宋体"/>
          <w:color w:val="000000"/>
          <w:sz w:val="24"/>
          <w:highlight w:val="none"/>
        </w:rPr>
        <w:t xml:space="preserve">的法定代表人，联系电话（手机号码）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rPr>
          <w:highlight w:val="none"/>
        </w:rPr>
      </w:r>
    </w:p>
    <w:p>
      <w:pPr>
        <w:pStyle w:val="637"/>
        <w:spacing w:line="60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637"/>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rPr>
          <w:highlight w:val="none"/>
        </w:rPr>
      </w:r>
    </w:p>
    <w:p>
      <w:pPr>
        <w:pStyle w:val="637"/>
        <w:ind w:firstLine="456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企业名称（加盖CA电子公章）：      </w:t>
      </w:r>
      <w:r>
        <w:rPr>
          <w:rFonts w:hint="eastAsia" w:ascii="宋体" w:hAnsi="宋体" w:cs="宋体"/>
          <w:color w:val="000000"/>
          <w:sz w:val="24"/>
          <w:highlight w:val="none"/>
        </w:rPr>
      </w:r>
      <w:r>
        <w:rPr>
          <w:highlight w:val="none"/>
        </w:rPr>
      </w:r>
    </w:p>
    <w:p>
      <w:pPr>
        <w:pStyle w:val="637"/>
        <w:ind w:firstLine="1200"/>
        <w:spacing w:line="60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637"/>
        <w:ind w:firstLine="2126"/>
        <w:jc w:val="right"/>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w:t>
      </w:r>
      <w:r>
        <w:rPr>
          <w:rFonts w:hint="eastAsia" w:ascii="宋体" w:hAnsi="宋体" w:cs="宋体"/>
          <w:color w:val="000000"/>
          <w:sz w:val="24"/>
          <w:highlight w:val="none"/>
        </w:rPr>
      </w:r>
      <w:r>
        <w:rPr>
          <w:highlight w:val="none"/>
        </w:rPr>
      </w:r>
    </w:p>
    <w:p>
      <w:pPr>
        <w:pStyle w:val="637"/>
        <w:jc w:val="left"/>
        <w:spacing w:line="6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rPr>
          <w:highlight w:val="none"/>
        </w:rPr>
      </w:r>
    </w:p>
    <w:p>
      <w:pPr>
        <w:pStyle w:val="637"/>
        <w:jc w:val="left"/>
        <w:spacing w:line="6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（附：法定代表人身份证正反面复印件或扫描件）</w:t>
      </w:r>
      <w:r>
        <w:rPr>
          <w:rFonts w:hint="eastAsia" w:ascii="宋体" w:hAnsi="宋体" w:cs="宋体"/>
          <w:b/>
          <w:bCs/>
          <w:color w:val="000000"/>
          <w:sz w:val="24"/>
          <w:highlight w:val="none"/>
        </w:rPr>
      </w:r>
      <w:r>
        <w:rPr>
          <w:highlight w:val="none"/>
        </w:rPr>
      </w:r>
    </w:p>
    <w:p>
      <w:pPr>
        <w:pStyle w:val="637"/>
        <w:jc w:val="left"/>
        <w:rPr>
          <w:rFonts w:ascii="仿宋_GB2312" w:eastAsia="仿宋_GB2312"/>
          <w:color w:val="000000"/>
          <w:sz w:val="24"/>
          <w:highlight w:val="none"/>
        </w:rPr>
      </w:pPr>
      <w:r>
        <w:rPr>
          <w:rFonts w:ascii="仿宋_GB2312" w:eastAsia="仿宋_GB2312"/>
          <w:color w:val="000000"/>
          <w:sz w:val="24"/>
          <w:highlight w:val="none"/>
        </w:rPr>
      </w:r>
      <w:r>
        <w:rPr>
          <w:highlight w:val="none"/>
        </w:rPr>
      </w:r>
    </w:p>
    <w:p>
      <w:pPr>
        <w:pStyle w:val="637"/>
        <w:jc w:val="center"/>
        <w:spacing w:line="400" w:lineRule="exact"/>
        <w:rPr>
          <w:rFonts w:hint="eastAsia" w:ascii="黑体" w:eastAsia="黑体"/>
          <w:i/>
          <w:iCs/>
          <w:color w:val="000000"/>
          <w:sz w:val="28"/>
          <w:highlight w:val="none"/>
          <w:u w:val="single"/>
        </w:rPr>
      </w:pPr>
      <w:r>
        <w:rPr>
          <w:rFonts w:ascii="仿宋_GB2312" w:eastAsia="仿宋_GB2312"/>
          <w:color w:val="000000"/>
          <w:sz w:val="24"/>
          <w:highlight w:val="none"/>
        </w:rPr>
        <w:br w:type="page" w:clear="all"/>
      </w:r>
      <w:r>
        <w:rPr>
          <w:rFonts w:hint="eastAsia" w:ascii="黑体" w:hAnsi="Times New Roman" w:eastAsia="黑体"/>
          <w:b/>
          <w:bCs/>
          <w:i/>
          <w:iCs/>
          <w:color w:val="000000"/>
          <w:sz w:val="32"/>
          <w:szCs w:val="32"/>
          <w:highlight w:val="none"/>
          <w:u w:val="single"/>
        </w:rPr>
        <w:t xml:space="preserve">授权委托</w:t>
      </w:r>
      <w:r>
        <w:rPr>
          <w:rFonts w:hint="eastAsia" w:ascii="黑体" w:eastAsia="黑体"/>
          <w:b/>
          <w:bCs/>
          <w:i/>
          <w:iCs/>
          <w:color w:val="000000"/>
          <w:sz w:val="32"/>
          <w:szCs w:val="32"/>
          <w:highlight w:val="none"/>
          <w:u w:val="single"/>
        </w:rPr>
        <w:t xml:space="preserve">书</w:t>
      </w:r>
      <w:r>
        <w:rPr>
          <w:rFonts w:hint="eastAsia" w:ascii="黑体" w:eastAsia="黑体"/>
          <w:i/>
          <w:iCs/>
          <w:color w:val="000000"/>
          <w:sz w:val="28"/>
          <w:highlight w:val="none"/>
          <w:u w:val="single"/>
        </w:rPr>
      </w:r>
      <w:r>
        <w:rPr>
          <w:highlight w:val="none"/>
        </w:rPr>
      </w:r>
    </w:p>
    <w:p>
      <w:pPr>
        <w:pStyle w:val="637"/>
        <w:ind w:firstLine="480"/>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637"/>
        <w:ind w:firstLine="480"/>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本授权书声明：我</w:t>
      </w:r>
      <w:r>
        <w:rPr>
          <w:rFonts w:hint="eastAsia" w:ascii="宋体" w:hAnsi="宋体" w:cs="宋体"/>
          <w:color w:val="000000"/>
          <w:sz w:val="24"/>
          <w:highlight w:val="none"/>
          <w:u w:val="single"/>
        </w:rPr>
        <w:t xml:space="preserve">       （姓名）      </w:t>
      </w: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（投标人名称）        </w:t>
      </w:r>
      <w:r>
        <w:rPr>
          <w:rFonts w:hint="eastAsia" w:ascii="宋体" w:hAnsi="宋体" w:cs="宋体"/>
          <w:color w:val="000000"/>
          <w:sz w:val="24"/>
          <w:highlight w:val="none"/>
        </w:rPr>
        <w:t xml:space="preserve"> 的法定代表人，现授权____________（投标人名称）的________________（被授权人的姓名）为我单位就JSZC-</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号项目的投标文件的法定代表人授权委托代理，，我承认被授权人全权代表我所签署的本项目的投标文件的内容。以本单位名义全权处理一切与该项目采购有关的事务。</w:t>
      </w:r>
      <w:r>
        <w:rPr>
          <w:rFonts w:hint="eastAsia" w:ascii="宋体" w:hAnsi="宋体" w:cs="宋体"/>
          <w:color w:val="000000"/>
          <w:sz w:val="24"/>
          <w:highlight w:val="none"/>
        </w:rPr>
      </w:r>
      <w:r>
        <w:rPr>
          <w:highlight w:val="none"/>
        </w:rPr>
      </w:r>
    </w:p>
    <w:p>
      <w:pPr>
        <w:pStyle w:val="664"/>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rPr>
          <w:rFonts w:hint="eastAsia" w:ascii="宋体" w:hAnsi="宋体" w:cs="宋体"/>
          <w:color w:val="000000"/>
          <w:sz w:val="24"/>
          <w:szCs w:val="24"/>
          <w:highlight w:val="none"/>
        </w:rPr>
      </w:r>
      <w:r>
        <w:rPr>
          <w:highlight w:val="none"/>
        </w:rPr>
      </w:r>
    </w:p>
    <w:p>
      <w:pPr>
        <w:pStyle w:val="664"/>
        <w:ind w:firstLine="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w:t>
      </w:r>
      <w:r>
        <w:rPr>
          <w:rFonts w:hint="eastAsia" w:ascii="宋体" w:hAnsi="宋体" w:cs="宋体"/>
          <w:color w:val="000000"/>
          <w:sz w:val="24"/>
          <w:highlight w:val="none"/>
        </w:rPr>
        <w:t xml:space="preserve">代理人</w:t>
      </w:r>
      <w:r>
        <w:rPr>
          <w:rFonts w:hint="eastAsia" w:ascii="宋体" w:hAnsi="宋体" w:cs="宋体"/>
          <w:color w:val="000000"/>
          <w:sz w:val="24"/>
          <w:szCs w:val="24"/>
          <w:highlight w:val="none"/>
        </w:rPr>
        <w:t xml:space="preserve">被授权人身份证号码：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rPr>
          <w:highlight w:val="none"/>
        </w:rPr>
      </w:r>
    </w:p>
    <w:p>
      <w:pPr>
        <w:pStyle w:val="664"/>
        <w:ind w:firstLine="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被授权人联系电话：（手机）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rPr>
          <w:highlight w:val="none"/>
        </w:rPr>
      </w:r>
    </w:p>
    <w:p>
      <w:pPr>
        <w:pStyle w:val="664"/>
        <w:ind w:firstLine="120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授权单位名称：</w:t>
      </w:r>
      <w:r>
        <w:rPr>
          <w:rFonts w:hint="eastAsia" w:ascii="宋体" w:hAnsi="宋体" w:cs="宋体"/>
          <w:color w:val="000000"/>
          <w:sz w:val="24"/>
          <w:szCs w:val="24"/>
          <w:highlight w:val="none"/>
          <w:u w:val="single"/>
        </w:rPr>
        <w:t xml:space="preserve">（加盖CA电子公章）</w:t>
      </w:r>
      <w:r>
        <w:rPr>
          <w:rFonts w:hint="eastAsia" w:ascii="宋体" w:hAnsi="宋体" w:cs="宋体"/>
          <w:color w:val="000000"/>
          <w:sz w:val="24"/>
          <w:szCs w:val="24"/>
          <w:highlight w:val="none"/>
        </w:rPr>
      </w:r>
      <w:r>
        <w:rPr>
          <w:highlight w:val="none"/>
        </w:rPr>
      </w:r>
    </w:p>
    <w:p>
      <w:pPr>
        <w:pStyle w:val="664"/>
        <w:ind w:firstLine="48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单位地址：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rPr>
          <w:highlight w:val="none"/>
        </w:rPr>
      </w:r>
    </w:p>
    <w:p>
      <w:pPr>
        <w:pStyle w:val="664"/>
        <w:ind w:firstLine="480"/>
        <w:spacing w:line="48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szCs w:val="24"/>
          <w:highlight w:val="none"/>
        </w:rPr>
        <w:t xml:space="preserve">      法定代表人：</w:t>
      </w:r>
      <w:r>
        <w:rPr>
          <w:rFonts w:hint="eastAsia" w:ascii="宋体" w:hAnsi="宋体" w:cs="宋体"/>
          <w:color w:val="000000"/>
          <w:sz w:val="24"/>
          <w:highlight w:val="none"/>
          <w:u w:val="single"/>
        </w:rPr>
        <w:t xml:space="preserve">  </w:t>
      </w:r>
      <w:r>
        <w:rPr>
          <w:rFonts w:hint="eastAsia" w:ascii="宋体" w:hAnsi="宋体" w:cs="宋体"/>
          <w:color w:val="000000"/>
          <w:sz w:val="24"/>
          <w:szCs w:val="24"/>
          <w:highlight w:val="none"/>
          <w:u w:val="single"/>
        </w:rPr>
        <w:t xml:space="preserve">（加盖CA电子公章）</w:t>
      </w:r>
      <w:r>
        <w:rPr>
          <w:rFonts w:hint="eastAsia" w:ascii="宋体" w:hAnsi="宋体" w:cs="宋体"/>
          <w:color w:val="000000"/>
          <w:sz w:val="24"/>
          <w:highlight w:val="none"/>
        </w:rPr>
      </w:r>
      <w:r>
        <w:rPr>
          <w:highlight w:val="none"/>
        </w:rPr>
      </w:r>
    </w:p>
    <w:p>
      <w:pPr>
        <w:pStyle w:val="664"/>
        <w:ind w:firstLine="120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rPr>
          <w:highlight w:val="none"/>
        </w:rPr>
      </w:r>
    </w:p>
    <w:p>
      <w:pPr>
        <w:pStyle w:val="637"/>
        <w:jc w:val="left"/>
        <w:spacing w:line="48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（附：被授权人身份证正反面复印件或扫描件）</w:t>
      </w:r>
      <w:r>
        <w:rPr>
          <w:rFonts w:hint="eastAsia" w:ascii="宋体" w:hAnsi="宋体" w:cs="宋体"/>
          <w:b/>
          <w:bCs/>
          <w:color w:val="000000"/>
          <w:sz w:val="24"/>
          <w:highlight w:val="none"/>
        </w:rPr>
      </w:r>
      <w:r>
        <w:rPr>
          <w:highlight w:val="none"/>
        </w:rPr>
      </w:r>
    </w:p>
    <w:p>
      <w:pPr>
        <w:pStyle w:val="645"/>
        <w:spacing w:line="480" w:lineRule="auto"/>
        <w:rPr>
          <w:rFonts w:hint="eastAsia" w:ascii="宋体" w:hAnsi="宋体" w:cs="宋体"/>
          <w:i/>
          <w:color w:val="000000"/>
          <w:sz w:val="24"/>
          <w:highlight w:val="none"/>
          <w:u w:val="single"/>
        </w:rPr>
      </w:pPr>
      <w:r>
        <w:rPr>
          <w:rFonts w:hint="eastAsia" w:ascii="宋体" w:hAnsi="宋体" w:cs="宋体"/>
          <w:i/>
          <w:color w:val="000000"/>
          <w:sz w:val="24"/>
          <w:highlight w:val="none"/>
          <w:u w:val="single"/>
        </w:rPr>
      </w:r>
      <w:r>
        <w:rPr>
          <w:highlight w:val="none"/>
        </w:rPr>
      </w:r>
    </w:p>
    <w:p>
      <w:pPr>
        <w:pStyle w:val="637"/>
        <w:spacing w:line="48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w:t>
      </w:r>
      <w:r>
        <w:rPr>
          <w:rFonts w:hint="eastAsia" w:ascii="宋体" w:hAnsi="宋体" w:cs="宋体"/>
          <w:color w:val="000000"/>
          <w:sz w:val="24"/>
          <w:highlight w:val="none"/>
        </w:rPr>
        <w:t xml:space="preserve">被授权人须为本单位正式职工并提供投标人为被授权人缴纳的社会养老保险证明。</w:t>
      </w:r>
      <w:r>
        <w:rPr>
          <w:rFonts w:hint="eastAsia" w:ascii="宋体" w:hAnsi="宋体" w:cs="宋体"/>
          <w:bCs/>
          <w:color w:val="000000"/>
          <w:sz w:val="24"/>
          <w:highlight w:val="none"/>
        </w:rPr>
      </w:r>
      <w:r>
        <w:rPr>
          <w:highlight w:val="none"/>
        </w:rPr>
      </w:r>
    </w:p>
    <w:p>
      <w:pPr>
        <w:pStyle w:val="637"/>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rPr>
        <w:br w:type="page" w:clear="all"/>
      </w:r>
      <w:r>
        <w:rPr>
          <w:rFonts w:hint="eastAsia" w:ascii="黑体" w:hAnsi="宋体" w:eastAsia="黑体" w:cs="黑体"/>
          <w:i/>
          <w:color w:val="000000"/>
          <w:sz w:val="32"/>
          <w:szCs w:val="32"/>
          <w:highlight w:val="none"/>
        </w:rPr>
        <w:t xml:space="preserve">七、</w:t>
      </w:r>
      <w:r>
        <w:rPr>
          <w:rFonts w:hint="eastAsia" w:ascii="黑体" w:hAnsi="宋体" w:eastAsia="黑体" w:cs="黑体"/>
          <w:i/>
          <w:color w:val="000000"/>
          <w:sz w:val="32"/>
          <w:szCs w:val="32"/>
          <w:highlight w:val="none"/>
          <w:u w:val="single"/>
        </w:rPr>
        <w:t xml:space="preserve">投标人为被授权人缴纳的社会养老保险证明</w:t>
      </w:r>
      <w:r>
        <w:rPr>
          <w:rFonts w:hint="eastAsia" w:ascii="黑体" w:hAnsi="宋体" w:eastAsia="黑体" w:cs="黑体"/>
          <w:i/>
          <w:color w:val="000000"/>
          <w:sz w:val="32"/>
          <w:szCs w:val="32"/>
          <w:highlight w:val="none"/>
          <w:u w:val="single"/>
        </w:rPr>
      </w:r>
      <w:r>
        <w:rPr>
          <w:highlight w:val="none"/>
        </w:rPr>
      </w:r>
    </w:p>
    <w:p>
      <w:pPr>
        <w:pStyle w:val="637"/>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r>
      <w:r>
        <w:rPr>
          <w:highlight w:val="none"/>
        </w:rPr>
      </w:r>
    </w:p>
    <w:p>
      <w:pPr>
        <w:pStyle w:val="658"/>
        <w:ind w:left="3630"/>
        <w:jc w:val="both"/>
        <w:keepLines/>
        <w:keepNext/>
        <w:spacing w:before="260" w:beforeAutospacing="0" w:after="260" w:afterAutospacing="0" w:line="415" w:lineRule="auto"/>
        <w:rPr>
          <w:color w:val="000000"/>
          <w:highlight w:val="none"/>
        </w:rPr>
      </w:pPr>
      <w:r>
        <w:rPr>
          <w:rFonts w:hint="eastAsia" w:ascii="黑体" w:hAnsi="宋体" w:eastAsia="黑体" w:cs="黑体"/>
          <w:b/>
          <w:i/>
          <w:color w:val="000000"/>
          <w:sz w:val="32"/>
          <w:szCs w:val="32"/>
          <w:highlight w:val="none"/>
          <w:u w:val="single"/>
        </w:rPr>
        <w:br w:type="page" w:clear="all"/>
      </w:r>
      <w:r>
        <w:rPr>
          <w:rFonts w:hint="eastAsia" w:ascii="黑体" w:hAnsi="宋体" w:eastAsia="黑体" w:cs="黑体"/>
          <w:b/>
          <w:i/>
          <w:iCs/>
          <w:color w:val="000000"/>
          <w:sz w:val="32"/>
          <w:szCs w:val="32"/>
          <w:highlight w:val="none"/>
          <w:u w:val="single"/>
        </w:rPr>
        <w:t xml:space="preserve">八、投标函</w:t>
      </w:r>
      <w:r>
        <w:rPr>
          <w:color w:val="000000"/>
          <w:highlight w:val="none"/>
        </w:rPr>
      </w:r>
      <w:r>
        <w:rPr>
          <w:highlight w:val="none"/>
        </w:rPr>
      </w:r>
    </w:p>
    <w:p>
      <w:pPr>
        <w:pStyle w:val="665"/>
        <w:ind w:firstLine="0"/>
        <w:spacing w:before="0" w:after="0" w:line="420" w:lineRule="exact"/>
        <w:rPr>
          <w:rFonts w:ascii="宋体" w:hAnsi="宋体"/>
          <w:color w:val="000000"/>
          <w:szCs w:val="21"/>
          <w:highlight w:val="none"/>
          <w:u w:val="single"/>
        </w:rPr>
      </w:pPr>
      <w:r>
        <w:rPr>
          <w:rFonts w:hint="eastAsia" w:ascii="宋体" w:hAnsi="宋体"/>
          <w:color w:val="000000"/>
          <w:szCs w:val="21"/>
          <w:highlight w:val="none"/>
        </w:rPr>
        <w:t xml:space="preserve">致：</w:t>
      </w:r>
      <w:r>
        <w:rPr>
          <w:rFonts w:hint="eastAsia" w:ascii="宋体" w:hAnsi="宋体"/>
          <w:color w:val="000000"/>
          <w:szCs w:val="21"/>
          <w:highlight w:val="none"/>
          <w:u w:val="single"/>
        </w:rPr>
        <w:t xml:space="preserve">                </w:t>
      </w:r>
      <w:r>
        <w:rPr>
          <w:rFonts w:ascii="宋体" w:hAnsi="宋体"/>
          <w:color w:val="000000"/>
          <w:szCs w:val="21"/>
          <w:highlight w:val="none"/>
          <w:u w:val="single"/>
        </w:rPr>
      </w:r>
      <w:r>
        <w:rPr>
          <w:highlight w:val="none"/>
        </w:rPr>
      </w:r>
    </w:p>
    <w:p>
      <w:pPr>
        <w:pStyle w:val="6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w:t>
      </w:r>
      <w:r>
        <w:rPr>
          <w:rFonts w:hint="eastAsia" w:ascii="宋体" w:hAnsi="宋体"/>
          <w:color w:val="000000"/>
          <w:szCs w:val="21"/>
          <w:highlight w:val="none"/>
          <w:lang w:eastAsia="zh-CN"/>
        </w:rPr>
        <w:t xml:space="preserve">JSZC-320981-JZCG-G2025-0011</w:t>
      </w:r>
      <w:r>
        <w:rPr>
          <w:rFonts w:hint="eastAsia" w:ascii="宋体" w:hAnsi="宋体"/>
          <w:color w:val="000000"/>
          <w:szCs w:val="21"/>
          <w:highlight w:val="none"/>
        </w:rPr>
        <w:t xml:space="preserve">号招标文件，正式授权下述签字人______(姓名)代表我方______________（投标人的名称），全权处理本次项目投标的有关事宜。</w:t>
      </w:r>
      <w:r>
        <w:rPr>
          <w:rFonts w:hint="eastAsia" w:ascii="宋体" w:hAnsi="宋体"/>
          <w:color w:val="000000"/>
          <w:szCs w:val="21"/>
          <w:highlight w:val="none"/>
        </w:rPr>
      </w:r>
      <w:r>
        <w:rPr>
          <w:highlight w:val="none"/>
        </w:rPr>
      </w:r>
    </w:p>
    <w:p>
      <w:pPr>
        <w:pStyle w:val="6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rPr>
          <w:highlight w:val="none"/>
        </w:rPr>
      </w:r>
    </w:p>
    <w:p>
      <w:pPr>
        <w:pStyle w:val="66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rPr>
          <w:highlight w:val="none"/>
        </w:rPr>
      </w:r>
    </w:p>
    <w:p>
      <w:pPr>
        <w:pStyle w:val="665"/>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2.我们完全理解贵方不一定将合同授予最低报价的投标人。</w:t>
      </w:r>
      <w:r>
        <w:rPr>
          <w:rFonts w:hint="eastAsia" w:ascii="宋体" w:hAnsi="宋体" w:cs="宋体"/>
          <w:color w:val="000000"/>
          <w:szCs w:val="21"/>
          <w:highlight w:val="none"/>
        </w:rPr>
      </w:r>
      <w:r>
        <w:rPr>
          <w:highlight w:val="none"/>
        </w:rPr>
      </w:r>
    </w:p>
    <w:p>
      <w:pPr>
        <w:pStyle w:val="665"/>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3.我们已详细审核全部招标文件及其有效补充文件，我们知道必须放弃提出含糊不清或误解问题的权利。</w:t>
      </w:r>
      <w:r>
        <w:rPr>
          <w:rFonts w:hint="eastAsia" w:ascii="宋体" w:hAnsi="宋体" w:cs="宋体"/>
          <w:color w:val="000000"/>
          <w:szCs w:val="21"/>
          <w:highlight w:val="none"/>
        </w:rPr>
      </w:r>
      <w:r>
        <w:rPr>
          <w:highlight w:val="none"/>
        </w:rPr>
      </w:r>
    </w:p>
    <w:p>
      <w:pPr>
        <w:pStyle w:val="665"/>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4.我们同意从规定的开标日期起遵循本投标文件，并在规定的投标有效期期满之前均具有约束力。</w:t>
      </w:r>
      <w:r>
        <w:rPr>
          <w:rFonts w:hint="eastAsia" w:ascii="宋体" w:hAnsi="宋体" w:cs="宋体"/>
          <w:color w:val="000000"/>
          <w:szCs w:val="21"/>
          <w:highlight w:val="none"/>
        </w:rPr>
      </w:r>
      <w:r>
        <w:rPr>
          <w:highlight w:val="none"/>
        </w:rPr>
      </w:r>
    </w:p>
    <w:p>
      <w:pPr>
        <w:pStyle w:val="665"/>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szCs w:val="21"/>
          <w:highlight w:val="none"/>
        </w:rPr>
      </w:r>
      <w:r>
        <w:rPr>
          <w:highlight w:val="none"/>
        </w:rPr>
      </w:r>
    </w:p>
    <w:p>
      <w:pPr>
        <w:pStyle w:val="665"/>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Cs w:val="21"/>
          <w:highlight w:val="none"/>
        </w:rPr>
      </w:r>
      <w:r>
        <w:rPr>
          <w:highlight w:val="none"/>
        </w:rPr>
      </w:r>
    </w:p>
    <w:p>
      <w:pPr>
        <w:pStyle w:val="665"/>
        <w:spacing w:before="0" w:after="0"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7.与本投标有关的正式通讯地址为：</w:t>
      </w:r>
      <w:r>
        <w:rPr>
          <w:rFonts w:hint="eastAsia" w:ascii="宋体" w:hAnsi="宋体" w:cs="宋体"/>
          <w:color w:val="000000"/>
          <w:szCs w:val="21"/>
          <w:highlight w:val="none"/>
        </w:rPr>
      </w:r>
      <w:r>
        <w:rPr>
          <w:highlight w:val="none"/>
        </w:rPr>
      </w:r>
    </w:p>
    <w:p>
      <w:pPr>
        <w:pStyle w:val="63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rPr>
          <w:highlight w:val="none"/>
        </w:rPr>
      </w:r>
    </w:p>
    <w:p>
      <w:pPr>
        <w:pStyle w:val="63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rPr>
          <w:highlight w:val="none"/>
        </w:rPr>
      </w:r>
    </w:p>
    <w:p>
      <w:pPr>
        <w:pStyle w:val="63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rPr>
          <w:highlight w:val="none"/>
        </w:rPr>
      </w:r>
    </w:p>
    <w:p>
      <w:pPr>
        <w:pStyle w:val="63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rPr>
          <w:highlight w:val="none"/>
        </w:rPr>
      </w:r>
    </w:p>
    <w:p>
      <w:pPr>
        <w:pStyle w:val="63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投标人开户行：</w:t>
      </w:r>
      <w:r>
        <w:rPr>
          <w:rFonts w:hint="eastAsia" w:ascii="宋体" w:hAnsi="宋体" w:cs="宋体"/>
          <w:color w:val="000000"/>
          <w:sz w:val="24"/>
          <w:highlight w:val="none"/>
        </w:rPr>
      </w:r>
      <w:r>
        <w:rPr>
          <w:highlight w:val="none"/>
        </w:rPr>
      </w:r>
    </w:p>
    <w:p>
      <w:pPr>
        <w:pStyle w:val="637"/>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账户：                                      </w:t>
      </w:r>
      <w:r>
        <w:rPr>
          <w:rFonts w:hint="eastAsia" w:ascii="宋体" w:hAnsi="宋体" w:cs="宋体"/>
          <w:color w:val="000000"/>
          <w:sz w:val="24"/>
          <w:highlight w:val="none"/>
        </w:rPr>
      </w:r>
      <w:r>
        <w:rPr>
          <w:highlight w:val="none"/>
        </w:rPr>
      </w:r>
    </w:p>
    <w:p>
      <w:pPr>
        <w:pStyle w:val="637"/>
        <w:ind w:firstLine="16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法定代表人或被授权人（签字）：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rPr>
          <w:highlight w:val="none"/>
        </w:rPr>
      </w:r>
    </w:p>
    <w:p>
      <w:pPr>
        <w:pStyle w:val="637"/>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637"/>
        <w:ind w:firstLine="16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企业名称（加盖CA电子公章）：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rPr>
          <w:highlight w:val="none"/>
        </w:rPr>
      </w:r>
    </w:p>
    <w:p>
      <w:pPr>
        <w:pStyle w:val="637"/>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p>
    <w:p>
      <w:pPr>
        <w:pStyle w:val="637"/>
        <w:jc w:val="right"/>
        <w:spacing w:line="480" w:lineRule="exact"/>
        <w:rPr>
          <w:rFonts w:hint="eastAsia" w:ascii="仿宋_GB2312" w:eastAsia="仿宋_GB2312"/>
          <w:color w:val="000000"/>
          <w:sz w:val="24"/>
          <w:highlight w:val="none"/>
        </w:rPr>
        <w:outlineLvl w:val="1"/>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rPr>
          <w:highlight w:val="none"/>
        </w:rPr>
      </w:r>
    </w:p>
    <w:p>
      <w:pPr>
        <w:pStyle w:val="658"/>
        <w:ind w:firstLine="321"/>
        <w:jc w:val="center"/>
        <w:spacing w:beforeAutospacing="0" w:afterAutospacing="0" w:line="0" w:lineRule="atLeast"/>
        <w:rPr>
          <w:i/>
          <w:iCs/>
          <w:color w:val="000000"/>
          <w:highlight w:val="none"/>
          <w:u w:val="single"/>
        </w:rPr>
      </w:pPr>
      <w:r>
        <w:rPr>
          <w:rFonts w:hint="eastAsia" w:ascii="黑体" w:hAnsi="宋体" w:eastAsia="黑体" w:cs="黑体"/>
          <w:b/>
          <w:color w:val="000000"/>
          <w:sz w:val="32"/>
          <w:szCs w:val="32"/>
          <w:highlight w:val="none"/>
        </w:rPr>
        <w:br w:type="page" w:clear="all"/>
      </w:r>
      <w:r>
        <w:rPr>
          <w:rFonts w:hint="eastAsia" w:ascii="黑体" w:hAnsi="宋体" w:eastAsia="黑体" w:cs="黑体"/>
          <w:b/>
          <w:i/>
          <w:iCs/>
          <w:color w:val="000000"/>
          <w:sz w:val="32"/>
          <w:szCs w:val="32"/>
          <w:highlight w:val="none"/>
          <w:u w:val="single"/>
        </w:rPr>
        <w:t xml:space="preserve">九、中小企业声明函（服务）（分包号：**）</w:t>
      </w:r>
      <w:r>
        <w:rPr>
          <w:i/>
          <w:iCs/>
          <w:color w:val="000000"/>
          <w:highlight w:val="none"/>
          <w:u w:val="single"/>
        </w:rPr>
      </w:r>
      <w:r>
        <w:rPr>
          <w:highlight w:val="none"/>
        </w:rPr>
      </w:r>
    </w:p>
    <w:p>
      <w:pPr>
        <w:pStyle w:val="658"/>
        <w:ind w:firstLine="360"/>
        <w:jc w:val="both"/>
        <w:spacing w:beforeAutospacing="0" w:afterAutospacing="0" w:line="360" w:lineRule="auto"/>
        <w:rPr>
          <w:color w:val="000000"/>
          <w:highlight w:val="none"/>
        </w:rPr>
      </w:pPr>
      <w:r>
        <w:rPr>
          <w:rFonts w:hint="eastAsia" w:ascii="宋体" w:hAnsi="宋体" w:cs="宋体"/>
          <w:color w:val="000000"/>
          <w:highlight w:val="none"/>
        </w:rPr>
        <w:t xml:space="preserve">本公司（联合体）郑重声明，根据《政府采购促进中小企业发展管理办法》(财库[2020]46号)的规定，本公司（联合体）参加采购编号为</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的采购活动，</w:t>
      </w:r>
      <w:r>
        <w:rPr>
          <w:rFonts w:hint="eastAsia" w:ascii="宋体" w:hAnsi="宋体" w:cs="宋体"/>
          <w:color w:val="000000"/>
          <w:highlight w:val="none"/>
          <w:lang w:eastAsia="zh-CN"/>
        </w:rPr>
        <w:t xml:space="preserve">服务全部由符合政策的小微企业承接</w:t>
      </w:r>
      <w:r>
        <w:rPr>
          <w:rFonts w:hint="eastAsia" w:ascii="宋体" w:hAnsi="宋体" w:cs="宋体"/>
          <w:color w:val="000000"/>
          <w:highlight w:val="none"/>
        </w:rPr>
        <w:t xml:space="preserve">。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highlight w:val="none"/>
        </w:rPr>
      </w:r>
      <w:r>
        <w:rPr>
          <w:highlight w:val="none"/>
        </w:rPr>
      </w:r>
    </w:p>
    <w:p>
      <w:pPr>
        <w:pStyle w:val="658"/>
        <w:ind w:firstLine="360"/>
        <w:jc w:val="both"/>
        <w:spacing w:beforeAutospacing="0" w:afterAutospacing="0" w:line="360" w:lineRule="auto"/>
        <w:rPr>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u w:val="single"/>
        </w:rPr>
        <w:t xml:space="preserve">（标的名称）</w:t>
      </w:r>
      <w:r>
        <w:rPr>
          <w:rFonts w:hint="eastAsia" w:ascii="宋体" w:hAnsi="宋体" w:cs="宋体"/>
          <w:i/>
          <w:color w:val="000000"/>
          <w:highlight w:val="none"/>
        </w:rPr>
        <w:t xml:space="preserve">，</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行业；</w:t>
      </w:r>
      <w:r>
        <w:rPr>
          <w:rFonts w:hint="eastAsia" w:ascii="宋体" w:hAnsi="宋体" w:cs="宋体"/>
          <w:color w:val="000000"/>
          <w:highlight w:val="none"/>
          <w:lang w:eastAsia="zh-CN"/>
        </w:rPr>
        <w:t xml:space="preserve">承接企业</w:t>
      </w:r>
      <w:r>
        <w:rPr>
          <w:rFonts w:hint="eastAsia" w:ascii="宋体" w:hAnsi="宋体" w:cs="宋体"/>
          <w:color w:val="000000"/>
          <w:highlight w:val="none"/>
        </w:rPr>
        <w:t xml:space="preserve">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w:t>
      </w:r>
      <w:r>
        <w:rPr>
          <w:rFonts w:hint="eastAsia" w:ascii="宋体" w:hAnsi="宋体" w:cs="宋体"/>
          <w:color w:val="000000"/>
          <w:highlight w:val="none"/>
          <w:u w:val="single"/>
        </w:rPr>
        <w:t xml:space="preserve">（中型企业、小型企业、微型企业）；</w:t>
      </w:r>
      <w:r>
        <w:rPr>
          <w:color w:val="000000"/>
          <w:highlight w:val="none"/>
        </w:rPr>
      </w:r>
      <w:r>
        <w:rPr>
          <w:highlight w:val="none"/>
        </w:rPr>
      </w:r>
    </w:p>
    <w:p>
      <w:pPr>
        <w:pStyle w:val="658"/>
        <w:ind w:firstLine="360"/>
        <w:jc w:val="both"/>
        <w:spacing w:beforeAutospacing="0" w:afterAutospacing="0" w:line="360" w:lineRule="auto"/>
        <w:rPr>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（标的名称）</w:t>
      </w:r>
      <w:r>
        <w:rPr>
          <w:rFonts w:hint="eastAsia" w:ascii="宋体" w:hAnsi="宋体" w:cs="宋体"/>
          <w:i/>
          <w:color w:val="000000"/>
          <w:highlight w:val="none"/>
        </w:rPr>
        <w:t xml:space="preserve">，</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行业；</w:t>
      </w:r>
      <w:r>
        <w:rPr>
          <w:rFonts w:hint="eastAsia" w:ascii="宋体" w:hAnsi="宋体" w:cs="宋体"/>
          <w:color w:val="000000"/>
          <w:highlight w:val="none"/>
          <w:lang w:eastAsia="zh-CN"/>
        </w:rPr>
        <w:t xml:space="preserve">承接企业</w:t>
      </w:r>
      <w:r>
        <w:rPr>
          <w:rFonts w:hint="eastAsia" w:ascii="宋体" w:hAnsi="宋体" w:cs="宋体"/>
          <w:color w:val="000000"/>
          <w:highlight w:val="none"/>
        </w:rPr>
        <w:t xml:space="preserve">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w:t>
      </w:r>
      <w:r>
        <w:rPr>
          <w:rFonts w:hint="eastAsia" w:ascii="宋体" w:hAnsi="宋体" w:cs="宋体"/>
          <w:color w:val="000000"/>
          <w:highlight w:val="none"/>
          <w:u w:val="single"/>
        </w:rPr>
        <w:t xml:space="preserve">（中型企业、小型企业、微型企业）；</w:t>
      </w:r>
      <w:r>
        <w:rPr>
          <w:color w:val="000000"/>
          <w:highlight w:val="none"/>
        </w:rPr>
      </w:r>
      <w:r>
        <w:rPr>
          <w:highlight w:val="none"/>
        </w:rPr>
      </w:r>
    </w:p>
    <w:p>
      <w:pPr>
        <w:pStyle w:val="658"/>
        <w:ind w:firstLine="360"/>
        <w:jc w:val="both"/>
        <w:spacing w:beforeAutospacing="0" w:afterAutospacing="0" w:line="360" w:lineRule="auto"/>
        <w:rPr>
          <w:color w:val="000000"/>
          <w:highlight w:val="none"/>
        </w:rPr>
      </w:pPr>
      <w:r>
        <w:rPr>
          <w:rFonts w:hint="eastAsia" w:ascii="宋体" w:hAnsi="宋体" w:cs="宋体"/>
          <w:color w:val="000000"/>
          <w:highlight w:val="none"/>
        </w:rPr>
        <w:t xml:space="preserve">……</w:t>
      </w:r>
      <w:r>
        <w:rPr>
          <w:color w:val="000000"/>
          <w:highlight w:val="none"/>
        </w:rPr>
      </w:r>
      <w:r>
        <w:rPr>
          <w:highlight w:val="none"/>
        </w:rPr>
      </w:r>
    </w:p>
    <w:p>
      <w:pPr>
        <w:pStyle w:val="658"/>
        <w:ind w:firstLine="360"/>
        <w:jc w:val="both"/>
        <w:spacing w:beforeAutospacing="0" w:afterAutospacing="0" w:line="360" w:lineRule="auto"/>
        <w:rPr>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color w:val="000000"/>
          <w:highlight w:val="none"/>
        </w:rPr>
      </w:r>
      <w:r>
        <w:rPr>
          <w:highlight w:val="none"/>
        </w:rPr>
      </w:r>
    </w:p>
    <w:p>
      <w:pPr>
        <w:pStyle w:val="658"/>
        <w:ind w:firstLine="360"/>
        <w:jc w:val="both"/>
        <w:spacing w:beforeAutospacing="0" w:afterAutospacing="0" w:line="360" w:lineRule="auto"/>
        <w:rPr>
          <w:color w:val="000000"/>
          <w:highlight w:val="none"/>
        </w:rPr>
      </w:pPr>
      <w:r>
        <w:rPr>
          <w:rFonts w:hint="eastAsia" w:ascii="宋体" w:hAnsi="宋体" w:cs="宋体"/>
          <w:color w:val="000000"/>
          <w:highlight w:val="none"/>
        </w:rPr>
        <w:t xml:space="preserve">本企业对上述声明内容的真实性负责。如有虚假，将依法承担相应责任</w:t>
      </w:r>
      <w:r>
        <w:rPr>
          <w:color w:val="000000"/>
          <w:highlight w:val="none"/>
        </w:rPr>
      </w:r>
      <w:r>
        <w:rPr>
          <w:highlight w:val="none"/>
        </w:rPr>
      </w:r>
    </w:p>
    <w:p>
      <w:pPr>
        <w:pStyle w:val="658"/>
        <w:ind w:right="720"/>
        <w:jc w:val="both"/>
        <w:spacing w:beforeAutospacing="0" w:afterAutospacing="0" w:line="360" w:lineRule="auto"/>
        <w:rPr>
          <w:color w:val="000000"/>
          <w:highlight w:val="none"/>
        </w:rPr>
      </w:pPr>
      <w:r>
        <w:rPr>
          <w:color w:val="000000"/>
          <w:highlight w:val="none"/>
        </w:rPr>
        <w:t xml:space="preserve"> </w:t>
      </w:r>
      <w:r>
        <w:rPr>
          <w:color w:val="000000"/>
          <w:highlight w:val="none"/>
        </w:rPr>
      </w:r>
      <w:r>
        <w:rPr>
          <w:highlight w:val="none"/>
        </w:rPr>
      </w:r>
    </w:p>
    <w:p>
      <w:pPr>
        <w:pStyle w:val="658"/>
        <w:ind w:right="180" w:firstLine="360"/>
        <w:jc w:val="right"/>
        <w:spacing w:beforeAutospacing="0" w:afterAutospacing="0" w:line="360" w:lineRule="auto"/>
        <w:rPr>
          <w:color w:val="000000"/>
          <w:highlight w:val="none"/>
        </w:rPr>
      </w:pPr>
      <w:r>
        <w:rPr>
          <w:rFonts w:hint="eastAsia" w:ascii="宋体" w:hAnsi="宋体" w:cs="宋体"/>
          <w:color w:val="000000"/>
          <w:highlight w:val="none"/>
        </w:rPr>
        <w:t xml:space="preserve">企业名称（加盖CA电子公章）：</w:t>
      </w:r>
      <w:r>
        <w:rPr>
          <w:color w:val="000000"/>
          <w:highlight w:val="none"/>
        </w:rPr>
      </w:r>
      <w:r>
        <w:rPr>
          <w:highlight w:val="none"/>
        </w:rPr>
      </w:r>
    </w:p>
    <w:p>
      <w:pPr>
        <w:pStyle w:val="658"/>
        <w:ind w:right="480" w:firstLine="5400"/>
        <w:jc w:val="both"/>
        <w:spacing w:beforeAutospacing="0" w:afterAutospacing="0" w:line="360" w:lineRule="auto"/>
        <w:rPr>
          <w:color w:val="000000"/>
          <w:highlight w:val="none"/>
        </w:rPr>
      </w:pPr>
      <w:r>
        <w:rPr>
          <w:rFonts w:hint="eastAsia" w:ascii="宋体" w:hAnsi="宋体" w:cs="宋体"/>
          <w:color w:val="000000"/>
          <w:highlight w:val="none"/>
        </w:rPr>
        <w:t xml:space="preserve">日  期：</w:t>
      </w:r>
      <w:r>
        <w:rPr>
          <w:color w:val="000000"/>
          <w:highlight w:val="none"/>
        </w:rPr>
      </w:r>
      <w:r>
        <w:rPr>
          <w:highlight w:val="none"/>
        </w:rPr>
      </w:r>
    </w:p>
    <w:p>
      <w:pPr>
        <w:pStyle w:val="658"/>
        <w:ind w:right="480" w:firstLine="5400"/>
        <w:jc w:val="both"/>
        <w:spacing w:beforeAutospacing="0" w:afterAutospacing="0" w:line="360" w:lineRule="auto"/>
        <w:rPr>
          <w:color w:val="000000"/>
          <w:highlight w:val="none"/>
        </w:rPr>
      </w:pPr>
      <w:r>
        <w:rPr>
          <w:color w:val="000000"/>
          <w:highlight w:val="none"/>
        </w:rPr>
      </w:r>
      <w:r>
        <w:rPr>
          <w:highlight w:val="none"/>
        </w:rPr>
      </w:r>
    </w:p>
    <w:p>
      <w:pPr>
        <w:pStyle w:val="658"/>
        <w:ind w:firstLine="360"/>
        <w:jc w:val="both"/>
        <w:spacing w:beforeAutospacing="0" w:afterAutospacing="0" w:line="360" w:lineRule="auto"/>
        <w:rPr>
          <w:color w:val="000000"/>
          <w:highlight w:val="none"/>
        </w:rPr>
      </w:pPr>
      <w:r>
        <w:rPr>
          <w:color w:val="000000"/>
          <w:highlight w:val="none"/>
        </w:rPr>
        <w:t xml:space="preserve"> </w:t>
      </w:r>
      <w:r>
        <w:rPr>
          <w:color w:val="000000"/>
          <w:highlight w:val="none"/>
        </w:rPr>
      </w:r>
      <w:r>
        <w:rPr>
          <w:highlight w:val="none"/>
        </w:rPr>
      </w:r>
    </w:p>
    <w:p>
      <w:pPr>
        <w:pStyle w:val="658"/>
        <w:ind w:firstLine="480"/>
        <w:jc w:val="both"/>
        <w:spacing w:beforeAutospacing="0" w:afterAutospacing="0" w:line="360" w:lineRule="auto"/>
        <w:rPr>
          <w:color w:val="000000"/>
          <w:highlight w:val="none"/>
        </w:rPr>
      </w:pPr>
      <w:r>
        <w:rPr>
          <w:rFonts w:hint="eastAsia" w:ascii="宋体" w:hAnsi="宋体" w:cs="宋体"/>
          <w:color w:val="000000"/>
          <w:highlight w:val="none"/>
        </w:rPr>
        <w:t xml:space="preserve">备注1：从业人员、营业收入、资产总额填报上一年度数据，无上一年度数据的新成立企业可不填报。</w:t>
      </w:r>
      <w:r>
        <w:rPr>
          <w:color w:val="000000"/>
          <w:highlight w:val="none"/>
        </w:rPr>
      </w:r>
      <w:r>
        <w:rPr>
          <w:highlight w:val="none"/>
        </w:rPr>
      </w:r>
    </w:p>
    <w:p>
      <w:pPr>
        <w:pStyle w:val="658"/>
        <w:ind w:firstLine="480"/>
        <w:jc w:val="both"/>
        <w:spacing w:beforeAutospacing="0" w:afterAutospacing="0" w:line="360" w:lineRule="auto"/>
        <w:rPr>
          <w:color w:val="000000"/>
          <w:highlight w:val="none"/>
        </w:rPr>
      </w:pPr>
      <w:r>
        <w:rPr>
          <w:rFonts w:hint="eastAsia" w:ascii="宋体" w:hAnsi="宋体" w:cs="宋体"/>
          <w:color w:val="000000"/>
          <w:highlight w:val="none"/>
        </w:rPr>
        <w:t xml:space="preserve">备注2：供应商如不提供此声明函，价格将不做相应扣除。</w:t>
      </w:r>
      <w:r>
        <w:rPr>
          <w:color w:val="000000"/>
          <w:highlight w:val="none"/>
        </w:rPr>
      </w:r>
      <w:r>
        <w:rPr>
          <w:highlight w:val="none"/>
        </w:rPr>
      </w:r>
    </w:p>
    <w:p>
      <w:pPr>
        <w:pStyle w:val="658"/>
        <w:ind w:firstLine="480"/>
        <w:jc w:val="both"/>
        <w:spacing w:beforeAutospacing="0" w:afterAutospacing="0" w:line="360" w:lineRule="auto"/>
        <w:rPr>
          <w:color w:val="000000"/>
          <w:highlight w:val="none"/>
        </w:rPr>
      </w:pPr>
      <w:r>
        <w:rPr>
          <w:color w:val="000000"/>
          <w:highlight w:val="none"/>
        </w:rPr>
      </w:r>
      <w:r>
        <w:rPr>
          <w:highlight w:val="none"/>
        </w:rPr>
      </w:r>
    </w:p>
    <w:p>
      <w:pPr>
        <w:pStyle w:val="658"/>
        <w:jc w:val="center"/>
        <w:spacing w:beforeAutospacing="0" w:afterAutospacing="0" w:line="0" w:lineRule="atLeast"/>
        <w:rPr>
          <w:i/>
          <w:iCs/>
          <w:color w:val="000000"/>
          <w:highlight w:val="none"/>
          <w:u w:val="single"/>
        </w:rPr>
      </w:pPr>
      <w:r>
        <w:rPr>
          <w:rFonts w:hint="eastAsia" w:ascii="黑体" w:hAnsi="宋体" w:eastAsia="黑体" w:cs="黑体"/>
          <w:b/>
          <w:color w:val="000000"/>
          <w:sz w:val="32"/>
          <w:szCs w:val="32"/>
          <w:highlight w:val="none"/>
        </w:rPr>
        <w:br w:type="page" w:clear="all"/>
      </w:r>
      <w:r>
        <w:rPr>
          <w:rFonts w:hint="eastAsia" w:ascii="黑体" w:hAnsi="宋体" w:eastAsia="黑体" w:cs="黑体"/>
          <w:b/>
          <w:i/>
          <w:iCs/>
          <w:color w:val="000000"/>
          <w:sz w:val="32"/>
          <w:szCs w:val="32"/>
          <w:highlight w:val="none"/>
          <w:u w:val="single"/>
        </w:rPr>
        <w:t xml:space="preserve"> 十、残疾人福利性单位声明函（分包号：**）</w:t>
      </w:r>
      <w:r>
        <w:rPr>
          <w:i/>
          <w:iCs/>
          <w:color w:val="000000"/>
          <w:highlight w:val="none"/>
          <w:u w:val="single"/>
        </w:rPr>
      </w:r>
      <w:r>
        <w:rPr>
          <w:highlight w:val="none"/>
        </w:rPr>
      </w:r>
    </w:p>
    <w:p>
      <w:pPr>
        <w:pStyle w:val="658"/>
        <w:ind w:firstLine="480"/>
        <w:jc w:val="both"/>
        <w:spacing w:beforeAutospacing="0" w:afterAutospacing="0" w:line="360" w:lineRule="auto"/>
        <w:rPr>
          <w:color w:val="000000"/>
          <w:highlight w:val="none"/>
        </w:rPr>
      </w:pPr>
      <w:r>
        <w:rPr>
          <w:rFonts w:hint="eastAsia" w:ascii="宋体" w:hAnsi="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项目（分包号：**）采购活动提供本单位制造的货物，或者提供其他残疾人福利性单位制造的货物（不包括使用非残疾人福利性单位注册商标的货物）。</w:t>
      </w:r>
      <w:r>
        <w:rPr>
          <w:color w:val="000000"/>
          <w:highlight w:val="none"/>
        </w:rPr>
      </w:r>
      <w:r>
        <w:rPr>
          <w:highlight w:val="none"/>
        </w:rPr>
      </w:r>
    </w:p>
    <w:p>
      <w:pPr>
        <w:pStyle w:val="658"/>
        <w:ind w:firstLine="480"/>
        <w:jc w:val="both"/>
        <w:spacing w:beforeAutospacing="0" w:afterAutospacing="0" w:line="360" w:lineRule="auto"/>
        <w:rPr>
          <w:color w:val="000000"/>
          <w:highlight w:val="none"/>
        </w:rPr>
      </w:pPr>
      <w:r>
        <w:rPr>
          <w:rFonts w:hint="eastAsia" w:ascii="宋体" w:hAnsi="宋体" w:cs="宋体"/>
          <w:color w:val="000000"/>
          <w:highlight w:val="none"/>
        </w:rPr>
        <w:t xml:space="preserve">本单位对上述声明的真实性负责。如有虚假，将依法承担相应责任。</w:t>
      </w:r>
      <w:r>
        <w:rPr>
          <w:color w:val="000000"/>
          <w:highlight w:val="none"/>
        </w:rPr>
      </w:r>
      <w:r>
        <w:rPr>
          <w:highlight w:val="none"/>
        </w:rPr>
      </w:r>
    </w:p>
    <w:p>
      <w:pPr>
        <w:pStyle w:val="658"/>
        <w:ind w:firstLine="480"/>
        <w:jc w:val="both"/>
        <w:spacing w:beforeAutospacing="0" w:afterAutospacing="0" w:line="360" w:lineRule="auto"/>
        <w:rPr>
          <w:color w:val="000000"/>
          <w:highlight w:val="none"/>
        </w:rPr>
      </w:pPr>
      <w:r>
        <w:rPr>
          <w:color w:val="000000"/>
          <w:highlight w:val="none"/>
        </w:rPr>
        <w:t xml:space="preserve"> </w:t>
      </w:r>
      <w:r>
        <w:rPr>
          <w:color w:val="000000"/>
          <w:highlight w:val="none"/>
        </w:rPr>
      </w:r>
      <w:r>
        <w:rPr>
          <w:highlight w:val="none"/>
        </w:rPr>
      </w:r>
    </w:p>
    <w:p>
      <w:pPr>
        <w:pStyle w:val="658"/>
        <w:ind w:firstLine="480"/>
        <w:jc w:val="both"/>
        <w:spacing w:beforeAutospacing="0" w:afterAutospacing="0" w:line="360" w:lineRule="auto"/>
        <w:rPr>
          <w:color w:val="000000"/>
          <w:highlight w:val="none"/>
        </w:rPr>
      </w:pPr>
      <w:r>
        <w:rPr>
          <w:rFonts w:hint="eastAsia" w:ascii="宋体" w:hAnsi="宋体" w:cs="宋体"/>
          <w:color w:val="000000"/>
          <w:highlight w:val="none"/>
        </w:rPr>
        <w:t xml:space="preserve">（备注：1、供应商如不提供此声明函，价格将不做相应扣除。2、中标供应商为残疾人福利单位的，此声明函将随中标结果同时公告，接受社会监督）</w:t>
      </w:r>
      <w:r>
        <w:rPr>
          <w:color w:val="000000"/>
          <w:highlight w:val="none"/>
        </w:rPr>
      </w:r>
      <w:r>
        <w:rPr>
          <w:highlight w:val="none"/>
        </w:rPr>
      </w:r>
    </w:p>
    <w:p>
      <w:pPr>
        <w:pStyle w:val="658"/>
        <w:ind w:firstLine="624"/>
        <w:jc w:val="both"/>
        <w:spacing w:beforeAutospacing="0" w:afterAutospacing="0" w:line="360" w:lineRule="auto"/>
        <w:rPr>
          <w:color w:val="000000"/>
          <w:highlight w:val="none"/>
        </w:rPr>
      </w:pPr>
      <w:r>
        <w:rPr>
          <w:color w:val="000000"/>
          <w:highlight w:val="none"/>
        </w:rPr>
        <w:t xml:space="preserve"> </w:t>
      </w:r>
      <w:r>
        <w:rPr>
          <w:color w:val="000000"/>
          <w:highlight w:val="none"/>
        </w:rPr>
      </w:r>
      <w:r>
        <w:rPr>
          <w:highlight w:val="none"/>
        </w:rPr>
      </w:r>
    </w:p>
    <w:p>
      <w:pPr>
        <w:pStyle w:val="658"/>
        <w:ind w:right="1560" w:firstLine="624"/>
        <w:jc w:val="center"/>
        <w:spacing w:beforeAutospacing="0" w:afterAutospacing="0" w:line="360" w:lineRule="auto"/>
        <w:tabs>
          <w:tab w:val="left" w:pos="4864" w:leader="none"/>
        </w:tabs>
        <w:rPr>
          <w:color w:val="000000"/>
          <w:highlight w:val="none"/>
        </w:rPr>
      </w:pPr>
      <w:r>
        <w:rPr>
          <w:rFonts w:ascii="仿宋_GB2312" w:eastAsia="仿宋_GB2312" w:cs="仿宋_GB2312"/>
          <w:color w:val="000000"/>
          <w:sz w:val="30"/>
          <w:szCs w:val="30"/>
          <w:highlight w:val="none"/>
        </w:rPr>
        <w:t xml:space="preserve">             </w:t>
      </w:r>
      <w:r>
        <w:rPr>
          <w:rFonts w:hint="eastAsia" w:ascii="宋体" w:hAnsi="宋体" w:cs="宋体"/>
          <w:color w:val="000000"/>
          <w:highlight w:val="none"/>
        </w:rPr>
        <w:t xml:space="preserve">          供应商全称（加盖CA电子公章）：</w:t>
      </w:r>
      <w:r>
        <w:rPr>
          <w:color w:val="000000"/>
          <w:highlight w:val="none"/>
        </w:rPr>
      </w:r>
      <w:r>
        <w:rPr>
          <w:highlight w:val="none"/>
        </w:rPr>
      </w:r>
    </w:p>
    <w:p>
      <w:pPr>
        <w:pStyle w:val="658"/>
        <w:ind w:right="1560" w:firstLine="480"/>
        <w:jc w:val="center"/>
        <w:spacing w:beforeAutospacing="0" w:afterAutospacing="0" w:line="360" w:lineRule="auto"/>
        <w:tabs>
          <w:tab w:val="left" w:pos="4864" w:leader="none"/>
        </w:tabs>
        <w:rPr>
          <w:color w:val="000000"/>
          <w:highlight w:val="none"/>
        </w:rPr>
      </w:pPr>
      <w:r>
        <w:rPr>
          <w:rFonts w:hint="eastAsia" w:ascii="宋体" w:hAnsi="宋体" w:cs="宋体"/>
          <w:color w:val="000000"/>
          <w:highlight w:val="none"/>
        </w:rPr>
        <w:t xml:space="preserve">        日  期：</w:t>
      </w: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i/>
          <w:iCs/>
          <w:color w:val="000000"/>
          <w:highlight w:val="none"/>
          <w:u w:val="single"/>
        </w:rPr>
      </w:pPr>
      <w:r>
        <w:rPr>
          <w:rFonts w:hint="eastAsia" w:ascii="黑体" w:hAnsi="宋体" w:eastAsia="黑体" w:cs="黑体"/>
          <w:b/>
          <w:color w:val="000000"/>
          <w:sz w:val="32"/>
          <w:szCs w:val="32"/>
          <w:highlight w:val="none"/>
        </w:rPr>
        <w:br w:type="page" w:clear="all"/>
      </w:r>
      <w:r>
        <w:rPr>
          <w:rFonts w:hint="eastAsia" w:ascii="黑体" w:hAnsi="宋体" w:eastAsia="黑体" w:cs="黑体"/>
          <w:b/>
          <w:i/>
          <w:iCs/>
          <w:color w:val="000000"/>
          <w:sz w:val="32"/>
          <w:szCs w:val="32"/>
          <w:highlight w:val="none"/>
          <w:u w:val="single"/>
        </w:rPr>
        <w:t xml:space="preserve">十一、投标分项报价表</w:t>
      </w:r>
      <w:r>
        <w:rPr>
          <w:i/>
          <w:iCs/>
          <w:color w:val="000000"/>
          <w:highlight w:val="none"/>
          <w:u w:val="single"/>
        </w:rPr>
      </w:r>
      <w:r>
        <w:rPr>
          <w:highlight w:val="none"/>
        </w:rPr>
      </w:r>
    </w:p>
    <w:tbl>
      <w:tblPr>
        <w:tblW w:w="9085"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1205"/>
        <w:gridCol w:w="878"/>
        <w:gridCol w:w="1129"/>
        <w:gridCol w:w="1308"/>
        <w:gridCol w:w="1219"/>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58"/>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序号</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1</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8"/>
              <w:jc w:val="center"/>
              <w:spacing w:beforeAutospacing="0" w:afterAutospacing="0" w:line="0" w:lineRule="atLeast"/>
              <w:rPr>
                <w:rFonts w:hint="eastAsia"/>
                <w:color w:val="000000"/>
                <w:highlight w:val="none"/>
              </w:rPr>
            </w:pPr>
            <w:r>
              <w:rPr>
                <w:rFonts w:hint="eastAsia" w:ascii="宋体" w:hAnsi="宋体" w:eastAsia="宋体" w:cs="宋体"/>
                <w:color w:val="000000"/>
                <w:highlight w:val="none"/>
              </w:rPr>
              <w:t xml:space="preserve">2</w:t>
            </w:r>
            <w:r>
              <w:rPr>
                <w:rFonts w:hint="eastAsia"/>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8"/>
              <w:jc w:val="center"/>
              <w:spacing w:beforeAutospacing="0" w:afterAutospacing="0" w:line="0" w:lineRule="atLeast"/>
              <w:rPr>
                <w:rFonts w:hint="eastAsia"/>
                <w:color w:val="000000"/>
                <w:highlight w:val="none"/>
              </w:rPr>
            </w:pPr>
            <w:r>
              <w:rPr>
                <w:rFonts w:hint="eastAsia" w:ascii="宋体" w:hAnsi="宋体" w:eastAsia="宋体" w:cs="宋体"/>
                <w:color w:val="000000"/>
                <w:highlight w:val="none"/>
              </w:rPr>
              <w:t xml:space="preserve">3</w:t>
            </w:r>
            <w:r>
              <w:rPr>
                <w:rFonts w:hint="eastAsia"/>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8"/>
              <w:jc w:val="center"/>
              <w:spacing w:beforeAutospacing="0" w:afterAutospacing="0" w:line="0" w:lineRule="atLeast"/>
              <w:rPr>
                <w:rFonts w:hint="eastAsia"/>
                <w:color w:val="000000"/>
                <w:highlight w:val="none"/>
              </w:rPr>
            </w:pPr>
            <w:r>
              <w:rPr>
                <w:rFonts w:hint="eastAsia" w:ascii="宋体" w:hAnsi="宋体" w:eastAsia="宋体" w:cs="宋体"/>
                <w:color w:val="000000"/>
                <w:highlight w:val="none"/>
              </w:rPr>
              <w:t xml:space="preserve">4</w:t>
            </w:r>
            <w:r>
              <w:rPr>
                <w:rFonts w:hint="eastAsia"/>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8"/>
              <w:jc w:val="center"/>
              <w:spacing w:beforeAutospacing="0" w:afterAutospacing="0" w:line="0" w:lineRule="atLeast"/>
              <w:rPr>
                <w:rFonts w:hint="eastAsia"/>
                <w:color w:val="000000"/>
                <w:highlight w:val="none"/>
              </w:rPr>
            </w:pPr>
            <w:r>
              <w:rPr>
                <w:rFonts w:hint="eastAsia" w:ascii="宋体" w:hAnsi="宋体" w:eastAsia="宋体" w:cs="宋体"/>
                <w:color w:val="000000"/>
                <w:highlight w:val="none"/>
              </w:rPr>
              <w:t xml:space="preserve">5</w:t>
            </w:r>
            <w:r>
              <w:rPr>
                <w:rFonts w:hint="eastAsia"/>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6</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658"/>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序号</w:t>
            </w:r>
            <w:r>
              <w:rPr>
                <w:color w:val="000000"/>
                <w:highlight w:val="none"/>
              </w:rPr>
            </w:r>
            <w:r>
              <w:rPr>
                <w:highlight w:val="none"/>
              </w:rP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Style w:val="637"/>
              <w:rPr>
                <w:rFonts w:ascii="宋体"/>
                <w:color w:val="000000"/>
                <w:sz w:val="24"/>
                <w:highlight w:val="none"/>
              </w:rPr>
            </w:pPr>
            <w:r>
              <w:rPr>
                <w:rFonts w:asci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分项服务名称</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8"/>
              <w:jc w:val="center"/>
              <w:spacing w:beforeAutospacing="0" w:afterAutospacing="0" w:line="0" w:lineRule="atLeast"/>
              <w:rPr>
                <w:rFonts w:ascii="宋体" w:hAnsi="宋体" w:cs="宋体"/>
                <w:color w:val="000000"/>
                <w:highlight w:val="none"/>
              </w:rPr>
            </w:pPr>
            <w:r>
              <w:rPr>
                <w:rFonts w:hint="eastAsia" w:ascii="宋体" w:hAnsi="宋体" w:eastAsia="宋体" w:cs="宋体"/>
                <w:color w:val="000000"/>
                <w:highlight w:val="none"/>
              </w:rPr>
              <w:t xml:space="preserve">交付期</w:t>
            </w:r>
            <w:r>
              <w:rPr>
                <w:rFonts w:ascii="宋体" w:hAnsi="宋体" w:cs="宋体"/>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分项单位</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数量</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分项</w:t>
            </w:r>
            <w:r>
              <w:rPr>
                <w:color w:val="000000"/>
                <w:highlight w:val="none"/>
              </w:rPr>
            </w:r>
            <w:r>
              <w:rPr>
                <w:highlight w:val="none"/>
              </w:rPr>
            </w:r>
          </w:p>
          <w:p>
            <w:pPr>
              <w:pStyle w:val="658"/>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单价</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分项</w:t>
            </w:r>
            <w:r>
              <w:rPr>
                <w:color w:val="000000"/>
                <w:highlight w:val="none"/>
              </w:rPr>
            </w:r>
            <w:r>
              <w:rPr>
                <w:highlight w:val="none"/>
              </w:rPr>
            </w:r>
          </w:p>
          <w:p>
            <w:pPr>
              <w:pStyle w:val="658"/>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总价</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37"/>
              <w:rPr>
                <w:color w:val="000000"/>
                <w:highlight w:val="none"/>
              </w:rPr>
            </w:pPr>
            <w:r>
              <w:rPr>
                <w:color w:val="000000"/>
                <w:highlight w:val="none"/>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cs="宋体"/>
                <w:color w:val="000000"/>
                <w:highlight w:val="none"/>
              </w:rPr>
              <w:t xml:space="preserve">1</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cs="宋体"/>
                <w:color w:val="000000"/>
                <w:highlight w:val="none"/>
              </w:rPr>
              <w:t xml:space="preserve">2</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cs="宋体"/>
                <w:color w:val="000000"/>
                <w:highlight w:val="none"/>
              </w:rPr>
              <w:t xml:space="preserve">3</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cs="宋体"/>
                <w:color w:val="000000"/>
                <w:highlight w:val="none"/>
              </w:rPr>
              <w:t xml:space="preserve">……</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58"/>
              <w:jc w:val="center"/>
              <w:spacing w:beforeAutospacing="0" w:afterAutospacing="0" w:line="0" w:lineRule="atLeast"/>
              <w:rPr>
                <w:color w:val="000000"/>
                <w:highlight w:val="none"/>
              </w:rPr>
            </w:pPr>
            <w:r>
              <w:rPr>
                <w:rFonts w:hint="eastAsia" w:ascii="宋体" w:hAnsi="宋体" w:cs="宋体"/>
                <w:color w:val="000000"/>
                <w:highlight w:val="none"/>
              </w:rPr>
              <w:t xml:space="preserve">……</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54"/>
        </w:trPr>
        <w:tc>
          <w:tcPr>
            <w:gridSpan w:val="2"/>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pStyle w:val="658"/>
              <w:jc w:val="center"/>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t xml:space="preserve">总价（大写）</w:t>
            </w:r>
            <w:r>
              <w:rPr>
                <w:rFonts w:hint="eastAsia" w:ascii="宋体" w:hAnsi="宋体" w:cs="宋体"/>
                <w:color w:val="000000"/>
                <w:highlight w:val="none"/>
              </w:rPr>
            </w:r>
            <w:r>
              <w:rPr>
                <w:highlight w:val="none"/>
              </w:rPr>
            </w:r>
          </w:p>
        </w:tc>
        <w:tc>
          <w:tcPr>
            <w:gridSpan w:val="6"/>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pStyle w:val="658"/>
              <w:jc w:val="center"/>
              <w:spacing w:beforeAutospacing="0" w:afterAutospacing="0" w:line="0" w:lineRule="atLeast"/>
              <w:rPr>
                <w:color w:val="000000"/>
                <w:highlight w:val="none"/>
              </w:rPr>
            </w:pPr>
            <w:r>
              <w:rPr>
                <w:color w:val="000000"/>
                <w:highlight w:val="none"/>
              </w:rPr>
            </w:r>
            <w:r>
              <w:rPr>
                <w:highlight w:val="none"/>
              </w:rPr>
            </w:r>
          </w:p>
        </w:tc>
      </w:tr>
    </w:tbl>
    <w:p>
      <w:pPr>
        <w:pStyle w:val="658"/>
        <w:jc w:val="both"/>
        <w:spacing w:beforeAutospacing="0" w:afterAutospacing="0" w:line="440" w:lineRule="exact"/>
        <w:rPr>
          <w:rFonts w:hint="eastAsia" w:ascii="宋体" w:hAnsi="宋体" w:cs="宋体"/>
          <w:color w:val="000000"/>
          <w:highlight w:val="none"/>
        </w:rPr>
      </w:pPr>
      <w:r>
        <w:rPr>
          <w:rFonts w:hint="eastAsia" w:ascii="宋体" w:hAnsi="宋体" w:cs="宋体"/>
          <w:color w:val="000000"/>
          <w:highlight w:val="none"/>
        </w:rPr>
        <w:t xml:space="preserve">备注：1.投标报价采用总承包方式，“投标总报价”应包括所投货物（包含与货物相关的服务）费用、安装调试费、测试验收费、培训费、运行维护费用、税金、税费及其他有关的为完成本项目发生的所有费用，招标文件中另有规定的除外。</w:t>
      </w:r>
      <w:r>
        <w:rPr>
          <w:rFonts w:hint="eastAsia" w:ascii="宋体" w:hAnsi="宋体" w:cs="宋体"/>
          <w:color w:val="000000"/>
          <w:highlight w:val="none"/>
        </w:rPr>
      </w:r>
      <w:r>
        <w:rPr>
          <w:highlight w:val="none"/>
        </w:rPr>
      </w:r>
    </w:p>
    <w:p>
      <w:pPr>
        <w:pStyle w:val="658"/>
        <w:ind w:firstLine="480"/>
        <w:jc w:val="both"/>
        <w:spacing w:beforeAutospacing="0" w:afterAutospacing="0" w:line="440" w:lineRule="exact"/>
        <w:rPr>
          <w:color w:val="000000"/>
          <w:highlight w:val="none"/>
        </w:rPr>
      </w:pPr>
      <w:r>
        <w:rPr>
          <w:rFonts w:hint="eastAsia" w:ascii="宋体" w:hAnsi="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cs="宋体"/>
          <w:color w:val="000000"/>
          <w:highlight w:val="none"/>
        </w:rPr>
        <w:t xml:space="preserve">中“投标总报价”数额应当与“开标一览表”中“投标总报价”数额一致。</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r>
      <w:r>
        <w:rPr>
          <w:highlight w:val="none"/>
        </w:rPr>
      </w:r>
    </w:p>
    <w:p>
      <w:pPr>
        <w:pStyle w:val="637"/>
        <w:jc w:val="center"/>
        <w:rPr>
          <w:b w:val="0"/>
          <w:bCs/>
          <w:i/>
          <w:iCs/>
          <w:color w:val="000000"/>
          <w:highlight w:val="none"/>
          <w:u w:val="single"/>
        </w:rPr>
      </w:pPr>
      <w:r>
        <w:rPr>
          <w:rFonts w:hint="eastAsia" w:ascii="黑体" w:hAnsi="宋体" w:eastAsia="黑体" w:cs="黑体"/>
          <w:b/>
          <w:color w:val="000000"/>
          <w:sz w:val="32"/>
          <w:szCs w:val="32"/>
          <w:highlight w:val="none"/>
        </w:rPr>
        <w:br w:type="page" w:clear="all"/>
      </w:r>
      <w:r>
        <w:rPr>
          <w:rFonts w:hint="eastAsia" w:ascii="黑体" w:hAnsi="宋体" w:eastAsia="黑体" w:cs="黑体"/>
          <w:b w:val="0"/>
          <w:bCs/>
          <w:i/>
          <w:iCs/>
          <w:color w:val="000000"/>
          <w:sz w:val="32"/>
          <w:szCs w:val="32"/>
          <w:highlight w:val="none"/>
          <w:u w:val="single"/>
        </w:rPr>
        <w:t xml:space="preserve">十二、技术要求响应及偏离表</w:t>
      </w:r>
      <w:r>
        <w:rPr>
          <w:b w:val="0"/>
          <w:bCs/>
          <w:i/>
          <w:iCs/>
          <w:color w:val="000000"/>
          <w:highlight w:val="none"/>
          <w:u w:val="single"/>
        </w:rPr>
      </w:r>
      <w:r>
        <w:rPr>
          <w:highlight w:val="none"/>
        </w:rPr>
      </w:r>
    </w:p>
    <w:tbl>
      <w:tblPr>
        <w:tblW w:w="8520"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rFonts w:hint="eastAsia" w:ascii="宋体" w:hAnsi="宋体" w:cs="宋体"/>
                <w:color w:val="000000"/>
                <w:highlight w:val="none"/>
              </w:rPr>
              <w:t xml:space="preserve">序号</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rFonts w:hint="eastAsia" w:ascii="宋体" w:hAnsi="宋体" w:cs="宋体"/>
                <w:color w:val="000000"/>
                <w:highlight w:val="none"/>
              </w:rPr>
              <w:t xml:space="preserve">招标文件要求</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rFonts w:hint="eastAsia" w:ascii="宋体" w:hAnsi="宋体" w:cs="宋体"/>
                <w:color w:val="000000"/>
                <w:highlight w:val="none"/>
              </w:rPr>
              <w:t xml:space="preserve">投标响应情况</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rFonts w:hint="eastAsia" w:ascii="宋体" w:hAnsi="宋体" w:cs="宋体"/>
                <w:color w:val="000000"/>
                <w:highlight w:val="none"/>
              </w:rPr>
              <w:t xml:space="preserve">超出、符合或偏离</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rFonts w:hint="eastAsia" w:ascii="宋体" w:hAnsi="宋体" w:cs="宋体"/>
                <w:color w:val="000000"/>
                <w:highlight w:val="none"/>
              </w:rPr>
              <w:t xml:space="preserve">证明</w:t>
            </w:r>
            <w:r>
              <w:rPr>
                <w:color w:val="000000"/>
                <w:highlight w:val="none"/>
              </w:rPr>
            </w:r>
            <w:r>
              <w:rPr>
                <w:highlight w:val="none"/>
              </w:rPr>
            </w:r>
          </w:p>
          <w:p>
            <w:pPr>
              <w:pStyle w:val="658"/>
              <w:jc w:val="center"/>
              <w:spacing w:beforeAutospacing="0" w:afterAutospacing="0"/>
              <w:rPr>
                <w:color w:val="000000"/>
                <w:highlight w:val="none"/>
              </w:rPr>
            </w:pPr>
            <w:r>
              <w:rPr>
                <w:rFonts w:hint="eastAsia" w:ascii="宋体" w:hAnsi="宋体" w:cs="宋体"/>
                <w:color w:val="000000"/>
                <w:highlight w:val="none"/>
              </w:rPr>
              <w:t xml:space="preserve">材料</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rFonts w:hint="eastAsia" w:ascii="宋体" w:hAnsi="宋体" w:cs="宋体"/>
                <w:color w:val="000000"/>
                <w:highlight w:val="none"/>
              </w:rPr>
              <w:t xml:space="preserve">……</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bl>
    <w:p>
      <w:pPr>
        <w:pStyle w:val="658"/>
        <w:jc w:val="both"/>
        <w:spacing w:beforeAutospacing="0" w:afterAutospacing="0"/>
        <w:rPr>
          <w:color w:val="000000"/>
          <w:highlight w:val="none"/>
        </w:rPr>
      </w:pPr>
      <w:r>
        <w:rPr>
          <w:rFonts w:hint="eastAsia" w:ascii="宋体" w:hAnsi="宋体" w:cs="宋体"/>
          <w:color w:val="000000"/>
          <w:highlight w:val="none"/>
        </w:rPr>
        <w:t xml:space="preserve">注：行数不够，可自行添加。</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37"/>
        <w:jc w:val="center"/>
        <w:rPr>
          <w:color w:val="000000"/>
          <w:highlight w:val="none"/>
        </w:rPr>
      </w:pPr>
      <w:r>
        <w:rPr>
          <w:highlight w:val="none"/>
        </w:rPr>
      </w:r>
      <w:bookmarkStart w:id="161" w:name="_Hlt26955054"/>
      <w:r>
        <w:rPr>
          <w:rFonts w:hint="eastAsia" w:ascii="黑体" w:hAnsi="宋体" w:eastAsia="黑体" w:cs="黑体"/>
          <w:b/>
          <w:color w:val="000000"/>
          <w:sz w:val="32"/>
          <w:szCs w:val="32"/>
          <w:highlight w:val="none"/>
        </w:rPr>
        <w:br w:type="page" w:clear="all"/>
      </w:r>
      <w:r>
        <w:rPr>
          <w:rFonts w:hint="eastAsia" w:ascii="黑体" w:hAnsi="宋体" w:eastAsia="黑体" w:cs="黑体"/>
          <w:b w:val="0"/>
          <w:bCs/>
          <w:i/>
          <w:iCs/>
          <w:color w:val="000000"/>
          <w:sz w:val="32"/>
          <w:szCs w:val="32"/>
          <w:highlight w:val="none"/>
          <w:u w:val="single"/>
        </w:rPr>
        <w:t xml:space="preserve">十三、商务要求响应及偏离表</w:t>
      </w:r>
      <w:r>
        <w:rPr>
          <w:color w:val="000000"/>
          <w:highlight w:val="none"/>
        </w:rPr>
      </w:r>
      <w:r>
        <w:rPr>
          <w:highlight w:val="none"/>
        </w:rPr>
      </w:r>
    </w:p>
    <w:tbl>
      <w:tblPr>
        <w:tblW w:w="8520"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highlight w:val="none"/>
              </w:rPr>
            </w:r>
            <w:bookmarkStart w:id="162" w:name="_Hlt26782999"/>
            <w:r>
              <w:rPr>
                <w:highlight w:val="none"/>
              </w:rPr>
            </w:r>
            <w:bookmarkStart w:id="163" w:name="_Hlt26580838"/>
            <w:r>
              <w:rPr>
                <w:highlight w:val="none"/>
              </w:rPr>
            </w:r>
            <w:bookmarkStart w:id="164" w:name="_Hlt26955056"/>
            <w:r>
              <w:rPr>
                <w:highlight w:val="none"/>
              </w:rPr>
            </w:r>
            <w:bookmarkStart w:id="165" w:name="_Hlt26609391"/>
            <w:r>
              <w:rPr>
                <w:highlight w:val="none"/>
              </w:rPr>
            </w:r>
            <w:bookmarkStart w:id="166" w:name="_Hlt26671372"/>
            <w:r>
              <w:rPr>
                <w:highlight w:val="none"/>
              </w:rPr>
            </w:r>
            <w:bookmarkStart w:id="167" w:name="_Hlt24879081"/>
            <w:r>
              <w:rPr>
                <w:highlight w:val="none"/>
              </w:rPr>
            </w:r>
            <w:bookmarkStart w:id="168" w:name="_Hlt26671343"/>
            <w:r>
              <w:rPr>
                <w:highlight w:val="none"/>
              </w:rPr>
            </w:r>
            <w:bookmarkStart w:id="169" w:name="_Hlt26955064"/>
            <w:r>
              <w:rPr>
                <w:rFonts w:hint="eastAsia" w:ascii="宋体" w:hAnsi="宋体" w:cs="宋体"/>
                <w:color w:val="000000"/>
                <w:highlight w:val="none"/>
              </w:rPr>
              <w:t xml:space="preserve">序号</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highlight w:val="none"/>
              </w:rPr>
            </w:r>
            <w:bookmarkEnd w:id="162"/>
            <w:r>
              <w:rPr>
                <w:highlight w:val="none"/>
              </w:rPr>
            </w:r>
            <w:bookmarkEnd w:id="163"/>
            <w:r>
              <w:rPr>
                <w:highlight w:val="none"/>
              </w:rPr>
            </w:r>
            <w:bookmarkEnd w:id="164"/>
            <w:r>
              <w:rPr>
                <w:highlight w:val="none"/>
              </w:rPr>
            </w:r>
            <w:bookmarkEnd w:id="165"/>
            <w:r>
              <w:rPr>
                <w:highlight w:val="none"/>
              </w:rPr>
            </w:r>
            <w:bookmarkEnd w:id="166"/>
            <w:r>
              <w:rPr>
                <w:highlight w:val="none"/>
              </w:rPr>
            </w:r>
            <w:bookmarkEnd w:id="167"/>
            <w:r>
              <w:rPr>
                <w:highlight w:val="none"/>
              </w:rPr>
            </w:r>
            <w:bookmarkEnd w:id="168"/>
            <w:r>
              <w:rPr>
                <w:highlight w:val="none"/>
              </w:rPr>
            </w:r>
            <w:bookmarkEnd w:id="169"/>
            <w:r>
              <w:rPr>
                <w:rFonts w:hint="eastAsia" w:ascii="宋体" w:hAnsi="宋体" w:cs="宋体"/>
                <w:color w:val="000000"/>
                <w:highlight w:val="none"/>
              </w:rPr>
              <w:t xml:space="preserve">招标文件要求</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rFonts w:hint="eastAsia" w:ascii="宋体" w:hAnsi="宋体" w:cs="宋体"/>
                <w:color w:val="000000"/>
                <w:highlight w:val="none"/>
              </w:rPr>
              <w:t xml:space="preserve">投标响应情况</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rFonts w:hint="eastAsia" w:ascii="宋体" w:hAnsi="宋体" w:cs="宋体"/>
                <w:color w:val="000000"/>
                <w:highlight w:val="none"/>
              </w:rPr>
              <w:t xml:space="preserve">超出、符合或偏离</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rFonts w:hint="eastAsia" w:ascii="宋体" w:hAnsi="宋体" w:cs="宋体"/>
                <w:color w:val="000000"/>
                <w:highlight w:val="none"/>
              </w:rPr>
              <w:t xml:space="preserve">证明</w:t>
            </w:r>
            <w:r>
              <w:rPr>
                <w:color w:val="000000"/>
                <w:highlight w:val="none"/>
              </w:rPr>
            </w:r>
            <w:r>
              <w:rPr>
                <w:highlight w:val="none"/>
              </w:rPr>
            </w:r>
          </w:p>
          <w:p>
            <w:pPr>
              <w:pStyle w:val="658"/>
              <w:jc w:val="center"/>
              <w:spacing w:beforeAutospacing="0" w:afterAutospacing="0"/>
              <w:rPr>
                <w:color w:val="000000"/>
                <w:highlight w:val="none"/>
              </w:rPr>
            </w:pPr>
            <w:r>
              <w:rPr>
                <w:rFonts w:hint="eastAsia" w:ascii="宋体" w:hAnsi="宋体" w:cs="宋体"/>
                <w:color w:val="000000"/>
                <w:highlight w:val="none"/>
              </w:rPr>
              <w:t xml:space="preserve">材料</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rPr>
                <w:color w:val="000000"/>
                <w:highlight w:val="none"/>
              </w:rPr>
            </w:pPr>
            <w:r>
              <w:rPr>
                <w:rFonts w:hint="eastAsia" w:ascii="宋体" w:hAnsi="宋体" w:cs="宋体"/>
                <w:color w:val="000000"/>
                <w:highlight w:val="none"/>
              </w:rPr>
              <w:t xml:space="preserve">……</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tc>
      </w:tr>
    </w:tbl>
    <w:p>
      <w:pPr>
        <w:pStyle w:val="658"/>
        <w:jc w:val="both"/>
        <w:spacing w:beforeAutospacing="0" w:afterAutospacing="0"/>
        <w:rPr>
          <w:color w:val="000000"/>
          <w:highlight w:val="none"/>
        </w:rPr>
      </w:pPr>
      <w:r>
        <w:rPr>
          <w:rFonts w:hint="eastAsia" w:ascii="宋体" w:hAnsi="宋体" w:cs="宋体"/>
          <w:color w:val="000000"/>
          <w:highlight w:val="none"/>
        </w:rPr>
        <w:t xml:space="preserve">注：行数不够，可自行添加。</w:t>
      </w:r>
      <w:r>
        <w:rPr>
          <w:color w:val="000000"/>
          <w:highlight w:val="none"/>
        </w:rPr>
      </w:r>
      <w:r>
        <w:rPr>
          <w:highlight w:val="none"/>
        </w:rPr>
      </w:r>
    </w:p>
    <w:p>
      <w:pPr>
        <w:pStyle w:val="658"/>
        <w:jc w:val="both"/>
        <w:spacing w:beforeAutospacing="0" w:afterAutospacing="0" w:line="480" w:lineRule="auto"/>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line="480" w:lineRule="auto"/>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highlight w:val="none"/>
        </w:rPr>
      </w:r>
      <w:bookmarkStart w:id="170" w:name="_Toc462564146"/>
      <w:r>
        <w:rPr>
          <w:highlight w:val="none"/>
        </w:rPr>
      </w:r>
      <w:bookmarkStart w:id="171" w:name="_Hlt26955066"/>
      <w:r>
        <w:rPr>
          <w:highlight w:val="none"/>
        </w:rPr>
      </w:r>
      <w:bookmarkStart w:id="172" w:name="_Hlt26671374"/>
      <w:r>
        <w:rPr>
          <w:highlight w:val="none"/>
        </w:rPr>
      </w:r>
      <w:bookmarkStart w:id="173" w:name="_Hlt26609389"/>
      <w:r>
        <w:rPr>
          <w:highlight w:val="none"/>
        </w:rPr>
      </w:r>
      <w:bookmarkStart w:id="174" w:name="_格式2__法定代表人授权书"/>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color w:val="000000"/>
          <w:highlight w:val="none"/>
        </w:rPr>
      </w:pPr>
      <w:r>
        <w:rPr>
          <w:rFonts w:hint="eastAsia" w:ascii="黑体" w:hAnsi="宋体" w:eastAsia="黑体" w:cs="黑体"/>
          <w:b/>
          <w:i/>
          <w:color w:val="000000"/>
          <w:sz w:val="32"/>
          <w:szCs w:val="32"/>
          <w:highlight w:val="none"/>
          <w:u w:val="single"/>
        </w:rPr>
        <w:br w:type="page" w:clear="all"/>
      </w:r>
      <w:r>
        <w:rPr>
          <w:rFonts w:hint="eastAsia" w:ascii="黑体" w:hAnsi="宋体" w:eastAsia="黑体" w:cs="黑体"/>
          <w:b/>
          <w:i/>
          <w:color w:val="000000"/>
          <w:sz w:val="32"/>
          <w:szCs w:val="32"/>
          <w:highlight w:val="none"/>
          <w:u w:val="single"/>
        </w:rPr>
        <w:t xml:space="preserve">十四、开标一览表</w:t>
      </w:r>
      <w:r>
        <w:rPr>
          <w:color w:val="000000"/>
          <w:highlight w:val="none"/>
        </w:rPr>
      </w:r>
      <w:r>
        <w:rPr>
          <w:highlight w:val="none"/>
        </w:rPr>
      </w:r>
    </w:p>
    <w:p>
      <w:pPr>
        <w:pStyle w:val="658"/>
        <w:jc w:val="both"/>
        <w:spacing w:beforeAutospacing="0" w:afterAutospacing="0" w:line="440" w:lineRule="exact"/>
        <w:rPr>
          <w:rFonts w:hint="eastAsia" w:ascii="宋体" w:hAnsi="宋体" w:cs="宋体"/>
          <w:color w:val="000000"/>
          <w:highlight w:val="none"/>
        </w:rPr>
      </w:pPr>
      <w:r>
        <w:rPr>
          <w:rFonts w:hint="eastAsia" w:ascii="宋体" w:hAnsi="宋体" w:cs="宋体"/>
          <w:color w:val="000000"/>
          <w:highlight w:val="none"/>
        </w:rPr>
        <w:t xml:space="preserve">投标人全称（加盖CA电子签章）：</w:t>
      </w:r>
      <w:r>
        <w:rPr>
          <w:rFonts w:hint="eastAsia" w:ascii="宋体" w:hAnsi="宋体" w:cs="宋体"/>
          <w:color w:val="000000"/>
          <w:highlight w:val="none"/>
        </w:rPr>
      </w:r>
      <w:r>
        <w:rPr>
          <w:highlight w:val="none"/>
        </w:rPr>
      </w:r>
    </w:p>
    <w:p>
      <w:pPr>
        <w:pStyle w:val="658"/>
        <w:jc w:val="both"/>
        <w:spacing w:beforeAutospacing="0" w:afterAutospacing="0" w:line="440" w:lineRule="exact"/>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rPr>
          <w:highlight w:val="none"/>
        </w:rPr>
      </w:r>
    </w:p>
    <w:p>
      <w:pPr>
        <w:pStyle w:val="658"/>
        <w:jc w:val="both"/>
        <w:spacing w:beforeAutospacing="0" w:afterAutospacing="0" w:line="440" w:lineRule="exact"/>
        <w:rPr>
          <w:rFonts w:hint="eastAsia" w:ascii="宋体" w:hAnsi="宋体" w:eastAsia="宋体" w:cs="宋体"/>
          <w:color w:val="000000"/>
          <w:highlight w:val="none"/>
        </w:rPr>
      </w:pPr>
      <w:r>
        <w:rPr>
          <w:rFonts w:hint="eastAsia" w:ascii="宋体" w:hAnsi="宋体" w:cs="宋体"/>
          <w:color w:val="000000"/>
          <w:highlight w:val="none"/>
        </w:rPr>
        <w:t xml:space="preserve">项目编号：</w:t>
      </w:r>
      <w:r>
        <w:rPr>
          <w:rFonts w:hint="eastAsia" w:ascii="宋体" w:hAnsi="宋体" w:cs="宋体"/>
          <w:color w:val="000000"/>
          <w:highlight w:val="none"/>
          <w:lang w:eastAsia="zh-CN"/>
        </w:rPr>
        <w:t xml:space="preserve">JSZC-320981-JZCG-G2025-0011</w:t>
      </w:r>
      <w:r>
        <w:rPr>
          <w:rFonts w:hint="eastAsia" w:ascii="宋体" w:hAnsi="宋体" w:eastAsia="宋体" w:cs="宋体"/>
          <w:color w:val="000000"/>
          <w:highlight w:val="none"/>
          <w:lang w:eastAsia="zh-CN"/>
        </w:rPr>
      </w:r>
      <w:r>
        <w:rPr>
          <w:highlight w:val="none"/>
        </w:rPr>
      </w:r>
    </w:p>
    <w:tbl>
      <w:tblPr>
        <w:tblW w:w="841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8"/>
              <w:jc w:val="both"/>
              <w:spacing w:beforeAutospacing="0" w:afterAutospacing="0"/>
              <w:rPr>
                <w:color w:val="000000"/>
                <w:highlight w:val="none"/>
              </w:rPr>
            </w:pPr>
            <w:r>
              <w:rPr>
                <w:rFonts w:hint="eastAsia" w:ascii="宋体" w:hAnsi="宋体" w:cs="宋体"/>
                <w:color w:val="000000"/>
                <w:highlight w:val="none"/>
              </w:rPr>
              <w:t xml:space="preserve">投标总报价</w:t>
            </w:r>
            <w:r>
              <w:rPr>
                <w:color w:val="000000"/>
                <w:highlight w:val="none"/>
              </w:rPr>
            </w:r>
            <w:r>
              <w:rPr>
                <w:highlight w:val="none"/>
              </w:rP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8"/>
              <w:spacing w:beforeAutospacing="0" w:afterAutospacing="0" w:line="0" w:lineRule="atLeast"/>
              <w:rPr>
                <w:color w:val="000000"/>
                <w:highlight w:val="none"/>
              </w:rPr>
            </w:pPr>
            <w:r>
              <w:rPr>
                <w:rFonts w:hint="eastAsia" w:ascii="宋体" w:hAnsi="宋体" w:cs="宋体"/>
                <w:color w:val="000000"/>
                <w:highlight w:val="none"/>
              </w:rPr>
              <w:t xml:space="preserve">小写：                   （人民币：元）</w:t>
            </w:r>
            <w:r>
              <w:rPr>
                <w:color w:val="000000"/>
                <w:highlight w:val="none"/>
              </w:rPr>
            </w:r>
            <w:r>
              <w:rPr>
                <w:highlight w:val="none"/>
              </w:rPr>
            </w:r>
          </w:p>
        </w:tc>
      </w:tr>
    </w:tbl>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ind w:firstLine="480"/>
        <w:jc w:val="both"/>
        <w:spacing w:beforeAutospacing="0" w:afterAutospacing="0"/>
        <w:rPr>
          <w:color w:val="000000"/>
          <w:highlight w:val="none"/>
        </w:rPr>
      </w:pPr>
      <w:r>
        <w:rPr>
          <w:rFonts w:hint="eastAsia" w:ascii="宋体" w:hAnsi="宋体" w:cs="宋体"/>
          <w:color w:val="000000"/>
          <w:highlight w:val="none"/>
        </w:rPr>
        <w:t xml:space="preserve">                                              日期：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ind w:firstLine="480"/>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ind w:firstLine="480"/>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ind w:firstLine="480"/>
        <w:jc w:val="both"/>
        <w:spacing w:beforeAutospacing="0" w:afterAutospacing="0"/>
        <w:rPr>
          <w:color w:val="000000"/>
          <w:highlight w:val="none"/>
        </w:rPr>
      </w:pPr>
      <w:r>
        <w:rPr>
          <w:color w:val="000000"/>
          <w:highlight w:val="none"/>
        </w:rPr>
      </w:r>
      <w:r>
        <w:rPr>
          <w:highlight w:val="none"/>
        </w:rPr>
      </w:r>
    </w:p>
    <w:p>
      <w:pPr>
        <w:pStyle w:val="658"/>
        <w:ind w:firstLine="480"/>
        <w:jc w:val="both"/>
        <w:spacing w:beforeAutospacing="0" w:afterAutospacing="0"/>
        <w:rPr>
          <w:color w:val="000000"/>
          <w:highlight w:val="none"/>
        </w:rPr>
      </w:pPr>
      <w:r>
        <w:rPr>
          <w:color w:val="000000"/>
          <w:highlight w:val="none"/>
        </w:rPr>
      </w:r>
      <w:r>
        <w:rPr>
          <w:highlight w:val="none"/>
        </w:rPr>
      </w:r>
    </w:p>
    <w:p>
      <w:pPr>
        <w:pStyle w:val="658"/>
        <w:ind w:firstLine="480"/>
        <w:jc w:val="both"/>
        <w:spacing w:beforeAutospacing="0" w:afterAutospacing="0"/>
        <w:rPr>
          <w:color w:val="000000"/>
          <w:highlight w:val="none"/>
        </w:rPr>
      </w:pPr>
      <w:r>
        <w:rPr>
          <w:color w:val="000000"/>
          <w:highlight w:val="none"/>
        </w:rPr>
      </w:r>
      <w:r>
        <w:rPr>
          <w:highlight w:val="none"/>
        </w:rPr>
      </w:r>
    </w:p>
    <w:p>
      <w:pPr>
        <w:pStyle w:val="658"/>
        <w:ind w:firstLine="480"/>
        <w:jc w:val="both"/>
        <w:spacing w:beforeAutospacing="0" w:afterAutospacing="0"/>
        <w:rPr>
          <w:color w:val="000000"/>
          <w:highlight w:val="none"/>
        </w:rPr>
      </w:pPr>
      <w:r>
        <w:rPr>
          <w:color w:val="000000"/>
          <w:highlight w:val="none"/>
        </w:rPr>
      </w:r>
      <w:r>
        <w:rPr>
          <w:highlight w:val="none"/>
        </w:rPr>
      </w:r>
    </w:p>
    <w:p>
      <w:pPr>
        <w:pStyle w:val="658"/>
        <w:ind w:firstLine="480"/>
        <w:jc w:val="both"/>
        <w:spacing w:beforeAutospacing="0" w:afterAutospacing="0"/>
        <w:rPr>
          <w:color w:val="000000"/>
          <w:highlight w:val="none"/>
        </w:rPr>
      </w:pPr>
      <w:r>
        <w:rPr>
          <w:color w:val="000000"/>
          <w:highlight w:val="none"/>
        </w:rPr>
      </w:r>
      <w:r>
        <w:rPr>
          <w:highlight w:val="none"/>
        </w:rPr>
      </w:r>
    </w:p>
    <w:p>
      <w:pPr>
        <w:pStyle w:val="658"/>
        <w:ind w:firstLine="480"/>
        <w:jc w:val="both"/>
        <w:spacing w:beforeAutospacing="0" w:afterAutospacing="0"/>
        <w:rPr>
          <w:color w:val="000000"/>
          <w:highlight w:val="none"/>
        </w:rPr>
      </w:pPr>
      <w:r>
        <w:rPr>
          <w:color w:val="000000"/>
          <w:highlight w:val="none"/>
        </w:rPr>
      </w:r>
      <w:r>
        <w:rPr>
          <w:highlight w:val="none"/>
        </w:rPr>
      </w:r>
    </w:p>
    <w:p>
      <w:pPr>
        <w:pStyle w:val="658"/>
        <w:jc w:val="center"/>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both"/>
        <w:spacing w:beforeAutospacing="0" w:afterAutospacing="0"/>
        <w:rPr>
          <w:color w:val="000000"/>
          <w:highlight w:val="none"/>
        </w:rPr>
      </w:pPr>
      <w:r>
        <w:rPr>
          <w:color w:val="000000"/>
          <w:highlight w:val="none"/>
        </w:rPr>
        <w:t xml:space="preserve"> </w:t>
      </w:r>
      <w:r>
        <w:rPr>
          <w:color w:val="000000"/>
          <w:highlight w:val="none"/>
        </w:rPr>
      </w:r>
      <w:r>
        <w:rPr>
          <w:highlight w:val="none"/>
        </w:rPr>
      </w:r>
    </w:p>
    <w:p>
      <w:pPr>
        <w:pStyle w:val="658"/>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rPr>
          <w:highlight w:val="none"/>
        </w:rPr>
      </w:r>
    </w:p>
    <w:p>
      <w:pPr>
        <w:pStyle w:val="637"/>
        <w:rPr>
          <w:rFonts w:hint="eastAsia" w:ascii="宋体" w:hAnsi="宋体" w:cs="宋体"/>
          <w:color w:val="000000"/>
          <w:sz w:val="32"/>
          <w:szCs w:val="32"/>
          <w:highlight w:val="none"/>
        </w:rPr>
      </w:pPr>
      <w:r>
        <w:rPr>
          <w:rFonts w:hint="eastAsia" w:ascii="宋体" w:hAnsi="宋体" w:cs="宋体"/>
          <w:color w:val="000000"/>
          <w:sz w:val="32"/>
          <w:szCs w:val="32"/>
          <w:highlight w:val="none"/>
        </w:rPr>
      </w:r>
      <w:r>
        <w:rPr>
          <w:highlight w:val="none"/>
        </w:rPr>
      </w:r>
    </w:p>
    <w:p>
      <w:pPr>
        <w:pStyle w:val="658"/>
        <w:jc w:val="center"/>
        <w:spacing w:beforeAutospacing="0" w:afterAutospacing="0"/>
        <w:rPr>
          <w:rFonts w:hint="eastAsia" w:ascii="黑体" w:hAnsi="宋体" w:eastAsia="黑体" w:cs="黑体"/>
          <w:b/>
          <w:i/>
          <w:color w:val="000000"/>
          <w:sz w:val="32"/>
          <w:szCs w:val="32"/>
          <w:highlight w:val="none"/>
          <w:u w:val="single"/>
        </w:rPr>
      </w:pPr>
      <w:r>
        <w:rPr>
          <w:rFonts w:hint="eastAsia" w:ascii="宋体" w:hAnsi="宋体" w:cs="宋体"/>
          <w:color w:val="000000"/>
          <w:sz w:val="32"/>
          <w:szCs w:val="32"/>
          <w:highlight w:val="none"/>
        </w:rPr>
        <w:br w:type="page" w:clear="all"/>
      </w:r>
      <w:r>
        <w:rPr>
          <w:rFonts w:hint="eastAsia" w:ascii="黑体" w:hAnsi="宋体" w:eastAsia="黑体" w:cs="黑体"/>
          <w:b/>
          <w:i/>
          <w:color w:val="000000"/>
          <w:sz w:val="32"/>
          <w:szCs w:val="32"/>
          <w:highlight w:val="none"/>
          <w:u w:val="single"/>
        </w:rPr>
        <w:t xml:space="preserve">十六、技术方案、服务承诺、培训承诺等</w:t>
      </w:r>
      <w:r>
        <w:rPr>
          <w:rFonts w:hint="eastAsia" w:ascii="黑体" w:hAnsi="宋体" w:eastAsia="黑体" w:cs="黑体"/>
          <w:b/>
          <w:i/>
          <w:color w:val="000000"/>
          <w:sz w:val="32"/>
          <w:szCs w:val="32"/>
          <w:highlight w:val="none"/>
          <w:u w:val="single"/>
        </w:rPr>
      </w:r>
      <w:r>
        <w:rPr>
          <w:highlight w:val="none"/>
        </w:rPr>
      </w:r>
    </w:p>
    <w:p>
      <w:pPr>
        <w:pStyle w:val="658"/>
        <w:jc w:val="center"/>
        <w:spacing w:beforeAutospacing="0" w:afterAutospacing="0"/>
        <w:rPr>
          <w:rFonts w:hint="eastAsia" w:ascii="宋体" w:hAnsi="宋体" w:eastAsia="宋体" w:cs="宋体"/>
          <w:b/>
          <w:bCs/>
          <w:i/>
          <w:iCs/>
          <w:color w:val="000000"/>
          <w:sz w:val="32"/>
          <w:szCs w:val="32"/>
          <w:highlight w:val="none"/>
          <w:u w:val="single"/>
        </w:rPr>
      </w:pPr>
      <w:r>
        <w:rPr>
          <w:rFonts w:hint="eastAsia" w:ascii="黑体" w:hAnsi="宋体" w:eastAsia="黑体" w:cs="黑体"/>
          <w:b/>
          <w:i/>
          <w:color w:val="000000"/>
          <w:sz w:val="32"/>
          <w:szCs w:val="32"/>
          <w:highlight w:val="none"/>
          <w:u w:val="single"/>
        </w:rPr>
        <w:br w:type="page" w:clear="all"/>
      </w:r>
      <w:r>
        <w:rPr>
          <w:rFonts w:hint="eastAsia" w:ascii="宋体" w:hAnsi="宋体" w:eastAsia="宋体" w:cs="宋体"/>
          <w:b/>
          <w:bCs/>
          <w:i/>
          <w:iCs/>
          <w:color w:val="000000"/>
          <w:sz w:val="32"/>
          <w:szCs w:val="32"/>
          <w:highlight w:val="none"/>
          <w:u w:val="single"/>
          <w:lang w:val="en-US" w:eastAsia="zh-CN"/>
        </w:rPr>
        <w:t xml:space="preserve">十七、盐城市政府采购事前信用承诺书</w:t>
      </w:r>
      <w:r>
        <w:rPr>
          <w:rFonts w:hint="eastAsia" w:ascii="宋体" w:hAnsi="宋体" w:eastAsia="宋体" w:cs="宋体"/>
          <w:b/>
          <w:bCs/>
          <w:i/>
          <w:iCs/>
          <w:color w:val="000000"/>
          <w:sz w:val="32"/>
          <w:szCs w:val="32"/>
          <w:highlight w:val="none"/>
          <w:u w:val="single"/>
          <w:lang w:val="en-US" w:eastAsia="zh-CN"/>
        </w:rPr>
      </w:r>
      <w:r>
        <w:rPr>
          <w:highlight w:val="none"/>
        </w:rPr>
      </w:r>
    </w:p>
    <w:p>
      <w:pPr>
        <w:pStyle w:val="637"/>
        <w:ind w:firstLine="480"/>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为营造我市公开、公平、公正、诚实守信的政府采购交易环境，树立诚信守法的投标人形象，本人代表本单位作出以下承诺：</w:t>
      </w:r>
      <w:r>
        <w:rPr>
          <w:rFonts w:ascii="宋体" w:hAnsi="宋体" w:cs="宋体"/>
          <w:color w:val="000000"/>
          <w:sz w:val="24"/>
          <w:highlight w:val="none"/>
        </w:rPr>
      </w:r>
      <w:r>
        <w:rPr>
          <w:highlight w:val="none"/>
        </w:rPr>
      </w:r>
    </w:p>
    <w:p>
      <w:pPr>
        <w:pStyle w:val="637"/>
        <w:ind w:firstLine="480"/>
        <w:jc w:val="left"/>
        <w:spacing w:line="499"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color w:val="000000"/>
          <w:sz w:val="24"/>
          <w:highlight w:val="none"/>
        </w:rPr>
      </w:r>
      <w:r>
        <w:rPr>
          <w:highlight w:val="none"/>
        </w:rPr>
      </w:r>
    </w:p>
    <w:p>
      <w:pPr>
        <w:pStyle w:val="637"/>
        <w:ind w:firstLine="480"/>
        <w:jc w:val="left"/>
        <w:spacing w:line="499"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highlight w:val="none"/>
        </w:rPr>
      </w:r>
      <w:r>
        <w:rPr>
          <w:highlight w:val="none"/>
        </w:rPr>
      </w:r>
    </w:p>
    <w:p>
      <w:pPr>
        <w:pStyle w:val="637"/>
        <w:ind w:firstLine="480"/>
        <w:jc w:val="left"/>
        <w:spacing w:line="499"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（三）严格依照国家和省、市关于政府采购的法律、法规、规章、规范性文件，参加政府采购投标活动；积极履行社会责任，促进廉政建设； </w:t>
      </w:r>
      <w:r>
        <w:rPr>
          <w:rFonts w:hint="eastAsia" w:ascii="宋体" w:hAnsi="宋体" w:cs="宋体"/>
          <w:color w:val="000000"/>
          <w:sz w:val="24"/>
          <w:highlight w:val="none"/>
        </w:rPr>
      </w:r>
      <w:r>
        <w:rPr>
          <w:highlight w:val="none"/>
        </w:rPr>
      </w:r>
    </w:p>
    <w:p>
      <w:pPr>
        <w:pStyle w:val="637"/>
        <w:ind w:firstLine="480"/>
        <w:jc w:val="left"/>
        <w:spacing w:line="499"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（四）严格遵守即时信息公示规定，及时维护和更新维护和更新盐城市政府采购网中与本单位相关的信息；</w:t>
      </w:r>
      <w:r>
        <w:rPr>
          <w:rFonts w:hint="eastAsia" w:ascii="宋体" w:hAnsi="宋体" w:cs="宋体"/>
          <w:color w:val="000000"/>
          <w:sz w:val="24"/>
          <w:highlight w:val="none"/>
        </w:rPr>
      </w:r>
      <w:r>
        <w:rPr>
          <w:highlight w:val="none"/>
        </w:rPr>
      </w:r>
    </w:p>
    <w:p>
      <w:pPr>
        <w:pStyle w:val="637"/>
        <w:ind w:firstLine="480"/>
        <w:jc w:val="left"/>
        <w:spacing w:line="499"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 w:val="24"/>
          <w:highlight w:val="none"/>
        </w:rPr>
      </w:r>
      <w:r>
        <w:rPr>
          <w:highlight w:val="none"/>
        </w:rPr>
      </w:r>
    </w:p>
    <w:p>
      <w:pPr>
        <w:pStyle w:val="637"/>
        <w:ind w:firstLine="480"/>
        <w:jc w:val="left"/>
        <w:spacing w:line="499"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（六）自觉接受政府、行业组织、社会公众、新闻舆论的监督；</w:t>
      </w:r>
      <w:r>
        <w:rPr>
          <w:rFonts w:hint="eastAsia" w:ascii="宋体" w:hAnsi="宋体" w:cs="宋体"/>
          <w:color w:val="000000"/>
          <w:sz w:val="24"/>
          <w:highlight w:val="none"/>
        </w:rPr>
      </w:r>
      <w:r>
        <w:rPr>
          <w:highlight w:val="none"/>
        </w:rPr>
      </w:r>
    </w:p>
    <w:p>
      <w:pPr>
        <w:pStyle w:val="637"/>
        <w:ind w:firstLine="480"/>
        <w:jc w:val="left"/>
        <w:spacing w:line="499"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highlight w:val="none"/>
        </w:rPr>
      </w:r>
      <w:r>
        <w:rPr>
          <w:highlight w:val="none"/>
        </w:rPr>
      </w:r>
    </w:p>
    <w:p>
      <w:pPr>
        <w:pStyle w:val="637"/>
        <w:ind w:firstLine="480"/>
        <w:jc w:val="left"/>
        <w:spacing w:line="499" w:lineRule="atLeast"/>
        <w:widowControl/>
        <w:rPr>
          <w:rFonts w:hint="eastAsia" w:ascii="宋体" w:hAnsi="宋体" w:cs="宋体"/>
          <w:color w:val="000000"/>
          <w:sz w:val="24"/>
          <w:highlight w:val="none"/>
        </w:rPr>
      </w:pPr>
      <w:r>
        <w:rPr>
          <w:rFonts w:hint="eastAsia" w:ascii="宋体" w:hAnsi="宋体" w:cs="宋体"/>
          <w:color w:val="000000"/>
          <w:sz w:val="24"/>
          <w:highlight w:val="none"/>
        </w:rPr>
        <w:t xml:space="preserve">（八）本人已认真阅读了上述承诺，并向本单位员工作了宣传教育。</w:t>
      </w:r>
      <w:r>
        <w:rPr>
          <w:rFonts w:hint="eastAsia" w:ascii="宋体" w:hAnsi="宋体" w:cs="宋体"/>
          <w:color w:val="000000"/>
          <w:sz w:val="24"/>
          <w:highlight w:val="none"/>
        </w:rPr>
      </w:r>
      <w:r>
        <w:rPr>
          <w:highlight w:val="none"/>
        </w:rPr>
      </w:r>
    </w:p>
    <w:p>
      <w:pPr>
        <w:pStyle w:val="637"/>
        <w:jc w:val="left"/>
        <w:spacing w:line="700" w:lineRule="exact"/>
        <w:widowControl/>
        <w:rPr>
          <w:rFonts w:ascii="宋体" w:hAnsi="宋体" w:cs="宋体"/>
          <w:color w:val="000000"/>
          <w:sz w:val="24"/>
          <w:highlight w:val="none"/>
        </w:rPr>
      </w:pPr>
      <w:r>
        <w:rPr>
          <w:rFonts w:hint="eastAsia" w:ascii="宋体" w:hAnsi="宋体" w:cs="宋体"/>
          <w:color w:val="000000"/>
          <w:sz w:val="24"/>
          <w:highlight w:val="none"/>
        </w:rPr>
        <w:t xml:space="preserve">                            法定代表人签名：</w:t>
      </w:r>
      <w:r>
        <w:rPr>
          <w:rFonts w:ascii="宋体" w:hAnsi="宋体" w:cs="宋体"/>
          <w:color w:val="000000"/>
          <w:sz w:val="24"/>
          <w:highlight w:val="none"/>
        </w:rPr>
      </w:r>
      <w:r>
        <w:rPr>
          <w:highlight w:val="none"/>
        </w:rPr>
      </w:r>
    </w:p>
    <w:p>
      <w:pPr>
        <w:pStyle w:val="637"/>
        <w:jc w:val="center"/>
        <w:spacing w:line="70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单位名称（盖章）：</w:t>
      </w:r>
      <w:r>
        <w:rPr>
          <w:rFonts w:ascii="宋体" w:hAnsi="宋体" w:cs="宋体"/>
          <w:color w:val="000000"/>
          <w:sz w:val="24"/>
          <w:highlight w:val="none"/>
        </w:rPr>
      </w:r>
      <w:r>
        <w:rPr>
          <w:highlight w:val="none"/>
        </w:rPr>
      </w:r>
    </w:p>
    <w:p>
      <w:pPr>
        <w:pStyle w:val="637"/>
        <w:jc w:val="center"/>
        <w:spacing w:line="70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年月日</w:t>
      </w:r>
      <w:r>
        <w:rPr>
          <w:rFonts w:ascii="宋体" w:hAnsi="宋体" w:cs="宋体"/>
          <w:color w:val="000000"/>
          <w:sz w:val="24"/>
          <w:highlight w:val="none"/>
        </w:rPr>
      </w:r>
      <w:r>
        <w:rPr>
          <w:highlight w:val="none"/>
        </w:rPr>
      </w:r>
    </w:p>
    <w:p>
      <w:pPr>
        <w:pStyle w:val="658"/>
        <w:jc w:val="center"/>
        <w:spacing w:beforeAutospacing="0" w:afterAutospacing="0"/>
        <w:rPr>
          <w:color w:val="000000"/>
          <w:highlight w:val="none"/>
        </w:rPr>
      </w:pPr>
      <w:r>
        <w:rPr>
          <w:color w:val="000000"/>
          <w:highlight w:val="none"/>
        </w:rPr>
      </w:r>
      <w:r>
        <w:rPr>
          <w:highlight w:val="none"/>
        </w:rPr>
      </w:r>
    </w:p>
    <w:p>
      <w:pPr>
        <w:pStyle w:val="658"/>
        <w:jc w:val="center"/>
        <w:spacing w:beforeAutospacing="0" w:afterAutospacing="0"/>
        <w:rPr>
          <w:rFonts w:ascii="宋体" w:hAnsi="宋体" w:cs="宋体"/>
          <w:b/>
          <w:color w:val="000000"/>
          <w:sz w:val="32"/>
          <w:szCs w:val="32"/>
          <w:highlight w:val="none"/>
        </w:rPr>
      </w:pPr>
      <w:r>
        <w:rPr>
          <w:highlight w:val="none"/>
        </w:rPr>
      </w:r>
      <w:bookmarkEnd w:id="6"/>
      <w:r>
        <w:rPr>
          <w:highlight w:val="none"/>
        </w:rPr>
      </w:r>
      <w:bookmarkEnd w:id="48"/>
      <w:r>
        <w:rPr>
          <w:highlight w:val="none"/>
        </w:rPr>
      </w:r>
      <w:bookmarkEnd w:id="64"/>
      <w:r>
        <w:rPr>
          <w:highlight w:val="none"/>
        </w:rPr>
      </w:r>
      <w:bookmarkEnd w:id="65"/>
      <w:r>
        <w:rPr>
          <w:highlight w:val="none"/>
        </w:rPr>
      </w:r>
      <w:bookmarkEnd w:id="66"/>
      <w:r>
        <w:rPr>
          <w:highlight w:val="none"/>
        </w:rPr>
      </w:r>
      <w:bookmarkEnd w:id="75"/>
      <w:r>
        <w:rPr>
          <w:highlight w:val="none"/>
        </w:rPr>
      </w:r>
      <w:bookmarkEnd w:id="76"/>
      <w:r>
        <w:rPr>
          <w:highlight w:val="none"/>
        </w:rPr>
      </w:r>
      <w:bookmarkEnd w:id="77"/>
      <w:r>
        <w:rPr>
          <w:highlight w:val="none"/>
        </w:rPr>
      </w:r>
      <w:bookmarkEnd w:id="78"/>
      <w:r>
        <w:rPr>
          <w:highlight w:val="none"/>
        </w:rPr>
      </w:r>
      <w:bookmarkEnd w:id="79"/>
      <w:r>
        <w:rPr>
          <w:highlight w:val="none"/>
        </w:rPr>
      </w:r>
      <w:bookmarkEnd w:id="88"/>
      <w:r>
        <w:rPr>
          <w:highlight w:val="none"/>
        </w:rPr>
      </w:r>
      <w:bookmarkEnd w:id="89"/>
      <w:r>
        <w:rPr>
          <w:highlight w:val="none"/>
        </w:rPr>
      </w:r>
      <w:bookmarkEnd w:id="96"/>
      <w:r>
        <w:rPr>
          <w:highlight w:val="none"/>
        </w:rPr>
      </w:r>
      <w:bookmarkEnd w:id="146"/>
      <w:r>
        <w:rPr>
          <w:highlight w:val="none"/>
        </w:rPr>
      </w:r>
      <w:bookmarkEnd w:id="151"/>
      <w:r>
        <w:rPr>
          <w:highlight w:val="none"/>
        </w:rPr>
      </w:r>
      <w:bookmarkEnd w:id="154"/>
      <w:r>
        <w:rPr>
          <w:highlight w:val="none"/>
        </w:rPr>
      </w:r>
      <w:bookmarkEnd w:id="155"/>
      <w:r>
        <w:rPr>
          <w:highlight w:val="none"/>
        </w:rPr>
      </w:r>
      <w:bookmarkEnd w:id="156"/>
      <w:r>
        <w:rPr>
          <w:highlight w:val="none"/>
        </w:rPr>
      </w:r>
      <w:bookmarkEnd w:id="157"/>
      <w:r>
        <w:rPr>
          <w:highlight w:val="none"/>
        </w:rPr>
      </w:r>
      <w:bookmarkEnd w:id="158"/>
      <w:r>
        <w:rPr>
          <w:highlight w:val="none"/>
        </w:rPr>
      </w:r>
      <w:bookmarkEnd w:id="159"/>
      <w:r>
        <w:rPr>
          <w:highlight w:val="none"/>
        </w:rPr>
      </w:r>
      <w:bookmarkEnd w:id="160"/>
      <w:r>
        <w:rPr>
          <w:highlight w:val="none"/>
        </w:rPr>
      </w:r>
      <w:bookmarkEnd w:id="161"/>
      <w:r>
        <w:rPr>
          <w:highlight w:val="none"/>
        </w:rPr>
      </w:r>
      <w:bookmarkEnd w:id="170"/>
      <w:r>
        <w:rPr>
          <w:highlight w:val="none"/>
        </w:rPr>
      </w:r>
      <w:bookmarkEnd w:id="171"/>
      <w:r>
        <w:rPr>
          <w:highlight w:val="none"/>
        </w:rPr>
      </w:r>
      <w:bookmarkEnd w:id="172"/>
      <w:r>
        <w:rPr>
          <w:highlight w:val="none"/>
        </w:rPr>
      </w:r>
      <w:bookmarkEnd w:id="173"/>
      <w:r>
        <w:rPr>
          <w:highlight w:val="none"/>
        </w:rPr>
      </w:r>
      <w:bookmarkEnd w:id="174"/>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质疑函范本</w:t>
      </w:r>
      <w:r>
        <w:rPr>
          <w:rFonts w:ascii="宋体" w:hAnsi="宋体" w:cs="宋体"/>
          <w:b/>
          <w:color w:val="000000"/>
          <w:sz w:val="32"/>
          <w:szCs w:val="32"/>
          <w:highlight w:val="none"/>
        </w:rPr>
      </w:r>
      <w:r>
        <w:rPr>
          <w:highlight w:val="none"/>
        </w:rPr>
      </w:r>
    </w:p>
    <w:p>
      <w:pPr>
        <w:pStyle w:val="658"/>
        <w:jc w:val="both"/>
        <w:spacing w:before="290"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一、质疑供应商基本信息</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质疑供应商：</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u w:val="singl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u w:val="singl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u w:val="single"/>
        </w:rPr>
      </w:pPr>
      <w:r>
        <w:rPr>
          <w:rFonts w:hint="eastAsia" w:ascii="宋体" w:hAnsi="宋体" w:cs="宋体"/>
          <w:color w:val="000000"/>
          <w:highlight w:val="none"/>
        </w:rPr>
        <w:t xml:space="preserve">联系人：</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u w:val="singl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授权代表：</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u w:val="single"/>
        </w:rPr>
      </w:pPr>
      <w:r>
        <w:rPr>
          <w:rFonts w:hint="eastAsia" w:ascii="宋体" w:hAnsi="宋体" w:cs="宋体"/>
          <w:color w:val="000000"/>
          <w:highlight w:val="none"/>
        </w:rPr>
        <w:t xml:space="preserve">地址： </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u w:val="singl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二、质疑项目基本情况</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质疑项目的名称：</w:t>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u w:val="single"/>
        </w:rPr>
      </w:pPr>
      <w:r>
        <w:rPr>
          <w:rFonts w:hint="eastAsia" w:ascii="宋体" w:hAnsi="宋体" w:cs="宋体"/>
          <w:color w:val="000000"/>
          <w:highlight w:val="none"/>
        </w:rPr>
        <w:t xml:space="preserve">质疑项目的编号：</w:t>
      </w:r>
      <w:r>
        <w:rPr>
          <w:rFonts w:hint="eastAsia" w:ascii="宋体" w:hAnsi="宋体" w:cs="宋体"/>
          <w:color w:val="000000"/>
          <w:highlight w:val="none"/>
          <w:u w:val="single"/>
        </w:rPr>
        <w:t xml:space="preserve">                          </w:t>
      </w:r>
      <w:r>
        <w:rPr>
          <w:rFonts w:ascii="宋体" w:hAnsi="宋体" w:cs="宋体"/>
          <w:color w:val="000000"/>
          <w:highlight w:val="none"/>
          <w:u w:val="singl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包号：</w:t>
      </w:r>
      <w:r>
        <w:rPr>
          <w:rFonts w:hint="eastAsia" w:ascii="宋体" w:hAnsi="宋体" w:cs="宋体"/>
          <w:color w:val="000000"/>
          <w:highlight w:val="none"/>
          <w:u w:val="single"/>
        </w:rPr>
        <w:t xml:space="preserve">                       </w:t>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采购人名称：</w:t>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采购文件获取日期：</w:t>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三、质疑事项具体内容</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质疑事项1：</w:t>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事实依据：</w:t>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法律依据：</w:t>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质疑事项2</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四、与质疑事项相关的质疑请求</w:t>
      </w:r>
      <w:r>
        <w:rPr>
          <w:rFonts w:ascii="宋体" w:hAnsi="宋体" w:cs="宋体"/>
          <w:color w:val="000000"/>
          <w:highlight w:val="none"/>
        </w:rPr>
      </w:r>
      <w:r>
        <w:rPr>
          <w:highlight w:val="none"/>
        </w:rPr>
      </w:r>
    </w:p>
    <w:p>
      <w:pPr>
        <w:pStyle w:val="658"/>
        <w:jc w:val="both"/>
        <w:spacing w:beforeAutospacing="0" w:afterAutospacing="0" w:line="360" w:lineRule="auto"/>
        <w:rPr>
          <w:rFonts w:ascii="宋体" w:hAnsi="宋体" w:cs="宋体"/>
          <w:color w:val="000000"/>
          <w:highlight w:val="none"/>
        </w:rPr>
      </w:pPr>
      <w:r>
        <w:rPr>
          <w:rFonts w:hint="eastAsia" w:ascii="宋体" w:hAnsi="宋体" w:cs="宋体"/>
          <w:color w:val="000000"/>
          <w:highlight w:val="none"/>
        </w:rPr>
        <w:t xml:space="preserve">请求：</w:t>
      </w:r>
      <w:r>
        <w:rPr>
          <w:rFonts w:hint="eastAsia" w:ascii="宋体" w:hAnsi="宋体" w:cs="宋体"/>
          <w:color w:val="000000"/>
          <w:highlight w:val="none"/>
          <w:u w:val="single"/>
        </w:rPr>
        <w:t xml:space="preserve">                                                          </w:t>
      </w:r>
      <w:r>
        <w:rPr>
          <w:rFonts w:ascii="宋体" w:hAnsi="宋体" w:cs="宋体"/>
          <w:color w:val="000000"/>
          <w:highlight w:val="none"/>
        </w:rPr>
      </w:r>
      <w:r>
        <w:rPr>
          <w:highlight w:val="none"/>
        </w:rPr>
      </w:r>
    </w:p>
    <w:p>
      <w:pPr>
        <w:pStyle w:val="658"/>
        <w:jc w:val="both"/>
        <w:spacing w:beforeAutospacing="0" w:afterAutospacing="0"/>
        <w:rPr>
          <w:rFonts w:ascii="宋体" w:hAnsi="宋体" w:cs="宋体"/>
          <w:color w:val="000000"/>
          <w:highlight w:val="none"/>
        </w:rPr>
      </w:pPr>
      <w:r>
        <w:rPr>
          <w:rFonts w:hint="eastAsia" w:ascii="宋体" w:hAnsi="宋体" w:cs="宋体"/>
          <w:color w:val="000000"/>
          <w:highlight w:val="none"/>
        </w:rPr>
        <w:t xml:space="preserve">签字(签章)：                 公章：               日期：    </w:t>
      </w:r>
      <w:r>
        <w:rPr>
          <w:rFonts w:ascii="宋体" w:hAnsi="宋体" w:cs="宋体"/>
          <w:color w:val="000000"/>
          <w:highlight w:val="none"/>
        </w:rPr>
      </w:r>
      <w:r>
        <w:rPr>
          <w:highlight w:val="none"/>
        </w:rPr>
      </w:r>
    </w:p>
    <w:p>
      <w:pPr>
        <w:pStyle w:val="658"/>
        <w:jc w:val="both"/>
        <w:spacing w:beforeAutospacing="0" w:afterAutospacing="0" w:line="0" w:lineRule="atLeast"/>
        <w:rPr>
          <w:rFonts w:ascii="宋体" w:hAnsi="宋体" w:cs="宋体"/>
          <w:color w:val="000000"/>
          <w:highlight w:val="none"/>
        </w:rPr>
      </w:pPr>
      <w:r>
        <w:rPr>
          <w:rFonts w:hint="eastAsia" w:ascii="宋体" w:hAnsi="宋体" w:cs="宋体"/>
          <w:b/>
          <w:color w:val="000000"/>
          <w:highlight w:val="none"/>
        </w:rPr>
        <w:t xml:space="preserve">质疑函制作说明：</w:t>
      </w:r>
      <w:r>
        <w:rPr>
          <w:rFonts w:ascii="宋体" w:hAnsi="宋体" w:cs="宋体"/>
          <w:color w:val="000000"/>
          <w:highlight w:val="none"/>
        </w:rPr>
      </w:r>
      <w:r>
        <w:rPr>
          <w:highlight w:val="none"/>
        </w:rPr>
      </w:r>
    </w:p>
    <w:p>
      <w:pPr>
        <w:pStyle w:val="658"/>
        <w:ind w:firstLine="480"/>
        <w:spacing w:beforeAutospacing="0" w:afterAutospacing="0" w:line="0" w:lineRule="atLeast"/>
        <w:widowControl/>
        <w:rPr>
          <w:rFonts w:ascii="宋体" w:hAnsi="宋体" w:cs="宋体"/>
          <w:color w:val="000000"/>
          <w:highlight w:val="none"/>
        </w:rPr>
      </w:pPr>
      <w:r>
        <w:rPr>
          <w:rFonts w:hint="eastAsia" w:ascii="宋体" w:hAnsi="宋体" w:cs="宋体"/>
          <w:color w:val="000000"/>
          <w:highlight w:val="none"/>
        </w:rPr>
        <w:t xml:space="preserve">1.供应商提出质疑时，应提交质疑函和必要的证明材料。</w:t>
      </w:r>
      <w:r>
        <w:rPr>
          <w:rFonts w:ascii="宋体" w:hAnsi="宋体" w:cs="宋体"/>
          <w:color w:val="000000"/>
          <w:highlight w:val="none"/>
        </w:rPr>
      </w:r>
      <w:r>
        <w:rPr>
          <w:highlight w:val="none"/>
        </w:rPr>
      </w:r>
    </w:p>
    <w:p>
      <w:pPr>
        <w:pStyle w:val="658"/>
        <w:ind w:firstLine="480"/>
        <w:spacing w:beforeAutospacing="0" w:afterAutospacing="0" w:line="0" w:lineRule="atLeast"/>
        <w:widowControl/>
        <w:rPr>
          <w:rFonts w:ascii="宋体" w:hAnsi="宋体" w:cs="宋体"/>
          <w:color w:val="000000"/>
          <w:highlight w:val="none"/>
        </w:rPr>
      </w:pPr>
      <w:r>
        <w:rPr>
          <w:rFonts w:hint="eastAsia" w:ascii="宋体" w:hAnsi="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highlight w:val="none"/>
        </w:rPr>
      </w:r>
      <w:r>
        <w:rPr>
          <w:highlight w:val="none"/>
        </w:rPr>
      </w:r>
    </w:p>
    <w:p>
      <w:pPr>
        <w:pStyle w:val="658"/>
        <w:ind w:firstLine="480"/>
        <w:spacing w:beforeAutospacing="0" w:afterAutospacing="0" w:line="0" w:lineRule="atLeast"/>
        <w:widowControl/>
        <w:rPr>
          <w:rFonts w:ascii="宋体" w:hAnsi="宋体" w:cs="宋体"/>
          <w:color w:val="000000"/>
          <w:highlight w:val="none"/>
        </w:rPr>
      </w:pPr>
      <w:r>
        <w:rPr>
          <w:rFonts w:hint="eastAsia" w:ascii="宋体" w:hAnsi="宋体" w:cs="宋体"/>
          <w:color w:val="000000"/>
          <w:highlight w:val="none"/>
        </w:rPr>
        <w:t xml:space="preserve">3.质疑供应商若对项目的某一分包进行质疑，质疑函中应列明具体分包号。</w:t>
      </w:r>
      <w:r>
        <w:rPr>
          <w:rFonts w:ascii="宋体" w:hAnsi="宋体" w:cs="宋体"/>
          <w:color w:val="000000"/>
          <w:highlight w:val="none"/>
        </w:rPr>
      </w:r>
      <w:r>
        <w:rPr>
          <w:highlight w:val="none"/>
        </w:rPr>
      </w:r>
    </w:p>
    <w:p>
      <w:pPr>
        <w:pStyle w:val="658"/>
        <w:ind w:firstLine="480"/>
        <w:spacing w:beforeAutospacing="0" w:afterAutospacing="0" w:line="0" w:lineRule="atLeast"/>
        <w:widowControl/>
        <w:rPr>
          <w:rFonts w:ascii="宋体" w:hAnsi="宋体" w:cs="宋体"/>
          <w:color w:val="000000"/>
          <w:highlight w:val="none"/>
        </w:rPr>
      </w:pPr>
      <w:r>
        <w:rPr>
          <w:rFonts w:hint="eastAsia" w:ascii="宋体" w:hAnsi="宋体" w:cs="宋体"/>
          <w:color w:val="000000"/>
          <w:highlight w:val="none"/>
        </w:rPr>
        <w:t xml:space="preserve">4.质疑函的质疑事项应具体、明确，并有必要的事实依据和法律依据。</w:t>
      </w:r>
      <w:r>
        <w:rPr>
          <w:rFonts w:ascii="宋体" w:hAnsi="宋体" w:cs="宋体"/>
          <w:color w:val="000000"/>
          <w:highlight w:val="none"/>
        </w:rPr>
      </w:r>
      <w:r>
        <w:rPr>
          <w:highlight w:val="none"/>
        </w:rPr>
      </w:r>
    </w:p>
    <w:p>
      <w:pPr>
        <w:pStyle w:val="658"/>
        <w:ind w:firstLine="480"/>
        <w:spacing w:beforeAutospacing="0" w:afterAutospacing="0" w:line="0" w:lineRule="atLeast"/>
        <w:widowControl/>
        <w:rPr>
          <w:rFonts w:ascii="宋体" w:hAnsi="宋体" w:cs="宋体"/>
          <w:color w:val="000000"/>
          <w:highlight w:val="none"/>
        </w:rPr>
      </w:pPr>
      <w:r>
        <w:rPr>
          <w:rFonts w:hint="eastAsia" w:ascii="宋体" w:hAnsi="宋体" w:cs="宋体"/>
          <w:color w:val="000000"/>
          <w:highlight w:val="none"/>
        </w:rPr>
        <w:t xml:space="preserve">5.质疑函的质疑请求应与质疑事项相关。</w:t>
      </w:r>
      <w:r>
        <w:rPr>
          <w:rFonts w:ascii="宋体" w:hAnsi="宋体" w:cs="宋体"/>
          <w:color w:val="000000"/>
          <w:highlight w:val="none"/>
        </w:rPr>
      </w:r>
      <w:r>
        <w:rPr>
          <w:highlight w:val="none"/>
        </w:rPr>
      </w:r>
    </w:p>
    <w:p>
      <w:pPr>
        <w:pStyle w:val="658"/>
        <w:ind w:firstLine="480"/>
        <w:spacing w:beforeAutospacing="0" w:afterAutospacing="0" w:line="0" w:lineRule="atLeast"/>
        <w:widowControl/>
        <w:rPr>
          <w:rFonts w:ascii="宋体" w:hAnsi="宋体" w:cs="宋体"/>
          <w:color w:val="000000"/>
          <w:highlight w:val="none"/>
        </w:rPr>
      </w:pPr>
      <w:r>
        <w:rPr>
          <w:rFonts w:hint="eastAsia" w:ascii="宋体" w:hAnsi="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highlight w:val="none"/>
        </w:rPr>
      </w:r>
      <w:r>
        <w:rPr>
          <w:highlight w:val="none"/>
        </w:rPr>
      </w:r>
    </w:p>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新宋体">
    <w:panose1 w:val="02010609030101010101"/>
  </w:font>
  <w:font w:name="Wingdings">
    <w:panose1 w:val="05000000000000000000"/>
  </w:font>
  <w:font w:name="华文楷体">
    <w:panose1 w:val="0201060004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52"/>
                            <w:tabs>
                              <w:tab w:val="clear" w:pos="4153" w:leader="none"/>
                              <w:tab w:val="clear" w:pos="8306" w:leader="none"/>
                            </w:tabs>
                          </w:pPr>
                          <w:r>
                            <w:fldChar w:fldCharType="begin"/>
                          </w:r>
                          <w:r>
                            <w:instrText xml:space="preserve"> PAGE  \* MERGEFORMAT </w:instrText>
                          </w:r>
                          <w:r>
                            <w:fldChar w:fldCharType="separate"/>
                          </w:r>
                          <w:r>
                            <w:t xml:space="preserve">- 19 -</w:t>
                          </w:r>
                          <w:r>
                            <w:fldChar w:fldCharType="end"/>
                          </w:r>
                          <w:r/>
                        </w:p>
                        <w:p>
                          <w:pPr>
                            <w:pStyle w:val="6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2"/>
                      <w:tabs>
                        <w:tab w:val="clear" w:pos="4153" w:leader="none"/>
                        <w:tab w:val="clear" w:pos="8306" w:leader="none"/>
                      </w:tabs>
                    </w:pPr>
                    <w:r>
                      <w:fldChar w:fldCharType="begin"/>
                    </w:r>
                    <w:r>
                      <w:instrText xml:space="preserve"> PAGE  \* MERGEFORMAT </w:instrText>
                    </w:r>
                    <w:r>
                      <w:fldChar w:fldCharType="separate"/>
                    </w:r>
                    <w:r>
                      <w:t xml:space="preserve">- 19 -</w:t>
                    </w:r>
                    <w:r>
                      <w:fldChar w:fldCharType="end"/>
                    </w:r>
                    <w:r/>
                  </w:p>
                  <w:p>
                    <w:pPr>
                      <w:pStyle w:val="6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7"/>
    <w:next w:val="6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667"/>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next w:val="644"/>
    <w:link w:val="637"/>
    <w:qFormat/>
    <w:pPr>
      <w:jc w:val="both"/>
      <w:widowControl w:val="off"/>
    </w:pPr>
    <w:rPr>
      <w:rFonts w:ascii="Calibri" w:hAnsi="Calibri"/>
      <w:sz w:val="21"/>
      <w:szCs w:val="24"/>
      <w:lang w:val="en-US" w:eastAsia="zh-CN" w:bidi="ar-SA"/>
    </w:rPr>
  </w:style>
  <w:style w:type="paragraph" w:styleId="638">
    <w:name w:val="标题 1"/>
    <w:basedOn w:val="637"/>
    <w:next w:val="637"/>
    <w:link w:val="637"/>
    <w:qFormat/>
    <w:pPr>
      <w:jc w:val="center"/>
      <w:keepNext/>
      <w:spacing w:line="360" w:lineRule="auto"/>
      <w:outlineLvl w:val="0"/>
    </w:pPr>
    <w:rPr>
      <w:rFonts w:ascii="宋体" w:hAnsi="宋体" w:eastAsia="宋体" w:cs="Times New Roman"/>
      <w:b/>
      <w:sz w:val="24"/>
      <w:szCs w:val="20"/>
    </w:rPr>
  </w:style>
  <w:style w:type="paragraph" w:styleId="639">
    <w:name w:val="标题 2"/>
    <w:basedOn w:val="637"/>
    <w:next w:val="637"/>
    <w:link w:val="637"/>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640">
    <w:name w:val="标题 3"/>
    <w:basedOn w:val="637"/>
    <w:next w:val="645"/>
    <w:link w:val="637"/>
    <w:uiPriority w:val="9"/>
    <w:qFormat/>
    <w:pPr>
      <w:keepLines/>
      <w:keepNext/>
      <w:spacing w:before="260" w:after="260" w:line="416" w:lineRule="auto"/>
      <w:outlineLvl w:val="2"/>
    </w:pPr>
    <w:rPr>
      <w:rFonts w:ascii="Times New Roman" w:hAnsi="Times New Roman"/>
      <w:b/>
      <w:bCs/>
      <w:sz w:val="32"/>
      <w:szCs w:val="32"/>
    </w:rPr>
  </w:style>
  <w:style w:type="paragraph" w:styleId="641">
    <w:name w:val="标题 4"/>
    <w:basedOn w:val="637"/>
    <w:next w:val="637"/>
    <w:link w:val="637"/>
    <w:qFormat/>
    <w:pPr>
      <w:keepLines/>
      <w:keepNext/>
      <w:spacing w:before="280" w:after="290" w:line="376" w:lineRule="auto"/>
      <w:outlineLvl w:val="3"/>
    </w:pPr>
    <w:rPr>
      <w:rFonts w:ascii="Arial" w:hAnsi="Arial" w:eastAsia="黑体" w:cs="Arial"/>
      <w:b/>
      <w:bCs/>
      <w:sz w:val="28"/>
      <w:szCs w:val="28"/>
    </w:rPr>
  </w:style>
  <w:style w:type="character" w:styleId="642">
    <w:name w:val="默认段落字体"/>
    <w:next w:val="642"/>
    <w:link w:val="637"/>
    <w:uiPriority w:val="1"/>
    <w:unhideWhenUsed/>
    <w:qFormat/>
  </w:style>
  <w:style w:type="table" w:styleId="643">
    <w:name w:val="普通表格"/>
    <w:next w:val="643"/>
    <w:link w:val="637"/>
    <w:uiPriority w:val="99"/>
    <w:unhideWhenUsed/>
    <w:qFormat/>
    <w:tblPr/>
  </w:style>
  <w:style w:type="paragraph" w:styleId="644">
    <w:name w:val="Default"/>
    <w:next w:val="644"/>
    <w:link w:val="637"/>
    <w:uiPriority w:val="99"/>
    <w:unhideWhenUsed/>
    <w:qFormat/>
    <w:pPr>
      <w:widowControl w:val="off"/>
    </w:pPr>
    <w:rPr>
      <w:rFonts w:hint="eastAsia" w:ascii="仿宋_GB2312" w:hAnsi="仿宋_GB2312" w:eastAsia="仿宋_GB2312"/>
      <w:color w:val="000000"/>
      <w:sz w:val="24"/>
      <w:lang w:val="en-US" w:eastAsia="zh-CN" w:bidi="ar-SA"/>
    </w:rPr>
  </w:style>
  <w:style w:type="paragraph" w:styleId="645">
    <w:name w:val="正文缩进"/>
    <w:basedOn w:val="637"/>
    <w:next w:val="645"/>
    <w:link w:val="637"/>
    <w:qFormat/>
    <w:pPr>
      <w:ind w:firstLine="420"/>
    </w:pPr>
  </w:style>
  <w:style w:type="paragraph" w:styleId="646">
    <w:name w:val="批注文字"/>
    <w:basedOn w:val="637"/>
    <w:next w:val="646"/>
    <w:link w:val="637"/>
    <w:pPr>
      <w:jc w:val="left"/>
    </w:pPr>
  </w:style>
  <w:style w:type="paragraph" w:styleId="647">
    <w:name w:val="正文文本"/>
    <w:basedOn w:val="637"/>
    <w:next w:val="647"/>
    <w:link w:val="637"/>
    <w:unhideWhenUsed/>
    <w:qFormat/>
    <w:pPr>
      <w:spacing w:after="120"/>
    </w:pPr>
    <w:rPr>
      <w:rFonts w:ascii="Calibri" w:hAnsi="Calibri"/>
      <w:szCs w:val="22"/>
    </w:rPr>
  </w:style>
  <w:style w:type="paragraph" w:styleId="648">
    <w:name w:val="正文文本缩进"/>
    <w:basedOn w:val="637"/>
    <w:next w:val="637"/>
    <w:link w:val="637"/>
    <w:qFormat/>
    <w:pPr>
      <w:ind w:left="420"/>
      <w:spacing w:after="120"/>
    </w:pPr>
  </w:style>
  <w:style w:type="paragraph" w:styleId="649">
    <w:name w:val="文本块"/>
    <w:basedOn w:val="637"/>
    <w:next w:val="649"/>
    <w:link w:val="637"/>
    <w:unhideWhenUsed/>
    <w:qFormat/>
    <w:pPr>
      <w:ind w:firstLine="420"/>
      <w:spacing w:after="120"/>
    </w:pPr>
    <w:rPr>
      <w:rFonts w:ascii="Times New Roman" w:hAnsi="Times New Roman"/>
      <w:sz w:val="21"/>
    </w:rPr>
  </w:style>
  <w:style w:type="paragraph" w:styleId="650">
    <w:name w:val="纯文本"/>
    <w:basedOn w:val="637"/>
    <w:next w:val="650"/>
    <w:link w:val="637"/>
    <w:qFormat/>
    <w:rPr>
      <w:rFonts w:ascii="宋体" w:hAnsi="Courier New" w:cs="Courier New"/>
      <w:szCs w:val="21"/>
    </w:rPr>
  </w:style>
  <w:style w:type="paragraph" w:styleId="651">
    <w:name w:val="正文文本缩进 2"/>
    <w:basedOn w:val="637"/>
    <w:next w:val="637"/>
    <w:link w:val="637"/>
    <w:qFormat/>
    <w:pPr>
      <w:ind w:firstLine="480"/>
    </w:pPr>
    <w:rPr>
      <w:rFonts w:ascii="仿宋_GB2312" w:eastAsia="仿宋_GB2312"/>
      <w:sz w:val="24"/>
    </w:rPr>
  </w:style>
  <w:style w:type="paragraph" w:styleId="652">
    <w:name w:val="页脚"/>
    <w:basedOn w:val="637"/>
    <w:next w:val="652"/>
    <w:link w:val="653"/>
    <w:qFormat/>
    <w:pPr>
      <w:jc w:val="left"/>
      <w:tabs>
        <w:tab w:val="center" w:pos="4153" w:leader="none"/>
        <w:tab w:val="right" w:pos="8306" w:leader="none"/>
      </w:tabs>
    </w:pPr>
    <w:rPr>
      <w:sz w:val="18"/>
      <w:szCs w:val="18"/>
    </w:rPr>
  </w:style>
  <w:style w:type="character" w:styleId="653">
    <w:name w:val="页脚 Char"/>
    <w:basedOn w:val="642"/>
    <w:next w:val="653"/>
    <w:link w:val="652"/>
    <w:qFormat/>
    <w:rPr>
      <w:rFonts w:ascii="Calibri" w:hAnsi="Calibri" w:eastAsia="宋体" w:cs="Times New Roman"/>
      <w:sz w:val="18"/>
      <w:szCs w:val="18"/>
    </w:rPr>
  </w:style>
  <w:style w:type="paragraph" w:styleId="654">
    <w:name w:val="寄信人地址"/>
    <w:basedOn w:val="637"/>
    <w:next w:val="654"/>
    <w:link w:val="637"/>
    <w:qFormat/>
    <w:rPr>
      <w:rFonts w:ascii="Arial" w:hAnsi="Arial"/>
    </w:rPr>
  </w:style>
  <w:style w:type="paragraph" w:styleId="655">
    <w:name w:val="页眉"/>
    <w:basedOn w:val="637"/>
    <w:next w:val="655"/>
    <w:link w:val="656"/>
    <w:qFormat/>
    <w:pPr>
      <w:jc w:val="center"/>
      <w:tabs>
        <w:tab w:val="center" w:pos="4153" w:leader="none"/>
        <w:tab w:val="right" w:pos="8306" w:leader="none"/>
      </w:tabs>
      <w:pBdr>
        <w:bottom w:val="single" w:color="000000" w:sz="6" w:space="1"/>
      </w:pBdr>
    </w:pPr>
    <w:rPr>
      <w:sz w:val="18"/>
      <w:szCs w:val="18"/>
    </w:rPr>
  </w:style>
  <w:style w:type="character" w:styleId="656">
    <w:name w:val="页眉 Char"/>
    <w:basedOn w:val="642"/>
    <w:next w:val="656"/>
    <w:link w:val="655"/>
    <w:qFormat/>
    <w:rPr>
      <w:rFonts w:ascii="Calibri" w:hAnsi="Calibri" w:eastAsia="宋体" w:cs="Times New Roman"/>
      <w:sz w:val="18"/>
      <w:szCs w:val="18"/>
    </w:rPr>
  </w:style>
  <w:style w:type="paragraph" w:styleId="657">
    <w:name w:val="目录 2"/>
    <w:basedOn w:val="637"/>
    <w:next w:val="637"/>
    <w:link w:val="637"/>
    <w:uiPriority w:val="39"/>
    <w:unhideWhenUsed/>
    <w:qFormat/>
    <w:pPr>
      <w:ind w:left="420"/>
    </w:pPr>
  </w:style>
  <w:style w:type="paragraph" w:styleId="658">
    <w:name w:val="普通(网站)"/>
    <w:basedOn w:val="637"/>
    <w:next w:val="658"/>
    <w:link w:val="637"/>
    <w:qFormat/>
    <w:pPr>
      <w:jc w:val="left"/>
      <w:spacing w:beforeAutospacing="1" w:afterAutospacing="1"/>
    </w:pPr>
    <w:rPr>
      <w:rFonts w:cs="Times New Roman"/>
      <w:sz w:val="24"/>
    </w:rPr>
  </w:style>
  <w:style w:type="paragraph" w:styleId="659">
    <w:name w:val="正文首行缩进 2"/>
    <w:basedOn w:val="648"/>
    <w:next w:val="637"/>
    <w:link w:val="637"/>
    <w:qFormat/>
    <w:pPr>
      <w:ind w:firstLine="420"/>
      <w:spacing w:line="360" w:lineRule="auto"/>
    </w:pPr>
    <w:rPr>
      <w:rFonts w:ascii="宋体" w:hAnsi="宋体" w:eastAsia="宋体"/>
      <w:sz w:val="21"/>
      <w:szCs w:val="20"/>
    </w:rPr>
  </w:style>
  <w:style w:type="table" w:styleId="660">
    <w:name w:val="网格型"/>
    <w:basedOn w:val="643"/>
    <w:next w:val="660"/>
    <w:link w:val="637"/>
    <w:qFormat/>
    <w:pPr>
      <w:jc w:val="both"/>
      <w:widowControl w:val="off"/>
    </w:pPr>
    <w:tblPr/>
  </w:style>
  <w:style w:type="paragraph" w:styleId="661">
    <w:name w:val="Heading31"/>
    <w:basedOn w:val="637"/>
    <w:next w:val="637"/>
    <w:link w:val="637"/>
    <w:qFormat/>
    <w:pPr>
      <w:jc w:val="left"/>
      <w:spacing w:before="100" w:beforeAutospacing="1" w:after="100" w:afterAutospacing="1" w:line="600" w:lineRule="exact"/>
    </w:pPr>
    <w:rPr>
      <w:rFonts w:ascii="宋体" w:hAnsi="宋体"/>
      <w:b/>
      <w:sz w:val="27"/>
      <w:szCs w:val="27"/>
    </w:rPr>
  </w:style>
  <w:style w:type="paragraph" w:styleId="662">
    <w:name w:val="AONormal"/>
    <w:next w:val="662"/>
    <w:link w:val="637"/>
    <w:qFormat/>
    <w:pPr>
      <w:ind w:firstLine="440"/>
      <w:spacing w:line="400" w:lineRule="exact"/>
    </w:pPr>
    <w:rPr>
      <w:rFonts w:ascii="华文楷体" w:hAnsi="华文楷体" w:eastAsia="华文楷体" w:cs="华文楷体"/>
      <w:sz w:val="22"/>
      <w:szCs w:val="21"/>
      <w:lang w:val="en-US" w:eastAsia="zh-CN" w:bidi="ar-SA"/>
    </w:rPr>
  </w:style>
  <w:style w:type="paragraph" w:styleId="663">
    <w:name w:val="列出段落1"/>
    <w:basedOn w:val="637"/>
    <w:next w:val="663"/>
    <w:link w:val="637"/>
    <w:qFormat/>
    <w:pPr>
      <w:ind w:firstLine="420"/>
    </w:pPr>
    <w:rPr>
      <w:szCs w:val="21"/>
    </w:rPr>
  </w:style>
  <w:style w:type="paragraph" w:styleId="664">
    <w:name w:val="Char"/>
    <w:basedOn w:val="637"/>
    <w:next w:val="664"/>
    <w:link w:val="637"/>
    <w:qFormat/>
    <w:pPr>
      <w:ind w:firstLine="200"/>
      <w:tabs>
        <w:tab w:val="left" w:pos="360" w:leader="none"/>
      </w:tabs>
    </w:pPr>
    <w:rPr>
      <w:sz w:val="28"/>
      <w:szCs w:val="30"/>
    </w:rPr>
  </w:style>
  <w:style w:type="paragraph" w:styleId="665">
    <w:name w:val="普通正文"/>
    <w:basedOn w:val="637"/>
    <w:next w:val="665"/>
    <w:link w:val="637"/>
    <w:qFormat/>
    <w:pPr>
      <w:ind w:firstLine="480"/>
      <w:jc w:val="left"/>
      <w:spacing w:before="120" w:after="120" w:line="360" w:lineRule="auto"/>
    </w:pPr>
    <w:rPr>
      <w:rFonts w:ascii="Arial" w:hAnsi="Arial"/>
      <w:sz w:val="24"/>
      <w:szCs w:val="24"/>
    </w:rPr>
  </w:style>
  <w:style w:type="paragraph" w:styleId="666">
    <w:name w:val="列出段落"/>
    <w:basedOn w:val="637"/>
    <w:next w:val="666"/>
    <w:link w:val="637"/>
    <w:uiPriority w:val="34"/>
    <w:qFormat/>
    <w:pPr>
      <w:ind w:firstLine="420"/>
    </w:pPr>
  </w:style>
  <w:style w:type="paragraph" w:styleId="667">
    <w:name w:val="Heading 4"/>
    <w:basedOn w:val="637"/>
    <w:next w:val="637"/>
    <w:link w:val="637"/>
    <w:qFormat/>
    <w:pPr>
      <w:jc w:val="center"/>
      <w:keepNext/>
      <w:outlineLvl w:val="3"/>
    </w:pPr>
    <w:rPr>
      <w:rFonts w:eastAsia="新宋体"/>
      <w:sz w:val="30"/>
      <w:szCs w:val="21"/>
    </w:rPr>
  </w:style>
  <w:style w:type="character" w:styleId="668">
    <w:name w:val="font41"/>
    <w:basedOn w:val="642"/>
    <w:next w:val="668"/>
    <w:link w:val="637"/>
    <w:qFormat/>
    <w:rPr>
      <w:rFonts w:hint="eastAsia" w:ascii="宋体" w:hAnsi="宋体" w:eastAsia="宋体" w:cs="宋体"/>
      <w:color w:val="000000"/>
      <w:sz w:val="22"/>
      <w:szCs w:val="22"/>
      <w:u w:val="none"/>
    </w:rPr>
  </w:style>
  <w:style w:type="character" w:styleId="669">
    <w:name w:val="font11"/>
    <w:basedOn w:val="642"/>
    <w:next w:val="669"/>
    <w:link w:val="637"/>
    <w:qFormat/>
    <w:rPr>
      <w:rFonts w:hint="eastAsia" w:ascii="宋体" w:hAnsi="宋体" w:eastAsia="宋体" w:cs="宋体"/>
      <w:color w:val="000000"/>
      <w:sz w:val="21"/>
      <w:szCs w:val="21"/>
      <w:u w:val="none"/>
    </w:rPr>
  </w:style>
  <w:style w:type="paragraph" w:styleId="670">
    <w:name w:val="正文首行缩进 21"/>
    <w:basedOn w:val="671"/>
    <w:next w:val="670"/>
    <w:link w:val="637"/>
    <w:qFormat/>
    <w:pPr>
      <w:ind w:firstLine="420"/>
    </w:pPr>
  </w:style>
  <w:style w:type="paragraph" w:styleId="671">
    <w:name w:val="正文文本缩进1"/>
    <w:basedOn w:val="637"/>
    <w:next w:val="671"/>
    <w:link w:val="637"/>
    <w:qFormat/>
    <w:pPr>
      <w:ind w:left="420"/>
      <w:spacing w:after="120"/>
    </w:pPr>
  </w:style>
  <w:style w:type="character" w:styleId="672">
    <w:name w:val="font21"/>
    <w:basedOn w:val="642"/>
    <w:next w:val="672"/>
    <w:link w:val="637"/>
    <w:rPr>
      <w:rFonts w:hint="eastAsia" w:ascii="宋体" w:hAnsi="宋体" w:eastAsia="宋体" w:cs="宋体"/>
      <w:b/>
      <w:bCs/>
      <w:i w:val="0"/>
      <w:iCs w:val="0"/>
      <w:color w:val="000000"/>
      <w:sz w:val="22"/>
      <w:szCs w:val="22"/>
      <w:u w:val="none"/>
    </w:rPr>
  </w:style>
  <w:style w:type="character" w:styleId="673">
    <w:name w:val="font01"/>
    <w:basedOn w:val="642"/>
    <w:next w:val="673"/>
    <w:link w:val="637"/>
    <w:rPr>
      <w:rFonts w:hint="eastAsia" w:ascii="宋体" w:hAnsi="宋体" w:eastAsia="宋体" w:cs="宋体"/>
      <w:i w:val="0"/>
      <w:iCs w:val="0"/>
      <w:color w:val="000000"/>
      <w:sz w:val="22"/>
      <w:szCs w:val="22"/>
      <w:u w:val="none"/>
    </w:rPr>
  </w:style>
  <w:style w:type="character" w:styleId="40759" w:default="1">
    <w:name w:val="Default Paragraph Font"/>
    <w:uiPriority w:val="1"/>
    <w:semiHidden/>
    <w:unhideWhenUsed/>
  </w:style>
  <w:style w:type="numbering" w:styleId="40760" w:default="1">
    <w:name w:val="No List"/>
    <w:uiPriority w:val="99"/>
    <w:semiHidden/>
    <w:unhideWhenUsed/>
  </w:style>
  <w:style w:type="table" w:styleId="407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江苏策诚工程咨询有限公司</cp:lastModifiedBy>
  <cp:revision>4</cp:revision>
  <dcterms:created xsi:type="dcterms:W3CDTF">2014-10-29T12:08:00Z</dcterms:created>
  <dcterms:modified xsi:type="dcterms:W3CDTF">2025-03-26T05:00:51Z</dcterms:modified>
</cp:coreProperties>
</file>