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AAE99B">
      <w:pPr>
        <w:pStyle w:val="4"/>
        <w:spacing w:line="360" w:lineRule="auto"/>
        <w:ind w:left="0" w:leftChars="0" w:firstLine="0" w:firstLineChars="0"/>
        <w:jc w:val="both"/>
        <w:rPr>
          <w:rFonts w:hint="eastAsia" w:ascii="宋体" w:hAnsi="宋体" w:eastAsia="宋体" w:cs="宋体"/>
          <w:b/>
          <w:bCs/>
          <w:color w:val="auto"/>
          <w:sz w:val="32"/>
          <w:szCs w:val="32"/>
          <w:highlight w:val="none"/>
          <w:lang w:val="en-US"/>
        </w:rPr>
      </w:pPr>
      <w:r>
        <w:rPr>
          <w:rFonts w:hint="eastAsia" w:ascii="楷体" w:hAnsi="楷体" w:eastAsia="楷体" w:cs="楷体"/>
          <w:b/>
          <w:bCs/>
          <w:color w:val="auto"/>
          <w:sz w:val="36"/>
          <w:szCs w:val="36"/>
          <w:highlight w:val="none"/>
          <w:lang w:val="en-US"/>
        </w:rPr>
        <w:t>采购需求</w:t>
      </w:r>
    </w:p>
    <w:p w14:paraId="49380CA2">
      <w:pPr>
        <w:widowControl/>
        <w:pBdr>
          <w:top w:val="none" w:color="000000" w:sz="0" w:space="0"/>
          <w:left w:val="none" w:color="000000" w:sz="0" w:space="0"/>
          <w:bottom w:val="none" w:color="000000" w:sz="0" w:space="0"/>
          <w:right w:val="none" w:color="000000" w:sz="0" w:space="0"/>
        </w:pBdr>
        <w:spacing w:line="360" w:lineRule="auto"/>
        <w:rPr>
          <w:rFonts w:hint="eastAsia" w:ascii="楷体" w:hAnsi="楷体" w:eastAsia="楷体" w:cs="楷体"/>
          <w:b/>
          <w:color w:val="000000"/>
          <w:kern w:val="0"/>
          <w:sz w:val="28"/>
          <w:szCs w:val="28"/>
        </w:rPr>
      </w:pPr>
      <w:r>
        <w:rPr>
          <w:rFonts w:hint="eastAsia" w:ascii="楷体" w:hAnsi="楷体" w:eastAsia="楷体" w:cs="楷体"/>
          <w:b/>
          <w:color w:val="000000"/>
          <w:kern w:val="0"/>
          <w:sz w:val="28"/>
          <w:szCs w:val="28"/>
        </w:rPr>
        <w:t>一、项目概况：</w:t>
      </w:r>
    </w:p>
    <w:p w14:paraId="179F456F">
      <w:pPr>
        <w:widowControl/>
        <w:pBdr>
          <w:top w:val="none" w:color="000000" w:sz="0" w:space="0"/>
          <w:left w:val="none" w:color="000000" w:sz="0" w:space="0"/>
          <w:bottom w:val="none" w:color="000000" w:sz="0" w:space="0"/>
          <w:right w:val="none" w:color="000000" w:sz="0" w:space="0"/>
        </w:pBdr>
        <w:spacing w:line="560" w:lineRule="exact"/>
        <w:ind w:firstLine="560" w:firstLineChars="200"/>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（一）项目名称：2025年镇江市零工市场数智化运营服务项目</w:t>
      </w:r>
    </w:p>
    <w:p w14:paraId="105C631B">
      <w:pPr>
        <w:widowControl/>
        <w:pBdr>
          <w:top w:val="none" w:color="000000" w:sz="0" w:space="0"/>
          <w:left w:val="none" w:color="000000" w:sz="0" w:space="0"/>
          <w:bottom w:val="none" w:color="000000" w:sz="0" w:space="0"/>
          <w:right w:val="none" w:color="000000" w:sz="0" w:space="0"/>
        </w:pBdr>
        <w:spacing w:line="560" w:lineRule="exact"/>
        <w:ind w:firstLine="560" w:firstLineChars="200"/>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（二）项目地点：镇江市润州区黄山西路18号</w:t>
      </w:r>
    </w:p>
    <w:p w14:paraId="55917699">
      <w:pPr>
        <w:widowControl/>
        <w:pBdr>
          <w:top w:val="none" w:color="000000" w:sz="0" w:space="0"/>
          <w:left w:val="none" w:color="000000" w:sz="0" w:space="0"/>
          <w:bottom w:val="none" w:color="000000" w:sz="0" w:space="0"/>
          <w:right w:val="none" w:color="000000" w:sz="0" w:space="0"/>
        </w:pBdr>
        <w:spacing w:line="560" w:lineRule="exact"/>
        <w:ind w:firstLine="560" w:firstLineChars="200"/>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（三）服务时间：一年</w:t>
      </w:r>
    </w:p>
    <w:p w14:paraId="5F7A231D">
      <w:pPr>
        <w:widowControl/>
        <w:pBdr>
          <w:top w:val="none" w:color="000000" w:sz="0" w:space="0"/>
          <w:left w:val="none" w:color="000000" w:sz="0" w:space="0"/>
          <w:bottom w:val="none" w:color="000000" w:sz="0" w:space="0"/>
          <w:right w:val="none" w:color="000000" w:sz="0" w:space="0"/>
        </w:pBdr>
        <w:spacing w:line="560" w:lineRule="exact"/>
        <w:ind w:firstLine="560" w:firstLineChars="200"/>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 xml:space="preserve">（四）主要内容：为服务新就业形态发展，支持多渠道灵活就业，提升就业创业服务信息化能力和水平，采购第三方人力资源服务机构承接零工市场数字化建设与日常运营。 </w:t>
      </w:r>
    </w:p>
    <w:p w14:paraId="231F2382">
      <w:pPr>
        <w:widowControl/>
        <w:pBdr>
          <w:top w:val="none" w:color="000000" w:sz="0" w:space="0"/>
          <w:left w:val="none" w:color="000000" w:sz="0" w:space="0"/>
          <w:bottom w:val="none" w:color="000000" w:sz="0" w:space="0"/>
          <w:right w:val="none" w:color="000000" w:sz="0" w:space="0"/>
        </w:pBdr>
        <w:spacing w:line="560" w:lineRule="exact"/>
        <w:rPr>
          <w:rFonts w:hint="eastAsia" w:ascii="楷体" w:hAnsi="楷体" w:eastAsia="楷体" w:cs="楷体"/>
          <w:b/>
          <w:bCs w:val="0"/>
          <w:color w:val="000000"/>
          <w:kern w:val="0"/>
          <w:sz w:val="28"/>
          <w:szCs w:val="28"/>
        </w:rPr>
      </w:pPr>
      <w:r>
        <w:rPr>
          <w:rFonts w:hint="eastAsia" w:ascii="楷体" w:hAnsi="楷体" w:eastAsia="楷体" w:cs="楷体"/>
          <w:b/>
          <w:bCs w:val="0"/>
          <w:color w:val="000000"/>
          <w:kern w:val="0"/>
          <w:sz w:val="28"/>
          <w:szCs w:val="28"/>
        </w:rPr>
        <w:t>二、运营要求及内容：</w:t>
      </w:r>
    </w:p>
    <w:p w14:paraId="03A62DE6">
      <w:pPr>
        <w:widowControl/>
        <w:pBdr>
          <w:top w:val="none" w:color="000000" w:sz="0" w:space="0"/>
          <w:left w:val="none" w:color="000000" w:sz="0" w:space="0"/>
          <w:bottom w:val="none" w:color="000000" w:sz="0" w:space="0"/>
          <w:right w:val="none" w:color="000000" w:sz="0" w:space="0"/>
        </w:pBdr>
        <w:spacing w:line="560" w:lineRule="exact"/>
        <w:ind w:firstLine="560" w:firstLineChars="200"/>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（一）运营要求</w:t>
      </w:r>
    </w:p>
    <w:p w14:paraId="04484B17">
      <w:pPr>
        <w:widowControl/>
        <w:pBdr>
          <w:top w:val="none" w:color="000000" w:sz="0" w:space="0"/>
          <w:left w:val="none" w:color="000000" w:sz="0" w:space="0"/>
          <w:bottom w:val="none" w:color="000000" w:sz="0" w:space="0"/>
          <w:right w:val="none" w:color="000000" w:sz="0" w:space="0"/>
        </w:pBdr>
        <w:spacing w:line="560" w:lineRule="exact"/>
        <w:ind w:firstLine="560" w:firstLineChars="200"/>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 xml:space="preserve">1.围绕实施提升就业服务质量工程，结合本地实际和需求，对照《江苏省规范化零工市场基础设施和服务功能建设标准（试行）》，在现有的服务场所的基础上，保障场地功能齐全、服务完善，通过整合、改造等方式，打造“招培就”数智化零工就业服务一体化平台，提升数字化服务水平。 </w:t>
      </w:r>
    </w:p>
    <w:p w14:paraId="3484502D">
      <w:pPr>
        <w:widowControl/>
        <w:pBdr>
          <w:top w:val="none" w:color="000000" w:sz="0" w:space="0"/>
          <w:left w:val="none" w:color="000000" w:sz="0" w:space="0"/>
          <w:bottom w:val="none" w:color="000000" w:sz="0" w:space="0"/>
          <w:right w:val="none" w:color="000000" w:sz="0" w:space="0"/>
        </w:pBdr>
        <w:spacing w:line="560" w:lineRule="exact"/>
        <w:ind w:firstLine="560" w:firstLineChars="200"/>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2.结合“家门口”就业服务站、“零工驿站”建设，构建区、街道、社区三级就业服务网络体系，让公共就业服务的触角深入产业集聚区、人流密集区。</w:t>
      </w:r>
    </w:p>
    <w:p w14:paraId="1FC78947">
      <w:pPr>
        <w:widowControl/>
        <w:pBdr>
          <w:top w:val="none" w:color="000000" w:sz="0" w:space="0"/>
          <w:left w:val="none" w:color="000000" w:sz="0" w:space="0"/>
          <w:bottom w:val="none" w:color="000000" w:sz="0" w:space="0"/>
          <w:right w:val="none" w:color="000000" w:sz="0" w:space="0"/>
        </w:pBdr>
        <w:spacing w:line="560" w:lineRule="exact"/>
        <w:ind w:firstLine="560" w:firstLineChars="200"/>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3.建立求职者和岗位动态数据库，依托大数据算法，精准分析从业者与企业的需求，实现定期向重点就业群体推荐岗位，实现人岗智能匹配，提升用工效率，实现零工就业即时快招、刷脸求职、扫码就业，缩短求职和招聘的时间成本。</w:t>
      </w:r>
    </w:p>
    <w:p w14:paraId="5A23A037">
      <w:pPr>
        <w:widowControl/>
        <w:pBdr>
          <w:top w:val="none" w:color="000000" w:sz="0" w:space="0"/>
          <w:left w:val="none" w:color="000000" w:sz="0" w:space="0"/>
          <w:bottom w:val="none" w:color="000000" w:sz="0" w:space="0"/>
          <w:right w:val="none" w:color="000000" w:sz="0" w:space="0"/>
        </w:pBdr>
        <w:spacing w:line="560" w:lineRule="exact"/>
        <w:ind w:firstLine="560" w:firstLineChars="200"/>
        <w:rPr>
          <w:rFonts w:hint="eastAsia" w:ascii="楷体" w:hAnsi="楷体" w:eastAsia="楷体" w:cs="楷体"/>
          <w:sz w:val="28"/>
          <w:szCs w:val="28"/>
        </w:rPr>
      </w:pPr>
      <w:r>
        <w:rPr>
          <w:rFonts w:hint="eastAsia" w:ascii="楷体" w:hAnsi="楷体" w:eastAsia="楷体" w:cs="楷体"/>
          <w:color w:val="000000"/>
          <w:kern w:val="0"/>
          <w:sz w:val="28"/>
          <w:szCs w:val="28"/>
        </w:rPr>
        <w:t>4.依托零工数智化平台，确保从业者与企业的用工过程透明合规，解决权益保障问题，维护企业和从业者双方的合法权益。</w:t>
      </w:r>
    </w:p>
    <w:p w14:paraId="7E84256A">
      <w:pPr>
        <w:widowControl/>
        <w:pBdr>
          <w:top w:val="none" w:color="000000" w:sz="0" w:space="0"/>
          <w:left w:val="none" w:color="000000" w:sz="0" w:space="0"/>
          <w:bottom w:val="none" w:color="000000" w:sz="0" w:space="0"/>
          <w:right w:val="none" w:color="000000" w:sz="0" w:space="0"/>
        </w:pBdr>
        <w:spacing w:line="560" w:lineRule="exact"/>
        <w:ind w:firstLine="560" w:firstLineChars="200"/>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（二）运营内容</w:t>
      </w:r>
    </w:p>
    <w:p w14:paraId="292A5144">
      <w:pPr>
        <w:widowControl/>
        <w:pBdr>
          <w:top w:val="none" w:color="000000" w:sz="0" w:space="0"/>
          <w:left w:val="none" w:color="000000" w:sz="0" w:space="0"/>
          <w:bottom w:val="none" w:color="000000" w:sz="0" w:space="0"/>
          <w:right w:val="none" w:color="000000" w:sz="0" w:space="0"/>
        </w:pBdr>
        <w:spacing w:line="560" w:lineRule="exact"/>
        <w:ind w:firstLine="560" w:firstLineChars="200"/>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1.负责镇江市零工市场（润州区人力资源市场）的数字化建设和日常运营工作，建立服务团队，引进先进管理模式，并在甲方的指导下逐步提升公共服务能力和水平，努力打造“镇江零工市场”形象品牌和社会价值，带动全市零工市场的发展和繁荣；</w:t>
      </w:r>
    </w:p>
    <w:p w14:paraId="64DF5EC0">
      <w:pPr>
        <w:widowControl/>
        <w:pBdr>
          <w:top w:val="none" w:color="000000" w:sz="0" w:space="0"/>
          <w:left w:val="none" w:color="000000" w:sz="0" w:space="0"/>
          <w:bottom w:val="none" w:color="000000" w:sz="0" w:space="0"/>
          <w:right w:val="none" w:color="000000" w:sz="0" w:space="0"/>
        </w:pBdr>
        <w:spacing w:line="560" w:lineRule="exact"/>
        <w:ind w:firstLine="560" w:firstLineChars="200"/>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2.承接甲方委托的线上线下工作任务，负责做好全市零工市场的求职应聘人员、用工主体供需信息的收集发布、精准匹配、跟踪服务等工作；</w:t>
      </w:r>
    </w:p>
    <w:p w14:paraId="74CBF1F7">
      <w:pPr>
        <w:widowControl/>
        <w:pBdr>
          <w:top w:val="none" w:color="000000" w:sz="0" w:space="0"/>
          <w:left w:val="none" w:color="000000" w:sz="0" w:space="0"/>
          <w:bottom w:val="none" w:color="000000" w:sz="0" w:space="0"/>
          <w:right w:val="none" w:color="000000" w:sz="0" w:space="0"/>
        </w:pBdr>
        <w:spacing w:line="560" w:lineRule="exact"/>
        <w:ind w:firstLine="560" w:firstLineChars="200"/>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3.在甲方指导和协调下，负责为零工人员和用工主体提供免费公共服务，主要包括：职业介绍、职业指导、政策咨询、就业登记、失业帮扶、困难援助、技能培训、创业服务、权益维护等；</w:t>
      </w:r>
    </w:p>
    <w:p w14:paraId="6E8A60CA">
      <w:pPr>
        <w:widowControl/>
        <w:pBdr>
          <w:top w:val="none" w:color="000000" w:sz="0" w:space="0"/>
          <w:left w:val="none" w:color="000000" w:sz="0" w:space="0"/>
          <w:bottom w:val="none" w:color="000000" w:sz="0" w:space="0"/>
          <w:right w:val="none" w:color="000000" w:sz="0" w:space="0"/>
        </w:pBdr>
        <w:spacing w:line="560" w:lineRule="exact"/>
        <w:ind w:firstLine="560" w:firstLineChars="200"/>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4.负责线上平台客服工作，做好数据统计、监测分析，注重网络信息安全与隐私保护；</w:t>
      </w:r>
    </w:p>
    <w:p w14:paraId="2DC76542">
      <w:pPr>
        <w:widowControl/>
        <w:pBdr>
          <w:top w:val="none" w:color="000000" w:sz="0" w:space="0"/>
          <w:left w:val="none" w:color="000000" w:sz="0" w:space="0"/>
          <w:bottom w:val="none" w:color="000000" w:sz="0" w:space="0"/>
          <w:right w:val="none" w:color="000000" w:sz="0" w:space="0"/>
        </w:pBdr>
        <w:spacing w:line="560" w:lineRule="exact"/>
        <w:ind w:firstLine="560" w:firstLineChars="200"/>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5.负责将数智化零工平台数据接入“就在江苏”线上平台，实现数据共享；</w:t>
      </w:r>
    </w:p>
    <w:p w14:paraId="345726EA">
      <w:pPr>
        <w:widowControl/>
        <w:pBdr>
          <w:top w:val="none" w:color="000000" w:sz="0" w:space="0"/>
          <w:left w:val="none" w:color="000000" w:sz="0" w:space="0"/>
          <w:bottom w:val="none" w:color="000000" w:sz="0" w:space="0"/>
          <w:right w:val="none" w:color="000000" w:sz="0" w:space="0"/>
        </w:pBdr>
        <w:spacing w:line="560" w:lineRule="exact"/>
        <w:ind w:firstLine="560" w:firstLineChars="200"/>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6.落实甲方制定的零工市场考核管理要求，做优零工市场品牌，定期报送相关数据，提升应急处突能力；</w:t>
      </w:r>
    </w:p>
    <w:p w14:paraId="6A8FC436">
      <w:pPr>
        <w:widowControl/>
        <w:pBdr>
          <w:top w:val="none" w:color="000000" w:sz="0" w:space="0"/>
          <w:left w:val="none" w:color="000000" w:sz="0" w:space="0"/>
          <w:bottom w:val="none" w:color="000000" w:sz="0" w:space="0"/>
          <w:right w:val="none" w:color="000000" w:sz="0" w:space="0"/>
        </w:pBdr>
        <w:spacing w:line="560" w:lineRule="exact"/>
        <w:ind w:firstLine="560" w:firstLineChars="200"/>
        <w:rPr>
          <w:rFonts w:hint="eastAsia" w:ascii="楷体" w:hAnsi="楷体" w:eastAsia="楷体" w:cs="楷体"/>
          <w:b/>
          <w:bCs/>
          <w:kern w:val="0"/>
          <w:sz w:val="28"/>
          <w:szCs w:val="28"/>
        </w:rPr>
      </w:pPr>
      <w:r>
        <w:rPr>
          <w:rFonts w:hint="eastAsia" w:ascii="楷体" w:hAnsi="楷体" w:eastAsia="楷体" w:cs="楷体"/>
          <w:color w:val="000000"/>
          <w:kern w:val="0"/>
          <w:sz w:val="28"/>
          <w:szCs w:val="28"/>
        </w:rPr>
        <w:t>7.积极配合甲方的其他政策要求，及时调整相关工作。</w:t>
      </w:r>
    </w:p>
    <w:p w14:paraId="72809843">
      <w:pPr>
        <w:widowControl/>
        <w:shd w:val="clear" w:color="auto" w:fill="FFFFFF"/>
        <w:spacing w:line="560" w:lineRule="exact"/>
        <w:ind w:firstLine="640"/>
        <w:rPr>
          <w:rFonts w:hint="eastAsia" w:ascii="楷体" w:hAnsi="楷体" w:eastAsia="楷体" w:cs="楷体"/>
          <w:b/>
          <w:bCs/>
          <w:kern w:val="0"/>
          <w:sz w:val="28"/>
          <w:szCs w:val="28"/>
        </w:rPr>
      </w:pPr>
      <w:r>
        <w:rPr>
          <w:rFonts w:hint="eastAsia" w:ascii="楷体" w:hAnsi="楷体" w:eastAsia="楷体" w:cs="楷体"/>
          <w:b/>
          <w:bCs/>
          <w:kern w:val="0"/>
          <w:sz w:val="28"/>
          <w:szCs w:val="28"/>
          <w:lang w:val="en-US" w:eastAsia="zh-CN"/>
        </w:rPr>
        <w:t>8.</w:t>
      </w:r>
      <w:r>
        <w:rPr>
          <w:rFonts w:hint="eastAsia" w:ascii="楷体" w:hAnsi="楷体" w:eastAsia="楷体" w:cs="楷体"/>
          <w:b/>
          <w:bCs/>
          <w:kern w:val="0"/>
          <w:sz w:val="28"/>
          <w:szCs w:val="28"/>
        </w:rPr>
        <w:t>镇江市零工市场服务内容清单</w:t>
      </w:r>
    </w:p>
    <w:tbl>
      <w:tblPr>
        <w:tblStyle w:val="2"/>
        <w:tblW w:w="9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7"/>
        <w:gridCol w:w="1016"/>
        <w:gridCol w:w="482"/>
        <w:gridCol w:w="7494"/>
      </w:tblGrid>
      <w:tr w14:paraId="4749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tblHeader/>
        </w:trPr>
        <w:tc>
          <w:tcPr>
            <w:tcW w:w="927" w:type="dxa"/>
            <w:tcMar>
              <w:top w:w="15" w:type="dxa"/>
              <w:left w:w="15" w:type="dxa"/>
              <w:right w:w="15" w:type="dxa"/>
            </w:tcMar>
            <w:vAlign w:val="center"/>
          </w:tcPr>
          <w:p w14:paraId="2C5D0474">
            <w:pPr>
              <w:widowControl/>
              <w:spacing w:line="500" w:lineRule="exact"/>
              <w:jc w:val="center"/>
              <w:textAlignment w:val="center"/>
              <w:rPr>
                <w:rFonts w:hint="eastAsia" w:ascii="楷体" w:hAnsi="楷体" w:eastAsia="楷体" w:cs="楷体"/>
                <w:b/>
                <w:sz w:val="28"/>
                <w:szCs w:val="28"/>
              </w:rPr>
            </w:pPr>
            <w:r>
              <w:rPr>
                <w:rFonts w:hint="eastAsia" w:ascii="楷体" w:hAnsi="楷体" w:eastAsia="楷体" w:cs="楷体"/>
                <w:b/>
                <w:kern w:val="0"/>
                <w:sz w:val="28"/>
                <w:szCs w:val="28"/>
              </w:rPr>
              <w:t>项目</w:t>
            </w:r>
          </w:p>
        </w:tc>
        <w:tc>
          <w:tcPr>
            <w:tcW w:w="1016" w:type="dxa"/>
            <w:tcMar>
              <w:top w:w="15" w:type="dxa"/>
              <w:left w:w="15" w:type="dxa"/>
              <w:right w:w="15" w:type="dxa"/>
            </w:tcMar>
            <w:vAlign w:val="center"/>
          </w:tcPr>
          <w:p w14:paraId="187F7EBA">
            <w:pPr>
              <w:widowControl/>
              <w:spacing w:line="500" w:lineRule="exact"/>
              <w:jc w:val="center"/>
              <w:textAlignment w:val="center"/>
              <w:rPr>
                <w:rFonts w:hint="eastAsia" w:ascii="楷体" w:hAnsi="楷体" w:eastAsia="楷体" w:cs="楷体"/>
                <w:b/>
                <w:sz w:val="28"/>
                <w:szCs w:val="28"/>
              </w:rPr>
            </w:pPr>
            <w:r>
              <w:rPr>
                <w:rFonts w:hint="eastAsia" w:ascii="楷体" w:hAnsi="楷体" w:eastAsia="楷体" w:cs="楷体"/>
                <w:b/>
                <w:kern w:val="0"/>
                <w:sz w:val="28"/>
                <w:szCs w:val="28"/>
              </w:rPr>
              <w:t>内容</w:t>
            </w:r>
          </w:p>
        </w:tc>
        <w:tc>
          <w:tcPr>
            <w:tcW w:w="7976" w:type="dxa"/>
            <w:gridSpan w:val="2"/>
            <w:tcMar>
              <w:top w:w="15" w:type="dxa"/>
              <w:left w:w="15" w:type="dxa"/>
              <w:right w:w="15" w:type="dxa"/>
            </w:tcMar>
            <w:vAlign w:val="center"/>
          </w:tcPr>
          <w:p w14:paraId="523430E1">
            <w:pPr>
              <w:widowControl/>
              <w:spacing w:line="500" w:lineRule="exact"/>
              <w:jc w:val="center"/>
              <w:textAlignment w:val="center"/>
              <w:rPr>
                <w:rFonts w:hint="eastAsia" w:ascii="楷体" w:hAnsi="楷体" w:eastAsia="楷体" w:cs="楷体"/>
                <w:b/>
                <w:sz w:val="28"/>
                <w:szCs w:val="28"/>
              </w:rPr>
            </w:pPr>
            <w:r>
              <w:rPr>
                <w:rFonts w:hint="eastAsia" w:ascii="楷体" w:hAnsi="楷体" w:eastAsia="楷体" w:cs="楷体"/>
                <w:b/>
                <w:kern w:val="0"/>
                <w:sz w:val="28"/>
                <w:szCs w:val="28"/>
              </w:rPr>
              <w:t>具体内容</w:t>
            </w:r>
          </w:p>
        </w:tc>
      </w:tr>
      <w:tr w14:paraId="01753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3" w:hRule="atLeast"/>
        </w:trPr>
        <w:tc>
          <w:tcPr>
            <w:tcW w:w="927" w:type="dxa"/>
            <w:vMerge w:val="restart"/>
            <w:tcMar>
              <w:top w:w="15" w:type="dxa"/>
              <w:left w:w="15" w:type="dxa"/>
              <w:right w:w="15" w:type="dxa"/>
            </w:tcMar>
            <w:vAlign w:val="center"/>
          </w:tcPr>
          <w:p w14:paraId="3B09DBE6">
            <w:pPr>
              <w:widowControl/>
              <w:spacing w:line="500" w:lineRule="exact"/>
              <w:jc w:val="center"/>
              <w:textAlignment w:val="center"/>
              <w:rPr>
                <w:rFonts w:hint="eastAsia" w:ascii="楷体" w:hAnsi="楷体" w:eastAsia="楷体" w:cs="楷体"/>
                <w:sz w:val="28"/>
                <w:szCs w:val="28"/>
              </w:rPr>
            </w:pPr>
            <w:r>
              <w:rPr>
                <w:rFonts w:hint="eastAsia" w:ascii="楷体" w:hAnsi="楷体" w:eastAsia="楷体" w:cs="楷体"/>
                <w:kern w:val="0"/>
                <w:sz w:val="28"/>
                <w:szCs w:val="28"/>
              </w:rPr>
              <w:t>科学规范的线下服务平台</w:t>
            </w:r>
          </w:p>
        </w:tc>
        <w:tc>
          <w:tcPr>
            <w:tcW w:w="1016" w:type="dxa"/>
            <w:vMerge w:val="restart"/>
            <w:tcMar>
              <w:top w:w="15" w:type="dxa"/>
              <w:left w:w="15" w:type="dxa"/>
              <w:right w:w="15" w:type="dxa"/>
            </w:tcMar>
            <w:vAlign w:val="center"/>
          </w:tcPr>
          <w:p w14:paraId="0FC7D535">
            <w:pPr>
              <w:widowControl/>
              <w:spacing w:line="500" w:lineRule="exact"/>
              <w:jc w:val="center"/>
              <w:textAlignment w:val="center"/>
              <w:rPr>
                <w:rFonts w:hint="eastAsia" w:ascii="楷体" w:hAnsi="楷体" w:eastAsia="楷体" w:cs="楷体"/>
                <w:sz w:val="28"/>
                <w:szCs w:val="28"/>
              </w:rPr>
            </w:pPr>
            <w:r>
              <w:rPr>
                <w:rFonts w:hint="eastAsia" w:ascii="楷体" w:hAnsi="楷体" w:eastAsia="楷体" w:cs="楷体"/>
                <w:kern w:val="0"/>
                <w:sz w:val="28"/>
                <w:szCs w:val="28"/>
              </w:rPr>
              <w:t>服务场所</w:t>
            </w:r>
          </w:p>
        </w:tc>
        <w:tc>
          <w:tcPr>
            <w:tcW w:w="482" w:type="dxa"/>
            <w:tcMar>
              <w:top w:w="15" w:type="dxa"/>
              <w:left w:w="15" w:type="dxa"/>
              <w:right w:w="15" w:type="dxa"/>
            </w:tcMar>
            <w:vAlign w:val="center"/>
          </w:tcPr>
          <w:p w14:paraId="7895C23E">
            <w:pPr>
              <w:widowControl/>
              <w:spacing w:line="500" w:lineRule="exact"/>
              <w:jc w:val="center"/>
              <w:textAlignment w:val="center"/>
              <w:rPr>
                <w:rFonts w:hint="eastAsia" w:ascii="楷体" w:hAnsi="楷体" w:eastAsia="楷体" w:cs="楷体"/>
                <w:sz w:val="28"/>
                <w:szCs w:val="28"/>
              </w:rPr>
            </w:pPr>
            <w:r>
              <w:rPr>
                <w:rFonts w:hint="eastAsia" w:ascii="楷体" w:hAnsi="楷体" w:eastAsia="楷体" w:cs="楷体"/>
                <w:kern w:val="0"/>
                <w:sz w:val="28"/>
                <w:szCs w:val="28"/>
              </w:rPr>
              <w:t>1</w:t>
            </w:r>
          </w:p>
        </w:tc>
        <w:tc>
          <w:tcPr>
            <w:tcW w:w="7494" w:type="dxa"/>
            <w:tcMar>
              <w:top w:w="15" w:type="dxa"/>
              <w:left w:w="15" w:type="dxa"/>
              <w:right w:w="15" w:type="dxa"/>
            </w:tcMar>
            <w:vAlign w:val="center"/>
          </w:tcPr>
          <w:p w14:paraId="5F7D860E">
            <w:pPr>
              <w:widowControl/>
              <w:spacing w:line="500" w:lineRule="exact"/>
              <w:jc w:val="left"/>
              <w:textAlignment w:val="center"/>
              <w:rPr>
                <w:rFonts w:hint="eastAsia" w:ascii="楷体" w:hAnsi="楷体" w:eastAsia="楷体" w:cs="楷体"/>
                <w:sz w:val="28"/>
                <w:szCs w:val="28"/>
              </w:rPr>
            </w:pPr>
            <w:r>
              <w:rPr>
                <w:rFonts w:hint="eastAsia" w:ascii="楷体" w:hAnsi="楷体" w:eastAsia="楷体" w:cs="楷体"/>
                <w:color w:val="000000"/>
                <w:sz w:val="28"/>
                <w:szCs w:val="28"/>
              </w:rPr>
              <w:t>服务场所内应布局合理，划分开展服务所需的柜面服务区、特色功能区、求职招聘区、候工休息区等区域。</w:t>
            </w:r>
          </w:p>
        </w:tc>
      </w:tr>
      <w:tr w14:paraId="2D546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7" w:hRule="atLeast"/>
        </w:trPr>
        <w:tc>
          <w:tcPr>
            <w:tcW w:w="927" w:type="dxa"/>
            <w:vMerge w:val="continue"/>
            <w:tcMar>
              <w:top w:w="15" w:type="dxa"/>
              <w:left w:w="15" w:type="dxa"/>
              <w:right w:w="15" w:type="dxa"/>
            </w:tcMar>
            <w:vAlign w:val="center"/>
          </w:tcPr>
          <w:p w14:paraId="31DF0581">
            <w:pPr>
              <w:widowControl/>
              <w:spacing w:line="500" w:lineRule="exact"/>
              <w:jc w:val="center"/>
              <w:textAlignment w:val="center"/>
              <w:rPr>
                <w:rFonts w:hint="eastAsia" w:ascii="楷体" w:hAnsi="楷体" w:eastAsia="楷体" w:cs="楷体"/>
                <w:kern w:val="0"/>
                <w:sz w:val="28"/>
                <w:szCs w:val="28"/>
              </w:rPr>
            </w:pPr>
          </w:p>
        </w:tc>
        <w:tc>
          <w:tcPr>
            <w:tcW w:w="1016" w:type="dxa"/>
            <w:vMerge w:val="continue"/>
            <w:tcMar>
              <w:top w:w="15" w:type="dxa"/>
              <w:left w:w="15" w:type="dxa"/>
              <w:right w:w="15" w:type="dxa"/>
            </w:tcMar>
            <w:vAlign w:val="center"/>
          </w:tcPr>
          <w:p w14:paraId="17F40FB9">
            <w:pPr>
              <w:widowControl/>
              <w:spacing w:line="500" w:lineRule="exact"/>
              <w:jc w:val="center"/>
              <w:textAlignment w:val="center"/>
              <w:rPr>
                <w:rFonts w:hint="eastAsia" w:ascii="楷体" w:hAnsi="楷体" w:eastAsia="楷体" w:cs="楷体"/>
                <w:kern w:val="0"/>
                <w:sz w:val="28"/>
                <w:szCs w:val="28"/>
              </w:rPr>
            </w:pPr>
          </w:p>
        </w:tc>
        <w:tc>
          <w:tcPr>
            <w:tcW w:w="482" w:type="dxa"/>
            <w:tcMar>
              <w:top w:w="15" w:type="dxa"/>
              <w:left w:w="15" w:type="dxa"/>
              <w:right w:w="15" w:type="dxa"/>
            </w:tcMar>
            <w:vAlign w:val="center"/>
          </w:tcPr>
          <w:p w14:paraId="1B4883F6">
            <w:pPr>
              <w:widowControl/>
              <w:spacing w:line="500" w:lineRule="exact"/>
              <w:jc w:val="center"/>
              <w:textAlignment w:val="center"/>
              <w:rPr>
                <w:rFonts w:hint="eastAsia" w:ascii="楷体" w:hAnsi="楷体" w:eastAsia="楷体" w:cs="楷体"/>
                <w:sz w:val="28"/>
                <w:szCs w:val="28"/>
              </w:rPr>
            </w:pPr>
            <w:r>
              <w:rPr>
                <w:rFonts w:hint="eastAsia" w:ascii="楷体" w:hAnsi="楷体" w:eastAsia="楷体" w:cs="楷体"/>
                <w:kern w:val="0"/>
                <w:sz w:val="28"/>
                <w:szCs w:val="28"/>
              </w:rPr>
              <w:t>2</w:t>
            </w:r>
          </w:p>
        </w:tc>
        <w:tc>
          <w:tcPr>
            <w:tcW w:w="7494" w:type="dxa"/>
            <w:tcMar>
              <w:top w:w="15" w:type="dxa"/>
              <w:left w:w="15" w:type="dxa"/>
              <w:right w:w="15" w:type="dxa"/>
            </w:tcMar>
            <w:vAlign w:val="center"/>
          </w:tcPr>
          <w:p w14:paraId="790CFB8B">
            <w:pPr>
              <w:widowControl/>
              <w:spacing w:line="500" w:lineRule="exact"/>
              <w:jc w:val="left"/>
              <w:textAlignment w:val="center"/>
              <w:rPr>
                <w:rFonts w:hint="eastAsia" w:ascii="楷体" w:hAnsi="楷体" w:eastAsia="楷体" w:cs="楷体"/>
                <w:sz w:val="28"/>
                <w:szCs w:val="28"/>
              </w:rPr>
            </w:pPr>
            <w:r>
              <w:rPr>
                <w:rFonts w:hint="eastAsia" w:ascii="楷体" w:hAnsi="楷体" w:eastAsia="楷体" w:cs="楷体"/>
                <w:color w:val="000000"/>
                <w:sz w:val="28"/>
                <w:szCs w:val="28"/>
              </w:rPr>
              <w:t>服务场所应按国家、省市有关规定，合规建设疏散通道、安全出口，配备消防安全设备和安全监控系统，并建有保障残障人员使用的无障碍服务设施。</w:t>
            </w:r>
          </w:p>
        </w:tc>
      </w:tr>
      <w:tr w14:paraId="7E9C6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3" w:hRule="atLeast"/>
        </w:trPr>
        <w:tc>
          <w:tcPr>
            <w:tcW w:w="927" w:type="dxa"/>
            <w:vMerge w:val="continue"/>
            <w:tcMar>
              <w:top w:w="15" w:type="dxa"/>
              <w:left w:w="15" w:type="dxa"/>
              <w:right w:w="15" w:type="dxa"/>
            </w:tcMar>
            <w:vAlign w:val="center"/>
          </w:tcPr>
          <w:p w14:paraId="3507F0C6">
            <w:pPr>
              <w:widowControl/>
              <w:spacing w:line="500" w:lineRule="exact"/>
              <w:jc w:val="center"/>
              <w:textAlignment w:val="center"/>
              <w:rPr>
                <w:rFonts w:hint="eastAsia" w:ascii="楷体" w:hAnsi="楷体" w:eastAsia="楷体" w:cs="楷体"/>
                <w:kern w:val="0"/>
                <w:sz w:val="28"/>
                <w:szCs w:val="28"/>
              </w:rPr>
            </w:pPr>
          </w:p>
        </w:tc>
        <w:tc>
          <w:tcPr>
            <w:tcW w:w="1016" w:type="dxa"/>
            <w:vMerge w:val="continue"/>
            <w:tcMar>
              <w:top w:w="15" w:type="dxa"/>
              <w:left w:w="15" w:type="dxa"/>
              <w:right w:w="15" w:type="dxa"/>
            </w:tcMar>
            <w:vAlign w:val="center"/>
          </w:tcPr>
          <w:p w14:paraId="1A0EDDE7">
            <w:pPr>
              <w:widowControl/>
              <w:spacing w:line="500" w:lineRule="exact"/>
              <w:jc w:val="center"/>
              <w:textAlignment w:val="center"/>
              <w:rPr>
                <w:rFonts w:hint="eastAsia" w:ascii="楷体" w:hAnsi="楷体" w:eastAsia="楷体" w:cs="楷体"/>
                <w:kern w:val="0"/>
                <w:sz w:val="28"/>
                <w:szCs w:val="28"/>
              </w:rPr>
            </w:pPr>
          </w:p>
        </w:tc>
        <w:tc>
          <w:tcPr>
            <w:tcW w:w="482" w:type="dxa"/>
            <w:tcMar>
              <w:top w:w="15" w:type="dxa"/>
              <w:left w:w="15" w:type="dxa"/>
              <w:right w:w="15" w:type="dxa"/>
            </w:tcMar>
            <w:vAlign w:val="center"/>
          </w:tcPr>
          <w:p w14:paraId="4E09C4E9">
            <w:pPr>
              <w:widowControl/>
              <w:spacing w:line="500" w:lineRule="exact"/>
              <w:jc w:val="center"/>
              <w:textAlignment w:val="center"/>
              <w:rPr>
                <w:rFonts w:hint="eastAsia" w:ascii="楷体" w:hAnsi="楷体" w:eastAsia="楷体" w:cs="楷体"/>
                <w:kern w:val="0"/>
                <w:sz w:val="28"/>
                <w:szCs w:val="28"/>
              </w:rPr>
            </w:pPr>
            <w:r>
              <w:rPr>
                <w:rFonts w:hint="eastAsia" w:ascii="楷体" w:hAnsi="楷体" w:eastAsia="楷体" w:cs="楷体"/>
                <w:kern w:val="0"/>
                <w:sz w:val="28"/>
                <w:szCs w:val="28"/>
              </w:rPr>
              <w:t>3</w:t>
            </w:r>
          </w:p>
        </w:tc>
        <w:tc>
          <w:tcPr>
            <w:tcW w:w="7494" w:type="dxa"/>
            <w:tcMar>
              <w:top w:w="15" w:type="dxa"/>
              <w:left w:w="15" w:type="dxa"/>
              <w:right w:w="15" w:type="dxa"/>
            </w:tcMar>
            <w:vAlign w:val="center"/>
          </w:tcPr>
          <w:p w14:paraId="56F42CB2">
            <w:pPr>
              <w:widowControl/>
              <w:spacing w:line="500" w:lineRule="exact"/>
              <w:jc w:val="left"/>
              <w:textAlignment w:val="center"/>
              <w:rPr>
                <w:rFonts w:hint="eastAsia" w:ascii="楷体" w:hAnsi="楷体" w:eastAsia="楷体" w:cs="楷体"/>
                <w:color w:val="000000"/>
                <w:sz w:val="28"/>
                <w:szCs w:val="28"/>
              </w:rPr>
            </w:pPr>
            <w:r>
              <w:rPr>
                <w:rFonts w:hint="eastAsia" w:ascii="楷体" w:hAnsi="楷体" w:eastAsia="楷体" w:cs="楷体"/>
                <w:color w:val="000000"/>
                <w:kern w:val="0"/>
                <w:sz w:val="28"/>
                <w:szCs w:val="28"/>
              </w:rPr>
              <w:t>服务场地周边应设置明显的宣传标识、宣传指示牌、宣传栏等设施。</w:t>
            </w:r>
          </w:p>
        </w:tc>
      </w:tr>
      <w:tr w14:paraId="2873B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7" w:hRule="atLeast"/>
        </w:trPr>
        <w:tc>
          <w:tcPr>
            <w:tcW w:w="927" w:type="dxa"/>
            <w:vMerge w:val="continue"/>
            <w:tcMar>
              <w:top w:w="15" w:type="dxa"/>
              <w:left w:w="15" w:type="dxa"/>
              <w:right w:w="15" w:type="dxa"/>
            </w:tcMar>
            <w:vAlign w:val="center"/>
          </w:tcPr>
          <w:p w14:paraId="2AB6555A">
            <w:pPr>
              <w:spacing w:line="500" w:lineRule="exact"/>
              <w:jc w:val="center"/>
              <w:rPr>
                <w:rFonts w:hint="eastAsia" w:ascii="楷体" w:hAnsi="楷体" w:eastAsia="楷体" w:cs="楷体"/>
                <w:sz w:val="28"/>
                <w:szCs w:val="28"/>
              </w:rPr>
            </w:pPr>
          </w:p>
        </w:tc>
        <w:tc>
          <w:tcPr>
            <w:tcW w:w="1016" w:type="dxa"/>
            <w:vMerge w:val="restart"/>
            <w:tcMar>
              <w:top w:w="15" w:type="dxa"/>
              <w:left w:w="15" w:type="dxa"/>
              <w:right w:w="15" w:type="dxa"/>
            </w:tcMar>
            <w:vAlign w:val="center"/>
          </w:tcPr>
          <w:p w14:paraId="553010C9">
            <w:pPr>
              <w:widowControl/>
              <w:spacing w:line="500" w:lineRule="exact"/>
              <w:jc w:val="center"/>
              <w:textAlignment w:val="center"/>
              <w:rPr>
                <w:rFonts w:hint="eastAsia" w:ascii="楷体" w:hAnsi="楷体" w:eastAsia="楷体" w:cs="楷体"/>
                <w:sz w:val="28"/>
                <w:szCs w:val="28"/>
              </w:rPr>
            </w:pPr>
            <w:r>
              <w:rPr>
                <w:rFonts w:hint="eastAsia" w:ascii="楷体" w:hAnsi="楷体" w:eastAsia="楷体" w:cs="楷体"/>
                <w:kern w:val="0"/>
                <w:sz w:val="28"/>
                <w:szCs w:val="28"/>
              </w:rPr>
              <w:t>服务设施设备</w:t>
            </w:r>
          </w:p>
        </w:tc>
        <w:tc>
          <w:tcPr>
            <w:tcW w:w="482" w:type="dxa"/>
            <w:tcMar>
              <w:top w:w="15" w:type="dxa"/>
              <w:left w:w="15" w:type="dxa"/>
              <w:right w:w="15" w:type="dxa"/>
            </w:tcMar>
            <w:vAlign w:val="center"/>
          </w:tcPr>
          <w:p w14:paraId="0DB5F720">
            <w:pPr>
              <w:widowControl/>
              <w:spacing w:line="500" w:lineRule="exact"/>
              <w:jc w:val="center"/>
              <w:textAlignment w:val="center"/>
              <w:rPr>
                <w:rFonts w:hint="eastAsia" w:ascii="楷体" w:hAnsi="楷体" w:eastAsia="楷体" w:cs="楷体"/>
                <w:sz w:val="28"/>
                <w:szCs w:val="28"/>
              </w:rPr>
            </w:pPr>
            <w:r>
              <w:rPr>
                <w:rFonts w:hint="eastAsia" w:ascii="楷体" w:hAnsi="楷体" w:eastAsia="楷体" w:cs="楷体"/>
                <w:kern w:val="0"/>
                <w:sz w:val="28"/>
                <w:szCs w:val="28"/>
              </w:rPr>
              <w:t>6</w:t>
            </w:r>
          </w:p>
        </w:tc>
        <w:tc>
          <w:tcPr>
            <w:tcW w:w="7494" w:type="dxa"/>
            <w:tcMar>
              <w:top w:w="15" w:type="dxa"/>
              <w:left w:w="15" w:type="dxa"/>
              <w:right w:w="15" w:type="dxa"/>
            </w:tcMar>
            <w:vAlign w:val="center"/>
          </w:tcPr>
          <w:p w14:paraId="5393F8A9">
            <w:pPr>
              <w:widowControl/>
              <w:spacing w:line="500" w:lineRule="exact"/>
              <w:textAlignment w:val="top"/>
              <w:rPr>
                <w:rFonts w:hint="eastAsia" w:ascii="楷体" w:hAnsi="楷体" w:eastAsia="楷体" w:cs="楷体"/>
                <w:sz w:val="28"/>
                <w:szCs w:val="28"/>
              </w:rPr>
            </w:pPr>
            <w:r>
              <w:rPr>
                <w:rFonts w:hint="eastAsia" w:ascii="楷体" w:hAnsi="楷体" w:eastAsia="楷体" w:cs="楷体"/>
                <w:color w:val="000000"/>
                <w:sz w:val="28"/>
                <w:szCs w:val="28"/>
              </w:rPr>
              <w:t>服务场所内应配备开展服务所需的信息发布LED屏、公告栏、自助服务机、直播设备等基本服务设施设备。</w:t>
            </w:r>
          </w:p>
        </w:tc>
      </w:tr>
      <w:tr w14:paraId="6ECAF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7" w:hRule="atLeast"/>
        </w:trPr>
        <w:tc>
          <w:tcPr>
            <w:tcW w:w="927" w:type="dxa"/>
            <w:vMerge w:val="continue"/>
            <w:tcMar>
              <w:top w:w="15" w:type="dxa"/>
              <w:left w:w="15" w:type="dxa"/>
              <w:right w:w="15" w:type="dxa"/>
            </w:tcMar>
            <w:vAlign w:val="center"/>
          </w:tcPr>
          <w:p w14:paraId="27A40CCB">
            <w:pPr>
              <w:spacing w:line="500" w:lineRule="exact"/>
              <w:jc w:val="center"/>
              <w:rPr>
                <w:rFonts w:hint="eastAsia" w:ascii="楷体" w:hAnsi="楷体" w:eastAsia="楷体" w:cs="楷体"/>
                <w:sz w:val="28"/>
                <w:szCs w:val="28"/>
              </w:rPr>
            </w:pPr>
          </w:p>
        </w:tc>
        <w:tc>
          <w:tcPr>
            <w:tcW w:w="1016" w:type="dxa"/>
            <w:vMerge w:val="continue"/>
            <w:tcMar>
              <w:top w:w="15" w:type="dxa"/>
              <w:left w:w="15" w:type="dxa"/>
              <w:right w:w="15" w:type="dxa"/>
            </w:tcMar>
            <w:vAlign w:val="center"/>
          </w:tcPr>
          <w:p w14:paraId="21F6D489">
            <w:pPr>
              <w:spacing w:line="500" w:lineRule="exact"/>
              <w:jc w:val="center"/>
              <w:rPr>
                <w:rFonts w:hint="eastAsia" w:ascii="楷体" w:hAnsi="楷体" w:eastAsia="楷体" w:cs="楷体"/>
                <w:sz w:val="28"/>
                <w:szCs w:val="28"/>
              </w:rPr>
            </w:pPr>
          </w:p>
        </w:tc>
        <w:tc>
          <w:tcPr>
            <w:tcW w:w="482" w:type="dxa"/>
            <w:tcMar>
              <w:top w:w="15" w:type="dxa"/>
              <w:left w:w="15" w:type="dxa"/>
              <w:right w:w="15" w:type="dxa"/>
            </w:tcMar>
            <w:vAlign w:val="center"/>
          </w:tcPr>
          <w:p w14:paraId="17AEFDC3">
            <w:pPr>
              <w:widowControl/>
              <w:spacing w:line="500" w:lineRule="exact"/>
              <w:jc w:val="center"/>
              <w:textAlignment w:val="center"/>
              <w:rPr>
                <w:rFonts w:hint="eastAsia" w:ascii="楷体" w:hAnsi="楷体" w:eastAsia="楷体" w:cs="楷体"/>
                <w:sz w:val="28"/>
                <w:szCs w:val="28"/>
              </w:rPr>
            </w:pPr>
            <w:r>
              <w:rPr>
                <w:rFonts w:hint="eastAsia" w:ascii="楷体" w:hAnsi="楷体" w:eastAsia="楷体" w:cs="楷体"/>
                <w:kern w:val="0"/>
                <w:sz w:val="28"/>
                <w:szCs w:val="28"/>
              </w:rPr>
              <w:t>7</w:t>
            </w:r>
          </w:p>
        </w:tc>
        <w:tc>
          <w:tcPr>
            <w:tcW w:w="7494" w:type="dxa"/>
            <w:tcMar>
              <w:top w:w="15" w:type="dxa"/>
              <w:left w:w="15" w:type="dxa"/>
              <w:right w:w="15" w:type="dxa"/>
            </w:tcMar>
            <w:vAlign w:val="center"/>
          </w:tcPr>
          <w:p w14:paraId="5D07889C">
            <w:pPr>
              <w:widowControl/>
              <w:spacing w:line="500" w:lineRule="exact"/>
              <w:jc w:val="left"/>
              <w:textAlignment w:val="center"/>
              <w:rPr>
                <w:rFonts w:hint="eastAsia" w:ascii="楷体" w:hAnsi="楷体" w:eastAsia="楷体" w:cs="楷体"/>
                <w:sz w:val="28"/>
                <w:szCs w:val="28"/>
              </w:rPr>
            </w:pPr>
            <w:r>
              <w:rPr>
                <w:rFonts w:hint="eastAsia" w:ascii="楷体" w:hAnsi="楷体" w:eastAsia="楷体" w:cs="楷体"/>
                <w:color w:val="000000"/>
                <w:sz w:val="28"/>
                <w:szCs w:val="28"/>
              </w:rPr>
              <w:t>服务场所内应配备开展服务所需的写字桌台、休息座椅、手机充电</w:t>
            </w:r>
            <w:r>
              <w:rPr>
                <w:rFonts w:hint="eastAsia" w:ascii="楷体" w:hAnsi="楷体" w:eastAsia="楷体" w:cs="楷体"/>
                <w:color w:val="FF0000"/>
                <w:sz w:val="28"/>
                <w:szCs w:val="28"/>
              </w:rPr>
              <w:t>、</w:t>
            </w:r>
            <w:r>
              <w:rPr>
                <w:rFonts w:hint="eastAsia" w:ascii="楷体" w:hAnsi="楷体" w:eastAsia="楷体" w:cs="楷体"/>
                <w:color w:val="000000"/>
                <w:sz w:val="28"/>
                <w:szCs w:val="28"/>
              </w:rPr>
              <w:t>饮水取用等便民服务设施设备。</w:t>
            </w:r>
          </w:p>
        </w:tc>
      </w:tr>
      <w:tr w14:paraId="530A0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7" w:hRule="atLeast"/>
        </w:trPr>
        <w:tc>
          <w:tcPr>
            <w:tcW w:w="927" w:type="dxa"/>
            <w:vMerge w:val="continue"/>
            <w:tcMar>
              <w:top w:w="15" w:type="dxa"/>
              <w:left w:w="15" w:type="dxa"/>
              <w:right w:w="15" w:type="dxa"/>
            </w:tcMar>
            <w:vAlign w:val="center"/>
          </w:tcPr>
          <w:p w14:paraId="0EB9854E">
            <w:pPr>
              <w:spacing w:line="500" w:lineRule="exact"/>
              <w:jc w:val="center"/>
              <w:rPr>
                <w:rFonts w:hint="eastAsia" w:ascii="楷体" w:hAnsi="楷体" w:eastAsia="楷体" w:cs="楷体"/>
                <w:sz w:val="28"/>
                <w:szCs w:val="28"/>
              </w:rPr>
            </w:pPr>
          </w:p>
        </w:tc>
        <w:tc>
          <w:tcPr>
            <w:tcW w:w="1016" w:type="dxa"/>
            <w:vMerge w:val="continue"/>
            <w:tcMar>
              <w:top w:w="15" w:type="dxa"/>
              <w:left w:w="15" w:type="dxa"/>
              <w:right w:w="15" w:type="dxa"/>
            </w:tcMar>
            <w:vAlign w:val="center"/>
          </w:tcPr>
          <w:p w14:paraId="1DBB3D05">
            <w:pPr>
              <w:spacing w:line="500" w:lineRule="exact"/>
              <w:jc w:val="center"/>
              <w:rPr>
                <w:rFonts w:hint="eastAsia" w:ascii="楷体" w:hAnsi="楷体" w:eastAsia="楷体" w:cs="楷体"/>
                <w:sz w:val="28"/>
                <w:szCs w:val="28"/>
              </w:rPr>
            </w:pPr>
          </w:p>
        </w:tc>
        <w:tc>
          <w:tcPr>
            <w:tcW w:w="482" w:type="dxa"/>
            <w:tcMar>
              <w:top w:w="15" w:type="dxa"/>
              <w:left w:w="15" w:type="dxa"/>
              <w:right w:w="15" w:type="dxa"/>
            </w:tcMar>
            <w:vAlign w:val="center"/>
          </w:tcPr>
          <w:p w14:paraId="63A0E2D8">
            <w:pPr>
              <w:widowControl/>
              <w:spacing w:line="500" w:lineRule="exact"/>
              <w:jc w:val="center"/>
              <w:textAlignment w:val="center"/>
              <w:rPr>
                <w:rFonts w:hint="eastAsia" w:ascii="楷体" w:hAnsi="楷体" w:eastAsia="楷体" w:cs="楷体"/>
                <w:sz w:val="28"/>
                <w:szCs w:val="28"/>
              </w:rPr>
            </w:pPr>
            <w:r>
              <w:rPr>
                <w:rFonts w:hint="eastAsia" w:ascii="楷体" w:hAnsi="楷体" w:eastAsia="楷体" w:cs="楷体"/>
                <w:kern w:val="0"/>
                <w:sz w:val="28"/>
                <w:szCs w:val="28"/>
              </w:rPr>
              <w:t>8</w:t>
            </w:r>
          </w:p>
        </w:tc>
        <w:tc>
          <w:tcPr>
            <w:tcW w:w="7494" w:type="dxa"/>
            <w:tcMar>
              <w:top w:w="15" w:type="dxa"/>
              <w:left w:w="15" w:type="dxa"/>
              <w:right w:w="15" w:type="dxa"/>
            </w:tcMar>
            <w:vAlign w:val="center"/>
          </w:tcPr>
          <w:p w14:paraId="431F8D87">
            <w:pPr>
              <w:widowControl/>
              <w:spacing w:line="500" w:lineRule="exact"/>
              <w:jc w:val="left"/>
              <w:textAlignment w:val="center"/>
              <w:rPr>
                <w:rFonts w:hint="eastAsia" w:ascii="楷体" w:hAnsi="楷体" w:eastAsia="楷体" w:cs="楷体"/>
                <w:sz w:val="28"/>
                <w:szCs w:val="28"/>
              </w:rPr>
            </w:pPr>
            <w:r>
              <w:rPr>
                <w:rFonts w:hint="eastAsia" w:ascii="楷体" w:hAnsi="楷体" w:eastAsia="楷体" w:cs="楷体"/>
                <w:color w:val="000000"/>
                <w:sz w:val="28"/>
                <w:szCs w:val="28"/>
              </w:rPr>
              <w:t>服务场所内应开展服务所需的配备电脑、电话、打印机、复印机、传真机、扫描仪、高拍仪等必要的办公设施设备。</w:t>
            </w:r>
          </w:p>
        </w:tc>
      </w:tr>
      <w:tr w14:paraId="4BD56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7" w:hRule="atLeast"/>
        </w:trPr>
        <w:tc>
          <w:tcPr>
            <w:tcW w:w="927" w:type="dxa"/>
            <w:vMerge w:val="continue"/>
            <w:tcMar>
              <w:top w:w="15" w:type="dxa"/>
              <w:left w:w="15" w:type="dxa"/>
              <w:right w:w="15" w:type="dxa"/>
            </w:tcMar>
            <w:vAlign w:val="center"/>
          </w:tcPr>
          <w:p w14:paraId="32ED38E2">
            <w:pPr>
              <w:spacing w:line="500" w:lineRule="exact"/>
              <w:jc w:val="center"/>
              <w:rPr>
                <w:rFonts w:hint="eastAsia" w:ascii="楷体" w:hAnsi="楷体" w:eastAsia="楷体" w:cs="楷体"/>
                <w:sz w:val="28"/>
                <w:szCs w:val="28"/>
              </w:rPr>
            </w:pPr>
          </w:p>
        </w:tc>
        <w:tc>
          <w:tcPr>
            <w:tcW w:w="1016" w:type="dxa"/>
            <w:vMerge w:val="continue"/>
            <w:tcMar>
              <w:top w:w="15" w:type="dxa"/>
              <w:left w:w="15" w:type="dxa"/>
              <w:right w:w="15" w:type="dxa"/>
            </w:tcMar>
            <w:vAlign w:val="center"/>
          </w:tcPr>
          <w:p w14:paraId="714653E0">
            <w:pPr>
              <w:spacing w:line="500" w:lineRule="exact"/>
              <w:jc w:val="center"/>
              <w:rPr>
                <w:rFonts w:hint="eastAsia" w:ascii="楷体" w:hAnsi="楷体" w:eastAsia="楷体" w:cs="楷体"/>
                <w:sz w:val="28"/>
                <w:szCs w:val="28"/>
              </w:rPr>
            </w:pPr>
          </w:p>
        </w:tc>
        <w:tc>
          <w:tcPr>
            <w:tcW w:w="482" w:type="dxa"/>
            <w:tcMar>
              <w:top w:w="15" w:type="dxa"/>
              <w:left w:w="15" w:type="dxa"/>
              <w:right w:w="15" w:type="dxa"/>
            </w:tcMar>
            <w:vAlign w:val="center"/>
          </w:tcPr>
          <w:p w14:paraId="77CFE807">
            <w:pPr>
              <w:widowControl/>
              <w:spacing w:line="500" w:lineRule="exact"/>
              <w:jc w:val="center"/>
              <w:textAlignment w:val="center"/>
              <w:rPr>
                <w:rFonts w:hint="eastAsia" w:ascii="楷体" w:hAnsi="楷体" w:eastAsia="楷体" w:cs="楷体"/>
                <w:kern w:val="0"/>
                <w:sz w:val="28"/>
                <w:szCs w:val="28"/>
              </w:rPr>
            </w:pPr>
            <w:r>
              <w:rPr>
                <w:rFonts w:hint="eastAsia" w:ascii="楷体" w:hAnsi="楷体" w:eastAsia="楷体" w:cs="楷体"/>
                <w:kern w:val="0"/>
                <w:sz w:val="28"/>
                <w:szCs w:val="28"/>
              </w:rPr>
              <w:t>9</w:t>
            </w:r>
          </w:p>
        </w:tc>
        <w:tc>
          <w:tcPr>
            <w:tcW w:w="7494" w:type="dxa"/>
            <w:tcMar>
              <w:top w:w="15" w:type="dxa"/>
              <w:left w:w="15" w:type="dxa"/>
              <w:right w:w="15" w:type="dxa"/>
            </w:tcMar>
            <w:vAlign w:val="center"/>
          </w:tcPr>
          <w:p w14:paraId="739BEF52">
            <w:pPr>
              <w:widowControl/>
              <w:spacing w:line="500" w:lineRule="exact"/>
              <w:jc w:val="left"/>
              <w:textAlignment w:val="center"/>
              <w:rPr>
                <w:rFonts w:hint="eastAsia" w:ascii="楷体" w:hAnsi="楷体" w:eastAsia="楷体" w:cs="楷体"/>
                <w:color w:val="000000"/>
                <w:sz w:val="28"/>
                <w:szCs w:val="28"/>
              </w:rPr>
            </w:pPr>
            <w:r>
              <w:rPr>
                <w:rFonts w:hint="eastAsia" w:ascii="楷体" w:hAnsi="楷体" w:eastAsia="楷体" w:cs="楷体"/>
                <w:color w:val="000000"/>
                <w:sz w:val="28"/>
                <w:szCs w:val="28"/>
              </w:rPr>
              <w:t>服务场所应配备互联网网络和江苏人社专用网络，配置能正常连通数智化零工平台和省人社一体化信息系统的自助设备。</w:t>
            </w:r>
          </w:p>
        </w:tc>
      </w:tr>
      <w:tr w14:paraId="5EACE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9" w:hRule="atLeast"/>
        </w:trPr>
        <w:tc>
          <w:tcPr>
            <w:tcW w:w="927" w:type="dxa"/>
            <w:vMerge w:val="continue"/>
            <w:tcMar>
              <w:top w:w="15" w:type="dxa"/>
              <w:left w:w="15" w:type="dxa"/>
              <w:right w:w="15" w:type="dxa"/>
            </w:tcMar>
            <w:vAlign w:val="center"/>
          </w:tcPr>
          <w:p w14:paraId="07FF820A">
            <w:pPr>
              <w:spacing w:line="500" w:lineRule="exact"/>
              <w:jc w:val="center"/>
              <w:rPr>
                <w:rFonts w:hint="eastAsia" w:ascii="楷体" w:hAnsi="楷体" w:eastAsia="楷体" w:cs="楷体"/>
                <w:sz w:val="28"/>
                <w:szCs w:val="28"/>
              </w:rPr>
            </w:pPr>
          </w:p>
        </w:tc>
        <w:tc>
          <w:tcPr>
            <w:tcW w:w="1016" w:type="dxa"/>
            <w:vMerge w:val="restart"/>
            <w:tcMar>
              <w:top w:w="15" w:type="dxa"/>
              <w:left w:w="15" w:type="dxa"/>
              <w:right w:w="15" w:type="dxa"/>
            </w:tcMar>
            <w:vAlign w:val="center"/>
          </w:tcPr>
          <w:p w14:paraId="3633010C">
            <w:pPr>
              <w:spacing w:line="500" w:lineRule="exact"/>
              <w:jc w:val="center"/>
              <w:rPr>
                <w:rFonts w:hint="eastAsia" w:ascii="楷体" w:hAnsi="楷体" w:eastAsia="楷体" w:cs="楷体"/>
                <w:sz w:val="28"/>
                <w:szCs w:val="28"/>
              </w:rPr>
            </w:pPr>
            <w:r>
              <w:rPr>
                <w:rFonts w:hint="eastAsia" w:ascii="楷体" w:hAnsi="楷体" w:eastAsia="楷体" w:cs="楷体"/>
                <w:sz w:val="28"/>
                <w:szCs w:val="28"/>
              </w:rPr>
              <w:t>服务人员</w:t>
            </w:r>
          </w:p>
        </w:tc>
        <w:tc>
          <w:tcPr>
            <w:tcW w:w="482" w:type="dxa"/>
            <w:tcMar>
              <w:top w:w="15" w:type="dxa"/>
              <w:left w:w="15" w:type="dxa"/>
              <w:right w:w="15" w:type="dxa"/>
            </w:tcMar>
            <w:vAlign w:val="center"/>
          </w:tcPr>
          <w:p w14:paraId="1294FB62">
            <w:pPr>
              <w:widowControl/>
              <w:spacing w:line="500" w:lineRule="exact"/>
              <w:jc w:val="center"/>
              <w:textAlignment w:val="center"/>
              <w:rPr>
                <w:rFonts w:hint="eastAsia" w:ascii="楷体" w:hAnsi="楷体" w:eastAsia="楷体" w:cs="楷体"/>
                <w:kern w:val="0"/>
                <w:sz w:val="28"/>
                <w:szCs w:val="28"/>
              </w:rPr>
            </w:pPr>
            <w:r>
              <w:rPr>
                <w:rFonts w:hint="eastAsia" w:ascii="楷体" w:hAnsi="楷体" w:eastAsia="楷体" w:cs="楷体"/>
                <w:kern w:val="0"/>
                <w:sz w:val="28"/>
                <w:szCs w:val="28"/>
              </w:rPr>
              <w:t>10</w:t>
            </w:r>
          </w:p>
        </w:tc>
        <w:tc>
          <w:tcPr>
            <w:tcW w:w="7494" w:type="dxa"/>
            <w:tcMar>
              <w:top w:w="15" w:type="dxa"/>
              <w:left w:w="15" w:type="dxa"/>
              <w:right w:w="15" w:type="dxa"/>
            </w:tcMar>
            <w:vAlign w:val="center"/>
          </w:tcPr>
          <w:p w14:paraId="2147CE8C">
            <w:pPr>
              <w:spacing w:line="560" w:lineRule="exact"/>
              <w:jc w:val="left"/>
              <w:rPr>
                <w:rFonts w:hint="eastAsia" w:ascii="楷体" w:hAnsi="楷体" w:eastAsia="楷体" w:cs="楷体"/>
                <w:color w:val="000000"/>
                <w:sz w:val="28"/>
                <w:szCs w:val="28"/>
              </w:rPr>
            </w:pPr>
            <w:r>
              <w:rPr>
                <w:rFonts w:hint="eastAsia" w:ascii="楷体" w:hAnsi="楷体" w:eastAsia="楷体" w:cs="楷体"/>
                <w:kern w:val="0"/>
                <w:sz w:val="28"/>
                <w:szCs w:val="28"/>
              </w:rPr>
              <w:t>服务场所内应配备服务所需的专兼职服务人员，其中专职服务人员应不少于4人。</w:t>
            </w:r>
            <w:r>
              <w:rPr>
                <w:rFonts w:hint="eastAsia" w:ascii="楷体" w:hAnsi="楷体" w:eastAsia="楷体" w:cs="楷体"/>
                <w:sz w:val="28"/>
                <w:szCs w:val="28"/>
              </w:rPr>
              <w:t>除法定节假日外，</w:t>
            </w:r>
            <w:r>
              <w:rPr>
                <w:rFonts w:hint="eastAsia" w:ascii="楷体" w:hAnsi="楷体" w:eastAsia="楷体" w:cs="楷体"/>
                <w:color w:val="000000"/>
                <w:kern w:val="0"/>
                <w:sz w:val="28"/>
                <w:szCs w:val="28"/>
              </w:rPr>
              <w:t>服务场所的</w:t>
            </w:r>
            <w:r>
              <w:rPr>
                <w:rFonts w:hint="eastAsia" w:ascii="楷体" w:hAnsi="楷体" w:eastAsia="楷体" w:cs="楷体"/>
                <w:sz w:val="28"/>
                <w:szCs w:val="28"/>
              </w:rPr>
              <w:t>运营服务时间为每天</w:t>
            </w:r>
            <w:r>
              <w:rPr>
                <w:rFonts w:hint="eastAsia" w:ascii="楷体" w:hAnsi="楷体" w:eastAsia="楷体" w:cs="楷体"/>
                <w:color w:val="000000"/>
                <w:sz w:val="28"/>
                <w:szCs w:val="28"/>
              </w:rPr>
              <w:t>9:00-17:00。</w:t>
            </w:r>
          </w:p>
        </w:tc>
      </w:tr>
      <w:tr w14:paraId="4BA8C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4" w:hRule="atLeast"/>
        </w:trPr>
        <w:tc>
          <w:tcPr>
            <w:tcW w:w="927" w:type="dxa"/>
            <w:vMerge w:val="continue"/>
            <w:tcMar>
              <w:top w:w="15" w:type="dxa"/>
              <w:left w:w="15" w:type="dxa"/>
              <w:right w:w="15" w:type="dxa"/>
            </w:tcMar>
            <w:vAlign w:val="center"/>
          </w:tcPr>
          <w:p w14:paraId="30EAACD1">
            <w:pPr>
              <w:spacing w:line="500" w:lineRule="exact"/>
              <w:jc w:val="center"/>
              <w:rPr>
                <w:rFonts w:hint="eastAsia" w:ascii="楷体" w:hAnsi="楷体" w:eastAsia="楷体" w:cs="楷体"/>
                <w:sz w:val="28"/>
                <w:szCs w:val="28"/>
              </w:rPr>
            </w:pPr>
          </w:p>
        </w:tc>
        <w:tc>
          <w:tcPr>
            <w:tcW w:w="1016" w:type="dxa"/>
            <w:vMerge w:val="continue"/>
            <w:tcMar>
              <w:top w:w="15" w:type="dxa"/>
              <w:left w:w="15" w:type="dxa"/>
              <w:right w:w="15" w:type="dxa"/>
            </w:tcMar>
            <w:vAlign w:val="center"/>
          </w:tcPr>
          <w:p w14:paraId="55A58DCE">
            <w:pPr>
              <w:spacing w:line="500" w:lineRule="exact"/>
              <w:jc w:val="center"/>
              <w:rPr>
                <w:rFonts w:hint="eastAsia" w:ascii="楷体" w:hAnsi="楷体" w:eastAsia="楷体" w:cs="楷体"/>
                <w:sz w:val="28"/>
                <w:szCs w:val="28"/>
              </w:rPr>
            </w:pPr>
          </w:p>
        </w:tc>
        <w:tc>
          <w:tcPr>
            <w:tcW w:w="482" w:type="dxa"/>
            <w:tcMar>
              <w:top w:w="15" w:type="dxa"/>
              <w:left w:w="15" w:type="dxa"/>
              <w:right w:w="15" w:type="dxa"/>
            </w:tcMar>
            <w:vAlign w:val="center"/>
          </w:tcPr>
          <w:p w14:paraId="6A74097B">
            <w:pPr>
              <w:widowControl/>
              <w:spacing w:line="500" w:lineRule="exact"/>
              <w:jc w:val="center"/>
              <w:textAlignment w:val="center"/>
              <w:rPr>
                <w:rFonts w:hint="eastAsia" w:ascii="楷体" w:hAnsi="楷体" w:eastAsia="楷体" w:cs="楷体"/>
                <w:kern w:val="0"/>
                <w:sz w:val="28"/>
                <w:szCs w:val="28"/>
              </w:rPr>
            </w:pPr>
            <w:r>
              <w:rPr>
                <w:rFonts w:hint="eastAsia" w:ascii="楷体" w:hAnsi="楷体" w:eastAsia="楷体" w:cs="楷体"/>
                <w:kern w:val="0"/>
                <w:sz w:val="28"/>
                <w:szCs w:val="28"/>
              </w:rPr>
              <w:t>11</w:t>
            </w:r>
          </w:p>
        </w:tc>
        <w:tc>
          <w:tcPr>
            <w:tcW w:w="7494" w:type="dxa"/>
            <w:tcMar>
              <w:top w:w="15" w:type="dxa"/>
              <w:left w:w="15" w:type="dxa"/>
              <w:right w:w="15" w:type="dxa"/>
            </w:tcMar>
            <w:vAlign w:val="center"/>
          </w:tcPr>
          <w:p w14:paraId="38E524A8">
            <w:pPr>
              <w:widowControl/>
              <w:spacing w:line="500" w:lineRule="exact"/>
              <w:jc w:val="left"/>
              <w:textAlignment w:val="center"/>
              <w:rPr>
                <w:rFonts w:hint="eastAsia" w:ascii="楷体" w:hAnsi="楷体" w:eastAsia="楷体" w:cs="楷体"/>
                <w:color w:val="000000"/>
                <w:sz w:val="28"/>
                <w:szCs w:val="28"/>
              </w:rPr>
            </w:pPr>
            <w:r>
              <w:rPr>
                <w:rFonts w:hint="eastAsia" w:ascii="楷体" w:hAnsi="楷体" w:eastAsia="楷体" w:cs="楷体"/>
                <w:kern w:val="0"/>
                <w:sz w:val="28"/>
                <w:szCs w:val="28"/>
              </w:rPr>
              <w:t>应加强服务队伍建设，完善人员配置，加强就业政策、职业技能等培训，提升服务队伍素质</w:t>
            </w:r>
            <w:r>
              <w:rPr>
                <w:rFonts w:hint="eastAsia" w:ascii="楷体" w:hAnsi="楷体" w:eastAsia="楷体" w:cs="楷体"/>
                <w:b/>
                <w:kern w:val="0"/>
                <w:sz w:val="28"/>
                <w:szCs w:val="28"/>
              </w:rPr>
              <w:t>。</w:t>
            </w:r>
            <w:r>
              <w:rPr>
                <w:rFonts w:hint="eastAsia" w:ascii="楷体" w:hAnsi="楷体" w:eastAsia="楷体" w:cs="楷体"/>
                <w:kern w:val="0"/>
                <w:sz w:val="28"/>
                <w:szCs w:val="28"/>
              </w:rPr>
              <w:t>应建立并落实首问负责制、限时办结制、一次性告知制，注重服务态度和服务礼仪，规范使用文明用语，严格遵守工作纪律。</w:t>
            </w:r>
          </w:p>
        </w:tc>
      </w:tr>
      <w:tr w14:paraId="27533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7" w:hRule="atLeast"/>
        </w:trPr>
        <w:tc>
          <w:tcPr>
            <w:tcW w:w="927" w:type="dxa"/>
            <w:vMerge w:val="restart"/>
            <w:tcMar>
              <w:top w:w="15" w:type="dxa"/>
              <w:left w:w="15" w:type="dxa"/>
              <w:right w:w="15" w:type="dxa"/>
            </w:tcMar>
            <w:vAlign w:val="center"/>
          </w:tcPr>
          <w:p w14:paraId="6B22E556">
            <w:pPr>
              <w:spacing w:line="500" w:lineRule="exact"/>
              <w:jc w:val="center"/>
              <w:rPr>
                <w:rFonts w:hint="eastAsia" w:ascii="楷体" w:hAnsi="楷体" w:eastAsia="楷体" w:cs="楷体"/>
                <w:sz w:val="28"/>
                <w:szCs w:val="28"/>
              </w:rPr>
            </w:pPr>
            <w:r>
              <w:rPr>
                <w:rFonts w:hint="eastAsia" w:ascii="楷体" w:hAnsi="楷体" w:eastAsia="楷体" w:cs="楷体"/>
                <w:kern w:val="0"/>
                <w:sz w:val="28"/>
                <w:szCs w:val="28"/>
              </w:rPr>
              <w:t>互联互通的线上服务平台。</w:t>
            </w:r>
          </w:p>
        </w:tc>
        <w:tc>
          <w:tcPr>
            <w:tcW w:w="1016" w:type="dxa"/>
            <w:vMerge w:val="restart"/>
            <w:tcMar>
              <w:top w:w="15" w:type="dxa"/>
              <w:left w:w="15" w:type="dxa"/>
              <w:right w:w="15" w:type="dxa"/>
            </w:tcMar>
            <w:vAlign w:val="center"/>
          </w:tcPr>
          <w:p w14:paraId="4BB43EAA">
            <w:pPr>
              <w:spacing w:line="500" w:lineRule="exact"/>
              <w:jc w:val="center"/>
              <w:rPr>
                <w:rFonts w:hint="eastAsia" w:ascii="楷体" w:hAnsi="楷体" w:eastAsia="楷体" w:cs="楷体"/>
                <w:sz w:val="28"/>
                <w:szCs w:val="28"/>
              </w:rPr>
            </w:pPr>
            <w:r>
              <w:rPr>
                <w:rFonts w:hint="eastAsia" w:ascii="楷体" w:hAnsi="楷体" w:eastAsia="楷体" w:cs="楷体"/>
                <w:sz w:val="28"/>
                <w:szCs w:val="28"/>
              </w:rPr>
              <w:t>打造线上服务平台</w:t>
            </w:r>
          </w:p>
        </w:tc>
        <w:tc>
          <w:tcPr>
            <w:tcW w:w="482" w:type="dxa"/>
            <w:tcMar>
              <w:top w:w="15" w:type="dxa"/>
              <w:left w:w="15" w:type="dxa"/>
              <w:right w:w="15" w:type="dxa"/>
            </w:tcMar>
            <w:vAlign w:val="center"/>
          </w:tcPr>
          <w:p w14:paraId="41E601D8">
            <w:pPr>
              <w:widowControl/>
              <w:spacing w:line="500" w:lineRule="exact"/>
              <w:jc w:val="center"/>
              <w:textAlignment w:val="center"/>
              <w:rPr>
                <w:rFonts w:hint="eastAsia" w:ascii="楷体" w:hAnsi="楷体" w:eastAsia="楷体" w:cs="楷体"/>
                <w:kern w:val="0"/>
                <w:sz w:val="28"/>
                <w:szCs w:val="28"/>
              </w:rPr>
            </w:pPr>
            <w:r>
              <w:rPr>
                <w:rFonts w:hint="eastAsia" w:ascii="楷体" w:hAnsi="楷体" w:eastAsia="楷体" w:cs="楷体"/>
                <w:kern w:val="0"/>
                <w:sz w:val="28"/>
                <w:szCs w:val="28"/>
              </w:rPr>
              <w:t>12</w:t>
            </w:r>
          </w:p>
        </w:tc>
        <w:tc>
          <w:tcPr>
            <w:tcW w:w="7494" w:type="dxa"/>
            <w:tcMar>
              <w:top w:w="15" w:type="dxa"/>
              <w:left w:w="15" w:type="dxa"/>
              <w:right w:w="15" w:type="dxa"/>
            </w:tcMar>
            <w:vAlign w:val="center"/>
          </w:tcPr>
          <w:p w14:paraId="77CA9370">
            <w:pPr>
              <w:widowControl/>
              <w:spacing w:line="500" w:lineRule="exact"/>
              <w:jc w:val="left"/>
              <w:textAlignment w:val="center"/>
              <w:rPr>
                <w:rFonts w:hint="eastAsia" w:ascii="楷体" w:hAnsi="楷体" w:eastAsia="楷体" w:cs="楷体"/>
                <w:color w:val="000000"/>
                <w:sz w:val="28"/>
                <w:szCs w:val="28"/>
              </w:rPr>
            </w:pPr>
            <w:r>
              <w:rPr>
                <w:rFonts w:hint="eastAsia" w:ascii="楷体" w:hAnsi="楷体" w:eastAsia="楷体" w:cs="楷体"/>
                <w:sz w:val="28"/>
                <w:szCs w:val="28"/>
              </w:rPr>
              <w:t>提供线上服务平台，能够提供线上求职登记、岗位信息发布、线上招聘、直播带岗等线上服务功能。</w:t>
            </w:r>
          </w:p>
        </w:tc>
      </w:tr>
      <w:tr w14:paraId="491B6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8" w:hRule="atLeast"/>
        </w:trPr>
        <w:tc>
          <w:tcPr>
            <w:tcW w:w="927" w:type="dxa"/>
            <w:vMerge w:val="continue"/>
            <w:tcMar>
              <w:top w:w="15" w:type="dxa"/>
              <w:left w:w="15" w:type="dxa"/>
              <w:right w:w="15" w:type="dxa"/>
            </w:tcMar>
            <w:vAlign w:val="center"/>
          </w:tcPr>
          <w:p w14:paraId="7B243934">
            <w:pPr>
              <w:spacing w:line="500" w:lineRule="exact"/>
              <w:jc w:val="center"/>
              <w:rPr>
                <w:rFonts w:hint="eastAsia" w:ascii="楷体" w:hAnsi="楷体" w:eastAsia="楷体" w:cs="楷体"/>
                <w:kern w:val="0"/>
                <w:sz w:val="28"/>
                <w:szCs w:val="28"/>
              </w:rPr>
            </w:pPr>
          </w:p>
        </w:tc>
        <w:tc>
          <w:tcPr>
            <w:tcW w:w="1016" w:type="dxa"/>
            <w:vMerge w:val="continue"/>
            <w:tcMar>
              <w:top w:w="15" w:type="dxa"/>
              <w:left w:w="15" w:type="dxa"/>
              <w:right w:w="15" w:type="dxa"/>
            </w:tcMar>
            <w:vAlign w:val="center"/>
          </w:tcPr>
          <w:p w14:paraId="6DB7F82B">
            <w:pPr>
              <w:spacing w:line="500" w:lineRule="exact"/>
              <w:jc w:val="center"/>
              <w:rPr>
                <w:rFonts w:hint="eastAsia" w:ascii="楷体" w:hAnsi="楷体" w:eastAsia="楷体" w:cs="楷体"/>
                <w:sz w:val="28"/>
                <w:szCs w:val="28"/>
              </w:rPr>
            </w:pPr>
          </w:p>
        </w:tc>
        <w:tc>
          <w:tcPr>
            <w:tcW w:w="482" w:type="dxa"/>
            <w:tcMar>
              <w:top w:w="15" w:type="dxa"/>
              <w:left w:w="15" w:type="dxa"/>
              <w:right w:w="15" w:type="dxa"/>
            </w:tcMar>
            <w:vAlign w:val="center"/>
          </w:tcPr>
          <w:p w14:paraId="1A6C3C0F">
            <w:pPr>
              <w:widowControl/>
              <w:spacing w:line="500" w:lineRule="exact"/>
              <w:jc w:val="center"/>
              <w:textAlignment w:val="center"/>
              <w:rPr>
                <w:rFonts w:hint="eastAsia" w:ascii="楷体" w:hAnsi="楷体" w:eastAsia="楷体" w:cs="楷体"/>
                <w:kern w:val="0"/>
                <w:sz w:val="28"/>
                <w:szCs w:val="28"/>
              </w:rPr>
            </w:pPr>
            <w:r>
              <w:rPr>
                <w:rFonts w:hint="eastAsia" w:ascii="楷体" w:hAnsi="楷体" w:eastAsia="楷体" w:cs="楷体"/>
                <w:kern w:val="0"/>
                <w:sz w:val="28"/>
                <w:szCs w:val="28"/>
              </w:rPr>
              <w:t>13</w:t>
            </w:r>
          </w:p>
        </w:tc>
        <w:tc>
          <w:tcPr>
            <w:tcW w:w="7494" w:type="dxa"/>
            <w:tcMar>
              <w:top w:w="15" w:type="dxa"/>
              <w:left w:w="15" w:type="dxa"/>
              <w:right w:w="15" w:type="dxa"/>
            </w:tcMar>
            <w:vAlign w:val="center"/>
          </w:tcPr>
          <w:p w14:paraId="1E8BB354">
            <w:pPr>
              <w:widowControl/>
              <w:spacing w:line="500" w:lineRule="exact"/>
              <w:jc w:val="left"/>
              <w:textAlignment w:val="center"/>
              <w:rPr>
                <w:rFonts w:hint="eastAsia" w:ascii="楷体" w:hAnsi="楷体" w:eastAsia="楷体" w:cs="楷体"/>
                <w:sz w:val="28"/>
                <w:szCs w:val="28"/>
              </w:rPr>
            </w:pPr>
            <w:r>
              <w:rPr>
                <w:rFonts w:hint="eastAsia" w:ascii="楷体" w:hAnsi="楷体" w:eastAsia="楷体" w:cs="楷体"/>
                <w:kern w:val="0"/>
                <w:sz w:val="28"/>
                <w:szCs w:val="28"/>
              </w:rPr>
              <w:t>线上服务平台应能实现与“就在江苏”信息系统线上</w:t>
            </w:r>
            <w:r>
              <w:rPr>
                <w:rFonts w:hint="eastAsia" w:ascii="楷体" w:hAnsi="楷体" w:eastAsia="楷体" w:cs="楷体"/>
                <w:sz w:val="28"/>
                <w:szCs w:val="28"/>
              </w:rPr>
              <w:t>平台的数据共享和数据互通，线上服务平台的信息数据可以通过自助服务机查询、可通过LED屏进行发布。</w:t>
            </w:r>
          </w:p>
        </w:tc>
      </w:tr>
      <w:tr w14:paraId="20E52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trPr>
        <w:tc>
          <w:tcPr>
            <w:tcW w:w="927" w:type="dxa"/>
            <w:vMerge w:val="restart"/>
            <w:tcMar>
              <w:top w:w="15" w:type="dxa"/>
              <w:left w:w="15" w:type="dxa"/>
              <w:right w:w="15" w:type="dxa"/>
            </w:tcMar>
            <w:vAlign w:val="center"/>
          </w:tcPr>
          <w:p w14:paraId="2166D6D3">
            <w:pPr>
              <w:spacing w:after="120"/>
              <w:jc w:val="center"/>
              <w:rPr>
                <w:rFonts w:hint="eastAsia" w:ascii="楷体" w:hAnsi="楷体" w:eastAsia="楷体" w:cs="楷体"/>
                <w:sz w:val="28"/>
                <w:szCs w:val="28"/>
              </w:rPr>
            </w:pPr>
          </w:p>
          <w:p w14:paraId="6C9EEC37">
            <w:pPr>
              <w:jc w:val="center"/>
              <w:rPr>
                <w:rFonts w:hint="eastAsia" w:ascii="楷体" w:hAnsi="楷体" w:eastAsia="楷体" w:cs="楷体"/>
                <w:sz w:val="28"/>
                <w:szCs w:val="28"/>
              </w:rPr>
            </w:pPr>
          </w:p>
          <w:p w14:paraId="3EFF8C5F">
            <w:pPr>
              <w:spacing w:after="120"/>
              <w:jc w:val="center"/>
              <w:rPr>
                <w:rFonts w:hint="eastAsia" w:ascii="楷体" w:hAnsi="楷体" w:eastAsia="楷体" w:cs="楷体"/>
                <w:sz w:val="28"/>
                <w:szCs w:val="28"/>
              </w:rPr>
            </w:pPr>
          </w:p>
          <w:p w14:paraId="68100B1D">
            <w:pPr>
              <w:jc w:val="center"/>
              <w:rPr>
                <w:rFonts w:hint="eastAsia" w:ascii="楷体" w:hAnsi="楷体" w:eastAsia="楷体" w:cs="楷体"/>
                <w:sz w:val="28"/>
                <w:szCs w:val="28"/>
              </w:rPr>
            </w:pPr>
          </w:p>
          <w:p w14:paraId="0AA11F9E">
            <w:pPr>
              <w:spacing w:after="120"/>
              <w:jc w:val="center"/>
              <w:rPr>
                <w:rFonts w:hint="eastAsia" w:ascii="楷体" w:hAnsi="楷体" w:eastAsia="楷体" w:cs="楷体"/>
                <w:sz w:val="28"/>
                <w:szCs w:val="28"/>
              </w:rPr>
            </w:pPr>
          </w:p>
          <w:p w14:paraId="30AF3541">
            <w:pPr>
              <w:jc w:val="center"/>
              <w:rPr>
                <w:rFonts w:hint="eastAsia" w:ascii="楷体" w:hAnsi="楷体" w:eastAsia="楷体" w:cs="楷体"/>
                <w:sz w:val="28"/>
                <w:szCs w:val="28"/>
              </w:rPr>
            </w:pPr>
          </w:p>
          <w:p w14:paraId="655D6D84">
            <w:pPr>
              <w:spacing w:after="120"/>
              <w:jc w:val="center"/>
              <w:rPr>
                <w:rFonts w:hint="eastAsia" w:ascii="楷体" w:hAnsi="楷体" w:eastAsia="楷体" w:cs="楷体"/>
                <w:sz w:val="28"/>
                <w:szCs w:val="28"/>
              </w:rPr>
            </w:pPr>
          </w:p>
          <w:p w14:paraId="32D4DAE4">
            <w:pPr>
              <w:jc w:val="center"/>
              <w:rPr>
                <w:rFonts w:hint="eastAsia" w:ascii="楷体" w:hAnsi="楷体" w:eastAsia="楷体" w:cs="楷体"/>
                <w:sz w:val="28"/>
                <w:szCs w:val="28"/>
              </w:rPr>
            </w:pPr>
          </w:p>
          <w:p w14:paraId="0B0038FC">
            <w:pPr>
              <w:spacing w:after="120"/>
              <w:jc w:val="center"/>
              <w:rPr>
                <w:rFonts w:hint="eastAsia" w:ascii="楷体" w:hAnsi="楷体" w:eastAsia="楷体" w:cs="楷体"/>
                <w:sz w:val="28"/>
                <w:szCs w:val="28"/>
              </w:rPr>
            </w:pPr>
          </w:p>
          <w:p w14:paraId="5FD9790D">
            <w:pPr>
              <w:jc w:val="center"/>
              <w:rPr>
                <w:rFonts w:hint="eastAsia" w:ascii="楷体" w:hAnsi="楷体" w:eastAsia="楷体" w:cs="楷体"/>
                <w:sz w:val="28"/>
                <w:szCs w:val="28"/>
              </w:rPr>
            </w:pPr>
          </w:p>
          <w:p w14:paraId="7269DFF7">
            <w:pPr>
              <w:spacing w:after="120"/>
              <w:jc w:val="center"/>
              <w:rPr>
                <w:rFonts w:hint="eastAsia" w:ascii="楷体" w:hAnsi="楷体" w:eastAsia="楷体" w:cs="楷体"/>
                <w:sz w:val="28"/>
                <w:szCs w:val="28"/>
              </w:rPr>
            </w:pPr>
          </w:p>
          <w:p w14:paraId="0EBE4DDE">
            <w:pPr>
              <w:jc w:val="center"/>
              <w:rPr>
                <w:rFonts w:hint="eastAsia" w:ascii="楷体" w:hAnsi="楷体" w:eastAsia="楷体" w:cs="楷体"/>
                <w:sz w:val="28"/>
                <w:szCs w:val="28"/>
              </w:rPr>
            </w:pPr>
          </w:p>
          <w:p w14:paraId="3F62E1D4">
            <w:pPr>
              <w:widowControl/>
              <w:spacing w:line="500" w:lineRule="exact"/>
              <w:jc w:val="center"/>
              <w:textAlignment w:val="center"/>
              <w:rPr>
                <w:rFonts w:hint="eastAsia" w:ascii="楷体" w:hAnsi="楷体" w:eastAsia="楷体" w:cs="楷体"/>
                <w:sz w:val="28"/>
                <w:szCs w:val="28"/>
              </w:rPr>
            </w:pPr>
            <w:r>
              <w:rPr>
                <w:rFonts w:hint="eastAsia" w:ascii="楷体" w:hAnsi="楷体" w:eastAsia="楷体" w:cs="楷体"/>
                <w:kern w:val="0"/>
                <w:sz w:val="28"/>
                <w:szCs w:val="28"/>
              </w:rPr>
              <w:t>高效优质的零工市场服务</w:t>
            </w:r>
          </w:p>
        </w:tc>
        <w:tc>
          <w:tcPr>
            <w:tcW w:w="1016" w:type="dxa"/>
            <w:vMerge w:val="restart"/>
            <w:tcMar>
              <w:top w:w="15" w:type="dxa"/>
              <w:left w:w="15" w:type="dxa"/>
              <w:right w:w="15" w:type="dxa"/>
            </w:tcMar>
            <w:vAlign w:val="center"/>
          </w:tcPr>
          <w:p w14:paraId="25A0193B">
            <w:pPr>
              <w:widowControl/>
              <w:spacing w:line="500" w:lineRule="exact"/>
              <w:jc w:val="center"/>
              <w:textAlignment w:val="center"/>
              <w:rPr>
                <w:rFonts w:hint="eastAsia" w:ascii="楷体" w:hAnsi="楷体" w:eastAsia="楷体" w:cs="楷体"/>
                <w:sz w:val="28"/>
                <w:szCs w:val="28"/>
              </w:rPr>
            </w:pPr>
            <w:r>
              <w:rPr>
                <w:rFonts w:hint="eastAsia" w:ascii="楷体" w:hAnsi="楷体" w:eastAsia="楷体" w:cs="楷体"/>
                <w:kern w:val="0"/>
                <w:sz w:val="28"/>
                <w:szCs w:val="28"/>
              </w:rPr>
              <w:t>招聘服务</w:t>
            </w:r>
          </w:p>
        </w:tc>
        <w:tc>
          <w:tcPr>
            <w:tcW w:w="482" w:type="dxa"/>
            <w:tcMar>
              <w:top w:w="15" w:type="dxa"/>
              <w:left w:w="15" w:type="dxa"/>
              <w:right w:w="15" w:type="dxa"/>
            </w:tcMar>
            <w:vAlign w:val="center"/>
          </w:tcPr>
          <w:p w14:paraId="23F3C1C4">
            <w:pPr>
              <w:widowControl/>
              <w:spacing w:line="500" w:lineRule="exact"/>
              <w:jc w:val="center"/>
              <w:textAlignment w:val="center"/>
              <w:rPr>
                <w:rFonts w:hint="eastAsia" w:ascii="楷体" w:hAnsi="楷体" w:eastAsia="楷体" w:cs="楷体"/>
                <w:sz w:val="28"/>
                <w:szCs w:val="28"/>
              </w:rPr>
            </w:pPr>
            <w:r>
              <w:rPr>
                <w:rFonts w:hint="eastAsia" w:ascii="楷体" w:hAnsi="楷体" w:eastAsia="楷体" w:cs="楷体"/>
                <w:kern w:val="0"/>
                <w:sz w:val="28"/>
                <w:szCs w:val="28"/>
              </w:rPr>
              <w:t>14</w:t>
            </w:r>
          </w:p>
        </w:tc>
        <w:tc>
          <w:tcPr>
            <w:tcW w:w="7494" w:type="dxa"/>
            <w:tcMar>
              <w:top w:w="15" w:type="dxa"/>
              <w:left w:w="15" w:type="dxa"/>
              <w:right w:w="15" w:type="dxa"/>
            </w:tcMar>
            <w:vAlign w:val="center"/>
          </w:tcPr>
          <w:p w14:paraId="3CD1F1C1">
            <w:pPr>
              <w:widowControl/>
              <w:spacing w:line="480" w:lineRule="exact"/>
              <w:jc w:val="left"/>
              <w:textAlignment w:val="center"/>
              <w:rPr>
                <w:rFonts w:hint="eastAsia" w:ascii="楷体" w:hAnsi="楷体" w:eastAsia="楷体" w:cs="楷体"/>
                <w:sz w:val="28"/>
                <w:szCs w:val="28"/>
              </w:rPr>
            </w:pPr>
            <w:r>
              <w:rPr>
                <w:rFonts w:hint="eastAsia" w:ascii="楷体" w:hAnsi="楷体" w:eastAsia="楷体" w:cs="楷体"/>
                <w:kern w:val="0"/>
                <w:sz w:val="28"/>
                <w:szCs w:val="28"/>
              </w:rPr>
              <w:t>定期在服务场所组织开展现场招聘会活动。</w:t>
            </w:r>
          </w:p>
        </w:tc>
      </w:tr>
      <w:tr w14:paraId="65F8F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7" w:hRule="atLeast"/>
        </w:trPr>
        <w:tc>
          <w:tcPr>
            <w:tcW w:w="927" w:type="dxa"/>
            <w:vMerge w:val="continue"/>
            <w:tcMar>
              <w:top w:w="15" w:type="dxa"/>
              <w:left w:w="15" w:type="dxa"/>
              <w:right w:w="15" w:type="dxa"/>
            </w:tcMar>
            <w:vAlign w:val="center"/>
          </w:tcPr>
          <w:p w14:paraId="6A5D0E38">
            <w:pPr>
              <w:widowControl/>
              <w:spacing w:line="500" w:lineRule="exact"/>
              <w:jc w:val="center"/>
              <w:textAlignment w:val="center"/>
              <w:rPr>
                <w:rFonts w:hint="eastAsia" w:ascii="楷体" w:hAnsi="楷体" w:eastAsia="楷体" w:cs="楷体"/>
                <w:kern w:val="0"/>
                <w:sz w:val="28"/>
                <w:szCs w:val="28"/>
              </w:rPr>
            </w:pPr>
          </w:p>
        </w:tc>
        <w:tc>
          <w:tcPr>
            <w:tcW w:w="1016" w:type="dxa"/>
            <w:vMerge w:val="continue"/>
            <w:tcMar>
              <w:top w:w="15" w:type="dxa"/>
              <w:left w:w="15" w:type="dxa"/>
              <w:right w:w="15" w:type="dxa"/>
            </w:tcMar>
            <w:vAlign w:val="center"/>
          </w:tcPr>
          <w:p w14:paraId="4D3ECFA1">
            <w:pPr>
              <w:widowControl/>
              <w:spacing w:line="500" w:lineRule="exact"/>
              <w:jc w:val="center"/>
              <w:textAlignment w:val="center"/>
              <w:rPr>
                <w:rFonts w:hint="eastAsia" w:ascii="楷体" w:hAnsi="楷体" w:eastAsia="楷体" w:cs="楷体"/>
                <w:kern w:val="0"/>
                <w:sz w:val="28"/>
                <w:szCs w:val="28"/>
              </w:rPr>
            </w:pPr>
          </w:p>
        </w:tc>
        <w:tc>
          <w:tcPr>
            <w:tcW w:w="482" w:type="dxa"/>
            <w:tcMar>
              <w:top w:w="15" w:type="dxa"/>
              <w:left w:w="15" w:type="dxa"/>
              <w:right w:w="15" w:type="dxa"/>
            </w:tcMar>
            <w:vAlign w:val="center"/>
          </w:tcPr>
          <w:p w14:paraId="494C9BAB">
            <w:pPr>
              <w:widowControl/>
              <w:spacing w:line="500" w:lineRule="exact"/>
              <w:jc w:val="center"/>
              <w:textAlignment w:val="center"/>
              <w:rPr>
                <w:rFonts w:hint="eastAsia" w:ascii="楷体" w:hAnsi="楷体" w:eastAsia="楷体" w:cs="楷体"/>
                <w:kern w:val="0"/>
                <w:sz w:val="28"/>
                <w:szCs w:val="28"/>
              </w:rPr>
            </w:pPr>
            <w:r>
              <w:rPr>
                <w:rFonts w:hint="eastAsia" w:ascii="楷体" w:hAnsi="楷体" w:eastAsia="楷体" w:cs="楷体"/>
                <w:kern w:val="0"/>
                <w:sz w:val="28"/>
                <w:szCs w:val="28"/>
              </w:rPr>
              <w:t>15</w:t>
            </w:r>
          </w:p>
        </w:tc>
        <w:tc>
          <w:tcPr>
            <w:tcW w:w="7494" w:type="dxa"/>
            <w:tcMar>
              <w:top w:w="15" w:type="dxa"/>
              <w:left w:w="15" w:type="dxa"/>
              <w:right w:w="15" w:type="dxa"/>
            </w:tcMar>
            <w:vAlign w:val="center"/>
          </w:tcPr>
          <w:p w14:paraId="00C16BA6">
            <w:pPr>
              <w:widowControl/>
              <w:spacing w:line="480" w:lineRule="exact"/>
              <w:jc w:val="left"/>
              <w:textAlignment w:val="center"/>
              <w:rPr>
                <w:rFonts w:hint="eastAsia" w:ascii="楷体" w:hAnsi="楷体" w:eastAsia="楷体" w:cs="楷体"/>
                <w:kern w:val="0"/>
                <w:sz w:val="28"/>
                <w:szCs w:val="28"/>
              </w:rPr>
            </w:pPr>
            <w:r>
              <w:rPr>
                <w:rFonts w:hint="eastAsia" w:ascii="楷体" w:hAnsi="楷体" w:eastAsia="楷体" w:cs="楷体"/>
                <w:kern w:val="0"/>
                <w:sz w:val="28"/>
                <w:szCs w:val="28"/>
              </w:rPr>
              <w:t>根据甲方的工作要求，组织开展“春风行动”“民营企业招聘周”等就业专项行动招聘会活动。</w:t>
            </w:r>
          </w:p>
        </w:tc>
      </w:tr>
      <w:tr w14:paraId="29D92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7" w:hRule="atLeast"/>
        </w:trPr>
        <w:tc>
          <w:tcPr>
            <w:tcW w:w="927" w:type="dxa"/>
            <w:vMerge w:val="continue"/>
            <w:tcMar>
              <w:top w:w="15" w:type="dxa"/>
              <w:left w:w="15" w:type="dxa"/>
              <w:right w:w="15" w:type="dxa"/>
            </w:tcMar>
            <w:vAlign w:val="center"/>
          </w:tcPr>
          <w:p w14:paraId="0A6341D4">
            <w:pPr>
              <w:spacing w:line="500" w:lineRule="exact"/>
              <w:jc w:val="center"/>
              <w:rPr>
                <w:rFonts w:hint="eastAsia" w:ascii="楷体" w:hAnsi="楷体" w:eastAsia="楷体" w:cs="楷体"/>
                <w:sz w:val="28"/>
                <w:szCs w:val="28"/>
              </w:rPr>
            </w:pPr>
          </w:p>
        </w:tc>
        <w:tc>
          <w:tcPr>
            <w:tcW w:w="1016" w:type="dxa"/>
            <w:vMerge w:val="continue"/>
            <w:tcMar>
              <w:top w:w="15" w:type="dxa"/>
              <w:left w:w="15" w:type="dxa"/>
              <w:right w:w="15" w:type="dxa"/>
            </w:tcMar>
            <w:vAlign w:val="center"/>
          </w:tcPr>
          <w:p w14:paraId="0EEF0ACE">
            <w:pPr>
              <w:spacing w:line="500" w:lineRule="exact"/>
              <w:jc w:val="center"/>
              <w:rPr>
                <w:rFonts w:hint="eastAsia" w:ascii="楷体" w:hAnsi="楷体" w:eastAsia="楷体" w:cs="楷体"/>
                <w:sz w:val="28"/>
                <w:szCs w:val="28"/>
              </w:rPr>
            </w:pPr>
          </w:p>
        </w:tc>
        <w:tc>
          <w:tcPr>
            <w:tcW w:w="482" w:type="dxa"/>
            <w:tcMar>
              <w:top w:w="15" w:type="dxa"/>
              <w:left w:w="15" w:type="dxa"/>
              <w:right w:w="15" w:type="dxa"/>
            </w:tcMar>
            <w:vAlign w:val="center"/>
          </w:tcPr>
          <w:p w14:paraId="53CAF951">
            <w:pPr>
              <w:widowControl/>
              <w:spacing w:line="500" w:lineRule="exact"/>
              <w:jc w:val="center"/>
              <w:textAlignment w:val="center"/>
              <w:rPr>
                <w:rFonts w:hint="eastAsia" w:ascii="楷体" w:hAnsi="楷体" w:eastAsia="楷体" w:cs="楷体"/>
                <w:sz w:val="28"/>
                <w:szCs w:val="28"/>
              </w:rPr>
            </w:pPr>
            <w:r>
              <w:rPr>
                <w:rFonts w:hint="eastAsia" w:ascii="楷体" w:hAnsi="楷体" w:eastAsia="楷体" w:cs="楷体"/>
                <w:kern w:val="0"/>
                <w:sz w:val="28"/>
                <w:szCs w:val="28"/>
              </w:rPr>
              <w:t>16</w:t>
            </w:r>
          </w:p>
        </w:tc>
        <w:tc>
          <w:tcPr>
            <w:tcW w:w="7494" w:type="dxa"/>
            <w:tcMar>
              <w:top w:w="15" w:type="dxa"/>
              <w:left w:w="15" w:type="dxa"/>
              <w:right w:w="15" w:type="dxa"/>
            </w:tcMar>
          </w:tcPr>
          <w:p w14:paraId="30C422F1">
            <w:pPr>
              <w:widowControl/>
              <w:spacing w:line="480" w:lineRule="exact"/>
              <w:textAlignment w:val="top"/>
              <w:rPr>
                <w:rFonts w:hint="eastAsia" w:ascii="楷体" w:hAnsi="楷体" w:eastAsia="楷体" w:cs="楷体"/>
                <w:sz w:val="28"/>
                <w:szCs w:val="28"/>
              </w:rPr>
            </w:pPr>
            <w:r>
              <w:rPr>
                <w:rFonts w:hint="eastAsia" w:ascii="楷体" w:hAnsi="楷体" w:eastAsia="楷体" w:cs="楷体"/>
                <w:kern w:val="0"/>
                <w:sz w:val="28"/>
                <w:szCs w:val="28"/>
              </w:rPr>
              <w:t>为有招聘需求的企业提供求职人员信息推荐、岗位信息发布等就业服务，帮助企业快速招工用工。</w:t>
            </w:r>
          </w:p>
        </w:tc>
      </w:tr>
      <w:tr w14:paraId="1B94F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927" w:type="dxa"/>
            <w:vMerge w:val="continue"/>
            <w:tcMar>
              <w:top w:w="15" w:type="dxa"/>
              <w:left w:w="15" w:type="dxa"/>
              <w:right w:w="15" w:type="dxa"/>
            </w:tcMar>
            <w:vAlign w:val="center"/>
          </w:tcPr>
          <w:p w14:paraId="6196C766">
            <w:pPr>
              <w:spacing w:line="500" w:lineRule="exact"/>
              <w:jc w:val="center"/>
              <w:rPr>
                <w:rFonts w:hint="eastAsia" w:ascii="楷体" w:hAnsi="楷体" w:eastAsia="楷体" w:cs="楷体"/>
                <w:sz w:val="28"/>
                <w:szCs w:val="28"/>
              </w:rPr>
            </w:pPr>
          </w:p>
        </w:tc>
        <w:tc>
          <w:tcPr>
            <w:tcW w:w="1016" w:type="dxa"/>
            <w:vMerge w:val="continue"/>
            <w:tcMar>
              <w:top w:w="15" w:type="dxa"/>
              <w:left w:w="15" w:type="dxa"/>
              <w:right w:w="15" w:type="dxa"/>
            </w:tcMar>
            <w:vAlign w:val="center"/>
          </w:tcPr>
          <w:p w14:paraId="2632A2C0">
            <w:pPr>
              <w:spacing w:line="500" w:lineRule="exact"/>
              <w:jc w:val="center"/>
              <w:rPr>
                <w:rFonts w:hint="eastAsia" w:ascii="楷体" w:hAnsi="楷体" w:eastAsia="楷体" w:cs="楷体"/>
                <w:sz w:val="28"/>
                <w:szCs w:val="28"/>
              </w:rPr>
            </w:pPr>
          </w:p>
        </w:tc>
        <w:tc>
          <w:tcPr>
            <w:tcW w:w="482" w:type="dxa"/>
            <w:tcMar>
              <w:top w:w="15" w:type="dxa"/>
              <w:left w:w="15" w:type="dxa"/>
              <w:right w:w="15" w:type="dxa"/>
            </w:tcMar>
            <w:vAlign w:val="center"/>
          </w:tcPr>
          <w:p w14:paraId="3426A42F">
            <w:pPr>
              <w:widowControl/>
              <w:spacing w:line="500" w:lineRule="exact"/>
              <w:jc w:val="center"/>
              <w:textAlignment w:val="center"/>
              <w:rPr>
                <w:rFonts w:hint="eastAsia" w:ascii="楷体" w:hAnsi="楷体" w:eastAsia="楷体" w:cs="楷体"/>
                <w:sz w:val="28"/>
                <w:szCs w:val="28"/>
              </w:rPr>
            </w:pPr>
            <w:r>
              <w:rPr>
                <w:rFonts w:hint="eastAsia" w:ascii="楷体" w:hAnsi="楷体" w:eastAsia="楷体" w:cs="楷体"/>
                <w:kern w:val="0"/>
                <w:sz w:val="28"/>
                <w:szCs w:val="28"/>
              </w:rPr>
              <w:t>17</w:t>
            </w:r>
          </w:p>
        </w:tc>
        <w:tc>
          <w:tcPr>
            <w:tcW w:w="7494" w:type="dxa"/>
            <w:tcMar>
              <w:top w:w="15" w:type="dxa"/>
              <w:left w:w="15" w:type="dxa"/>
              <w:right w:w="15" w:type="dxa"/>
            </w:tcMar>
          </w:tcPr>
          <w:p w14:paraId="3DFD5C56">
            <w:pPr>
              <w:widowControl/>
              <w:spacing w:line="480" w:lineRule="exact"/>
              <w:textAlignment w:val="top"/>
              <w:rPr>
                <w:rFonts w:hint="eastAsia" w:ascii="楷体" w:hAnsi="楷体" w:eastAsia="楷体" w:cs="楷体"/>
                <w:sz w:val="28"/>
                <w:szCs w:val="28"/>
              </w:rPr>
            </w:pPr>
            <w:r>
              <w:rPr>
                <w:rFonts w:hint="eastAsia" w:ascii="楷体" w:hAnsi="楷体" w:eastAsia="楷体" w:cs="楷体"/>
                <w:kern w:val="0"/>
                <w:sz w:val="28"/>
                <w:szCs w:val="28"/>
              </w:rPr>
              <w:t>充分利用服务场所、各类信息服务渠道，合法规范、及时有效的采集和发布稳定用工岗位、非全日制用工岗位、临时性和阶段性用工岗位等各类就业岗位信息。采集和发布的就业岗位信息应包括但不限于:企业名称、职业（工种）、技能要求、工作地点、工作时长、薪资待遇、计酬方式等内容，不得发布含有就业歧视性内容等不合法内容。</w:t>
            </w:r>
          </w:p>
        </w:tc>
      </w:tr>
      <w:tr w14:paraId="0F86E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6" w:hRule="atLeast"/>
        </w:trPr>
        <w:tc>
          <w:tcPr>
            <w:tcW w:w="927" w:type="dxa"/>
            <w:vMerge w:val="continue"/>
            <w:tcMar>
              <w:top w:w="15" w:type="dxa"/>
              <w:left w:w="15" w:type="dxa"/>
              <w:right w:w="15" w:type="dxa"/>
            </w:tcMar>
            <w:vAlign w:val="center"/>
          </w:tcPr>
          <w:p w14:paraId="1155C8B3">
            <w:pPr>
              <w:spacing w:line="500" w:lineRule="exact"/>
              <w:jc w:val="center"/>
              <w:rPr>
                <w:rFonts w:hint="eastAsia" w:ascii="楷体" w:hAnsi="楷体" w:eastAsia="楷体" w:cs="楷体"/>
                <w:sz w:val="28"/>
                <w:szCs w:val="28"/>
              </w:rPr>
            </w:pPr>
          </w:p>
        </w:tc>
        <w:tc>
          <w:tcPr>
            <w:tcW w:w="1016" w:type="dxa"/>
            <w:vMerge w:val="continue"/>
            <w:tcMar>
              <w:top w:w="15" w:type="dxa"/>
              <w:left w:w="15" w:type="dxa"/>
              <w:right w:w="15" w:type="dxa"/>
            </w:tcMar>
            <w:vAlign w:val="center"/>
          </w:tcPr>
          <w:p w14:paraId="0615EC8F">
            <w:pPr>
              <w:spacing w:line="500" w:lineRule="exact"/>
              <w:jc w:val="center"/>
              <w:rPr>
                <w:rFonts w:hint="eastAsia" w:ascii="楷体" w:hAnsi="楷体" w:eastAsia="楷体" w:cs="楷体"/>
                <w:sz w:val="28"/>
                <w:szCs w:val="28"/>
              </w:rPr>
            </w:pPr>
          </w:p>
        </w:tc>
        <w:tc>
          <w:tcPr>
            <w:tcW w:w="482" w:type="dxa"/>
            <w:tcMar>
              <w:top w:w="15" w:type="dxa"/>
              <w:left w:w="15" w:type="dxa"/>
              <w:right w:w="15" w:type="dxa"/>
            </w:tcMar>
            <w:vAlign w:val="center"/>
          </w:tcPr>
          <w:p w14:paraId="73519559">
            <w:pPr>
              <w:widowControl/>
              <w:spacing w:line="500" w:lineRule="exact"/>
              <w:jc w:val="center"/>
              <w:textAlignment w:val="center"/>
              <w:rPr>
                <w:rFonts w:hint="eastAsia" w:ascii="楷体" w:hAnsi="楷体" w:eastAsia="楷体" w:cs="楷体"/>
                <w:sz w:val="28"/>
                <w:szCs w:val="28"/>
              </w:rPr>
            </w:pPr>
            <w:r>
              <w:rPr>
                <w:rFonts w:hint="eastAsia" w:ascii="楷体" w:hAnsi="楷体" w:eastAsia="楷体" w:cs="楷体"/>
                <w:kern w:val="0"/>
                <w:sz w:val="28"/>
                <w:szCs w:val="28"/>
              </w:rPr>
              <w:t>18</w:t>
            </w:r>
          </w:p>
        </w:tc>
        <w:tc>
          <w:tcPr>
            <w:tcW w:w="7494" w:type="dxa"/>
            <w:tcMar>
              <w:top w:w="15" w:type="dxa"/>
              <w:left w:w="15" w:type="dxa"/>
              <w:right w:w="15" w:type="dxa"/>
            </w:tcMar>
            <w:vAlign w:val="center"/>
          </w:tcPr>
          <w:p w14:paraId="406AE61B">
            <w:pPr>
              <w:widowControl/>
              <w:spacing w:line="500" w:lineRule="exact"/>
              <w:jc w:val="left"/>
              <w:textAlignment w:val="center"/>
              <w:rPr>
                <w:rFonts w:hint="eastAsia" w:ascii="楷体" w:hAnsi="楷体" w:eastAsia="楷体" w:cs="楷体"/>
                <w:b/>
                <w:sz w:val="28"/>
                <w:szCs w:val="28"/>
              </w:rPr>
            </w:pPr>
            <w:r>
              <w:rPr>
                <w:rFonts w:hint="eastAsia" w:ascii="楷体" w:hAnsi="楷体" w:eastAsia="楷体" w:cs="楷体"/>
                <w:kern w:val="0"/>
                <w:sz w:val="28"/>
                <w:szCs w:val="28"/>
              </w:rPr>
              <w:t>定期分行业、分群体开展相关数据分析工作，按月在服务场所内公布求人倍率最高和最低的行业及岗位排行信息、日均工资水平信息。</w:t>
            </w:r>
          </w:p>
        </w:tc>
      </w:tr>
      <w:tr w14:paraId="2ECDC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7" w:hRule="atLeast"/>
        </w:trPr>
        <w:tc>
          <w:tcPr>
            <w:tcW w:w="927" w:type="dxa"/>
            <w:vMerge w:val="continue"/>
            <w:tcMar>
              <w:top w:w="15" w:type="dxa"/>
              <w:left w:w="15" w:type="dxa"/>
              <w:right w:w="15" w:type="dxa"/>
            </w:tcMar>
            <w:vAlign w:val="center"/>
          </w:tcPr>
          <w:p w14:paraId="74E89438">
            <w:pPr>
              <w:spacing w:line="500" w:lineRule="exact"/>
              <w:jc w:val="center"/>
              <w:rPr>
                <w:rFonts w:hint="eastAsia" w:ascii="楷体" w:hAnsi="楷体" w:eastAsia="楷体" w:cs="楷体"/>
                <w:sz w:val="28"/>
                <w:szCs w:val="28"/>
              </w:rPr>
            </w:pPr>
          </w:p>
        </w:tc>
        <w:tc>
          <w:tcPr>
            <w:tcW w:w="1016" w:type="dxa"/>
            <w:vMerge w:val="restart"/>
            <w:tcMar>
              <w:top w:w="15" w:type="dxa"/>
              <w:left w:w="15" w:type="dxa"/>
              <w:right w:w="15" w:type="dxa"/>
            </w:tcMar>
            <w:vAlign w:val="center"/>
          </w:tcPr>
          <w:p w14:paraId="3B0E8F17">
            <w:pPr>
              <w:widowControl/>
              <w:spacing w:line="500" w:lineRule="exact"/>
              <w:jc w:val="center"/>
              <w:textAlignment w:val="center"/>
              <w:rPr>
                <w:rFonts w:hint="eastAsia" w:ascii="楷体" w:hAnsi="楷体" w:eastAsia="楷体" w:cs="楷体"/>
                <w:kern w:val="0"/>
                <w:sz w:val="28"/>
                <w:szCs w:val="28"/>
              </w:rPr>
            </w:pPr>
          </w:p>
          <w:p w14:paraId="113E58A3">
            <w:pPr>
              <w:widowControl/>
              <w:spacing w:line="500" w:lineRule="exact"/>
              <w:jc w:val="center"/>
              <w:textAlignment w:val="center"/>
              <w:rPr>
                <w:rFonts w:hint="eastAsia" w:ascii="楷体" w:hAnsi="楷体" w:eastAsia="楷体" w:cs="楷体"/>
                <w:sz w:val="28"/>
                <w:szCs w:val="28"/>
              </w:rPr>
            </w:pPr>
            <w:r>
              <w:rPr>
                <w:rFonts w:hint="eastAsia" w:ascii="楷体" w:hAnsi="楷体" w:eastAsia="楷体" w:cs="楷体"/>
                <w:kern w:val="0"/>
                <w:sz w:val="28"/>
                <w:szCs w:val="28"/>
              </w:rPr>
              <w:t>求职服务</w:t>
            </w:r>
          </w:p>
        </w:tc>
        <w:tc>
          <w:tcPr>
            <w:tcW w:w="482" w:type="dxa"/>
            <w:tcMar>
              <w:top w:w="15" w:type="dxa"/>
              <w:left w:w="15" w:type="dxa"/>
              <w:right w:w="15" w:type="dxa"/>
            </w:tcMar>
            <w:vAlign w:val="center"/>
          </w:tcPr>
          <w:p w14:paraId="240BCB39">
            <w:pPr>
              <w:widowControl/>
              <w:spacing w:line="500" w:lineRule="exact"/>
              <w:jc w:val="center"/>
              <w:textAlignment w:val="center"/>
              <w:rPr>
                <w:rFonts w:hint="eastAsia" w:ascii="楷体" w:hAnsi="楷体" w:eastAsia="楷体" w:cs="楷体"/>
                <w:sz w:val="28"/>
                <w:szCs w:val="28"/>
              </w:rPr>
            </w:pPr>
            <w:r>
              <w:rPr>
                <w:rFonts w:hint="eastAsia" w:ascii="楷体" w:hAnsi="楷体" w:eastAsia="楷体" w:cs="楷体"/>
                <w:kern w:val="0"/>
                <w:sz w:val="28"/>
                <w:szCs w:val="28"/>
              </w:rPr>
              <w:t>19</w:t>
            </w:r>
          </w:p>
        </w:tc>
        <w:tc>
          <w:tcPr>
            <w:tcW w:w="7494" w:type="dxa"/>
            <w:tcMar>
              <w:top w:w="15" w:type="dxa"/>
              <w:left w:w="15" w:type="dxa"/>
              <w:right w:w="15" w:type="dxa"/>
            </w:tcMar>
            <w:vAlign w:val="center"/>
          </w:tcPr>
          <w:p w14:paraId="57A0D418">
            <w:pPr>
              <w:widowControl/>
              <w:spacing w:line="500" w:lineRule="exact"/>
              <w:jc w:val="left"/>
              <w:textAlignment w:val="center"/>
              <w:rPr>
                <w:rFonts w:hint="eastAsia" w:ascii="楷体" w:hAnsi="楷体" w:eastAsia="楷体" w:cs="楷体"/>
                <w:sz w:val="28"/>
                <w:szCs w:val="28"/>
              </w:rPr>
            </w:pPr>
            <w:r>
              <w:rPr>
                <w:rFonts w:hint="eastAsia" w:ascii="楷体" w:hAnsi="楷体" w:eastAsia="楷体" w:cs="楷体"/>
                <w:kern w:val="0"/>
                <w:sz w:val="28"/>
                <w:szCs w:val="28"/>
              </w:rPr>
              <w:t>规范进行求职登记，准确掌握求职人员基本信息、就业需求、培训需求、就业能力等情况。</w:t>
            </w:r>
          </w:p>
        </w:tc>
      </w:tr>
      <w:tr w14:paraId="21A4D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4" w:hRule="atLeast"/>
        </w:trPr>
        <w:tc>
          <w:tcPr>
            <w:tcW w:w="927" w:type="dxa"/>
            <w:vMerge w:val="continue"/>
            <w:tcMar>
              <w:top w:w="15" w:type="dxa"/>
              <w:left w:w="15" w:type="dxa"/>
              <w:right w:w="15" w:type="dxa"/>
            </w:tcMar>
            <w:vAlign w:val="center"/>
          </w:tcPr>
          <w:p w14:paraId="4A651334">
            <w:pPr>
              <w:spacing w:line="500" w:lineRule="exact"/>
              <w:jc w:val="center"/>
              <w:rPr>
                <w:rFonts w:hint="eastAsia" w:ascii="楷体" w:hAnsi="楷体" w:eastAsia="楷体" w:cs="楷体"/>
                <w:sz w:val="28"/>
                <w:szCs w:val="28"/>
              </w:rPr>
            </w:pPr>
          </w:p>
        </w:tc>
        <w:tc>
          <w:tcPr>
            <w:tcW w:w="1016" w:type="dxa"/>
            <w:vMerge w:val="continue"/>
            <w:tcMar>
              <w:top w:w="15" w:type="dxa"/>
              <w:left w:w="15" w:type="dxa"/>
              <w:right w:w="15" w:type="dxa"/>
            </w:tcMar>
            <w:vAlign w:val="center"/>
          </w:tcPr>
          <w:p w14:paraId="66327962">
            <w:pPr>
              <w:spacing w:line="500" w:lineRule="exact"/>
              <w:jc w:val="center"/>
              <w:rPr>
                <w:rFonts w:hint="eastAsia" w:ascii="楷体" w:hAnsi="楷体" w:eastAsia="楷体" w:cs="楷体"/>
                <w:sz w:val="28"/>
                <w:szCs w:val="28"/>
              </w:rPr>
            </w:pPr>
          </w:p>
        </w:tc>
        <w:tc>
          <w:tcPr>
            <w:tcW w:w="482" w:type="dxa"/>
            <w:tcMar>
              <w:top w:w="15" w:type="dxa"/>
              <w:left w:w="15" w:type="dxa"/>
              <w:right w:w="15" w:type="dxa"/>
            </w:tcMar>
            <w:vAlign w:val="center"/>
          </w:tcPr>
          <w:p w14:paraId="0F8E99A8">
            <w:pPr>
              <w:widowControl/>
              <w:spacing w:line="500" w:lineRule="exact"/>
              <w:jc w:val="center"/>
              <w:textAlignment w:val="center"/>
              <w:rPr>
                <w:rFonts w:hint="eastAsia" w:ascii="楷体" w:hAnsi="楷体" w:eastAsia="楷体" w:cs="楷体"/>
                <w:sz w:val="28"/>
                <w:szCs w:val="28"/>
              </w:rPr>
            </w:pPr>
            <w:r>
              <w:rPr>
                <w:rFonts w:hint="eastAsia" w:ascii="楷体" w:hAnsi="楷体" w:eastAsia="楷体" w:cs="楷体"/>
                <w:kern w:val="0"/>
                <w:sz w:val="28"/>
                <w:szCs w:val="28"/>
              </w:rPr>
              <w:t>20</w:t>
            </w:r>
          </w:p>
        </w:tc>
        <w:tc>
          <w:tcPr>
            <w:tcW w:w="7494" w:type="dxa"/>
            <w:tcMar>
              <w:top w:w="15" w:type="dxa"/>
              <w:left w:w="15" w:type="dxa"/>
              <w:right w:w="15" w:type="dxa"/>
            </w:tcMar>
            <w:vAlign w:val="center"/>
          </w:tcPr>
          <w:p w14:paraId="4614DEE0">
            <w:pPr>
              <w:widowControl/>
              <w:spacing w:line="500" w:lineRule="exact"/>
              <w:jc w:val="left"/>
              <w:textAlignment w:val="center"/>
              <w:rPr>
                <w:rFonts w:hint="eastAsia" w:ascii="楷体" w:hAnsi="楷体" w:eastAsia="楷体" w:cs="楷体"/>
                <w:sz w:val="28"/>
                <w:szCs w:val="28"/>
              </w:rPr>
            </w:pPr>
            <w:r>
              <w:rPr>
                <w:rFonts w:hint="eastAsia" w:ascii="楷体" w:hAnsi="楷体" w:eastAsia="楷体" w:cs="楷体"/>
                <w:kern w:val="0"/>
                <w:sz w:val="28"/>
                <w:szCs w:val="28"/>
              </w:rPr>
              <w:t>为有灵活就业意愿、稳定就业意愿等有就业意愿的求职登记人员提供“一对一”职业指导服务和就业岗位推荐服务。每个月为登记求职人员至少精准推荐3个就业岗位信息，直至登记求职人员实现就业或者无就业愿意。</w:t>
            </w:r>
          </w:p>
        </w:tc>
      </w:tr>
      <w:tr w14:paraId="54D9C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7" w:hRule="atLeast"/>
        </w:trPr>
        <w:tc>
          <w:tcPr>
            <w:tcW w:w="927" w:type="dxa"/>
            <w:vMerge w:val="continue"/>
            <w:tcMar>
              <w:top w:w="15" w:type="dxa"/>
              <w:left w:w="15" w:type="dxa"/>
              <w:right w:w="15" w:type="dxa"/>
            </w:tcMar>
            <w:vAlign w:val="center"/>
          </w:tcPr>
          <w:p w14:paraId="4E225C84">
            <w:pPr>
              <w:spacing w:line="500" w:lineRule="exact"/>
              <w:jc w:val="center"/>
              <w:rPr>
                <w:rFonts w:hint="eastAsia" w:ascii="楷体" w:hAnsi="楷体" w:eastAsia="楷体" w:cs="楷体"/>
                <w:sz w:val="28"/>
                <w:szCs w:val="28"/>
              </w:rPr>
            </w:pPr>
          </w:p>
        </w:tc>
        <w:tc>
          <w:tcPr>
            <w:tcW w:w="1016" w:type="dxa"/>
            <w:vMerge w:val="continue"/>
            <w:tcMar>
              <w:top w:w="15" w:type="dxa"/>
              <w:left w:w="15" w:type="dxa"/>
              <w:right w:w="15" w:type="dxa"/>
            </w:tcMar>
            <w:vAlign w:val="center"/>
          </w:tcPr>
          <w:p w14:paraId="5A23DF47">
            <w:pPr>
              <w:spacing w:line="500" w:lineRule="exact"/>
              <w:jc w:val="center"/>
              <w:rPr>
                <w:rFonts w:hint="eastAsia" w:ascii="楷体" w:hAnsi="楷体" w:eastAsia="楷体" w:cs="楷体"/>
                <w:sz w:val="28"/>
                <w:szCs w:val="28"/>
              </w:rPr>
            </w:pPr>
          </w:p>
        </w:tc>
        <w:tc>
          <w:tcPr>
            <w:tcW w:w="482" w:type="dxa"/>
            <w:tcMar>
              <w:top w:w="15" w:type="dxa"/>
              <w:left w:w="15" w:type="dxa"/>
              <w:right w:w="15" w:type="dxa"/>
            </w:tcMar>
            <w:vAlign w:val="center"/>
          </w:tcPr>
          <w:p w14:paraId="00EF627A">
            <w:pPr>
              <w:widowControl/>
              <w:spacing w:line="500" w:lineRule="exact"/>
              <w:jc w:val="center"/>
              <w:textAlignment w:val="center"/>
              <w:rPr>
                <w:rFonts w:hint="eastAsia" w:ascii="楷体" w:hAnsi="楷体" w:eastAsia="楷体" w:cs="楷体"/>
                <w:sz w:val="28"/>
                <w:szCs w:val="28"/>
              </w:rPr>
            </w:pPr>
            <w:r>
              <w:rPr>
                <w:rFonts w:hint="eastAsia" w:ascii="楷体" w:hAnsi="楷体" w:eastAsia="楷体" w:cs="楷体"/>
                <w:kern w:val="0"/>
                <w:sz w:val="28"/>
                <w:szCs w:val="28"/>
              </w:rPr>
              <w:t>21</w:t>
            </w:r>
          </w:p>
        </w:tc>
        <w:tc>
          <w:tcPr>
            <w:tcW w:w="7494" w:type="dxa"/>
            <w:tcMar>
              <w:top w:w="15" w:type="dxa"/>
              <w:left w:w="15" w:type="dxa"/>
              <w:right w:w="15" w:type="dxa"/>
            </w:tcMar>
            <w:vAlign w:val="center"/>
          </w:tcPr>
          <w:p w14:paraId="543436FC">
            <w:pPr>
              <w:widowControl/>
              <w:spacing w:line="500" w:lineRule="exact"/>
              <w:jc w:val="left"/>
              <w:textAlignment w:val="center"/>
              <w:rPr>
                <w:rFonts w:hint="eastAsia" w:ascii="楷体" w:hAnsi="楷体" w:eastAsia="楷体" w:cs="楷体"/>
                <w:color w:val="FF0000"/>
                <w:sz w:val="28"/>
                <w:szCs w:val="28"/>
                <w:u w:val="single"/>
              </w:rPr>
            </w:pPr>
            <w:r>
              <w:rPr>
                <w:rFonts w:hint="eastAsia" w:ascii="楷体" w:hAnsi="楷体" w:eastAsia="楷体" w:cs="楷体"/>
                <w:kern w:val="0"/>
                <w:sz w:val="28"/>
                <w:szCs w:val="28"/>
              </w:rPr>
              <w:t>应引导灵活就业人员根据本人意愿进行就业登记，鼓励参加企业职工基本养老保险，指导新就业形态从业人员按规定参加职业伤害保障。</w:t>
            </w:r>
          </w:p>
        </w:tc>
      </w:tr>
      <w:tr w14:paraId="09A28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7" w:hRule="atLeast"/>
        </w:trPr>
        <w:tc>
          <w:tcPr>
            <w:tcW w:w="927" w:type="dxa"/>
            <w:vMerge w:val="continue"/>
            <w:tcMar>
              <w:top w:w="15" w:type="dxa"/>
              <w:left w:w="15" w:type="dxa"/>
              <w:right w:w="15" w:type="dxa"/>
            </w:tcMar>
            <w:vAlign w:val="center"/>
          </w:tcPr>
          <w:p w14:paraId="1B2BDDA8">
            <w:pPr>
              <w:spacing w:line="500" w:lineRule="exact"/>
              <w:jc w:val="center"/>
              <w:rPr>
                <w:rFonts w:hint="eastAsia" w:ascii="楷体" w:hAnsi="楷体" w:eastAsia="楷体" w:cs="楷体"/>
                <w:sz w:val="28"/>
                <w:szCs w:val="28"/>
              </w:rPr>
            </w:pPr>
          </w:p>
        </w:tc>
        <w:tc>
          <w:tcPr>
            <w:tcW w:w="1016" w:type="dxa"/>
            <w:tcMar>
              <w:top w:w="15" w:type="dxa"/>
              <w:left w:w="15" w:type="dxa"/>
              <w:right w:w="15" w:type="dxa"/>
            </w:tcMar>
            <w:vAlign w:val="center"/>
          </w:tcPr>
          <w:p w14:paraId="58060D9B">
            <w:pPr>
              <w:widowControl/>
              <w:spacing w:line="500" w:lineRule="exact"/>
              <w:jc w:val="center"/>
              <w:textAlignment w:val="center"/>
              <w:rPr>
                <w:rFonts w:hint="eastAsia" w:ascii="楷体" w:hAnsi="楷体" w:eastAsia="楷体" w:cs="楷体"/>
                <w:sz w:val="28"/>
                <w:szCs w:val="28"/>
              </w:rPr>
            </w:pPr>
            <w:r>
              <w:rPr>
                <w:rFonts w:hint="eastAsia" w:ascii="楷体" w:hAnsi="楷体" w:eastAsia="楷体" w:cs="楷体"/>
                <w:kern w:val="0"/>
                <w:sz w:val="28"/>
                <w:szCs w:val="28"/>
              </w:rPr>
              <w:t>政策服务</w:t>
            </w:r>
          </w:p>
        </w:tc>
        <w:tc>
          <w:tcPr>
            <w:tcW w:w="482" w:type="dxa"/>
            <w:tcMar>
              <w:top w:w="15" w:type="dxa"/>
              <w:left w:w="15" w:type="dxa"/>
              <w:right w:w="15" w:type="dxa"/>
            </w:tcMar>
            <w:vAlign w:val="center"/>
          </w:tcPr>
          <w:p w14:paraId="54EF52AB">
            <w:pPr>
              <w:widowControl/>
              <w:spacing w:line="500" w:lineRule="exact"/>
              <w:jc w:val="center"/>
              <w:textAlignment w:val="center"/>
              <w:rPr>
                <w:rFonts w:hint="eastAsia" w:ascii="楷体" w:hAnsi="楷体" w:eastAsia="楷体" w:cs="楷体"/>
                <w:kern w:val="0"/>
                <w:sz w:val="28"/>
                <w:szCs w:val="28"/>
              </w:rPr>
            </w:pPr>
            <w:r>
              <w:rPr>
                <w:rFonts w:hint="eastAsia" w:ascii="楷体" w:hAnsi="楷体" w:eastAsia="楷体" w:cs="楷体"/>
                <w:kern w:val="0"/>
                <w:sz w:val="28"/>
                <w:szCs w:val="28"/>
              </w:rPr>
              <w:t>22</w:t>
            </w:r>
          </w:p>
        </w:tc>
        <w:tc>
          <w:tcPr>
            <w:tcW w:w="7494" w:type="dxa"/>
            <w:tcMar>
              <w:top w:w="15" w:type="dxa"/>
              <w:left w:w="15" w:type="dxa"/>
              <w:right w:w="15" w:type="dxa"/>
            </w:tcMar>
            <w:vAlign w:val="center"/>
          </w:tcPr>
          <w:p w14:paraId="4099F002">
            <w:pPr>
              <w:widowControl/>
              <w:spacing w:line="500" w:lineRule="exact"/>
              <w:jc w:val="left"/>
              <w:textAlignment w:val="center"/>
              <w:rPr>
                <w:rFonts w:hint="eastAsia" w:ascii="楷体" w:hAnsi="楷体" w:eastAsia="楷体" w:cs="楷体"/>
                <w:kern w:val="0"/>
                <w:sz w:val="28"/>
                <w:szCs w:val="28"/>
              </w:rPr>
            </w:pPr>
            <w:r>
              <w:rPr>
                <w:rFonts w:hint="eastAsia" w:ascii="楷体" w:hAnsi="楷体" w:eastAsia="楷体" w:cs="楷体"/>
                <w:kern w:val="0"/>
                <w:sz w:val="28"/>
                <w:szCs w:val="28"/>
              </w:rPr>
              <w:t>在公告栏、LED屏定期发布促进就业政策，在综合服务窗口受理就业创业政策咨询服务，加大政策宣传力度。</w:t>
            </w:r>
          </w:p>
        </w:tc>
      </w:tr>
      <w:tr w14:paraId="3F60D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7" w:hRule="atLeast"/>
        </w:trPr>
        <w:tc>
          <w:tcPr>
            <w:tcW w:w="927" w:type="dxa"/>
            <w:vMerge w:val="continue"/>
            <w:tcMar>
              <w:top w:w="15" w:type="dxa"/>
              <w:left w:w="15" w:type="dxa"/>
              <w:right w:w="15" w:type="dxa"/>
            </w:tcMar>
            <w:vAlign w:val="center"/>
          </w:tcPr>
          <w:p w14:paraId="14E9593A">
            <w:pPr>
              <w:spacing w:line="500" w:lineRule="exact"/>
              <w:jc w:val="center"/>
              <w:rPr>
                <w:rFonts w:hint="eastAsia" w:ascii="楷体" w:hAnsi="楷体" w:eastAsia="楷体" w:cs="楷体"/>
                <w:sz w:val="28"/>
                <w:szCs w:val="28"/>
              </w:rPr>
            </w:pPr>
          </w:p>
        </w:tc>
        <w:tc>
          <w:tcPr>
            <w:tcW w:w="1016" w:type="dxa"/>
            <w:vMerge w:val="restart"/>
            <w:tcMar>
              <w:top w:w="15" w:type="dxa"/>
              <w:left w:w="15" w:type="dxa"/>
              <w:right w:w="15" w:type="dxa"/>
            </w:tcMar>
            <w:vAlign w:val="center"/>
          </w:tcPr>
          <w:p w14:paraId="413CFD7E">
            <w:pPr>
              <w:widowControl/>
              <w:spacing w:line="500" w:lineRule="exact"/>
              <w:jc w:val="center"/>
              <w:textAlignment w:val="center"/>
              <w:rPr>
                <w:rFonts w:hint="eastAsia" w:ascii="楷体" w:hAnsi="楷体" w:eastAsia="楷体" w:cs="楷体"/>
                <w:sz w:val="28"/>
                <w:szCs w:val="28"/>
              </w:rPr>
            </w:pPr>
            <w:r>
              <w:rPr>
                <w:rFonts w:hint="eastAsia" w:ascii="楷体" w:hAnsi="楷体" w:eastAsia="楷体" w:cs="楷体"/>
                <w:kern w:val="0"/>
                <w:sz w:val="28"/>
                <w:szCs w:val="28"/>
              </w:rPr>
              <w:t>培训创业服务</w:t>
            </w:r>
          </w:p>
        </w:tc>
        <w:tc>
          <w:tcPr>
            <w:tcW w:w="482" w:type="dxa"/>
            <w:tcMar>
              <w:top w:w="15" w:type="dxa"/>
              <w:left w:w="15" w:type="dxa"/>
              <w:right w:w="15" w:type="dxa"/>
            </w:tcMar>
            <w:vAlign w:val="center"/>
          </w:tcPr>
          <w:p w14:paraId="29047AA3">
            <w:pPr>
              <w:widowControl/>
              <w:spacing w:line="500" w:lineRule="exact"/>
              <w:jc w:val="center"/>
              <w:textAlignment w:val="center"/>
              <w:rPr>
                <w:rFonts w:hint="eastAsia" w:ascii="楷体" w:hAnsi="楷体" w:eastAsia="楷体" w:cs="楷体"/>
                <w:kern w:val="0"/>
                <w:sz w:val="28"/>
                <w:szCs w:val="28"/>
                <w:lang w:val="en-US" w:eastAsia="zh-CN"/>
              </w:rPr>
            </w:pPr>
            <w:r>
              <w:rPr>
                <w:rFonts w:hint="eastAsia" w:ascii="楷体" w:hAnsi="楷体" w:eastAsia="楷体" w:cs="楷体"/>
                <w:kern w:val="0"/>
                <w:sz w:val="28"/>
                <w:szCs w:val="28"/>
              </w:rPr>
              <w:t>2</w:t>
            </w:r>
            <w:r>
              <w:rPr>
                <w:rFonts w:hint="eastAsia" w:ascii="楷体" w:hAnsi="楷体" w:eastAsia="楷体" w:cs="楷体"/>
                <w:kern w:val="0"/>
                <w:sz w:val="28"/>
                <w:szCs w:val="28"/>
                <w:lang w:val="en-US" w:eastAsia="zh-CN"/>
              </w:rPr>
              <w:t>3</w:t>
            </w:r>
          </w:p>
        </w:tc>
        <w:tc>
          <w:tcPr>
            <w:tcW w:w="7494" w:type="dxa"/>
            <w:tcMar>
              <w:top w:w="15" w:type="dxa"/>
              <w:left w:w="15" w:type="dxa"/>
              <w:right w:w="15" w:type="dxa"/>
            </w:tcMar>
            <w:vAlign w:val="center"/>
          </w:tcPr>
          <w:p w14:paraId="64A26223">
            <w:pPr>
              <w:widowControl/>
              <w:spacing w:line="500" w:lineRule="exact"/>
              <w:jc w:val="left"/>
              <w:rPr>
                <w:rFonts w:hint="eastAsia" w:ascii="楷体" w:hAnsi="楷体" w:eastAsia="楷体" w:cs="楷体"/>
                <w:kern w:val="0"/>
                <w:sz w:val="28"/>
                <w:szCs w:val="28"/>
              </w:rPr>
            </w:pPr>
            <w:r>
              <w:rPr>
                <w:rFonts w:hint="eastAsia" w:ascii="楷体" w:hAnsi="楷体" w:eastAsia="楷体" w:cs="楷体"/>
                <w:kern w:val="0"/>
                <w:sz w:val="28"/>
                <w:szCs w:val="28"/>
              </w:rPr>
              <w:t>发布职业技能培训项目和职业技能培训机构信息，受理培训咨询，收集培训意愿，协助有培训需求且符合条件的人员参加职业技能培训。</w:t>
            </w:r>
          </w:p>
        </w:tc>
      </w:tr>
      <w:tr w14:paraId="42367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7" w:hRule="atLeast"/>
        </w:trPr>
        <w:tc>
          <w:tcPr>
            <w:tcW w:w="927" w:type="dxa"/>
            <w:vMerge w:val="continue"/>
            <w:tcMar>
              <w:top w:w="15" w:type="dxa"/>
              <w:left w:w="15" w:type="dxa"/>
              <w:right w:w="15" w:type="dxa"/>
            </w:tcMar>
            <w:vAlign w:val="center"/>
          </w:tcPr>
          <w:p w14:paraId="3FF41B2C">
            <w:pPr>
              <w:spacing w:line="500" w:lineRule="exact"/>
              <w:jc w:val="center"/>
              <w:rPr>
                <w:rFonts w:hint="eastAsia" w:ascii="楷体" w:hAnsi="楷体" w:eastAsia="楷体" w:cs="楷体"/>
                <w:sz w:val="28"/>
                <w:szCs w:val="28"/>
              </w:rPr>
            </w:pPr>
          </w:p>
        </w:tc>
        <w:tc>
          <w:tcPr>
            <w:tcW w:w="1016" w:type="dxa"/>
            <w:vMerge w:val="continue"/>
            <w:tcMar>
              <w:top w:w="15" w:type="dxa"/>
              <w:left w:w="15" w:type="dxa"/>
              <w:right w:w="15" w:type="dxa"/>
            </w:tcMar>
            <w:vAlign w:val="center"/>
          </w:tcPr>
          <w:p w14:paraId="2941FDA1">
            <w:pPr>
              <w:spacing w:line="500" w:lineRule="exact"/>
              <w:jc w:val="center"/>
              <w:rPr>
                <w:rFonts w:hint="eastAsia" w:ascii="楷体" w:hAnsi="楷体" w:eastAsia="楷体" w:cs="楷体"/>
                <w:sz w:val="28"/>
                <w:szCs w:val="28"/>
              </w:rPr>
            </w:pPr>
          </w:p>
        </w:tc>
        <w:tc>
          <w:tcPr>
            <w:tcW w:w="482" w:type="dxa"/>
            <w:tcMar>
              <w:top w:w="15" w:type="dxa"/>
              <w:left w:w="15" w:type="dxa"/>
              <w:right w:w="15" w:type="dxa"/>
            </w:tcMar>
            <w:vAlign w:val="center"/>
          </w:tcPr>
          <w:p w14:paraId="68C84698">
            <w:pPr>
              <w:widowControl/>
              <w:spacing w:line="500" w:lineRule="exact"/>
              <w:jc w:val="center"/>
              <w:textAlignment w:val="center"/>
              <w:rPr>
                <w:rFonts w:hint="eastAsia" w:ascii="楷体" w:hAnsi="楷体" w:eastAsia="楷体" w:cs="楷体"/>
                <w:sz w:val="28"/>
                <w:szCs w:val="28"/>
                <w:lang w:val="en-US" w:eastAsia="zh-CN"/>
              </w:rPr>
            </w:pPr>
            <w:r>
              <w:rPr>
                <w:rFonts w:hint="eastAsia" w:ascii="楷体" w:hAnsi="楷体" w:eastAsia="楷体" w:cs="楷体"/>
                <w:kern w:val="0"/>
                <w:sz w:val="28"/>
                <w:szCs w:val="28"/>
              </w:rPr>
              <w:t>2</w:t>
            </w:r>
            <w:r>
              <w:rPr>
                <w:rFonts w:hint="eastAsia" w:ascii="楷体" w:hAnsi="楷体" w:eastAsia="楷体" w:cs="楷体"/>
                <w:kern w:val="0"/>
                <w:sz w:val="28"/>
                <w:szCs w:val="28"/>
                <w:lang w:val="en-US" w:eastAsia="zh-CN"/>
              </w:rPr>
              <w:t>4</w:t>
            </w:r>
          </w:p>
        </w:tc>
        <w:tc>
          <w:tcPr>
            <w:tcW w:w="7494" w:type="dxa"/>
            <w:tcMar>
              <w:top w:w="15" w:type="dxa"/>
              <w:left w:w="15" w:type="dxa"/>
              <w:right w:w="15" w:type="dxa"/>
            </w:tcMar>
            <w:vAlign w:val="center"/>
          </w:tcPr>
          <w:p w14:paraId="3C69374A">
            <w:pPr>
              <w:widowControl/>
              <w:spacing w:line="500" w:lineRule="exact"/>
              <w:jc w:val="left"/>
              <w:textAlignment w:val="center"/>
              <w:rPr>
                <w:rFonts w:hint="eastAsia" w:ascii="楷体" w:hAnsi="楷体" w:eastAsia="楷体" w:cs="楷体"/>
                <w:sz w:val="28"/>
                <w:szCs w:val="28"/>
              </w:rPr>
            </w:pPr>
            <w:r>
              <w:rPr>
                <w:rFonts w:hint="eastAsia" w:ascii="楷体" w:hAnsi="楷体" w:eastAsia="楷体" w:cs="楷体"/>
                <w:kern w:val="0"/>
                <w:sz w:val="28"/>
                <w:szCs w:val="28"/>
              </w:rPr>
              <w:t>为有创业意愿的就业人员提供创业培训推荐、创业项目推介、开业指导、国家创业担保贷款政策咨询等创业服务。</w:t>
            </w:r>
          </w:p>
        </w:tc>
      </w:tr>
      <w:tr w14:paraId="36C59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7" w:hRule="atLeast"/>
        </w:trPr>
        <w:tc>
          <w:tcPr>
            <w:tcW w:w="927" w:type="dxa"/>
            <w:vMerge w:val="continue"/>
            <w:tcMar>
              <w:top w:w="15" w:type="dxa"/>
              <w:left w:w="15" w:type="dxa"/>
              <w:right w:w="15" w:type="dxa"/>
            </w:tcMar>
            <w:vAlign w:val="center"/>
          </w:tcPr>
          <w:p w14:paraId="757112BA">
            <w:pPr>
              <w:spacing w:line="500" w:lineRule="exact"/>
              <w:jc w:val="center"/>
              <w:rPr>
                <w:rFonts w:hint="eastAsia" w:ascii="楷体" w:hAnsi="楷体" w:eastAsia="楷体" w:cs="楷体"/>
                <w:sz w:val="28"/>
                <w:szCs w:val="28"/>
              </w:rPr>
            </w:pPr>
          </w:p>
        </w:tc>
        <w:tc>
          <w:tcPr>
            <w:tcW w:w="1016" w:type="dxa"/>
            <w:tcMar>
              <w:top w:w="15" w:type="dxa"/>
              <w:left w:w="15" w:type="dxa"/>
              <w:right w:w="15" w:type="dxa"/>
            </w:tcMar>
            <w:vAlign w:val="center"/>
          </w:tcPr>
          <w:p w14:paraId="43EB7CDE">
            <w:pPr>
              <w:widowControl/>
              <w:spacing w:line="500" w:lineRule="exact"/>
              <w:jc w:val="center"/>
              <w:textAlignment w:val="center"/>
              <w:rPr>
                <w:rFonts w:hint="eastAsia" w:ascii="楷体" w:hAnsi="楷体" w:eastAsia="楷体" w:cs="楷体"/>
                <w:kern w:val="0"/>
                <w:sz w:val="28"/>
                <w:szCs w:val="28"/>
              </w:rPr>
            </w:pPr>
            <w:r>
              <w:rPr>
                <w:rFonts w:hint="eastAsia" w:ascii="楷体" w:hAnsi="楷体" w:eastAsia="楷体" w:cs="楷体"/>
                <w:kern w:val="0"/>
                <w:sz w:val="28"/>
                <w:szCs w:val="28"/>
              </w:rPr>
              <w:t>权益维护</w:t>
            </w:r>
          </w:p>
        </w:tc>
        <w:tc>
          <w:tcPr>
            <w:tcW w:w="482" w:type="dxa"/>
            <w:tcMar>
              <w:top w:w="15" w:type="dxa"/>
              <w:left w:w="15" w:type="dxa"/>
              <w:right w:w="15" w:type="dxa"/>
            </w:tcMar>
            <w:vAlign w:val="center"/>
          </w:tcPr>
          <w:p w14:paraId="5741D98A">
            <w:pPr>
              <w:widowControl/>
              <w:spacing w:line="500" w:lineRule="exact"/>
              <w:jc w:val="center"/>
              <w:textAlignment w:val="center"/>
              <w:rPr>
                <w:rFonts w:hint="eastAsia" w:ascii="楷体" w:hAnsi="楷体" w:eastAsia="楷体" w:cs="楷体"/>
                <w:kern w:val="0"/>
                <w:sz w:val="28"/>
                <w:szCs w:val="28"/>
                <w:lang w:val="en-US" w:eastAsia="zh-CN"/>
              </w:rPr>
            </w:pPr>
            <w:r>
              <w:rPr>
                <w:rFonts w:hint="eastAsia" w:ascii="楷体" w:hAnsi="楷体" w:eastAsia="楷体" w:cs="楷体"/>
                <w:kern w:val="0"/>
                <w:sz w:val="28"/>
                <w:szCs w:val="28"/>
              </w:rPr>
              <w:t>2</w:t>
            </w:r>
            <w:r>
              <w:rPr>
                <w:rFonts w:hint="eastAsia" w:ascii="楷体" w:hAnsi="楷体" w:eastAsia="楷体" w:cs="楷体"/>
                <w:kern w:val="0"/>
                <w:sz w:val="28"/>
                <w:szCs w:val="28"/>
                <w:lang w:val="en-US" w:eastAsia="zh-CN"/>
              </w:rPr>
              <w:t>5</w:t>
            </w:r>
          </w:p>
        </w:tc>
        <w:tc>
          <w:tcPr>
            <w:tcW w:w="7494" w:type="dxa"/>
            <w:tcMar>
              <w:top w:w="15" w:type="dxa"/>
              <w:left w:w="15" w:type="dxa"/>
              <w:right w:w="15" w:type="dxa"/>
            </w:tcMar>
            <w:vAlign w:val="center"/>
          </w:tcPr>
          <w:p w14:paraId="5A01AF9B">
            <w:pPr>
              <w:widowControl/>
              <w:spacing w:line="500" w:lineRule="exact"/>
              <w:jc w:val="left"/>
              <w:textAlignment w:val="center"/>
              <w:rPr>
                <w:rFonts w:hint="eastAsia" w:ascii="楷体" w:hAnsi="楷体" w:eastAsia="楷体" w:cs="楷体"/>
                <w:kern w:val="0"/>
                <w:sz w:val="28"/>
                <w:szCs w:val="28"/>
              </w:rPr>
            </w:pPr>
            <w:r>
              <w:rPr>
                <w:rFonts w:hint="eastAsia" w:ascii="楷体" w:hAnsi="楷体" w:eastAsia="楷体" w:cs="楷体"/>
                <w:kern w:val="0"/>
                <w:sz w:val="28"/>
                <w:szCs w:val="28"/>
              </w:rPr>
              <w:t>在服务场所内公开服务制度、服务热线和投诉举报方式。指导用工主体设定规范招聘条件，规范招聘行为，依法合规用工，落实安全生产、薪资待遇、休息休假、社会保险等责任。</w:t>
            </w:r>
          </w:p>
        </w:tc>
      </w:tr>
      <w:tr w14:paraId="0F4E3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7" w:hRule="atLeast"/>
        </w:trPr>
        <w:tc>
          <w:tcPr>
            <w:tcW w:w="927" w:type="dxa"/>
            <w:vMerge w:val="continue"/>
            <w:tcMar>
              <w:top w:w="15" w:type="dxa"/>
              <w:left w:w="15" w:type="dxa"/>
              <w:right w:w="15" w:type="dxa"/>
            </w:tcMar>
            <w:vAlign w:val="center"/>
          </w:tcPr>
          <w:p w14:paraId="2C28651E">
            <w:pPr>
              <w:spacing w:line="500" w:lineRule="exact"/>
              <w:jc w:val="center"/>
              <w:rPr>
                <w:rFonts w:hint="eastAsia" w:ascii="楷体" w:hAnsi="楷体" w:eastAsia="楷体" w:cs="楷体"/>
                <w:sz w:val="28"/>
                <w:szCs w:val="28"/>
              </w:rPr>
            </w:pPr>
          </w:p>
        </w:tc>
        <w:tc>
          <w:tcPr>
            <w:tcW w:w="1016" w:type="dxa"/>
            <w:tcMar>
              <w:top w:w="15" w:type="dxa"/>
              <w:left w:w="15" w:type="dxa"/>
              <w:right w:w="15" w:type="dxa"/>
            </w:tcMar>
            <w:vAlign w:val="center"/>
          </w:tcPr>
          <w:p w14:paraId="327E8DA5">
            <w:pPr>
              <w:widowControl/>
              <w:spacing w:line="500" w:lineRule="exact"/>
              <w:jc w:val="center"/>
              <w:textAlignment w:val="center"/>
              <w:rPr>
                <w:rFonts w:hint="eastAsia" w:ascii="楷体" w:hAnsi="楷体" w:eastAsia="楷体" w:cs="楷体"/>
                <w:sz w:val="28"/>
                <w:szCs w:val="28"/>
              </w:rPr>
            </w:pPr>
            <w:r>
              <w:rPr>
                <w:rFonts w:hint="eastAsia" w:ascii="楷体" w:hAnsi="楷体" w:eastAsia="楷体" w:cs="楷体"/>
                <w:kern w:val="0"/>
                <w:sz w:val="28"/>
                <w:szCs w:val="28"/>
              </w:rPr>
              <w:t>线上服务</w:t>
            </w:r>
          </w:p>
        </w:tc>
        <w:tc>
          <w:tcPr>
            <w:tcW w:w="482" w:type="dxa"/>
            <w:tcMar>
              <w:top w:w="15" w:type="dxa"/>
              <w:left w:w="15" w:type="dxa"/>
              <w:right w:w="15" w:type="dxa"/>
            </w:tcMar>
            <w:vAlign w:val="center"/>
          </w:tcPr>
          <w:p w14:paraId="4E41D481">
            <w:pPr>
              <w:widowControl/>
              <w:spacing w:line="500" w:lineRule="exact"/>
              <w:jc w:val="center"/>
              <w:textAlignment w:val="center"/>
              <w:rPr>
                <w:rFonts w:hint="eastAsia" w:ascii="楷体" w:hAnsi="楷体" w:eastAsia="楷体" w:cs="楷体"/>
                <w:sz w:val="28"/>
                <w:szCs w:val="28"/>
                <w:lang w:val="en-US" w:eastAsia="zh-CN"/>
              </w:rPr>
            </w:pPr>
            <w:r>
              <w:rPr>
                <w:rFonts w:hint="eastAsia" w:ascii="楷体" w:hAnsi="楷体" w:eastAsia="楷体" w:cs="楷体"/>
                <w:kern w:val="0"/>
                <w:sz w:val="28"/>
                <w:szCs w:val="28"/>
              </w:rPr>
              <w:t>2</w:t>
            </w:r>
            <w:r>
              <w:rPr>
                <w:rFonts w:hint="eastAsia" w:ascii="楷体" w:hAnsi="楷体" w:eastAsia="楷体" w:cs="楷体"/>
                <w:kern w:val="0"/>
                <w:sz w:val="28"/>
                <w:szCs w:val="28"/>
                <w:lang w:val="en-US" w:eastAsia="zh-CN"/>
              </w:rPr>
              <w:t>6</w:t>
            </w:r>
          </w:p>
        </w:tc>
        <w:tc>
          <w:tcPr>
            <w:tcW w:w="7494" w:type="dxa"/>
            <w:tcMar>
              <w:top w:w="15" w:type="dxa"/>
              <w:left w:w="15" w:type="dxa"/>
              <w:right w:w="15" w:type="dxa"/>
            </w:tcMar>
            <w:vAlign w:val="center"/>
          </w:tcPr>
          <w:p w14:paraId="340CD2E8">
            <w:pPr>
              <w:widowControl/>
              <w:spacing w:line="500" w:lineRule="exact"/>
              <w:jc w:val="left"/>
              <w:textAlignment w:val="center"/>
              <w:rPr>
                <w:rFonts w:hint="eastAsia" w:ascii="楷体" w:hAnsi="楷体" w:eastAsia="楷体" w:cs="楷体"/>
                <w:sz w:val="28"/>
                <w:szCs w:val="28"/>
              </w:rPr>
            </w:pPr>
            <w:r>
              <w:rPr>
                <w:rFonts w:hint="eastAsia" w:ascii="楷体" w:hAnsi="楷体" w:eastAsia="楷体" w:cs="楷体"/>
                <w:kern w:val="0"/>
                <w:sz w:val="28"/>
                <w:szCs w:val="28"/>
              </w:rPr>
              <w:t>引导服务对象在“就在江苏”、数智化零工平台线上服务端自主进行注册登记，开展线上求职招聘活动。</w:t>
            </w:r>
          </w:p>
        </w:tc>
      </w:tr>
      <w:tr w14:paraId="36029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9" w:hRule="atLeast"/>
        </w:trPr>
        <w:tc>
          <w:tcPr>
            <w:tcW w:w="927" w:type="dxa"/>
            <w:vMerge w:val="continue"/>
            <w:tcMar>
              <w:top w:w="15" w:type="dxa"/>
              <w:left w:w="15" w:type="dxa"/>
              <w:right w:w="15" w:type="dxa"/>
            </w:tcMar>
            <w:vAlign w:val="center"/>
          </w:tcPr>
          <w:p w14:paraId="145D5C50">
            <w:pPr>
              <w:spacing w:line="500" w:lineRule="exact"/>
              <w:jc w:val="center"/>
              <w:rPr>
                <w:rFonts w:hint="eastAsia" w:ascii="楷体" w:hAnsi="楷体" w:eastAsia="楷体" w:cs="楷体"/>
                <w:sz w:val="28"/>
                <w:szCs w:val="28"/>
              </w:rPr>
            </w:pPr>
          </w:p>
        </w:tc>
        <w:tc>
          <w:tcPr>
            <w:tcW w:w="1016" w:type="dxa"/>
            <w:tcMar>
              <w:top w:w="15" w:type="dxa"/>
              <w:left w:w="15" w:type="dxa"/>
              <w:right w:w="15" w:type="dxa"/>
            </w:tcMar>
            <w:vAlign w:val="center"/>
          </w:tcPr>
          <w:p w14:paraId="6A6B0DE4">
            <w:pPr>
              <w:widowControl/>
              <w:spacing w:line="500" w:lineRule="exact"/>
              <w:jc w:val="center"/>
              <w:textAlignment w:val="center"/>
              <w:rPr>
                <w:rFonts w:hint="eastAsia" w:ascii="楷体" w:hAnsi="楷体" w:eastAsia="楷体" w:cs="楷体"/>
                <w:kern w:val="0"/>
                <w:sz w:val="28"/>
                <w:szCs w:val="28"/>
              </w:rPr>
            </w:pPr>
            <w:r>
              <w:rPr>
                <w:rFonts w:hint="eastAsia" w:ascii="楷体" w:hAnsi="楷体" w:eastAsia="楷体" w:cs="楷体"/>
                <w:kern w:val="0"/>
                <w:sz w:val="28"/>
                <w:szCs w:val="28"/>
              </w:rPr>
              <w:t>宣传服务</w:t>
            </w:r>
          </w:p>
        </w:tc>
        <w:tc>
          <w:tcPr>
            <w:tcW w:w="482" w:type="dxa"/>
            <w:tcMar>
              <w:top w:w="15" w:type="dxa"/>
              <w:left w:w="15" w:type="dxa"/>
              <w:right w:w="15" w:type="dxa"/>
            </w:tcMar>
            <w:vAlign w:val="center"/>
          </w:tcPr>
          <w:p w14:paraId="723C1123">
            <w:pPr>
              <w:widowControl/>
              <w:spacing w:line="500" w:lineRule="exact"/>
              <w:jc w:val="center"/>
              <w:textAlignment w:val="center"/>
              <w:rPr>
                <w:rFonts w:hint="eastAsia" w:ascii="楷体" w:hAnsi="楷体" w:eastAsia="楷体" w:cs="楷体"/>
                <w:kern w:val="0"/>
                <w:sz w:val="28"/>
                <w:szCs w:val="28"/>
                <w:lang w:val="en-US" w:eastAsia="zh-CN"/>
              </w:rPr>
            </w:pPr>
            <w:r>
              <w:rPr>
                <w:rFonts w:hint="eastAsia" w:ascii="楷体" w:hAnsi="楷体" w:eastAsia="楷体" w:cs="楷体"/>
                <w:kern w:val="0"/>
                <w:sz w:val="28"/>
                <w:szCs w:val="28"/>
              </w:rPr>
              <w:t>2</w:t>
            </w:r>
            <w:r>
              <w:rPr>
                <w:rFonts w:hint="eastAsia" w:ascii="楷体" w:hAnsi="楷体" w:eastAsia="楷体" w:cs="楷体"/>
                <w:kern w:val="0"/>
                <w:sz w:val="28"/>
                <w:szCs w:val="28"/>
                <w:lang w:val="en-US" w:eastAsia="zh-CN"/>
              </w:rPr>
              <w:t>7</w:t>
            </w:r>
          </w:p>
        </w:tc>
        <w:tc>
          <w:tcPr>
            <w:tcW w:w="7494" w:type="dxa"/>
            <w:tcMar>
              <w:top w:w="15" w:type="dxa"/>
              <w:left w:w="15" w:type="dxa"/>
              <w:right w:w="15" w:type="dxa"/>
            </w:tcMar>
            <w:vAlign w:val="center"/>
          </w:tcPr>
          <w:p w14:paraId="305179B5">
            <w:pPr>
              <w:tabs>
                <w:tab w:val="center" w:pos="4153"/>
                <w:tab w:val="right" w:pos="8306"/>
              </w:tabs>
              <w:spacing w:line="560" w:lineRule="exact"/>
              <w:jc w:val="left"/>
              <w:rPr>
                <w:rFonts w:hint="eastAsia" w:ascii="楷体" w:hAnsi="楷体" w:eastAsia="楷体" w:cs="楷体"/>
                <w:kern w:val="0"/>
                <w:sz w:val="28"/>
                <w:szCs w:val="28"/>
              </w:rPr>
            </w:pPr>
            <w:r>
              <w:rPr>
                <w:rFonts w:hint="eastAsia" w:ascii="楷体" w:hAnsi="楷体" w:eastAsia="楷体" w:cs="楷体"/>
                <w:kern w:val="0"/>
                <w:sz w:val="28"/>
                <w:szCs w:val="28"/>
              </w:rPr>
              <w:t>利用电视、网络等宣传渠道，为镇江市零工市场开展宣传，提高零工市场知晓度，扩大零工市场服务范围和服务成效。</w:t>
            </w:r>
          </w:p>
        </w:tc>
      </w:tr>
      <w:tr w14:paraId="03729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4" w:hRule="atLeast"/>
        </w:trPr>
        <w:tc>
          <w:tcPr>
            <w:tcW w:w="927" w:type="dxa"/>
            <w:vMerge w:val="continue"/>
            <w:tcMar>
              <w:top w:w="15" w:type="dxa"/>
              <w:left w:w="15" w:type="dxa"/>
              <w:right w:w="15" w:type="dxa"/>
            </w:tcMar>
            <w:vAlign w:val="center"/>
          </w:tcPr>
          <w:p w14:paraId="1110FF29">
            <w:pPr>
              <w:spacing w:line="500" w:lineRule="exact"/>
              <w:jc w:val="center"/>
              <w:rPr>
                <w:rFonts w:hint="eastAsia" w:ascii="楷体" w:hAnsi="楷体" w:eastAsia="楷体" w:cs="楷体"/>
                <w:sz w:val="28"/>
                <w:szCs w:val="28"/>
              </w:rPr>
            </w:pPr>
            <w:bookmarkStart w:id="0" w:name="OLE_LINK13" w:colFirst="1" w:colLast="3"/>
          </w:p>
        </w:tc>
        <w:tc>
          <w:tcPr>
            <w:tcW w:w="1016" w:type="dxa"/>
            <w:tcMar>
              <w:top w:w="15" w:type="dxa"/>
              <w:left w:w="15" w:type="dxa"/>
              <w:right w:w="15" w:type="dxa"/>
            </w:tcMar>
            <w:vAlign w:val="center"/>
          </w:tcPr>
          <w:p w14:paraId="4B61EC64">
            <w:pPr>
              <w:widowControl/>
              <w:spacing w:line="500" w:lineRule="exact"/>
              <w:jc w:val="center"/>
              <w:textAlignment w:val="center"/>
              <w:rPr>
                <w:rFonts w:hint="eastAsia" w:ascii="楷体" w:hAnsi="楷体" w:eastAsia="楷体" w:cs="楷体"/>
                <w:kern w:val="0"/>
                <w:sz w:val="28"/>
                <w:szCs w:val="28"/>
              </w:rPr>
            </w:pPr>
            <w:r>
              <w:rPr>
                <w:rFonts w:hint="eastAsia" w:ascii="楷体" w:hAnsi="楷体" w:eastAsia="楷体" w:cs="楷体"/>
                <w:kern w:val="0"/>
                <w:sz w:val="28"/>
                <w:szCs w:val="28"/>
              </w:rPr>
              <w:t>台账</w:t>
            </w:r>
            <w:bookmarkStart w:id="1" w:name="OLE_LINK12"/>
            <w:r>
              <w:rPr>
                <w:rFonts w:hint="eastAsia" w:ascii="楷体" w:hAnsi="楷体" w:eastAsia="楷体" w:cs="楷体"/>
                <w:kern w:val="0"/>
                <w:sz w:val="28"/>
                <w:szCs w:val="28"/>
              </w:rPr>
              <w:t>资</w:t>
            </w:r>
            <w:bookmarkEnd w:id="1"/>
            <w:r>
              <w:rPr>
                <w:rFonts w:hint="eastAsia" w:ascii="楷体" w:hAnsi="楷体" w:eastAsia="楷体" w:cs="楷体"/>
                <w:kern w:val="0"/>
                <w:sz w:val="28"/>
                <w:szCs w:val="28"/>
              </w:rPr>
              <w:t>料</w:t>
            </w:r>
          </w:p>
        </w:tc>
        <w:tc>
          <w:tcPr>
            <w:tcW w:w="482" w:type="dxa"/>
            <w:tcMar>
              <w:top w:w="15" w:type="dxa"/>
              <w:left w:w="15" w:type="dxa"/>
              <w:right w:w="15" w:type="dxa"/>
            </w:tcMar>
            <w:vAlign w:val="center"/>
          </w:tcPr>
          <w:p w14:paraId="7D010D45">
            <w:pPr>
              <w:widowControl/>
              <w:spacing w:line="500" w:lineRule="exact"/>
              <w:jc w:val="center"/>
              <w:textAlignment w:val="center"/>
              <w:rPr>
                <w:rFonts w:hint="eastAsia" w:ascii="楷体" w:hAnsi="楷体" w:eastAsia="楷体" w:cs="楷体"/>
                <w:kern w:val="0"/>
                <w:sz w:val="28"/>
                <w:szCs w:val="28"/>
                <w:lang w:val="en-US" w:eastAsia="zh-CN"/>
              </w:rPr>
            </w:pPr>
            <w:r>
              <w:rPr>
                <w:rFonts w:hint="eastAsia" w:ascii="楷体" w:hAnsi="楷体" w:eastAsia="楷体" w:cs="楷体"/>
                <w:kern w:val="0"/>
                <w:sz w:val="28"/>
                <w:szCs w:val="28"/>
              </w:rPr>
              <w:t>2</w:t>
            </w:r>
            <w:r>
              <w:rPr>
                <w:rFonts w:hint="eastAsia" w:ascii="楷体" w:hAnsi="楷体" w:eastAsia="楷体" w:cs="楷体"/>
                <w:kern w:val="0"/>
                <w:sz w:val="28"/>
                <w:szCs w:val="28"/>
                <w:lang w:val="en-US" w:eastAsia="zh-CN"/>
              </w:rPr>
              <w:t>8</w:t>
            </w:r>
          </w:p>
        </w:tc>
        <w:tc>
          <w:tcPr>
            <w:tcW w:w="7494" w:type="dxa"/>
            <w:tcMar>
              <w:top w:w="15" w:type="dxa"/>
              <w:left w:w="15" w:type="dxa"/>
              <w:right w:w="15" w:type="dxa"/>
            </w:tcMar>
            <w:vAlign w:val="center"/>
          </w:tcPr>
          <w:p w14:paraId="7B93796A">
            <w:pPr>
              <w:widowControl/>
              <w:spacing w:line="500" w:lineRule="exact"/>
              <w:jc w:val="left"/>
              <w:textAlignment w:val="center"/>
              <w:rPr>
                <w:rFonts w:hint="eastAsia" w:ascii="楷体" w:hAnsi="楷体" w:eastAsia="楷体" w:cs="楷体"/>
                <w:kern w:val="0"/>
                <w:sz w:val="28"/>
                <w:szCs w:val="28"/>
              </w:rPr>
            </w:pPr>
            <w:r>
              <w:rPr>
                <w:rFonts w:hint="eastAsia" w:ascii="楷体" w:hAnsi="楷体" w:eastAsia="楷体" w:cs="楷体"/>
                <w:kern w:val="0"/>
                <w:sz w:val="28"/>
                <w:szCs w:val="28"/>
              </w:rPr>
              <w:t>建立健全各项工作规章制度，制定服务清单和服务流程图，规范服务内容和服务流程，建立完善的求职登记、岗位推荐、信息发布等各项工作台账，并按年度开展数据分析和总结。</w:t>
            </w:r>
          </w:p>
        </w:tc>
      </w:tr>
      <w:bookmarkEnd w:id="0"/>
    </w:tbl>
    <w:p w14:paraId="3439ECDC">
      <w:pPr>
        <w:numPr>
          <w:ilvl w:val="0"/>
          <w:numId w:val="0"/>
        </w:numPr>
        <w:ind w:firstLine="560" w:firstLineChars="200"/>
        <w:rPr>
          <w:rFonts w:hint="eastAsia" w:ascii="楷体" w:hAnsi="楷体" w:eastAsia="楷体" w:cs="楷体"/>
          <w:color w:val="000000"/>
          <w:kern w:val="0"/>
          <w:sz w:val="28"/>
          <w:szCs w:val="28"/>
        </w:rPr>
      </w:pPr>
    </w:p>
    <w:p w14:paraId="241F6B0C">
      <w:pPr>
        <w:numPr>
          <w:ilvl w:val="0"/>
          <w:numId w:val="0"/>
        </w:numPr>
        <w:rPr>
          <w:rFonts w:hint="eastAsia" w:ascii="楷体" w:hAnsi="楷体" w:eastAsia="楷体" w:cs="楷体"/>
          <w:sz w:val="28"/>
          <w:szCs w:val="28"/>
          <w:u w:val="none"/>
          <w:lang w:val="en-US" w:eastAsia="zh-CN"/>
        </w:rPr>
      </w:pPr>
    </w:p>
    <w:p w14:paraId="210727A0">
      <w:pPr>
        <w:numPr>
          <w:ilvl w:val="0"/>
          <w:numId w:val="0"/>
        </w:numPr>
        <w:rPr>
          <w:rFonts w:hint="eastAsia" w:ascii="楷体" w:hAnsi="楷体" w:eastAsia="楷体" w:cs="楷体"/>
          <w:b/>
          <w:bCs/>
          <w:sz w:val="28"/>
          <w:szCs w:val="28"/>
          <w:u w:val="none"/>
          <w:lang w:val="en-US" w:eastAsia="zh-CN"/>
        </w:rPr>
      </w:pPr>
      <w:r>
        <w:rPr>
          <w:rFonts w:hint="eastAsia" w:ascii="楷体" w:hAnsi="楷体" w:eastAsia="楷体" w:cs="楷体"/>
          <w:b/>
          <w:bCs/>
          <w:sz w:val="28"/>
          <w:szCs w:val="28"/>
          <w:u w:val="none"/>
          <w:lang w:val="en-US" w:eastAsia="zh-CN"/>
        </w:rPr>
        <w:t>（三）服务管理与考核</w:t>
      </w:r>
    </w:p>
    <w:p w14:paraId="0C1E2FCA">
      <w:pPr>
        <w:widowControl/>
        <w:shd w:val="clear" w:color="auto" w:fill="FFFFFF"/>
        <w:spacing w:line="560" w:lineRule="exact"/>
        <w:ind w:firstLine="640"/>
        <w:jc w:val="center"/>
        <w:rPr>
          <w:rFonts w:hint="eastAsia" w:ascii="楷体" w:hAnsi="楷体" w:eastAsia="楷体" w:cs="楷体"/>
          <w:kern w:val="0"/>
          <w:sz w:val="28"/>
          <w:szCs w:val="28"/>
          <w:shd w:val="clear" w:color="auto" w:fill="FFFFFF"/>
        </w:rPr>
      </w:pPr>
      <w:r>
        <w:rPr>
          <w:rFonts w:hint="eastAsia" w:ascii="楷体" w:hAnsi="楷体" w:eastAsia="楷体" w:cs="楷体"/>
          <w:kern w:val="0"/>
          <w:sz w:val="28"/>
          <w:szCs w:val="28"/>
        </w:rPr>
        <w:t>镇江市（润州）零工市场服务内容绩效考评细则</w:t>
      </w:r>
    </w:p>
    <w:tbl>
      <w:tblPr>
        <w:tblStyle w:val="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80"/>
        <w:gridCol w:w="1044"/>
        <w:gridCol w:w="5097"/>
        <w:gridCol w:w="2651"/>
      </w:tblGrid>
      <w:tr w14:paraId="582C5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Header/>
          <w:jc w:val="center"/>
        </w:trPr>
        <w:tc>
          <w:tcPr>
            <w:tcW w:w="501" w:type="pct"/>
            <w:tcMar>
              <w:top w:w="15" w:type="dxa"/>
              <w:left w:w="15" w:type="dxa"/>
              <w:right w:w="15" w:type="dxa"/>
            </w:tcMar>
            <w:vAlign w:val="center"/>
          </w:tcPr>
          <w:p w14:paraId="413CB5B1">
            <w:pPr>
              <w:widowControl/>
              <w:spacing w:line="500" w:lineRule="exact"/>
              <w:jc w:val="center"/>
              <w:textAlignment w:val="center"/>
              <w:rPr>
                <w:rFonts w:hint="eastAsia" w:ascii="楷体" w:hAnsi="楷体" w:eastAsia="楷体" w:cs="楷体"/>
                <w:b/>
                <w:sz w:val="28"/>
                <w:szCs w:val="28"/>
              </w:rPr>
            </w:pPr>
            <w:r>
              <w:rPr>
                <w:rFonts w:hint="eastAsia" w:ascii="楷体" w:hAnsi="楷体" w:eastAsia="楷体" w:cs="楷体"/>
                <w:b/>
                <w:kern w:val="0"/>
                <w:sz w:val="28"/>
                <w:szCs w:val="28"/>
              </w:rPr>
              <w:t>考核项目</w:t>
            </w:r>
          </w:p>
        </w:tc>
        <w:tc>
          <w:tcPr>
            <w:tcW w:w="534" w:type="pct"/>
            <w:tcMar>
              <w:top w:w="15" w:type="dxa"/>
              <w:left w:w="15" w:type="dxa"/>
              <w:right w:w="15" w:type="dxa"/>
            </w:tcMar>
            <w:vAlign w:val="center"/>
          </w:tcPr>
          <w:p w14:paraId="3D2F2363">
            <w:pPr>
              <w:widowControl/>
              <w:spacing w:line="500" w:lineRule="exact"/>
              <w:jc w:val="center"/>
              <w:textAlignment w:val="center"/>
              <w:rPr>
                <w:rFonts w:hint="eastAsia" w:ascii="楷体" w:hAnsi="楷体" w:eastAsia="楷体" w:cs="楷体"/>
                <w:b/>
                <w:sz w:val="28"/>
                <w:szCs w:val="28"/>
              </w:rPr>
            </w:pPr>
            <w:r>
              <w:rPr>
                <w:rFonts w:hint="eastAsia" w:ascii="楷体" w:hAnsi="楷体" w:eastAsia="楷体" w:cs="楷体"/>
                <w:b/>
                <w:kern w:val="0"/>
                <w:sz w:val="28"/>
                <w:szCs w:val="28"/>
              </w:rPr>
              <w:t>考核内容</w:t>
            </w:r>
          </w:p>
        </w:tc>
        <w:tc>
          <w:tcPr>
            <w:tcW w:w="2607" w:type="pct"/>
            <w:tcMar>
              <w:top w:w="15" w:type="dxa"/>
              <w:left w:w="15" w:type="dxa"/>
              <w:right w:w="15" w:type="dxa"/>
            </w:tcMar>
            <w:vAlign w:val="center"/>
          </w:tcPr>
          <w:p w14:paraId="4B2F9CA4">
            <w:pPr>
              <w:widowControl/>
              <w:spacing w:line="500" w:lineRule="exact"/>
              <w:jc w:val="center"/>
              <w:textAlignment w:val="center"/>
              <w:rPr>
                <w:rFonts w:hint="eastAsia" w:ascii="楷体" w:hAnsi="楷体" w:eastAsia="楷体" w:cs="楷体"/>
                <w:b/>
                <w:kern w:val="0"/>
                <w:sz w:val="28"/>
                <w:szCs w:val="28"/>
              </w:rPr>
            </w:pPr>
            <w:r>
              <w:rPr>
                <w:rFonts w:hint="eastAsia" w:ascii="楷体" w:hAnsi="楷体" w:eastAsia="楷体" w:cs="楷体"/>
                <w:b/>
                <w:kern w:val="0"/>
                <w:sz w:val="28"/>
                <w:szCs w:val="28"/>
              </w:rPr>
              <w:t>考核具体内容</w:t>
            </w:r>
          </w:p>
        </w:tc>
        <w:tc>
          <w:tcPr>
            <w:tcW w:w="1356" w:type="pct"/>
            <w:tcMar>
              <w:top w:w="15" w:type="dxa"/>
              <w:left w:w="15" w:type="dxa"/>
              <w:right w:w="15" w:type="dxa"/>
            </w:tcMar>
            <w:vAlign w:val="center"/>
          </w:tcPr>
          <w:p w14:paraId="3B28491E">
            <w:pPr>
              <w:widowControl/>
              <w:spacing w:line="500" w:lineRule="exact"/>
              <w:jc w:val="center"/>
              <w:textAlignment w:val="center"/>
              <w:rPr>
                <w:rFonts w:hint="eastAsia" w:ascii="楷体" w:hAnsi="楷体" w:eastAsia="楷体" w:cs="楷体"/>
                <w:b/>
                <w:kern w:val="0"/>
                <w:sz w:val="28"/>
                <w:szCs w:val="28"/>
              </w:rPr>
            </w:pPr>
            <w:r>
              <w:rPr>
                <w:rFonts w:hint="eastAsia" w:ascii="楷体" w:hAnsi="楷体" w:eastAsia="楷体" w:cs="楷体"/>
                <w:b/>
                <w:bCs/>
                <w:sz w:val="28"/>
                <w:szCs w:val="28"/>
              </w:rPr>
              <w:t>考核方式</w:t>
            </w:r>
          </w:p>
        </w:tc>
      </w:tr>
      <w:tr w14:paraId="4B986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5" w:hRule="atLeast"/>
          <w:jc w:val="center"/>
        </w:trPr>
        <w:tc>
          <w:tcPr>
            <w:tcW w:w="501" w:type="pct"/>
            <w:vMerge w:val="restart"/>
            <w:tcMar>
              <w:top w:w="15" w:type="dxa"/>
              <w:left w:w="15" w:type="dxa"/>
              <w:right w:w="15" w:type="dxa"/>
            </w:tcMar>
            <w:vAlign w:val="center"/>
          </w:tcPr>
          <w:p w14:paraId="37A0282D">
            <w:pPr>
              <w:widowControl/>
              <w:jc w:val="center"/>
              <w:textAlignment w:val="center"/>
              <w:rPr>
                <w:rFonts w:hint="eastAsia" w:ascii="楷体" w:hAnsi="楷体" w:eastAsia="楷体" w:cs="楷体"/>
                <w:kern w:val="0"/>
                <w:sz w:val="28"/>
                <w:szCs w:val="28"/>
              </w:rPr>
            </w:pPr>
            <w:r>
              <w:rPr>
                <w:rFonts w:hint="eastAsia" w:ascii="楷体" w:hAnsi="楷体" w:eastAsia="楷体" w:cs="楷体"/>
                <w:kern w:val="0"/>
                <w:sz w:val="28"/>
                <w:szCs w:val="28"/>
              </w:rPr>
              <w:t>科学规范的线下服务平台</w:t>
            </w:r>
          </w:p>
          <w:p w14:paraId="27EFE052">
            <w:pPr>
              <w:widowControl/>
              <w:jc w:val="center"/>
              <w:textAlignment w:val="center"/>
              <w:rPr>
                <w:rFonts w:hint="eastAsia" w:ascii="楷体" w:hAnsi="楷体" w:eastAsia="楷体" w:cs="楷体"/>
                <w:kern w:val="0"/>
                <w:sz w:val="28"/>
                <w:szCs w:val="28"/>
              </w:rPr>
            </w:pPr>
            <w:r>
              <w:rPr>
                <w:rFonts w:hint="eastAsia" w:ascii="楷体" w:hAnsi="楷体" w:eastAsia="楷体" w:cs="楷体"/>
                <w:kern w:val="0"/>
                <w:sz w:val="28"/>
                <w:szCs w:val="28"/>
              </w:rPr>
              <w:t>（20分）</w:t>
            </w:r>
          </w:p>
        </w:tc>
        <w:tc>
          <w:tcPr>
            <w:tcW w:w="534" w:type="pct"/>
            <w:tcMar>
              <w:top w:w="15" w:type="dxa"/>
              <w:left w:w="15" w:type="dxa"/>
              <w:right w:w="15" w:type="dxa"/>
            </w:tcMar>
            <w:vAlign w:val="center"/>
          </w:tcPr>
          <w:p w14:paraId="1B7BE033">
            <w:pPr>
              <w:widowControl/>
              <w:jc w:val="center"/>
              <w:textAlignment w:val="center"/>
              <w:rPr>
                <w:rFonts w:hint="eastAsia" w:ascii="楷体" w:hAnsi="楷体" w:eastAsia="楷体" w:cs="楷体"/>
                <w:kern w:val="0"/>
                <w:sz w:val="28"/>
                <w:szCs w:val="28"/>
              </w:rPr>
            </w:pPr>
            <w:r>
              <w:rPr>
                <w:rFonts w:hint="eastAsia" w:ascii="楷体" w:hAnsi="楷体" w:eastAsia="楷体" w:cs="楷体"/>
                <w:kern w:val="0"/>
                <w:sz w:val="28"/>
                <w:szCs w:val="28"/>
              </w:rPr>
              <w:t>服务场所（5分）</w:t>
            </w:r>
          </w:p>
        </w:tc>
        <w:tc>
          <w:tcPr>
            <w:tcW w:w="2607" w:type="pct"/>
            <w:tcMar>
              <w:top w:w="15" w:type="dxa"/>
              <w:left w:w="15" w:type="dxa"/>
              <w:right w:w="15" w:type="dxa"/>
            </w:tcMar>
            <w:vAlign w:val="center"/>
          </w:tcPr>
          <w:p w14:paraId="0909FB0E">
            <w:pPr>
              <w:widowControl/>
              <w:textAlignment w:val="center"/>
              <w:rPr>
                <w:rFonts w:hint="eastAsia" w:ascii="楷体" w:hAnsi="楷体" w:eastAsia="楷体" w:cs="楷体"/>
                <w:color w:val="000000"/>
                <w:sz w:val="28"/>
                <w:szCs w:val="28"/>
              </w:rPr>
            </w:pPr>
            <w:r>
              <w:rPr>
                <w:rFonts w:hint="eastAsia" w:ascii="楷体" w:hAnsi="楷体" w:eastAsia="楷体" w:cs="楷体"/>
                <w:color w:val="000000"/>
                <w:kern w:val="0"/>
                <w:sz w:val="28"/>
                <w:szCs w:val="28"/>
              </w:rPr>
              <w:t>1.零工市场标识明显，无遮挡无污垢，公布服务电话。（1分）</w:t>
            </w:r>
          </w:p>
          <w:p w14:paraId="43E0BCDD">
            <w:pPr>
              <w:widowControl/>
              <w:textAlignment w:val="center"/>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2.零工市场周边设置有明显的宣传标识、宣传指示牌、宣传栏等设施。（1分）</w:t>
            </w:r>
          </w:p>
          <w:p w14:paraId="099347C6">
            <w:pPr>
              <w:widowControl/>
              <w:textAlignment w:val="top"/>
              <w:rPr>
                <w:rFonts w:hint="eastAsia" w:ascii="楷体" w:hAnsi="楷体" w:eastAsia="楷体" w:cs="楷体"/>
                <w:sz w:val="28"/>
                <w:szCs w:val="28"/>
              </w:rPr>
            </w:pPr>
            <w:r>
              <w:rPr>
                <w:rFonts w:hint="eastAsia" w:ascii="楷体" w:hAnsi="楷体" w:eastAsia="楷体" w:cs="楷体"/>
                <w:color w:val="000000"/>
                <w:sz w:val="28"/>
                <w:szCs w:val="28"/>
              </w:rPr>
              <w:t>3.服务场所内布局合理，功能室齐全；</w:t>
            </w:r>
            <w:r>
              <w:rPr>
                <w:rFonts w:hint="eastAsia" w:ascii="楷体" w:hAnsi="楷体" w:eastAsia="楷体" w:cs="楷体"/>
                <w:color w:val="000000"/>
                <w:kern w:val="0"/>
                <w:sz w:val="28"/>
                <w:szCs w:val="28"/>
              </w:rPr>
              <w:t>（1分）</w:t>
            </w:r>
          </w:p>
          <w:p w14:paraId="14AB238B">
            <w:pPr>
              <w:widowControl/>
              <w:textAlignment w:val="top"/>
              <w:rPr>
                <w:rFonts w:hint="eastAsia" w:ascii="楷体" w:hAnsi="楷体" w:eastAsia="楷体" w:cs="楷体"/>
                <w:color w:val="000000"/>
                <w:sz w:val="28"/>
                <w:szCs w:val="28"/>
              </w:rPr>
            </w:pPr>
            <w:r>
              <w:rPr>
                <w:rFonts w:hint="eastAsia" w:ascii="楷体" w:hAnsi="楷体" w:eastAsia="楷体" w:cs="楷体"/>
                <w:color w:val="000000"/>
                <w:sz w:val="28"/>
                <w:szCs w:val="28"/>
              </w:rPr>
              <w:t>4.</w:t>
            </w:r>
            <w:r>
              <w:rPr>
                <w:rFonts w:hint="eastAsia" w:ascii="楷体" w:hAnsi="楷体" w:eastAsia="楷体" w:cs="楷体"/>
                <w:kern w:val="0"/>
                <w:sz w:val="28"/>
                <w:szCs w:val="28"/>
              </w:rPr>
              <w:t>制定管理制度、服务事项清单、服务流程图等，并上墙公示。（1分）</w:t>
            </w:r>
          </w:p>
          <w:p w14:paraId="686292A5">
            <w:pPr>
              <w:widowControl/>
              <w:textAlignment w:val="center"/>
              <w:rPr>
                <w:rFonts w:hint="eastAsia" w:ascii="楷体" w:hAnsi="楷体" w:eastAsia="楷体" w:cs="楷体"/>
                <w:sz w:val="28"/>
                <w:szCs w:val="28"/>
              </w:rPr>
            </w:pPr>
            <w:r>
              <w:rPr>
                <w:rFonts w:hint="eastAsia" w:ascii="楷体" w:hAnsi="楷体" w:eastAsia="楷体" w:cs="楷体"/>
                <w:color w:val="000000"/>
                <w:sz w:val="28"/>
                <w:szCs w:val="28"/>
              </w:rPr>
              <w:t>5.服务场所建设有疏散通道、安全出口，配备消防安全设备和安全监控系统。</w:t>
            </w:r>
            <w:r>
              <w:rPr>
                <w:rFonts w:hint="eastAsia" w:ascii="楷体" w:hAnsi="楷体" w:eastAsia="楷体" w:cs="楷体"/>
                <w:kern w:val="0"/>
                <w:sz w:val="28"/>
                <w:szCs w:val="28"/>
              </w:rPr>
              <w:t>（1分）</w:t>
            </w:r>
          </w:p>
        </w:tc>
        <w:tc>
          <w:tcPr>
            <w:tcW w:w="1356" w:type="pct"/>
            <w:tcMar>
              <w:top w:w="15" w:type="dxa"/>
              <w:left w:w="15" w:type="dxa"/>
              <w:right w:w="15" w:type="dxa"/>
            </w:tcMar>
            <w:vAlign w:val="center"/>
          </w:tcPr>
          <w:p w14:paraId="017490AB">
            <w:pPr>
              <w:widowControl/>
              <w:textAlignment w:val="center"/>
              <w:rPr>
                <w:rFonts w:hint="eastAsia" w:ascii="楷体" w:hAnsi="楷体" w:eastAsia="楷体" w:cs="楷体"/>
                <w:color w:val="000000"/>
                <w:kern w:val="0"/>
                <w:sz w:val="28"/>
                <w:szCs w:val="28"/>
              </w:rPr>
            </w:pPr>
            <w:r>
              <w:rPr>
                <w:rFonts w:hint="eastAsia" w:ascii="楷体" w:hAnsi="楷体" w:eastAsia="楷体" w:cs="楷体"/>
                <w:kern w:val="0"/>
                <w:sz w:val="28"/>
                <w:szCs w:val="28"/>
              </w:rPr>
              <w:t>共5分，每少一项扣1分。</w:t>
            </w:r>
          </w:p>
        </w:tc>
      </w:tr>
      <w:tr w14:paraId="26A68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jc w:val="center"/>
        </w:trPr>
        <w:tc>
          <w:tcPr>
            <w:tcW w:w="501" w:type="pct"/>
            <w:vMerge w:val="continue"/>
            <w:tcMar>
              <w:top w:w="15" w:type="dxa"/>
              <w:left w:w="15" w:type="dxa"/>
              <w:right w:w="15" w:type="dxa"/>
            </w:tcMar>
            <w:vAlign w:val="center"/>
          </w:tcPr>
          <w:p w14:paraId="0B643FE9">
            <w:pPr>
              <w:rPr>
                <w:rFonts w:hint="eastAsia" w:ascii="楷体" w:hAnsi="楷体" w:eastAsia="楷体" w:cs="楷体"/>
                <w:sz w:val="28"/>
                <w:szCs w:val="28"/>
              </w:rPr>
            </w:pPr>
          </w:p>
        </w:tc>
        <w:tc>
          <w:tcPr>
            <w:tcW w:w="534" w:type="pct"/>
            <w:tcMar>
              <w:top w:w="15" w:type="dxa"/>
              <w:left w:w="15" w:type="dxa"/>
              <w:right w:w="15" w:type="dxa"/>
            </w:tcMar>
            <w:vAlign w:val="center"/>
          </w:tcPr>
          <w:p w14:paraId="00BDAF45">
            <w:pPr>
              <w:widowControl/>
              <w:jc w:val="center"/>
              <w:textAlignment w:val="center"/>
              <w:rPr>
                <w:rFonts w:hint="eastAsia" w:ascii="楷体" w:hAnsi="楷体" w:eastAsia="楷体" w:cs="楷体"/>
                <w:kern w:val="0"/>
                <w:sz w:val="28"/>
                <w:szCs w:val="28"/>
              </w:rPr>
            </w:pPr>
            <w:r>
              <w:rPr>
                <w:rFonts w:hint="eastAsia" w:ascii="楷体" w:hAnsi="楷体" w:eastAsia="楷体" w:cs="楷体"/>
                <w:kern w:val="0"/>
                <w:sz w:val="28"/>
                <w:szCs w:val="28"/>
              </w:rPr>
              <w:t>服务设施设备</w:t>
            </w:r>
          </w:p>
          <w:p w14:paraId="445C89B0">
            <w:pPr>
              <w:widowControl/>
              <w:jc w:val="center"/>
              <w:textAlignment w:val="center"/>
              <w:rPr>
                <w:rFonts w:hint="eastAsia" w:ascii="楷体" w:hAnsi="楷体" w:eastAsia="楷体" w:cs="楷体"/>
                <w:kern w:val="0"/>
                <w:sz w:val="28"/>
                <w:szCs w:val="28"/>
              </w:rPr>
            </w:pPr>
            <w:r>
              <w:rPr>
                <w:rFonts w:hint="eastAsia" w:ascii="楷体" w:hAnsi="楷体" w:eastAsia="楷体" w:cs="楷体"/>
                <w:kern w:val="0"/>
                <w:sz w:val="28"/>
                <w:szCs w:val="28"/>
              </w:rPr>
              <w:t>（5分）</w:t>
            </w:r>
          </w:p>
        </w:tc>
        <w:tc>
          <w:tcPr>
            <w:tcW w:w="2607" w:type="pct"/>
            <w:tcMar>
              <w:top w:w="15" w:type="dxa"/>
              <w:left w:w="15" w:type="dxa"/>
              <w:right w:w="15" w:type="dxa"/>
            </w:tcMar>
            <w:vAlign w:val="center"/>
          </w:tcPr>
          <w:p w14:paraId="12BB520C">
            <w:pPr>
              <w:widowControl/>
              <w:textAlignment w:val="top"/>
              <w:rPr>
                <w:rFonts w:hint="eastAsia" w:ascii="楷体" w:hAnsi="楷体" w:eastAsia="楷体" w:cs="楷体"/>
                <w:color w:val="000000"/>
                <w:sz w:val="28"/>
                <w:szCs w:val="28"/>
              </w:rPr>
            </w:pPr>
            <w:r>
              <w:rPr>
                <w:rFonts w:hint="eastAsia" w:ascii="楷体" w:hAnsi="楷体" w:eastAsia="楷体" w:cs="楷体"/>
                <w:color w:val="000000"/>
                <w:sz w:val="28"/>
                <w:szCs w:val="28"/>
              </w:rPr>
              <w:t>1.有信息发布LED屏且尺寸不低于6平方米；</w:t>
            </w:r>
            <w:r>
              <w:rPr>
                <w:rFonts w:hint="eastAsia" w:ascii="楷体" w:hAnsi="楷体" w:eastAsia="楷体" w:cs="楷体"/>
                <w:kern w:val="0"/>
                <w:sz w:val="28"/>
                <w:szCs w:val="28"/>
              </w:rPr>
              <w:t>（1分）</w:t>
            </w:r>
          </w:p>
          <w:p w14:paraId="5511220E">
            <w:pPr>
              <w:widowControl/>
              <w:textAlignment w:val="top"/>
              <w:rPr>
                <w:rFonts w:hint="eastAsia" w:ascii="楷体" w:hAnsi="楷体" w:eastAsia="楷体" w:cs="楷体"/>
                <w:kern w:val="0"/>
                <w:sz w:val="28"/>
                <w:szCs w:val="28"/>
              </w:rPr>
            </w:pPr>
            <w:r>
              <w:rPr>
                <w:rFonts w:hint="eastAsia" w:ascii="楷体" w:hAnsi="楷体" w:eastAsia="楷体" w:cs="楷体"/>
                <w:color w:val="000000"/>
                <w:sz w:val="28"/>
                <w:szCs w:val="28"/>
              </w:rPr>
              <w:t>2.有政策宣传栏、信息公告栏。</w:t>
            </w:r>
            <w:r>
              <w:rPr>
                <w:rFonts w:hint="eastAsia" w:ascii="楷体" w:hAnsi="楷体" w:eastAsia="楷体" w:cs="楷体"/>
                <w:kern w:val="0"/>
                <w:sz w:val="28"/>
                <w:szCs w:val="28"/>
              </w:rPr>
              <w:t>（1分）</w:t>
            </w:r>
          </w:p>
          <w:p w14:paraId="11E53B98">
            <w:pPr>
              <w:widowControl/>
              <w:textAlignment w:val="top"/>
              <w:rPr>
                <w:rFonts w:hint="eastAsia" w:ascii="楷体" w:hAnsi="楷体" w:eastAsia="楷体" w:cs="楷体"/>
                <w:kern w:val="0"/>
                <w:sz w:val="28"/>
                <w:szCs w:val="28"/>
              </w:rPr>
            </w:pPr>
            <w:r>
              <w:rPr>
                <w:rFonts w:hint="eastAsia" w:ascii="楷体" w:hAnsi="楷体" w:eastAsia="楷体" w:cs="楷体"/>
                <w:kern w:val="0"/>
                <w:sz w:val="28"/>
                <w:szCs w:val="28"/>
              </w:rPr>
              <w:t>3.有</w:t>
            </w:r>
            <w:r>
              <w:rPr>
                <w:rFonts w:hint="eastAsia" w:ascii="楷体" w:hAnsi="楷体" w:eastAsia="楷体" w:cs="楷体"/>
                <w:color w:val="000000"/>
                <w:sz w:val="28"/>
                <w:szCs w:val="28"/>
              </w:rPr>
              <w:t>自助服务机并能正常连通省人社一体化信息系统和数智化零工平台。</w:t>
            </w:r>
            <w:r>
              <w:rPr>
                <w:rFonts w:hint="eastAsia" w:ascii="楷体" w:hAnsi="楷体" w:eastAsia="楷体" w:cs="楷体"/>
                <w:kern w:val="0"/>
                <w:sz w:val="28"/>
                <w:szCs w:val="28"/>
              </w:rPr>
              <w:t>（1分）</w:t>
            </w:r>
          </w:p>
          <w:p w14:paraId="3ED5A5FB">
            <w:pPr>
              <w:widowControl/>
              <w:textAlignment w:val="center"/>
              <w:rPr>
                <w:rFonts w:hint="eastAsia" w:ascii="楷体" w:hAnsi="楷体" w:eastAsia="楷体" w:cs="楷体"/>
                <w:sz w:val="28"/>
                <w:szCs w:val="28"/>
              </w:rPr>
            </w:pPr>
            <w:r>
              <w:rPr>
                <w:rFonts w:hint="eastAsia" w:ascii="楷体" w:hAnsi="楷体" w:eastAsia="楷体" w:cs="楷体"/>
                <w:color w:val="000000"/>
                <w:sz w:val="28"/>
                <w:szCs w:val="28"/>
              </w:rPr>
              <w:t>4.配备有写字桌台、休息座椅、空调通风、手机充电</w:t>
            </w:r>
            <w:r>
              <w:rPr>
                <w:rFonts w:hint="eastAsia" w:ascii="楷体" w:hAnsi="楷体" w:eastAsia="楷体" w:cs="楷体"/>
                <w:color w:val="FF0000"/>
                <w:sz w:val="28"/>
                <w:szCs w:val="28"/>
              </w:rPr>
              <w:t>、</w:t>
            </w:r>
            <w:r>
              <w:rPr>
                <w:rFonts w:hint="eastAsia" w:ascii="楷体" w:hAnsi="楷体" w:eastAsia="楷体" w:cs="楷体"/>
                <w:color w:val="000000"/>
                <w:sz w:val="28"/>
                <w:szCs w:val="28"/>
              </w:rPr>
              <w:t>饮水取用等便民服务设施设备。</w:t>
            </w:r>
            <w:r>
              <w:rPr>
                <w:rFonts w:hint="eastAsia" w:ascii="楷体" w:hAnsi="楷体" w:eastAsia="楷体" w:cs="楷体"/>
                <w:kern w:val="0"/>
                <w:sz w:val="28"/>
                <w:szCs w:val="28"/>
              </w:rPr>
              <w:t>（1分）</w:t>
            </w:r>
          </w:p>
          <w:p w14:paraId="547A11A5">
            <w:pPr>
              <w:widowControl/>
              <w:textAlignment w:val="top"/>
              <w:rPr>
                <w:rFonts w:hint="eastAsia" w:ascii="楷体" w:hAnsi="楷体" w:eastAsia="楷体" w:cs="楷体"/>
                <w:sz w:val="28"/>
                <w:szCs w:val="28"/>
              </w:rPr>
            </w:pPr>
            <w:r>
              <w:rPr>
                <w:rFonts w:hint="eastAsia" w:ascii="楷体" w:hAnsi="楷体" w:eastAsia="楷体" w:cs="楷体"/>
                <w:color w:val="000000"/>
                <w:sz w:val="28"/>
                <w:szCs w:val="28"/>
              </w:rPr>
              <w:t>5.配备有电脑、电话、打印机、复印机、传真机、扫描仪、高拍仪等必要的办公设施设备。</w:t>
            </w:r>
            <w:r>
              <w:rPr>
                <w:rFonts w:hint="eastAsia" w:ascii="楷体" w:hAnsi="楷体" w:eastAsia="楷体" w:cs="楷体"/>
                <w:kern w:val="0"/>
                <w:sz w:val="28"/>
                <w:szCs w:val="28"/>
              </w:rPr>
              <w:t>（1分）</w:t>
            </w:r>
          </w:p>
        </w:tc>
        <w:tc>
          <w:tcPr>
            <w:tcW w:w="1356" w:type="pct"/>
            <w:tcMar>
              <w:top w:w="15" w:type="dxa"/>
              <w:left w:w="15" w:type="dxa"/>
              <w:right w:w="15" w:type="dxa"/>
            </w:tcMar>
            <w:vAlign w:val="center"/>
          </w:tcPr>
          <w:p w14:paraId="5C5B6B56">
            <w:pPr>
              <w:widowControl/>
              <w:textAlignment w:val="top"/>
              <w:rPr>
                <w:rFonts w:hint="eastAsia" w:ascii="楷体" w:hAnsi="楷体" w:eastAsia="楷体" w:cs="楷体"/>
                <w:b/>
                <w:bCs/>
                <w:color w:val="000000"/>
                <w:sz w:val="28"/>
                <w:szCs w:val="28"/>
              </w:rPr>
            </w:pPr>
            <w:r>
              <w:rPr>
                <w:rFonts w:hint="eastAsia" w:ascii="楷体" w:hAnsi="楷体" w:eastAsia="楷体" w:cs="楷体"/>
                <w:kern w:val="0"/>
                <w:sz w:val="28"/>
                <w:szCs w:val="28"/>
              </w:rPr>
              <w:t>共5分，每少一项或者设备不能正常使用扣1分。</w:t>
            </w:r>
          </w:p>
        </w:tc>
      </w:tr>
      <w:tr w14:paraId="2D150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501" w:type="pct"/>
            <w:vMerge w:val="continue"/>
            <w:tcMar>
              <w:top w:w="15" w:type="dxa"/>
              <w:left w:w="15" w:type="dxa"/>
              <w:right w:w="15" w:type="dxa"/>
            </w:tcMar>
            <w:vAlign w:val="center"/>
          </w:tcPr>
          <w:p w14:paraId="7770A733">
            <w:pPr>
              <w:rPr>
                <w:rFonts w:hint="eastAsia" w:ascii="楷体" w:hAnsi="楷体" w:eastAsia="楷体" w:cs="楷体"/>
                <w:sz w:val="28"/>
                <w:szCs w:val="28"/>
              </w:rPr>
            </w:pPr>
          </w:p>
        </w:tc>
        <w:tc>
          <w:tcPr>
            <w:tcW w:w="534" w:type="pct"/>
            <w:vMerge w:val="restart"/>
            <w:tcMar>
              <w:top w:w="15" w:type="dxa"/>
              <w:left w:w="15" w:type="dxa"/>
              <w:right w:w="15" w:type="dxa"/>
            </w:tcMar>
            <w:vAlign w:val="center"/>
          </w:tcPr>
          <w:p w14:paraId="5A4FAB0C">
            <w:pPr>
              <w:jc w:val="center"/>
              <w:rPr>
                <w:rFonts w:hint="eastAsia" w:ascii="楷体" w:hAnsi="楷体" w:eastAsia="楷体" w:cs="楷体"/>
                <w:sz w:val="28"/>
                <w:szCs w:val="28"/>
              </w:rPr>
            </w:pPr>
            <w:r>
              <w:rPr>
                <w:rFonts w:hint="eastAsia" w:ascii="楷体" w:hAnsi="楷体" w:eastAsia="楷体" w:cs="楷体"/>
                <w:sz w:val="28"/>
                <w:szCs w:val="28"/>
              </w:rPr>
              <w:t>服务人员（10分）</w:t>
            </w:r>
          </w:p>
        </w:tc>
        <w:tc>
          <w:tcPr>
            <w:tcW w:w="2607" w:type="pct"/>
            <w:tcMar>
              <w:top w:w="15" w:type="dxa"/>
              <w:left w:w="15" w:type="dxa"/>
              <w:right w:w="15" w:type="dxa"/>
            </w:tcMar>
            <w:vAlign w:val="center"/>
          </w:tcPr>
          <w:p w14:paraId="3ED29164">
            <w:pPr>
              <w:widowControl/>
              <w:textAlignment w:val="center"/>
              <w:rPr>
                <w:rFonts w:hint="eastAsia" w:ascii="楷体" w:hAnsi="楷体" w:eastAsia="楷体" w:cs="楷体"/>
                <w:color w:val="000000"/>
                <w:sz w:val="28"/>
                <w:szCs w:val="28"/>
              </w:rPr>
            </w:pPr>
            <w:r>
              <w:rPr>
                <w:rFonts w:hint="eastAsia" w:ascii="楷体" w:hAnsi="楷体" w:eastAsia="楷体" w:cs="楷体"/>
                <w:color w:val="000000"/>
                <w:sz w:val="28"/>
                <w:szCs w:val="28"/>
              </w:rPr>
              <w:t>1.配备专职服务人员不少于4人。（4分）</w:t>
            </w:r>
          </w:p>
        </w:tc>
        <w:tc>
          <w:tcPr>
            <w:tcW w:w="1356" w:type="pct"/>
            <w:tcMar>
              <w:top w:w="15" w:type="dxa"/>
              <w:left w:w="15" w:type="dxa"/>
              <w:right w:w="15" w:type="dxa"/>
            </w:tcMar>
            <w:vAlign w:val="center"/>
          </w:tcPr>
          <w:p w14:paraId="7FA74AFB">
            <w:pPr>
              <w:rPr>
                <w:rFonts w:hint="eastAsia" w:ascii="楷体" w:hAnsi="楷体" w:eastAsia="楷体" w:cs="楷体"/>
                <w:kern w:val="0"/>
                <w:sz w:val="28"/>
                <w:szCs w:val="28"/>
              </w:rPr>
            </w:pPr>
            <w:r>
              <w:rPr>
                <w:rFonts w:hint="eastAsia" w:ascii="楷体" w:hAnsi="楷体" w:eastAsia="楷体" w:cs="楷体"/>
                <w:kern w:val="0"/>
                <w:sz w:val="28"/>
                <w:szCs w:val="28"/>
              </w:rPr>
              <w:t>共4分，少于4人不得分。</w:t>
            </w:r>
          </w:p>
        </w:tc>
      </w:tr>
      <w:tr w14:paraId="324CB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 w:hRule="atLeast"/>
          <w:jc w:val="center"/>
        </w:trPr>
        <w:tc>
          <w:tcPr>
            <w:tcW w:w="501" w:type="pct"/>
            <w:vMerge w:val="continue"/>
            <w:tcMar>
              <w:top w:w="15" w:type="dxa"/>
              <w:left w:w="15" w:type="dxa"/>
              <w:right w:w="15" w:type="dxa"/>
            </w:tcMar>
            <w:vAlign w:val="center"/>
          </w:tcPr>
          <w:p w14:paraId="34B1326E">
            <w:pPr>
              <w:rPr>
                <w:rFonts w:hint="eastAsia" w:ascii="楷体" w:hAnsi="楷体" w:eastAsia="楷体" w:cs="楷体"/>
                <w:sz w:val="28"/>
                <w:szCs w:val="28"/>
              </w:rPr>
            </w:pPr>
          </w:p>
        </w:tc>
        <w:tc>
          <w:tcPr>
            <w:tcW w:w="534" w:type="pct"/>
            <w:vMerge w:val="continue"/>
            <w:tcMar>
              <w:top w:w="15" w:type="dxa"/>
              <w:left w:w="15" w:type="dxa"/>
              <w:right w:w="15" w:type="dxa"/>
            </w:tcMar>
            <w:vAlign w:val="center"/>
          </w:tcPr>
          <w:p w14:paraId="21BF964A">
            <w:pPr>
              <w:rPr>
                <w:rFonts w:hint="eastAsia" w:ascii="楷体" w:hAnsi="楷体" w:eastAsia="楷体" w:cs="楷体"/>
                <w:sz w:val="28"/>
                <w:szCs w:val="28"/>
              </w:rPr>
            </w:pPr>
          </w:p>
        </w:tc>
        <w:tc>
          <w:tcPr>
            <w:tcW w:w="2607" w:type="pct"/>
            <w:tcMar>
              <w:top w:w="15" w:type="dxa"/>
              <w:left w:w="15" w:type="dxa"/>
              <w:right w:w="15" w:type="dxa"/>
            </w:tcMar>
            <w:vAlign w:val="center"/>
          </w:tcPr>
          <w:p w14:paraId="1BD57F1A">
            <w:pPr>
              <w:widowControl/>
              <w:textAlignment w:val="center"/>
              <w:rPr>
                <w:rFonts w:hint="eastAsia" w:ascii="楷体" w:hAnsi="楷体" w:eastAsia="楷体" w:cs="楷体"/>
                <w:color w:val="000000"/>
                <w:sz w:val="28"/>
                <w:szCs w:val="28"/>
              </w:rPr>
            </w:pPr>
            <w:r>
              <w:rPr>
                <w:rFonts w:hint="eastAsia" w:ascii="楷体" w:hAnsi="楷体" w:eastAsia="楷体" w:cs="楷体"/>
                <w:color w:val="000000"/>
                <w:sz w:val="28"/>
                <w:szCs w:val="28"/>
              </w:rPr>
              <w:t>2.除法定节假日外，服务场所的运营服务时间为每天9:00-17:00。（2分）</w:t>
            </w:r>
          </w:p>
        </w:tc>
        <w:tc>
          <w:tcPr>
            <w:tcW w:w="1356" w:type="pct"/>
            <w:vMerge w:val="restart"/>
            <w:tcMar>
              <w:top w:w="15" w:type="dxa"/>
              <w:left w:w="15" w:type="dxa"/>
              <w:right w:w="15" w:type="dxa"/>
            </w:tcMar>
            <w:vAlign w:val="center"/>
          </w:tcPr>
          <w:p w14:paraId="019BA54B">
            <w:pPr>
              <w:widowControl/>
              <w:textAlignment w:val="center"/>
              <w:rPr>
                <w:rFonts w:hint="eastAsia" w:ascii="楷体" w:hAnsi="楷体" w:eastAsia="楷体" w:cs="楷体"/>
                <w:kern w:val="0"/>
                <w:sz w:val="28"/>
                <w:szCs w:val="28"/>
              </w:rPr>
            </w:pPr>
            <w:r>
              <w:rPr>
                <w:rFonts w:hint="eastAsia" w:ascii="楷体" w:hAnsi="楷体" w:eastAsia="楷体" w:cs="楷体"/>
                <w:kern w:val="0"/>
                <w:sz w:val="28"/>
                <w:szCs w:val="28"/>
              </w:rPr>
              <w:t>共6分，每被有效投诉一次，或者在检查中发现一次扣1分，扣完为止。</w:t>
            </w:r>
          </w:p>
        </w:tc>
      </w:tr>
      <w:tr w14:paraId="4A8DF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jc w:val="center"/>
        </w:trPr>
        <w:tc>
          <w:tcPr>
            <w:tcW w:w="501" w:type="pct"/>
            <w:vMerge w:val="continue"/>
            <w:tcMar>
              <w:top w:w="15" w:type="dxa"/>
              <w:left w:w="15" w:type="dxa"/>
              <w:right w:w="15" w:type="dxa"/>
            </w:tcMar>
            <w:vAlign w:val="center"/>
          </w:tcPr>
          <w:p w14:paraId="3F488322">
            <w:pPr>
              <w:rPr>
                <w:rFonts w:hint="eastAsia" w:ascii="楷体" w:hAnsi="楷体" w:eastAsia="楷体" w:cs="楷体"/>
                <w:sz w:val="28"/>
                <w:szCs w:val="28"/>
              </w:rPr>
            </w:pPr>
          </w:p>
        </w:tc>
        <w:tc>
          <w:tcPr>
            <w:tcW w:w="534" w:type="pct"/>
            <w:vMerge w:val="continue"/>
            <w:tcMar>
              <w:top w:w="15" w:type="dxa"/>
              <w:left w:w="15" w:type="dxa"/>
              <w:right w:w="15" w:type="dxa"/>
            </w:tcMar>
            <w:vAlign w:val="center"/>
          </w:tcPr>
          <w:p w14:paraId="32F7C3D4">
            <w:pPr>
              <w:rPr>
                <w:rFonts w:hint="eastAsia" w:ascii="楷体" w:hAnsi="楷体" w:eastAsia="楷体" w:cs="楷体"/>
                <w:sz w:val="28"/>
                <w:szCs w:val="28"/>
              </w:rPr>
            </w:pPr>
          </w:p>
        </w:tc>
        <w:tc>
          <w:tcPr>
            <w:tcW w:w="2607" w:type="pct"/>
            <w:tcMar>
              <w:top w:w="15" w:type="dxa"/>
              <w:left w:w="15" w:type="dxa"/>
              <w:right w:w="15" w:type="dxa"/>
            </w:tcMar>
            <w:vAlign w:val="center"/>
          </w:tcPr>
          <w:p w14:paraId="5769B837">
            <w:pPr>
              <w:widowControl/>
              <w:textAlignment w:val="center"/>
              <w:rPr>
                <w:rFonts w:hint="eastAsia" w:ascii="楷体" w:hAnsi="楷体" w:eastAsia="楷体" w:cs="楷体"/>
                <w:kern w:val="0"/>
                <w:sz w:val="28"/>
                <w:szCs w:val="28"/>
              </w:rPr>
            </w:pPr>
            <w:r>
              <w:rPr>
                <w:rFonts w:hint="eastAsia" w:ascii="楷体" w:hAnsi="楷体" w:eastAsia="楷体" w:cs="楷体"/>
                <w:kern w:val="0"/>
                <w:sz w:val="28"/>
                <w:szCs w:val="28"/>
              </w:rPr>
              <w:t>3.建立并落实首问负责制、限时办结制、一次性告知制。（2分）</w:t>
            </w:r>
          </w:p>
        </w:tc>
        <w:tc>
          <w:tcPr>
            <w:tcW w:w="1356" w:type="pct"/>
            <w:vMerge w:val="continue"/>
            <w:tcMar>
              <w:top w:w="15" w:type="dxa"/>
              <w:left w:w="15" w:type="dxa"/>
              <w:right w:w="15" w:type="dxa"/>
            </w:tcMar>
            <w:vAlign w:val="center"/>
          </w:tcPr>
          <w:p w14:paraId="53A40A4F">
            <w:pPr>
              <w:widowControl/>
              <w:textAlignment w:val="center"/>
              <w:rPr>
                <w:rFonts w:hint="eastAsia" w:ascii="楷体" w:hAnsi="楷体" w:eastAsia="楷体" w:cs="楷体"/>
                <w:kern w:val="0"/>
                <w:sz w:val="28"/>
                <w:szCs w:val="28"/>
              </w:rPr>
            </w:pPr>
          </w:p>
        </w:tc>
      </w:tr>
      <w:tr w14:paraId="7606D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501" w:type="pct"/>
            <w:vMerge w:val="continue"/>
            <w:tcMar>
              <w:top w:w="15" w:type="dxa"/>
              <w:left w:w="15" w:type="dxa"/>
              <w:right w:w="15" w:type="dxa"/>
            </w:tcMar>
            <w:vAlign w:val="center"/>
          </w:tcPr>
          <w:p w14:paraId="429EDB95">
            <w:pPr>
              <w:rPr>
                <w:rFonts w:hint="eastAsia" w:ascii="楷体" w:hAnsi="楷体" w:eastAsia="楷体" w:cs="楷体"/>
                <w:sz w:val="28"/>
                <w:szCs w:val="28"/>
              </w:rPr>
            </w:pPr>
          </w:p>
        </w:tc>
        <w:tc>
          <w:tcPr>
            <w:tcW w:w="534" w:type="pct"/>
            <w:vMerge w:val="continue"/>
            <w:tcMar>
              <w:top w:w="15" w:type="dxa"/>
              <w:left w:w="15" w:type="dxa"/>
              <w:right w:w="15" w:type="dxa"/>
            </w:tcMar>
            <w:vAlign w:val="center"/>
          </w:tcPr>
          <w:p w14:paraId="1FB8C24D">
            <w:pPr>
              <w:rPr>
                <w:rFonts w:hint="eastAsia" w:ascii="楷体" w:hAnsi="楷体" w:eastAsia="楷体" w:cs="楷体"/>
                <w:sz w:val="28"/>
                <w:szCs w:val="28"/>
              </w:rPr>
            </w:pPr>
          </w:p>
        </w:tc>
        <w:tc>
          <w:tcPr>
            <w:tcW w:w="2607" w:type="pct"/>
            <w:tcMar>
              <w:top w:w="15" w:type="dxa"/>
              <w:left w:w="15" w:type="dxa"/>
              <w:right w:w="15" w:type="dxa"/>
            </w:tcMar>
            <w:vAlign w:val="center"/>
          </w:tcPr>
          <w:p w14:paraId="4AA128DE">
            <w:pPr>
              <w:widowControl/>
              <w:textAlignment w:val="center"/>
              <w:rPr>
                <w:rFonts w:hint="eastAsia" w:ascii="楷体" w:hAnsi="楷体" w:eastAsia="楷体" w:cs="楷体"/>
                <w:kern w:val="0"/>
                <w:sz w:val="28"/>
                <w:szCs w:val="28"/>
              </w:rPr>
            </w:pPr>
            <w:r>
              <w:rPr>
                <w:rFonts w:hint="eastAsia" w:ascii="楷体" w:hAnsi="楷体" w:eastAsia="楷体" w:cs="楷体"/>
                <w:kern w:val="0"/>
                <w:sz w:val="28"/>
                <w:szCs w:val="28"/>
              </w:rPr>
              <w:t>4.注重服务态度和服务礼仪，规范使用文明用语，严格遵守工作纪律。（2分）</w:t>
            </w:r>
          </w:p>
        </w:tc>
        <w:tc>
          <w:tcPr>
            <w:tcW w:w="1356" w:type="pct"/>
            <w:vMerge w:val="continue"/>
            <w:tcMar>
              <w:top w:w="15" w:type="dxa"/>
              <w:left w:w="15" w:type="dxa"/>
              <w:right w:w="15" w:type="dxa"/>
            </w:tcMar>
            <w:vAlign w:val="center"/>
          </w:tcPr>
          <w:p w14:paraId="73148F16">
            <w:pPr>
              <w:widowControl/>
              <w:textAlignment w:val="center"/>
              <w:rPr>
                <w:rFonts w:hint="eastAsia" w:ascii="楷体" w:hAnsi="楷体" w:eastAsia="楷体" w:cs="楷体"/>
                <w:kern w:val="0"/>
                <w:sz w:val="28"/>
                <w:szCs w:val="28"/>
              </w:rPr>
            </w:pPr>
          </w:p>
        </w:tc>
      </w:tr>
      <w:tr w14:paraId="62316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 w:hRule="atLeast"/>
          <w:jc w:val="center"/>
        </w:trPr>
        <w:tc>
          <w:tcPr>
            <w:tcW w:w="501" w:type="pct"/>
            <w:vMerge w:val="restart"/>
            <w:tcMar>
              <w:top w:w="15" w:type="dxa"/>
              <w:left w:w="15" w:type="dxa"/>
              <w:right w:w="15" w:type="dxa"/>
            </w:tcMar>
            <w:vAlign w:val="center"/>
          </w:tcPr>
          <w:p w14:paraId="2750A5BC">
            <w:pPr>
              <w:jc w:val="center"/>
              <w:rPr>
                <w:rFonts w:hint="eastAsia" w:ascii="楷体" w:hAnsi="楷体" w:eastAsia="楷体" w:cs="楷体"/>
                <w:kern w:val="0"/>
                <w:sz w:val="28"/>
                <w:szCs w:val="28"/>
              </w:rPr>
            </w:pPr>
            <w:r>
              <w:rPr>
                <w:rFonts w:hint="eastAsia" w:ascii="楷体" w:hAnsi="楷体" w:eastAsia="楷体" w:cs="楷体"/>
                <w:kern w:val="0"/>
                <w:sz w:val="28"/>
                <w:szCs w:val="28"/>
              </w:rPr>
              <w:t>互联互通的线上服务平台</w:t>
            </w:r>
          </w:p>
          <w:p w14:paraId="551B5AFD">
            <w:pPr>
              <w:jc w:val="center"/>
              <w:rPr>
                <w:rFonts w:hint="eastAsia" w:ascii="楷体" w:hAnsi="楷体" w:eastAsia="楷体" w:cs="楷体"/>
                <w:sz w:val="28"/>
                <w:szCs w:val="28"/>
              </w:rPr>
            </w:pPr>
            <w:r>
              <w:rPr>
                <w:rFonts w:hint="eastAsia" w:ascii="楷体" w:hAnsi="楷体" w:eastAsia="楷体" w:cs="楷体"/>
                <w:sz w:val="28"/>
                <w:szCs w:val="28"/>
              </w:rPr>
              <w:t>（25分）</w:t>
            </w:r>
          </w:p>
        </w:tc>
        <w:tc>
          <w:tcPr>
            <w:tcW w:w="534" w:type="pct"/>
            <w:vMerge w:val="restart"/>
            <w:tcMar>
              <w:top w:w="15" w:type="dxa"/>
              <w:left w:w="15" w:type="dxa"/>
              <w:right w:w="15" w:type="dxa"/>
            </w:tcMar>
            <w:vAlign w:val="center"/>
          </w:tcPr>
          <w:p w14:paraId="00E434FD">
            <w:pPr>
              <w:jc w:val="center"/>
              <w:rPr>
                <w:rFonts w:hint="eastAsia" w:ascii="楷体" w:hAnsi="楷体" w:eastAsia="楷体" w:cs="楷体"/>
                <w:sz w:val="28"/>
                <w:szCs w:val="28"/>
              </w:rPr>
            </w:pPr>
            <w:r>
              <w:rPr>
                <w:rFonts w:hint="eastAsia" w:ascii="楷体" w:hAnsi="楷体" w:eastAsia="楷体" w:cs="楷体"/>
                <w:sz w:val="28"/>
                <w:szCs w:val="28"/>
              </w:rPr>
              <w:t>打造线上服务平台（25分）</w:t>
            </w:r>
          </w:p>
        </w:tc>
        <w:tc>
          <w:tcPr>
            <w:tcW w:w="2607" w:type="pct"/>
            <w:tcMar>
              <w:top w:w="15" w:type="dxa"/>
              <w:left w:w="15" w:type="dxa"/>
              <w:right w:w="15" w:type="dxa"/>
            </w:tcMar>
            <w:vAlign w:val="center"/>
          </w:tcPr>
          <w:p w14:paraId="157C4575">
            <w:pPr>
              <w:widowControl/>
              <w:textAlignment w:val="center"/>
              <w:rPr>
                <w:rFonts w:hint="eastAsia" w:ascii="楷体" w:hAnsi="楷体" w:eastAsia="楷体" w:cs="楷体"/>
                <w:kern w:val="0"/>
                <w:sz w:val="28"/>
                <w:szCs w:val="28"/>
              </w:rPr>
            </w:pPr>
            <w:r>
              <w:rPr>
                <w:rFonts w:hint="eastAsia" w:ascii="楷体" w:hAnsi="楷体" w:eastAsia="楷体" w:cs="楷体"/>
                <w:kern w:val="0"/>
                <w:sz w:val="28"/>
                <w:szCs w:val="28"/>
              </w:rPr>
              <w:t>1.线上服务平台（自助求职系统支持：零工自助求职一体机、互联网+微信小程序）应具备求职登记、岗位信息发布等服务功能并运行正常，数据更新正常。（10分）</w:t>
            </w:r>
          </w:p>
        </w:tc>
        <w:tc>
          <w:tcPr>
            <w:tcW w:w="1356" w:type="pct"/>
            <w:tcMar>
              <w:top w:w="15" w:type="dxa"/>
              <w:left w:w="15" w:type="dxa"/>
              <w:right w:w="15" w:type="dxa"/>
            </w:tcMar>
            <w:vAlign w:val="center"/>
          </w:tcPr>
          <w:p w14:paraId="11E0C36F">
            <w:pPr>
              <w:widowControl/>
              <w:textAlignment w:val="center"/>
              <w:rPr>
                <w:rFonts w:hint="eastAsia" w:ascii="楷体" w:hAnsi="楷体" w:eastAsia="楷体" w:cs="楷体"/>
                <w:sz w:val="28"/>
                <w:szCs w:val="28"/>
              </w:rPr>
            </w:pPr>
            <w:r>
              <w:rPr>
                <w:rFonts w:hint="eastAsia" w:ascii="楷体" w:hAnsi="楷体" w:eastAsia="楷体" w:cs="楷体"/>
                <w:sz w:val="28"/>
                <w:szCs w:val="28"/>
              </w:rPr>
              <w:t>共10分，平台运行正常、功能完备、数据更新正常得10分，否则不得分。</w:t>
            </w:r>
          </w:p>
        </w:tc>
      </w:tr>
      <w:tr w14:paraId="62490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 w:hRule="atLeast"/>
          <w:jc w:val="center"/>
        </w:trPr>
        <w:tc>
          <w:tcPr>
            <w:tcW w:w="501" w:type="pct"/>
            <w:vMerge w:val="continue"/>
            <w:tcMar>
              <w:top w:w="15" w:type="dxa"/>
              <w:left w:w="15" w:type="dxa"/>
              <w:right w:w="15" w:type="dxa"/>
            </w:tcMar>
            <w:vAlign w:val="center"/>
          </w:tcPr>
          <w:p w14:paraId="6BCABDFC">
            <w:pPr>
              <w:rPr>
                <w:rFonts w:hint="eastAsia" w:ascii="楷体" w:hAnsi="楷体" w:eastAsia="楷体" w:cs="楷体"/>
                <w:kern w:val="0"/>
                <w:sz w:val="28"/>
                <w:szCs w:val="28"/>
              </w:rPr>
            </w:pPr>
          </w:p>
        </w:tc>
        <w:tc>
          <w:tcPr>
            <w:tcW w:w="534" w:type="pct"/>
            <w:vMerge w:val="continue"/>
            <w:tcMar>
              <w:top w:w="15" w:type="dxa"/>
              <w:left w:w="15" w:type="dxa"/>
              <w:right w:w="15" w:type="dxa"/>
            </w:tcMar>
            <w:vAlign w:val="center"/>
          </w:tcPr>
          <w:p w14:paraId="2229BD46">
            <w:pPr>
              <w:rPr>
                <w:rFonts w:hint="eastAsia" w:ascii="楷体" w:hAnsi="楷体" w:eastAsia="楷体" w:cs="楷体"/>
                <w:sz w:val="28"/>
                <w:szCs w:val="28"/>
              </w:rPr>
            </w:pPr>
          </w:p>
        </w:tc>
        <w:tc>
          <w:tcPr>
            <w:tcW w:w="2607" w:type="pct"/>
            <w:tcMar>
              <w:top w:w="15" w:type="dxa"/>
              <w:left w:w="15" w:type="dxa"/>
              <w:right w:w="15" w:type="dxa"/>
            </w:tcMar>
            <w:vAlign w:val="center"/>
          </w:tcPr>
          <w:p w14:paraId="384BA0C2">
            <w:pPr>
              <w:widowControl/>
              <w:textAlignment w:val="center"/>
              <w:rPr>
                <w:rFonts w:hint="eastAsia" w:ascii="楷体" w:hAnsi="楷体" w:eastAsia="楷体" w:cs="楷体"/>
                <w:kern w:val="0"/>
                <w:sz w:val="28"/>
                <w:szCs w:val="28"/>
              </w:rPr>
            </w:pPr>
            <w:r>
              <w:rPr>
                <w:rFonts w:hint="eastAsia" w:ascii="楷体" w:hAnsi="楷体" w:eastAsia="楷体" w:cs="楷体"/>
                <w:kern w:val="0"/>
                <w:sz w:val="28"/>
                <w:szCs w:val="28"/>
              </w:rPr>
              <w:t>2.依托线上零工平台，制定标准化服务流程，劳动者和雇主方能够线上签订相关电子协议，让供需双方以结果付费，运营方服务托底，保障供需双方的合法权益。（5分）</w:t>
            </w:r>
          </w:p>
        </w:tc>
        <w:tc>
          <w:tcPr>
            <w:tcW w:w="1356" w:type="pct"/>
            <w:tcMar>
              <w:top w:w="15" w:type="dxa"/>
              <w:left w:w="15" w:type="dxa"/>
              <w:right w:w="15" w:type="dxa"/>
            </w:tcMar>
            <w:vAlign w:val="center"/>
          </w:tcPr>
          <w:p w14:paraId="130C7539">
            <w:pPr>
              <w:widowControl/>
              <w:textAlignment w:val="center"/>
              <w:rPr>
                <w:rFonts w:hint="eastAsia" w:ascii="楷体" w:hAnsi="楷体" w:eastAsia="楷体" w:cs="楷体"/>
                <w:sz w:val="28"/>
                <w:szCs w:val="28"/>
              </w:rPr>
            </w:pPr>
            <w:r>
              <w:rPr>
                <w:rFonts w:hint="eastAsia" w:ascii="楷体" w:hAnsi="楷体" w:eastAsia="楷体" w:cs="楷体"/>
                <w:sz w:val="28"/>
                <w:szCs w:val="28"/>
              </w:rPr>
              <w:t>共5分，功能正常实现得5分，未实现不得分。</w:t>
            </w:r>
          </w:p>
        </w:tc>
      </w:tr>
      <w:tr w14:paraId="05F9C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8" w:hRule="atLeast"/>
          <w:jc w:val="center"/>
        </w:trPr>
        <w:tc>
          <w:tcPr>
            <w:tcW w:w="501" w:type="pct"/>
            <w:vMerge w:val="continue"/>
            <w:tcMar>
              <w:top w:w="15" w:type="dxa"/>
              <w:left w:w="15" w:type="dxa"/>
              <w:right w:w="15" w:type="dxa"/>
            </w:tcMar>
            <w:vAlign w:val="center"/>
          </w:tcPr>
          <w:p w14:paraId="6C756988">
            <w:pPr>
              <w:rPr>
                <w:rFonts w:hint="eastAsia" w:ascii="楷体" w:hAnsi="楷体" w:eastAsia="楷体" w:cs="楷体"/>
                <w:kern w:val="0"/>
                <w:sz w:val="28"/>
                <w:szCs w:val="28"/>
              </w:rPr>
            </w:pPr>
          </w:p>
        </w:tc>
        <w:tc>
          <w:tcPr>
            <w:tcW w:w="534" w:type="pct"/>
            <w:vMerge w:val="continue"/>
            <w:tcMar>
              <w:top w:w="15" w:type="dxa"/>
              <w:left w:w="15" w:type="dxa"/>
              <w:right w:w="15" w:type="dxa"/>
            </w:tcMar>
            <w:vAlign w:val="center"/>
          </w:tcPr>
          <w:p w14:paraId="468ED405">
            <w:pPr>
              <w:rPr>
                <w:rFonts w:hint="eastAsia" w:ascii="楷体" w:hAnsi="楷体" w:eastAsia="楷体" w:cs="楷体"/>
                <w:sz w:val="28"/>
                <w:szCs w:val="28"/>
              </w:rPr>
            </w:pPr>
          </w:p>
        </w:tc>
        <w:tc>
          <w:tcPr>
            <w:tcW w:w="2607" w:type="pct"/>
            <w:tcMar>
              <w:top w:w="15" w:type="dxa"/>
              <w:left w:w="15" w:type="dxa"/>
              <w:right w:w="15" w:type="dxa"/>
            </w:tcMar>
            <w:vAlign w:val="center"/>
          </w:tcPr>
          <w:p w14:paraId="1FAC78BB">
            <w:pPr>
              <w:widowControl/>
              <w:textAlignment w:val="center"/>
              <w:rPr>
                <w:rFonts w:hint="eastAsia" w:ascii="楷体" w:hAnsi="楷体" w:eastAsia="楷体" w:cs="楷体"/>
                <w:sz w:val="28"/>
                <w:szCs w:val="28"/>
              </w:rPr>
            </w:pPr>
            <w:r>
              <w:rPr>
                <w:rFonts w:hint="eastAsia" w:ascii="楷体" w:hAnsi="楷体" w:eastAsia="楷体" w:cs="楷体"/>
                <w:kern w:val="0"/>
                <w:sz w:val="28"/>
                <w:szCs w:val="28"/>
              </w:rPr>
              <w:t>3.线上服务平台数据与“就在江苏”信息系统实现数据共享和数据互通。（5分）</w:t>
            </w:r>
          </w:p>
        </w:tc>
        <w:tc>
          <w:tcPr>
            <w:tcW w:w="1356" w:type="pct"/>
            <w:tcMar>
              <w:top w:w="15" w:type="dxa"/>
              <w:left w:w="15" w:type="dxa"/>
              <w:right w:w="15" w:type="dxa"/>
            </w:tcMar>
            <w:vAlign w:val="center"/>
          </w:tcPr>
          <w:p w14:paraId="0557A82C">
            <w:pPr>
              <w:widowControl/>
              <w:textAlignment w:val="center"/>
              <w:rPr>
                <w:rFonts w:hint="eastAsia" w:ascii="楷体" w:hAnsi="楷体" w:eastAsia="楷体" w:cs="楷体"/>
                <w:kern w:val="0"/>
                <w:sz w:val="28"/>
                <w:szCs w:val="28"/>
              </w:rPr>
            </w:pPr>
            <w:r>
              <w:rPr>
                <w:rFonts w:hint="eastAsia" w:ascii="楷体" w:hAnsi="楷体" w:eastAsia="楷体" w:cs="楷体"/>
                <w:kern w:val="0"/>
                <w:sz w:val="28"/>
                <w:szCs w:val="28"/>
              </w:rPr>
              <w:t>共5分，实现数据共享互通得5分，未实现不得分。</w:t>
            </w:r>
          </w:p>
        </w:tc>
      </w:tr>
      <w:tr w14:paraId="65D32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7" w:hRule="atLeast"/>
          <w:jc w:val="center"/>
        </w:trPr>
        <w:tc>
          <w:tcPr>
            <w:tcW w:w="501" w:type="pct"/>
            <w:vMerge w:val="continue"/>
            <w:tcMar>
              <w:top w:w="15" w:type="dxa"/>
              <w:left w:w="15" w:type="dxa"/>
              <w:right w:w="15" w:type="dxa"/>
            </w:tcMar>
            <w:vAlign w:val="center"/>
          </w:tcPr>
          <w:p w14:paraId="2391C192">
            <w:pPr>
              <w:rPr>
                <w:rFonts w:hint="eastAsia" w:ascii="楷体" w:hAnsi="楷体" w:eastAsia="楷体" w:cs="楷体"/>
                <w:kern w:val="0"/>
                <w:sz w:val="28"/>
                <w:szCs w:val="28"/>
              </w:rPr>
            </w:pPr>
          </w:p>
        </w:tc>
        <w:tc>
          <w:tcPr>
            <w:tcW w:w="534" w:type="pct"/>
            <w:vMerge w:val="continue"/>
            <w:tcMar>
              <w:top w:w="15" w:type="dxa"/>
              <w:left w:w="15" w:type="dxa"/>
              <w:right w:w="15" w:type="dxa"/>
            </w:tcMar>
            <w:vAlign w:val="center"/>
          </w:tcPr>
          <w:p w14:paraId="6B2B7A43">
            <w:pPr>
              <w:rPr>
                <w:rFonts w:hint="eastAsia" w:ascii="楷体" w:hAnsi="楷体" w:eastAsia="楷体" w:cs="楷体"/>
                <w:sz w:val="28"/>
                <w:szCs w:val="28"/>
              </w:rPr>
            </w:pPr>
          </w:p>
        </w:tc>
        <w:tc>
          <w:tcPr>
            <w:tcW w:w="2607" w:type="pct"/>
            <w:tcMar>
              <w:top w:w="15" w:type="dxa"/>
              <w:left w:w="15" w:type="dxa"/>
              <w:right w:w="15" w:type="dxa"/>
            </w:tcMar>
            <w:vAlign w:val="center"/>
          </w:tcPr>
          <w:p w14:paraId="04FDE5FA">
            <w:pPr>
              <w:widowControl/>
              <w:textAlignment w:val="center"/>
              <w:rPr>
                <w:rFonts w:hint="eastAsia" w:ascii="楷体" w:hAnsi="楷体" w:eastAsia="楷体" w:cs="楷体"/>
                <w:i/>
                <w:kern w:val="0"/>
                <w:sz w:val="28"/>
                <w:szCs w:val="28"/>
                <w:u w:val="single"/>
              </w:rPr>
            </w:pPr>
            <w:r>
              <w:rPr>
                <w:rFonts w:hint="eastAsia" w:ascii="楷体" w:hAnsi="楷体" w:eastAsia="楷体" w:cs="楷体"/>
                <w:kern w:val="0"/>
                <w:sz w:val="28"/>
                <w:szCs w:val="28"/>
              </w:rPr>
              <w:t>4.线上服务平台的岗位信息可实时通过LED屏进行发布。（5分）</w:t>
            </w:r>
          </w:p>
        </w:tc>
        <w:tc>
          <w:tcPr>
            <w:tcW w:w="1356" w:type="pct"/>
            <w:tcMar>
              <w:top w:w="15" w:type="dxa"/>
              <w:left w:w="15" w:type="dxa"/>
              <w:right w:w="15" w:type="dxa"/>
            </w:tcMar>
            <w:vAlign w:val="center"/>
          </w:tcPr>
          <w:p w14:paraId="3A189187">
            <w:pPr>
              <w:widowControl/>
              <w:textAlignment w:val="center"/>
              <w:rPr>
                <w:rFonts w:hint="eastAsia" w:ascii="楷体" w:hAnsi="楷体" w:eastAsia="楷体" w:cs="楷体"/>
                <w:kern w:val="0"/>
                <w:sz w:val="28"/>
                <w:szCs w:val="28"/>
              </w:rPr>
            </w:pPr>
            <w:r>
              <w:rPr>
                <w:rFonts w:hint="eastAsia" w:ascii="楷体" w:hAnsi="楷体" w:eastAsia="楷体" w:cs="楷体"/>
                <w:kern w:val="0"/>
                <w:sz w:val="28"/>
                <w:szCs w:val="28"/>
              </w:rPr>
              <w:t>共5分，实现实时发布的5分，未实现不得分。</w:t>
            </w:r>
          </w:p>
        </w:tc>
      </w:tr>
      <w:tr w14:paraId="1DC07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501" w:type="pct"/>
            <w:vMerge w:val="restart"/>
            <w:tcMar>
              <w:top w:w="15" w:type="dxa"/>
              <w:left w:w="15" w:type="dxa"/>
              <w:right w:w="15" w:type="dxa"/>
            </w:tcMar>
            <w:vAlign w:val="center"/>
          </w:tcPr>
          <w:p w14:paraId="02CA068F">
            <w:pPr>
              <w:spacing w:after="120"/>
              <w:rPr>
                <w:rFonts w:hint="eastAsia" w:ascii="楷体" w:hAnsi="楷体" w:eastAsia="楷体" w:cs="楷体"/>
                <w:sz w:val="28"/>
                <w:szCs w:val="28"/>
              </w:rPr>
            </w:pPr>
          </w:p>
          <w:p w14:paraId="3A77CFCA">
            <w:pPr>
              <w:rPr>
                <w:rFonts w:hint="eastAsia" w:ascii="楷体" w:hAnsi="楷体" w:eastAsia="楷体" w:cs="楷体"/>
                <w:sz w:val="28"/>
                <w:szCs w:val="28"/>
              </w:rPr>
            </w:pPr>
          </w:p>
          <w:p w14:paraId="16A0D7E0">
            <w:pPr>
              <w:spacing w:after="120"/>
              <w:rPr>
                <w:rFonts w:hint="eastAsia" w:ascii="楷体" w:hAnsi="楷体" w:eastAsia="楷体" w:cs="楷体"/>
                <w:sz w:val="28"/>
                <w:szCs w:val="28"/>
              </w:rPr>
            </w:pPr>
          </w:p>
          <w:p w14:paraId="50BC52F4">
            <w:pPr>
              <w:rPr>
                <w:rFonts w:hint="eastAsia" w:ascii="楷体" w:hAnsi="楷体" w:eastAsia="楷体" w:cs="楷体"/>
                <w:sz w:val="28"/>
                <w:szCs w:val="28"/>
              </w:rPr>
            </w:pPr>
          </w:p>
          <w:p w14:paraId="321D80E3">
            <w:pPr>
              <w:spacing w:after="120"/>
              <w:rPr>
                <w:rFonts w:hint="eastAsia" w:ascii="楷体" w:hAnsi="楷体" w:eastAsia="楷体" w:cs="楷体"/>
                <w:sz w:val="28"/>
                <w:szCs w:val="28"/>
              </w:rPr>
            </w:pPr>
          </w:p>
          <w:p w14:paraId="28AA622F">
            <w:pPr>
              <w:rPr>
                <w:rFonts w:hint="eastAsia" w:ascii="楷体" w:hAnsi="楷体" w:eastAsia="楷体" w:cs="楷体"/>
                <w:sz w:val="28"/>
                <w:szCs w:val="28"/>
              </w:rPr>
            </w:pPr>
          </w:p>
          <w:p w14:paraId="66EE5607">
            <w:pPr>
              <w:spacing w:after="120"/>
              <w:rPr>
                <w:rFonts w:hint="eastAsia" w:ascii="楷体" w:hAnsi="楷体" w:eastAsia="楷体" w:cs="楷体"/>
                <w:sz w:val="28"/>
                <w:szCs w:val="28"/>
              </w:rPr>
            </w:pPr>
          </w:p>
          <w:p w14:paraId="68FAABC8">
            <w:pPr>
              <w:rPr>
                <w:rFonts w:hint="eastAsia" w:ascii="楷体" w:hAnsi="楷体" w:eastAsia="楷体" w:cs="楷体"/>
                <w:sz w:val="28"/>
                <w:szCs w:val="28"/>
              </w:rPr>
            </w:pPr>
          </w:p>
          <w:p w14:paraId="7D5A38DA">
            <w:pPr>
              <w:spacing w:after="120"/>
              <w:rPr>
                <w:rFonts w:hint="eastAsia" w:ascii="楷体" w:hAnsi="楷体" w:eastAsia="楷体" w:cs="楷体"/>
                <w:sz w:val="28"/>
                <w:szCs w:val="28"/>
              </w:rPr>
            </w:pPr>
          </w:p>
          <w:p w14:paraId="0181A9A7">
            <w:pPr>
              <w:rPr>
                <w:rFonts w:hint="eastAsia" w:ascii="楷体" w:hAnsi="楷体" w:eastAsia="楷体" w:cs="楷体"/>
                <w:sz w:val="28"/>
                <w:szCs w:val="28"/>
              </w:rPr>
            </w:pPr>
          </w:p>
          <w:p w14:paraId="12F37FB4">
            <w:pPr>
              <w:spacing w:after="120"/>
              <w:rPr>
                <w:rFonts w:hint="eastAsia" w:ascii="楷体" w:hAnsi="楷体" w:eastAsia="楷体" w:cs="楷体"/>
                <w:sz w:val="28"/>
                <w:szCs w:val="28"/>
              </w:rPr>
            </w:pPr>
          </w:p>
          <w:p w14:paraId="0967A8B8">
            <w:pPr>
              <w:rPr>
                <w:rFonts w:hint="eastAsia" w:ascii="楷体" w:hAnsi="楷体" w:eastAsia="楷体" w:cs="楷体"/>
                <w:sz w:val="28"/>
                <w:szCs w:val="28"/>
              </w:rPr>
            </w:pPr>
          </w:p>
          <w:p w14:paraId="27D49E25">
            <w:pPr>
              <w:widowControl/>
              <w:jc w:val="center"/>
              <w:textAlignment w:val="center"/>
              <w:rPr>
                <w:rFonts w:hint="eastAsia" w:ascii="楷体" w:hAnsi="楷体" w:eastAsia="楷体" w:cs="楷体"/>
                <w:kern w:val="0"/>
                <w:sz w:val="28"/>
                <w:szCs w:val="28"/>
              </w:rPr>
            </w:pPr>
            <w:r>
              <w:rPr>
                <w:rFonts w:hint="eastAsia" w:ascii="楷体" w:hAnsi="楷体" w:eastAsia="楷体" w:cs="楷体"/>
                <w:kern w:val="0"/>
                <w:sz w:val="28"/>
                <w:szCs w:val="28"/>
              </w:rPr>
              <w:t>高效优质的零工市场服务</w:t>
            </w:r>
          </w:p>
          <w:p w14:paraId="1C81EEB0">
            <w:pPr>
              <w:widowControl/>
              <w:jc w:val="center"/>
              <w:textAlignment w:val="center"/>
              <w:rPr>
                <w:rFonts w:hint="eastAsia" w:ascii="楷体" w:hAnsi="楷体" w:eastAsia="楷体" w:cs="楷体"/>
                <w:sz w:val="28"/>
                <w:szCs w:val="28"/>
              </w:rPr>
            </w:pPr>
            <w:r>
              <w:rPr>
                <w:rFonts w:hint="eastAsia" w:ascii="楷体" w:hAnsi="楷体" w:eastAsia="楷体" w:cs="楷体"/>
                <w:sz w:val="28"/>
                <w:szCs w:val="28"/>
              </w:rPr>
              <w:t>（55分）</w:t>
            </w:r>
          </w:p>
        </w:tc>
        <w:tc>
          <w:tcPr>
            <w:tcW w:w="534" w:type="pct"/>
            <w:vMerge w:val="restart"/>
            <w:tcMar>
              <w:top w:w="15" w:type="dxa"/>
              <w:left w:w="15" w:type="dxa"/>
              <w:right w:w="15" w:type="dxa"/>
            </w:tcMar>
            <w:vAlign w:val="center"/>
          </w:tcPr>
          <w:p w14:paraId="4EE0F955">
            <w:pPr>
              <w:widowControl/>
              <w:jc w:val="center"/>
              <w:textAlignment w:val="center"/>
              <w:rPr>
                <w:rFonts w:hint="eastAsia" w:ascii="楷体" w:hAnsi="楷体" w:eastAsia="楷体" w:cs="楷体"/>
                <w:sz w:val="28"/>
                <w:szCs w:val="28"/>
              </w:rPr>
            </w:pPr>
            <w:r>
              <w:rPr>
                <w:rFonts w:hint="eastAsia" w:ascii="楷体" w:hAnsi="楷体" w:eastAsia="楷体" w:cs="楷体"/>
                <w:kern w:val="0"/>
                <w:sz w:val="28"/>
                <w:szCs w:val="28"/>
              </w:rPr>
              <w:t>招聘服务（20分）</w:t>
            </w:r>
          </w:p>
        </w:tc>
        <w:tc>
          <w:tcPr>
            <w:tcW w:w="2607" w:type="pct"/>
            <w:tcMar>
              <w:top w:w="15" w:type="dxa"/>
              <w:left w:w="15" w:type="dxa"/>
              <w:right w:w="15" w:type="dxa"/>
            </w:tcMar>
            <w:vAlign w:val="center"/>
          </w:tcPr>
          <w:p w14:paraId="44A1C349">
            <w:pPr>
              <w:widowControl/>
              <w:textAlignment w:val="center"/>
              <w:rPr>
                <w:rFonts w:hint="eastAsia" w:ascii="楷体" w:hAnsi="楷体" w:eastAsia="楷体" w:cs="楷体"/>
                <w:b/>
                <w:sz w:val="28"/>
                <w:szCs w:val="28"/>
              </w:rPr>
            </w:pPr>
            <w:r>
              <w:rPr>
                <w:rFonts w:hint="eastAsia" w:ascii="楷体" w:hAnsi="楷体" w:eastAsia="楷体" w:cs="楷体"/>
                <w:kern w:val="0"/>
                <w:sz w:val="28"/>
                <w:szCs w:val="28"/>
              </w:rPr>
              <w:t>1.每周在服务场所至少组织开展1场现场招聘会活动，每场提供就业岗位（包括零工岗位）不少于50个。（10分）</w:t>
            </w:r>
          </w:p>
        </w:tc>
        <w:tc>
          <w:tcPr>
            <w:tcW w:w="1356" w:type="pct"/>
            <w:tcMar>
              <w:top w:w="15" w:type="dxa"/>
              <w:left w:w="15" w:type="dxa"/>
              <w:right w:w="15" w:type="dxa"/>
            </w:tcMar>
            <w:vAlign w:val="center"/>
          </w:tcPr>
          <w:p w14:paraId="4A18BE67">
            <w:pPr>
              <w:widowControl/>
              <w:textAlignment w:val="center"/>
              <w:rPr>
                <w:rFonts w:hint="eastAsia" w:ascii="楷体" w:hAnsi="楷体" w:eastAsia="楷体" w:cs="楷体"/>
                <w:kern w:val="0"/>
                <w:sz w:val="28"/>
                <w:szCs w:val="28"/>
              </w:rPr>
            </w:pPr>
            <w:r>
              <w:rPr>
                <w:rFonts w:hint="eastAsia" w:ascii="楷体" w:hAnsi="楷体" w:eastAsia="楷体" w:cs="楷体"/>
                <w:kern w:val="0"/>
                <w:sz w:val="28"/>
                <w:szCs w:val="28"/>
              </w:rPr>
              <w:t>共10分，每少开展一场或者提供就业岗位少于50个的扣0.5分，扣完为止。</w:t>
            </w:r>
          </w:p>
        </w:tc>
      </w:tr>
      <w:tr w14:paraId="0EEA5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501" w:type="pct"/>
            <w:vMerge w:val="continue"/>
            <w:tcMar>
              <w:top w:w="15" w:type="dxa"/>
              <w:left w:w="15" w:type="dxa"/>
              <w:right w:w="15" w:type="dxa"/>
            </w:tcMar>
            <w:vAlign w:val="center"/>
          </w:tcPr>
          <w:p w14:paraId="75C82886">
            <w:pPr>
              <w:rPr>
                <w:rFonts w:hint="eastAsia" w:ascii="楷体" w:hAnsi="楷体" w:eastAsia="楷体" w:cs="楷体"/>
                <w:sz w:val="28"/>
                <w:szCs w:val="28"/>
              </w:rPr>
            </w:pPr>
          </w:p>
        </w:tc>
        <w:tc>
          <w:tcPr>
            <w:tcW w:w="534" w:type="pct"/>
            <w:vMerge w:val="continue"/>
            <w:tcMar>
              <w:top w:w="15" w:type="dxa"/>
              <w:left w:w="15" w:type="dxa"/>
              <w:right w:w="15" w:type="dxa"/>
            </w:tcMar>
            <w:vAlign w:val="center"/>
          </w:tcPr>
          <w:p w14:paraId="18483E18">
            <w:pPr>
              <w:rPr>
                <w:rFonts w:hint="eastAsia" w:ascii="楷体" w:hAnsi="楷体" w:eastAsia="楷体" w:cs="楷体"/>
                <w:sz w:val="28"/>
                <w:szCs w:val="28"/>
              </w:rPr>
            </w:pPr>
          </w:p>
        </w:tc>
        <w:tc>
          <w:tcPr>
            <w:tcW w:w="2607" w:type="pct"/>
            <w:tcMar>
              <w:top w:w="15" w:type="dxa"/>
              <w:left w:w="15" w:type="dxa"/>
              <w:right w:w="15" w:type="dxa"/>
            </w:tcMar>
          </w:tcPr>
          <w:p w14:paraId="526A4C8B">
            <w:pPr>
              <w:widowControl/>
              <w:textAlignment w:val="center"/>
              <w:rPr>
                <w:rFonts w:hint="eastAsia" w:ascii="楷体" w:hAnsi="楷体" w:eastAsia="楷体" w:cs="楷体"/>
                <w:i/>
                <w:sz w:val="28"/>
                <w:szCs w:val="28"/>
                <w:u w:val="single"/>
              </w:rPr>
            </w:pPr>
            <w:r>
              <w:rPr>
                <w:rFonts w:hint="eastAsia" w:ascii="楷体" w:hAnsi="楷体" w:eastAsia="楷体" w:cs="楷体"/>
                <w:kern w:val="0"/>
                <w:sz w:val="28"/>
                <w:szCs w:val="28"/>
              </w:rPr>
              <w:t>2.每年在零工市场线上线下系统平台采集和发布各类就业岗位信息不少于10000条（线上平台企业注册用户不少于300家，零工岗位占比不低于20%），采集和发布的就业岗位信息应包括但不限于：企业名称、职业（工种）、技能要求、工作地点、工作时长、薪资待遇、计酬方式等内容，不得发布含有就业歧视性内容等不合法内容。（10分）</w:t>
            </w:r>
          </w:p>
        </w:tc>
        <w:tc>
          <w:tcPr>
            <w:tcW w:w="1356" w:type="pct"/>
            <w:tcMar>
              <w:top w:w="15" w:type="dxa"/>
              <w:left w:w="15" w:type="dxa"/>
              <w:right w:w="15" w:type="dxa"/>
            </w:tcMar>
          </w:tcPr>
          <w:p w14:paraId="57F45098">
            <w:pPr>
              <w:widowControl/>
              <w:textAlignment w:val="top"/>
              <w:rPr>
                <w:rFonts w:hint="eastAsia" w:ascii="楷体" w:hAnsi="楷体" w:eastAsia="楷体" w:cs="楷体"/>
                <w:kern w:val="0"/>
                <w:sz w:val="28"/>
                <w:szCs w:val="28"/>
              </w:rPr>
            </w:pPr>
            <w:r>
              <w:rPr>
                <w:rFonts w:hint="eastAsia" w:ascii="楷体" w:hAnsi="楷体" w:eastAsia="楷体" w:cs="楷体"/>
                <w:kern w:val="0"/>
                <w:sz w:val="28"/>
                <w:szCs w:val="28"/>
              </w:rPr>
              <w:t>共10分，发布条数每少1个百分点扣0.5分，发布的信息含有就业歧视等不合法内容的，每条扣0.5分，扣完为止。</w:t>
            </w:r>
          </w:p>
        </w:tc>
      </w:tr>
      <w:tr w14:paraId="0CB0B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501" w:type="pct"/>
            <w:vMerge w:val="continue"/>
            <w:tcMar>
              <w:top w:w="15" w:type="dxa"/>
              <w:left w:w="15" w:type="dxa"/>
              <w:right w:w="15" w:type="dxa"/>
            </w:tcMar>
            <w:vAlign w:val="center"/>
          </w:tcPr>
          <w:p w14:paraId="57C00D4C">
            <w:pPr>
              <w:rPr>
                <w:rFonts w:hint="eastAsia" w:ascii="楷体" w:hAnsi="楷体" w:eastAsia="楷体" w:cs="楷体"/>
                <w:sz w:val="28"/>
                <w:szCs w:val="28"/>
              </w:rPr>
            </w:pPr>
          </w:p>
        </w:tc>
        <w:tc>
          <w:tcPr>
            <w:tcW w:w="534" w:type="pct"/>
            <w:vMerge w:val="restart"/>
            <w:tcMar>
              <w:top w:w="15" w:type="dxa"/>
              <w:left w:w="15" w:type="dxa"/>
              <w:right w:w="15" w:type="dxa"/>
            </w:tcMar>
            <w:vAlign w:val="center"/>
          </w:tcPr>
          <w:p w14:paraId="5A721FAF">
            <w:pPr>
              <w:widowControl/>
              <w:textAlignment w:val="center"/>
              <w:rPr>
                <w:rFonts w:hint="eastAsia" w:ascii="楷体" w:hAnsi="楷体" w:eastAsia="楷体" w:cs="楷体"/>
                <w:kern w:val="0"/>
                <w:sz w:val="28"/>
                <w:szCs w:val="28"/>
              </w:rPr>
            </w:pPr>
          </w:p>
          <w:p w14:paraId="7BA6A4BF">
            <w:pPr>
              <w:widowControl/>
              <w:jc w:val="center"/>
              <w:textAlignment w:val="center"/>
              <w:rPr>
                <w:rFonts w:hint="eastAsia" w:ascii="楷体" w:hAnsi="楷体" w:eastAsia="楷体" w:cs="楷体"/>
                <w:sz w:val="28"/>
                <w:szCs w:val="28"/>
              </w:rPr>
            </w:pPr>
            <w:r>
              <w:rPr>
                <w:rFonts w:hint="eastAsia" w:ascii="楷体" w:hAnsi="楷体" w:eastAsia="楷体" w:cs="楷体"/>
                <w:kern w:val="0"/>
                <w:sz w:val="28"/>
                <w:szCs w:val="28"/>
              </w:rPr>
              <w:t>求职服务（20分）</w:t>
            </w:r>
          </w:p>
        </w:tc>
        <w:tc>
          <w:tcPr>
            <w:tcW w:w="2607" w:type="pct"/>
            <w:tcMar>
              <w:top w:w="15" w:type="dxa"/>
              <w:left w:w="15" w:type="dxa"/>
              <w:right w:w="15" w:type="dxa"/>
            </w:tcMar>
            <w:vAlign w:val="center"/>
          </w:tcPr>
          <w:p w14:paraId="358E5AA1">
            <w:pPr>
              <w:widowControl/>
              <w:textAlignment w:val="center"/>
              <w:rPr>
                <w:rFonts w:hint="eastAsia" w:ascii="楷体" w:hAnsi="楷体" w:eastAsia="楷体" w:cs="楷体"/>
                <w:b/>
                <w:sz w:val="28"/>
                <w:szCs w:val="28"/>
              </w:rPr>
            </w:pPr>
            <w:r>
              <w:rPr>
                <w:rFonts w:hint="eastAsia" w:ascii="楷体" w:hAnsi="楷体" w:eastAsia="楷体" w:cs="楷体"/>
                <w:kern w:val="0"/>
                <w:sz w:val="28"/>
                <w:szCs w:val="28"/>
              </w:rPr>
              <w:t>1.规范进行求职登记，准确掌握求职人员基本信息、就业需求、培训需求、就业能力等情况。（2分）</w:t>
            </w:r>
          </w:p>
        </w:tc>
        <w:tc>
          <w:tcPr>
            <w:tcW w:w="1356" w:type="pct"/>
            <w:tcMar>
              <w:top w:w="15" w:type="dxa"/>
              <w:left w:w="15" w:type="dxa"/>
              <w:right w:w="15" w:type="dxa"/>
            </w:tcMar>
            <w:vAlign w:val="center"/>
          </w:tcPr>
          <w:p w14:paraId="4E335426">
            <w:pPr>
              <w:widowControl/>
              <w:textAlignment w:val="center"/>
              <w:rPr>
                <w:rFonts w:hint="eastAsia" w:ascii="楷体" w:hAnsi="楷体" w:eastAsia="楷体" w:cs="楷体"/>
                <w:kern w:val="0"/>
                <w:sz w:val="28"/>
                <w:szCs w:val="28"/>
              </w:rPr>
            </w:pPr>
            <w:r>
              <w:rPr>
                <w:rFonts w:hint="eastAsia" w:ascii="楷体" w:hAnsi="楷体" w:eastAsia="楷体" w:cs="楷体"/>
                <w:kern w:val="0"/>
                <w:sz w:val="28"/>
                <w:szCs w:val="28"/>
              </w:rPr>
              <w:t>共2分，登记规范得2分，登记不规范，不得分。</w:t>
            </w:r>
          </w:p>
        </w:tc>
      </w:tr>
      <w:tr w14:paraId="50B47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501" w:type="pct"/>
            <w:vMerge w:val="continue"/>
            <w:tcMar>
              <w:top w:w="15" w:type="dxa"/>
              <w:left w:w="15" w:type="dxa"/>
              <w:right w:w="15" w:type="dxa"/>
            </w:tcMar>
            <w:vAlign w:val="center"/>
          </w:tcPr>
          <w:p w14:paraId="50BA12D7">
            <w:pPr>
              <w:rPr>
                <w:rFonts w:hint="eastAsia" w:ascii="楷体" w:hAnsi="楷体" w:eastAsia="楷体" w:cs="楷体"/>
                <w:sz w:val="28"/>
                <w:szCs w:val="28"/>
              </w:rPr>
            </w:pPr>
          </w:p>
        </w:tc>
        <w:tc>
          <w:tcPr>
            <w:tcW w:w="534" w:type="pct"/>
            <w:vMerge w:val="continue"/>
            <w:tcMar>
              <w:top w:w="15" w:type="dxa"/>
              <w:left w:w="15" w:type="dxa"/>
              <w:right w:w="15" w:type="dxa"/>
            </w:tcMar>
            <w:vAlign w:val="center"/>
          </w:tcPr>
          <w:p w14:paraId="036969DC">
            <w:pPr>
              <w:rPr>
                <w:rFonts w:hint="eastAsia" w:ascii="楷体" w:hAnsi="楷体" w:eastAsia="楷体" w:cs="楷体"/>
                <w:sz w:val="28"/>
                <w:szCs w:val="28"/>
              </w:rPr>
            </w:pPr>
          </w:p>
        </w:tc>
        <w:tc>
          <w:tcPr>
            <w:tcW w:w="2607" w:type="pct"/>
            <w:tcMar>
              <w:top w:w="15" w:type="dxa"/>
              <w:left w:w="15" w:type="dxa"/>
              <w:right w:w="15" w:type="dxa"/>
            </w:tcMar>
            <w:vAlign w:val="center"/>
          </w:tcPr>
          <w:p w14:paraId="34F5BC44">
            <w:pPr>
              <w:widowControl/>
              <w:textAlignment w:val="center"/>
              <w:rPr>
                <w:rFonts w:hint="eastAsia" w:ascii="楷体" w:hAnsi="楷体" w:eastAsia="楷体" w:cs="楷体"/>
                <w:sz w:val="28"/>
                <w:szCs w:val="28"/>
              </w:rPr>
            </w:pPr>
            <w:r>
              <w:rPr>
                <w:rFonts w:hint="eastAsia" w:ascii="楷体" w:hAnsi="楷体" w:eastAsia="楷体" w:cs="楷体"/>
                <w:kern w:val="0"/>
                <w:sz w:val="28"/>
                <w:szCs w:val="28"/>
              </w:rPr>
              <w:t>2.为有灵活就业意愿、稳定就业意愿等有就业意愿的求职登记人员提供“一对一”职业指导服务和至少3次精准就业岗位推荐服务。（3分）</w:t>
            </w:r>
          </w:p>
        </w:tc>
        <w:tc>
          <w:tcPr>
            <w:tcW w:w="1356" w:type="pct"/>
            <w:tcMar>
              <w:top w:w="15" w:type="dxa"/>
              <w:left w:w="15" w:type="dxa"/>
              <w:right w:w="15" w:type="dxa"/>
            </w:tcMar>
            <w:vAlign w:val="center"/>
          </w:tcPr>
          <w:p w14:paraId="1C46AC07">
            <w:pPr>
              <w:widowControl/>
              <w:textAlignment w:val="center"/>
              <w:rPr>
                <w:rFonts w:hint="eastAsia" w:ascii="楷体" w:hAnsi="楷体" w:eastAsia="楷体" w:cs="楷体"/>
                <w:kern w:val="0"/>
                <w:sz w:val="28"/>
                <w:szCs w:val="28"/>
              </w:rPr>
            </w:pPr>
            <w:r>
              <w:rPr>
                <w:rFonts w:hint="eastAsia" w:ascii="楷体" w:hAnsi="楷体" w:eastAsia="楷体" w:cs="楷体"/>
                <w:kern w:val="0"/>
                <w:sz w:val="28"/>
                <w:szCs w:val="28"/>
              </w:rPr>
              <w:t>共3分，每发现一例每月推荐不足3次或者推荐的就业岗位不够精准的扣0.1分，扣完为止。</w:t>
            </w:r>
          </w:p>
        </w:tc>
      </w:tr>
      <w:tr w14:paraId="0714D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501" w:type="pct"/>
            <w:vMerge w:val="continue"/>
            <w:tcMar>
              <w:top w:w="15" w:type="dxa"/>
              <w:left w:w="15" w:type="dxa"/>
              <w:right w:w="15" w:type="dxa"/>
            </w:tcMar>
            <w:vAlign w:val="center"/>
          </w:tcPr>
          <w:p w14:paraId="66D98857">
            <w:pPr>
              <w:rPr>
                <w:rFonts w:hint="eastAsia" w:ascii="楷体" w:hAnsi="楷体" w:eastAsia="楷体" w:cs="楷体"/>
                <w:sz w:val="28"/>
                <w:szCs w:val="28"/>
              </w:rPr>
            </w:pPr>
          </w:p>
        </w:tc>
        <w:tc>
          <w:tcPr>
            <w:tcW w:w="534" w:type="pct"/>
            <w:vMerge w:val="continue"/>
            <w:tcMar>
              <w:top w:w="15" w:type="dxa"/>
              <w:left w:w="15" w:type="dxa"/>
              <w:right w:w="15" w:type="dxa"/>
            </w:tcMar>
            <w:vAlign w:val="center"/>
          </w:tcPr>
          <w:p w14:paraId="65DD6DAD">
            <w:pPr>
              <w:rPr>
                <w:rFonts w:hint="eastAsia" w:ascii="楷体" w:hAnsi="楷体" w:eastAsia="楷体" w:cs="楷体"/>
                <w:sz w:val="28"/>
                <w:szCs w:val="28"/>
              </w:rPr>
            </w:pPr>
          </w:p>
        </w:tc>
        <w:tc>
          <w:tcPr>
            <w:tcW w:w="2607" w:type="pct"/>
            <w:tcMar>
              <w:top w:w="15" w:type="dxa"/>
              <w:left w:w="15" w:type="dxa"/>
              <w:right w:w="15" w:type="dxa"/>
            </w:tcMar>
            <w:vAlign w:val="center"/>
          </w:tcPr>
          <w:p w14:paraId="17BFA686">
            <w:pPr>
              <w:widowControl/>
              <w:textAlignment w:val="center"/>
              <w:rPr>
                <w:rFonts w:hint="eastAsia" w:ascii="楷体" w:hAnsi="楷体" w:eastAsia="楷体" w:cs="楷体"/>
                <w:sz w:val="28"/>
                <w:szCs w:val="28"/>
              </w:rPr>
            </w:pPr>
            <w:r>
              <w:rPr>
                <w:rFonts w:hint="eastAsia" w:ascii="楷体" w:hAnsi="楷体" w:eastAsia="楷体" w:cs="楷体"/>
                <w:kern w:val="0"/>
                <w:sz w:val="28"/>
                <w:szCs w:val="28"/>
              </w:rPr>
              <w:t>3.每年为离校未就业高校毕业生、长期失业青年、被征地农民等就业困难人员和重点群体，通过推荐岗位信息等方式帮助求职人员实现稳定就业或者灵活就业的人数不少于500人。（15分）</w:t>
            </w:r>
          </w:p>
        </w:tc>
        <w:tc>
          <w:tcPr>
            <w:tcW w:w="1356" w:type="pct"/>
            <w:tcMar>
              <w:top w:w="15" w:type="dxa"/>
              <w:left w:w="15" w:type="dxa"/>
              <w:right w:w="15" w:type="dxa"/>
            </w:tcMar>
            <w:vAlign w:val="center"/>
          </w:tcPr>
          <w:p w14:paraId="4D07A8BD">
            <w:pPr>
              <w:widowControl/>
              <w:textAlignment w:val="center"/>
              <w:rPr>
                <w:rFonts w:hint="eastAsia" w:ascii="楷体" w:hAnsi="楷体" w:eastAsia="楷体" w:cs="楷体"/>
                <w:kern w:val="0"/>
                <w:sz w:val="28"/>
                <w:szCs w:val="28"/>
              </w:rPr>
            </w:pPr>
            <w:r>
              <w:rPr>
                <w:rFonts w:hint="eastAsia" w:ascii="楷体" w:hAnsi="楷体" w:eastAsia="楷体" w:cs="楷体"/>
                <w:kern w:val="0"/>
                <w:sz w:val="28"/>
                <w:szCs w:val="28"/>
              </w:rPr>
              <w:t>共15分，完成比例每少1个百分点扣0.5分，扣完为止。</w:t>
            </w:r>
          </w:p>
        </w:tc>
      </w:tr>
      <w:tr w14:paraId="5AC8E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0" w:hRule="atLeast"/>
          <w:jc w:val="center"/>
        </w:trPr>
        <w:tc>
          <w:tcPr>
            <w:tcW w:w="501" w:type="pct"/>
            <w:vMerge w:val="continue"/>
            <w:tcMar>
              <w:top w:w="15" w:type="dxa"/>
              <w:left w:w="15" w:type="dxa"/>
              <w:right w:w="15" w:type="dxa"/>
            </w:tcMar>
            <w:vAlign w:val="center"/>
          </w:tcPr>
          <w:p w14:paraId="0FF46215">
            <w:pPr>
              <w:rPr>
                <w:rFonts w:hint="eastAsia" w:ascii="楷体" w:hAnsi="楷体" w:eastAsia="楷体" w:cs="楷体"/>
                <w:sz w:val="28"/>
                <w:szCs w:val="28"/>
              </w:rPr>
            </w:pPr>
          </w:p>
        </w:tc>
        <w:tc>
          <w:tcPr>
            <w:tcW w:w="534" w:type="pct"/>
            <w:tcMar>
              <w:top w:w="15" w:type="dxa"/>
              <w:left w:w="15" w:type="dxa"/>
              <w:right w:w="15" w:type="dxa"/>
            </w:tcMar>
            <w:vAlign w:val="center"/>
          </w:tcPr>
          <w:p w14:paraId="5B3501E5">
            <w:pPr>
              <w:widowControl/>
              <w:jc w:val="center"/>
              <w:textAlignment w:val="center"/>
              <w:rPr>
                <w:rFonts w:hint="eastAsia" w:ascii="楷体" w:hAnsi="楷体" w:eastAsia="楷体" w:cs="楷体"/>
                <w:sz w:val="28"/>
                <w:szCs w:val="28"/>
              </w:rPr>
            </w:pPr>
            <w:r>
              <w:rPr>
                <w:rFonts w:hint="eastAsia" w:ascii="楷体" w:hAnsi="楷体" w:eastAsia="楷体" w:cs="楷体"/>
                <w:kern w:val="0"/>
                <w:sz w:val="28"/>
                <w:szCs w:val="28"/>
              </w:rPr>
              <w:t>政策服务（1分）</w:t>
            </w:r>
          </w:p>
        </w:tc>
        <w:tc>
          <w:tcPr>
            <w:tcW w:w="2607" w:type="pct"/>
            <w:tcMar>
              <w:top w:w="15" w:type="dxa"/>
              <w:left w:w="15" w:type="dxa"/>
              <w:right w:w="15" w:type="dxa"/>
            </w:tcMar>
            <w:vAlign w:val="center"/>
          </w:tcPr>
          <w:p w14:paraId="01AB89E6">
            <w:pPr>
              <w:widowControl/>
              <w:textAlignment w:val="center"/>
              <w:rPr>
                <w:rFonts w:hint="eastAsia" w:ascii="楷体" w:hAnsi="楷体" w:eastAsia="楷体" w:cs="楷体"/>
                <w:kern w:val="0"/>
                <w:sz w:val="28"/>
                <w:szCs w:val="28"/>
              </w:rPr>
            </w:pPr>
            <w:r>
              <w:rPr>
                <w:rFonts w:hint="eastAsia" w:ascii="楷体" w:hAnsi="楷体" w:eastAsia="楷体" w:cs="楷体"/>
                <w:kern w:val="0"/>
                <w:sz w:val="28"/>
                <w:szCs w:val="28"/>
              </w:rPr>
              <w:t>1.按甲方要求在公告栏、LED屏发布促进就业政策，在综合服务窗口受理就业创业政策咨询服务，在招聘会现场开展政策宣传服务。（1分）</w:t>
            </w:r>
          </w:p>
        </w:tc>
        <w:tc>
          <w:tcPr>
            <w:tcW w:w="1356" w:type="pct"/>
            <w:tcMar>
              <w:top w:w="15" w:type="dxa"/>
              <w:left w:w="15" w:type="dxa"/>
              <w:right w:w="15" w:type="dxa"/>
            </w:tcMar>
            <w:vAlign w:val="center"/>
          </w:tcPr>
          <w:p w14:paraId="39A2044E">
            <w:pPr>
              <w:widowControl/>
              <w:textAlignment w:val="center"/>
              <w:rPr>
                <w:rFonts w:hint="eastAsia" w:ascii="楷体" w:hAnsi="楷体" w:eastAsia="楷体" w:cs="楷体"/>
                <w:color w:val="FF0000"/>
                <w:sz w:val="28"/>
                <w:szCs w:val="28"/>
              </w:rPr>
            </w:pPr>
            <w:r>
              <w:rPr>
                <w:rFonts w:hint="eastAsia" w:ascii="楷体" w:hAnsi="楷体" w:eastAsia="楷体" w:cs="楷体"/>
                <w:kern w:val="0"/>
                <w:sz w:val="28"/>
                <w:szCs w:val="28"/>
              </w:rPr>
              <w:t>共1分，未按要求开展就业创业政策宣传的，每少1次扣0.5分，扣完为止。</w:t>
            </w:r>
          </w:p>
        </w:tc>
      </w:tr>
      <w:tr w14:paraId="64DDB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8" w:hRule="atLeast"/>
          <w:jc w:val="center"/>
        </w:trPr>
        <w:tc>
          <w:tcPr>
            <w:tcW w:w="501" w:type="pct"/>
            <w:vMerge w:val="continue"/>
            <w:tcMar>
              <w:top w:w="15" w:type="dxa"/>
              <w:left w:w="15" w:type="dxa"/>
              <w:right w:w="15" w:type="dxa"/>
            </w:tcMar>
            <w:vAlign w:val="center"/>
          </w:tcPr>
          <w:p w14:paraId="253B9977">
            <w:pPr>
              <w:rPr>
                <w:rFonts w:hint="eastAsia" w:ascii="楷体" w:hAnsi="楷体" w:eastAsia="楷体" w:cs="楷体"/>
                <w:sz w:val="28"/>
                <w:szCs w:val="28"/>
              </w:rPr>
            </w:pPr>
          </w:p>
        </w:tc>
        <w:tc>
          <w:tcPr>
            <w:tcW w:w="534" w:type="pct"/>
            <w:vMerge w:val="restart"/>
            <w:tcMar>
              <w:top w:w="15" w:type="dxa"/>
              <w:left w:w="15" w:type="dxa"/>
              <w:right w:w="15" w:type="dxa"/>
            </w:tcMar>
            <w:vAlign w:val="center"/>
          </w:tcPr>
          <w:p w14:paraId="57709273">
            <w:pPr>
              <w:widowControl/>
              <w:jc w:val="center"/>
              <w:textAlignment w:val="center"/>
              <w:rPr>
                <w:rFonts w:hint="eastAsia" w:ascii="楷体" w:hAnsi="楷体" w:eastAsia="楷体" w:cs="楷体"/>
                <w:kern w:val="0"/>
                <w:sz w:val="28"/>
                <w:szCs w:val="28"/>
              </w:rPr>
            </w:pPr>
            <w:r>
              <w:rPr>
                <w:rFonts w:hint="eastAsia" w:ascii="楷体" w:hAnsi="楷体" w:eastAsia="楷体" w:cs="楷体"/>
                <w:kern w:val="0"/>
                <w:sz w:val="28"/>
                <w:szCs w:val="28"/>
              </w:rPr>
              <w:t>技能培训</w:t>
            </w:r>
          </w:p>
          <w:p w14:paraId="4D8C7335">
            <w:pPr>
              <w:widowControl/>
              <w:jc w:val="center"/>
              <w:textAlignment w:val="center"/>
              <w:rPr>
                <w:rFonts w:hint="eastAsia" w:ascii="楷体" w:hAnsi="楷体" w:eastAsia="楷体" w:cs="楷体"/>
                <w:sz w:val="28"/>
                <w:szCs w:val="28"/>
              </w:rPr>
            </w:pPr>
            <w:r>
              <w:rPr>
                <w:rFonts w:hint="eastAsia" w:ascii="楷体" w:hAnsi="楷体" w:eastAsia="楷体" w:cs="楷体"/>
                <w:kern w:val="0"/>
                <w:sz w:val="28"/>
                <w:szCs w:val="28"/>
              </w:rPr>
              <w:t>（3分）</w:t>
            </w:r>
          </w:p>
        </w:tc>
        <w:tc>
          <w:tcPr>
            <w:tcW w:w="2607" w:type="pct"/>
            <w:tcMar>
              <w:top w:w="15" w:type="dxa"/>
              <w:left w:w="15" w:type="dxa"/>
              <w:right w:w="15" w:type="dxa"/>
            </w:tcMar>
            <w:vAlign w:val="center"/>
          </w:tcPr>
          <w:p w14:paraId="2B53A332">
            <w:pPr>
              <w:widowControl/>
              <w:rPr>
                <w:rFonts w:hint="eastAsia" w:ascii="楷体" w:hAnsi="楷体" w:eastAsia="楷体" w:cs="楷体"/>
                <w:kern w:val="0"/>
                <w:sz w:val="28"/>
                <w:szCs w:val="28"/>
              </w:rPr>
            </w:pPr>
            <w:r>
              <w:rPr>
                <w:rFonts w:hint="eastAsia" w:ascii="楷体" w:hAnsi="楷体" w:eastAsia="楷体" w:cs="楷体"/>
                <w:kern w:val="0"/>
                <w:sz w:val="28"/>
                <w:szCs w:val="28"/>
              </w:rPr>
              <w:t>1.发布职业技能培训项目和职业技能培训机构信息，受理培训咨询。（1分）</w:t>
            </w:r>
          </w:p>
        </w:tc>
        <w:tc>
          <w:tcPr>
            <w:tcW w:w="1356" w:type="pct"/>
            <w:tcMar>
              <w:top w:w="15" w:type="dxa"/>
              <w:left w:w="15" w:type="dxa"/>
              <w:right w:w="15" w:type="dxa"/>
            </w:tcMar>
            <w:vAlign w:val="center"/>
          </w:tcPr>
          <w:p w14:paraId="1C6AAE6B">
            <w:pPr>
              <w:widowControl/>
              <w:rPr>
                <w:rFonts w:hint="eastAsia" w:ascii="楷体" w:hAnsi="楷体" w:eastAsia="楷体" w:cs="楷体"/>
                <w:kern w:val="0"/>
                <w:sz w:val="28"/>
                <w:szCs w:val="28"/>
              </w:rPr>
            </w:pPr>
            <w:r>
              <w:rPr>
                <w:rFonts w:hint="eastAsia" w:ascii="楷体" w:hAnsi="楷体" w:eastAsia="楷体" w:cs="楷体"/>
                <w:kern w:val="0"/>
                <w:sz w:val="28"/>
                <w:szCs w:val="28"/>
              </w:rPr>
              <w:t>共1分，未发布或者未开展受理服务的不得分。</w:t>
            </w:r>
          </w:p>
        </w:tc>
      </w:tr>
      <w:tr w14:paraId="5B9FB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8" w:hRule="atLeast"/>
          <w:jc w:val="center"/>
        </w:trPr>
        <w:tc>
          <w:tcPr>
            <w:tcW w:w="501" w:type="pct"/>
            <w:vMerge w:val="continue"/>
            <w:tcMar>
              <w:top w:w="15" w:type="dxa"/>
              <w:left w:w="15" w:type="dxa"/>
              <w:right w:w="15" w:type="dxa"/>
            </w:tcMar>
            <w:vAlign w:val="center"/>
          </w:tcPr>
          <w:p w14:paraId="0B25CCB3">
            <w:pPr>
              <w:jc w:val="center"/>
              <w:rPr>
                <w:rFonts w:hint="eastAsia" w:ascii="楷体" w:hAnsi="楷体" w:eastAsia="楷体" w:cs="楷体"/>
                <w:sz w:val="28"/>
                <w:szCs w:val="28"/>
              </w:rPr>
            </w:pPr>
          </w:p>
        </w:tc>
        <w:tc>
          <w:tcPr>
            <w:tcW w:w="534" w:type="pct"/>
            <w:vMerge w:val="continue"/>
            <w:tcMar>
              <w:top w:w="15" w:type="dxa"/>
              <w:left w:w="15" w:type="dxa"/>
              <w:right w:w="15" w:type="dxa"/>
            </w:tcMar>
            <w:vAlign w:val="center"/>
          </w:tcPr>
          <w:p w14:paraId="73E06DCC">
            <w:pPr>
              <w:widowControl/>
              <w:jc w:val="center"/>
              <w:textAlignment w:val="center"/>
              <w:rPr>
                <w:rFonts w:hint="eastAsia" w:ascii="楷体" w:hAnsi="楷体" w:eastAsia="楷体" w:cs="楷体"/>
                <w:kern w:val="0"/>
                <w:sz w:val="28"/>
                <w:szCs w:val="28"/>
              </w:rPr>
            </w:pPr>
          </w:p>
        </w:tc>
        <w:tc>
          <w:tcPr>
            <w:tcW w:w="2607" w:type="pct"/>
            <w:tcMar>
              <w:top w:w="15" w:type="dxa"/>
              <w:left w:w="15" w:type="dxa"/>
              <w:right w:w="15" w:type="dxa"/>
            </w:tcMar>
            <w:vAlign w:val="center"/>
          </w:tcPr>
          <w:p w14:paraId="39A724C7">
            <w:pPr>
              <w:widowControl/>
              <w:rPr>
                <w:rFonts w:hint="eastAsia" w:ascii="楷体" w:hAnsi="楷体" w:eastAsia="楷体" w:cs="楷体"/>
                <w:b/>
                <w:kern w:val="0"/>
                <w:sz w:val="28"/>
                <w:szCs w:val="28"/>
              </w:rPr>
            </w:pPr>
            <w:r>
              <w:rPr>
                <w:rFonts w:hint="eastAsia" w:ascii="楷体" w:hAnsi="楷体" w:eastAsia="楷体" w:cs="楷体"/>
                <w:kern w:val="0"/>
                <w:sz w:val="28"/>
                <w:szCs w:val="28"/>
              </w:rPr>
              <w:t>2.开展培训意愿登记，收集培训意愿信息，每年收集培训意愿不少于200人。（1分）</w:t>
            </w:r>
          </w:p>
        </w:tc>
        <w:tc>
          <w:tcPr>
            <w:tcW w:w="1356" w:type="pct"/>
            <w:tcMar>
              <w:top w:w="15" w:type="dxa"/>
              <w:left w:w="15" w:type="dxa"/>
              <w:right w:w="15" w:type="dxa"/>
            </w:tcMar>
            <w:vAlign w:val="center"/>
          </w:tcPr>
          <w:p w14:paraId="3555877E">
            <w:pPr>
              <w:widowControl/>
              <w:jc w:val="left"/>
              <w:rPr>
                <w:rFonts w:hint="eastAsia" w:ascii="楷体" w:hAnsi="楷体" w:eastAsia="楷体" w:cs="楷体"/>
                <w:kern w:val="0"/>
                <w:sz w:val="28"/>
                <w:szCs w:val="28"/>
              </w:rPr>
            </w:pPr>
            <w:r>
              <w:rPr>
                <w:rFonts w:hint="eastAsia" w:ascii="楷体" w:hAnsi="楷体" w:eastAsia="楷体" w:cs="楷体"/>
                <w:kern w:val="0"/>
                <w:sz w:val="28"/>
                <w:szCs w:val="28"/>
              </w:rPr>
              <w:t>共1分，登记人数不足200人扣0.5分，未开展登记的扣1分。</w:t>
            </w:r>
          </w:p>
        </w:tc>
      </w:tr>
      <w:tr w14:paraId="4000B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8" w:hRule="atLeast"/>
          <w:jc w:val="center"/>
        </w:trPr>
        <w:tc>
          <w:tcPr>
            <w:tcW w:w="501" w:type="pct"/>
            <w:vMerge w:val="continue"/>
            <w:tcMar>
              <w:top w:w="15" w:type="dxa"/>
              <w:left w:w="15" w:type="dxa"/>
              <w:right w:w="15" w:type="dxa"/>
            </w:tcMar>
            <w:vAlign w:val="center"/>
          </w:tcPr>
          <w:p w14:paraId="04B2FB12">
            <w:pPr>
              <w:jc w:val="center"/>
              <w:rPr>
                <w:rFonts w:hint="eastAsia" w:ascii="楷体" w:hAnsi="楷体" w:eastAsia="楷体" w:cs="楷体"/>
                <w:sz w:val="28"/>
                <w:szCs w:val="28"/>
              </w:rPr>
            </w:pPr>
          </w:p>
        </w:tc>
        <w:tc>
          <w:tcPr>
            <w:tcW w:w="534" w:type="pct"/>
            <w:vMerge w:val="continue"/>
            <w:tcMar>
              <w:top w:w="15" w:type="dxa"/>
              <w:left w:w="15" w:type="dxa"/>
              <w:right w:w="15" w:type="dxa"/>
            </w:tcMar>
            <w:vAlign w:val="center"/>
          </w:tcPr>
          <w:p w14:paraId="59EC063B">
            <w:pPr>
              <w:jc w:val="center"/>
              <w:rPr>
                <w:rFonts w:hint="eastAsia" w:ascii="楷体" w:hAnsi="楷体" w:eastAsia="楷体" w:cs="楷体"/>
                <w:sz w:val="28"/>
                <w:szCs w:val="28"/>
              </w:rPr>
            </w:pPr>
          </w:p>
        </w:tc>
        <w:tc>
          <w:tcPr>
            <w:tcW w:w="2607" w:type="pct"/>
            <w:tcMar>
              <w:top w:w="15" w:type="dxa"/>
              <w:left w:w="15" w:type="dxa"/>
              <w:right w:w="15" w:type="dxa"/>
            </w:tcMar>
            <w:vAlign w:val="center"/>
          </w:tcPr>
          <w:p w14:paraId="590FEF74">
            <w:pPr>
              <w:widowControl/>
              <w:textAlignment w:val="center"/>
              <w:rPr>
                <w:rFonts w:hint="eastAsia" w:ascii="楷体" w:hAnsi="楷体" w:eastAsia="楷体" w:cs="楷体"/>
                <w:sz w:val="28"/>
                <w:szCs w:val="28"/>
              </w:rPr>
            </w:pPr>
            <w:r>
              <w:rPr>
                <w:rFonts w:hint="eastAsia" w:ascii="楷体" w:hAnsi="楷体" w:eastAsia="楷体" w:cs="楷体"/>
                <w:kern w:val="0"/>
                <w:sz w:val="28"/>
                <w:szCs w:val="28"/>
              </w:rPr>
              <w:t>3.为有创业意愿的就业人员提供创业培训推荐、创业项目推介、开业指导、政策咨询等创业服务。（1分）</w:t>
            </w:r>
          </w:p>
        </w:tc>
        <w:tc>
          <w:tcPr>
            <w:tcW w:w="1356" w:type="pct"/>
            <w:tcMar>
              <w:top w:w="15" w:type="dxa"/>
              <w:left w:w="15" w:type="dxa"/>
              <w:right w:w="15" w:type="dxa"/>
            </w:tcMar>
            <w:vAlign w:val="center"/>
          </w:tcPr>
          <w:p w14:paraId="66597947">
            <w:pPr>
              <w:widowControl/>
              <w:jc w:val="left"/>
              <w:textAlignment w:val="center"/>
              <w:rPr>
                <w:rFonts w:hint="eastAsia" w:ascii="楷体" w:hAnsi="楷体" w:eastAsia="楷体" w:cs="楷体"/>
                <w:kern w:val="0"/>
                <w:sz w:val="28"/>
                <w:szCs w:val="28"/>
              </w:rPr>
            </w:pPr>
            <w:r>
              <w:rPr>
                <w:rFonts w:hint="eastAsia" w:ascii="楷体" w:hAnsi="楷体" w:eastAsia="楷体" w:cs="楷体"/>
                <w:kern w:val="0"/>
                <w:sz w:val="28"/>
                <w:szCs w:val="28"/>
              </w:rPr>
              <w:t>共1分，开展服务得1分，未开展服务不得分。</w:t>
            </w:r>
          </w:p>
        </w:tc>
      </w:tr>
      <w:tr w14:paraId="3CD75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501" w:type="pct"/>
            <w:vMerge w:val="continue"/>
            <w:tcMar>
              <w:top w:w="15" w:type="dxa"/>
              <w:left w:w="15" w:type="dxa"/>
              <w:right w:w="15" w:type="dxa"/>
            </w:tcMar>
            <w:vAlign w:val="center"/>
          </w:tcPr>
          <w:p w14:paraId="1368C497">
            <w:pPr>
              <w:jc w:val="center"/>
              <w:rPr>
                <w:rFonts w:hint="eastAsia" w:ascii="楷体" w:hAnsi="楷体" w:eastAsia="楷体" w:cs="楷体"/>
                <w:sz w:val="28"/>
                <w:szCs w:val="28"/>
              </w:rPr>
            </w:pPr>
          </w:p>
        </w:tc>
        <w:tc>
          <w:tcPr>
            <w:tcW w:w="534" w:type="pct"/>
            <w:tcMar>
              <w:top w:w="15" w:type="dxa"/>
              <w:left w:w="15" w:type="dxa"/>
              <w:right w:w="15" w:type="dxa"/>
            </w:tcMar>
            <w:vAlign w:val="center"/>
          </w:tcPr>
          <w:p w14:paraId="5415FB13">
            <w:pPr>
              <w:widowControl/>
              <w:jc w:val="center"/>
              <w:textAlignment w:val="center"/>
              <w:rPr>
                <w:rFonts w:hint="eastAsia" w:ascii="楷体" w:hAnsi="楷体" w:eastAsia="楷体" w:cs="楷体"/>
                <w:kern w:val="0"/>
                <w:sz w:val="28"/>
                <w:szCs w:val="28"/>
              </w:rPr>
            </w:pPr>
            <w:r>
              <w:rPr>
                <w:rFonts w:hint="eastAsia" w:ascii="楷体" w:hAnsi="楷体" w:eastAsia="楷体" w:cs="楷体"/>
                <w:kern w:val="0"/>
                <w:sz w:val="28"/>
                <w:szCs w:val="28"/>
              </w:rPr>
              <w:t>权益维护（1分）</w:t>
            </w:r>
          </w:p>
        </w:tc>
        <w:tc>
          <w:tcPr>
            <w:tcW w:w="2607" w:type="pct"/>
            <w:tcMar>
              <w:top w:w="15" w:type="dxa"/>
              <w:left w:w="15" w:type="dxa"/>
              <w:right w:w="15" w:type="dxa"/>
            </w:tcMar>
            <w:vAlign w:val="center"/>
          </w:tcPr>
          <w:p w14:paraId="44760199">
            <w:pPr>
              <w:widowControl/>
              <w:textAlignment w:val="center"/>
              <w:rPr>
                <w:rFonts w:hint="eastAsia" w:ascii="楷体" w:hAnsi="楷体" w:eastAsia="楷体" w:cs="楷体"/>
                <w:kern w:val="0"/>
                <w:sz w:val="28"/>
                <w:szCs w:val="28"/>
              </w:rPr>
            </w:pPr>
            <w:r>
              <w:rPr>
                <w:rFonts w:hint="eastAsia" w:ascii="楷体" w:hAnsi="楷体" w:eastAsia="楷体" w:cs="楷体"/>
                <w:kern w:val="0"/>
                <w:sz w:val="28"/>
                <w:szCs w:val="28"/>
              </w:rPr>
              <w:t>1.在服务场所内公开服务制度、服务热线和投诉举报方式。（1分）</w:t>
            </w:r>
          </w:p>
        </w:tc>
        <w:tc>
          <w:tcPr>
            <w:tcW w:w="1356" w:type="pct"/>
            <w:tcMar>
              <w:top w:w="15" w:type="dxa"/>
              <w:left w:w="15" w:type="dxa"/>
              <w:right w:w="15" w:type="dxa"/>
            </w:tcMar>
            <w:vAlign w:val="center"/>
          </w:tcPr>
          <w:p w14:paraId="22383D72">
            <w:pPr>
              <w:widowControl/>
              <w:jc w:val="left"/>
              <w:textAlignment w:val="center"/>
              <w:rPr>
                <w:rFonts w:hint="eastAsia" w:ascii="楷体" w:hAnsi="楷体" w:eastAsia="楷体" w:cs="楷体"/>
                <w:kern w:val="0"/>
                <w:sz w:val="28"/>
                <w:szCs w:val="28"/>
              </w:rPr>
            </w:pPr>
            <w:r>
              <w:rPr>
                <w:rFonts w:hint="eastAsia" w:ascii="楷体" w:hAnsi="楷体" w:eastAsia="楷体" w:cs="楷体"/>
                <w:kern w:val="0"/>
                <w:sz w:val="28"/>
                <w:szCs w:val="28"/>
              </w:rPr>
              <w:t>共1分，少公开一项扣0.5分，扣完为止。</w:t>
            </w:r>
          </w:p>
        </w:tc>
      </w:tr>
      <w:tr w14:paraId="7E004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501" w:type="pct"/>
            <w:vMerge w:val="continue"/>
            <w:tcMar>
              <w:top w:w="15" w:type="dxa"/>
              <w:left w:w="15" w:type="dxa"/>
              <w:right w:w="15" w:type="dxa"/>
            </w:tcMar>
            <w:vAlign w:val="center"/>
          </w:tcPr>
          <w:p w14:paraId="41397577">
            <w:pPr>
              <w:jc w:val="center"/>
              <w:rPr>
                <w:rFonts w:hint="eastAsia" w:ascii="楷体" w:hAnsi="楷体" w:eastAsia="楷体" w:cs="楷体"/>
                <w:sz w:val="28"/>
                <w:szCs w:val="28"/>
              </w:rPr>
            </w:pPr>
          </w:p>
        </w:tc>
        <w:tc>
          <w:tcPr>
            <w:tcW w:w="534" w:type="pct"/>
            <w:vMerge w:val="restart"/>
            <w:tcMar>
              <w:top w:w="15" w:type="dxa"/>
              <w:left w:w="15" w:type="dxa"/>
              <w:right w:w="15" w:type="dxa"/>
            </w:tcMar>
            <w:vAlign w:val="center"/>
          </w:tcPr>
          <w:p w14:paraId="5E9D28BE">
            <w:pPr>
              <w:widowControl/>
              <w:jc w:val="center"/>
              <w:textAlignment w:val="center"/>
              <w:rPr>
                <w:rFonts w:hint="eastAsia" w:ascii="楷体" w:hAnsi="楷体" w:eastAsia="楷体" w:cs="楷体"/>
                <w:kern w:val="0"/>
                <w:sz w:val="28"/>
                <w:szCs w:val="28"/>
              </w:rPr>
            </w:pPr>
            <w:r>
              <w:rPr>
                <w:rFonts w:hint="eastAsia" w:ascii="楷体" w:hAnsi="楷体" w:eastAsia="楷体" w:cs="楷体"/>
                <w:kern w:val="0"/>
                <w:sz w:val="28"/>
                <w:szCs w:val="28"/>
              </w:rPr>
              <w:t>制度台账（4分）</w:t>
            </w:r>
          </w:p>
        </w:tc>
        <w:tc>
          <w:tcPr>
            <w:tcW w:w="2607" w:type="pct"/>
            <w:tcMar>
              <w:top w:w="15" w:type="dxa"/>
              <w:left w:w="15" w:type="dxa"/>
              <w:right w:w="15" w:type="dxa"/>
            </w:tcMar>
            <w:vAlign w:val="center"/>
          </w:tcPr>
          <w:p w14:paraId="356CAFD8">
            <w:pPr>
              <w:widowControl/>
              <w:textAlignment w:val="center"/>
              <w:rPr>
                <w:rFonts w:hint="eastAsia" w:ascii="楷体" w:hAnsi="楷体" w:eastAsia="楷体" w:cs="楷体"/>
                <w:kern w:val="0"/>
                <w:sz w:val="28"/>
                <w:szCs w:val="28"/>
              </w:rPr>
            </w:pPr>
            <w:r>
              <w:rPr>
                <w:rFonts w:hint="eastAsia" w:ascii="楷体" w:hAnsi="楷体" w:eastAsia="楷体" w:cs="楷体"/>
                <w:kern w:val="0"/>
                <w:sz w:val="28"/>
                <w:szCs w:val="28"/>
              </w:rPr>
              <w:t>1.按照甲方的具体要求建立健全各项工作规章制度。（1分）</w:t>
            </w:r>
          </w:p>
        </w:tc>
        <w:tc>
          <w:tcPr>
            <w:tcW w:w="1356" w:type="pct"/>
            <w:tcMar>
              <w:top w:w="15" w:type="dxa"/>
              <w:left w:w="15" w:type="dxa"/>
              <w:right w:w="15" w:type="dxa"/>
            </w:tcMar>
            <w:vAlign w:val="center"/>
          </w:tcPr>
          <w:p w14:paraId="1D4160F8">
            <w:pPr>
              <w:widowControl/>
              <w:jc w:val="left"/>
              <w:textAlignment w:val="center"/>
              <w:rPr>
                <w:rFonts w:hint="eastAsia" w:ascii="楷体" w:hAnsi="楷体" w:eastAsia="楷体" w:cs="楷体"/>
                <w:kern w:val="0"/>
                <w:sz w:val="28"/>
                <w:szCs w:val="28"/>
              </w:rPr>
            </w:pPr>
            <w:r>
              <w:rPr>
                <w:rFonts w:hint="eastAsia" w:ascii="楷体" w:hAnsi="楷体" w:eastAsia="楷体" w:cs="楷体"/>
                <w:kern w:val="0"/>
                <w:sz w:val="28"/>
                <w:szCs w:val="28"/>
              </w:rPr>
              <w:t>共1分，未按要求建立健全工作规章制度的，每少一项规章制度扣0.5分，扣完为止。</w:t>
            </w:r>
          </w:p>
        </w:tc>
      </w:tr>
      <w:tr w14:paraId="2D35C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501" w:type="pct"/>
            <w:vMerge w:val="continue"/>
            <w:tcMar>
              <w:top w:w="15" w:type="dxa"/>
              <w:left w:w="15" w:type="dxa"/>
              <w:right w:w="15" w:type="dxa"/>
            </w:tcMar>
            <w:vAlign w:val="center"/>
          </w:tcPr>
          <w:p w14:paraId="4360621A">
            <w:pPr>
              <w:jc w:val="center"/>
              <w:rPr>
                <w:rFonts w:hint="eastAsia" w:ascii="楷体" w:hAnsi="楷体" w:eastAsia="楷体" w:cs="楷体"/>
                <w:sz w:val="28"/>
                <w:szCs w:val="28"/>
              </w:rPr>
            </w:pPr>
          </w:p>
        </w:tc>
        <w:tc>
          <w:tcPr>
            <w:tcW w:w="534" w:type="pct"/>
            <w:vMerge w:val="continue"/>
            <w:tcMar>
              <w:top w:w="15" w:type="dxa"/>
              <w:left w:w="15" w:type="dxa"/>
              <w:right w:w="15" w:type="dxa"/>
            </w:tcMar>
            <w:vAlign w:val="center"/>
          </w:tcPr>
          <w:p w14:paraId="2118226E">
            <w:pPr>
              <w:widowControl/>
              <w:jc w:val="center"/>
              <w:textAlignment w:val="center"/>
              <w:rPr>
                <w:rFonts w:hint="eastAsia" w:ascii="楷体" w:hAnsi="楷体" w:eastAsia="楷体" w:cs="楷体"/>
                <w:kern w:val="0"/>
                <w:sz w:val="28"/>
                <w:szCs w:val="28"/>
              </w:rPr>
            </w:pPr>
          </w:p>
        </w:tc>
        <w:tc>
          <w:tcPr>
            <w:tcW w:w="2607" w:type="pct"/>
            <w:tcMar>
              <w:top w:w="15" w:type="dxa"/>
              <w:left w:w="15" w:type="dxa"/>
              <w:right w:w="15" w:type="dxa"/>
            </w:tcMar>
            <w:vAlign w:val="center"/>
          </w:tcPr>
          <w:p w14:paraId="72EF777A">
            <w:pPr>
              <w:tabs>
                <w:tab w:val="center" w:pos="4153"/>
                <w:tab w:val="right" w:pos="8306"/>
              </w:tabs>
              <w:rPr>
                <w:rFonts w:hint="eastAsia" w:ascii="楷体" w:hAnsi="楷体" w:eastAsia="楷体" w:cs="楷体"/>
                <w:kern w:val="0"/>
                <w:sz w:val="28"/>
                <w:szCs w:val="28"/>
              </w:rPr>
            </w:pPr>
            <w:r>
              <w:rPr>
                <w:rFonts w:hint="eastAsia" w:ascii="楷体" w:hAnsi="楷体" w:eastAsia="楷体" w:cs="楷体"/>
                <w:kern w:val="0"/>
                <w:sz w:val="28"/>
                <w:szCs w:val="28"/>
              </w:rPr>
              <w:t>2.按甲方的具体要求制定服务清单和服务流程图并公示。（1分）</w:t>
            </w:r>
          </w:p>
        </w:tc>
        <w:tc>
          <w:tcPr>
            <w:tcW w:w="1356" w:type="pct"/>
            <w:tcMar>
              <w:top w:w="15" w:type="dxa"/>
              <w:left w:w="15" w:type="dxa"/>
              <w:right w:w="15" w:type="dxa"/>
            </w:tcMar>
            <w:vAlign w:val="center"/>
          </w:tcPr>
          <w:p w14:paraId="1C4FC3C4">
            <w:pPr>
              <w:tabs>
                <w:tab w:val="center" w:pos="4153"/>
                <w:tab w:val="right" w:pos="8306"/>
              </w:tabs>
              <w:jc w:val="left"/>
              <w:rPr>
                <w:rFonts w:hint="eastAsia" w:ascii="楷体" w:hAnsi="楷体" w:eastAsia="楷体" w:cs="楷体"/>
                <w:kern w:val="0"/>
                <w:sz w:val="28"/>
                <w:szCs w:val="28"/>
              </w:rPr>
            </w:pPr>
            <w:r>
              <w:rPr>
                <w:rFonts w:hint="eastAsia" w:ascii="楷体" w:hAnsi="楷体" w:eastAsia="楷体" w:cs="楷体"/>
                <w:kern w:val="0"/>
                <w:sz w:val="28"/>
                <w:szCs w:val="28"/>
              </w:rPr>
              <w:t>共1分，未按要求制定或未公示的，每少一项扣0.5分，扣完为止。</w:t>
            </w:r>
          </w:p>
        </w:tc>
      </w:tr>
      <w:tr w14:paraId="77C2B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501" w:type="pct"/>
            <w:vMerge w:val="continue"/>
            <w:tcMar>
              <w:top w:w="15" w:type="dxa"/>
              <w:left w:w="15" w:type="dxa"/>
              <w:right w:w="15" w:type="dxa"/>
            </w:tcMar>
            <w:vAlign w:val="center"/>
          </w:tcPr>
          <w:p w14:paraId="2B542105">
            <w:pPr>
              <w:jc w:val="center"/>
              <w:rPr>
                <w:rFonts w:hint="eastAsia" w:ascii="楷体" w:hAnsi="楷体" w:eastAsia="楷体" w:cs="楷体"/>
                <w:sz w:val="28"/>
                <w:szCs w:val="28"/>
              </w:rPr>
            </w:pPr>
          </w:p>
        </w:tc>
        <w:tc>
          <w:tcPr>
            <w:tcW w:w="534" w:type="pct"/>
            <w:vMerge w:val="continue"/>
            <w:tcMar>
              <w:top w:w="15" w:type="dxa"/>
              <w:left w:w="15" w:type="dxa"/>
              <w:right w:w="15" w:type="dxa"/>
            </w:tcMar>
            <w:vAlign w:val="center"/>
          </w:tcPr>
          <w:p w14:paraId="6227FE0E">
            <w:pPr>
              <w:widowControl/>
              <w:jc w:val="center"/>
              <w:textAlignment w:val="center"/>
              <w:rPr>
                <w:rFonts w:hint="eastAsia" w:ascii="楷体" w:hAnsi="楷体" w:eastAsia="楷体" w:cs="楷体"/>
                <w:kern w:val="0"/>
                <w:sz w:val="28"/>
                <w:szCs w:val="28"/>
              </w:rPr>
            </w:pPr>
          </w:p>
        </w:tc>
        <w:tc>
          <w:tcPr>
            <w:tcW w:w="2607" w:type="pct"/>
            <w:tcMar>
              <w:top w:w="15" w:type="dxa"/>
              <w:left w:w="15" w:type="dxa"/>
              <w:right w:w="15" w:type="dxa"/>
            </w:tcMar>
            <w:vAlign w:val="center"/>
          </w:tcPr>
          <w:p w14:paraId="46152E23">
            <w:pPr>
              <w:widowControl/>
              <w:textAlignment w:val="center"/>
              <w:rPr>
                <w:rFonts w:hint="eastAsia" w:ascii="楷体" w:hAnsi="楷体" w:eastAsia="楷体" w:cs="楷体"/>
                <w:kern w:val="0"/>
                <w:sz w:val="28"/>
                <w:szCs w:val="28"/>
              </w:rPr>
            </w:pPr>
            <w:r>
              <w:rPr>
                <w:rFonts w:hint="eastAsia" w:ascii="楷体" w:hAnsi="楷体" w:eastAsia="楷体" w:cs="楷体"/>
                <w:kern w:val="0"/>
                <w:sz w:val="28"/>
                <w:szCs w:val="28"/>
              </w:rPr>
              <w:t>3.按照甲方的具体要求，建立和完善各项工作台账。（1分）</w:t>
            </w:r>
          </w:p>
        </w:tc>
        <w:tc>
          <w:tcPr>
            <w:tcW w:w="1356" w:type="pct"/>
            <w:tcMar>
              <w:top w:w="15" w:type="dxa"/>
              <w:left w:w="15" w:type="dxa"/>
              <w:right w:w="15" w:type="dxa"/>
            </w:tcMar>
            <w:vAlign w:val="center"/>
          </w:tcPr>
          <w:p w14:paraId="206E35C3">
            <w:pPr>
              <w:widowControl/>
              <w:jc w:val="left"/>
              <w:textAlignment w:val="center"/>
              <w:rPr>
                <w:rFonts w:hint="eastAsia" w:ascii="楷体" w:hAnsi="楷体" w:eastAsia="楷体" w:cs="楷体"/>
                <w:kern w:val="0"/>
                <w:sz w:val="28"/>
                <w:szCs w:val="28"/>
              </w:rPr>
            </w:pPr>
            <w:r>
              <w:rPr>
                <w:rFonts w:hint="eastAsia" w:ascii="楷体" w:hAnsi="楷体" w:eastAsia="楷体" w:cs="楷体"/>
                <w:kern w:val="0"/>
                <w:sz w:val="28"/>
                <w:szCs w:val="28"/>
              </w:rPr>
              <w:t>共1分，每少一项台账扣0.5分，扣完为止。</w:t>
            </w:r>
          </w:p>
        </w:tc>
      </w:tr>
      <w:tr w14:paraId="4CAD4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501" w:type="pct"/>
            <w:vMerge w:val="continue"/>
            <w:tcMar>
              <w:top w:w="15" w:type="dxa"/>
              <w:left w:w="15" w:type="dxa"/>
              <w:right w:w="15" w:type="dxa"/>
            </w:tcMar>
            <w:vAlign w:val="center"/>
          </w:tcPr>
          <w:p w14:paraId="0EECB3A4">
            <w:pPr>
              <w:jc w:val="center"/>
              <w:rPr>
                <w:rFonts w:hint="eastAsia" w:ascii="楷体" w:hAnsi="楷体" w:eastAsia="楷体" w:cs="楷体"/>
                <w:sz w:val="28"/>
                <w:szCs w:val="28"/>
              </w:rPr>
            </w:pPr>
          </w:p>
        </w:tc>
        <w:tc>
          <w:tcPr>
            <w:tcW w:w="534" w:type="pct"/>
            <w:vMerge w:val="continue"/>
            <w:tcMar>
              <w:top w:w="15" w:type="dxa"/>
              <w:left w:w="15" w:type="dxa"/>
              <w:right w:w="15" w:type="dxa"/>
            </w:tcMar>
            <w:vAlign w:val="center"/>
          </w:tcPr>
          <w:p w14:paraId="78392FC0">
            <w:pPr>
              <w:widowControl/>
              <w:jc w:val="center"/>
              <w:textAlignment w:val="center"/>
              <w:rPr>
                <w:rFonts w:hint="eastAsia" w:ascii="楷体" w:hAnsi="楷体" w:eastAsia="楷体" w:cs="楷体"/>
                <w:kern w:val="0"/>
                <w:sz w:val="28"/>
                <w:szCs w:val="28"/>
              </w:rPr>
            </w:pPr>
          </w:p>
        </w:tc>
        <w:tc>
          <w:tcPr>
            <w:tcW w:w="2607" w:type="pct"/>
            <w:tcMar>
              <w:top w:w="15" w:type="dxa"/>
              <w:left w:w="15" w:type="dxa"/>
              <w:right w:w="15" w:type="dxa"/>
            </w:tcMar>
            <w:vAlign w:val="center"/>
          </w:tcPr>
          <w:p w14:paraId="17530610">
            <w:pPr>
              <w:widowControl/>
              <w:textAlignment w:val="center"/>
              <w:rPr>
                <w:rFonts w:hint="eastAsia" w:ascii="楷体" w:hAnsi="楷体" w:eastAsia="楷体" w:cs="楷体"/>
                <w:kern w:val="0"/>
                <w:sz w:val="28"/>
                <w:szCs w:val="28"/>
              </w:rPr>
            </w:pPr>
            <w:r>
              <w:rPr>
                <w:rFonts w:hint="eastAsia" w:ascii="楷体" w:hAnsi="楷体" w:eastAsia="楷体" w:cs="楷体"/>
                <w:kern w:val="0"/>
                <w:sz w:val="28"/>
                <w:szCs w:val="28"/>
              </w:rPr>
              <w:t>4. 利用大数据可视化展示平台，分行业、分群体开展相关数据分析总结工作。（1分）</w:t>
            </w:r>
          </w:p>
        </w:tc>
        <w:tc>
          <w:tcPr>
            <w:tcW w:w="1356" w:type="pct"/>
            <w:tcMar>
              <w:top w:w="15" w:type="dxa"/>
              <w:left w:w="15" w:type="dxa"/>
              <w:right w:w="15" w:type="dxa"/>
            </w:tcMar>
            <w:vAlign w:val="center"/>
          </w:tcPr>
          <w:p w14:paraId="063DEFD6">
            <w:pPr>
              <w:widowControl/>
              <w:jc w:val="left"/>
              <w:textAlignment w:val="center"/>
              <w:rPr>
                <w:rFonts w:hint="eastAsia" w:ascii="楷体" w:hAnsi="楷体" w:eastAsia="楷体" w:cs="楷体"/>
                <w:kern w:val="0"/>
                <w:sz w:val="28"/>
                <w:szCs w:val="28"/>
              </w:rPr>
            </w:pPr>
            <w:r>
              <w:rPr>
                <w:rFonts w:hint="eastAsia" w:ascii="楷体" w:hAnsi="楷体" w:eastAsia="楷体" w:cs="楷体"/>
                <w:kern w:val="0"/>
                <w:sz w:val="28"/>
                <w:szCs w:val="28"/>
              </w:rPr>
              <w:t>共1分，没有则不得分。</w:t>
            </w:r>
          </w:p>
        </w:tc>
      </w:tr>
      <w:tr w14:paraId="48780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501" w:type="pct"/>
            <w:vMerge w:val="continue"/>
            <w:tcMar>
              <w:top w:w="15" w:type="dxa"/>
              <w:left w:w="15" w:type="dxa"/>
              <w:right w:w="15" w:type="dxa"/>
            </w:tcMar>
            <w:vAlign w:val="center"/>
          </w:tcPr>
          <w:p w14:paraId="0DDBE0DD">
            <w:pPr>
              <w:jc w:val="center"/>
              <w:rPr>
                <w:rFonts w:hint="eastAsia" w:ascii="楷体" w:hAnsi="楷体" w:eastAsia="楷体" w:cs="楷体"/>
                <w:sz w:val="28"/>
                <w:szCs w:val="28"/>
              </w:rPr>
            </w:pPr>
          </w:p>
        </w:tc>
        <w:tc>
          <w:tcPr>
            <w:tcW w:w="534" w:type="pct"/>
            <w:tcMar>
              <w:top w:w="15" w:type="dxa"/>
              <w:left w:w="15" w:type="dxa"/>
              <w:right w:w="15" w:type="dxa"/>
            </w:tcMar>
            <w:vAlign w:val="center"/>
          </w:tcPr>
          <w:p w14:paraId="102D0FEF">
            <w:pPr>
              <w:widowControl/>
              <w:textAlignment w:val="center"/>
              <w:rPr>
                <w:rFonts w:hint="eastAsia" w:ascii="楷体" w:hAnsi="楷体" w:eastAsia="楷体" w:cs="楷体"/>
                <w:kern w:val="0"/>
                <w:sz w:val="28"/>
                <w:szCs w:val="28"/>
              </w:rPr>
            </w:pPr>
            <w:r>
              <w:rPr>
                <w:rFonts w:hint="eastAsia" w:ascii="楷体" w:hAnsi="楷体" w:eastAsia="楷体" w:cs="楷体"/>
                <w:kern w:val="0"/>
                <w:sz w:val="28"/>
                <w:szCs w:val="28"/>
              </w:rPr>
              <w:t>服务满意度（6分）</w:t>
            </w:r>
          </w:p>
        </w:tc>
        <w:tc>
          <w:tcPr>
            <w:tcW w:w="2607" w:type="pct"/>
            <w:tcMar>
              <w:top w:w="15" w:type="dxa"/>
              <w:left w:w="15" w:type="dxa"/>
              <w:right w:w="15" w:type="dxa"/>
            </w:tcMar>
            <w:vAlign w:val="center"/>
          </w:tcPr>
          <w:p w14:paraId="474EE564">
            <w:pPr>
              <w:widowControl/>
              <w:textAlignment w:val="center"/>
              <w:rPr>
                <w:rFonts w:hint="eastAsia" w:ascii="楷体" w:hAnsi="楷体" w:eastAsia="楷体" w:cs="楷体"/>
                <w:kern w:val="0"/>
                <w:sz w:val="28"/>
                <w:szCs w:val="28"/>
              </w:rPr>
            </w:pPr>
            <w:r>
              <w:rPr>
                <w:rFonts w:hint="eastAsia" w:ascii="楷体" w:hAnsi="楷体" w:eastAsia="楷体" w:cs="楷体"/>
                <w:kern w:val="0"/>
                <w:sz w:val="28"/>
                <w:szCs w:val="28"/>
              </w:rPr>
              <w:t>1.完善服务体系，提高服务质量，为求职者和用工主体提供高效优质的就业服务，提高服务满意度。通过电话回访、现场访谈等方式，对服务对象开展服务满意度调查，调查人数（企业数）不少于50人（家），满意度达90%以上。（6分）</w:t>
            </w:r>
          </w:p>
        </w:tc>
        <w:tc>
          <w:tcPr>
            <w:tcW w:w="1356" w:type="pct"/>
            <w:tcMar>
              <w:top w:w="15" w:type="dxa"/>
              <w:left w:w="15" w:type="dxa"/>
              <w:right w:w="15" w:type="dxa"/>
            </w:tcMar>
            <w:vAlign w:val="center"/>
          </w:tcPr>
          <w:p w14:paraId="591FCBFE">
            <w:pPr>
              <w:widowControl/>
              <w:jc w:val="left"/>
              <w:textAlignment w:val="center"/>
              <w:rPr>
                <w:rFonts w:hint="eastAsia" w:ascii="楷体" w:hAnsi="楷体" w:eastAsia="楷体" w:cs="楷体"/>
                <w:kern w:val="0"/>
                <w:sz w:val="28"/>
                <w:szCs w:val="28"/>
              </w:rPr>
            </w:pPr>
            <w:r>
              <w:rPr>
                <w:rFonts w:hint="eastAsia" w:ascii="楷体" w:hAnsi="楷体" w:eastAsia="楷体" w:cs="楷体"/>
                <w:kern w:val="0"/>
                <w:sz w:val="28"/>
                <w:szCs w:val="28"/>
              </w:rPr>
              <w:t>共6分，满意度达90%以上的得6分，满意度每少1个百分点扣0.1分，扣完为止。</w:t>
            </w:r>
          </w:p>
        </w:tc>
      </w:tr>
    </w:tbl>
    <w:p w14:paraId="31F8C9F9">
      <w:pPr>
        <w:ind w:firstLine="560" w:firstLineChars="200"/>
        <w:rPr>
          <w:rFonts w:hint="eastAsia" w:ascii="楷体" w:hAnsi="楷体" w:eastAsia="楷体" w:cs="楷体"/>
          <w:sz w:val="28"/>
          <w:szCs w:val="28"/>
          <w:shd w:val="clear" w:color="auto" w:fill="FFFFFF"/>
        </w:rPr>
      </w:pPr>
      <w:r>
        <w:rPr>
          <w:rFonts w:hint="eastAsia" w:ascii="楷体" w:hAnsi="楷体" w:eastAsia="楷体" w:cs="楷体"/>
          <w:sz w:val="28"/>
          <w:szCs w:val="28"/>
        </w:rPr>
        <w:t>绩效考评总分100分，根据考评分数</w:t>
      </w:r>
      <w:r>
        <w:rPr>
          <w:rFonts w:hint="eastAsia" w:ascii="楷体" w:hAnsi="楷体" w:eastAsia="楷体" w:cs="楷体"/>
          <w:sz w:val="28"/>
          <w:szCs w:val="28"/>
          <w:shd w:val="clear" w:color="auto" w:fill="FFFFFF"/>
        </w:rPr>
        <w:t>设“优秀、良好、合格、较差”四个档次，其中90分（含）以上为优秀，80分（含）至89分为良好、60分（含）至79分为合格，59分以下为较差。</w:t>
      </w:r>
    </w:p>
    <w:p w14:paraId="728A3E2D">
      <w:pPr>
        <w:ind w:firstLine="560" w:firstLineChars="200"/>
        <w:rPr>
          <w:rFonts w:hint="eastAsia" w:ascii="楷体" w:hAnsi="楷体" w:eastAsia="楷体" w:cs="楷体"/>
          <w:sz w:val="28"/>
          <w:szCs w:val="28"/>
        </w:rPr>
      </w:pPr>
      <w:r>
        <w:rPr>
          <w:rFonts w:hint="eastAsia" w:ascii="楷体" w:hAnsi="楷体" w:eastAsia="楷体" w:cs="楷体"/>
          <w:sz w:val="28"/>
          <w:szCs w:val="28"/>
        </w:rPr>
        <w:t>考评结果运用：</w:t>
      </w:r>
    </w:p>
    <w:p w14:paraId="5A7638F6">
      <w:pPr>
        <w:ind w:firstLine="560" w:firstLineChars="200"/>
        <w:rPr>
          <w:rFonts w:hint="eastAsia" w:ascii="楷体" w:hAnsi="楷体" w:eastAsia="楷体" w:cs="楷体"/>
          <w:sz w:val="28"/>
          <w:szCs w:val="28"/>
        </w:rPr>
      </w:pPr>
      <w:r>
        <w:rPr>
          <w:rFonts w:hint="eastAsia" w:ascii="楷体" w:hAnsi="楷体" w:eastAsia="楷体" w:cs="楷体"/>
          <w:sz w:val="28"/>
          <w:szCs w:val="28"/>
        </w:rPr>
        <w:t>协议签订预付中标价60%基础运营费用</w:t>
      </w:r>
    </w:p>
    <w:p w14:paraId="7025154C">
      <w:pPr>
        <w:ind w:firstLine="560" w:firstLineChars="200"/>
        <w:rPr>
          <w:rFonts w:hint="eastAsia" w:ascii="楷体" w:hAnsi="楷体" w:eastAsia="楷体" w:cs="楷体"/>
          <w:sz w:val="28"/>
          <w:szCs w:val="28"/>
        </w:rPr>
      </w:pPr>
      <w:r>
        <w:rPr>
          <w:rFonts w:hint="eastAsia" w:ascii="楷体" w:hAnsi="楷体" w:eastAsia="楷体" w:cs="楷体"/>
          <w:sz w:val="28"/>
          <w:szCs w:val="28"/>
        </w:rPr>
        <w:t>（1）运营管理规范，成效突出，考核结果优秀（90分以上），拨付运营服务费100%；</w:t>
      </w:r>
    </w:p>
    <w:p w14:paraId="430E6577">
      <w:pPr>
        <w:ind w:firstLine="560" w:firstLineChars="200"/>
        <w:rPr>
          <w:rFonts w:hint="eastAsia" w:ascii="楷体" w:hAnsi="楷体" w:eastAsia="楷体" w:cs="楷体"/>
          <w:sz w:val="28"/>
          <w:szCs w:val="28"/>
        </w:rPr>
      </w:pPr>
      <w:r>
        <w:rPr>
          <w:rFonts w:hint="eastAsia" w:ascii="楷体" w:hAnsi="楷体" w:eastAsia="楷体" w:cs="楷体"/>
          <w:sz w:val="28"/>
          <w:szCs w:val="28"/>
        </w:rPr>
        <w:t>（2）运营管理规范，成效明显，考核结果良好（80（含）-89分），拨付运营服务费90%；</w:t>
      </w:r>
    </w:p>
    <w:p w14:paraId="177C629B">
      <w:pPr>
        <w:ind w:firstLine="560" w:firstLineChars="200"/>
        <w:rPr>
          <w:rFonts w:hint="eastAsia" w:ascii="楷体" w:hAnsi="楷体" w:eastAsia="楷体" w:cs="楷体"/>
          <w:sz w:val="28"/>
          <w:szCs w:val="28"/>
        </w:rPr>
      </w:pPr>
      <w:r>
        <w:rPr>
          <w:rFonts w:hint="eastAsia" w:ascii="楷体" w:hAnsi="楷体" w:eastAsia="楷体" w:cs="楷体"/>
          <w:sz w:val="28"/>
          <w:szCs w:val="28"/>
        </w:rPr>
        <w:t>（3）运营管理较为规范，成效明显，考核结果合格（60（含）-79分），拨付运营服务费80%；并制定提升方案，进一步提升；</w:t>
      </w:r>
    </w:p>
    <w:p w14:paraId="7701A25A">
      <w:pPr>
        <w:ind w:firstLine="560" w:firstLineChars="200"/>
        <w:rPr>
          <w:rFonts w:hint="eastAsia" w:ascii="楷体" w:hAnsi="楷体" w:eastAsia="楷体" w:cs="楷体"/>
          <w:sz w:val="28"/>
          <w:szCs w:val="28"/>
        </w:rPr>
      </w:pPr>
      <w:r>
        <w:rPr>
          <w:rFonts w:hint="eastAsia" w:ascii="楷体" w:hAnsi="楷体" w:eastAsia="楷体" w:cs="楷体"/>
          <w:sz w:val="28"/>
          <w:szCs w:val="28"/>
        </w:rPr>
        <w:t>（4）运营管理欠规范，考核结果较差（59分以下），终止服务协议。</w:t>
      </w:r>
    </w:p>
    <w:p w14:paraId="239C5DC1">
      <w:pPr>
        <w:widowControl/>
        <w:shd w:val="clear" w:color="auto" w:fill="FFFFFF"/>
        <w:spacing w:line="560" w:lineRule="exact"/>
        <w:jc w:val="both"/>
        <w:rPr>
          <w:rFonts w:hint="eastAsia" w:ascii="楷体" w:hAnsi="楷体" w:eastAsia="楷体" w:cs="楷体"/>
          <w:kern w:val="0"/>
          <w:sz w:val="28"/>
          <w:szCs w:val="28"/>
        </w:rPr>
      </w:pPr>
    </w:p>
    <w:p w14:paraId="3634C2FC">
      <w:pPr>
        <w:numPr>
          <w:ilvl w:val="0"/>
          <w:numId w:val="0"/>
        </w:numPr>
        <w:rPr>
          <w:rFonts w:hint="eastAsia" w:ascii="楷体" w:hAnsi="楷体" w:eastAsia="楷体" w:cs="楷体"/>
          <w:b/>
          <w:bCs/>
          <w:sz w:val="28"/>
          <w:szCs w:val="28"/>
          <w:u w:val="none"/>
          <w:lang w:val="en-US" w:eastAsia="zh-CN"/>
        </w:rPr>
      </w:pPr>
      <w:r>
        <w:rPr>
          <w:rFonts w:hint="eastAsia" w:ascii="楷体" w:hAnsi="楷体" w:eastAsia="楷体" w:cs="楷体"/>
          <w:b/>
          <w:bCs/>
          <w:sz w:val="28"/>
          <w:szCs w:val="28"/>
          <w:u w:val="none"/>
          <w:lang w:val="en-US" w:eastAsia="zh-CN"/>
        </w:rPr>
        <w:t>三、付款方式</w:t>
      </w:r>
    </w:p>
    <w:p w14:paraId="3F4036B3">
      <w:pPr>
        <w:numPr>
          <w:ilvl w:val="0"/>
          <w:numId w:val="0"/>
        </w:numPr>
        <w:spacing w:line="360" w:lineRule="auto"/>
        <w:rPr>
          <w:rFonts w:hint="eastAsia" w:ascii="楷体" w:hAnsi="楷体" w:eastAsia="楷体" w:cs="楷体"/>
          <w:sz w:val="28"/>
          <w:szCs w:val="28"/>
          <w:u w:val="single"/>
          <w:lang w:val="en-US" w:eastAsia="zh-CN"/>
        </w:rPr>
      </w:pPr>
      <w:r>
        <w:rPr>
          <w:rFonts w:hint="eastAsia" w:ascii="楷体" w:hAnsi="楷体" w:eastAsia="楷体" w:cs="楷体"/>
          <w:b w:val="0"/>
          <w:bCs/>
          <w:sz w:val="28"/>
          <w:szCs w:val="28"/>
          <w:highlight w:val="none"/>
          <w:lang w:val="en-US" w:eastAsia="zh-CN"/>
        </w:rPr>
        <w:t>1、</w:t>
      </w:r>
      <w:r>
        <w:rPr>
          <w:rFonts w:hint="eastAsia" w:ascii="楷体" w:hAnsi="楷体" w:eastAsia="楷体" w:cs="楷体"/>
          <w:b w:val="0"/>
          <w:bCs/>
          <w:sz w:val="28"/>
          <w:szCs w:val="28"/>
          <w:highlight w:val="none"/>
          <w:lang w:val="en-US"/>
        </w:rPr>
        <w:t>自合同签订之日起，采购人应当自收到发票后</w:t>
      </w:r>
      <w:r>
        <w:rPr>
          <w:rFonts w:hint="eastAsia" w:ascii="楷体" w:hAnsi="楷体" w:eastAsia="楷体" w:cs="楷体"/>
          <w:b w:val="0"/>
          <w:bCs/>
          <w:sz w:val="28"/>
          <w:szCs w:val="28"/>
          <w:highlight w:val="none"/>
          <w:lang w:val="en-US" w:eastAsia="zh-CN"/>
        </w:rPr>
        <w:t>10个工作日</w:t>
      </w:r>
      <w:r>
        <w:rPr>
          <w:rFonts w:hint="eastAsia" w:ascii="楷体" w:hAnsi="楷体" w:eastAsia="楷体" w:cs="楷体"/>
          <w:b w:val="0"/>
          <w:bCs/>
          <w:sz w:val="28"/>
          <w:szCs w:val="28"/>
          <w:highlight w:val="none"/>
          <w:lang w:val="en-US"/>
        </w:rPr>
        <w:t xml:space="preserve">内支付合同款的 </w:t>
      </w:r>
      <w:r>
        <w:rPr>
          <w:rFonts w:hint="eastAsia" w:ascii="楷体" w:hAnsi="楷体" w:eastAsia="楷体" w:cs="楷体"/>
          <w:b w:val="0"/>
          <w:bCs/>
          <w:sz w:val="28"/>
          <w:szCs w:val="28"/>
          <w:highlight w:val="none"/>
          <w:lang w:val="en-US" w:eastAsia="zh-CN"/>
        </w:rPr>
        <w:t>10</w:t>
      </w:r>
      <w:r>
        <w:rPr>
          <w:rFonts w:hint="eastAsia" w:ascii="楷体" w:hAnsi="楷体" w:eastAsia="楷体" w:cs="楷体"/>
          <w:b w:val="0"/>
          <w:bCs/>
          <w:sz w:val="28"/>
          <w:szCs w:val="28"/>
          <w:highlight w:val="none"/>
          <w:lang w:val="en-US"/>
        </w:rPr>
        <w:t>％作为预付款到合同约定的供应商账户；</w:t>
      </w:r>
    </w:p>
    <w:p w14:paraId="7802001F">
      <w:pPr>
        <w:numPr>
          <w:ilvl w:val="0"/>
          <w:numId w:val="0"/>
        </w:numPr>
        <w:ind w:firstLine="560"/>
        <w:rPr>
          <w:rFonts w:hint="eastAsia" w:ascii="楷体" w:hAnsi="楷体" w:eastAsia="楷体" w:cs="楷体"/>
          <w:sz w:val="28"/>
          <w:szCs w:val="28"/>
          <w:u w:val="single"/>
          <w:lang w:val="en-US" w:eastAsia="zh-CN"/>
        </w:rPr>
      </w:pPr>
      <w:r>
        <w:rPr>
          <w:rFonts w:hint="eastAsia" w:ascii="楷体" w:hAnsi="楷体" w:eastAsia="楷体" w:cs="楷体"/>
          <w:sz w:val="28"/>
          <w:szCs w:val="28"/>
          <w:u w:val="single"/>
          <w:lang w:val="en-US" w:eastAsia="zh-CN"/>
        </w:rPr>
        <w:t>2、根据项目进度考核结果，且收到供应商发票后</w:t>
      </w:r>
      <w:r>
        <w:rPr>
          <w:rFonts w:hint="eastAsia" w:ascii="楷体" w:hAnsi="楷体" w:eastAsia="楷体" w:cs="楷体"/>
          <w:b w:val="0"/>
          <w:bCs/>
          <w:sz w:val="28"/>
          <w:szCs w:val="28"/>
          <w:highlight w:val="none"/>
          <w:lang w:val="en-US" w:eastAsia="zh-CN"/>
        </w:rPr>
        <w:t>10个工作日</w:t>
      </w:r>
      <w:r>
        <w:rPr>
          <w:rFonts w:hint="eastAsia" w:ascii="楷体" w:hAnsi="楷体" w:eastAsia="楷体" w:cs="楷体"/>
          <w:sz w:val="28"/>
          <w:szCs w:val="28"/>
          <w:u w:val="single"/>
          <w:lang w:val="en-US" w:eastAsia="zh-CN"/>
        </w:rPr>
        <w:t>内支付合同款。</w:t>
      </w:r>
    </w:p>
    <w:p w14:paraId="29B4DBF5">
      <w:pPr>
        <w:numPr>
          <w:ilvl w:val="0"/>
          <w:numId w:val="0"/>
        </w:numPr>
        <w:rPr>
          <w:rFonts w:hint="eastAsia" w:ascii="楷体" w:hAnsi="楷体" w:eastAsia="楷体" w:cs="楷体"/>
          <w:b/>
          <w:bCs/>
          <w:sz w:val="28"/>
          <w:szCs w:val="28"/>
          <w:u w:val="none"/>
          <w:lang w:val="en-US" w:eastAsia="zh-CN"/>
        </w:rPr>
      </w:pPr>
      <w:r>
        <w:rPr>
          <w:rFonts w:hint="eastAsia" w:ascii="楷体" w:hAnsi="楷体" w:eastAsia="楷体" w:cs="楷体"/>
          <w:b/>
          <w:bCs/>
          <w:sz w:val="28"/>
          <w:szCs w:val="28"/>
          <w:u w:val="none"/>
          <w:lang w:val="en-US" w:eastAsia="zh-CN"/>
        </w:rPr>
        <w:t>四、服务期 ：</w:t>
      </w:r>
    </w:p>
    <w:p w14:paraId="25F98F82">
      <w:pPr>
        <w:numPr>
          <w:ilvl w:val="0"/>
          <w:numId w:val="0"/>
        </w:numPr>
        <w:ind w:firstLine="280" w:firstLineChars="100"/>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服务时间：一年</w:t>
      </w:r>
    </w:p>
    <w:p w14:paraId="41B1325F">
      <w:pPr>
        <w:numPr>
          <w:ilvl w:val="0"/>
          <w:numId w:val="0"/>
        </w:numPr>
        <w:spacing w:line="360" w:lineRule="auto"/>
        <w:rPr>
          <w:rFonts w:hint="eastAsia" w:ascii="楷体" w:hAnsi="楷体" w:eastAsia="楷体" w:cs="楷体"/>
          <w:b/>
          <w:bCs/>
          <w:sz w:val="28"/>
          <w:szCs w:val="28"/>
          <w:u w:val="none"/>
          <w:lang w:val="en-US" w:eastAsia="zh-CN"/>
        </w:rPr>
      </w:pPr>
      <w:r>
        <w:rPr>
          <w:rFonts w:hint="eastAsia" w:ascii="楷体" w:hAnsi="楷体" w:eastAsia="楷体" w:cs="楷体"/>
          <w:b/>
          <w:bCs/>
          <w:sz w:val="28"/>
          <w:szCs w:val="28"/>
          <w:u w:val="none"/>
          <w:lang w:val="en-US" w:eastAsia="zh-CN"/>
        </w:rPr>
        <w:t>五、其它要求</w:t>
      </w:r>
    </w:p>
    <w:p w14:paraId="14320DF9">
      <w:pPr>
        <w:numPr>
          <w:ilvl w:val="0"/>
          <w:numId w:val="0"/>
        </w:numPr>
        <w:spacing w:line="360" w:lineRule="auto"/>
        <w:ind w:firstLine="560" w:firstLineChars="200"/>
        <w:rPr>
          <w:rFonts w:hint="eastAsia" w:ascii="楷体" w:hAnsi="楷体" w:eastAsia="楷体" w:cs="楷体"/>
          <w:sz w:val="28"/>
          <w:szCs w:val="28"/>
          <w:u w:val="none"/>
          <w:lang w:val="en-US" w:eastAsia="zh-CN"/>
        </w:rPr>
      </w:pPr>
      <w:r>
        <w:rPr>
          <w:rFonts w:hint="eastAsia" w:ascii="楷体" w:hAnsi="楷体" w:eastAsia="楷体" w:cs="楷体"/>
          <w:sz w:val="28"/>
          <w:szCs w:val="28"/>
          <w:u w:val="none"/>
          <w:lang w:val="en-US" w:eastAsia="zh-CN"/>
        </w:rPr>
        <w:t>在本项目实施过程中，中标人需严格遵守和执行《中华人民共和国劳动法》、镇江市劳动用工和社会保险管理规定、镇江市最低工资标准等相关法律法规，并就安全生产和职业道德加强对所有工作人员的教育，合同期中发生的一切事故、纠纷由中标人承担，采购人不承担任何责任。</w:t>
      </w:r>
    </w:p>
    <w:p w14:paraId="1A085C68">
      <w:bookmarkStart w:id="2" w:name="_GoBack"/>
      <w:bookmarkEnd w:id="2"/>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8A132C"/>
    <w:rsid w:val="378A1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hint="default" w:ascii="宋体" w:hAnsi="宋体" w:eastAsia="宋体" w:cs="宋体"/>
      <w:sz w:val="22"/>
      <w:szCs w:val="22"/>
      <w:lang w:val="zh-CN"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文本1"/>
    <w:basedOn w:val="1"/>
    <w:next w:val="1"/>
    <w:qFormat/>
    <w:uiPriority w:val="99"/>
    <w:pPr>
      <w:spacing w:before="129"/>
      <w:ind w:left="100"/>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2025-04-28T02:08:00Z</dcterms:created>
  <dc:creator>Administrator</dc:creator>
  <cp:lastModifiedBy>Administrator</cp:lastModifiedBy>
  <dcterms:modified xsi:type="dcterms:W3CDTF">2025-04-28T02:08:50Z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88AC7CDE924A4AA28D323FC79F553999_11</vt:lpwstr>
  </property>
  <property fmtid="{D5CDD505-2E9C-101B-9397-08002B2CF9AE}" pid="4" name="KSOTemplateDocerSaveRecord">
    <vt:lpwstr>eyJoZGlkIjoiOTQ5NzY0MDhiNTY4ZGI0NDRlYzMzOGVmMzNhZDljNzcifQ==</vt:lpwstr>
  </property>
</Properties>
</file>