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562"/>
        <w:jc w:val="left"/>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pStyle w:val="725"/>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rPr>
      </w:pPr>
      <w:r>
        <w:rPr>
          <w:rFonts w:hint="eastAsia"/>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jc w:val="center"/>
        <w:rPr>
          <w:rFonts w:hint="eastAsia" w:ascii="方正小标宋_GBK" w:hAnsi="方正小标宋_GBK" w:eastAsia="方正小标宋_GBK" w:cs="方正小标宋_GBK"/>
          <w:bCs/>
          <w:color w:val="000000"/>
          <w:spacing w:val="20"/>
          <w:sz w:val="96"/>
          <w:szCs w:val="96"/>
        </w:rPr>
      </w:pPr>
      <w:r>
        <w:rPr>
          <w:rFonts w:hint="eastAsia" w:ascii="方正小标宋_GBK" w:hAnsi="方正小标宋_GBK" w:eastAsia="方正小标宋_GBK" w:cs="方正小标宋_GBK"/>
          <w:bCs/>
          <w:color w:val="000000"/>
          <w:spacing w:val="20"/>
          <w:sz w:val="96"/>
          <w:szCs w:val="96"/>
        </w:rPr>
        <w:t xml:space="preserve">竞争性磋商文件</w:t>
      </w:r>
      <w:r/>
    </w:p>
    <w:p>
      <w:pPr>
        <w:pStyle w:val="725"/>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ind w:left="2542" w:hanging="1807"/>
        <w:jc w:val="left"/>
        <w:keepLines w:val="0"/>
        <w:keepNext w:val="0"/>
        <w:pageBreakBefore w:val="0"/>
        <w:spacing w:after="240"/>
        <w:widowControl w:val="off"/>
        <w:rPr>
          <w:rFonts w:hint="default" w:ascii="楷体" w:hAnsi="楷体" w:eastAsia="楷体"/>
          <w:b/>
          <w:bCs/>
          <w:color w:val="000000"/>
          <w:sz w:val="36"/>
          <w:u w:val="single"/>
          <w:lang w:val="en-US" w:eastAsia="zh-CN"/>
        </w:rPr>
      </w:pPr>
      <w:r>
        <w:rPr>
          <w:rFonts w:hint="eastAsia" w:ascii="楷体" w:hAnsi="楷体" w:eastAsia="楷体"/>
          <w:b/>
          <w:bCs/>
          <w:color w:val="000000"/>
          <w:sz w:val="36"/>
        </w:rPr>
        <w:t xml:space="preserve">项目名称：</w:t>
      </w:r>
      <w:r>
        <w:rPr>
          <w:rFonts w:hint="eastAsia" w:ascii="楷体" w:hAnsi="楷体" w:eastAsia="楷体"/>
          <w:b/>
          <w:bCs/>
          <w:color w:val="000000"/>
          <w:sz w:val="36"/>
          <w:u w:val="single"/>
          <w:lang w:val="en-US" w:eastAsia="zh-CN"/>
        </w:rPr>
        <w:t xml:space="preserve">  </w:t>
      </w:r>
      <w:r>
        <w:rPr>
          <w:rFonts w:hint="eastAsia" w:ascii="楷体" w:hAnsi="楷体" w:eastAsia="楷体"/>
          <w:b/>
          <w:bCs/>
          <w:color w:val="000000"/>
          <w:sz w:val="36"/>
          <w:u w:val="single"/>
        </w:rPr>
        <w:t xml:space="preserve">兴化市荻垛镇农业数字化建设</w:t>
      </w:r>
      <w:r>
        <w:rPr>
          <w:rFonts w:hint="eastAsia" w:ascii="楷体" w:hAnsi="楷体" w:eastAsia="楷体"/>
          <w:b/>
          <w:bCs/>
          <w:color w:val="000000"/>
          <w:sz w:val="36"/>
          <w:u w:val="single"/>
          <w:lang w:eastAsia="zh-CN"/>
        </w:rPr>
        <w:t xml:space="preserve">项目</w:t>
      </w:r>
      <w:r>
        <w:rPr>
          <w:rFonts w:hint="eastAsia" w:ascii="楷体" w:hAnsi="楷体" w:eastAsia="楷体"/>
          <w:b/>
          <w:bCs/>
          <w:color w:val="000000"/>
          <w:sz w:val="36"/>
          <w:u w:val="single"/>
          <w:lang w:val="en-US" w:eastAsia="zh-CN"/>
        </w:rPr>
        <w:t xml:space="preserve">  </w:t>
      </w:r>
      <w:r/>
    </w:p>
    <w:p>
      <w:pPr>
        <w:ind w:left="735"/>
        <w:jc w:val="left"/>
        <w:keepLines w:val="0"/>
        <w:keepNext w:val="0"/>
        <w:pageBreakBefore w:val="0"/>
        <w:spacing w:after="240"/>
        <w:widowControl w:val="off"/>
        <w:rPr>
          <w:rFonts w:hint="default" w:ascii="楷体" w:hAnsi="楷体" w:eastAsia="楷体"/>
          <w:b/>
          <w:bCs/>
          <w:sz w:val="36"/>
          <w:lang w:val="en-US" w:eastAsia="zh-CN"/>
        </w:rPr>
      </w:pPr>
      <w:r>
        <w:rPr>
          <w:rFonts w:hint="eastAsia" w:ascii="楷体" w:hAnsi="楷体" w:eastAsia="楷体"/>
          <w:b/>
          <w:bCs/>
          <w:color w:val="000000"/>
          <w:sz w:val="36"/>
        </w:rPr>
        <w:t xml:space="preserve">项</w:t>
      </w:r>
      <w:r>
        <w:rPr>
          <w:rFonts w:hint="eastAsia" w:ascii="楷体" w:hAnsi="楷体" w:eastAsia="楷体"/>
          <w:b/>
          <w:bCs/>
          <w:sz w:val="36"/>
        </w:rPr>
        <w:t xml:space="preserve">目编号：</w:t>
      </w:r>
      <w:r>
        <w:rPr>
          <w:rFonts w:hint="eastAsia" w:ascii="楷体" w:hAnsi="楷体" w:eastAsia="楷体"/>
          <w:b/>
          <w:bCs/>
          <w:sz w:val="36"/>
          <w:u w:val="single"/>
          <w:lang w:val="en-US" w:eastAsia="zh-CN"/>
        </w:rPr>
        <w:t xml:space="preserve">   JSZC-321281-JZCG-C2024-0031 </w:t>
      </w:r>
      <w:r>
        <w:rPr>
          <w:rFonts w:hint="eastAsia" w:ascii="楷体" w:hAnsi="楷体" w:eastAsia="楷体"/>
          <w:b/>
          <w:bCs/>
          <w:sz w:val="36"/>
          <w:highlight w:val="none"/>
          <w:u w:val="single"/>
        </w:rPr>
        <w:t xml:space="preserve"> </w:t>
      </w:r>
      <w:r>
        <w:rPr>
          <w:rFonts w:hint="eastAsia" w:ascii="楷体" w:hAnsi="楷体" w:eastAsia="楷体"/>
          <w:b/>
          <w:bCs/>
          <w:sz w:val="36"/>
          <w:highlight w:val="none"/>
          <w:u w:val="single"/>
          <w:lang w:val="en-US" w:eastAsia="zh-CN"/>
        </w:rPr>
        <w:t xml:space="preserve">  </w:t>
      </w:r>
      <w:r/>
    </w:p>
    <w:p>
      <w:pPr>
        <w:ind w:left="735"/>
        <w:jc w:val="left"/>
        <w:keepLines w:val="0"/>
        <w:keepNext w:val="0"/>
        <w:pageBreakBefore w:val="0"/>
        <w:widowControl w:val="off"/>
        <w:rPr>
          <w:rFonts w:ascii="楷体" w:hAnsi="楷体" w:eastAsia="楷体"/>
          <w:b/>
          <w:bCs/>
          <w:sz w:val="36"/>
        </w:rPr>
      </w:pPr>
      <w:r>
        <w:rPr>
          <w:rFonts w:hint="eastAsia" w:ascii="楷体" w:hAnsi="楷体" w:eastAsia="楷体"/>
          <w:b/>
          <w:bCs/>
          <w:sz w:val="36"/>
        </w:rPr>
        <w:t xml:space="preserve">采</w:t>
      </w:r>
      <w:r>
        <w:rPr>
          <w:rFonts w:ascii="楷体" w:hAnsi="楷体" w:eastAsia="楷体"/>
          <w:b/>
          <w:bCs/>
          <w:sz w:val="36"/>
        </w:rPr>
        <w:t xml:space="preserve"> </w:t>
      </w:r>
      <w:r>
        <w:rPr>
          <w:rFonts w:hint="eastAsia" w:ascii="楷体" w:hAnsi="楷体" w:eastAsia="楷体"/>
          <w:b/>
          <w:bCs/>
          <w:sz w:val="36"/>
        </w:rPr>
        <w:t xml:space="preserve">购</w:t>
      </w:r>
      <w:r>
        <w:rPr>
          <w:rFonts w:ascii="楷体" w:hAnsi="楷体" w:eastAsia="楷体"/>
          <w:b/>
          <w:bCs/>
          <w:sz w:val="36"/>
        </w:rPr>
        <w:t xml:space="preserve"> </w:t>
      </w:r>
      <w:r>
        <w:rPr>
          <w:rFonts w:hint="eastAsia" w:ascii="楷体" w:hAnsi="楷体" w:eastAsia="楷体"/>
          <w:b/>
          <w:bCs/>
          <w:sz w:val="36"/>
        </w:rPr>
        <w:t xml:space="preserve">人：</w:t>
      </w:r>
      <w:r>
        <w:rPr>
          <w:rFonts w:hint="eastAsia" w:ascii="楷体" w:hAnsi="楷体" w:eastAsia="楷体"/>
          <w:b/>
          <w:bCs/>
          <w:sz w:val="36"/>
          <w:u w:val="single"/>
        </w:rPr>
        <w:t xml:space="preserve"> </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w:t>
      </w:r>
      <w:r>
        <w:rPr>
          <w:rFonts w:hint="eastAsia" w:ascii="楷体" w:hAnsi="楷体" w:eastAsia="楷体"/>
          <w:b/>
          <w:bCs/>
          <w:color w:val="000000"/>
          <w:sz w:val="36"/>
          <w:u w:val="single"/>
        </w:rPr>
        <w:t xml:space="preserve">兴化市荻垛镇</w:t>
      </w:r>
      <w:r>
        <w:rPr>
          <w:rFonts w:hint="eastAsia" w:ascii="楷体" w:hAnsi="楷体" w:eastAsia="楷体"/>
          <w:b/>
          <w:bCs/>
          <w:color w:val="000000"/>
          <w:sz w:val="36"/>
          <w:u w:val="single"/>
          <w:lang w:eastAsia="zh-CN"/>
        </w:rPr>
        <w:t xml:space="preserve">人民政府</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w:t>
      </w:r>
      <w:r/>
    </w:p>
    <w:p>
      <w:pPr>
        <w:ind w:firstLine="2530"/>
        <w:spacing w:after="240"/>
        <w:rPr>
          <w:rFonts w:hint="eastAsia" w:ascii="楷体" w:hAnsi="楷体" w:eastAsia="楷体"/>
          <w:b/>
          <w:bCs/>
          <w:sz w:val="36"/>
          <w:lang w:val="en-US" w:eastAsia="zh-CN"/>
        </w:rPr>
      </w:pPr>
      <w:r>
        <w:rPr>
          <w:rFonts w:hint="eastAsia" w:ascii="楷体" w:hAnsi="楷体" w:eastAsia="楷体"/>
          <w:b/>
          <w:bCs/>
          <w:sz w:val="36"/>
          <w:lang w:val="en-US" w:eastAsia="zh-CN"/>
        </w:rPr>
        <w:t xml:space="preserve"> </w:t>
      </w:r>
      <w:r/>
    </w:p>
    <w:p>
      <w:pPr>
        <w:jc w:val="center"/>
        <w:spacing w:after="240"/>
        <w:rPr>
          <w:rFonts w:ascii="楷体" w:hAnsi="楷体" w:eastAsia="楷体"/>
          <w:b/>
          <w:bCs/>
          <w:color w:val="ff0000"/>
          <w:sz w:val="36"/>
        </w:rPr>
      </w:pPr>
      <w:r>
        <w:rPr>
          <w:rFonts w:hint="eastAsia" w:ascii="楷体" w:hAnsi="楷体" w:eastAsia="楷体"/>
          <w:b/>
          <w:bCs/>
          <w:color w:val="ff0000"/>
          <w:sz w:val="36"/>
        </w:rPr>
        <w:t xml:space="preserve">（全流程电子化不见面开标）</w:t>
      </w:r>
      <w:r/>
    </w:p>
    <w:p>
      <w:pPr>
        <w:jc w:val="both"/>
        <w:rPr>
          <w:rFonts w:ascii="仿宋_GB2312" w:eastAsia="仿宋_GB2312"/>
          <w:color w:val="000000"/>
          <w:sz w:val="36"/>
        </w:rPr>
      </w:pPr>
      <w:r>
        <w:rPr>
          <w:rFonts w:ascii="仿宋_GB2312" w:eastAsia="仿宋_GB2312"/>
          <w:color w:val="000000"/>
          <w:sz w:val="36"/>
        </w:rPr>
      </w:r>
      <w:r/>
    </w:p>
    <w:p>
      <w:pPr>
        <w:pStyle w:val="723"/>
        <w:ind w:firstLine="1024"/>
        <w:jc w:val="center"/>
        <w:spacing w:line="316" w:lineRule="auto"/>
        <w:tabs>
          <w:tab w:val="left" w:pos="7182" w:leader="none"/>
        </w:tabs>
        <w:rPr>
          <w:rFonts w:ascii="黑体" w:hAnsi="Century Schoolbook" w:eastAsia="黑体"/>
          <w:color w:val="000000"/>
          <w:spacing w:val="-4"/>
          <w:sz w:val="52"/>
          <w:szCs w:val="28"/>
        </w:rPr>
      </w:pPr>
      <w:r>
        <w:rPr>
          <w:rFonts w:ascii="黑体" w:hAnsi="Century Schoolbook" w:eastAsia="黑体"/>
          <w:color w:val="000000"/>
          <w:spacing w:val="-4"/>
          <w:sz w:val="52"/>
          <w:szCs w:val="28"/>
        </w:rPr>
      </w:r>
      <w:r/>
    </w:p>
    <w:p>
      <w:pPr>
        <w:rPr>
          <w:color w:val="000000"/>
        </w:rPr>
      </w:pPr>
      <w:r>
        <w:rPr>
          <w:color w:val="000000"/>
        </w:rPr>
      </w:r>
      <w:r/>
    </w:p>
    <w:p>
      <w:pPr>
        <w:rPr>
          <w:color w:val="000000"/>
        </w:rPr>
      </w:pPr>
      <w:r>
        <w:rPr>
          <w:color w:val="000000"/>
        </w:rPr>
      </w:r>
      <w:r/>
    </w:p>
    <w:p>
      <w:pPr>
        <w:pStyle w:val="723"/>
        <w:ind w:firstLine="0"/>
        <w:jc w:val="center"/>
        <w:spacing w:line="316" w:lineRule="auto"/>
        <w:tabs>
          <w:tab w:val="left" w:pos="7182" w:leader="none"/>
        </w:tabs>
        <w:rPr>
          <w:rFonts w:ascii="黑体" w:hAnsi="Century Schoolbook" w:eastAsia="黑体"/>
          <w:color w:val="000000"/>
          <w:sz w:val="36"/>
          <w:szCs w:val="20"/>
        </w:rPr>
      </w:pPr>
      <w:r>
        <w:rPr>
          <w:rFonts w:hint="eastAsia" w:ascii="黑体" w:hAnsi="Century Schoolbook" w:eastAsia="黑体"/>
          <w:color w:val="000000"/>
          <w:sz w:val="36"/>
          <w:szCs w:val="20"/>
        </w:rPr>
        <w:t xml:space="preserve">江苏省兴化市政务服务中心</w:t>
      </w:r>
      <w:r/>
    </w:p>
    <w:p>
      <w:pPr>
        <w:jc w:val="center"/>
        <w:spacing w:line="520" w:lineRule="exact"/>
        <w:rPr>
          <w:rFonts w:hint="eastAsia" w:ascii="仿宋_GB2312" w:hAnsi="仿宋_GB2312" w:eastAsia="仿宋_GB2312" w:cs="仿宋_GB2312"/>
          <w:sz w:val="28"/>
          <w:szCs w:val="28"/>
        </w:rPr>
      </w:pPr>
      <w:r>
        <w:rPr>
          <w:rFonts w:hint="eastAsia" w:ascii="黑体" w:hAnsi="Century Schoolbook" w:eastAsia="黑体"/>
          <w:color w:val="000000"/>
          <w:sz w:val="36"/>
          <w:szCs w:val="20"/>
        </w:rPr>
        <w:t xml:space="preserve">二○二四年</w:t>
      </w:r>
      <w:r>
        <w:rPr>
          <w:rFonts w:hint="eastAsia" w:ascii="黑体" w:hAnsi="Century Schoolbook" w:eastAsia="黑体"/>
          <w:color w:val="000000"/>
          <w:sz w:val="36"/>
          <w:szCs w:val="20"/>
          <w:lang w:eastAsia="zh-CN"/>
        </w:rPr>
        <w:t xml:space="preserve">十一</w:t>
      </w:r>
      <w:r>
        <w:rPr>
          <w:rFonts w:hint="eastAsia" w:ascii="黑体" w:hAnsi="Century Schoolbook" w:eastAsia="黑体"/>
          <w:color w:val="000000"/>
          <w:sz w:val="36"/>
          <w:szCs w:val="20"/>
        </w:rPr>
        <w:t xml:space="preserve">月</w:t>
      </w:r>
      <w:r>
        <w:rPr>
          <w:rFonts w:hint="eastAsia" w:ascii="仿宋_GB2312" w:hAnsi="仿宋_GB2312" w:eastAsia="仿宋_GB2312" w:cs="仿宋_GB2312"/>
          <w:sz w:val="28"/>
          <w:szCs w:val="28"/>
        </w:rPr>
        <w:br w:type="page" w:clear="all"/>
      </w:r>
      <w:bookmarkStart w:id="0" w:name="_Toc120614210"/>
      <w:r/>
      <w:bookmarkStart w:id="1" w:name="_Toc20823272"/>
      <w:r/>
      <w:bookmarkStart w:id="2" w:name="_Toc513029200"/>
      <w:r/>
      <w:bookmarkStart w:id="3" w:name="_Toc16938516"/>
      <w:r/>
      <w:bookmarkStart w:id="4" w:name="_Toc523127445"/>
      <w:r/>
      <w:bookmarkStart w:id="5" w:name="_Toc479757206"/>
      <w:r/>
      <w:r/>
    </w:p>
    <w:p>
      <w:pPr>
        <w:ind w:left="0" w:right="0" w:firstLine="562"/>
        <w:jc w:val="center"/>
        <w:pageBreakBefore w:val="0"/>
        <w:spacing w:line="520" w:lineRule="exact"/>
        <w:rPr>
          <w:rFonts w:hint="eastAsia" w:ascii="仿宋_GB2312" w:hAnsi="仿宋_GB2312" w:eastAsia="仿宋_GB2312" w:cs="仿宋_GB2312"/>
          <w:b/>
          <w:sz w:val="28"/>
          <w:szCs w:val="28"/>
        </w:rPr>
        <w:sectPr>
          <w:headerReference w:type="default" r:id="rId9"/>
          <w:footerReference w:type="default" r:id="rId10"/>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hint="eastAsia" w:ascii="仿宋_GB2312" w:hAnsi="仿宋_GB2312" w:eastAsia="仿宋_GB2312" w:cs="仿宋_GB2312"/>
          <w:b/>
          <w:sz w:val="28"/>
          <w:szCs w:val="28"/>
        </w:rPr>
      </w:r>
      <w:r/>
    </w:p>
    <w:p>
      <w:pPr>
        <w:jc w:val="center"/>
        <w:rPr>
          <w:rFonts w:ascii="方正小标宋简体" w:hAnsi="方正小标宋_GBK" w:eastAsia="方正小标宋简体" w:cs="Times New Roman"/>
          <w:sz w:val="36"/>
          <w:szCs w:val="36"/>
        </w:rPr>
      </w:pPr>
      <w:r>
        <w:rPr>
          <w:rFonts w:hint="eastAsia" w:ascii="方正小标宋简体" w:hAnsi="方正小标宋_GBK" w:eastAsia="方正小标宋简体" w:cs="Times New Roman"/>
          <w:sz w:val="36"/>
          <w:szCs w:val="36"/>
        </w:rPr>
        <w:t xml:space="preserve">兴化市</w:t>
      </w:r>
      <w:r>
        <w:rPr>
          <w:rFonts w:ascii="方正小标宋简体" w:hAnsi="方正小标宋_GBK" w:eastAsia="方正小标宋简体" w:cs="Times New Roman"/>
          <w:sz w:val="36"/>
          <w:szCs w:val="36"/>
        </w:rPr>
        <w:t xml:space="preserve">政府采购</w:t>
      </w:r>
      <w:r>
        <w:rPr>
          <w:rFonts w:hint="eastAsia" w:ascii="方正小标宋简体" w:hAnsi="方正小标宋_GBK" w:eastAsia="方正小标宋简体" w:cs="Times New Roman"/>
          <w:sz w:val="36"/>
          <w:szCs w:val="36"/>
        </w:rPr>
        <w:t xml:space="preserve">不见面交易特别提醒</w:t>
      </w:r>
      <w:r/>
    </w:p>
    <w:p>
      <w:pPr>
        <w:ind w:firstLine="560"/>
        <w:spacing w:line="520" w:lineRule="exact"/>
        <w:rPr>
          <w:rFonts w:ascii="黑体" w:hAnsi="黑体" w:eastAsia="黑体" w:cs="黑体"/>
          <w:spacing w:val="-3"/>
          <w:sz w:val="28"/>
          <w:szCs w:val="28"/>
        </w:rPr>
      </w:pPr>
      <w:r>
        <w:rPr>
          <w:rFonts w:hint="eastAsia" w:ascii="黑体" w:hAnsi="黑体" w:eastAsia="黑体" w:cs="黑体"/>
          <w:sz w:val="28"/>
          <w:szCs w:val="28"/>
        </w:rPr>
        <w:t xml:space="preserve">一、政府采购线上合同信用融资功能告知提醒</w:t>
      </w:r>
      <w:r/>
    </w:p>
    <w:p>
      <w:pPr>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723"/>
        <w:ind w:firstLine="562"/>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723"/>
        <w:jc w:val="center"/>
        <w:spacing w:before="0" w:beforeAutospacing="0" w:after="0" w:afterAutospacing="0"/>
        <w:rPr>
          <w:rFonts w:ascii="仿宋" w:hAnsi="仿宋" w:eastAsia="仿宋" w:cs="仿宋"/>
          <w:sz w:val="28"/>
          <w:szCs w:val="28"/>
        </w:rPr>
      </w:pPr>
      <w:r>
        <w:rPr>
          <w:rFonts w:hint="eastAsia"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-13970</wp:posOffset>
                </wp:positionH>
                <wp:positionV relativeFrom="paragraph">
                  <wp:posOffset>59690</wp:posOffset>
                </wp:positionV>
                <wp:extent cx="5898515" cy="1791970"/>
                <wp:effectExtent l="0" t="0" r="6985" b="17780"/>
                <wp:wrapSquare wrapText="bothSides"/>
                <wp:docPr id="2"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2"/>
                        <a:stretch/>
                      </pic:blipFill>
                      <pic:spPr bwMode="auto">
                        <a:xfrm>
                          <a:off x="0" y="0"/>
                          <a:ext cx="5898515" cy="17919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pt;mso-position-horizontal:absolute;mso-position-vertical-relative:text;margin-top:4.7pt;mso-position-vertical:absolute;width:464.4pt;height:141.1pt;mso-wrap-distance-left:9.0pt;mso-wrap-distance-top:0.0pt;mso-wrap-distance-right:9.0pt;mso-wrap-distance-bottom:0.0pt;" stroked="false">
                <v:path textboxrect="0,0,0,0"/>
                <w10:wrap type="square"/>
                <v:imagedata r:id="rId12" o:title=""/>
              </v:shape>
            </w:pict>
          </mc:Fallback>
        </mc:AlternateContent>
      </w:r>
      <w:r/>
    </w:p>
    <w:p>
      <w:pPr>
        <w:pStyle w:val="723"/>
        <w:ind w:firstLine="562"/>
        <w:jc w:val="both"/>
        <w:keepLines w:val="0"/>
        <w:keepNext w:val="0"/>
        <w:pageBreakBefore w:val="0"/>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723"/>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23"/>
        <w:ind w:firstLine="562"/>
        <w:jc w:val="both"/>
        <w:keepLines w:val="0"/>
        <w:keepNext w:val="0"/>
        <w:pageBreakBefore w:val="0"/>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723"/>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723"/>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723"/>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723"/>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723"/>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723"/>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723"/>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723"/>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723"/>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723"/>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23"/>
        <w:ind w:firstLine="562"/>
        <w:jc w:val="both"/>
        <w:keepLines w:val="0"/>
        <w:keepNext w:val="0"/>
        <w:pageBreakBefore w:val="0"/>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ind w:firstLine="564"/>
        <w:jc w:val="left"/>
        <w:keepLines w:val="0"/>
        <w:keepNext w:val="0"/>
        <w:pageBreakBefore w:val="0"/>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w:instrText>
      </w:r>
      <w:r>
        <w:fldChar w:fldCharType="separate"/>
      </w:r>
      <w:r>
        <w:rPr>
          <w:rStyle w:val="729"/>
          <w:rFonts w:hint="eastAsia" w:ascii="仿宋" w:hAnsi="仿宋" w:eastAsia="仿宋" w:cs="仿宋"/>
          <w:color w:val="auto"/>
          <w:spacing w:val="1"/>
          <w:sz w:val="28"/>
          <w:szCs w:val="28"/>
        </w:rPr>
        <w:t xml:space="preserve">http://www.ccgp-jiangsu.gov.cn/jiangsu/paying.html</w:t>
      </w:r>
      <w:r>
        <w:rPr>
          <w:rStyle w:val="729"/>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w:instrText>
      </w:r>
      <w:r>
        <w:fldChar w:fldCharType="separate"/>
      </w:r>
      <w:r>
        <w:rPr>
          <w:rStyle w:val="729"/>
          <w:rFonts w:hint="eastAsia" w:ascii="仿宋" w:hAnsi="仿宋" w:eastAsia="仿宋" w:cs="仿宋"/>
          <w:color w:val="auto"/>
          <w:spacing w:val="1"/>
          <w:sz w:val="28"/>
          <w:szCs w:val="28"/>
        </w:rPr>
        <w:t xml:space="preserve">https://www.crcrfsp.com/</w:t>
      </w:r>
      <w:r>
        <w:rPr>
          <w:rStyle w:val="729"/>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ind w:firstLine="560"/>
        <w:keepLines w:val="0"/>
        <w:keepNext w:val="0"/>
        <w:pageBreakBefore w:val="0"/>
        <w:spacing w:line="440" w:lineRule="exact"/>
        <w:rPr>
          <w:rFonts w:ascii="黑体" w:hAnsi="黑体" w:eastAsia="黑体" w:cs="黑体"/>
          <w:sz w:val="28"/>
          <w:szCs w:val="28"/>
        </w:rPr>
      </w:pPr>
      <w:r>
        <w:rPr>
          <w:rFonts w:hint="eastAsia" w:ascii="黑体" w:hAnsi="黑体" w:eastAsia="黑体" w:cs="黑体"/>
          <w:sz w:val="28"/>
          <w:szCs w:val="28"/>
        </w:rPr>
        <w:t xml:space="preserve">二、不见面交易投标文件制作提交说明</w:t>
      </w:r>
      <w:r/>
    </w:p>
    <w:p>
      <w:pPr>
        <w:ind w:firstLine="520"/>
        <w:jc w:val="left"/>
        <w:keepLines w:val="0"/>
        <w:keepNext w:val="0"/>
        <w:pageBreakBefore w:val="0"/>
        <w:spacing w:line="44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keepLines w:val="0"/>
        <w:keepNext w:val="0"/>
        <w:pageBreakBefore w:val="0"/>
        <w:spacing w:line="44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001"/>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keepLines w:val="0"/>
        <w:keepNext w:val="0"/>
        <w:pageBreakBefore w:val="0"/>
        <w:spacing w:line="44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1001"/>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keepLines w:val="0"/>
        <w:keepNext w:val="0"/>
        <w:pageBreakBefore w:val="0"/>
        <w:spacing w:line="440" w:lineRule="exact"/>
        <w:rPr>
          <w:rFonts w:hint="eastAsia" w:ascii="仿宋" w:hAnsi="仿宋" w:eastAsia="仿宋" w:cs="宋体"/>
          <w:sz w:val="28"/>
          <w:szCs w:val="28"/>
          <w:shd w:val="clear" w:color="auto" w:fill="ffffff"/>
          <w:lang w:eastAsia="zh-CN" w:bidi="ar"/>
        </w:rPr>
      </w:pPr>
      <w:r>
        <w:rPr>
          <w:rFonts w:hint="eastAsia" w:ascii="仿宋" w:hAnsi="仿宋" w:eastAsia="仿宋" w:cs="宋体"/>
          <w:sz w:val="28"/>
          <w:szCs w:val="28"/>
          <w:shd w:val="clear" w:color="auto" w:fill="ffffff"/>
          <w:lang w:bidi="ar"/>
        </w:rPr>
        <w:t xml:space="preserve">技术服务联系电话：</w:t>
      </w:r>
      <w:r>
        <w:rPr>
          <w:rFonts w:hint="eastAsia" w:ascii="仿宋" w:hAnsi="仿宋" w:eastAsia="仿宋" w:cs="宋体"/>
          <w:sz w:val="28"/>
          <w:szCs w:val="28"/>
          <w:shd w:val="clear" w:color="auto" w:fill="ffffff"/>
          <w:lang w:eastAsia="zh-CN" w:bidi="ar"/>
        </w:rPr>
        <w:t xml:space="preserve">详见招标文件第一章</w:t>
      </w:r>
      <w:r/>
    </w:p>
    <w:p>
      <w:pPr>
        <w:ind w:firstLine="560"/>
        <w:keepLines w:val="0"/>
        <w:keepNext w:val="0"/>
        <w:pageBreakBefore w:val="0"/>
        <w:spacing w:line="440" w:lineRule="exact"/>
        <w:rPr>
          <w:rFonts w:hint="eastAsia" w:ascii="黑体" w:hAnsi="黑体" w:eastAsia="黑体" w:cs="黑体"/>
          <w:sz w:val="28"/>
          <w:szCs w:val="28"/>
        </w:rPr>
      </w:pPr>
      <w:r>
        <w:rPr>
          <w:rFonts w:hint="eastAsia" w:ascii="黑体" w:hAnsi="黑体" w:eastAsia="黑体" w:cs="黑体"/>
          <w:sz w:val="28"/>
          <w:szCs w:val="28"/>
          <w:lang w:eastAsia="zh-CN"/>
        </w:rPr>
        <w:t xml:space="preserve">三</w:t>
      </w:r>
      <w:r>
        <w:rPr>
          <w:rFonts w:hint="eastAsia" w:ascii="黑体" w:hAnsi="黑体" w:eastAsia="黑体" w:cs="黑体"/>
          <w:sz w:val="28"/>
          <w:szCs w:val="28"/>
        </w:rPr>
        <w:t xml:space="preserve">、供应商相关法律责任提醒</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（一）提供虚假材料谋取中标、成交的；</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《政府采购法实施条例》第七十二条　供应商有下列情形之一的，依照政府采购法第七十七条第一款的规定追究法律责任：</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keepLines w:val="0"/>
        <w:keepNext w:val="0"/>
        <w:pageBreakBefore w:val="0"/>
        <w:spacing w:line="440" w:lineRule="exact"/>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四、政府采购政策 </w:t>
      </w:r>
      <w:r/>
    </w:p>
    <w:p>
      <w:pPr>
        <w:pStyle w:val="723"/>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4.1中小企业、监狱企业及残疾人福利性单位</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4.1.1中小企业定义：</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4.1.1.1中小企业是</w:t>
      </w:r>
      <w:r>
        <w:rPr>
          <w:rFonts w:hint="eastAsia" w:ascii="仿宋" w:hAnsi="仿宋" w:eastAsia="仿宋" w:cs="仿宋"/>
          <w:sz w:val="28"/>
          <w:szCs w:val="28"/>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4.1.1.2投标人提供的货物、工程或者服务符合下列情形的，享受中小企业扶持政策：</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（1）在货物采购项目中，货物由中小企业制造，即货物由中小企业生产且使用该中小企业商号或者注册商标；</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（2）在工程采购项目中，工程由中小企业承建，即工程施工单位为中小企业；</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（3）在服务采购项目中，服务由中小企业承接，即提供服务的人员为中小企业依照《中华人民共和国劳动合同法》订立劳动合同的从业人员。</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4.1.1.3在货物采购项目中，投标人提供的货物既有中小企业制造货物，也有大型企业制造货物的，不享受中小企业扶持政策。</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4.1.1.4以联合体形式参加政府采购活动，联合体各方均为中小企业的，联合体视同中小企业。其中，联合体各方均为小微企业的，联合体视同小微企业。</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4.1.3残疾人福利单位定义：享受政府采购支持政策的残疾人福利性单位应当同时满足以下条件：</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（1）安置的残疾人占本单位在职职工人数的比例不低于25%（含25%），并且安置的残疾人人数不少于10 人（含10 人）；</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（2）依法与安置的每位残疾人签订了一年以上（含一年）的劳动合同或服务协议；</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（3）为安置的每位残疾人按月足额缴纳了基本养老保险、基本医疗保险、失业保险、工伤保险和生育保险等社会保险费；</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（4）通过银行等金融机构向安置的每位残疾人，按月支付了不低于单位所在区县适用的经省级人民政府批准的月最低工资标准的工资；</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（5）提供本单位制造的货物、承担的工程或者服务（以下简称产品），或者提供其他残疾人福利性单位制造的货物（不包括使用非残疾人福利性单位注册商标的货物）；</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4.1.4小微企业价格评审优惠的政策调整：见《评标方法与评标标准》（如涉及）。</w:t>
      </w:r>
      <w:r/>
    </w:p>
    <w:p>
      <w:pPr>
        <w:pStyle w:val="723"/>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4.2 政府采购节能产品、环境标志产品</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4.2.4非政府强制采购的节能产品或环境标志产品，依据品目清单和认证证书实施政府优先采购。优先采购的具体规定见第五章《评标方法与评标标准》（如涉及）。</w:t>
      </w:r>
      <w:r/>
    </w:p>
    <w:p>
      <w:pPr>
        <w:pStyle w:val="723"/>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4.3 商品包装、快递包装</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723"/>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4.4 绿色数据中心</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 生态环境部 工业和信息化部关于印发《绿色数据中心政府采购需求标准（试行）》的通知（ </w:t>
      </w:r>
      <w:bookmarkStart w:id="6" w:name="sendNo"/>
      <w:r>
        <w:rPr>
          <w:rFonts w:hint="eastAsia" w:ascii="仿宋" w:hAnsi="仿宋" w:eastAsia="仿宋" w:cs="仿宋"/>
          <w:sz w:val="28"/>
          <w:szCs w:val="28"/>
          <w:lang w:val="en-US" w:eastAsia="zh-CN"/>
        </w:rPr>
        <w:t xml:space="preserve">财库〔2023〕7号</w:t>
      </w:r>
      <w:bookmarkEnd w:id="6"/>
      <w:r>
        <w:rPr>
          <w:rFonts w:hint="eastAsia" w:ascii="仿宋" w:hAnsi="仿宋" w:eastAsia="仿宋" w:cs="仿宋"/>
          <w:sz w:val="28"/>
          <w:szCs w:val="28"/>
          <w:lang w:val="en-US" w:eastAsia="zh-CN"/>
        </w:rPr>
        <w:t xml:space="preserve">）要求，</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4.5.1采购人采购数据中心相关设备、运维服务，应当有利于节约能源、环境保护和资源循环利用，按照《需求标准》实施相关采购活动。</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4.5.2采购人应当加强采购需求管理，根据《需求标准》提出的指标编制数据中心相关设备、运维服务政府采购项目的采购文件，并在合同中明确对相关指标的验收方式和违约责任。</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4.5.3采购人在项目的投标、响应环节，原则上不对数据中心相关设备、服务进行检测、认证，也不要求供应商提供检测报告、认证报告，供应商出具符合相关要求的承诺函可视为符合规定。</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23"/>
        <w:ind w:firstLine="560"/>
        <w:jc w:val="both"/>
        <w:keepLines w:val="0"/>
        <w:keepNext w:val="0"/>
        <w:pageBreakBefore w:val="0"/>
        <w:spacing w:before="0" w:beforeAutospacing="0" w:after="0" w:afterAutospacing="0" w:line="44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4.5.5对于供应商未按合同约定提供设备或服务的，采购人应当依法追究其违约责任。对于供应商提供虚假材料谋取中标、成交的，依法予以处理。</w:t>
      </w:r>
      <w:r/>
    </w:p>
    <w:p>
      <w:pPr>
        <w:pStyle w:val="723"/>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4.6信息安全产品</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4.6.1依据《关于信息安全产品实施政府采购的通知》（财库〔2010〕48 号），所投产品属于《关于调整信息安全产品强制性认证实施要求的公告》（2009 年第33 号）范围的，应采用经国家认证的信息安全产品，否则投标无效。</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4.6.2未按要求提供相关材料的，不享受相关政策。</w:t>
      </w:r>
      <w:r/>
    </w:p>
    <w:p>
      <w:pPr>
        <w:pStyle w:val="723"/>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4.7 电子履约保函(保险)</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根据兴化市财政局、地方金融监督管理局转发《江苏省财政厅 国家金融监督管理总局江苏监管局 江苏省地方金融监督管理局关于在全省政府采购领域推行电子履约保函（保险）的通知》（</w:t>
      </w:r>
      <w:r>
        <w:rPr>
          <w:rFonts w:hint="default" w:ascii="仿宋" w:hAnsi="仿宋" w:eastAsia="仿宋" w:cs="仿宋"/>
          <w:sz w:val="28"/>
          <w:szCs w:val="28"/>
          <w:lang w:val="en-US" w:eastAsia="zh-CN"/>
        </w:rPr>
        <w:t xml:space="preserve">兴财购〔2023〕</w:t>
      </w:r>
      <w:r>
        <w:rPr>
          <w:rFonts w:hint="eastAsia" w:ascii="仿宋" w:hAnsi="仿宋" w:eastAsia="仿宋" w:cs="仿宋"/>
          <w:sz w:val="28"/>
          <w:szCs w:val="28"/>
          <w:lang w:val="en-US" w:eastAsia="zh-CN"/>
        </w:rPr>
        <w:t xml:space="preserve">2</w:t>
      </w:r>
      <w:r>
        <w:rPr>
          <w:rFonts w:hint="default" w:ascii="仿宋" w:hAnsi="仿宋" w:eastAsia="仿宋" w:cs="仿宋"/>
          <w:sz w:val="28"/>
          <w:szCs w:val="28"/>
          <w:lang w:val="en-US" w:eastAsia="zh-CN"/>
        </w:rPr>
        <w:t xml:space="preserve">5号</w:t>
      </w:r>
      <w:r>
        <w:rPr>
          <w:rFonts w:hint="eastAsia" w:ascii="仿宋" w:hAnsi="仿宋" w:eastAsia="仿宋" w:cs="仿宋"/>
          <w:sz w:val="28"/>
          <w:szCs w:val="28"/>
          <w:lang w:val="en-US" w:eastAsia="zh-CN"/>
        </w:rPr>
        <w:t xml:space="preserve">）要求，</w:t>
      </w:r>
      <w:r>
        <w:rPr>
          <w:rFonts w:hint="default" w:ascii="仿宋" w:hAnsi="仿宋" w:eastAsia="仿宋" w:cs="仿宋"/>
          <w:sz w:val="28"/>
          <w:szCs w:val="28"/>
          <w:lang w:val="en-US" w:eastAsia="zh-CN"/>
        </w:rPr>
        <w:t xml:space="preserve">为优化政府采购营商环境，进一步降低供应商参与政府采购成本，</w:t>
      </w:r>
      <w:r>
        <w:rPr>
          <w:rFonts w:hint="eastAsia" w:ascii="仿宋" w:hAnsi="仿宋" w:eastAsia="仿宋" w:cs="仿宋"/>
          <w:sz w:val="28"/>
          <w:szCs w:val="28"/>
          <w:lang w:val="en-US" w:eastAsia="zh-CN"/>
        </w:rPr>
        <w:t xml:space="preserve">我市全面启用政府采购履约保函（保险）。</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72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723"/>
        <w:ind w:firstLine="560"/>
        <w:jc w:val="both"/>
        <w:keepLines w:val="0"/>
        <w:keepNext w:val="0"/>
        <w:pageBreakBefore w:val="0"/>
        <w:spacing w:before="0" w:beforeAutospacing="0" w:after="0" w:afterAutospacing="0" w:line="44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供应商可登录江苏政府采购网“资料下载”栏目（网址：</w:t>
      </w: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"http://www.ccgp-jiangsu.gov.cn/jiangsu/zlxz" \o "www.ccgp-jiangsu.gov.cn/jiangsu/zlxz）下载\“政府采购电子履约" </w:instrText>
      </w:r>
      <w:r>
        <w:rPr>
          <w:rFonts w:hint="eastAsia" w:ascii="仿宋" w:hAnsi="仿宋" w:eastAsia="仿宋" w:cs="仿宋"/>
          <w:sz w:val="28"/>
          <w:szCs w:val="28"/>
          <w:lang w:val="en-US" w:eastAsia="zh-CN"/>
        </w:rPr>
        <w:fldChar w:fldCharType="separate"/>
      </w:r>
      <w:r>
        <w:rPr>
          <w:rFonts w:hint="eastAsia" w:ascii="仿宋" w:hAnsi="仿宋" w:eastAsia="仿宋" w:cs="仿宋"/>
          <w:sz w:val="28"/>
          <w:szCs w:val="28"/>
          <w:lang w:val="en-US" w:eastAsia="zh-CN"/>
        </w:rPr>
        <w:t xml:space="preserve">www.ccgp-jiangsu.gov.cn/jiangsu/zlxz）下载“政府采购电子履约</w:t>
      </w:r>
      <w:r>
        <w:rPr>
          <w:rFonts w:hint="eastAsia" w:ascii="仿宋" w:hAnsi="仿宋" w:eastAsia="仿宋" w:cs="仿宋"/>
          <w:sz w:val="28"/>
          <w:szCs w:val="28"/>
          <w:lang w:val="en-US" w:eastAsia="zh-CN"/>
        </w:rPr>
        <w:fldChar w:fldCharType="end"/>
      </w:r>
      <w:r>
        <w:rPr>
          <w:rFonts w:hint="eastAsia" w:ascii="仿宋" w:hAnsi="仿宋" w:eastAsia="仿宋" w:cs="仿宋"/>
          <w:sz w:val="28"/>
          <w:szCs w:val="28"/>
          <w:lang w:val="en-US" w:eastAsia="zh-CN"/>
        </w:rPr>
        <w:t xml:space="preserve">保函（保险）操作手册”。</w:t>
      </w:r>
      <w:r/>
    </w:p>
    <w:p>
      <w:pPr>
        <w:pStyle w:val="725"/>
        <w:sectPr>
          <w:footnotePr/>
          <w:endnotePr/>
          <w:type w:val="nextPage"/>
          <w:pgSz w:w="11906" w:h="16838" w:orient="portrait"/>
          <w:pgMar w:top="1418" w:right="1588" w:bottom="1418" w:left="1365" w:header="851" w:footer="907" w:gutter="0"/>
          <w:cols w:num="1" w:sep="0" w:space="720" w:equalWidth="1"/>
          <w:docGrid w:linePitch="360"/>
          <w:titlePg/>
        </w:sectPr>
      </w:pPr>
      <w:r/>
      <w:r/>
    </w:p>
    <w:p>
      <w:pPr>
        <w:ind w:left="0" w:right="0" w:firstLine="562"/>
        <w:jc w:val="center"/>
        <w:pageBreakBefore w:val="0"/>
        <w:spacing w:line="520" w:lineRule="exact"/>
        <w:rPr>
          <w:rFonts w:hint="eastAsia" w:ascii="仿宋_GB2312" w:hAnsi="仿宋_GB2312" w:eastAsia="仿宋_GB2312" w:cs="仿宋_GB2312"/>
          <w:b/>
          <w:bCs w:val="0"/>
          <w:sz w:val="28"/>
          <w:szCs w:val="28"/>
        </w:rPr>
        <w:outlineLvl w:val="0"/>
      </w:pPr>
      <w:r>
        <w:rPr>
          <w:rFonts w:hint="eastAsia" w:ascii="仿宋_GB2312" w:hAnsi="仿宋_GB2312" w:eastAsia="仿宋_GB2312" w:cs="仿宋_GB2312"/>
          <w:b/>
          <w:bCs w:val="0"/>
          <w:sz w:val="28"/>
          <w:szCs w:val="28"/>
        </w:rPr>
      </w:r>
      <w:r/>
    </w:p>
    <w:p>
      <w:pPr>
        <w:ind w:left="0" w:right="0" w:firstLine="803"/>
        <w:jc w:val="center"/>
        <w:pageBreakBefore w:val="0"/>
        <w:spacing w:line="520" w:lineRule="exact"/>
        <w:rPr>
          <w:rFonts w:hint="eastAsia" w:ascii="黑体" w:hAnsi="黑体" w:eastAsia="黑体" w:cs="黑体"/>
          <w:b/>
          <w:bCs w:val="0"/>
          <w:sz w:val="40"/>
          <w:szCs w:val="40"/>
        </w:rPr>
        <w:outlineLvl w:val="0"/>
      </w:pPr>
      <w:r>
        <w:rPr>
          <w:rFonts w:hint="eastAsia" w:ascii="黑体" w:hAnsi="黑体" w:eastAsia="黑体" w:cs="黑体"/>
          <w:b/>
          <w:bCs w:val="0"/>
          <w:sz w:val="40"/>
          <w:szCs w:val="40"/>
        </w:rPr>
      </w:r>
      <w:r/>
    </w:p>
    <w:p>
      <w:pPr>
        <w:ind w:right="0"/>
        <w:jc w:val="center"/>
        <w:keepLines w:val="0"/>
        <w:keepNext w:val="0"/>
        <w:pageBreakBefore w:val="0"/>
        <w:spacing w:line="720" w:lineRule="exact"/>
        <w:widowControl w:val="off"/>
        <w:rPr>
          <w:rFonts w:hint="eastAsia" w:ascii="黑体" w:hAnsi="黑体" w:eastAsia="黑体" w:cs="黑体"/>
          <w:b/>
          <w:bCs w:val="0"/>
          <w:sz w:val="48"/>
          <w:szCs w:val="48"/>
        </w:rPr>
        <w:outlineLvl w:val="0"/>
      </w:pPr>
      <w:r>
        <w:rPr>
          <w:rFonts w:hint="eastAsia" w:ascii="黑体" w:hAnsi="黑体" w:eastAsia="黑体" w:cs="黑体"/>
          <w:b/>
          <w:bCs w:val="0"/>
          <w:sz w:val="48"/>
          <w:szCs w:val="48"/>
        </w:rPr>
        <w:t xml:space="preserve">总  目  录</w:t>
      </w:r>
      <w:r/>
    </w:p>
    <w:p>
      <w:pPr>
        <w:ind w:left="0" w:right="0" w:firstLine="562"/>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磋商邀请…………………………………… </w:t>
      </w:r>
      <w:r>
        <w:rPr>
          <w:rFonts w:hint="eastAsia" w:ascii="黑体" w:hAnsi="黑体" w:eastAsia="黑体" w:cs="黑体"/>
          <w:bCs/>
          <w:sz w:val="36"/>
          <w:szCs w:val="36"/>
          <w:lang w:val="en-US" w:eastAsia="zh-CN"/>
        </w:rPr>
        <w:t xml:space="preserve">3</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供应商须知………………………………… </w:t>
      </w:r>
      <w:r>
        <w:rPr>
          <w:rFonts w:hint="eastAsia" w:ascii="黑体" w:hAnsi="黑体" w:eastAsia="黑体" w:cs="黑体"/>
          <w:bCs/>
          <w:sz w:val="36"/>
          <w:szCs w:val="36"/>
          <w:lang w:val="en-US" w:eastAsia="zh-CN"/>
        </w:rPr>
        <w:t xml:space="preserve">6</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合同文本……………………………………</w:t>
      </w:r>
      <w:r>
        <w:rPr>
          <w:rFonts w:hint="eastAsia" w:ascii="黑体" w:hAnsi="黑体" w:eastAsia="黑体" w:cs="黑体"/>
          <w:bCs/>
          <w:sz w:val="36"/>
          <w:szCs w:val="36"/>
          <w:lang w:val="en-US" w:eastAsia="zh-CN"/>
        </w:rPr>
        <w:t xml:space="preserve">20</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采购需求……………………………………</w:t>
      </w:r>
      <w:r>
        <w:rPr>
          <w:rFonts w:hint="eastAsia" w:ascii="黑体" w:hAnsi="黑体" w:eastAsia="黑体" w:cs="黑体"/>
          <w:bCs/>
          <w:sz w:val="36"/>
          <w:szCs w:val="36"/>
          <w:lang w:val="en-US" w:eastAsia="zh-CN"/>
        </w:rPr>
        <w:t xml:space="preserve">24</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评审方法与评审标准………………………2</w:t>
      </w:r>
      <w:r>
        <w:rPr>
          <w:rFonts w:hint="eastAsia" w:ascii="黑体" w:hAnsi="黑体" w:eastAsia="黑体" w:cs="黑体"/>
          <w:bCs/>
          <w:sz w:val="36"/>
          <w:szCs w:val="36"/>
          <w:lang w:val="en-US" w:eastAsia="zh-CN"/>
        </w:rPr>
        <w:t xml:space="preserve">9</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响应文件格式………………………………</w:t>
      </w:r>
      <w:r>
        <w:rPr>
          <w:rFonts w:hint="eastAsia" w:ascii="黑体" w:hAnsi="黑体" w:eastAsia="黑体" w:cs="黑体"/>
          <w:bCs/>
          <w:sz w:val="36"/>
          <w:szCs w:val="36"/>
          <w:lang w:val="en-US" w:eastAsia="zh-CN"/>
        </w:rPr>
        <w:t xml:space="preserve">33</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ind w:right="0"/>
        <w:jc w:val="center"/>
        <w:keepNext/>
        <w:pageBreakBefore w:val="0"/>
        <w:spacing w:line="520" w:lineRule="exact"/>
        <w:rPr>
          <w:rFonts w:hint="eastAsia" w:ascii="黑体" w:hAnsi="黑体" w:eastAsia="黑体" w:cs="黑体"/>
          <w:sz w:val="36"/>
          <w:szCs w:val="36"/>
        </w:rPr>
        <w:sectPr>
          <w:footnotePr/>
          <w:endnotePr/>
          <w:type w:val="nextPage"/>
          <w:pgSz w:w="11906" w:h="16838" w:orient="portrait"/>
          <w:pgMar w:top="1417" w:right="1474" w:bottom="1134" w:left="1474" w:header="851" w:footer="907" w:gutter="0"/>
          <w:cols w:num="1" w:sep="0" w:space="0" w:equalWidth="1"/>
          <w:docGrid w:linePitch="360"/>
          <w:titlePg/>
        </w:sectPr>
        <w:outlineLvl w:val="0"/>
      </w:pPr>
      <w:r>
        <w:rPr>
          <w:rFonts w:hint="eastAsia" w:ascii="黑体" w:hAnsi="黑体" w:eastAsia="黑体" w:cs="黑体"/>
          <w:sz w:val="36"/>
          <w:szCs w:val="36"/>
        </w:rPr>
      </w:r>
      <w:r/>
    </w:p>
    <w:p>
      <w:pPr>
        <w:rPr>
          <w:rFonts w:hint="eastAsia" w:ascii="仿宋" w:hAnsi="仿宋" w:eastAsia="仿宋"/>
          <w:b/>
          <w:sz w:val="36"/>
          <w:szCs w:val="36"/>
        </w:rPr>
      </w:pPr>
      <w:r>
        <w:rPr>
          <w:rFonts w:hint="eastAsia" w:ascii="仿宋" w:hAnsi="仿宋" w:eastAsia="仿宋"/>
          <w:b/>
          <w:sz w:val="36"/>
          <w:szCs w:val="36"/>
        </w:rPr>
      </w:r>
      <w:r/>
    </w:p>
    <w:p>
      <w:pPr>
        <w:ind w:right="0"/>
        <w:jc w:val="center"/>
        <w:keepNext/>
        <w:pageBreakBefore w:val="0"/>
        <w:spacing w:line="520" w:lineRule="exact"/>
        <w:rPr>
          <w:rFonts w:hint="eastAsia" w:ascii="黑体" w:hAnsi="黑体" w:eastAsia="黑体" w:cs="黑体"/>
          <w:sz w:val="36"/>
          <w:szCs w:val="36"/>
        </w:rPr>
        <w:outlineLvl w:val="0"/>
      </w:pPr>
      <w:r>
        <w:rPr>
          <w:rFonts w:hint="eastAsia" w:ascii="黑体" w:hAnsi="黑体" w:eastAsia="黑体" w:cs="黑体"/>
          <w:sz w:val="36"/>
          <w:szCs w:val="36"/>
        </w:rPr>
        <w:t xml:space="preserve">第一章  </w:t>
      </w:r>
      <w:bookmarkEnd w:id="0"/>
      <w:r>
        <w:rPr>
          <w:rFonts w:hint="eastAsia" w:ascii="黑体" w:hAnsi="黑体" w:eastAsia="黑体" w:cs="黑体"/>
          <w:sz w:val="36"/>
          <w:szCs w:val="36"/>
        </w:rPr>
        <w:t xml:space="preserve">磋商邀请</w:t>
      </w:r>
      <w:r/>
    </w:p>
    <w:p>
      <w:pPr>
        <w:ind w:right="0"/>
        <w:jc w:val="center"/>
        <w:keepNext/>
        <w:pageBreakBefore w:val="0"/>
        <w:spacing w:line="520" w:lineRule="exact"/>
        <w:rPr>
          <w:rFonts w:hint="eastAsia" w:ascii="黑体" w:hAnsi="黑体" w:eastAsia="黑体" w:cs="黑体"/>
          <w:sz w:val="28"/>
          <w:szCs w:val="28"/>
        </w:rPr>
        <w:outlineLvl w:val="0"/>
      </w:pPr>
      <w:r>
        <w:rPr>
          <w:rFonts w:hint="eastAsia" w:ascii="黑体" w:hAnsi="黑体" w:eastAsia="黑体" w:cs="黑体"/>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受</w:t>
      </w:r>
      <w:r>
        <w:rPr>
          <w:rFonts w:hint="eastAsia" w:ascii="仿宋_GB2312" w:hAnsi="仿宋_GB2312" w:eastAsia="仿宋_GB2312" w:cs="仿宋_GB2312"/>
          <w:sz w:val="28"/>
          <w:szCs w:val="28"/>
          <w:u w:val="single"/>
        </w:rPr>
        <w:t xml:space="preserve">兴化市荻垛镇</w:t>
      </w:r>
      <w:r>
        <w:rPr>
          <w:rFonts w:hint="eastAsia" w:ascii="仿宋_GB2312" w:hAnsi="仿宋_GB2312" w:eastAsia="仿宋_GB2312" w:cs="仿宋_GB2312"/>
          <w:sz w:val="28"/>
          <w:szCs w:val="28"/>
          <w:u w:val="single"/>
          <w:lang w:eastAsia="zh-CN"/>
        </w:rPr>
        <w:t xml:space="preserve">人民政府</w:t>
      </w:r>
      <w:r>
        <w:rPr>
          <w:rFonts w:hint="eastAsia" w:ascii="仿宋_GB2312" w:hAnsi="仿宋_GB2312" w:eastAsia="仿宋_GB2312" w:cs="仿宋_GB2312"/>
          <w:sz w:val="28"/>
          <w:szCs w:val="28"/>
        </w:rPr>
        <w:t xml:space="preserve">的委托，兴化市政务服务中心就</w:t>
      </w:r>
      <w:r>
        <w:rPr>
          <w:rFonts w:hint="eastAsia" w:ascii="仿宋_GB2312" w:hAnsi="仿宋_GB2312" w:eastAsia="仿宋_GB2312" w:cs="仿宋_GB2312"/>
          <w:sz w:val="28"/>
          <w:szCs w:val="28"/>
          <w:u w:val="single"/>
        </w:rPr>
        <w:t xml:space="preserve">兴化市荻垛镇农业数字化建设</w:t>
      </w:r>
      <w:r>
        <w:rPr>
          <w:rFonts w:hint="eastAsia" w:ascii="仿宋_GB2312" w:hAnsi="仿宋_GB2312" w:eastAsia="仿宋_GB2312" w:cs="仿宋_GB2312"/>
          <w:sz w:val="28"/>
          <w:szCs w:val="28"/>
          <w:u w:val="single"/>
          <w:lang w:eastAsia="zh-CN"/>
        </w:rPr>
        <w:t xml:space="preserve">项目</w:t>
      </w:r>
      <w:r>
        <w:rPr>
          <w:rFonts w:hint="eastAsia" w:ascii="仿宋_GB2312" w:hAnsi="仿宋_GB2312" w:eastAsia="仿宋_GB2312" w:cs="仿宋_GB2312"/>
          <w:sz w:val="28"/>
          <w:szCs w:val="28"/>
        </w:rPr>
        <w:t xml:space="preserve">(JSZC-321281-JZCG-C2024-0031)进行竞争性磋商采购，欢迎符合条件的供应商参加磋商。</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2"/>
        <w:pageBreakBefore w:val="0"/>
        <w:spacing w:line="520" w:lineRule="exact"/>
        <w:rPr>
          <w:rFonts w:hint="eastAsia" w:ascii="仿宋_GB2312" w:hAnsi="仿宋_GB2312" w:eastAsia="仿宋_GB2312" w:cs="仿宋_GB2312"/>
          <w:b/>
          <w:bCs/>
          <w:sz w:val="28"/>
          <w:szCs w:val="28"/>
        </w:rPr>
        <w:pBdr>
          <w:top w:val="single" w:color="000000" w:sz="4" w:space="1"/>
          <w:left w:val="single" w:color="000000" w:sz="4" w:space="4"/>
          <w:bottom w:val="single" w:color="000000" w:sz="4" w:space="1"/>
          <w:right w:val="single" w:color="000000" w:sz="4" w:space="4"/>
        </w:pBdr>
      </w:pPr>
      <w:r>
        <w:rPr>
          <w:rFonts w:hint="eastAsia" w:ascii="仿宋_GB2312" w:hAnsi="仿宋_GB2312" w:eastAsia="仿宋_GB2312" w:cs="仿宋_GB2312"/>
          <w:b/>
          <w:bCs/>
          <w:sz w:val="28"/>
          <w:szCs w:val="28"/>
        </w:rPr>
        <w:t xml:space="preserve">项目概况</w:t>
      </w:r>
      <w:r/>
    </w:p>
    <w:p>
      <w:pPr>
        <w:ind w:left="0" w:right="0" w:firstLine="560"/>
        <w:pageBreakBefore w:val="0"/>
        <w:spacing w:line="520" w:lineRule="exact"/>
        <w:rPr>
          <w:rFonts w:hint="eastAsia" w:ascii="仿宋_GB2312" w:hAnsi="仿宋_GB2312" w:eastAsia="仿宋_GB2312" w:cs="仿宋_GB2312"/>
          <w:b w:val="0"/>
          <w:bCs w:val="0"/>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_GB2312" w:hAnsi="仿宋_GB2312" w:eastAsia="仿宋_GB2312" w:cs="仿宋_GB2312"/>
          <w:b w:val="0"/>
          <w:bCs w:val="0"/>
          <w:color w:val="auto"/>
          <w:sz w:val="28"/>
          <w:szCs w:val="28"/>
          <w:highlight w:val="none"/>
          <w:u w:val="single"/>
        </w:rPr>
        <w:t xml:space="preserve">兴化市荻垛镇农业数字化建设</w:t>
      </w:r>
      <w:r>
        <w:rPr>
          <w:rFonts w:hint="eastAsia" w:ascii="仿宋_GB2312" w:hAnsi="仿宋_GB2312" w:eastAsia="仿宋_GB2312" w:cs="仿宋_GB2312"/>
          <w:b w:val="0"/>
          <w:bCs w:val="0"/>
          <w:color w:val="auto"/>
          <w:sz w:val="28"/>
          <w:szCs w:val="28"/>
          <w:highlight w:val="none"/>
        </w:rPr>
        <w:t xml:space="preserve">竞争性磋商项目的潜在供应商可在</w:t>
      </w:r>
      <w:r>
        <w:rPr>
          <w:rFonts w:hint="eastAsia" w:ascii="仿宋_GB2312" w:hAnsi="仿宋_GB2312" w:eastAsia="仿宋_GB2312" w:cs="仿宋_GB2312"/>
          <w:b w:val="0"/>
          <w:bCs w:val="0"/>
          <w:color w:val="auto"/>
          <w:sz w:val="28"/>
          <w:szCs w:val="28"/>
          <w:highlight w:val="none"/>
          <w:u w:val="single"/>
        </w:rPr>
        <w:t xml:space="preserve">“苏采云”系统</w:t>
      </w:r>
      <w:r>
        <w:rPr>
          <w:rFonts w:hint="eastAsia" w:ascii="仿宋_GB2312" w:hAnsi="仿宋_GB2312" w:eastAsia="仿宋_GB2312" w:cs="仿宋_GB2312"/>
          <w:b w:val="0"/>
          <w:bCs w:val="0"/>
          <w:color w:val="auto"/>
          <w:sz w:val="28"/>
          <w:szCs w:val="28"/>
          <w:highlight w:val="none"/>
          <w:u w:val="none"/>
          <w:lang w:eastAsia="zh-CN"/>
        </w:rPr>
        <w:t xml:space="preserve">获取</w:t>
      </w:r>
      <w:r>
        <w:rPr>
          <w:rFonts w:hint="eastAsia" w:ascii="仿宋_GB2312" w:hAnsi="仿宋_GB2312" w:eastAsia="仿宋_GB2312" w:cs="仿宋_GB2312"/>
          <w:b w:val="0"/>
          <w:bCs w:val="0"/>
          <w:sz w:val="28"/>
          <w:szCs w:val="28"/>
          <w:highlight w:val="none"/>
        </w:rPr>
        <w:t xml:space="preserve">磋商文件，</w:t>
      </w:r>
      <w:r>
        <w:rPr>
          <w:rFonts w:hint="eastAsia" w:ascii="仿宋_GB2312" w:hAnsi="仿宋_GB2312" w:eastAsia="仿宋_GB2312" w:cs="仿宋_GB2312"/>
          <w:b w:val="0"/>
          <w:bCs w:val="0"/>
          <w:color w:val="auto"/>
          <w:sz w:val="28"/>
          <w:szCs w:val="28"/>
          <w:highlight w:val="none"/>
        </w:rPr>
        <w:t xml:space="preserve">并于</w:t>
      </w:r>
      <w:r>
        <w:rPr>
          <w:rFonts w:hint="eastAsia" w:ascii="仿宋_GB2312" w:hAnsi="仿宋_GB2312" w:eastAsia="仿宋_GB2312" w:cs="仿宋_GB2312"/>
          <w:b/>
          <w:bCs/>
          <w:color w:val="auto"/>
          <w:sz w:val="28"/>
          <w:szCs w:val="28"/>
          <w:highlight w:val="yellow"/>
          <w:u w:val="single"/>
        </w:rPr>
        <w:t xml:space="preserve">202</w:t>
      </w:r>
      <w:r>
        <w:rPr>
          <w:rFonts w:hint="eastAsia" w:ascii="仿宋_GB2312" w:hAnsi="仿宋_GB2312" w:eastAsia="仿宋_GB2312" w:cs="仿宋_GB2312"/>
          <w:b/>
          <w:bCs/>
          <w:color w:val="auto"/>
          <w:sz w:val="28"/>
          <w:szCs w:val="28"/>
          <w:highlight w:val="yellow"/>
          <w:u w:val="single"/>
          <w:lang w:val="en-US" w:eastAsia="zh-CN"/>
        </w:rPr>
        <w:t xml:space="preserve">4</w:t>
      </w:r>
      <w:r>
        <w:rPr>
          <w:rFonts w:hint="eastAsia" w:ascii="仿宋_GB2312" w:hAnsi="仿宋_GB2312" w:eastAsia="仿宋_GB2312" w:cs="仿宋_GB2312"/>
          <w:b/>
          <w:bCs/>
          <w:color w:val="auto"/>
          <w:sz w:val="28"/>
          <w:szCs w:val="28"/>
          <w:highlight w:val="yellow"/>
          <w:u w:val="single"/>
        </w:rPr>
        <w:t xml:space="preserve">年</w:t>
      </w:r>
      <w:r>
        <w:rPr>
          <w:rFonts w:hint="eastAsia" w:ascii="仿宋_GB2312" w:hAnsi="仿宋_GB2312" w:eastAsia="仿宋_GB2312" w:cs="仿宋_GB2312"/>
          <w:b/>
          <w:bCs/>
          <w:color w:val="auto"/>
          <w:sz w:val="28"/>
          <w:szCs w:val="28"/>
          <w:highlight w:val="yellow"/>
          <w:u w:val="single"/>
          <w:lang w:val="en-US" w:eastAsia="zh-CN"/>
        </w:rPr>
        <w:t xml:space="preserve">11</w:t>
      </w:r>
      <w:r>
        <w:rPr>
          <w:rFonts w:hint="eastAsia" w:ascii="仿宋_GB2312" w:hAnsi="仿宋_GB2312" w:eastAsia="仿宋_GB2312" w:cs="仿宋_GB2312"/>
          <w:b/>
          <w:bCs/>
          <w:color w:val="auto"/>
          <w:sz w:val="28"/>
          <w:szCs w:val="28"/>
          <w:highlight w:val="yellow"/>
          <w:u w:val="single"/>
        </w:rPr>
        <w:t xml:space="preserve">月</w:t>
      </w:r>
      <w:r>
        <w:rPr>
          <w:rFonts w:hint="eastAsia" w:ascii="仿宋_GB2312" w:hAnsi="仿宋_GB2312" w:eastAsia="仿宋_GB2312" w:cs="仿宋_GB2312"/>
          <w:b/>
          <w:bCs/>
          <w:color w:val="auto"/>
          <w:sz w:val="28"/>
          <w:szCs w:val="28"/>
          <w:highlight w:val="yellow"/>
          <w:u w:val="single"/>
          <w:lang w:val="en-US" w:eastAsia="zh-CN"/>
        </w:rPr>
        <w:t xml:space="preserve">25</w:t>
      </w:r>
      <w:r>
        <w:rPr>
          <w:rFonts w:hint="eastAsia" w:ascii="仿宋_GB2312" w:hAnsi="仿宋_GB2312" w:eastAsia="仿宋_GB2312" w:cs="仿宋_GB2312"/>
          <w:b/>
          <w:bCs/>
          <w:color w:val="auto"/>
          <w:sz w:val="28"/>
          <w:szCs w:val="28"/>
          <w:highlight w:val="yellow"/>
          <w:u w:val="single"/>
        </w:rPr>
        <w:t xml:space="preserve">日</w:t>
      </w:r>
      <w:r>
        <w:rPr>
          <w:rFonts w:hint="eastAsia" w:ascii="仿宋_GB2312" w:hAnsi="仿宋_GB2312" w:eastAsia="仿宋_GB2312" w:cs="仿宋_GB2312"/>
          <w:b/>
          <w:bCs/>
          <w:color w:val="auto"/>
          <w:sz w:val="28"/>
          <w:szCs w:val="28"/>
          <w:highlight w:val="none"/>
          <w:u w:val="single"/>
          <w:lang w:val="en-US" w:eastAsia="zh-CN"/>
        </w:rPr>
        <w:t xml:space="preserve">9</w:t>
      </w:r>
      <w:r>
        <w:rPr>
          <w:rFonts w:hint="eastAsia" w:ascii="仿宋_GB2312" w:hAnsi="仿宋_GB2312" w:eastAsia="仿宋_GB2312" w:cs="仿宋_GB2312"/>
          <w:b/>
          <w:bCs/>
          <w:color w:val="auto"/>
          <w:sz w:val="28"/>
          <w:szCs w:val="28"/>
          <w:highlight w:val="none"/>
          <w:u w:val="single"/>
        </w:rPr>
        <w:t xml:space="preserve">点</w:t>
      </w:r>
      <w:r>
        <w:rPr>
          <w:rFonts w:hint="eastAsia" w:ascii="仿宋_GB2312" w:hAnsi="仿宋_GB2312" w:eastAsia="仿宋_GB2312" w:cs="仿宋_GB2312"/>
          <w:b/>
          <w:bCs/>
          <w:color w:val="auto"/>
          <w:sz w:val="28"/>
          <w:szCs w:val="28"/>
          <w:highlight w:val="none"/>
          <w:u w:val="single"/>
          <w:lang w:val="en-US" w:eastAsia="zh-CN"/>
        </w:rPr>
        <w:t xml:space="preserve">30</w:t>
      </w:r>
      <w:r>
        <w:rPr>
          <w:rFonts w:hint="eastAsia" w:ascii="仿宋_GB2312" w:hAnsi="仿宋_GB2312" w:eastAsia="仿宋_GB2312" w:cs="仿宋_GB2312"/>
          <w:b/>
          <w:bCs/>
          <w:color w:val="auto"/>
          <w:sz w:val="28"/>
          <w:szCs w:val="28"/>
          <w:highlight w:val="none"/>
          <w:u w:val="single"/>
        </w:rPr>
        <w:t xml:space="preserve">分</w:t>
      </w:r>
      <w:r>
        <w:rPr>
          <w:rFonts w:hint="eastAsia" w:ascii="仿宋_GB2312" w:hAnsi="仿宋_GB2312" w:eastAsia="仿宋_GB2312" w:cs="仿宋_GB2312"/>
          <w:b w:val="0"/>
          <w:bCs w:val="0"/>
          <w:color w:val="auto"/>
          <w:sz w:val="28"/>
          <w:szCs w:val="28"/>
          <w:highlight w:val="none"/>
          <w:u w:val="single"/>
        </w:rPr>
        <w:t xml:space="preserve">（</w:t>
      </w:r>
      <w:r>
        <w:rPr>
          <w:rFonts w:hint="eastAsia" w:ascii="仿宋_GB2312" w:hAnsi="仿宋_GB2312" w:eastAsia="仿宋_GB2312" w:cs="仿宋_GB2312"/>
          <w:b w:val="0"/>
          <w:bCs w:val="0"/>
          <w:color w:val="auto"/>
          <w:sz w:val="28"/>
          <w:szCs w:val="28"/>
          <w:highlight w:val="none"/>
        </w:rPr>
        <w:t xml:space="preserve">北京时间）前递交响应文件。</w:t>
      </w:r>
      <w:r/>
    </w:p>
    <w:p>
      <w:pPr>
        <w:ind w:left="0" w:right="0" w:firstLine="560"/>
        <w:keepLines/>
        <w:keepNext/>
        <w:pageBreakBefore w:val="0"/>
        <w:spacing w:line="520" w:lineRule="exact"/>
        <w:rPr>
          <w:rFonts w:hint="eastAsia" w:ascii="黑体" w:hAnsi="黑体" w:eastAsia="黑体" w:cs="黑体"/>
          <w:b w:val="0"/>
          <w:bCs w:val="0"/>
          <w:color w:val="auto"/>
          <w:sz w:val="28"/>
          <w:szCs w:val="28"/>
          <w:highlight w:val="none"/>
        </w:rPr>
        <w:outlineLvl w:val="2"/>
      </w:pPr>
      <w:r/>
      <w:bookmarkStart w:id="7" w:name="_Toc38985263"/>
      <w:r/>
      <w:bookmarkStart w:id="8" w:name="_Toc28359079"/>
      <w:r/>
      <w:bookmarkStart w:id="9" w:name="_Toc28359002"/>
      <w:r/>
      <w:bookmarkStart w:id="10" w:name="_Toc35393790"/>
      <w:r/>
      <w:bookmarkStart w:id="11" w:name="_Toc35393621"/>
      <w:r/>
      <w:bookmarkStart w:id="12" w:name="_Hlk24379207"/>
      <w:r/>
      <w:r/>
    </w:p>
    <w:p>
      <w:pPr>
        <w:ind w:left="0" w:right="0" w:firstLine="560"/>
        <w:keepLines/>
        <w:keepNext/>
        <w:pageBreakBefore w:val="0"/>
        <w:spacing w:line="46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rPr>
        <w:t xml:space="preserve">一、项目基本情况</w:t>
      </w:r>
      <w:bookmarkEnd w:id="7"/>
      <w:r/>
      <w:bookmarkEnd w:id="8"/>
      <w:r/>
      <w:bookmarkEnd w:id="9"/>
      <w:r/>
      <w:bookmarkEnd w:id="10"/>
      <w:r/>
      <w:bookmarkEnd w:id="11"/>
      <w:r/>
      <w:bookmarkEnd w:id="12"/>
      <w:r/>
      <w:r/>
    </w:p>
    <w:p>
      <w:pPr>
        <w:ind w:left="0" w:right="0" w:firstLine="560"/>
        <w:pageBreakBefore w:val="0"/>
        <w:spacing w:line="460" w:lineRule="exact"/>
        <w:widowControl w:val="off"/>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 xml:space="preserve">1.项目编号：JSZC-321281-JZCG-C2024-0031</w:t>
      </w:r>
      <w:r/>
    </w:p>
    <w:p>
      <w:pPr>
        <w:ind w:left="0" w:right="0" w:firstLine="560"/>
        <w:pageBreakBefore w:val="0"/>
        <w:spacing w:line="46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2.项目名称：兴化市荻垛镇农业数字化建设</w:t>
      </w:r>
      <w:r>
        <w:rPr>
          <w:rFonts w:hint="eastAsia" w:ascii="仿宋_GB2312" w:hAnsi="仿宋_GB2312" w:eastAsia="仿宋_GB2312" w:cs="仿宋_GB2312"/>
          <w:color w:val="auto"/>
          <w:sz w:val="28"/>
          <w:szCs w:val="28"/>
          <w:highlight w:val="none"/>
          <w:lang w:eastAsia="zh-CN"/>
        </w:rPr>
        <w:t xml:space="preserve">项目</w:t>
      </w:r>
      <w:r/>
    </w:p>
    <w:p>
      <w:pPr>
        <w:ind w:left="0" w:right="0" w:firstLine="560"/>
        <w:pageBreakBefore w:val="0"/>
        <w:spacing w:line="460" w:lineRule="exact"/>
        <w:widowControl w:val="off"/>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lang w:eastAsia="zh-CN"/>
        </w:rPr>
        <w:t xml:space="preserve">采购方式：竞争性磋商</w:t>
      </w:r>
      <w:r/>
    </w:p>
    <w:p>
      <w:pPr>
        <w:ind w:left="0" w:right="0" w:firstLine="560"/>
        <w:keepLines w:val="0"/>
        <w:keepNext w:val="0"/>
        <w:pageBreakBefore w:val="0"/>
        <w:spacing w:line="460" w:lineRule="exact"/>
        <w:widowControl w:val="off"/>
        <w:rPr>
          <w:rFonts w:hint="eastAsia" w:ascii="仿宋_GB2312" w:hAnsi="仿宋_GB2312" w:eastAsia="仿宋_GB2312" w:cs="仿宋_GB2312"/>
          <w:b/>
          <w:bCs/>
          <w:spacing w:val="-11"/>
          <w:sz w:val="28"/>
          <w:szCs w:val="28"/>
          <w:highlight w:val="none"/>
        </w:rPr>
      </w:pP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rPr>
        <w:t xml:space="preserve">预算金额</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spacing w:val="-11"/>
          <w:sz w:val="28"/>
          <w:szCs w:val="28"/>
          <w:highlight w:val="none"/>
        </w:rPr>
        <w:t xml:space="preserve">人民币</w:t>
      </w:r>
      <w:r>
        <w:rPr>
          <w:rFonts w:hint="eastAsia" w:ascii="仿宋_GB2312" w:hAnsi="仿宋_GB2312" w:eastAsia="仿宋_GB2312" w:cs="仿宋_GB2312"/>
          <w:spacing w:val="-11"/>
          <w:sz w:val="28"/>
          <w:szCs w:val="28"/>
          <w:highlight w:val="none"/>
          <w:lang w:val="en-US" w:eastAsia="zh-CN"/>
        </w:rPr>
        <w:t xml:space="preserve"> </w:t>
      </w:r>
      <w:r>
        <w:rPr>
          <w:rFonts w:hint="eastAsia" w:ascii="仿宋_GB2312" w:hAnsi="仿宋_GB2312" w:eastAsia="仿宋_GB2312" w:cs="仿宋_GB2312"/>
          <w:b/>
          <w:bCs/>
          <w:spacing w:val="-11"/>
          <w:sz w:val="28"/>
          <w:szCs w:val="28"/>
          <w:highlight w:val="none"/>
          <w:lang w:val="en-US" w:eastAsia="zh-CN"/>
        </w:rPr>
        <w:t xml:space="preserve">壹佰贰拾伍万元整（¥：1250000.00元）</w:t>
      </w:r>
      <w:r/>
    </w:p>
    <w:p>
      <w:pPr>
        <w:ind w:left="0" w:right="0" w:firstLine="560"/>
        <w:keepLines w:val="0"/>
        <w:keepNext w:val="0"/>
        <w:pageBreakBefore w:val="0"/>
        <w:spacing w:line="460" w:lineRule="exact"/>
        <w:widowControl w:val="off"/>
        <w:rPr>
          <w:rFonts w:hint="eastAsia" w:ascii="黑体" w:hAnsi="黑体" w:eastAsia="黑体" w:cs="黑体"/>
          <w:i/>
          <w:iCs/>
          <w:color w:val="auto"/>
          <w:spacing w:val="0"/>
          <w:sz w:val="28"/>
          <w:szCs w:val="28"/>
          <w:highlight w:val="none"/>
          <w:u w:val="single"/>
          <w:lang w:val="en-US" w:eastAsia="zh-CN"/>
        </w:rPr>
      </w:pPr>
      <w:r>
        <w:rPr>
          <w:rFonts w:hint="eastAsia" w:ascii="仿宋_GB2312" w:hAnsi="仿宋_GB2312" w:eastAsia="仿宋_GB2312" w:cs="仿宋_GB2312"/>
          <w:color w:val="auto"/>
          <w:sz w:val="28"/>
          <w:szCs w:val="28"/>
          <w:highlight w:val="none"/>
          <w:lang w:val="en-US" w:eastAsia="zh-CN"/>
        </w:rPr>
        <w:t xml:space="preserve">5.最高限价：</w:t>
      </w:r>
      <w:r>
        <w:rPr>
          <w:rFonts w:hint="eastAsia" w:ascii="黑体" w:hAnsi="黑体" w:eastAsia="黑体" w:cs="仿宋"/>
          <w:i/>
          <w:iCs w:val="0"/>
          <w:sz w:val="28"/>
          <w:szCs w:val="28"/>
          <w:u w:val="single"/>
          <w:lang w:eastAsia="zh-CN"/>
        </w:rPr>
        <w:t xml:space="preserve">响应</w:t>
      </w:r>
      <w:r>
        <w:rPr>
          <w:rFonts w:hint="eastAsia" w:ascii="黑体" w:hAnsi="黑体" w:eastAsia="黑体" w:cs="仿宋"/>
          <w:i/>
          <w:iCs w:val="0"/>
          <w:sz w:val="28"/>
          <w:szCs w:val="28"/>
          <w:u w:val="single"/>
        </w:rPr>
        <w:t xml:space="preserve">报价超出预算价的将视为无效</w:t>
      </w:r>
      <w:r>
        <w:rPr>
          <w:rFonts w:hint="eastAsia" w:ascii="黑体" w:hAnsi="黑体" w:eastAsia="黑体" w:cs="仿宋"/>
          <w:i/>
          <w:iCs w:val="0"/>
          <w:sz w:val="28"/>
          <w:szCs w:val="28"/>
          <w:u w:val="single"/>
          <w:lang w:eastAsia="zh-CN"/>
        </w:rPr>
        <w:t xml:space="preserve">响应</w:t>
      </w:r>
      <w:r>
        <w:rPr>
          <w:rFonts w:hint="eastAsia" w:ascii="仿宋_GB2312" w:hAnsi="仿宋_GB2312" w:eastAsia="仿宋_GB2312" w:cs="仿宋_GB2312"/>
          <w:color w:val="auto"/>
          <w:sz w:val="28"/>
          <w:szCs w:val="28"/>
          <w:highlight w:val="none"/>
          <w:lang w:val="en-US" w:eastAsia="zh-CN"/>
        </w:rPr>
        <w:t xml:space="preserve">。</w:t>
      </w:r>
      <w:r/>
    </w:p>
    <w:p>
      <w:pPr>
        <w:ind w:left="0" w:right="0" w:firstLine="560"/>
        <w:pageBreakBefore w:val="0"/>
        <w:spacing w:line="460" w:lineRule="exact"/>
        <w:widowControl w:val="off"/>
        <w:rPr>
          <w:rFonts w:hint="eastAsia"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lang w:val="en-US" w:eastAsia="zh-CN"/>
        </w:rPr>
        <w:t xml:space="preserve">6</w:t>
      </w:r>
      <w:r>
        <w:rPr>
          <w:rFonts w:hint="eastAsia" w:ascii="仿宋_GB2312" w:hAnsi="仿宋_GB2312" w:eastAsia="仿宋_GB2312" w:cs="仿宋_GB2312"/>
          <w:color w:val="auto"/>
          <w:sz w:val="28"/>
          <w:szCs w:val="28"/>
          <w:highlight w:val="none"/>
        </w:rPr>
        <w:t xml:space="preserve">.采购需求</w:t>
      </w:r>
      <w:r>
        <w:rPr>
          <w:rFonts w:hint="eastAsia" w:ascii="仿宋_GB2312" w:hAnsi="仿宋_GB2312" w:eastAsia="仿宋_GB2312" w:cs="仿宋_GB2312"/>
          <w:color w:val="auto"/>
          <w:sz w:val="28"/>
          <w:szCs w:val="28"/>
          <w:highlight w:val="none"/>
          <w:lang w:eastAsia="zh-CN"/>
        </w:rPr>
        <w:t xml:space="preserve">：荻垛镇农业数字化建设，包含农场数据资源中心1项、农场数字化管控平台1项、配套物联网设备1项、农田灌溉智能化改造1项、数据安全建设1项</w:t>
      </w:r>
      <w:r>
        <w:rPr>
          <w:rFonts w:hint="eastAsia" w:ascii="仿宋_GB2312" w:hAnsi="仿宋_GB2312" w:eastAsia="仿宋_GB2312" w:cs="仿宋_GB2312"/>
          <w:sz w:val="28"/>
          <w:szCs w:val="28"/>
          <w:highlight w:val="none"/>
        </w:rPr>
        <w:t xml:space="preserve">。</w:t>
      </w:r>
      <w:r>
        <w:rPr>
          <w:rFonts w:hint="eastAsia" w:ascii="仿宋_GB2312" w:hAnsi="仿宋_GB2312" w:eastAsia="仿宋_GB2312" w:cs="仿宋_GB2312"/>
          <w:sz w:val="28"/>
          <w:szCs w:val="28"/>
          <w:highlight w:val="none"/>
          <w:lang w:val="zh-CN"/>
        </w:rPr>
        <w:t xml:space="preserve">详见招标文件第四章</w:t>
      </w:r>
      <w:r>
        <w:rPr>
          <w:rFonts w:hint="eastAsia" w:ascii="仿宋_GB2312" w:hAnsi="仿宋_GB2312" w:eastAsia="仿宋_GB2312" w:cs="仿宋_GB2312"/>
          <w:sz w:val="28"/>
          <w:szCs w:val="28"/>
          <w:highlight w:val="none"/>
        </w:rPr>
        <w:t xml:space="preserve"> </w:t>
      </w:r>
      <w:r>
        <w:rPr>
          <w:rFonts w:hint="eastAsia" w:ascii="仿宋_GB2312" w:hAnsi="仿宋_GB2312" w:eastAsia="仿宋_GB2312" w:cs="仿宋_GB2312"/>
          <w:sz w:val="28"/>
          <w:szCs w:val="28"/>
          <w:highlight w:val="none"/>
          <w:lang w:val="zh-CN"/>
        </w:rPr>
        <w:t xml:space="preserve">项目需求</w:t>
      </w:r>
      <w:r>
        <w:rPr>
          <w:rFonts w:hint="eastAsia" w:ascii="仿宋_GB2312" w:hAnsi="仿宋_GB2312" w:eastAsia="仿宋_GB2312" w:cs="仿宋_GB2312"/>
          <w:color w:val="auto"/>
          <w:sz w:val="28"/>
          <w:szCs w:val="28"/>
          <w:highlight w:val="none"/>
          <w:lang w:val="zh-CN" w:eastAsia="zh-CN"/>
        </w:rPr>
        <w:t xml:space="preserve">。</w:t>
      </w:r>
      <w:r/>
    </w:p>
    <w:p>
      <w:pPr>
        <w:ind w:left="0" w:right="0" w:firstLine="560"/>
        <w:pageBreakBefore w:val="0"/>
        <w:spacing w:line="46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7</w:t>
      </w:r>
      <w:r>
        <w:rPr>
          <w:rFonts w:hint="eastAsia" w:ascii="仿宋_GB2312" w:hAnsi="仿宋_GB2312" w:eastAsia="仿宋_GB2312" w:cs="仿宋_GB2312"/>
          <w:color w:val="auto"/>
          <w:sz w:val="28"/>
          <w:szCs w:val="28"/>
          <w:highlight w:val="none"/>
        </w:rPr>
        <w:t xml:space="preserve">.合同履行期限：采购合同签订后30天内全部交付并安装调试完毕</w:t>
      </w:r>
      <w:r>
        <w:rPr>
          <w:rFonts w:hint="eastAsia" w:ascii="仿宋_GB2312" w:hAnsi="仿宋_GB2312" w:eastAsia="仿宋_GB2312" w:cs="仿宋_GB2312"/>
          <w:color w:val="auto"/>
          <w:sz w:val="28"/>
          <w:szCs w:val="28"/>
          <w:highlight w:val="none"/>
          <w:lang w:val="zh-CN"/>
        </w:rPr>
        <w:t xml:space="preserve">。</w:t>
      </w:r>
      <w:r/>
    </w:p>
    <w:p>
      <w:pPr>
        <w:ind w:left="0" w:right="0" w:firstLine="560"/>
        <w:pageBreakBefore w:val="0"/>
        <w:spacing w:line="46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8</w:t>
      </w:r>
      <w:r>
        <w:rPr>
          <w:rFonts w:hint="eastAsia" w:ascii="仿宋_GB2312" w:hAnsi="仿宋_GB2312" w:eastAsia="仿宋_GB2312" w:cs="仿宋_GB2312"/>
          <w:color w:val="auto"/>
          <w:sz w:val="28"/>
          <w:szCs w:val="28"/>
          <w:highlight w:val="none"/>
          <w:lang w:val="zh-CN"/>
        </w:rPr>
        <w:t xml:space="preserve">. 本次招标</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lang w:val="zh-CN"/>
        </w:rPr>
        <w:t xml:space="preserve">不收取</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lang w:val="zh-CN"/>
        </w:rPr>
        <w:t xml:space="preserve">磋商保证金。</w:t>
      </w:r>
      <w:r>
        <w:rPr>
          <w:rFonts w:hint="eastAsia" w:ascii="仿宋_GB2312" w:hAnsi="仿宋_GB2312" w:eastAsia="仿宋_GB2312" w:cs="仿宋_GB2312"/>
          <w:color w:val="auto"/>
          <w:sz w:val="28"/>
          <w:szCs w:val="28"/>
          <w:highlight w:val="none"/>
        </w:rPr>
        <w:t xml:space="preserve">本项目</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rPr>
        <w:t xml:space="preserve">不接受</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rPr>
        <w:t xml:space="preserve">联合体参与</w:t>
      </w:r>
      <w:r>
        <w:rPr>
          <w:rFonts w:hint="eastAsia" w:ascii="仿宋_GB2312" w:hAnsi="仿宋_GB2312" w:eastAsia="仿宋_GB2312" w:cs="仿宋_GB2312"/>
          <w:color w:val="auto"/>
          <w:sz w:val="28"/>
          <w:szCs w:val="28"/>
          <w:highlight w:val="none"/>
          <w:lang w:eastAsia="zh-CN"/>
        </w:rPr>
        <w:t xml:space="preserve">投标</w:t>
      </w:r>
      <w:r>
        <w:rPr>
          <w:rFonts w:hint="eastAsia" w:ascii="仿宋_GB2312" w:hAnsi="仿宋_GB2312" w:eastAsia="仿宋_GB2312" w:cs="仿宋_GB2312"/>
          <w:color w:val="auto"/>
          <w:sz w:val="28"/>
          <w:szCs w:val="28"/>
          <w:highlight w:val="none"/>
        </w:rPr>
        <w:t xml:space="preserve">。</w:t>
      </w:r>
      <w:r/>
    </w:p>
    <w:p>
      <w:pPr>
        <w:ind w:left="0" w:right="0" w:firstLine="560"/>
        <w:keepLines/>
        <w:keepNext/>
        <w:pageBreakBefore w:val="0"/>
        <w:spacing w:line="460" w:lineRule="exact"/>
        <w:widowControl w:val="off"/>
        <w:rPr>
          <w:rFonts w:hint="eastAsia" w:ascii="黑体" w:hAnsi="黑体" w:eastAsia="黑体" w:cs="黑体"/>
          <w:b w:val="0"/>
          <w:bCs w:val="0"/>
          <w:color w:val="auto"/>
          <w:sz w:val="28"/>
          <w:szCs w:val="28"/>
          <w:highlight w:val="none"/>
        </w:rPr>
        <w:outlineLvl w:val="2"/>
      </w:pPr>
      <w:r/>
      <w:bookmarkStart w:id="13" w:name="_Toc35393622"/>
      <w:r/>
      <w:bookmarkStart w:id="14" w:name="_Toc38985264"/>
      <w:r/>
      <w:bookmarkStart w:id="15" w:name="_Toc28359003"/>
      <w:r/>
      <w:bookmarkStart w:id="16" w:name="_Toc28359080"/>
      <w:r/>
      <w:bookmarkStart w:id="17" w:name="_Toc35393791"/>
      <w:r>
        <w:rPr>
          <w:rFonts w:hint="eastAsia" w:ascii="黑体" w:hAnsi="黑体" w:eastAsia="黑体" w:cs="黑体"/>
          <w:b w:val="0"/>
          <w:bCs w:val="0"/>
          <w:color w:val="auto"/>
          <w:sz w:val="28"/>
          <w:szCs w:val="28"/>
          <w:highlight w:val="none"/>
        </w:rPr>
        <w:t xml:space="preserve">二、申请人的资格要求</w:t>
      </w:r>
      <w:bookmarkEnd w:id="13"/>
      <w:r/>
      <w:bookmarkEnd w:id="14"/>
      <w:r/>
      <w:bookmarkEnd w:id="15"/>
      <w:r/>
      <w:bookmarkEnd w:id="16"/>
      <w:r/>
      <w:bookmarkEnd w:id="17"/>
      <w:r/>
      <w:r/>
    </w:p>
    <w:p>
      <w:pPr>
        <w:ind w:left="0" w:right="0" w:firstLine="560"/>
        <w:pageBreakBefore w:val="0"/>
        <w:spacing w:line="460" w:lineRule="exact"/>
        <w:widowControl w:val="off"/>
        <w:rPr>
          <w:rFonts w:hint="eastAsia" w:ascii="楷体" w:hAnsi="楷体" w:eastAsia="楷体" w:cs="楷体"/>
          <w:color w:val="auto"/>
          <w:sz w:val="28"/>
          <w:szCs w:val="28"/>
          <w:highlight w:val="none"/>
        </w:rPr>
      </w:pPr>
      <w:r/>
      <w:bookmarkStart w:id="18" w:name="_Toc28359081"/>
      <w:r/>
      <w:bookmarkStart w:id="19" w:name="_Toc28359004"/>
      <w:r/>
      <w:bookmarkStart w:id="20" w:name="_Toc38985265"/>
      <w:r/>
      <w:bookmarkStart w:id="21" w:name="_Toc35393792"/>
      <w:r/>
      <w:bookmarkStart w:id="22" w:name="_Toc35393623"/>
      <w:r>
        <w:rPr>
          <w:rFonts w:hint="eastAsia" w:ascii="楷体" w:hAnsi="楷体" w:eastAsia="楷体" w:cs="楷体"/>
          <w:color w:val="auto"/>
          <w:sz w:val="28"/>
          <w:szCs w:val="28"/>
          <w:highlight w:val="none"/>
        </w:rPr>
        <w:t xml:space="preserve">（一）通用资格要求</w:t>
      </w:r>
      <w:r/>
    </w:p>
    <w:p>
      <w:pPr>
        <w:ind w:left="0" w:right="0" w:firstLine="560"/>
        <w:pageBreakBefore w:val="0"/>
        <w:spacing w:line="46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1.满足《中华人民共和国政府采购法》第二十二条规定，并提供下列材料：</w:t>
      </w:r>
      <w:r/>
    </w:p>
    <w:p>
      <w:pPr>
        <w:ind w:left="0" w:right="0" w:firstLine="560"/>
        <w:pageBreakBefore w:val="0"/>
        <w:spacing w:line="46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1.1 法人或者其他组织的营业执照等证明文件，自然人的身份证明；</w:t>
      </w:r>
      <w:r/>
    </w:p>
    <w:p>
      <w:pPr>
        <w:ind w:left="0" w:right="0" w:firstLine="560"/>
        <w:pageBreakBefore w:val="0"/>
        <w:spacing w:line="46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1.2上一年度的财务状况报告（成立不满一年无需提供）；</w:t>
      </w:r>
      <w:r/>
    </w:p>
    <w:p>
      <w:pPr>
        <w:ind w:left="0" w:right="0" w:firstLine="560"/>
        <w:pageBreakBefore w:val="0"/>
        <w:spacing w:line="46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1.3依法缴纳税收和社会保障资金的相关材料（提供提交响应文件截止时间前</w:t>
      </w:r>
      <w:r>
        <w:rPr>
          <w:rFonts w:hint="eastAsia" w:ascii="仿宋_GB2312" w:hAnsi="仿宋_GB2312" w:eastAsia="仿宋_GB2312" w:cs="仿宋_GB2312"/>
          <w:color w:val="auto"/>
          <w:sz w:val="28"/>
          <w:szCs w:val="28"/>
          <w:highlight w:val="none"/>
          <w:lang w:eastAsia="zh-CN"/>
        </w:rPr>
        <w:t xml:space="preserve">六个月</w:t>
      </w:r>
      <w:r>
        <w:rPr>
          <w:rFonts w:hint="eastAsia" w:ascii="仿宋_GB2312" w:hAnsi="仿宋_GB2312" w:eastAsia="仿宋_GB2312" w:cs="仿宋_GB2312"/>
          <w:color w:val="auto"/>
          <w:sz w:val="28"/>
          <w:szCs w:val="28"/>
          <w:highlight w:val="none"/>
        </w:rPr>
        <w:t xml:space="preserve">内至少一个月依法缴纳税收及缴纳社会保障资金的证明材料。供应商依法享受缓缴、免缴税收、社会保障资金的提供证明材料。）；</w:t>
      </w:r>
      <w:r/>
    </w:p>
    <w:p>
      <w:pPr>
        <w:ind w:left="0" w:right="0" w:firstLine="560"/>
        <w:pageBreakBefore w:val="0"/>
        <w:spacing w:line="46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1.4具备履行合同所必需的设备和专业技术能力的书面声明；</w:t>
      </w:r>
      <w:r/>
    </w:p>
    <w:p>
      <w:pPr>
        <w:ind w:left="0" w:right="0" w:firstLine="560"/>
        <w:pageBreakBefore w:val="0"/>
        <w:spacing w:line="46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1.5参加政府采购活动前3年内在经营活动中没有重大违法记录的书面声明。</w:t>
      </w:r>
      <w:r/>
    </w:p>
    <w:p>
      <w:pPr>
        <w:ind w:left="0" w:right="0" w:firstLine="560"/>
        <w:pageBreakBefore w:val="0"/>
        <w:spacing w:line="46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numPr>
          <w:ilvl w:val="0"/>
          <w:numId w:val="0"/>
        </w:numPr>
        <w:ind w:right="0" w:firstLine="560"/>
        <w:keepLines w:val="0"/>
        <w:keepNext w:val="0"/>
        <w:pageBreakBefore w:val="0"/>
        <w:spacing w:line="46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3.落实政府采购政策需满足的资格要求：</w:t>
      </w:r>
      <w:r>
        <w:rPr>
          <w:rFonts w:hint="eastAsia" w:ascii="仿宋_GB2312" w:hAnsi="仿宋_GB2312" w:eastAsia="仿宋_GB2312" w:cs="仿宋_GB2312"/>
          <w:color w:val="auto"/>
          <w:sz w:val="28"/>
          <w:szCs w:val="28"/>
          <w:highlight w:val="none"/>
          <w:lang w:eastAsia="zh-CN"/>
        </w:rPr>
        <w:t xml:space="preserve">无。</w:t>
      </w:r>
      <w:r/>
    </w:p>
    <w:p>
      <w:pPr>
        <w:ind w:left="0" w:right="0" w:firstLine="560"/>
        <w:pageBreakBefore w:val="0"/>
        <w:spacing w:line="460" w:lineRule="exact"/>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（二）本项目的特定资格要求</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无</w:t>
      </w:r>
      <w:r/>
    </w:p>
    <w:p>
      <w:pPr>
        <w:ind w:left="0" w:right="0" w:firstLine="560"/>
        <w:keepLines/>
        <w:keepNext/>
        <w:pageBreakBefore w:val="0"/>
        <w:spacing w:line="46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rPr>
        <w:t xml:space="preserve">三、获取</w:t>
      </w:r>
      <w:bookmarkEnd w:id="18"/>
      <w:r/>
      <w:bookmarkEnd w:id="19"/>
      <w:r/>
      <w:bookmarkEnd w:id="20"/>
      <w:r/>
      <w:bookmarkEnd w:id="21"/>
      <w:r/>
      <w:bookmarkEnd w:id="22"/>
      <w:r>
        <w:rPr>
          <w:rFonts w:hint="eastAsia" w:ascii="黑体" w:hAnsi="黑体" w:eastAsia="黑体" w:cs="黑体"/>
          <w:b w:val="0"/>
          <w:bCs w:val="0"/>
          <w:color w:val="auto"/>
          <w:sz w:val="28"/>
          <w:szCs w:val="28"/>
          <w:highlight w:val="none"/>
        </w:rPr>
        <w:t xml:space="preserve">磋商文件</w:t>
      </w:r>
      <w:bookmarkStart w:id="23" w:name="_Toc28359082"/>
      <w:r/>
      <w:bookmarkStart w:id="24" w:name="_Toc35393793"/>
      <w:r/>
      <w:bookmarkStart w:id="25" w:name="_Toc35393624"/>
      <w:r/>
      <w:bookmarkStart w:id="26" w:name="_Toc28359005"/>
      <w:r/>
      <w:bookmarkStart w:id="27" w:name="_Toc38985266"/>
      <w:r/>
      <w:r/>
    </w:p>
    <w:p>
      <w:pPr>
        <w:ind w:left="0" w:right="0" w:firstLine="560"/>
        <w:keepLines/>
        <w:keepNext/>
        <w:pageBreakBefore w:val="0"/>
        <w:spacing w:line="460" w:lineRule="exact"/>
        <w:widowControl w:val="off"/>
        <w:rPr>
          <w:rFonts w:hint="eastAsia" w:ascii="仿宋_GB2312" w:hAnsi="仿宋_GB2312" w:eastAsia="仿宋_GB2312" w:cs="仿宋_GB2312"/>
          <w:b/>
          <w:color w:val="auto"/>
          <w:sz w:val="28"/>
          <w:szCs w:val="28"/>
          <w:highlight w:val="none"/>
        </w:rPr>
        <w:outlineLvl w:val="2"/>
      </w:pPr>
      <w:r>
        <w:rPr>
          <w:rFonts w:hint="eastAsia" w:ascii="仿宋_GB2312" w:hAnsi="仿宋_GB2312" w:eastAsia="仿宋_GB2312" w:cs="仿宋_GB2312"/>
          <w:color w:val="auto"/>
          <w:sz w:val="28"/>
          <w:szCs w:val="28"/>
          <w:highlight w:val="none"/>
        </w:rPr>
        <w:t xml:space="preserve">1.时间：自磋商文件公告发布之日起5个工作日。</w:t>
      </w:r>
      <w:r/>
    </w:p>
    <w:p>
      <w:pPr>
        <w:ind w:left="0" w:right="0" w:firstLine="560"/>
        <w:pageBreakBefore w:val="0"/>
        <w:spacing w:line="46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Cs/>
          <w:color w:val="auto"/>
          <w:sz w:val="28"/>
          <w:szCs w:val="28"/>
          <w:highlight w:val="none"/>
        </w:rPr>
        <w:t xml:space="preserve">2.</w:t>
      </w:r>
      <w:r>
        <w:rPr>
          <w:rFonts w:hint="eastAsia" w:ascii="仿宋_GB2312" w:hAnsi="仿宋_GB2312" w:eastAsia="仿宋_GB2312" w:cs="仿宋_GB2312"/>
          <w:color w:val="auto"/>
          <w:sz w:val="28"/>
          <w:szCs w:val="28"/>
          <w:highlight w:val="none"/>
          <w:lang w:eastAsia="zh-CN"/>
        </w:rPr>
        <w:t xml:space="preserve">地点</w:t>
      </w:r>
      <w:r>
        <w:rPr>
          <w:rFonts w:hint="eastAsia" w:ascii="仿宋_GB2312" w:hAnsi="仿宋_GB2312" w:eastAsia="仿宋_GB2312" w:cs="仿宋_GB2312"/>
          <w:color w:val="auto"/>
          <w:sz w:val="28"/>
          <w:szCs w:val="28"/>
          <w:highlight w:val="none"/>
        </w:rPr>
        <w:t xml:space="preserve">：“苏采云”系统</w:t>
      </w:r>
      <w:r/>
    </w:p>
    <w:p>
      <w:pPr>
        <w:ind w:left="0" w:right="0" w:firstLine="560"/>
        <w:pageBreakBefore w:val="0"/>
        <w:spacing w:line="46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方式：“苏采云”系统获取</w:t>
      </w:r>
      <w:r/>
    </w:p>
    <w:p>
      <w:pPr>
        <w:ind w:left="0" w:right="0" w:firstLine="560"/>
        <w:pageBreakBefore w:val="0"/>
        <w:spacing w:line="460" w:lineRule="exact"/>
        <w:widowControl w:val="off"/>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rPr>
        <w:t xml:space="preserve">售价：0.00元</w:t>
      </w:r>
      <w:bookmarkEnd w:id="23"/>
      <w:r/>
      <w:bookmarkEnd w:id="24"/>
      <w:r/>
      <w:bookmarkEnd w:id="25"/>
      <w:r/>
      <w:bookmarkEnd w:id="26"/>
      <w:r/>
      <w:bookmarkEnd w:id="27"/>
      <w:r/>
      <w:r/>
    </w:p>
    <w:p>
      <w:pPr>
        <w:ind w:left="0" w:right="0" w:firstLine="560"/>
        <w:keepLines/>
        <w:keepNext/>
        <w:pageBreakBefore w:val="0"/>
        <w:spacing w:line="460" w:lineRule="exact"/>
        <w:widowControl w:val="off"/>
        <w:rPr>
          <w:rFonts w:hint="eastAsia" w:ascii="黑体" w:hAnsi="黑体" w:eastAsia="黑体" w:cs="黑体"/>
          <w:b w:val="0"/>
          <w:bCs w:val="0"/>
          <w:color w:val="auto"/>
          <w:sz w:val="28"/>
          <w:szCs w:val="28"/>
          <w:highlight w:val="none"/>
          <w:u w:val="none"/>
          <w:lang w:val="en-US" w:eastAsia="zh-CN"/>
        </w:rPr>
        <w:outlineLvl w:val="2"/>
      </w:pPr>
      <w:r/>
      <w:bookmarkStart w:id="28" w:name="_Toc38985267"/>
      <w:r/>
      <w:bookmarkStart w:id="29" w:name="_Toc35393625"/>
      <w:r/>
      <w:bookmarkStart w:id="30" w:name="_Toc28359084"/>
      <w:r/>
      <w:bookmarkStart w:id="31" w:name="_Toc35393794"/>
      <w:r/>
      <w:bookmarkStart w:id="32" w:name="_Toc28359007"/>
      <w:r>
        <w:rPr>
          <w:rFonts w:hint="eastAsia" w:ascii="黑体" w:hAnsi="黑体" w:eastAsia="黑体" w:cs="黑体"/>
          <w:b w:val="0"/>
          <w:bCs w:val="0"/>
          <w:color w:val="auto"/>
          <w:sz w:val="28"/>
          <w:szCs w:val="28"/>
          <w:highlight w:val="none"/>
          <w:lang w:val="en-US" w:eastAsia="zh-CN"/>
        </w:rPr>
        <w:t xml:space="preserve">四、响</w:t>
      </w:r>
      <w:r>
        <w:rPr>
          <w:rFonts w:hint="eastAsia" w:ascii="黑体" w:hAnsi="黑体" w:eastAsia="黑体" w:cs="黑体"/>
          <w:b w:val="0"/>
          <w:bCs w:val="0"/>
          <w:color w:val="auto"/>
          <w:sz w:val="28"/>
          <w:szCs w:val="28"/>
          <w:highlight w:val="none"/>
          <w:u w:val="none"/>
          <w:lang w:val="en-US" w:eastAsia="zh-CN"/>
        </w:rPr>
        <w:t xml:space="preserve">应文件提交</w:t>
      </w:r>
      <w:r/>
    </w:p>
    <w:p>
      <w:pPr>
        <w:ind w:left="0" w:right="0" w:firstLine="560"/>
        <w:pageBreakBefore w:val="0"/>
        <w:spacing w:line="460" w:lineRule="exact"/>
        <w:widowControl w:val="off"/>
        <w:rPr>
          <w:rFonts w:hint="eastAsia" w:ascii="仿宋_GB2312" w:hAnsi="仿宋_GB2312" w:eastAsia="仿宋_GB2312" w:cs="仿宋_GB2312"/>
          <w:bCs/>
          <w:color w:val="auto"/>
          <w:sz w:val="28"/>
          <w:szCs w:val="28"/>
          <w:highlight w:val="none"/>
          <w:u w:val="none"/>
          <w:lang w:val="en-US" w:eastAsia="zh-CN"/>
        </w:rPr>
      </w:pPr>
      <w:r>
        <w:rPr>
          <w:rFonts w:hint="eastAsia" w:ascii="仿宋_GB2312" w:hAnsi="仿宋_GB2312" w:eastAsia="仿宋_GB2312" w:cs="仿宋_GB2312"/>
          <w:bCs/>
          <w:color w:val="auto"/>
          <w:sz w:val="28"/>
          <w:szCs w:val="28"/>
          <w:highlight w:val="none"/>
          <w:u w:val="none"/>
          <w:lang w:val="en-US" w:eastAsia="zh-CN"/>
        </w:rPr>
        <w:t xml:space="preserve">截止时间</w:t>
      </w:r>
      <w:r>
        <w:rPr>
          <w:rFonts w:hint="eastAsia" w:ascii="仿宋_GB2312" w:hAnsi="仿宋_GB2312" w:eastAsia="仿宋_GB2312" w:cs="仿宋_GB2312"/>
          <w:bCs/>
          <w:color w:val="auto"/>
          <w:sz w:val="28"/>
          <w:szCs w:val="28"/>
          <w:highlight w:val="none"/>
          <w:u w:val="none"/>
        </w:rPr>
        <w:t xml:space="preserve">：</w:t>
      </w:r>
      <w:r>
        <w:rPr>
          <w:rFonts w:hint="eastAsia" w:ascii="仿宋_GB2312" w:hAnsi="仿宋_GB2312" w:eastAsia="仿宋_GB2312" w:cs="仿宋_GB2312"/>
          <w:color w:val="auto"/>
          <w:sz w:val="28"/>
          <w:szCs w:val="28"/>
          <w:highlight w:val="yellow"/>
          <w:u w:val="none"/>
        </w:rPr>
        <w:t xml:space="preserve">2024-</w:t>
      </w:r>
      <w:r>
        <w:rPr>
          <w:rFonts w:hint="eastAsia" w:ascii="仿宋_GB2312" w:hAnsi="仿宋_GB2312" w:eastAsia="仿宋_GB2312" w:cs="仿宋_GB2312"/>
          <w:color w:val="auto"/>
          <w:sz w:val="28"/>
          <w:szCs w:val="28"/>
          <w:highlight w:val="yellow"/>
          <w:u w:val="none"/>
          <w:lang w:val="en-US" w:eastAsia="zh-CN"/>
        </w:rPr>
        <w:t xml:space="preserve">11</w:t>
      </w:r>
      <w:r>
        <w:rPr>
          <w:rFonts w:hint="eastAsia" w:ascii="仿宋_GB2312" w:hAnsi="仿宋_GB2312" w:eastAsia="仿宋_GB2312" w:cs="仿宋_GB2312"/>
          <w:color w:val="auto"/>
          <w:sz w:val="28"/>
          <w:szCs w:val="28"/>
          <w:highlight w:val="yellow"/>
          <w:u w:val="none"/>
        </w:rPr>
        <w:t xml:space="preserve">-</w:t>
      </w:r>
      <w:r>
        <w:rPr>
          <w:rFonts w:hint="eastAsia" w:ascii="仿宋_GB2312" w:hAnsi="仿宋_GB2312" w:eastAsia="仿宋_GB2312" w:cs="仿宋_GB2312"/>
          <w:color w:val="auto"/>
          <w:sz w:val="28"/>
          <w:szCs w:val="28"/>
          <w:highlight w:val="yellow"/>
          <w:u w:val="none"/>
          <w:lang w:val="en-US" w:eastAsia="zh-CN"/>
        </w:rPr>
        <w:t xml:space="preserve">25</w:t>
      </w:r>
      <w:r>
        <w:rPr>
          <w:rFonts w:hint="eastAsia" w:ascii="仿宋_GB2312" w:hAnsi="仿宋_GB2312" w:eastAsia="仿宋_GB2312" w:cs="仿宋_GB2312"/>
          <w:color w:val="auto"/>
          <w:sz w:val="28"/>
          <w:szCs w:val="28"/>
          <w:highlight w:val="yellow"/>
          <w:u w:val="none"/>
        </w:rPr>
        <w:t xml:space="preserve"> 09:30</w:t>
      </w:r>
      <w:r>
        <w:rPr>
          <w:rFonts w:hint="eastAsia" w:ascii="仿宋_GB2312" w:hAnsi="仿宋_GB2312" w:eastAsia="仿宋_GB2312" w:cs="仿宋_GB2312"/>
          <w:b w:val="0"/>
          <w:bCs w:val="0"/>
          <w:color w:val="auto"/>
          <w:sz w:val="28"/>
          <w:szCs w:val="28"/>
          <w:highlight w:val="none"/>
          <w:u w:val="none"/>
        </w:rPr>
        <w:t xml:space="preserve">（北京时间）</w:t>
      </w:r>
      <w:r/>
    </w:p>
    <w:p>
      <w:pPr>
        <w:ind w:left="0" w:right="0" w:firstLine="560"/>
        <w:pageBreakBefore w:val="0"/>
        <w:spacing w:line="460" w:lineRule="exact"/>
        <w:widowControl w:val="off"/>
        <w:rPr>
          <w:rFonts w:hint="eastAsia" w:ascii="仿宋_GB2312" w:hAnsi="仿宋_GB2312" w:eastAsia="仿宋_GB2312" w:cs="仿宋_GB2312"/>
          <w:color w:val="auto"/>
          <w:sz w:val="28"/>
          <w:szCs w:val="28"/>
          <w:highlight w:val="none"/>
        </w:rPr>
      </w:pPr>
      <w:r/>
      <w:bookmarkStart w:id="33" w:name="_Hlk76636893"/>
      <w:r>
        <w:rPr>
          <w:rFonts w:hint="eastAsia" w:ascii="仿宋_GB2312" w:hAnsi="仿宋_GB2312" w:eastAsia="仿宋_GB2312" w:cs="仿宋_GB2312"/>
          <w:color w:val="auto"/>
          <w:sz w:val="28"/>
          <w:szCs w:val="28"/>
          <w:highlight w:val="none"/>
        </w:rPr>
        <w:t xml:space="preserve">地点：“苏采云”系统</w:t>
      </w:r>
      <w:r/>
    </w:p>
    <w:p>
      <w:pPr>
        <w:ind w:left="0" w:right="0" w:firstLine="560"/>
        <w:keepLines/>
        <w:keepNext/>
        <w:pageBreakBefore w:val="0"/>
        <w:spacing w:line="460" w:lineRule="exact"/>
        <w:widowControl w:val="off"/>
        <w:rPr>
          <w:rFonts w:hint="eastAsia" w:ascii="黑体" w:hAnsi="黑体" w:eastAsia="黑体" w:cs="黑体"/>
          <w:b w:val="0"/>
          <w:bCs w:val="0"/>
          <w:color w:val="auto"/>
          <w:sz w:val="28"/>
          <w:szCs w:val="28"/>
          <w:highlight w:val="none"/>
          <w:lang w:eastAsia="zh-CN"/>
        </w:rPr>
        <w:outlineLvl w:val="2"/>
      </w:pPr>
      <w:r>
        <w:rPr>
          <w:rFonts w:hint="eastAsia" w:ascii="黑体" w:hAnsi="黑体" w:eastAsia="黑体" w:cs="黑体"/>
          <w:b w:val="0"/>
          <w:bCs w:val="0"/>
          <w:color w:val="auto"/>
          <w:sz w:val="28"/>
          <w:szCs w:val="28"/>
          <w:highlight w:val="none"/>
          <w:lang w:eastAsia="zh-CN"/>
        </w:rPr>
        <w:t xml:space="preserve">五、开启</w:t>
      </w:r>
      <w:r/>
    </w:p>
    <w:p>
      <w:pPr>
        <w:ind w:left="0" w:right="0" w:firstLine="560"/>
        <w:pageBreakBefore w:val="0"/>
        <w:spacing w:line="46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时间：</w:t>
      </w:r>
      <w:r>
        <w:rPr>
          <w:rFonts w:hint="eastAsia" w:ascii="仿宋_GB2312" w:hAnsi="仿宋_GB2312" w:eastAsia="仿宋_GB2312" w:cs="仿宋_GB2312"/>
          <w:color w:val="auto"/>
          <w:sz w:val="28"/>
          <w:szCs w:val="28"/>
          <w:highlight w:val="yellow"/>
        </w:rPr>
        <w:t xml:space="preserve">2024-</w:t>
      </w:r>
      <w:r>
        <w:rPr>
          <w:rFonts w:hint="eastAsia" w:ascii="仿宋_GB2312" w:hAnsi="仿宋_GB2312" w:eastAsia="仿宋_GB2312" w:cs="仿宋_GB2312"/>
          <w:color w:val="auto"/>
          <w:sz w:val="28"/>
          <w:szCs w:val="28"/>
          <w:highlight w:val="yellow"/>
          <w:lang w:val="en-US" w:eastAsia="zh-CN"/>
        </w:rPr>
        <w:t xml:space="preserve">11</w:t>
      </w:r>
      <w:r>
        <w:rPr>
          <w:rFonts w:hint="eastAsia" w:ascii="仿宋_GB2312" w:hAnsi="仿宋_GB2312" w:eastAsia="仿宋_GB2312" w:cs="仿宋_GB2312"/>
          <w:color w:val="auto"/>
          <w:sz w:val="28"/>
          <w:szCs w:val="28"/>
          <w:highlight w:val="yellow"/>
        </w:rPr>
        <w:t xml:space="preserve">-</w:t>
      </w:r>
      <w:r>
        <w:rPr>
          <w:rFonts w:hint="eastAsia" w:ascii="仿宋_GB2312" w:hAnsi="仿宋_GB2312" w:eastAsia="仿宋_GB2312" w:cs="仿宋_GB2312"/>
          <w:color w:val="auto"/>
          <w:sz w:val="28"/>
          <w:szCs w:val="28"/>
          <w:highlight w:val="yellow"/>
          <w:lang w:val="en-US" w:eastAsia="zh-CN"/>
        </w:rPr>
        <w:t xml:space="preserve">25</w:t>
      </w:r>
      <w:r>
        <w:rPr>
          <w:rFonts w:hint="eastAsia" w:ascii="仿宋_GB2312" w:hAnsi="仿宋_GB2312" w:eastAsia="仿宋_GB2312" w:cs="仿宋_GB2312"/>
          <w:color w:val="auto"/>
          <w:sz w:val="28"/>
          <w:szCs w:val="28"/>
          <w:highlight w:val="yellow"/>
        </w:rPr>
        <w:t xml:space="preserve"> 09:30</w:t>
      </w:r>
      <w:r>
        <w:rPr>
          <w:rFonts w:hint="eastAsia" w:ascii="仿宋_GB2312" w:hAnsi="仿宋_GB2312" w:eastAsia="仿宋_GB2312" w:cs="仿宋_GB2312"/>
          <w:color w:val="auto"/>
          <w:sz w:val="28"/>
          <w:szCs w:val="28"/>
          <w:highlight w:val="none"/>
        </w:rPr>
        <w:t xml:space="preserve"> （北京时间）</w:t>
      </w:r>
      <w:bookmarkStart w:id="209" w:name="_GoBack"/>
      <w:r/>
      <w:bookmarkEnd w:id="209"/>
      <w:r/>
      <w:r/>
    </w:p>
    <w:p>
      <w:pPr>
        <w:ind w:left="0" w:right="0" w:firstLine="560"/>
        <w:pageBreakBefore w:val="0"/>
        <w:spacing w:line="460" w:lineRule="exact"/>
        <w:widowControl w:val="off"/>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rPr>
        <w:t xml:space="preserve">地点：“苏采云”</w:t>
      </w:r>
      <w:r>
        <w:rPr>
          <w:rFonts w:hint="eastAsia" w:ascii="仿宋_GB2312" w:hAnsi="仿宋_GB2312" w:eastAsia="仿宋_GB2312" w:cs="仿宋_GB2312"/>
          <w:color w:val="auto"/>
          <w:sz w:val="28"/>
          <w:szCs w:val="28"/>
          <w:highlight w:val="none"/>
          <w:lang w:eastAsia="zh-CN"/>
        </w:rPr>
        <w:t xml:space="preserve">系统</w:t>
      </w:r>
      <w:bookmarkEnd w:id="33"/>
      <w:r/>
      <w:r/>
    </w:p>
    <w:p>
      <w:pPr>
        <w:ind w:left="0" w:right="0" w:firstLine="560"/>
        <w:keepLines/>
        <w:keepNext/>
        <w:pageBreakBefore w:val="0"/>
        <w:spacing w:line="46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lang w:eastAsia="zh-CN"/>
        </w:rPr>
        <w:t xml:space="preserve">六</w:t>
      </w:r>
      <w:r>
        <w:rPr>
          <w:rFonts w:hint="eastAsia" w:ascii="黑体" w:hAnsi="黑体" w:eastAsia="黑体" w:cs="黑体"/>
          <w:b w:val="0"/>
          <w:bCs w:val="0"/>
          <w:color w:val="auto"/>
          <w:sz w:val="28"/>
          <w:szCs w:val="28"/>
          <w:highlight w:val="none"/>
        </w:rPr>
        <w:t xml:space="preserve">、公告期限</w:t>
      </w:r>
      <w:bookmarkEnd w:id="28"/>
      <w:r/>
      <w:bookmarkEnd w:id="29"/>
      <w:r/>
      <w:bookmarkEnd w:id="30"/>
      <w:r/>
      <w:bookmarkEnd w:id="31"/>
      <w:r/>
      <w:bookmarkEnd w:id="32"/>
      <w:r/>
      <w:r/>
    </w:p>
    <w:p>
      <w:pPr>
        <w:ind w:left="0" w:right="0" w:firstLine="560"/>
        <w:pageBreakBefore w:val="0"/>
        <w:spacing w:line="460" w:lineRule="exact"/>
        <w:widowControl w:val="off"/>
        <w:rPr>
          <w:rFonts w:hint="eastAsia" w:ascii="仿宋_GB2312" w:hAnsi="仿宋_GB2312" w:eastAsia="仿宋_GB2312" w:cs="仿宋_GB2312"/>
          <w:sz w:val="28"/>
          <w:szCs w:val="28"/>
          <w:highlight w:val="none"/>
        </w:rPr>
      </w:pPr>
      <w:r/>
      <w:bookmarkStart w:id="34" w:name="_Toc38985268"/>
      <w:r/>
      <w:bookmarkStart w:id="35" w:name="_Toc35393626"/>
      <w:r/>
      <w:bookmarkStart w:id="36" w:name="_Toc35393795"/>
      <w:r>
        <w:rPr>
          <w:rFonts w:hint="eastAsia" w:ascii="仿宋_GB2312" w:hAnsi="仿宋_GB2312" w:eastAsia="仿宋_GB2312" w:cs="仿宋_GB2312"/>
          <w:color w:val="auto"/>
          <w:sz w:val="28"/>
          <w:szCs w:val="28"/>
          <w:highlight w:val="none"/>
        </w:rPr>
        <w:t xml:space="preserve">磋商公告及磋商文件公告期限为自本公告发布之日起</w:t>
      </w:r>
      <w:r>
        <w:rPr>
          <w:rFonts w:hint="eastAsia" w:ascii="仿宋_GB2312" w:hAnsi="仿宋_GB2312" w:eastAsia="仿宋_GB2312" w:cs="仿宋_GB2312"/>
          <w:color w:val="auto"/>
          <w:sz w:val="28"/>
          <w:szCs w:val="28"/>
          <w:highlight w:val="none"/>
          <w:lang w:val="en-US" w:eastAsia="zh-CN"/>
        </w:rPr>
        <w:t xml:space="preserve">5</w:t>
      </w:r>
      <w:r>
        <w:rPr>
          <w:rFonts w:hint="eastAsia" w:ascii="仿宋_GB2312" w:hAnsi="仿宋_GB2312" w:eastAsia="仿宋_GB2312" w:cs="仿宋_GB2312"/>
          <w:color w:val="auto"/>
          <w:sz w:val="28"/>
          <w:szCs w:val="28"/>
          <w:highlight w:val="none"/>
        </w:rPr>
        <w:t xml:space="preserve">个</w:t>
      </w:r>
      <w:r>
        <w:rPr>
          <w:rFonts w:hint="eastAsia" w:ascii="仿宋_GB2312" w:hAnsi="仿宋_GB2312" w:eastAsia="仿宋_GB2312" w:cs="仿宋_GB2312"/>
          <w:sz w:val="28"/>
          <w:szCs w:val="28"/>
          <w:highlight w:val="none"/>
        </w:rPr>
        <w:t xml:space="preserve">工作日。</w:t>
      </w:r>
      <w:r/>
    </w:p>
    <w:p>
      <w:pPr>
        <w:ind w:left="0" w:right="0" w:firstLine="560"/>
        <w:keepLines/>
        <w:keepNext/>
        <w:pageBreakBefore w:val="0"/>
        <w:spacing w:line="460" w:lineRule="exact"/>
        <w:widowControl w:val="off"/>
        <w:rPr>
          <w:rFonts w:hint="eastAsia" w:ascii="黑体" w:hAnsi="黑体" w:eastAsia="黑体" w:cs="黑体"/>
          <w:b w:val="0"/>
          <w:bCs w:val="0"/>
          <w:sz w:val="28"/>
          <w:szCs w:val="28"/>
          <w:highlight w:val="none"/>
        </w:rPr>
        <w:outlineLvl w:val="2"/>
      </w:pPr>
      <w:r>
        <w:rPr>
          <w:rFonts w:hint="eastAsia" w:ascii="黑体" w:hAnsi="黑体" w:eastAsia="黑体" w:cs="黑体"/>
          <w:b w:val="0"/>
          <w:bCs w:val="0"/>
          <w:sz w:val="28"/>
          <w:szCs w:val="28"/>
          <w:highlight w:val="none"/>
          <w:lang w:eastAsia="zh-CN"/>
        </w:rPr>
        <w:t xml:space="preserve">七</w:t>
      </w:r>
      <w:r>
        <w:rPr>
          <w:rFonts w:hint="eastAsia" w:ascii="黑体" w:hAnsi="黑体" w:eastAsia="黑体" w:cs="黑体"/>
          <w:b w:val="0"/>
          <w:bCs w:val="0"/>
          <w:sz w:val="28"/>
          <w:szCs w:val="28"/>
          <w:highlight w:val="none"/>
        </w:rPr>
        <w:t xml:space="preserve">、其他补充事宜</w:t>
      </w:r>
      <w:bookmarkEnd w:id="34"/>
      <w:r/>
      <w:bookmarkEnd w:id="35"/>
      <w:r/>
      <w:bookmarkEnd w:id="36"/>
      <w:r/>
      <w:r/>
    </w:p>
    <w:p>
      <w:pPr>
        <w:ind w:firstLine="560"/>
        <w:pageBreakBefore w:val="0"/>
        <w:spacing w:line="460" w:lineRule="exact"/>
        <w:rPr>
          <w:rFonts w:hint="eastAsia" w:ascii="仿宋_GB2312" w:hAnsi="仿宋_GB2312" w:eastAsia="仿宋_GB2312" w:cs="仿宋_GB2312"/>
          <w:color w:val="auto"/>
          <w:sz w:val="28"/>
          <w:szCs w:val="28"/>
          <w:highlight w:val="none"/>
        </w:rPr>
      </w:pPr>
      <w:r/>
      <w:bookmarkStart w:id="37" w:name="_Toc35393796"/>
      <w:r/>
      <w:bookmarkStart w:id="38" w:name="_Toc28359008"/>
      <w:r/>
      <w:bookmarkStart w:id="39" w:name="_Toc35393627"/>
      <w:r/>
      <w:bookmarkStart w:id="40" w:name="_Toc38985269"/>
      <w:r/>
      <w:bookmarkStart w:id="41" w:name="_Toc28359085"/>
      <w:r>
        <w:rPr>
          <w:rFonts w:hint="eastAsia" w:ascii="仿宋_GB2312" w:hAnsi="仿宋_GB2312" w:eastAsia="仿宋_GB2312" w:cs="仿宋_GB2312"/>
          <w:sz w:val="28"/>
          <w:szCs w:val="28"/>
          <w:highlight w:val="none"/>
        </w:rPr>
        <w:t xml:space="preserve">1.</w:t>
      </w:r>
      <w:r>
        <w:rPr>
          <w:rFonts w:hint="eastAsia" w:ascii="仿宋_GB2312" w:hAnsi="仿宋_GB2312" w:eastAsia="仿宋_GB2312" w:cs="仿宋_GB2312"/>
          <w:bCs/>
          <w:sz w:val="28"/>
          <w:szCs w:val="28"/>
          <w:highlight w:val="none"/>
        </w:rPr>
        <w:t xml:space="preserve"> 本项目采用“苏采云”政府采购交易系统全流程电子化不见面方式进行，</w:t>
      </w:r>
      <w:r>
        <w:rPr>
          <w:rFonts w:hint="eastAsia" w:ascii="仿宋_GB2312" w:hAnsi="仿宋_GB2312" w:eastAsia="仿宋_GB2312" w:cs="仿宋_GB2312"/>
          <w:color w:val="auto"/>
          <w:spacing w:val="-11"/>
          <w:sz w:val="28"/>
          <w:szCs w:val="28"/>
          <w:highlight w:val="none"/>
        </w:rPr>
        <w:t xml:space="preserve">供应商如确定参加本次采购活动，可自行下载（下载地址：</w:t>
      </w:r>
      <w:r>
        <w:rPr>
          <w:rFonts w:hint="eastAsia" w:ascii="仿宋_GB2312" w:hAnsi="仿宋_GB2312" w:eastAsia="仿宋_GB2312" w:cs="仿宋_GB2312"/>
          <w:color w:val="auto"/>
          <w:sz w:val="28"/>
          <w:szCs w:val="28"/>
          <w:highlight w:val="none"/>
        </w:rPr>
        <w:t xml:space="preserve">http://www.ccgp-jiangsu.gov.cn/jiangsu/zlxz/ee/ee3a4bc5a3454aa2b0d9312230633ce9.html）《江苏省政府采购管理交易系统( 苏采云)供应商操作指南》（以下简称《操作指南》</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rPr>
        <w:t xml:space="preserve">及相关资料，按照《操作指南》规定领取</w:t>
      </w:r>
      <w:r>
        <w:rPr>
          <w:rFonts w:ascii="仿宋_GB2312" w:hAnsi="仿宋_GB2312" w:eastAsia="仿宋_GB2312" w:cs="仿宋_GB2312"/>
          <w:color w:val="auto"/>
          <w:sz w:val="28"/>
          <w:szCs w:val="28"/>
          <w:highlight w:val="none"/>
        </w:rPr>
        <w:t xml:space="preserve">CA</w:t>
      </w:r>
      <w:r>
        <w:rPr>
          <w:rFonts w:hint="eastAsia" w:ascii="仿宋_GB2312" w:hAnsi="仿宋_GB2312" w:eastAsia="仿宋_GB2312" w:cs="仿宋_GB2312"/>
          <w:color w:val="auto"/>
          <w:sz w:val="28"/>
          <w:szCs w:val="28"/>
          <w:highlight w:val="none"/>
        </w:rPr>
        <w:t xml:space="preserve">和办理电子签章</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进行注册并按《操作指南》要求制作上传电子响应文件、参加电子响应文件的开启活动及解密电子响应文件等。</w:t>
      </w:r>
      <w:r/>
    </w:p>
    <w:p>
      <w:pPr>
        <w:ind w:firstLine="560"/>
        <w:keepLines w:val="0"/>
        <w:keepNext w:val="0"/>
        <w:pageBreakBefore w:val="0"/>
        <w:spacing w:beforeAutospacing="0" w:afterAutospacing="0" w:line="460" w:lineRule="exact"/>
        <w:rPr>
          <w:rFonts w:hint="eastAsia" w:ascii="仿宋_GB2312" w:hAnsi="仿宋_GB2312" w:eastAsia="仿宋_GB2312" w:cs="仿宋_GB2312"/>
          <w:b/>
          <w:bCs w:val="0"/>
          <w:sz w:val="28"/>
          <w:szCs w:val="28"/>
          <w:highlight w:val="none"/>
        </w:rPr>
      </w:pPr>
      <w:r>
        <w:rPr>
          <w:rFonts w:hint="eastAsia" w:ascii="仿宋_GB2312" w:hAnsi="仿宋_GB2312" w:eastAsia="仿宋_GB2312" w:cs="仿宋_GB2312"/>
          <w:bCs/>
          <w:sz w:val="28"/>
          <w:szCs w:val="28"/>
          <w:highlight w:val="none"/>
          <w:lang w:val="en-US" w:eastAsia="zh-CN"/>
        </w:rPr>
        <w:t xml:space="preserve">2.</w:t>
      </w:r>
      <w:r>
        <w:rPr>
          <w:rFonts w:hint="eastAsia" w:ascii="仿宋_GB2312" w:hAnsi="仿宋_GB2312" w:eastAsia="仿宋_GB2312" w:cs="仿宋_GB2312"/>
          <w:bCs/>
          <w:sz w:val="28"/>
          <w:szCs w:val="28"/>
          <w:highlight w:val="none"/>
        </w:rPr>
        <w:t xml:space="preserve">按照《操作指南》规定领取CA和办理电子签章</w:t>
      </w:r>
      <w:r>
        <w:rPr>
          <w:rFonts w:hint="eastAsia" w:ascii="仿宋_GB2312" w:hAnsi="仿宋_GB2312" w:eastAsia="仿宋_GB2312" w:cs="仿宋_GB2312"/>
          <w:bCs/>
          <w:sz w:val="28"/>
          <w:szCs w:val="28"/>
          <w:highlight w:val="none"/>
          <w:lang w:val="en-US" w:eastAsia="zh-CN"/>
        </w:rPr>
        <w:t xml:space="preserve">,</w:t>
      </w:r>
      <w:r>
        <w:rPr>
          <w:rFonts w:hint="eastAsia" w:ascii="仿宋_GB2312" w:hAnsi="仿宋_GB2312" w:eastAsia="仿宋_GB2312" w:cs="仿宋_GB2312"/>
          <w:bCs/>
          <w:sz w:val="28"/>
          <w:szCs w:val="28"/>
          <w:highlight w:val="none"/>
        </w:rPr>
        <w:t xml:space="preserve">请至</w:t>
      </w:r>
      <w:r>
        <w:rPr>
          <w:rFonts w:hint="eastAsia" w:ascii="仿宋_GB2312" w:hAnsi="仿宋_GB2312" w:eastAsia="仿宋_GB2312" w:cs="仿宋_GB2312"/>
          <w:b/>
          <w:bCs w:val="0"/>
          <w:sz w:val="28"/>
          <w:szCs w:val="28"/>
          <w:highlight w:val="none"/>
        </w:rPr>
        <w:t xml:space="preserve">泰州市高港区泰州大道388号（原中国医药城会展交易中心W3馆西南角）公共资源交易中心一楼大厅6号窗口</w:t>
      </w:r>
      <w:r>
        <w:rPr>
          <w:rFonts w:hint="eastAsia" w:ascii="仿宋_GB2312" w:hAnsi="仿宋_GB2312" w:eastAsia="仿宋_GB2312" w:cs="仿宋_GB2312"/>
          <w:b/>
          <w:bCs w:val="0"/>
          <w:sz w:val="28"/>
          <w:szCs w:val="28"/>
          <w:highlight w:val="none"/>
          <w:lang w:eastAsia="zh-CN"/>
        </w:rPr>
        <w:t xml:space="preserve">。联系</w:t>
      </w:r>
      <w:r>
        <w:rPr>
          <w:rFonts w:hint="eastAsia" w:ascii="仿宋_GB2312" w:hAnsi="仿宋_GB2312" w:eastAsia="仿宋_GB2312" w:cs="仿宋_GB2312"/>
          <w:b/>
          <w:bCs w:val="0"/>
          <w:sz w:val="28"/>
          <w:szCs w:val="28"/>
          <w:highlight w:val="none"/>
        </w:rPr>
        <w:t xml:space="preserve">电话：0523-81568158。</w:t>
      </w:r>
      <w:r/>
    </w:p>
    <w:p>
      <w:pPr>
        <w:ind w:firstLine="560"/>
        <w:pageBreakBefore w:val="0"/>
        <w:spacing w:line="460" w:lineRule="exac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rPr>
        <w:t xml:space="preserve">如潜在</w:t>
      </w:r>
      <w:r>
        <w:rPr>
          <w:rFonts w:hint="eastAsia" w:ascii="仿宋_GB2312" w:hAnsi="仿宋_GB2312" w:eastAsia="仿宋_GB2312" w:cs="仿宋_GB2312"/>
          <w:color w:val="auto"/>
          <w:sz w:val="28"/>
          <w:szCs w:val="28"/>
          <w:highlight w:val="none"/>
          <w:lang w:eastAsia="zh-CN"/>
        </w:rPr>
        <w:t xml:space="preserve">投标人</w:t>
      </w:r>
      <w:r>
        <w:rPr>
          <w:rFonts w:hint="eastAsia" w:ascii="仿宋_GB2312" w:hAnsi="仿宋_GB2312" w:eastAsia="仿宋_GB2312" w:cs="仿宋_GB2312"/>
          <w:color w:val="auto"/>
          <w:sz w:val="28"/>
          <w:szCs w:val="28"/>
          <w:highlight w:val="none"/>
        </w:rPr>
        <w:t xml:space="preserve">未按上述要求操作，将自行承担所产生的风险。</w:t>
      </w:r>
      <w:r/>
    </w:p>
    <w:p>
      <w:pPr>
        <w:ind w:firstLine="560"/>
        <w:pageBreakBefore w:val="0"/>
        <w:spacing w:line="460" w:lineRule="exac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有关本次采购的事项若存在变动或修改，敬请及时关注“江苏政府采购网”发布的信息更正公告。</w:t>
      </w:r>
      <w:r/>
    </w:p>
    <w:p>
      <w:pPr>
        <w:ind w:firstLine="560"/>
        <w:pageBreakBefore w:val="0"/>
        <w:spacing w:line="460" w:lineRule="exact"/>
        <w:rPr>
          <w:rFonts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lang w:val="en-US" w:eastAsia="zh-CN"/>
        </w:rPr>
        <w:t xml:space="preserve">4.</w:t>
      </w:r>
      <w:r>
        <w:rPr>
          <w:rFonts w:hint="eastAsia" w:ascii="仿宋_GB2312" w:hAnsi="仿宋_GB2312" w:eastAsia="仿宋_GB2312" w:cs="仿宋_GB2312"/>
          <w:bCs/>
          <w:color w:val="auto"/>
          <w:sz w:val="28"/>
          <w:szCs w:val="28"/>
          <w:highlight w:val="none"/>
        </w:rPr>
        <w:t xml:space="preserve">如在制作电子投标文件中有任何疑问，请拨打电子化政府采购技术支持电话：</w:t>
      </w:r>
      <w:r>
        <w:rPr>
          <w:rFonts w:hint="eastAsia" w:ascii="仿宋_GB2312" w:hAnsi="仿宋_GB2312" w:eastAsia="仿宋_GB2312" w:cs="仿宋_GB2312"/>
          <w:bCs/>
          <w:color w:val="auto"/>
          <w:sz w:val="28"/>
          <w:szCs w:val="28"/>
          <w:highlight w:val="none"/>
        </w:rPr>
        <w:t xml:space="preserve">智先生：</w:t>
      </w:r>
      <w:r>
        <w:rPr>
          <w:rFonts w:ascii="仿宋_GB2312" w:hAnsi="仿宋_GB2312" w:eastAsia="仿宋_GB2312" w:cs="仿宋_GB2312"/>
          <w:bCs/>
          <w:color w:val="auto"/>
          <w:sz w:val="28"/>
          <w:szCs w:val="28"/>
          <w:highlight w:val="none"/>
        </w:rPr>
        <w:t xml:space="preserve">0523-86897512</w:t>
      </w:r>
      <w:r>
        <w:rPr>
          <w:rFonts w:hint="eastAsia" w:ascii="仿宋_GB2312" w:hAnsi="仿宋_GB2312" w:eastAsia="仿宋_GB2312" w:cs="仿宋_GB2312"/>
          <w:bCs/>
          <w:color w:val="auto"/>
          <w:sz w:val="28"/>
          <w:szCs w:val="28"/>
          <w:highlight w:val="none"/>
        </w:rPr>
        <w:t xml:space="preserve">；张先生：</w:t>
      </w:r>
      <w:r>
        <w:rPr>
          <w:rFonts w:ascii="仿宋_GB2312" w:hAnsi="仿宋_GB2312" w:eastAsia="仿宋_GB2312" w:cs="仿宋_GB2312"/>
          <w:bCs/>
          <w:color w:val="auto"/>
          <w:sz w:val="28"/>
          <w:szCs w:val="28"/>
          <w:highlight w:val="none"/>
        </w:rPr>
        <w:t xml:space="preserve">0523-87633965</w:t>
      </w:r>
      <w:r>
        <w:rPr>
          <w:rFonts w:hint="eastAsia" w:ascii="仿宋_GB2312" w:hAnsi="仿宋_GB2312" w:eastAsia="仿宋_GB2312" w:cs="仿宋_GB2312"/>
          <w:bCs/>
          <w:color w:val="auto"/>
          <w:sz w:val="28"/>
          <w:szCs w:val="28"/>
          <w:highlight w:val="none"/>
          <w:lang w:eastAsia="zh-CN"/>
        </w:rPr>
        <w:t xml:space="preserve">。</w:t>
      </w:r>
      <w:r>
        <w:rPr>
          <w:rFonts w:hint="eastAsia" w:ascii="仿宋_GB2312" w:hAnsi="仿宋_GB2312" w:eastAsia="仿宋_GB2312" w:cs="仿宋_GB2312"/>
          <w:bCs/>
          <w:color w:val="auto"/>
          <w:sz w:val="28"/>
          <w:szCs w:val="28"/>
          <w:highlight w:val="none"/>
        </w:rPr>
        <w:t xml:space="preserve">客服</w:t>
      </w:r>
      <w:r>
        <w:rPr>
          <w:rFonts w:ascii="仿宋_GB2312" w:hAnsi="仿宋_GB2312" w:eastAsia="仿宋_GB2312" w:cs="仿宋_GB2312"/>
          <w:bCs/>
          <w:color w:val="auto"/>
          <w:sz w:val="28"/>
          <w:szCs w:val="28"/>
          <w:highlight w:val="none"/>
        </w:rPr>
        <w:t xml:space="preserve">QQ</w:t>
      </w:r>
      <w:r>
        <w:rPr>
          <w:rFonts w:hint="eastAsia" w:ascii="仿宋_GB2312" w:hAnsi="仿宋_GB2312" w:eastAsia="仿宋_GB2312" w:cs="仿宋_GB2312"/>
          <w:bCs/>
          <w:color w:val="auto"/>
          <w:sz w:val="28"/>
          <w:szCs w:val="28"/>
          <w:highlight w:val="none"/>
        </w:rPr>
        <w:t xml:space="preserve">：</w:t>
      </w:r>
      <w:r>
        <w:rPr>
          <w:rFonts w:hint="eastAsia" w:ascii="仿宋_GB2312" w:hAnsi="仿宋_GB2312" w:eastAsia="仿宋_GB2312" w:cs="仿宋_GB2312"/>
          <w:b w:val="0"/>
          <w:bCs/>
          <w:color w:val="auto"/>
          <w:sz w:val="28"/>
          <w:szCs w:val="28"/>
          <w:highlight w:val="none"/>
          <w:lang w:val="en-US" w:eastAsia="zh-CN"/>
        </w:rPr>
        <w:t xml:space="preserve">1195486789</w:t>
      </w:r>
      <w:r>
        <w:rPr>
          <w:rFonts w:hint="eastAsia" w:ascii="仿宋_GB2312" w:hAnsi="仿宋_GB2312" w:eastAsia="仿宋_GB2312" w:cs="仿宋_GB2312"/>
          <w:b w:val="0"/>
          <w:bCs/>
          <w:color w:val="auto"/>
          <w:sz w:val="28"/>
          <w:szCs w:val="28"/>
          <w:highlight w:val="none"/>
        </w:rPr>
        <w:t xml:space="preserve">，709339244</w:t>
      </w:r>
      <w:r>
        <w:rPr>
          <w:rFonts w:hint="eastAsia" w:ascii="仿宋_GB2312" w:hAnsi="仿宋_GB2312" w:eastAsia="仿宋_GB2312" w:cs="仿宋_GB2312"/>
          <w:bCs/>
          <w:color w:val="auto"/>
          <w:sz w:val="28"/>
          <w:szCs w:val="28"/>
          <w:highlight w:val="none"/>
        </w:rPr>
        <w:t xml:space="preserve">。</w:t>
      </w:r>
      <w:r/>
    </w:p>
    <w:p>
      <w:pPr>
        <w:ind w:left="0" w:right="0" w:firstLine="560"/>
        <w:keepLines/>
        <w:keepNext/>
        <w:pageBreakBefore w:val="0"/>
        <w:spacing w:line="460" w:lineRule="exact"/>
        <w:widowControl w:val="off"/>
        <w:rPr>
          <w:rFonts w:hint="eastAsia" w:ascii="黑体" w:hAnsi="黑体" w:eastAsia="黑体" w:cs="黑体"/>
          <w:b w:val="0"/>
          <w:bCs w:val="0"/>
          <w:sz w:val="28"/>
          <w:szCs w:val="28"/>
          <w:highlight w:val="none"/>
        </w:rPr>
        <w:outlineLvl w:val="2"/>
      </w:pPr>
      <w:r>
        <w:rPr>
          <w:rFonts w:hint="eastAsia" w:ascii="黑体" w:hAnsi="黑体" w:eastAsia="黑体" w:cs="黑体"/>
          <w:b w:val="0"/>
          <w:bCs w:val="0"/>
          <w:sz w:val="28"/>
          <w:szCs w:val="28"/>
          <w:highlight w:val="none"/>
        </w:rPr>
        <w:t xml:space="preserve">七、本次磋商联系方式</w:t>
      </w:r>
      <w:bookmarkEnd w:id="37"/>
      <w:r/>
      <w:bookmarkEnd w:id="38"/>
      <w:r/>
      <w:bookmarkEnd w:id="39"/>
      <w:r/>
      <w:bookmarkEnd w:id="40"/>
      <w:r/>
      <w:bookmarkEnd w:id="41"/>
      <w:r/>
      <w:r/>
    </w:p>
    <w:p>
      <w:pPr>
        <w:ind w:left="0" w:right="0" w:firstLine="560"/>
        <w:pageBreakBefore w:val="0"/>
        <w:spacing w:line="460" w:lineRule="exact"/>
        <w:widowControl w:val="off"/>
        <w:tabs>
          <w:tab w:val="left" w:pos="900" w:leader="none"/>
        </w:tabs>
        <w:rPr>
          <w:rFonts w:hint="eastAsia" w:ascii="楷体" w:hAnsi="楷体" w:eastAsia="楷体" w:cs="楷体"/>
          <w:sz w:val="28"/>
          <w:szCs w:val="28"/>
          <w:highlight w:val="none"/>
        </w:rPr>
      </w:pPr>
      <w:r/>
      <w:bookmarkStart w:id="42" w:name="OLE_LINK9"/>
      <w:r/>
      <w:bookmarkStart w:id="43" w:name="_Toc28359087"/>
      <w:r/>
      <w:bookmarkStart w:id="44" w:name="OLE_LINK22"/>
      <w:r/>
      <w:bookmarkStart w:id="45" w:name="OLE_LINK4"/>
      <w:r/>
      <w:bookmarkStart w:id="46" w:name="OLE_LINK3"/>
      <w:r/>
      <w:bookmarkStart w:id="47" w:name="_Toc28359010"/>
      <w:r>
        <w:rPr>
          <w:rFonts w:hint="eastAsia" w:ascii="楷体" w:hAnsi="楷体" w:eastAsia="楷体" w:cs="楷体"/>
          <w:sz w:val="28"/>
          <w:szCs w:val="28"/>
          <w:highlight w:val="none"/>
        </w:rPr>
        <w:t xml:space="preserve">1.采购人信息</w:t>
      </w:r>
      <w:r/>
    </w:p>
    <w:p>
      <w:pPr>
        <w:ind w:left="0" w:right="0" w:firstLine="560"/>
        <w:pageBreakBefore w:val="0"/>
        <w:spacing w:line="460" w:lineRule="exact"/>
        <w:widowControl w:val="off"/>
        <w:tabs>
          <w:tab w:val="left" w:pos="900" w:leader="none"/>
        </w:tabs>
        <w:rPr>
          <w:rFonts w:hint="default" w:ascii="仿宋" w:hAnsi="仿宋" w:eastAsia="仿宋" w:cs="宋体"/>
          <w:color w:val="auto"/>
          <w:sz w:val="28"/>
          <w:szCs w:val="28"/>
          <w:highlight w:val="none"/>
          <w:lang w:val="en-US" w:eastAsia="zh-CN"/>
        </w:rPr>
      </w:pPr>
      <w:r/>
      <w:bookmarkStart w:id="48" w:name="_Toc28359009"/>
      <w:r/>
      <w:bookmarkStart w:id="49" w:name="_Toc28359086"/>
      <w:r>
        <w:rPr>
          <w:rFonts w:hint="default" w:ascii="仿宋" w:hAnsi="仿宋" w:eastAsia="仿宋" w:cs="宋体"/>
          <w:color w:val="auto"/>
          <w:sz w:val="28"/>
          <w:szCs w:val="28"/>
          <w:highlight w:val="none"/>
          <w:lang w:val="en-US" w:eastAsia="zh-CN"/>
        </w:rPr>
        <w:t xml:space="preserve">名 称：兴化市荻垛镇人民政府</w:t>
      </w:r>
      <w:r/>
    </w:p>
    <w:p>
      <w:pPr>
        <w:ind w:left="0" w:right="0" w:firstLine="560"/>
        <w:pageBreakBefore w:val="0"/>
        <w:spacing w:line="460" w:lineRule="exact"/>
        <w:widowControl w:val="off"/>
        <w:tabs>
          <w:tab w:val="left" w:pos="900" w:leader="none"/>
        </w:tabs>
        <w:rPr>
          <w:rFonts w:hint="default" w:ascii="仿宋" w:hAnsi="仿宋" w:eastAsia="仿宋" w:cs="宋体"/>
          <w:color w:val="auto"/>
          <w:sz w:val="28"/>
          <w:szCs w:val="28"/>
          <w:highlight w:val="none"/>
          <w:lang w:val="en-US" w:eastAsia="zh-CN"/>
        </w:rPr>
      </w:pPr>
      <w:r>
        <w:rPr>
          <w:rFonts w:hint="default" w:ascii="仿宋" w:hAnsi="仿宋" w:eastAsia="仿宋" w:cs="宋体"/>
          <w:color w:val="auto"/>
          <w:sz w:val="28"/>
          <w:szCs w:val="28"/>
          <w:highlight w:val="none"/>
          <w:lang w:val="en-US" w:eastAsia="zh-CN"/>
        </w:rPr>
        <w:t xml:space="preserve">地址：兴化市荻垛镇</w:t>
      </w:r>
      <w:r/>
    </w:p>
    <w:p>
      <w:pPr>
        <w:ind w:left="0" w:right="0" w:firstLine="560"/>
        <w:pageBreakBefore w:val="0"/>
        <w:spacing w:line="460" w:lineRule="exact"/>
        <w:widowControl w:val="off"/>
        <w:tabs>
          <w:tab w:val="left" w:pos="900" w:leader="none"/>
        </w:tabs>
        <w:rPr>
          <w:rFonts w:hint="default" w:ascii="仿宋" w:hAnsi="仿宋" w:eastAsia="仿宋" w:cs="宋体"/>
          <w:color w:val="auto"/>
          <w:sz w:val="28"/>
          <w:szCs w:val="28"/>
          <w:highlight w:val="none"/>
          <w:lang w:val="en-US" w:eastAsia="zh-CN"/>
        </w:rPr>
      </w:pPr>
      <w:r>
        <w:rPr>
          <w:rFonts w:hint="default" w:ascii="仿宋" w:hAnsi="仿宋" w:eastAsia="仿宋" w:cs="宋体"/>
          <w:color w:val="auto"/>
          <w:sz w:val="28"/>
          <w:szCs w:val="28"/>
          <w:highlight w:val="none"/>
          <w:lang w:val="en-US" w:eastAsia="zh-CN"/>
        </w:rPr>
        <w:t xml:space="preserve">联系方式：单先生  15195251675</w:t>
      </w:r>
      <w:r/>
    </w:p>
    <w:p>
      <w:pPr>
        <w:ind w:left="0" w:right="0" w:firstLine="560"/>
        <w:pageBreakBefore w:val="0"/>
        <w:spacing w:line="460" w:lineRule="exact"/>
        <w:widowControl w:val="off"/>
        <w:tabs>
          <w:tab w:val="left" w:pos="900" w:leader="none"/>
        </w:tabs>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2.采购代理机构信息</w:t>
      </w:r>
      <w:bookmarkEnd w:id="48"/>
      <w:r/>
      <w:bookmarkEnd w:id="49"/>
      <w:r/>
      <w:r/>
    </w:p>
    <w:p>
      <w:pPr>
        <w:ind w:left="0" w:right="0" w:firstLine="560"/>
        <w:pageBreakBefore w:val="0"/>
        <w:spacing w:line="46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名称：兴化市政务服务中心</w:t>
      </w:r>
      <w:r/>
    </w:p>
    <w:p>
      <w:pPr>
        <w:ind w:left="0" w:right="0" w:firstLine="560"/>
        <w:pageBreakBefore w:val="0"/>
        <w:spacing w:line="46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地址：</w:t>
      </w:r>
      <w:r>
        <w:rPr>
          <w:rFonts w:hint="eastAsia" w:ascii="仿宋_GB2312" w:hAnsi="仿宋_GB2312" w:eastAsia="仿宋_GB2312" w:cs="仿宋_GB2312"/>
          <w:sz w:val="28"/>
          <w:szCs w:val="28"/>
          <w:highlight w:val="none"/>
          <w:lang w:eastAsia="zh-CN"/>
        </w:rPr>
        <w:t xml:space="preserve">兴化市长安中路</w:t>
      </w:r>
      <w:r>
        <w:rPr>
          <w:rFonts w:hint="eastAsia" w:ascii="仿宋_GB2312" w:hAnsi="仿宋_GB2312" w:eastAsia="仿宋_GB2312" w:cs="仿宋_GB2312"/>
          <w:sz w:val="28"/>
          <w:szCs w:val="28"/>
          <w:highlight w:val="none"/>
          <w:lang w:val="en-US" w:eastAsia="zh-CN"/>
        </w:rPr>
        <w:t xml:space="preserve">13-1号</w:t>
      </w:r>
      <w:r/>
    </w:p>
    <w:p>
      <w:pPr>
        <w:ind w:left="0" w:right="0" w:firstLine="560"/>
        <w:pageBreakBefore w:val="0"/>
        <w:spacing w:line="46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联系方式：</w:t>
      </w:r>
      <w:r>
        <w:rPr>
          <w:rFonts w:hint="eastAsia" w:ascii="仿宋_GB2312" w:hAnsi="仿宋_GB2312" w:eastAsia="仿宋_GB2312" w:cs="仿宋_GB2312"/>
          <w:sz w:val="28"/>
          <w:szCs w:val="28"/>
          <w:highlight w:val="none"/>
          <w:lang w:eastAsia="zh-CN"/>
        </w:rPr>
        <w:t xml:space="preserve">刘</w:t>
      </w:r>
      <w:r>
        <w:rPr>
          <w:rFonts w:hint="eastAsia" w:ascii="仿宋_GB2312" w:hAnsi="仿宋_GB2312" w:eastAsia="仿宋_GB2312" w:cs="仿宋_GB2312"/>
          <w:sz w:val="28"/>
          <w:szCs w:val="28"/>
          <w:highlight w:val="none"/>
        </w:rPr>
        <w:t xml:space="preserve">先生</w:t>
      </w: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rPr>
        <w:t xml:space="preserve">0523-83388218 </w:t>
      </w:r>
      <w:bookmarkEnd w:id="42"/>
      <w:r/>
      <w:bookmarkEnd w:id="43"/>
      <w:r/>
      <w:bookmarkEnd w:id="44"/>
      <w:r/>
      <w:bookmarkEnd w:id="45"/>
      <w:r/>
      <w:bookmarkEnd w:id="46"/>
      <w:r/>
      <w:bookmarkEnd w:id="47"/>
      <w:r/>
      <w:r/>
    </w:p>
    <w:p>
      <w:pPr>
        <w:ind w:firstLine="600"/>
        <w:jc w:val="left"/>
        <w:keepLines w:val="0"/>
        <w:keepNext w:val="0"/>
        <w:pageBreakBefore w:val="0"/>
        <w:spacing w:line="460" w:lineRule="exact"/>
        <w:widowControl/>
        <w:rPr>
          <w:rFonts w:hint="eastAsia" w:ascii="楷体" w:hAnsi="楷体" w:eastAsia="楷体" w:cs="楷体"/>
          <w:color w:val="auto"/>
          <w:sz w:val="30"/>
          <w:szCs w:val="30"/>
          <w:highlight w:val="none"/>
          <w:lang w:val="en-US" w:eastAsia="zh-CN"/>
        </w:rPr>
        <w:outlineLvl w:val="1"/>
      </w:pPr>
      <w:r>
        <w:rPr>
          <w:rFonts w:hint="eastAsia" w:ascii="楷体" w:hAnsi="楷体" w:eastAsia="楷体" w:cs="楷体"/>
          <w:color w:val="auto"/>
          <w:sz w:val="30"/>
          <w:szCs w:val="30"/>
          <w:highlight w:val="none"/>
          <w:lang w:val="en-US" w:eastAsia="zh-CN"/>
        </w:rPr>
        <w:t xml:space="preserve">3.项目联系方式</w:t>
      </w:r>
      <w:r/>
    </w:p>
    <w:p>
      <w:pPr>
        <w:ind w:left="0" w:right="0" w:firstLine="560"/>
        <w:pageBreakBefore w:val="0"/>
        <w:spacing w:line="460" w:lineRule="exact"/>
        <w:widowControl w:val="off"/>
        <w:tabs>
          <w:tab w:val="left" w:pos="900" w:leader="none"/>
        </w:tabs>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联系人：单先生   15195251675</w:t>
      </w:r>
      <w:r>
        <w:rPr>
          <w:rFonts w:hint="eastAsia" w:ascii="仿宋_GB2312" w:hAnsi="仿宋_GB2312" w:eastAsia="仿宋_GB2312" w:cs="仿宋_GB2312"/>
          <w:sz w:val="28"/>
          <w:szCs w:val="28"/>
          <w:highlight w:val="none"/>
          <w:lang w:eastAsia="zh-CN"/>
        </w:rPr>
        <w:t xml:space="preserve">（采购人）</w:t>
      </w:r>
      <w:r/>
    </w:p>
    <w:p>
      <w:pPr>
        <w:ind w:left="0" w:right="0" w:firstLine="1680"/>
        <w:pageBreakBefore w:val="0"/>
        <w:spacing w:line="460" w:lineRule="exact"/>
        <w:widowControl w:val="off"/>
        <w:tabs>
          <w:tab w:val="left" w:pos="900" w:leader="none"/>
        </w:tabs>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刘先生   0523-83388218（代理机构）</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ind w:right="0"/>
        <w:jc w:val="center"/>
        <w:keepLines/>
        <w:keepNext/>
        <w:pageBreakBefore w:val="0"/>
        <w:spacing w:line="520" w:lineRule="exact"/>
        <w:rPr>
          <w:rFonts w:hint="eastAsia" w:ascii="黑体" w:hAnsi="黑体" w:eastAsia="黑体" w:cs="黑体"/>
          <w:b w:val="0"/>
          <w:bCs w:val="0"/>
          <w:sz w:val="36"/>
          <w:szCs w:val="36"/>
        </w:rPr>
        <w:outlineLvl w:val="1"/>
      </w:pPr>
      <w:r/>
      <w:bookmarkStart w:id="50" w:name="_Toc120614211"/>
      <w:r>
        <w:rPr>
          <w:rFonts w:hint="eastAsia" w:ascii="黑体" w:hAnsi="黑体" w:eastAsia="黑体" w:cs="黑体"/>
          <w:b w:val="0"/>
          <w:bCs w:val="0"/>
          <w:sz w:val="36"/>
          <w:szCs w:val="36"/>
        </w:rPr>
        <w:t xml:space="preserve">第二章  </w:t>
      </w:r>
      <w:bookmarkEnd w:id="1"/>
      <w:r/>
      <w:bookmarkEnd w:id="2"/>
      <w:r/>
      <w:bookmarkEnd w:id="3"/>
      <w:r/>
      <w:bookmarkEnd w:id="4"/>
      <w:r/>
      <w:bookmarkEnd w:id="5"/>
      <w:r/>
      <w:bookmarkEnd w:id="50"/>
      <w:r>
        <w:rPr>
          <w:rFonts w:hint="eastAsia" w:ascii="黑体" w:hAnsi="黑体" w:eastAsia="黑体" w:cs="黑体"/>
          <w:b w:val="0"/>
          <w:bCs w:val="0"/>
          <w:sz w:val="36"/>
          <w:szCs w:val="36"/>
        </w:rPr>
        <w:t xml:space="preserve">供应商须知</w:t>
      </w:r>
      <w:r/>
    </w:p>
    <w:p>
      <w:pPr>
        <w:ind w:firstLine="436"/>
        <w:keepLines/>
        <w:keepNext/>
        <w:pageBreakBefore w:val="0"/>
        <w:spacing w:line="520" w:lineRule="exact"/>
        <w:widowControl w:val="off"/>
        <w:rPr>
          <w:rFonts w:hint="eastAsia" w:ascii="仿宋_GB2312" w:hAnsi="仿宋_GB2312" w:eastAsia="仿宋_GB2312" w:cs="仿宋_GB2312"/>
          <w:b/>
          <w:bCs/>
          <w:sz w:val="28"/>
          <w:szCs w:val="28"/>
        </w:rPr>
        <w:outlineLvl w:val="2"/>
      </w:pPr>
      <w:r/>
      <w:bookmarkStart w:id="51" w:name="_Toc16938519"/>
      <w:r/>
      <w:bookmarkStart w:id="52" w:name="_Toc20823275"/>
      <w:r/>
      <w:bookmarkStart w:id="53" w:name="_Toc513029203"/>
      <w:r/>
      <w:bookmarkStart w:id="54" w:name="_Toc120614214"/>
      <w:r/>
      <w:bookmarkStart w:id="55" w:name="_Toc20823314"/>
      <w:r/>
      <w:bookmarkStart w:id="56" w:name="_Toc120614221"/>
      <w:r/>
      <w:bookmarkStart w:id="57" w:name="_Toc479757207"/>
      <w:r/>
      <w:bookmarkStart w:id="58" w:name="_Toc513029242"/>
      <w:r/>
      <w:bookmarkStart w:id="59" w:name="_Toc16938558"/>
      <w:r>
        <w:rPr>
          <w:rFonts w:hint="eastAsia" w:ascii="仿宋_GB2312" w:hAnsi="仿宋_GB2312" w:eastAsia="仿宋_GB2312" w:cs="仿宋_GB2312"/>
          <w:b/>
          <w:bCs/>
          <w:sz w:val="28"/>
          <w:szCs w:val="28"/>
        </w:rPr>
        <w:t xml:space="preserve">一、总则</w:t>
      </w:r>
      <w:bookmarkEnd w:id="51"/>
      <w:r/>
      <w:bookmarkEnd w:id="52"/>
      <w:r/>
      <w:bookmarkEnd w:id="53"/>
      <w:r/>
      <w:bookmarkEnd w:id="54"/>
      <w:r/>
      <w:r/>
    </w:p>
    <w:p>
      <w:pPr>
        <w:ind w:firstLine="42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60" w:name="_Hlt16619475"/>
      <w:r/>
      <w:bookmarkEnd w:id="60"/>
      <w:r/>
      <w:bookmarkStart w:id="61" w:name="_Toc458694821"/>
      <w:r/>
      <w:bookmarkStart w:id="62" w:name="_Toc20823276"/>
      <w:r/>
      <w:bookmarkStart w:id="63" w:name="_Toc16938520"/>
      <w:r/>
      <w:bookmarkStart w:id="64" w:name="_Toc513029204"/>
      <w:r>
        <w:rPr>
          <w:rFonts w:hint="eastAsia" w:ascii="仿宋_GB2312" w:hAnsi="仿宋_GB2312" w:eastAsia="仿宋_GB2312" w:cs="仿宋_GB2312"/>
          <w:sz w:val="28"/>
          <w:szCs w:val="28"/>
        </w:rPr>
        <w:t xml:space="preserve">1</w:t>
      </w:r>
      <w:bookmarkEnd w:id="61"/>
      <w:r>
        <w:rPr>
          <w:rFonts w:hint="eastAsia" w:ascii="仿宋_GB2312" w:hAnsi="仿宋_GB2312" w:eastAsia="仿宋_GB2312" w:cs="仿宋_GB2312"/>
          <w:sz w:val="28"/>
          <w:szCs w:val="28"/>
        </w:rPr>
        <w:t xml:space="preserve">、采购方式</w:t>
      </w:r>
      <w:bookmarkEnd w:id="62"/>
      <w:r/>
      <w:bookmarkEnd w:id="63"/>
      <w:r/>
      <w:bookmarkEnd w:id="64"/>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 本次政府采购活动采取竞争性磋商(以下简称磋商)方式，本磋商文件仅适用于磋商公告中所述项目。</w:t>
      </w:r>
      <w:r/>
    </w:p>
    <w:p>
      <w:pPr>
        <w:ind w:firstLine="42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65" w:name="_Toc16938521"/>
      <w:r/>
      <w:bookmarkStart w:id="66" w:name="_Toc513029205"/>
      <w:r/>
      <w:bookmarkStart w:id="67" w:name="_Toc20823277"/>
      <w:r>
        <w:rPr>
          <w:rFonts w:hint="eastAsia" w:ascii="仿宋_GB2312" w:hAnsi="仿宋_GB2312" w:eastAsia="仿宋_GB2312" w:cs="仿宋_GB2312"/>
          <w:sz w:val="28"/>
          <w:szCs w:val="28"/>
        </w:rPr>
        <w:t xml:space="preserve">2、合格的</w:t>
      </w:r>
      <w:bookmarkEnd w:id="65"/>
      <w:r/>
      <w:bookmarkEnd w:id="66"/>
      <w:r/>
      <w:bookmarkEnd w:id="67"/>
      <w:r>
        <w:rPr>
          <w:rFonts w:hint="eastAsia" w:ascii="仿宋_GB2312" w:hAnsi="仿宋_GB2312" w:eastAsia="仿宋_GB2312" w:cs="仿宋_GB2312"/>
          <w:sz w:val="28"/>
          <w:szCs w:val="28"/>
        </w:rPr>
        <w:t xml:space="preserve">供应商</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2.1满足磋商公告中供应商资格要求的规定。</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2.2 满足本磋商文件实质性要求和条件的规定。</w:t>
      </w:r>
      <w:r/>
    </w:p>
    <w:p>
      <w:pPr>
        <w:ind w:firstLine="42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68" w:name="_Toc16938522"/>
      <w:r/>
      <w:bookmarkStart w:id="69" w:name="_Toc20823278"/>
      <w:r/>
      <w:bookmarkStart w:id="70" w:name="_Toc513029206"/>
      <w:r>
        <w:rPr>
          <w:rFonts w:hint="eastAsia" w:ascii="仿宋_GB2312" w:hAnsi="仿宋_GB2312" w:eastAsia="仿宋_GB2312" w:cs="仿宋_GB2312"/>
          <w:sz w:val="28"/>
          <w:szCs w:val="28"/>
        </w:rPr>
        <w:t xml:space="preserve">3、适用法律</w:t>
      </w:r>
      <w:bookmarkEnd w:id="68"/>
      <w:r/>
      <w:bookmarkEnd w:id="69"/>
      <w:r/>
      <w:bookmarkEnd w:id="70"/>
      <w:r/>
      <w:r/>
    </w:p>
    <w:p>
      <w:pPr>
        <w:ind w:firstLine="49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 本次磋商及由此产生的合同受中华人民共和国有关的法律法规制约和保护。</w:t>
      </w:r>
      <w:r/>
    </w:p>
    <w:p>
      <w:pPr>
        <w:ind w:firstLine="42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71" w:name="_Toc462564067"/>
      <w:r/>
      <w:bookmarkStart w:id="72" w:name="_Toc16938523"/>
      <w:r/>
      <w:bookmarkStart w:id="73" w:name="_Toc20823279"/>
      <w:r/>
      <w:bookmarkStart w:id="74" w:name="_Toc513029207"/>
      <w:r>
        <w:rPr>
          <w:rFonts w:hint="eastAsia" w:ascii="仿宋_GB2312" w:hAnsi="仿宋_GB2312" w:eastAsia="仿宋_GB2312" w:cs="仿宋_GB2312"/>
          <w:sz w:val="28"/>
          <w:szCs w:val="28"/>
        </w:rPr>
        <w:t xml:space="preserve">4、磋商费用</w:t>
      </w:r>
      <w:bookmarkEnd w:id="71"/>
      <w:r/>
      <w:bookmarkEnd w:id="72"/>
      <w:r/>
      <w:bookmarkEnd w:id="73"/>
      <w:r/>
      <w:bookmarkEnd w:id="74"/>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4.1</w:t>
      </w:r>
      <w:r>
        <w:rPr>
          <w:rFonts w:hint="eastAsia" w:ascii="仿宋_GB2312" w:hAnsi="仿宋_GB2312" w:eastAsia="仿宋_GB2312" w:cs="仿宋_GB2312"/>
          <w:sz w:val="28"/>
          <w:szCs w:val="28"/>
        </w:rPr>
        <w:t xml:space="preserve">供应商应自行承担所有与参加本次磋商有关的费用，无论磋商过程中的做法和结果如何，</w:t>
      </w:r>
      <w:r>
        <w:rPr>
          <w:rFonts w:hint="eastAsia" w:ascii="仿宋_GB2312" w:hAnsi="仿宋_GB2312" w:eastAsia="仿宋_GB2312" w:cs="仿宋_GB2312"/>
          <w:sz w:val="28"/>
          <w:szCs w:val="28"/>
          <w:lang w:eastAsia="zh-CN"/>
        </w:rPr>
        <w:t xml:space="preserve">兴化市政务服务中心</w:t>
      </w:r>
      <w:r>
        <w:rPr>
          <w:rFonts w:hint="eastAsia" w:ascii="仿宋_GB2312" w:hAnsi="仿宋_GB2312" w:eastAsia="仿宋_GB2312" w:cs="仿宋_GB2312"/>
          <w:sz w:val="28"/>
          <w:szCs w:val="28"/>
        </w:rPr>
        <w:t xml:space="preserve">（以下简称</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）在任何情况下均无义务和责任承担这些费用。</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4.2本次磋商</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和采购人不收取标书工本费与成交服务费。</w:t>
      </w:r>
      <w:r/>
    </w:p>
    <w:p>
      <w:pPr>
        <w:ind w:firstLine="281"/>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b/>
          <w:bCs/>
          <w:sz w:val="28"/>
          <w:szCs w:val="28"/>
        </w:rPr>
        <w:t xml:space="preserve">5、</w:t>
      </w:r>
      <w:r>
        <w:rPr>
          <w:rFonts w:hint="eastAsia" w:ascii="仿宋_GB2312" w:hAnsi="仿宋_GB2312" w:eastAsia="仿宋_GB2312" w:cs="仿宋_GB2312"/>
          <w:sz w:val="28"/>
          <w:szCs w:val="28"/>
        </w:rPr>
        <w:t xml:space="preserve">磋商文件的约束力</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5.1</w:t>
      </w:r>
      <w:r>
        <w:rPr>
          <w:rFonts w:hint="eastAsia" w:ascii="仿宋_GB2312" w:hAnsi="仿宋_GB2312" w:eastAsia="仿宋_GB2312" w:cs="仿宋_GB2312"/>
          <w:sz w:val="28"/>
          <w:szCs w:val="28"/>
        </w:rPr>
        <w:t xml:space="preserve">供应商一旦参加本项目采购活动，即被认为接受了本磋商文件的规定和约束。</w:t>
      </w:r>
      <w:r/>
    </w:p>
    <w:p>
      <w:pPr>
        <w:ind w:firstLine="281"/>
        <w:keepLines/>
        <w:keepNext/>
        <w:pageBreakBefore w:val="0"/>
        <w:spacing w:line="520" w:lineRule="exact"/>
        <w:widowControl w:val="off"/>
        <w:rPr>
          <w:rFonts w:hint="eastAsia" w:ascii="仿宋_GB2312" w:hAnsi="仿宋_GB2312" w:eastAsia="仿宋_GB2312" w:cs="仿宋_GB2312"/>
          <w:b/>
          <w:bCs/>
          <w:sz w:val="28"/>
          <w:szCs w:val="28"/>
        </w:rPr>
        <w:outlineLvl w:val="2"/>
      </w:pPr>
      <w:r/>
      <w:bookmarkStart w:id="75" w:name="_Toc513029209"/>
      <w:r/>
      <w:bookmarkStart w:id="76" w:name="_Toc20823281"/>
      <w:r/>
      <w:bookmarkStart w:id="77" w:name="_Toc16938525"/>
      <w:r/>
      <w:bookmarkStart w:id="78" w:name="_Toc120614215"/>
      <w:r>
        <w:rPr>
          <w:rFonts w:hint="eastAsia" w:ascii="仿宋_GB2312" w:hAnsi="仿宋_GB2312" w:eastAsia="仿宋_GB2312" w:cs="仿宋_GB2312"/>
          <w:b/>
          <w:bCs/>
          <w:sz w:val="28"/>
          <w:szCs w:val="28"/>
        </w:rPr>
        <w:t xml:space="preserve">二、</w:t>
      </w:r>
      <w:bookmarkEnd w:id="75"/>
      <w:r/>
      <w:bookmarkEnd w:id="76"/>
      <w:r/>
      <w:bookmarkEnd w:id="77"/>
      <w:r/>
      <w:bookmarkEnd w:id="78"/>
      <w:r>
        <w:rPr>
          <w:rFonts w:hint="eastAsia" w:ascii="仿宋_GB2312" w:hAnsi="仿宋_GB2312" w:eastAsia="仿宋_GB2312" w:cs="仿宋_GB2312"/>
          <w:b/>
          <w:bCs/>
          <w:sz w:val="28"/>
          <w:szCs w:val="28"/>
        </w:rPr>
        <w:t xml:space="preserve">磋商文件</w:t>
      </w:r>
      <w:r/>
    </w:p>
    <w:p>
      <w:pPr>
        <w:ind w:firstLine="42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79" w:name="_Toc513029210"/>
      <w:r/>
      <w:bookmarkStart w:id="80" w:name="_Toc20823282"/>
      <w:r/>
      <w:bookmarkStart w:id="81" w:name="_Toc16938526"/>
      <w:r>
        <w:rPr>
          <w:rFonts w:hint="eastAsia" w:ascii="仿宋_GB2312" w:hAnsi="仿宋_GB2312" w:eastAsia="仿宋_GB2312" w:cs="仿宋_GB2312"/>
          <w:sz w:val="28"/>
          <w:szCs w:val="28"/>
        </w:rPr>
        <w:t xml:space="preserve">6、磋商文件构成</w:t>
      </w:r>
      <w:bookmarkEnd w:id="79"/>
      <w:r/>
      <w:bookmarkEnd w:id="80"/>
      <w:r/>
      <w:bookmarkEnd w:id="81"/>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6.1</w:t>
      </w:r>
      <w:r>
        <w:rPr>
          <w:rFonts w:hint="eastAsia" w:ascii="仿宋_GB2312" w:hAnsi="仿宋_GB2312" w:eastAsia="仿宋_GB2312" w:cs="仿宋_GB2312"/>
          <w:sz w:val="28"/>
          <w:szCs w:val="28"/>
        </w:rPr>
        <w:t xml:space="preserve">磋商文件由以下部分组成：</w:t>
      </w:r>
      <w:r/>
    </w:p>
    <w:p>
      <w:pPr>
        <w:ind w:firstLine="42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（1）磋商邀请</w:t>
      </w:r>
      <w:r/>
    </w:p>
    <w:p>
      <w:pPr>
        <w:ind w:firstLine="42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（2）供应商须知</w:t>
      </w:r>
      <w:r/>
    </w:p>
    <w:p>
      <w:pPr>
        <w:ind w:firstLine="42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（3）合同文本</w:t>
      </w:r>
      <w:r/>
    </w:p>
    <w:p>
      <w:pPr>
        <w:ind w:firstLine="42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（4）采购需求</w:t>
      </w:r>
      <w:r/>
    </w:p>
    <w:p>
      <w:pPr>
        <w:ind w:firstLine="42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（5）评审方法与评审标准</w:t>
      </w:r>
      <w:r/>
    </w:p>
    <w:p>
      <w:pPr>
        <w:ind w:firstLine="42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（6）响应文件格式</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请仔细检查磋商文件是否齐全，如有缺漏请立即与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联系解决。</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6.2</w:t>
      </w:r>
      <w:r>
        <w:rPr>
          <w:rFonts w:hint="eastAsia" w:ascii="仿宋_GB2312" w:hAnsi="仿宋_GB2312" w:eastAsia="仿宋_GB2312" w:cs="仿宋_GB2312"/>
          <w:sz w:val="28"/>
          <w:szCs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82" w:name="_Toc16938527"/>
      <w:r/>
      <w:bookmarkStart w:id="83" w:name="_Toc20823283"/>
      <w:r/>
      <w:bookmarkStart w:id="84" w:name="_Toc462564070"/>
      <w:r/>
      <w:bookmarkStart w:id="85" w:name="_Toc513029211"/>
      <w:r>
        <w:rPr>
          <w:rFonts w:hint="eastAsia" w:ascii="仿宋_GB2312" w:hAnsi="仿宋_GB2312" w:eastAsia="仿宋_GB2312" w:cs="仿宋_GB2312"/>
          <w:sz w:val="28"/>
          <w:szCs w:val="28"/>
        </w:rPr>
        <w:t xml:space="preserve">7、磋商文件的澄清</w:t>
      </w:r>
      <w:bookmarkEnd w:id="82"/>
      <w:r/>
      <w:bookmarkEnd w:id="83"/>
      <w:r/>
      <w:bookmarkEnd w:id="84"/>
      <w:r/>
      <w:bookmarkEnd w:id="85"/>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7.1</w:t>
      </w:r>
      <w:r>
        <w:rPr>
          <w:rFonts w:hint="eastAsia" w:ascii="仿宋_GB2312" w:hAnsi="仿宋_GB2312" w:eastAsia="仿宋_GB2312" w:cs="仿宋_GB2312"/>
          <w:sz w:val="28"/>
          <w:szCs w:val="28"/>
        </w:rPr>
        <w:t xml:space="preserve"> 任何要求对磋商文件进行澄清的供应商，应在磋商截止期5日前按磋商公告中的通讯地址，以书面形式通知</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86" w:name="_Toc16938528"/>
      <w:r/>
      <w:bookmarkStart w:id="87" w:name="_Toc513029212"/>
      <w:r/>
      <w:bookmarkStart w:id="88" w:name="_Toc20823284"/>
      <w:r/>
      <w:bookmarkStart w:id="89" w:name="_Toc462564071"/>
      <w:r>
        <w:rPr>
          <w:rFonts w:hint="eastAsia" w:ascii="仿宋_GB2312" w:hAnsi="仿宋_GB2312" w:eastAsia="仿宋_GB2312" w:cs="仿宋_GB2312"/>
          <w:sz w:val="28"/>
          <w:szCs w:val="28"/>
        </w:rPr>
        <w:t xml:space="preserve">8、磋商文件的澄清和修改</w:t>
      </w:r>
      <w:bookmarkEnd w:id="86"/>
      <w:r/>
      <w:bookmarkEnd w:id="87"/>
      <w:r/>
      <w:bookmarkEnd w:id="88"/>
      <w:r/>
      <w:bookmarkEnd w:id="89"/>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8.1</w:t>
      </w:r>
      <w:r>
        <w:rPr>
          <w:rFonts w:hint="eastAsia" w:ascii="仿宋_GB2312" w:hAnsi="仿宋_GB2312" w:eastAsia="仿宋_GB2312" w:cs="仿宋_GB2312"/>
          <w:sz w:val="28"/>
          <w:szCs w:val="28"/>
        </w:rPr>
        <w:t xml:space="preserve"> 在响应文件提交截止时间前，</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可以对磋商文件进行澄清和修改, 澄清或者修改的内容作为磋商文件的组成部分。澄清或者修改的内容可能影响响应文件编制的，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将在提交首次响应文件截止时间至少5日前，在“江苏政府采购网”上发布书面更正公告形式通知所有获取磋商文件的供应商, 更正公告内容将作为磋商文件的组成部分，并对供应商具有约束力。不足5日的，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将顺延提交首次响应文件截止时间。</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8.2</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可以视采购项目的具体情况，组织供应商进行现场考察或召开磋商前答疑会，但不单独或分别组织只有一个供应商参加的现场考察和答疑会。</w:t>
      </w:r>
      <w:r/>
    </w:p>
    <w:p>
      <w:pPr>
        <w:ind w:firstLine="422"/>
        <w:keepLines/>
        <w:keepNext/>
        <w:pageBreakBefore w:val="0"/>
        <w:spacing w:line="520" w:lineRule="exact"/>
        <w:widowControl w:val="off"/>
        <w:rPr>
          <w:rFonts w:hint="eastAsia" w:ascii="仿宋_GB2312" w:hAnsi="仿宋_GB2312" w:eastAsia="仿宋_GB2312" w:cs="仿宋_GB2312"/>
          <w:b/>
          <w:bCs/>
          <w:sz w:val="28"/>
          <w:szCs w:val="28"/>
        </w:rPr>
        <w:outlineLvl w:val="2"/>
      </w:pPr>
      <w:r/>
      <w:bookmarkStart w:id="90" w:name="_Toc20823285"/>
      <w:r/>
      <w:bookmarkStart w:id="91" w:name="_Toc120614216"/>
      <w:r/>
      <w:bookmarkStart w:id="92" w:name="_Toc16938529"/>
      <w:r/>
      <w:bookmarkStart w:id="93" w:name="_Toc513029213"/>
      <w:r/>
      <w:bookmarkStart w:id="94" w:name="_Toc462564072"/>
      <w:r>
        <w:rPr>
          <w:rFonts w:hint="eastAsia" w:ascii="仿宋_GB2312" w:hAnsi="仿宋_GB2312" w:eastAsia="仿宋_GB2312" w:cs="仿宋_GB2312"/>
          <w:b/>
          <w:bCs/>
          <w:sz w:val="28"/>
          <w:szCs w:val="28"/>
        </w:rPr>
        <w:t xml:space="preserve">三、响应文件的编制</w:t>
      </w:r>
      <w:bookmarkEnd w:id="90"/>
      <w:r/>
      <w:bookmarkEnd w:id="91"/>
      <w:r/>
      <w:bookmarkEnd w:id="92"/>
      <w:r/>
      <w:bookmarkEnd w:id="93"/>
      <w:r/>
      <w:bookmarkEnd w:id="94"/>
      <w:r/>
      <w:r/>
    </w:p>
    <w:p>
      <w:pPr>
        <w:ind w:firstLine="560"/>
        <w:keepLines/>
        <w:keepNext/>
        <w:pageBreakBefore w:val="0"/>
        <w:spacing w:line="520" w:lineRule="exact"/>
        <w:widowControl w:val="off"/>
        <w:rPr>
          <w:rFonts w:hint="eastAsia" w:ascii="仿宋_GB2312" w:hAnsi="仿宋_GB2312" w:eastAsia="仿宋_GB2312" w:cs="仿宋_GB2312"/>
          <w:b/>
          <w:sz w:val="28"/>
          <w:szCs w:val="28"/>
        </w:rPr>
        <w:outlineLvl w:val="3"/>
      </w:pPr>
      <w:r/>
      <w:bookmarkStart w:id="95" w:name="_Toc20823286"/>
      <w:r/>
      <w:bookmarkStart w:id="96" w:name="_Toc513029214"/>
      <w:r/>
      <w:bookmarkStart w:id="97" w:name="_Toc16938530"/>
      <w:r/>
      <w:bookmarkStart w:id="98" w:name="_Toc462564073"/>
      <w:r>
        <w:rPr>
          <w:rFonts w:hint="eastAsia" w:ascii="仿宋_GB2312" w:hAnsi="仿宋_GB2312" w:eastAsia="仿宋_GB2312" w:cs="仿宋_GB2312"/>
          <w:sz w:val="28"/>
          <w:szCs w:val="28"/>
        </w:rPr>
        <w:t xml:space="preserve">9、响应文件的语言及度量衡单位</w:t>
      </w:r>
      <w:bookmarkEnd w:id="95"/>
      <w:r/>
      <w:bookmarkEnd w:id="96"/>
      <w:r/>
      <w:bookmarkEnd w:id="97"/>
      <w:r/>
      <w:bookmarkEnd w:id="98"/>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9.1</w:t>
      </w:r>
      <w:r>
        <w:rPr>
          <w:rFonts w:hint="eastAsia" w:ascii="仿宋_GB2312" w:hAnsi="仿宋_GB2312" w:eastAsia="仿宋_GB2312" w:cs="仿宋_GB2312"/>
          <w:sz w:val="28"/>
          <w:szCs w:val="28"/>
        </w:rPr>
        <w:t xml:space="preserve">供应商提交的响应文件以及供应商与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就有关磋商的所有来往通知、函件和文件均应使用</w:t>
      </w:r>
      <w:r>
        <w:rPr>
          <w:rFonts w:hint="eastAsia" w:ascii="仿宋_GB2312" w:hAnsi="仿宋_GB2312" w:eastAsia="仿宋_GB2312" w:cs="仿宋_GB2312"/>
          <w:b/>
          <w:bCs/>
          <w:sz w:val="28"/>
          <w:szCs w:val="28"/>
        </w:rPr>
        <w:t xml:space="preserve">简体中文</w:t>
      </w:r>
      <w:r>
        <w:rPr>
          <w:rFonts w:hint="eastAsia" w:ascii="仿宋_GB2312" w:hAnsi="仿宋_GB2312" w:eastAsia="仿宋_GB2312" w:cs="仿宋_GB2312"/>
          <w:sz w:val="28"/>
          <w:szCs w:val="28"/>
        </w:rPr>
        <w:t xml:space="preserve">。</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9.2</w:t>
      </w:r>
      <w:r>
        <w:rPr>
          <w:rFonts w:hint="eastAsia" w:ascii="仿宋_GB2312" w:hAnsi="仿宋_GB2312" w:eastAsia="仿宋_GB2312" w:cs="仿宋_GB2312"/>
          <w:sz w:val="28"/>
          <w:szCs w:val="28"/>
        </w:rPr>
        <w:t xml:space="preserve"> 除技术性能另有规定外，响应文件所使用的度量衡单位，均须采用国家法定计量单位。</w:t>
      </w:r>
      <w:r/>
    </w:p>
    <w:p>
      <w:pPr>
        <w:ind w:firstLine="42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99" w:name="_Toc20823287"/>
      <w:r/>
      <w:bookmarkStart w:id="100" w:name="_Toc16938531"/>
      <w:r/>
      <w:bookmarkStart w:id="101" w:name="_Toc513029215"/>
      <w:r/>
      <w:bookmarkStart w:id="102" w:name="_Toc462564074"/>
      <w:r>
        <w:rPr>
          <w:rFonts w:hint="eastAsia" w:ascii="仿宋_GB2312" w:hAnsi="仿宋_GB2312" w:eastAsia="仿宋_GB2312" w:cs="仿宋_GB2312"/>
          <w:sz w:val="28"/>
          <w:szCs w:val="28"/>
        </w:rPr>
        <w:t xml:space="preserve">10、响应文件构成</w:t>
      </w:r>
      <w:bookmarkEnd w:id="99"/>
      <w:r/>
      <w:bookmarkEnd w:id="100"/>
      <w:r/>
      <w:bookmarkEnd w:id="101"/>
      <w:r/>
      <w:bookmarkEnd w:id="102"/>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10.1</w:t>
      </w:r>
      <w:r>
        <w:rPr>
          <w:rFonts w:hint="eastAsia" w:ascii="仿宋_GB2312" w:hAnsi="仿宋_GB2312" w:eastAsia="仿宋_GB2312" w:cs="仿宋_GB2312"/>
          <w:sz w:val="28"/>
          <w:szCs w:val="28"/>
        </w:rPr>
        <w:t xml:space="preserve">供应商编写的响应文件应包括资格证明文件、符合性证明文件、分项报价表、技术要求响应及偏离表、商务要求响应及偏离表、其他证明文件、磋商响应函等部分。</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10.2 如标书制作工具中格式和内容与“江苏政府采购网”发布的磋商文件不一致，请以“江苏政府采购网”发布的磋商文件为准。</w:t>
      </w:r>
      <w:r/>
    </w:p>
    <w:p>
      <w:pPr>
        <w:ind w:firstLine="42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03" w:name="_Hlt26668975"/>
      <w:r/>
      <w:bookmarkEnd w:id="103"/>
      <w:r/>
      <w:bookmarkStart w:id="104" w:name="_Hlt26670360"/>
      <w:r/>
      <w:bookmarkEnd w:id="104"/>
      <w:r/>
      <w:bookmarkStart w:id="105" w:name="_Hlt26954838"/>
      <w:r/>
      <w:bookmarkEnd w:id="105"/>
      <w:r/>
      <w:bookmarkStart w:id="106" w:name="_Toc14577357"/>
      <w:r/>
      <w:bookmarkStart w:id="107" w:name="_Toc49090509"/>
      <w:r/>
      <w:bookmarkStart w:id="108" w:name="_Toc513029219"/>
      <w:r/>
      <w:bookmarkStart w:id="109" w:name="_Toc49090507"/>
      <w:r/>
      <w:bookmarkStart w:id="110" w:name="_Toc14577354"/>
      <w:r/>
      <w:bookmarkStart w:id="111" w:name="_Toc513029216"/>
      <w:r/>
      <w:bookmarkStart w:id="112" w:name="_Toc49090508"/>
      <w:r/>
      <w:bookmarkStart w:id="113" w:name="_Toc14577355"/>
      <w:r>
        <w:rPr>
          <w:rFonts w:hint="eastAsia" w:ascii="仿宋_GB2312" w:hAnsi="仿宋_GB2312" w:eastAsia="仿宋_GB2312" w:cs="仿宋_GB2312"/>
          <w:sz w:val="28"/>
          <w:szCs w:val="28"/>
        </w:rPr>
        <w:t xml:space="preserve">11、证明磋商响应标的符合磋商文件规定的文件</w:t>
      </w:r>
      <w:bookmarkEnd w:id="106"/>
      <w:r/>
      <w:bookmarkEnd w:id="107"/>
      <w:r/>
      <w:bookmarkEnd w:id="108"/>
      <w:r/>
      <w:bookmarkEnd w:id="109"/>
      <w:r/>
      <w:bookmarkEnd w:id="110"/>
      <w:r/>
      <w:bookmarkEnd w:id="111"/>
      <w:r/>
      <w:r/>
    </w:p>
    <w:p>
      <w:pPr>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11.1供应商应按照磋商文件要求提交证明文件，证明其及磋商响应标的符合磋商文件规定。</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11.2磋商文件对证明文件无明确形式要求的，证明文件可以以文字资料、图纸和数据等形式提交。</w:t>
      </w:r>
      <w:bookmarkEnd w:id="112"/>
      <w:r/>
      <w:bookmarkEnd w:id="113"/>
      <w:r/>
      <w:r/>
    </w:p>
    <w:p>
      <w:pPr>
        <w:ind w:firstLine="420"/>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12、分项报价表</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12.1</w:t>
      </w:r>
      <w:r>
        <w:rPr>
          <w:rFonts w:hint="eastAsia" w:ascii="仿宋_GB2312" w:hAnsi="仿宋_GB2312" w:eastAsia="仿宋_GB2312" w:cs="仿宋_GB2312"/>
          <w:sz w:val="28"/>
          <w:szCs w:val="28"/>
        </w:rPr>
        <w:t xml:space="preserve">供应商应按照磋商文件规定格式填报分项报价表。</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12.2</w:t>
      </w:r>
      <w:r>
        <w:rPr>
          <w:rFonts w:hint="eastAsia" w:ascii="仿宋_GB2312" w:hAnsi="仿宋_GB2312" w:eastAsia="仿宋_GB2312" w:cs="仿宋_GB2312"/>
          <w:bCs/>
          <w:sz w:val="28"/>
          <w:szCs w:val="28"/>
        </w:rPr>
        <w:t xml:space="preserve">磋商货币。响应文件中的单价和总价无特殊规定的采用人民币报价，以元为单位标注。</w:t>
      </w:r>
      <w:r>
        <w:rPr>
          <w:rFonts w:hint="eastAsia" w:ascii="仿宋_GB2312" w:hAnsi="仿宋_GB2312" w:eastAsia="仿宋_GB2312" w:cs="仿宋_GB2312"/>
          <w:sz w:val="28"/>
          <w:szCs w:val="28"/>
        </w:rPr>
        <w:t xml:space="preserve">磋商文件中另有规定的按规定执行。</w:t>
      </w:r>
      <w:r/>
    </w:p>
    <w:p>
      <w:pPr>
        <w:ind w:firstLine="42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14" w:name="_Hlt26954846"/>
      <w:r/>
      <w:bookmarkEnd w:id="114"/>
      <w:r/>
      <w:bookmarkStart w:id="115" w:name="_Hlt26954731"/>
      <w:r/>
      <w:bookmarkEnd w:id="115"/>
      <w:r/>
      <w:bookmarkStart w:id="116" w:name="_Hlt26670482"/>
      <w:r/>
      <w:bookmarkEnd w:id="116"/>
      <w:r/>
      <w:bookmarkStart w:id="117" w:name="_Hlt26954848"/>
      <w:r/>
      <w:bookmarkEnd w:id="117"/>
      <w:r/>
      <w:bookmarkStart w:id="118" w:name="_Hlt26670486"/>
      <w:r/>
      <w:bookmarkEnd w:id="118"/>
      <w:r>
        <w:rPr>
          <w:rFonts w:hint="eastAsia" w:ascii="仿宋_GB2312" w:hAnsi="仿宋_GB2312" w:eastAsia="仿宋_GB2312" w:cs="仿宋_GB2312"/>
          <w:sz w:val="28"/>
          <w:szCs w:val="28"/>
        </w:rPr>
        <w:t xml:space="preserve">13、技术要求响应及偏离表、商务要求响应及偏离表</w:t>
      </w:r>
      <w:r/>
    </w:p>
    <w:p>
      <w:pPr>
        <w:ind w:firstLine="480"/>
        <w:pageBreakBefore w:val="0"/>
        <w:spacing w:line="520" w:lineRule="exact"/>
        <w:widowControl w:val="off"/>
        <w:rPr>
          <w:rFonts w:hint="eastAsia" w:ascii="仿宋_GB2312" w:hAnsi="仿宋_GB2312" w:eastAsia="仿宋_GB2312" w:cs="仿宋_GB2312"/>
          <w:sz w:val="28"/>
          <w:szCs w:val="28"/>
          <w:lang w:val="zh-CN"/>
        </w:rPr>
      </w:pPr>
      <w:r>
        <w:rPr>
          <w:rFonts w:hint="eastAsia" w:ascii="仿宋_GB2312" w:hAnsi="仿宋_GB2312" w:eastAsia="仿宋_GB2312" w:cs="仿宋_GB2312"/>
          <w:bCs/>
          <w:sz w:val="28"/>
          <w:szCs w:val="28"/>
          <w:lang w:val="zh-CN"/>
        </w:rPr>
        <w:t xml:space="preserve">13.1</w:t>
      </w:r>
      <w:r>
        <w:rPr>
          <w:rFonts w:hint="eastAsia" w:ascii="仿宋_GB2312" w:hAnsi="仿宋_GB2312" w:eastAsia="仿宋_GB2312" w:cs="仿宋_GB2312"/>
          <w:sz w:val="28"/>
          <w:szCs w:val="28"/>
          <w:lang w:val="zh-CN"/>
        </w:rPr>
        <w:t xml:space="preserve">供应商需对磋商文件中的技术要求与商务要求逐项作出响应或偏离，并说明原因。</w:t>
      </w:r>
      <w:r/>
    </w:p>
    <w:p>
      <w:pPr>
        <w:ind w:firstLine="480"/>
        <w:pageBreakBefore w:val="0"/>
        <w:spacing w:line="520" w:lineRule="exact"/>
        <w:widowControl w:val="off"/>
        <w:rPr>
          <w:rFonts w:hint="eastAsia"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 xml:space="preserve">13.2供应商可在响应文件中提供认为需要的其他技术文件或说明。</w:t>
      </w:r>
      <w:r/>
    </w:p>
    <w:p>
      <w:pPr>
        <w:ind w:firstLine="420"/>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14、服务承诺、培训计划、人员安排及其他</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14.1</w:t>
      </w:r>
      <w:r>
        <w:rPr>
          <w:rFonts w:hint="eastAsia" w:ascii="仿宋_GB2312" w:hAnsi="仿宋_GB2312" w:eastAsia="仿宋_GB2312" w:cs="仿宋_GB2312"/>
          <w:sz w:val="28"/>
          <w:szCs w:val="28"/>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14.2供应商需根据磋商文件要求提供培训计划。</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14.3供应商需根据磋商文件要求提供</w:t>
      </w:r>
      <w:r>
        <w:rPr>
          <w:rFonts w:hint="eastAsia" w:ascii="仿宋_GB2312" w:hAnsi="仿宋_GB2312" w:eastAsia="仿宋_GB2312" w:cs="仿宋_GB2312"/>
          <w:sz w:val="28"/>
          <w:szCs w:val="28"/>
          <w:lang w:val="zh-CN"/>
        </w:rPr>
        <w:t xml:space="preserve">磋商响应标的的主要组成部分、功能设计、实现思路及关键技术等。</w:t>
      </w:r>
      <w:r/>
    </w:p>
    <w:p>
      <w:pPr>
        <w:ind w:firstLine="42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19" w:name="_Toc14577359"/>
      <w:r/>
      <w:bookmarkStart w:id="120" w:name="_Toc49090510"/>
      <w:r>
        <w:rPr>
          <w:rFonts w:hint="eastAsia" w:ascii="仿宋_GB2312" w:hAnsi="仿宋_GB2312" w:eastAsia="仿宋_GB2312" w:cs="仿宋_GB2312"/>
          <w:sz w:val="28"/>
          <w:szCs w:val="28"/>
        </w:rPr>
        <w:t xml:space="preserve">15、磋商响应函</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15.1</w:t>
      </w:r>
      <w:r>
        <w:rPr>
          <w:rFonts w:hint="eastAsia" w:ascii="仿宋_GB2312" w:hAnsi="仿宋_GB2312" w:eastAsia="仿宋_GB2312" w:cs="仿宋_GB2312"/>
          <w:sz w:val="28"/>
          <w:szCs w:val="28"/>
        </w:rPr>
        <w:t xml:space="preserve">供应商应按照磋商文件中提供的格式完整、正确填写磋商响应函。</w:t>
      </w:r>
      <w:bookmarkEnd w:id="119"/>
      <w:r/>
      <w:bookmarkEnd w:id="120"/>
      <w:r/>
      <w:r/>
    </w:p>
    <w:p>
      <w:pPr>
        <w:ind w:firstLine="42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21" w:name="_Toc49090511"/>
      <w:r/>
      <w:bookmarkStart w:id="122" w:name="_Toc14577360"/>
      <w:r>
        <w:rPr>
          <w:rFonts w:hint="eastAsia" w:ascii="仿宋_GB2312" w:hAnsi="仿宋_GB2312" w:eastAsia="仿宋_GB2312" w:cs="仿宋_GB2312"/>
          <w:sz w:val="28"/>
          <w:szCs w:val="28"/>
        </w:rPr>
        <w:t xml:space="preserve">16、磋商有效期</w:t>
      </w:r>
      <w:bookmarkEnd w:id="121"/>
      <w:r/>
      <w:bookmarkEnd w:id="122"/>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16.1磋商有效期为</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规定的提交响应文件截止之日后</w:t>
      </w:r>
      <w:r>
        <w:rPr>
          <w:rFonts w:hint="eastAsia" w:ascii="仿宋_GB2312" w:hAnsi="仿宋_GB2312" w:eastAsia="仿宋_GB2312" w:cs="仿宋_GB2312"/>
          <w:b/>
          <w:sz w:val="28"/>
          <w:szCs w:val="28"/>
          <w:u w:val="single"/>
        </w:rPr>
        <w:t xml:space="preserve">六十（60）天</w:t>
      </w:r>
      <w:r>
        <w:rPr>
          <w:rFonts w:hint="eastAsia" w:ascii="仿宋_GB2312" w:hAnsi="仿宋_GB2312" w:eastAsia="仿宋_GB2312" w:cs="仿宋_GB2312"/>
          <w:bCs/>
          <w:sz w:val="28"/>
          <w:szCs w:val="28"/>
        </w:rPr>
        <w:t xml:space="preserve">。磋商有效期比规定短的将被视为非实质性响应磋商文件而予以拒绝。</w:t>
      </w:r>
      <w:r/>
    </w:p>
    <w:p>
      <w:pPr>
        <w:ind w:firstLine="420"/>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17、磋商有效期的延长</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17.1在特殊情况下，</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于原磋商有效期满之前，可向供应商提出延长磋商有效期的要求。这种要求与答复均应采用书面形式。供应商可以拒绝</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的这一要求而放弃磋商，同意延长磋商有效期的供应商既不能要求也不允许修改其响应文件。</w:t>
      </w:r>
      <w:r>
        <w:rPr>
          <w:rFonts w:hint="eastAsia" w:ascii="仿宋_GB2312" w:hAnsi="仿宋_GB2312" w:eastAsia="仿宋_GB2312" w:cs="仿宋_GB2312"/>
          <w:sz w:val="28"/>
          <w:szCs w:val="28"/>
        </w:rPr>
        <w:t xml:space="preserve">受磋商有效期约束的所有权利与义务均延长至新的有效期</w:t>
      </w:r>
      <w:r>
        <w:rPr>
          <w:rFonts w:hint="eastAsia" w:ascii="仿宋_GB2312" w:hAnsi="仿宋_GB2312" w:eastAsia="仿宋_GB2312" w:cs="仿宋_GB2312"/>
          <w:bCs/>
          <w:sz w:val="28"/>
          <w:szCs w:val="28"/>
        </w:rPr>
        <w:t xml:space="preserve">。</w:t>
      </w:r>
      <w:r/>
    </w:p>
    <w:p>
      <w:pPr>
        <w:ind w:firstLine="422"/>
        <w:keepLines/>
        <w:keepNext/>
        <w:pageBreakBefore w:val="0"/>
        <w:spacing w:line="520" w:lineRule="exact"/>
        <w:widowControl w:val="off"/>
        <w:rPr>
          <w:rFonts w:hint="eastAsia" w:ascii="仿宋_GB2312" w:hAnsi="仿宋_GB2312" w:eastAsia="仿宋_GB2312" w:cs="仿宋_GB2312"/>
          <w:b/>
          <w:bCs/>
          <w:sz w:val="28"/>
          <w:szCs w:val="28"/>
        </w:rPr>
        <w:outlineLvl w:val="2"/>
      </w:pPr>
      <w:r/>
      <w:bookmarkStart w:id="123" w:name="_Hlt26954739"/>
      <w:r/>
      <w:bookmarkEnd w:id="123"/>
      <w:r/>
      <w:bookmarkStart w:id="124" w:name="_Hlt26954852"/>
      <w:r/>
      <w:bookmarkEnd w:id="124"/>
      <w:r/>
      <w:bookmarkStart w:id="125" w:name="_Toc120614217"/>
      <w:r/>
      <w:bookmarkStart w:id="126" w:name="_Toc513029224"/>
      <w:r/>
      <w:bookmarkStart w:id="127" w:name="_Toc20823296"/>
      <w:r/>
      <w:bookmarkStart w:id="128" w:name="_Toc16938540"/>
      <w:r>
        <w:rPr>
          <w:rFonts w:hint="eastAsia" w:ascii="仿宋_GB2312" w:hAnsi="仿宋_GB2312" w:eastAsia="仿宋_GB2312" w:cs="仿宋_GB2312"/>
          <w:b/>
          <w:bCs/>
          <w:sz w:val="28"/>
          <w:szCs w:val="28"/>
        </w:rPr>
        <w:t xml:space="preserve">四、响应文件的递交</w:t>
      </w:r>
      <w:bookmarkEnd w:id="125"/>
      <w:r/>
      <w:bookmarkEnd w:id="126"/>
      <w:r/>
      <w:bookmarkEnd w:id="127"/>
      <w:r/>
      <w:bookmarkEnd w:id="128"/>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29" w:name="_Toc462564084"/>
      <w:r/>
      <w:bookmarkStart w:id="130" w:name="_Toc513029225"/>
      <w:r/>
      <w:bookmarkStart w:id="131" w:name="_Toc20823297"/>
      <w:r/>
      <w:bookmarkStart w:id="132" w:name="_Toc16938541"/>
      <w:r>
        <w:rPr>
          <w:rFonts w:hint="eastAsia" w:ascii="仿宋_GB2312" w:hAnsi="仿宋_GB2312" w:eastAsia="仿宋_GB2312" w:cs="仿宋_GB2312"/>
          <w:sz w:val="28"/>
          <w:szCs w:val="28"/>
        </w:rPr>
        <w:t xml:space="preserve">18、电子磋商</w:t>
      </w:r>
      <w:bookmarkEnd w:id="129"/>
      <w:r/>
      <w:bookmarkEnd w:id="130"/>
      <w:r/>
      <w:bookmarkEnd w:id="131"/>
      <w:r/>
      <w:bookmarkEnd w:id="132"/>
      <w:r>
        <w:rPr>
          <w:rFonts w:hint="eastAsia" w:ascii="仿宋_GB2312" w:hAnsi="仿宋_GB2312" w:eastAsia="仿宋_GB2312" w:cs="仿宋_GB2312"/>
          <w:sz w:val="28"/>
          <w:szCs w:val="28"/>
        </w:rPr>
        <w:t xml:space="preserve">响应文件的递交</w:t>
      </w:r>
      <w:r/>
    </w:p>
    <w:p>
      <w:pPr>
        <w:ind w:firstLine="70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18.1供应商应当按照《操作手册》规定，在提交响应文件截止时间前制作并上传电子响应文件。</w:t>
      </w:r>
      <w:bookmarkStart w:id="133" w:name="_Toc16938542"/>
      <w:r/>
      <w:bookmarkStart w:id="134" w:name="_Toc513029226"/>
      <w:r/>
      <w:bookmarkStart w:id="135" w:name="_Toc20823298"/>
      <w:r/>
      <w:r/>
    </w:p>
    <w:p>
      <w:pPr>
        <w:ind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19、提交响应文件截止时间</w:t>
      </w:r>
      <w:bookmarkEnd w:id="133"/>
      <w:r/>
      <w:bookmarkEnd w:id="134"/>
      <w:r/>
      <w:bookmarkEnd w:id="135"/>
      <w:r/>
      <w:r/>
    </w:p>
    <w:p>
      <w:pPr>
        <w:ind w:firstLine="560"/>
        <w:pageBreakBefore w:val="0"/>
        <w:spacing w:line="520" w:lineRule="exact"/>
        <w:widowControl w:val="off"/>
        <w:rPr>
          <w:rFonts w:hint="eastAsia" w:ascii="黑体" w:hAnsi="黑体" w:eastAsia="黑体" w:cs="黑体"/>
          <w:bCs/>
          <w:i/>
          <w:sz w:val="28"/>
          <w:szCs w:val="28"/>
          <w:u w:val="single"/>
        </w:rPr>
      </w:pPr>
      <w:r>
        <w:rPr>
          <w:rFonts w:hint="eastAsia" w:ascii="黑体" w:hAnsi="黑体" w:eastAsia="黑体" w:cs="黑体"/>
          <w:i/>
          <w:sz w:val="28"/>
          <w:szCs w:val="28"/>
          <w:u w:val="single"/>
        </w:rPr>
        <w:t xml:space="preserve">19.1</w:t>
      </w:r>
      <w:r>
        <w:rPr>
          <w:rFonts w:hint="eastAsia" w:ascii="黑体" w:hAnsi="黑体" w:eastAsia="黑体" w:cs="黑体"/>
          <w:bCs/>
          <w:i/>
          <w:sz w:val="28"/>
          <w:szCs w:val="28"/>
          <w:u w:val="single"/>
        </w:rPr>
        <w:t xml:space="preserve">供应商上传电子响应文件的时间不得迟于磋商公告中规定的提交响应文件截止时间。</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供应商应充分考虑到网络环境、网络带宽等风险因素，如因供应商自身原因造成的电子响应文件上传不成功的按照本磋商文件第二章第26.3.2条规定做无效响应处理。</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19.2</w:t>
      </w:r>
      <w:r>
        <w:rPr>
          <w:rFonts w:hint="eastAsia" w:ascii="仿宋_GB2312" w:hAnsi="仿宋_GB2312" w:eastAsia="仿宋_GB2312" w:cs="仿宋_GB2312"/>
          <w:bCs/>
          <w:sz w:val="28"/>
          <w:szCs w:val="28"/>
        </w:rPr>
        <w:t xml:space="preserve"> </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36" w:name="_Toc20823299"/>
      <w:r/>
      <w:bookmarkStart w:id="137" w:name="_Toc513029227"/>
      <w:r/>
      <w:bookmarkStart w:id="138" w:name="_Toc16938543"/>
      <w:r>
        <w:rPr>
          <w:rFonts w:hint="eastAsia" w:ascii="仿宋_GB2312" w:hAnsi="仿宋_GB2312" w:eastAsia="仿宋_GB2312" w:cs="仿宋_GB2312"/>
          <w:sz w:val="28"/>
          <w:szCs w:val="28"/>
        </w:rPr>
        <w:t xml:space="preserve">20、响应文件</w:t>
      </w:r>
      <w:bookmarkEnd w:id="136"/>
      <w:r/>
      <w:bookmarkEnd w:id="137"/>
      <w:r/>
      <w:bookmarkEnd w:id="138"/>
      <w:r>
        <w:rPr>
          <w:rFonts w:hint="eastAsia" w:ascii="仿宋_GB2312" w:hAnsi="仿宋_GB2312" w:eastAsia="仿宋_GB2312" w:cs="仿宋_GB2312"/>
          <w:sz w:val="28"/>
          <w:szCs w:val="28"/>
        </w:rPr>
        <w:t xml:space="preserve">的拒收</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20.1 </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拒绝接收在其规定的提交响应文件截止时间后上传的任何电子响应文件。</w:t>
      </w:r>
      <w:r/>
    </w:p>
    <w:p>
      <w:pPr>
        <w:ind w:firstLine="42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39" w:name="_Toc16938544"/>
      <w:r/>
      <w:bookmarkStart w:id="140" w:name="_Toc20823300"/>
      <w:r/>
      <w:bookmarkStart w:id="141" w:name="_Toc513029228"/>
      <w:r>
        <w:rPr>
          <w:rFonts w:hint="eastAsia" w:ascii="仿宋_GB2312" w:hAnsi="仿宋_GB2312" w:eastAsia="仿宋_GB2312" w:cs="仿宋_GB2312"/>
          <w:sz w:val="28"/>
          <w:szCs w:val="28"/>
        </w:rPr>
        <w:t xml:space="preserve">21、响应文件的撤回和修改</w:t>
      </w:r>
      <w:bookmarkEnd w:id="139"/>
      <w:r/>
      <w:bookmarkEnd w:id="140"/>
      <w:r/>
      <w:bookmarkEnd w:id="141"/>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21.1响应文件的撤回</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21.1.1 电子响应文件的撤回</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截止时间前，撤回其电子响应文件，具体操作方法见《操作手册》。</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21.1.2供应商撤回电子响应文件，则认为其不再参与本项目磋商活动。</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21.2响应文件的修改</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截止时间前，对其电子响应文件进行修改，具体操作方法见《操作手册》。</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21.3</w:t>
      </w:r>
      <w:r>
        <w:rPr>
          <w:rFonts w:hint="eastAsia" w:ascii="仿宋_GB2312" w:hAnsi="仿宋_GB2312" w:eastAsia="仿宋_GB2312" w:cs="仿宋_GB2312"/>
          <w:bCs/>
          <w:sz w:val="28"/>
          <w:szCs w:val="28"/>
        </w:rPr>
        <w:t xml:space="preserve"> 在提交响应文件截止时间之后，供应商不得对其电子响应文件作任何修改。</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21.4</w:t>
      </w:r>
      <w:r>
        <w:rPr>
          <w:rFonts w:hint="eastAsia" w:ascii="仿宋_GB2312" w:hAnsi="仿宋_GB2312" w:eastAsia="仿宋_GB2312" w:cs="仿宋_GB2312"/>
          <w:bCs/>
          <w:sz w:val="28"/>
          <w:szCs w:val="28"/>
        </w:rPr>
        <w:t xml:space="preserve"> 在提交响应文件截止时间至磋商文件中规定的磋商有效期满之间的这段时间内，供应商不得撤回其响应文件。</w:t>
      </w:r>
      <w:r/>
    </w:p>
    <w:p>
      <w:pPr>
        <w:ind w:firstLine="422"/>
        <w:keepLines/>
        <w:keepNext/>
        <w:pageBreakBefore w:val="0"/>
        <w:spacing w:line="520" w:lineRule="exact"/>
        <w:widowControl w:val="off"/>
        <w:rPr>
          <w:rFonts w:hint="eastAsia" w:ascii="仿宋_GB2312" w:hAnsi="仿宋_GB2312" w:eastAsia="仿宋_GB2312" w:cs="仿宋_GB2312"/>
          <w:b/>
          <w:bCs/>
          <w:color w:val="auto"/>
          <w:sz w:val="28"/>
          <w:szCs w:val="28"/>
        </w:rPr>
        <w:outlineLvl w:val="2"/>
      </w:pPr>
      <w:r/>
      <w:bookmarkStart w:id="142" w:name="_Toc120614218"/>
      <w:r/>
      <w:bookmarkStart w:id="143" w:name="_Toc513029229"/>
      <w:r/>
      <w:bookmarkStart w:id="144" w:name="_Toc16938545"/>
      <w:r/>
      <w:bookmarkStart w:id="145" w:name="_Toc20823301"/>
      <w:r>
        <w:rPr>
          <w:rFonts w:hint="eastAsia" w:ascii="仿宋_GB2312" w:hAnsi="仿宋_GB2312" w:eastAsia="仿宋_GB2312" w:cs="仿宋_GB2312"/>
          <w:b/>
          <w:bCs/>
          <w:sz w:val="28"/>
          <w:szCs w:val="28"/>
        </w:rPr>
        <w:t xml:space="preserve">五、响应文件</w:t>
      </w:r>
      <w:r>
        <w:rPr>
          <w:rFonts w:hint="eastAsia" w:ascii="仿宋_GB2312" w:hAnsi="仿宋_GB2312" w:eastAsia="仿宋_GB2312" w:cs="仿宋_GB2312"/>
          <w:b/>
          <w:bCs/>
          <w:color w:val="auto"/>
          <w:sz w:val="28"/>
          <w:szCs w:val="28"/>
        </w:rPr>
        <w:t xml:space="preserve">的解密与评审</w:t>
      </w:r>
      <w:bookmarkEnd w:id="142"/>
      <w:r/>
      <w:bookmarkEnd w:id="143"/>
      <w:r/>
      <w:bookmarkEnd w:id="144"/>
      <w:r/>
      <w:bookmarkEnd w:id="145"/>
      <w:r/>
      <w:r/>
    </w:p>
    <w:p>
      <w:pPr>
        <w:ind w:firstLine="420"/>
        <w:keepLines/>
        <w:keepNext/>
        <w:pageBreakBefore w:val="0"/>
        <w:spacing w:line="520" w:lineRule="exact"/>
        <w:widowControl w:val="off"/>
        <w:rPr>
          <w:rFonts w:hint="eastAsia" w:ascii="仿宋_GB2312" w:hAnsi="仿宋_GB2312" w:eastAsia="仿宋_GB2312" w:cs="仿宋_GB2312"/>
          <w:color w:val="auto"/>
          <w:sz w:val="28"/>
          <w:szCs w:val="28"/>
        </w:rPr>
        <w:outlineLvl w:val="3"/>
      </w:pPr>
      <w:r/>
      <w:bookmarkStart w:id="146" w:name="_Toc513029230"/>
      <w:r/>
      <w:bookmarkStart w:id="147" w:name="_Toc16938546"/>
      <w:r/>
      <w:bookmarkStart w:id="148" w:name="_Toc20823302"/>
      <w:r>
        <w:rPr>
          <w:rFonts w:hint="eastAsia" w:ascii="仿宋_GB2312" w:hAnsi="仿宋_GB2312" w:eastAsia="仿宋_GB2312" w:cs="仿宋_GB2312"/>
          <w:color w:val="auto"/>
          <w:sz w:val="28"/>
          <w:szCs w:val="28"/>
        </w:rPr>
        <w:t xml:space="preserve">22、</w:t>
      </w:r>
      <w:bookmarkEnd w:id="146"/>
      <w:r/>
      <w:bookmarkEnd w:id="147"/>
      <w:r/>
      <w:bookmarkEnd w:id="148"/>
      <w:r>
        <w:rPr>
          <w:rFonts w:hint="eastAsia" w:ascii="仿宋_GB2312" w:hAnsi="仿宋_GB2312" w:eastAsia="仿宋_GB2312" w:cs="仿宋_GB2312"/>
          <w:color w:val="auto"/>
          <w:sz w:val="28"/>
          <w:szCs w:val="28"/>
        </w:rPr>
        <w:t xml:space="preserve">响应文件解密</w:t>
      </w:r>
      <w:r/>
    </w:p>
    <w:p>
      <w:pPr>
        <w:ind w:firstLine="420"/>
        <w:pageBreakBefore w:val="0"/>
        <w:spacing w:line="52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22.1供应商应当按照《操作手册》规定，在苏采云系统规定的时间内对磋商响应文件进行解密。</w:t>
      </w:r>
      <w:r/>
    </w:p>
    <w:p>
      <w:pPr>
        <w:ind w:firstLine="420"/>
        <w:keepLines/>
        <w:keepNext/>
        <w:pageBreakBefore w:val="0"/>
        <w:spacing w:line="520" w:lineRule="exact"/>
        <w:widowControl w:val="off"/>
        <w:rPr>
          <w:rFonts w:hint="eastAsia" w:ascii="仿宋_GB2312" w:hAnsi="仿宋_GB2312" w:eastAsia="仿宋_GB2312" w:cs="仿宋_GB2312"/>
          <w:color w:val="auto"/>
          <w:sz w:val="28"/>
          <w:szCs w:val="28"/>
        </w:rPr>
        <w:outlineLvl w:val="3"/>
      </w:pPr>
      <w:r/>
      <w:bookmarkStart w:id="149" w:name="_Toc513029231"/>
      <w:r/>
      <w:bookmarkStart w:id="150" w:name="_Toc16938547"/>
      <w:r/>
      <w:bookmarkStart w:id="151" w:name="_Toc20823303"/>
      <w:r>
        <w:rPr>
          <w:rFonts w:hint="eastAsia" w:ascii="仿宋_GB2312" w:hAnsi="仿宋_GB2312" w:eastAsia="仿宋_GB2312" w:cs="仿宋_GB2312"/>
          <w:color w:val="auto"/>
          <w:sz w:val="28"/>
          <w:szCs w:val="28"/>
        </w:rPr>
        <w:t xml:space="preserve">23、磋商小组</w:t>
      </w:r>
      <w:r/>
    </w:p>
    <w:p>
      <w:pPr>
        <w:pageBreakBefore w:val="0"/>
        <w:spacing w:line="520" w:lineRule="exact"/>
        <w:widowControl w:val="off"/>
        <w:rPr>
          <w:rFonts w:hint="eastAsia"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 xml:space="preserve">  </w:t>
      </w:r>
      <w:r>
        <w:rPr>
          <w:rFonts w:hint="eastAsia" w:ascii="仿宋_GB2312" w:hAnsi="仿宋_GB2312" w:eastAsia="仿宋_GB2312" w:cs="仿宋_GB2312"/>
          <w:color w:val="auto"/>
          <w:sz w:val="28"/>
          <w:szCs w:val="28"/>
        </w:rPr>
        <w:t xml:space="preserve"> 23.1</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将组织磋商小组对响应文件进行评审。磋商小组由采购人代表和有关技术、经济等方面的专家组成，且人员构成符合政府采购有关规定。</w:t>
      </w:r>
      <w:r/>
    </w:p>
    <w:p>
      <w:pPr>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 xml:space="preserve">  </w:t>
      </w:r>
      <w:r>
        <w:rPr>
          <w:rFonts w:hint="eastAsia" w:ascii="仿宋_GB2312" w:hAnsi="仿宋_GB2312" w:eastAsia="仿宋_GB2312" w:cs="仿宋_GB2312"/>
          <w:sz w:val="28"/>
          <w:szCs w:val="28"/>
        </w:rPr>
        <w:t xml:space="preserve"> 23.2磋商小组独立工作，负责评审所有响应文件并确定成交侯选人。</w:t>
      </w:r>
      <w:r/>
    </w:p>
    <w:p>
      <w:pPr>
        <w:ind w:firstLine="420"/>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24、评审过程的保密与公正</w:t>
      </w:r>
      <w:bookmarkEnd w:id="149"/>
      <w:r/>
      <w:bookmarkEnd w:id="150"/>
      <w:r/>
      <w:bookmarkEnd w:id="151"/>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24.1</w:t>
      </w:r>
      <w:r>
        <w:rPr>
          <w:rFonts w:hint="eastAsia" w:ascii="仿宋_GB2312" w:hAnsi="仿宋_GB2312" w:eastAsia="仿宋_GB2312" w:cs="仿宋_GB2312"/>
          <w:bCs/>
          <w:sz w:val="28"/>
          <w:szCs w:val="28"/>
        </w:rPr>
        <w:t xml:space="preserve">磋商小组、采购人和</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工作人员、相关监督人员等与评审工作有关的人员，对评审情况以及在评审过程中获悉的国家秘密、商业秘密负有保密责任。</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24.2在评审过程中，供应商不得以任何行为影响磋商评审过程，否则其响应文件将被作为无效响应文件。</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24.3在项目评审期间，</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将设专门人员与供应商联系。</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24.4 </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和磋商小组不向未成交的供应商解释未成交原因，也不公布评审过程中的相关细节。</w:t>
      </w:r>
      <w:r/>
    </w:p>
    <w:p>
      <w:pPr>
        <w:ind w:firstLine="42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52" w:name="_Toc513029232"/>
      <w:r/>
      <w:bookmarkStart w:id="153" w:name="_Toc20823304"/>
      <w:r/>
      <w:bookmarkStart w:id="154" w:name="_Toc16938548"/>
      <w:r>
        <w:rPr>
          <w:rFonts w:hint="eastAsia" w:ascii="仿宋_GB2312" w:hAnsi="仿宋_GB2312" w:eastAsia="仿宋_GB2312" w:cs="仿宋_GB2312"/>
          <w:sz w:val="28"/>
          <w:szCs w:val="28"/>
        </w:rPr>
        <w:t xml:space="preserve">25、评审过程中的的澄清</w:t>
      </w:r>
      <w:bookmarkEnd w:id="152"/>
      <w:r/>
      <w:bookmarkEnd w:id="153"/>
      <w:r/>
      <w:bookmarkEnd w:id="154"/>
      <w:r/>
      <w:r/>
    </w:p>
    <w:p>
      <w:pPr>
        <w:ind w:firstLine="560"/>
        <w:pageBreakBefore w:val="0"/>
        <w:spacing w:line="52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25.1项目评审期间，磋商小组有权要求供应商对响应文件中含义不明确、同类问题表述不一致或者有明显文字和计算错误的内容等作出必要的澄清、说明或者更正。供应商的澄清</w:t>
      </w:r>
      <w:r>
        <w:rPr>
          <w:rFonts w:hint="eastAsia" w:ascii="仿宋_GB2312" w:hAnsi="仿宋_GB2312" w:eastAsia="仿宋_GB2312" w:cs="仿宋_GB2312"/>
          <w:color w:val="auto"/>
          <w:sz w:val="28"/>
          <w:szCs w:val="28"/>
        </w:rPr>
        <w:t xml:space="preserve">、说明或者更正不得超出响应文件的范围或者改变响应文件的实质性内容。</w:t>
      </w:r>
      <w:r/>
    </w:p>
    <w:p>
      <w:pPr>
        <w:ind w:firstLine="560"/>
        <w:pageBreakBefore w:val="0"/>
        <w:spacing w:line="52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磋商小组并非对每个供应商都作澄清要求。</w:t>
      </w:r>
      <w:r/>
    </w:p>
    <w:p>
      <w:pPr>
        <w:pageBreakBefore w:val="0"/>
        <w:spacing w:line="52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ageBreakBefore w:val="0"/>
        <w:spacing w:line="52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25.3 接到磋商小组澄清、说明和更正要求的供应商如未按规定做出澄清、说明和 更正，其风险由供应商自行承担。</w:t>
      </w:r>
      <w:r/>
    </w:p>
    <w:p>
      <w:pPr>
        <w:ind w:firstLine="420"/>
        <w:keepLines/>
        <w:keepNext/>
        <w:pageBreakBefore w:val="0"/>
        <w:spacing w:line="520" w:lineRule="exact"/>
        <w:widowControl w:val="off"/>
        <w:rPr>
          <w:rFonts w:hint="eastAsia" w:ascii="仿宋_GB2312" w:hAnsi="仿宋_GB2312" w:eastAsia="仿宋_GB2312" w:cs="仿宋_GB2312"/>
          <w:color w:val="auto"/>
          <w:sz w:val="28"/>
          <w:szCs w:val="28"/>
        </w:rPr>
        <w:outlineLvl w:val="3"/>
      </w:pPr>
      <w:r/>
      <w:bookmarkStart w:id="155" w:name="_Toc16938549"/>
      <w:r/>
      <w:bookmarkStart w:id="156" w:name="_Toc513029233"/>
      <w:r/>
      <w:bookmarkStart w:id="157" w:name="_Toc20823305"/>
      <w:r>
        <w:rPr>
          <w:rFonts w:hint="eastAsia" w:ascii="仿宋_GB2312" w:hAnsi="仿宋_GB2312" w:eastAsia="仿宋_GB2312" w:cs="仿宋_GB2312"/>
          <w:color w:val="auto"/>
          <w:sz w:val="28"/>
          <w:szCs w:val="28"/>
        </w:rPr>
        <w:t xml:space="preserve">26、对响应文件的审</w:t>
      </w:r>
      <w:bookmarkEnd w:id="155"/>
      <w:r/>
      <w:bookmarkEnd w:id="156"/>
      <w:r/>
      <w:bookmarkEnd w:id="157"/>
      <w:r>
        <w:rPr>
          <w:rFonts w:hint="eastAsia" w:ascii="仿宋_GB2312" w:hAnsi="仿宋_GB2312" w:eastAsia="仿宋_GB2312" w:cs="仿宋_GB2312"/>
          <w:color w:val="auto"/>
          <w:sz w:val="28"/>
          <w:szCs w:val="28"/>
        </w:rPr>
        <w:t xml:space="preserve">查</w:t>
      </w:r>
      <w:r/>
    </w:p>
    <w:p>
      <w:pPr>
        <w:ind w:firstLine="560"/>
        <w:pageBreakBefore w:val="0"/>
        <w:spacing w:line="52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color w:val="auto"/>
          <w:sz w:val="28"/>
          <w:szCs w:val="28"/>
        </w:rPr>
        <w:t xml:space="preserve">26.1</w:t>
      </w:r>
      <w:r>
        <w:rPr>
          <w:rFonts w:hint="eastAsia" w:ascii="仿宋_GB2312" w:hAnsi="仿宋_GB2312" w:eastAsia="仿宋_GB2312" w:cs="仿宋_GB2312"/>
          <w:bCs/>
          <w:color w:val="auto"/>
          <w:sz w:val="28"/>
          <w:szCs w:val="28"/>
        </w:rPr>
        <w:t xml:space="preserve">响应文件审查分为资格审查和符合性审查。</w:t>
      </w:r>
      <w:r/>
    </w:p>
    <w:p>
      <w:pPr>
        <w:ind w:firstLine="560"/>
        <w:pageBreakBefore w:val="0"/>
        <w:spacing w:line="52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26.1.1 资格审查：由磋商小组依据法律法规和磋商文件的规定，对响应文件中的资格证明文件进行审查，以确定供应商是否具备参加磋商的资格。</w:t>
      </w:r>
      <w:r/>
    </w:p>
    <w:p>
      <w:pPr>
        <w:ind w:firstLine="560"/>
        <w:pageBreakBefore w:val="0"/>
        <w:spacing w:line="52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磋商小组在进行资格审查的同时，将在“信用中国”网站（www.creditchina.gov.cn）查询供应商的信用记录，以确定供应商是否具备磋商资格,查询结果留存并归档。</w:t>
      </w:r>
      <w:r/>
    </w:p>
    <w:p>
      <w:pPr>
        <w:ind w:firstLine="560"/>
        <w:pageBreakBefore w:val="0"/>
        <w:spacing w:line="52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52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pageBreakBefore w:val="0"/>
        <w:spacing w:line="52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26.1.3 未通过资格审查或符合性审查的供应商，磋商小组将在</w:t>
      </w:r>
      <w:r>
        <w:rPr>
          <w:rFonts w:hint="eastAsia" w:ascii="仿宋_GB2312" w:hAnsi="仿宋_GB2312" w:eastAsia="仿宋_GB2312" w:cs="仿宋_GB2312"/>
          <w:color w:val="auto"/>
          <w:sz w:val="28"/>
          <w:szCs w:val="28"/>
        </w:rPr>
        <w:t xml:space="preserve">苏采云系统</w:t>
      </w:r>
      <w:r>
        <w:rPr>
          <w:rFonts w:hint="eastAsia" w:ascii="仿宋_GB2312" w:hAnsi="仿宋_GB2312" w:eastAsia="仿宋_GB2312" w:cs="仿宋_GB2312"/>
          <w:bCs/>
          <w:color w:val="auto"/>
          <w:sz w:val="28"/>
          <w:szCs w:val="28"/>
        </w:rPr>
        <w:t xml:space="preserve">中告知未通过资格审查或符合性审查的原因，评审结束后，磋商小组将不再告知未通过资格审查或符合性审查的原因。</w:t>
      </w:r>
      <w:r/>
    </w:p>
    <w:p>
      <w:pPr>
        <w:ind w:firstLine="560"/>
        <w:pageBreakBefore w:val="0"/>
        <w:spacing w:line="52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pageBreakBefore w:val="0"/>
        <w:spacing w:line="52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所谓重大偏离或保留是指与磋商文件规定的实质性要求存在负偏离，或者在实质上与磋商文件不一致，而且限制了合同中买方和</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pageBreakBefore w:val="0"/>
        <w:spacing w:line="52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26.3未实质性响应磋商文件的情形</w:t>
      </w:r>
      <w:r/>
    </w:p>
    <w:p>
      <w:pPr>
        <w:ind w:firstLine="560"/>
        <w:pageBreakBefore w:val="0"/>
        <w:spacing w:line="52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26.3.1供应商在</w:t>
      </w:r>
      <w:r>
        <w:rPr>
          <w:rFonts w:hint="eastAsia" w:ascii="仿宋_GB2312" w:hAnsi="仿宋_GB2312" w:eastAsia="仿宋_GB2312" w:cs="仿宋_GB2312"/>
          <w:color w:val="auto"/>
          <w:sz w:val="28"/>
          <w:szCs w:val="28"/>
        </w:rPr>
        <w:t xml:space="preserve">苏采云系统</w:t>
      </w:r>
      <w:r>
        <w:rPr>
          <w:rFonts w:hint="eastAsia" w:ascii="仿宋_GB2312" w:hAnsi="仿宋_GB2312" w:eastAsia="仿宋_GB2312" w:cs="仿宋_GB2312"/>
          <w:bCs/>
          <w:color w:val="auto"/>
          <w:sz w:val="28"/>
          <w:szCs w:val="28"/>
        </w:rPr>
        <w:t xml:space="preserve">规定的时间内未成功解密电子响应文件的。</w:t>
      </w:r>
      <w:r/>
    </w:p>
    <w:p>
      <w:pPr>
        <w:ind w:firstLine="560"/>
        <w:pageBreakBefore w:val="0"/>
        <w:spacing w:line="52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26.3.2供应商未按照磋商文件要求上传电子响应文件的。</w:t>
      </w:r>
      <w:r/>
    </w:p>
    <w:p>
      <w:pPr>
        <w:ind w:firstLine="560"/>
        <w:pageBreakBefore w:val="0"/>
        <w:spacing w:line="52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26.3.3同一供应商提交两个（含两个）以上不同的响应文件或者最后报价的。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26.3.4供应商不具备磋商文件中规定资格要求的。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26.3.5供应商的最后报价超过了采购预算。</w:t>
      </w:r>
      <w:r/>
    </w:p>
    <w:p>
      <w:pPr>
        <w:ind w:firstLine="560"/>
        <w:pageBreakBefore w:val="0"/>
        <w:spacing w:line="520" w:lineRule="exact"/>
        <w:widowControl w:val="off"/>
        <w:rPr>
          <w:rFonts w:hint="eastAsia" w:ascii="黑体" w:hAnsi="黑体" w:eastAsia="黑体" w:cs="黑体"/>
          <w:bCs/>
          <w:sz w:val="28"/>
          <w:szCs w:val="28"/>
        </w:rPr>
      </w:pPr>
      <w:r>
        <w:rPr>
          <w:rFonts w:hint="eastAsia" w:ascii="仿宋_GB2312" w:hAnsi="仿宋_GB2312" w:eastAsia="仿宋_GB2312" w:cs="仿宋_GB2312"/>
          <w:bCs/>
          <w:sz w:val="28"/>
          <w:szCs w:val="28"/>
        </w:rPr>
        <w:t xml:space="preserve">26.3.6不符合磋商文件中规定的实质性要求和条件的</w:t>
      </w:r>
      <w:r>
        <w:rPr>
          <w:rFonts w:hint="eastAsia" w:ascii="黑体" w:hAnsi="黑体" w:eastAsia="黑体" w:cs="黑体"/>
          <w:bCs/>
          <w:i/>
          <w:sz w:val="28"/>
          <w:szCs w:val="28"/>
          <w:u w:val="single"/>
        </w:rPr>
        <w:t xml:space="preserve">（本磋商文件中斜体且有下划线部分为实质性要求和条件）</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26.3.8  响应文件含有采购人不能接受的附加条件的。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26.3.10响应文件未按照磋商文件要求加盖CA电子公章的。</w:t>
      </w:r>
      <w:r/>
    </w:p>
    <w:p>
      <w:pPr>
        <w:ind w:firstLine="560"/>
        <w:pageBreakBefore w:val="0"/>
        <w:spacing w:line="52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sz w:val="28"/>
          <w:szCs w:val="28"/>
        </w:rPr>
        <w:t xml:space="preserve">26.4未实质性响应磋商文件的响应</w:t>
      </w:r>
      <w:r>
        <w:rPr>
          <w:rFonts w:hint="eastAsia" w:ascii="仿宋_GB2312" w:hAnsi="仿宋_GB2312" w:eastAsia="仿宋_GB2312" w:cs="仿宋_GB2312"/>
          <w:bCs/>
          <w:color w:val="auto"/>
          <w:sz w:val="28"/>
          <w:szCs w:val="28"/>
        </w:rPr>
        <w:t xml:space="preserve">文件按无效响应处理。</w:t>
      </w:r>
      <w:r/>
    </w:p>
    <w:p>
      <w:pPr>
        <w:ind w:firstLine="560"/>
        <w:pageBreakBefore w:val="0"/>
        <w:spacing w:line="52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color w:val="auto"/>
          <w:sz w:val="28"/>
          <w:szCs w:val="28"/>
        </w:rPr>
        <w:t xml:space="preserve">26.5</w:t>
      </w:r>
      <w:r>
        <w:rPr>
          <w:rFonts w:hint="eastAsia" w:ascii="仿宋_GB2312" w:hAnsi="仿宋_GB2312" w:eastAsia="仿宋_GB2312" w:cs="仿宋_GB2312"/>
          <w:bCs/>
          <w:color w:val="auto"/>
          <w:sz w:val="28"/>
          <w:szCs w:val="28"/>
        </w:rPr>
        <w:t xml:space="preserve">如果响应文件实质上没有响应磋商文件的要求，磋商小组将予以拒绝，供应商不得通过修改或撤销不合要求的偏离或保留而使其成为实质性响应的文件。</w:t>
      </w:r>
      <w:r/>
    </w:p>
    <w:p>
      <w:pPr>
        <w:ind w:firstLine="560"/>
        <w:pageBreakBefore w:val="0"/>
        <w:spacing w:line="520" w:lineRule="exact"/>
        <w:widowControl w:val="off"/>
        <w:rPr>
          <w:rFonts w:hint="eastAsia" w:ascii="仿宋_GB2312" w:hAnsi="仿宋_GB2312" w:eastAsia="仿宋_GB2312" w:cs="仿宋_GB2312"/>
          <w:color w:val="auto"/>
          <w:sz w:val="28"/>
          <w:szCs w:val="28"/>
        </w:rPr>
      </w:pPr>
      <w:r/>
      <w:bookmarkStart w:id="158" w:name="_Toc513029234"/>
      <w:r/>
      <w:bookmarkStart w:id="159" w:name="_Toc20823306"/>
      <w:r/>
      <w:bookmarkStart w:id="160" w:name="_Toc16938550"/>
      <w:r>
        <w:rPr>
          <w:rFonts w:hint="eastAsia" w:ascii="仿宋_GB2312" w:hAnsi="仿宋_GB2312" w:eastAsia="仿宋_GB2312" w:cs="仿宋_GB2312"/>
          <w:color w:val="auto"/>
          <w:sz w:val="28"/>
          <w:szCs w:val="28"/>
        </w:rPr>
        <w:t xml:space="preserve">26.6供应商在项目评审全过程中应保持通讯畅通，并安排专人与</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及磋商小组联系。</w:t>
      </w:r>
      <w:r/>
    </w:p>
    <w:p>
      <w:pPr>
        <w:ind w:firstLine="420"/>
        <w:keepLines/>
        <w:keepNext/>
        <w:pageBreakBefore w:val="0"/>
        <w:spacing w:line="520" w:lineRule="exact"/>
        <w:widowControl w:val="off"/>
        <w:rPr>
          <w:rFonts w:hint="eastAsia" w:ascii="仿宋_GB2312" w:hAnsi="仿宋_GB2312" w:eastAsia="仿宋_GB2312" w:cs="仿宋_GB2312"/>
          <w:color w:val="auto"/>
          <w:sz w:val="28"/>
          <w:szCs w:val="28"/>
        </w:rPr>
        <w:outlineLvl w:val="3"/>
      </w:pPr>
      <w:r>
        <w:rPr>
          <w:rFonts w:hint="eastAsia" w:ascii="仿宋_GB2312" w:hAnsi="仿宋_GB2312" w:eastAsia="仿宋_GB2312" w:cs="仿宋_GB2312"/>
          <w:color w:val="auto"/>
          <w:sz w:val="28"/>
          <w:szCs w:val="28"/>
        </w:rPr>
        <w:t xml:space="preserve">27、</w:t>
      </w:r>
      <w:bookmarkEnd w:id="158"/>
      <w:r/>
      <w:bookmarkEnd w:id="159"/>
      <w:r/>
      <w:bookmarkEnd w:id="160"/>
      <w:r>
        <w:rPr>
          <w:rFonts w:hint="eastAsia" w:ascii="仿宋_GB2312" w:hAnsi="仿宋_GB2312" w:eastAsia="仿宋_GB2312" w:cs="仿宋_GB2312"/>
          <w:color w:val="auto"/>
          <w:sz w:val="28"/>
          <w:szCs w:val="28"/>
        </w:rPr>
        <w:t xml:space="preserve">磋商程序及评审方法和评审标准</w:t>
      </w:r>
      <w:r/>
    </w:p>
    <w:p>
      <w:pPr>
        <w:ind w:firstLine="557"/>
        <w:pageBreakBefore w:val="0"/>
        <w:spacing w:line="52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27.1磋商程序</w:t>
      </w:r>
      <w:r/>
    </w:p>
    <w:p>
      <w:pPr>
        <w:ind w:firstLine="557"/>
        <w:pageBreakBefore w:val="0"/>
        <w:spacing w:line="52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57"/>
        <w:pageBreakBefore w:val="0"/>
        <w:spacing w:line="52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57"/>
        <w:pageBreakBefore w:val="0"/>
        <w:spacing w:line="52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57"/>
        <w:pageBreakBefore w:val="0"/>
        <w:spacing w:line="52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pageBreakBefore w:val="0"/>
        <w:spacing w:line="52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57"/>
        <w:pageBreakBefore w:val="0"/>
        <w:spacing w:line="52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57"/>
        <w:pageBreakBefore w:val="0"/>
        <w:spacing w:line="52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 评审方法和评审标准</w:t>
      </w:r>
      <w:r/>
    </w:p>
    <w:p>
      <w:pPr>
        <w:ind w:firstLine="557"/>
        <w:pageBreakBefore w:val="0"/>
        <w:spacing w:line="52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57"/>
        <w:pageBreakBefore w:val="0"/>
        <w:spacing w:line="52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57"/>
        <w:pageBreakBefore w:val="0"/>
        <w:spacing w:line="52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27.2.2评审标准</w:t>
      </w:r>
      <w:r/>
    </w:p>
    <w:p>
      <w:pPr>
        <w:ind w:firstLine="557"/>
        <w:pageBreakBefore w:val="0"/>
        <w:spacing w:line="52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见本磋商文件第五章规定。</w:t>
      </w:r>
      <w:r/>
    </w:p>
    <w:p>
      <w:pPr>
        <w:ind w:firstLine="557"/>
        <w:pageBreakBefore w:val="0"/>
        <w:spacing w:line="52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27.3采购活动终止的情况</w:t>
      </w:r>
      <w:r/>
    </w:p>
    <w:p>
      <w:pPr>
        <w:ind w:firstLine="420"/>
        <w:pageBreakBefore w:val="0"/>
        <w:spacing w:line="52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出现下列情形之一的，本次竞争性磋商采购活动将被终止：</w:t>
      </w:r>
      <w:r/>
    </w:p>
    <w:p>
      <w:pPr>
        <w:ind w:firstLine="420"/>
        <w:pageBreakBefore w:val="0"/>
        <w:spacing w:line="52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27.3.1因情况变化，不再符合规定的竞争性磋商采购方式适用情形的。</w:t>
      </w:r>
      <w:r/>
    </w:p>
    <w:p>
      <w:pPr>
        <w:ind w:firstLine="420"/>
        <w:pageBreakBefore w:val="0"/>
        <w:spacing w:line="52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27.3.2出现影响采购公正的违法、违规行为的。</w:t>
      </w:r>
      <w:r/>
    </w:p>
    <w:p>
      <w:pPr>
        <w:ind w:firstLine="420"/>
        <w:pageBreakBefore w:val="0"/>
        <w:spacing w:line="52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27.3.3除本磋商文件第二章第27.1.2条第三款规定的情形外，在采购过程中符合要求的供应商或者最后报价未超过采购预算的供应商不足3家的。</w:t>
      </w:r>
      <w:r/>
    </w:p>
    <w:p>
      <w:pPr>
        <w:ind w:firstLine="420"/>
        <w:pageBreakBefore w:val="0"/>
        <w:spacing w:line="52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27.3.4在苏采云系统规定时间内成功解密电子响应文件的供应商不足3家的。</w:t>
      </w:r>
      <w:r/>
    </w:p>
    <w:p>
      <w:pPr>
        <w:ind w:firstLine="422"/>
        <w:keepLines/>
        <w:keepNext/>
        <w:pageBreakBefore w:val="0"/>
        <w:spacing w:line="520" w:lineRule="exact"/>
        <w:widowControl w:val="off"/>
        <w:rPr>
          <w:rFonts w:hint="eastAsia" w:ascii="仿宋_GB2312" w:hAnsi="仿宋_GB2312" w:eastAsia="仿宋_GB2312" w:cs="仿宋_GB2312"/>
          <w:b/>
          <w:bCs/>
          <w:color w:val="auto"/>
          <w:sz w:val="28"/>
          <w:szCs w:val="28"/>
        </w:rPr>
        <w:outlineLvl w:val="2"/>
      </w:pPr>
      <w:r/>
      <w:bookmarkStart w:id="161" w:name="_Toc16938551"/>
      <w:r/>
      <w:bookmarkStart w:id="162" w:name="_Toc513029235"/>
      <w:r/>
      <w:bookmarkStart w:id="163" w:name="_Toc20823307"/>
      <w:r/>
      <w:bookmarkStart w:id="164" w:name="_Toc120614219"/>
      <w:r>
        <w:rPr>
          <w:rFonts w:hint="eastAsia" w:ascii="仿宋_GB2312" w:hAnsi="仿宋_GB2312" w:eastAsia="仿宋_GB2312" w:cs="仿宋_GB2312"/>
          <w:b/>
          <w:bCs/>
          <w:color w:val="auto"/>
          <w:sz w:val="28"/>
          <w:szCs w:val="28"/>
        </w:rPr>
        <w:t xml:space="preserve">六、</w:t>
      </w:r>
      <w:bookmarkEnd w:id="161"/>
      <w:r/>
      <w:bookmarkEnd w:id="162"/>
      <w:r/>
      <w:bookmarkEnd w:id="163"/>
      <w:r/>
      <w:bookmarkEnd w:id="164"/>
      <w:r>
        <w:rPr>
          <w:rFonts w:hint="eastAsia" w:ascii="仿宋_GB2312" w:hAnsi="仿宋_GB2312" w:eastAsia="仿宋_GB2312" w:cs="仿宋_GB2312"/>
          <w:b/>
          <w:bCs/>
          <w:color w:val="auto"/>
          <w:sz w:val="28"/>
          <w:szCs w:val="28"/>
        </w:rPr>
        <w:t xml:space="preserve">成交</w:t>
      </w:r>
      <w:r/>
    </w:p>
    <w:p>
      <w:pPr>
        <w:ind w:firstLine="560"/>
        <w:keepLines/>
        <w:keepNext/>
        <w:pageBreakBefore w:val="0"/>
        <w:spacing w:line="520" w:lineRule="exact"/>
        <w:widowControl w:val="off"/>
        <w:rPr>
          <w:rFonts w:hint="eastAsia" w:ascii="仿宋_GB2312" w:hAnsi="仿宋_GB2312" w:eastAsia="仿宋_GB2312" w:cs="仿宋_GB2312"/>
          <w:bCs/>
          <w:color w:val="auto"/>
          <w:sz w:val="28"/>
          <w:szCs w:val="28"/>
        </w:rPr>
        <w:outlineLvl w:val="3"/>
      </w:pPr>
      <w:r/>
      <w:bookmarkStart w:id="165" w:name="_Toc513029238"/>
      <w:r/>
      <w:bookmarkStart w:id="166" w:name="_Toc16938554"/>
      <w:r/>
      <w:bookmarkStart w:id="167" w:name="_Toc20823310"/>
      <w:r>
        <w:rPr>
          <w:rFonts w:hint="eastAsia" w:ascii="仿宋_GB2312" w:hAnsi="仿宋_GB2312" w:eastAsia="仿宋_GB2312" w:cs="仿宋_GB2312"/>
          <w:bCs/>
          <w:color w:val="auto"/>
          <w:sz w:val="28"/>
          <w:szCs w:val="28"/>
        </w:rPr>
        <w:t xml:space="preserve">28、</w:t>
      </w:r>
      <w:bookmarkEnd w:id="165"/>
      <w:r>
        <w:rPr>
          <w:rFonts w:hint="eastAsia" w:ascii="仿宋_GB2312" w:hAnsi="仿宋_GB2312" w:eastAsia="仿宋_GB2312" w:cs="仿宋_GB2312"/>
          <w:bCs/>
          <w:color w:val="auto"/>
          <w:sz w:val="28"/>
          <w:szCs w:val="28"/>
        </w:rPr>
        <w:t xml:space="preserve">确定</w:t>
      </w:r>
      <w:bookmarkEnd w:id="166"/>
      <w:r/>
      <w:bookmarkEnd w:id="167"/>
      <w:r>
        <w:rPr>
          <w:rFonts w:hint="eastAsia" w:ascii="仿宋_GB2312" w:hAnsi="仿宋_GB2312" w:eastAsia="仿宋_GB2312" w:cs="仿宋_GB2312"/>
          <w:bCs/>
          <w:color w:val="auto"/>
          <w:sz w:val="28"/>
          <w:szCs w:val="28"/>
        </w:rPr>
        <w:t xml:space="preserve">成交单位</w:t>
      </w:r>
      <w:r/>
    </w:p>
    <w:p>
      <w:pPr>
        <w:ind w:firstLine="557"/>
        <w:pageBreakBefore w:val="0"/>
        <w:spacing w:line="52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bCs/>
          <w:color w:val="auto"/>
          <w:sz w:val="28"/>
          <w:szCs w:val="28"/>
        </w:rPr>
        <w:t xml:space="preserve">28.1</w:t>
      </w:r>
      <w:r>
        <w:rPr>
          <w:rFonts w:hint="eastAsia" w:ascii="仿宋_GB2312" w:hAnsi="仿宋_GB2312" w:eastAsia="仿宋_GB2312" w:cs="仿宋_GB2312"/>
          <w:color w:val="auto"/>
          <w:sz w:val="28"/>
          <w:szCs w:val="28"/>
        </w:rPr>
        <w:t xml:space="preserve">磋商小组根据综合评分情况，按照评审得分由高到低顺序推荐成交候选供应商，并编写评审报告。评审得分相同的，按照最后报价由低到高的顺序推荐。评审得分且最后报价相同的，按照技术指标优劣顺序推荐。</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w:t>
      </w:r>
      <w:r>
        <w:rPr>
          <w:rFonts w:hint="eastAsia" w:ascii="仿宋_GB2312" w:hAnsi="仿宋_GB2312" w:eastAsia="仿宋_GB2312" w:cs="仿宋_GB2312"/>
          <w:sz w:val="28"/>
          <w:szCs w:val="28"/>
        </w:rPr>
        <w:t xml:space="preserve">一个供应商获得成交供应商推荐资格，磋商文件未规定的采取随机抽取方式确定，其他同品牌同型号供应商不作为成交候选人。</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28.2采购人从评审报告提出的成交候选供应商中，按照排序由高到低的原则确定成交供应商。采购人确定成交供应商后，</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将在“江苏政府采购网”发布成交结果公告，公告期限为1个工作日。</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28.3若有充分证据证明，成交供应商出现下列情况之一的，一经查实，将被取消成交资格：</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28.3.1提供虚假材料谋取成交的。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28.3.2与评审专家、采购人、其他供应商或者</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工作人员恶意串通的。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28.3.3向评审专家、采购人或</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工作人员行贿或者提供其他不正当利益的。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28.3.4恶意竞争，最后报价明显低于其自身合理成本且又无法提供证明的。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28.3.5不满足本磋商文件规定的实质性要求，但在评审过程中又未被磋商小组发现的。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28.3.6成交后无正当理由拒不与采购人签订政府采购合同或者未按照磋商文件确定的事项签订政府采购合同的。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28.3.7将政府采购合同转包的。</w:t>
      </w:r>
      <w:r/>
    </w:p>
    <w:p>
      <w:pPr>
        <w:ind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bookmarkStart w:id="168" w:name="_Toc200451960"/>
      <w:r>
        <w:rPr>
          <w:rFonts w:hint="eastAsia" w:ascii="仿宋_GB2312" w:hAnsi="仿宋_GB2312" w:eastAsia="仿宋_GB2312" w:cs="仿宋_GB2312"/>
          <w:bCs/>
          <w:sz w:val="28"/>
          <w:szCs w:val="28"/>
        </w:rPr>
        <w:t xml:space="preserve">29、质疑处理</w:t>
      </w:r>
      <w:bookmarkEnd w:id="168"/>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29.1 提出质疑的供应商应当是参与所质疑项目采购活动的供应商。潜在供应商依法获取其可质疑的采购文件的，可以对采购文件提出质疑。</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29.2供应商认为采购文件、采购过程和采购结果使自己的权益受到损害的，可以在知道或应知其权益受到损害之日起七个工作日内，以书面形式根据下述29.4条款的规定向</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或采购人提出质疑。上述应知其权益受到损害之日，是指：</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29.2.1</w:t>
      </w:r>
      <w:r>
        <w:rPr>
          <w:rFonts w:hint="eastAsia" w:ascii="仿宋_GB2312" w:hAnsi="仿宋_GB2312" w:eastAsia="仿宋_GB2312" w:cs="仿宋_GB2312"/>
          <w:sz w:val="28"/>
          <w:szCs w:val="28"/>
        </w:rPr>
        <w:t xml:space="preserve">对可以质疑的采购文件提出质疑的，为收到采购文件之日或者采购文件公告期限届满之日。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29.2.2</w:t>
      </w:r>
      <w:r>
        <w:rPr>
          <w:rFonts w:hint="eastAsia" w:ascii="仿宋_GB2312" w:hAnsi="仿宋_GB2312" w:eastAsia="仿宋_GB2312" w:cs="仿宋_GB2312"/>
          <w:sz w:val="28"/>
          <w:szCs w:val="28"/>
        </w:rPr>
        <w:t xml:space="preserve">对采购过程提出质疑的，为各采购程序环节结束之日。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29.2.3</w:t>
      </w:r>
      <w:r>
        <w:rPr>
          <w:rFonts w:hint="eastAsia" w:ascii="仿宋_GB2312" w:hAnsi="仿宋_GB2312" w:eastAsia="仿宋_GB2312" w:cs="仿宋_GB2312"/>
          <w:sz w:val="28"/>
          <w:szCs w:val="28"/>
        </w:rPr>
        <w:t xml:space="preserve">对成交结果提出质疑的，为成交结果公告期限届满之日。</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供应商应当在法定质疑期内一次性提出针对同一采购程序环节的质疑。供应商如在法定期限内对同一采购程序环节提出多次质疑的，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、采购人将只对供应商第一次质疑作出答复。</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560"/>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lang w:val="en-US" w:eastAsia="zh-CN"/>
        </w:rPr>
        <w:t xml:space="preserve">29</w:t>
      </w:r>
      <w:r>
        <w:rPr>
          <w:rFonts w:hint="eastAsia" w:ascii="仿宋_GB2312" w:hAnsi="仿宋_GB2312" w:eastAsia="仿宋_GB2312" w:cs="仿宋_GB2312"/>
          <w:sz w:val="28"/>
          <w:szCs w:val="28"/>
        </w:rPr>
        <w:t xml:space="preserve">.4</w:t>
      </w:r>
      <w:r>
        <w:rPr>
          <w:rFonts w:hint="eastAsia" w:ascii="仿宋_GB2312" w:hAnsi="仿宋_GB2312" w:eastAsia="仿宋_GB2312" w:cs="仿宋_GB2312"/>
          <w:sz w:val="28"/>
          <w:szCs w:val="28"/>
          <w:lang w:val="en-US" w:eastAsia="zh-CN"/>
        </w:rPr>
        <w:t xml:space="preserve"> 供应商（含潜在供应商）对采购方式、采购需求、供应商资格条件及审查结果、评</w:t>
      </w:r>
      <w:r>
        <w:rPr>
          <w:rFonts w:hint="eastAsia" w:ascii="仿宋_GB2312" w:hAnsi="仿宋_GB2312" w:eastAsia="仿宋_GB2312" w:cs="仿宋_GB2312"/>
          <w:b w:val="0"/>
          <w:bCs w:val="0"/>
          <w:sz w:val="28"/>
          <w:szCs w:val="28"/>
          <w:lang w:val="en-US" w:eastAsia="zh-CN"/>
        </w:rPr>
        <w:t xml:space="preserve">标方法和评标标准、合同文本的询问、质疑请向采购人提出，由采购人负责答复。供应商对除上述事项以外其他事项的询问、质疑请向政务中心提出，由政务中心负责答复</w:t>
      </w:r>
      <w:r>
        <w:rPr>
          <w:rFonts w:hint="eastAsia" w:ascii="仿宋_GB2312" w:hAnsi="仿宋_GB2312" w:eastAsia="仿宋_GB2312" w:cs="仿宋_GB2312"/>
          <w:b w:val="0"/>
          <w:bCs w:val="0"/>
          <w:sz w:val="28"/>
          <w:szCs w:val="28"/>
        </w:rPr>
        <w:t xml:space="preserve">。</w:t>
      </w:r>
      <w:r/>
    </w:p>
    <w:p>
      <w:pPr>
        <w:ind w:firstLine="560"/>
        <w:pageBreakBefore w:val="0"/>
        <w:spacing w:line="520" w:lineRule="exact"/>
        <w:widowControl w:val="off"/>
        <w:rPr>
          <w:rFonts w:hint="eastAsia" w:ascii="仿宋_GB2312" w:hAnsi="仿宋_GB2312" w:eastAsia="仿宋_GB2312" w:cs="仿宋_GB2312"/>
          <w:b/>
          <w:bCs/>
          <w:color w:val="auto"/>
          <w:sz w:val="28"/>
          <w:szCs w:val="28"/>
        </w:rPr>
      </w:pPr>
      <w:r>
        <w:rPr>
          <w:rFonts w:hint="eastAsia" w:ascii="仿宋_GB2312" w:hAnsi="仿宋_GB2312" w:eastAsia="仿宋_GB2312" w:cs="仿宋_GB2312"/>
          <w:sz w:val="28"/>
          <w:szCs w:val="28"/>
        </w:rPr>
        <w:t xml:space="preserve">采购人</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只接收以纸质原件形式送达的质疑,建议供应商尽量通过邮寄方式提交质疑</w:t>
      </w:r>
      <w:r>
        <w:rPr>
          <w:rFonts w:hint="eastAsia" w:ascii="仿宋_GB2312" w:hAnsi="仿宋_GB2312" w:eastAsia="仿宋_GB2312" w:cs="仿宋_GB2312"/>
          <w:b/>
          <w:bCs/>
          <w:color w:val="auto"/>
          <w:sz w:val="28"/>
          <w:szCs w:val="28"/>
        </w:rPr>
        <w:t xml:space="preserve">（采购人</w:t>
      </w:r>
      <w:r>
        <w:rPr>
          <w:rFonts w:hint="eastAsia" w:ascii="仿宋_GB2312" w:hAnsi="仿宋_GB2312" w:eastAsia="仿宋_GB2312" w:cs="仿宋_GB2312"/>
          <w:b/>
          <w:bCs/>
          <w:color w:val="auto"/>
          <w:sz w:val="28"/>
          <w:szCs w:val="28"/>
          <w:lang w:eastAsia="zh-CN"/>
        </w:rPr>
        <w:t xml:space="preserve">、政务中心</w:t>
      </w:r>
      <w:r>
        <w:rPr>
          <w:rFonts w:hint="eastAsia" w:ascii="仿宋_GB2312" w:hAnsi="仿宋_GB2312" w:eastAsia="仿宋_GB2312" w:cs="仿宋_GB2312"/>
          <w:b/>
          <w:bCs/>
          <w:color w:val="auto"/>
          <w:sz w:val="28"/>
          <w:szCs w:val="28"/>
        </w:rPr>
        <w:t xml:space="preserve">不接受未填写快递运单的快件）。</w:t>
      </w:r>
      <w:r/>
    </w:p>
    <w:p>
      <w:pPr>
        <w:ind w:firstLine="560"/>
        <w:pageBreakBefore w:val="0"/>
        <w:spacing w:line="520" w:lineRule="exact"/>
        <w:widowControl w:val="off"/>
        <w:rPr>
          <w:rFonts w:hint="eastAsia" w:ascii="仿宋_GB2312" w:hAnsi="仿宋_GB2312" w:eastAsia="仿宋_GB2312" w:cs="仿宋_GB2312"/>
          <w:b/>
          <w:bCs/>
          <w:color w:val="auto"/>
          <w:sz w:val="28"/>
          <w:szCs w:val="28"/>
          <w:u w:val="single"/>
        </w:rPr>
      </w:pPr>
      <w:r>
        <w:rPr>
          <w:rFonts w:hint="eastAsia" w:ascii="仿宋_GB2312" w:hAnsi="仿宋_GB2312" w:eastAsia="仿宋_GB2312" w:cs="仿宋_GB2312"/>
          <w:sz w:val="28"/>
          <w:szCs w:val="28"/>
        </w:rPr>
        <w:t xml:space="preserve">采购人</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质疑接收人及联系方式见本磋商文件第一章。</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 以下情形的质疑不予受理</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29.5.1 内容不符合《政府采购质疑和投诉办法》第十二条规定的质疑。</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29.5.2 超出政府采购法定期限的质疑。</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29.5.3 以传真、电子邮件等方式递交的非原件形式的质疑。</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29.5.4 未参加磋商活动的供应商或在磋商活动中自身权益未受到损害的供应商所提出的质疑。</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29.5.5供应商组成联合体参加磋商，联合体中任何一方或多方未按要求签字、盖章、加盖公章的质疑。</w:t>
      </w:r>
      <w:r/>
    </w:p>
    <w:p>
      <w:pPr>
        <w:ind w:firstLine="546"/>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29.6  供应商提出书面质疑必须有理、有据，不得捏造事实、提供虚假材料进行恶意质疑。否则，一经查实，</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有权依据政府采购的有关规定，报请政府采购监管部门对该供应商进行相应的行政处罚和记录该供应商的失信信息。</w:t>
      </w:r>
      <w:r/>
    </w:p>
    <w:p>
      <w:pPr>
        <w:ind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30、成交通知书</w:t>
      </w:r>
      <w:r/>
    </w:p>
    <w:p>
      <w:pPr>
        <w:ind w:firstLine="700"/>
        <w:pageBreakBefore w:val="0"/>
        <w:spacing w:line="52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30.1成交结果确定后，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将向成交供应商发出成交通知书。</w:t>
      </w:r>
      <w:r>
        <w:rPr>
          <w:rFonts w:hint="eastAsia" w:ascii="仿宋_GB2312" w:hAnsi="仿宋_GB2312" w:eastAsia="仿宋_GB2312" w:cs="仿宋_GB2312"/>
          <w:color w:val="auto"/>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70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 xml:space="preserve">30.2成交通知书将是合同的一个组成部分。对采购人和成交供应商均具有法律效力。成交通知书发出后，采购人改</w:t>
      </w:r>
      <w:r>
        <w:rPr>
          <w:rFonts w:hint="eastAsia" w:ascii="仿宋_GB2312" w:hAnsi="仿宋_GB2312" w:eastAsia="仿宋_GB2312" w:cs="仿宋_GB2312"/>
          <w:sz w:val="28"/>
          <w:szCs w:val="28"/>
        </w:rPr>
        <w:t xml:space="preserve">变成交结果的，或者成交供应商放弃成交项目的，应当依法承担法律责任。</w:t>
      </w:r>
      <w:r/>
    </w:p>
    <w:p>
      <w:pPr>
        <w:keepLines/>
        <w:keepNext/>
        <w:pageBreakBefore w:val="0"/>
        <w:spacing w:line="520" w:lineRule="exact"/>
        <w:widowControl w:val="off"/>
        <w:rPr>
          <w:rFonts w:hint="eastAsia" w:ascii="仿宋_GB2312" w:hAnsi="仿宋_GB2312" w:eastAsia="仿宋_GB2312" w:cs="仿宋_GB2312"/>
          <w:b/>
          <w:bCs/>
          <w:sz w:val="28"/>
          <w:szCs w:val="28"/>
        </w:rPr>
        <w:outlineLvl w:val="2"/>
      </w:pPr>
      <w:r/>
      <w:bookmarkStart w:id="169" w:name="_Toc120614220"/>
      <w:r/>
      <w:bookmarkStart w:id="170" w:name="_Toc20823308"/>
      <w:r/>
      <w:bookmarkStart w:id="171" w:name="_Toc513029236"/>
      <w:r/>
      <w:bookmarkStart w:id="172" w:name="_Toc16938552"/>
      <w:r>
        <w:rPr>
          <w:rFonts w:hint="eastAsia" w:ascii="仿宋_GB2312" w:hAnsi="仿宋_GB2312" w:eastAsia="仿宋_GB2312" w:cs="仿宋_GB2312"/>
          <w:b/>
          <w:bCs/>
          <w:sz w:val="28"/>
          <w:szCs w:val="28"/>
        </w:rPr>
        <w:t xml:space="preserve">七、授予合同</w:t>
      </w:r>
      <w:bookmarkEnd w:id="169"/>
      <w:r/>
      <w:bookmarkEnd w:id="170"/>
      <w:r/>
      <w:bookmarkEnd w:id="171"/>
      <w:r/>
      <w:bookmarkEnd w:id="172"/>
      <w:r/>
      <w:r/>
    </w:p>
    <w:p>
      <w:pPr>
        <w:ind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bookmarkStart w:id="173" w:name="_Toc16938553"/>
      <w:r/>
      <w:bookmarkStart w:id="174" w:name="_Toc20823309"/>
      <w:r/>
      <w:bookmarkStart w:id="175" w:name="_Toc513029237"/>
      <w:r>
        <w:rPr>
          <w:rFonts w:hint="eastAsia" w:ascii="仿宋_GB2312" w:hAnsi="仿宋_GB2312" w:eastAsia="仿宋_GB2312" w:cs="仿宋_GB2312"/>
          <w:bCs/>
          <w:sz w:val="28"/>
          <w:szCs w:val="28"/>
        </w:rPr>
        <w:t xml:space="preserve">31. 签订合同</w:t>
      </w:r>
      <w:r/>
    </w:p>
    <w:p>
      <w:pPr>
        <w:ind w:firstLine="70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31</w:t>
      </w:r>
      <w:r>
        <w:rPr>
          <w:rFonts w:hint="eastAsia" w:ascii="仿宋_GB2312" w:hAnsi="仿宋_GB2312" w:eastAsia="仿宋_GB2312" w:cs="仿宋_GB2312"/>
          <w:sz w:val="28"/>
          <w:szCs w:val="28"/>
        </w:rPr>
        <w:t xml:space="preserve">.l成交供应商应当在成交通知书发出之日起三十日内，按照磋商文件确定的事项与采购人签订政府采购合同。</w:t>
      </w:r>
      <w:r/>
    </w:p>
    <w:p>
      <w:pPr>
        <w:ind w:firstLine="70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31.2磋商文件、成交供应商的响应文件及磋商过程中有关澄清、承诺文件均应作为合同附件。</w:t>
      </w:r>
      <w:r/>
    </w:p>
    <w:p>
      <w:pPr>
        <w:ind w:firstLine="700"/>
        <w:pageBreakBefore w:val="0"/>
        <w:spacing w:line="52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31.3 签订合同后</w:t>
      </w:r>
      <w:r>
        <w:rPr>
          <w:rFonts w:hint="eastAsia" w:ascii="黑体" w:hAnsi="黑体" w:eastAsia="黑体" w:cs="黑体"/>
          <w:sz w:val="28"/>
          <w:szCs w:val="28"/>
        </w:rPr>
        <w:t xml:space="preserve">，</w:t>
      </w:r>
      <w:r>
        <w:rPr>
          <w:rFonts w:hint="eastAsia" w:ascii="黑体" w:hAnsi="黑体" w:eastAsia="黑体" w:cs="黑体"/>
          <w:i/>
          <w:sz w:val="28"/>
          <w:szCs w:val="28"/>
          <w:u w:val="single"/>
        </w:rPr>
        <w:t xml:space="preserve">成交供应商不得将合同标的进行转包</w:t>
      </w:r>
      <w:r>
        <w:rPr>
          <w:rFonts w:hint="eastAsia" w:ascii="黑体" w:hAnsi="黑体" w:eastAsia="黑体" w:cs="黑体"/>
          <w:sz w:val="28"/>
          <w:szCs w:val="28"/>
        </w:rPr>
        <w:t xml:space="preserve">。</w:t>
      </w:r>
      <w:r>
        <w:rPr>
          <w:rFonts w:hint="eastAsia" w:ascii="仿宋_GB2312" w:hAnsi="仿宋_GB2312" w:eastAsia="仿宋_GB2312" w:cs="仿宋_GB2312"/>
          <w:color w:val="auto"/>
          <w:sz w:val="28"/>
          <w:szCs w:val="28"/>
        </w:rPr>
        <w:t xml:space="preserve">未经采购人同意，成交供应商也不得采用分包形式履行合同,否则采购人有权终止合同。转包或分包造成采购人损失的，成交供应商应承担相应赔偿责任。</w:t>
      </w:r>
      <w:r/>
    </w:p>
    <w:p>
      <w:pPr>
        <w:ind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32、标的物的追加</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73"/>
      <w:r/>
      <w:bookmarkEnd w:id="174"/>
      <w:r/>
      <w:bookmarkEnd w:id="175"/>
      <w:r/>
      <w:r/>
    </w:p>
    <w:p>
      <w:pPr>
        <w:ind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33、政府采购履约资金扶持政策</w:t>
      </w:r>
      <w:r/>
    </w:p>
    <w:p>
      <w:pPr>
        <w:ind w:firstLine="555"/>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成交供应商可凭政府采购合同办理融资贷款，详情请见江苏政府采购网“政采贷”专栏。</w:t>
      </w:r>
      <w:r/>
    </w:p>
    <w:p>
      <w:pPr>
        <w:ind w:left="0" w:righ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br w:type="page" w:clear="all"/>
      </w:r>
      <w:r/>
    </w:p>
    <w:p>
      <w:pPr>
        <w:ind w:right="0"/>
        <w:jc w:val="center"/>
        <w:keepLines/>
        <w:keepNext/>
        <w:pageBreakBefore w:val="0"/>
        <w:spacing w:line="520" w:lineRule="exact"/>
        <w:rPr>
          <w:rFonts w:hint="eastAsia" w:ascii="黑体" w:hAnsi="黑体" w:eastAsia="黑体" w:cs="黑体"/>
          <w:b w:val="0"/>
          <w:bCs w:val="0"/>
          <w:sz w:val="36"/>
          <w:szCs w:val="36"/>
        </w:rPr>
        <w:outlineLvl w:val="1"/>
      </w:pPr>
      <w:r>
        <w:rPr>
          <w:rFonts w:hint="eastAsia" w:ascii="黑体" w:hAnsi="黑体" w:eastAsia="黑体" w:cs="黑体"/>
          <w:b w:val="0"/>
          <w:bCs w:val="0"/>
          <w:sz w:val="36"/>
          <w:szCs w:val="36"/>
        </w:rPr>
        <w:t xml:space="preserve">第三章  合同</w:t>
      </w:r>
      <w:bookmarkEnd w:id="55"/>
      <w:r/>
      <w:bookmarkEnd w:id="56"/>
      <w:r/>
      <w:bookmarkEnd w:id="57"/>
      <w:r/>
      <w:bookmarkEnd w:id="58"/>
      <w:r/>
      <w:bookmarkEnd w:id="59"/>
      <w:r>
        <w:rPr>
          <w:rFonts w:hint="eastAsia" w:ascii="黑体" w:hAnsi="黑体" w:eastAsia="黑体" w:cs="黑体"/>
          <w:b w:val="0"/>
          <w:bCs w:val="0"/>
          <w:sz w:val="36"/>
          <w:szCs w:val="36"/>
        </w:rPr>
        <w:t xml:space="preserve">文本</w:t>
      </w:r>
      <w:r/>
    </w:p>
    <w:p>
      <w:pPr>
        <w:ind w:right="0"/>
        <w:jc w:val="center"/>
        <w:keepLines/>
        <w:keepNext/>
        <w:pageBreakBefore w:val="0"/>
        <w:spacing w:line="520" w:lineRule="exact"/>
        <w:rPr>
          <w:rFonts w:hint="eastAsia" w:ascii="黑体" w:hAnsi="黑体" w:eastAsia="黑体" w:cs="黑体"/>
          <w:b w:val="0"/>
          <w:bCs w:val="0"/>
          <w:sz w:val="36"/>
          <w:szCs w:val="36"/>
        </w:rPr>
        <w:outlineLvl w:val="1"/>
      </w:pPr>
      <w:r>
        <w:rPr>
          <w:rFonts w:hint="eastAsia" w:ascii="黑体" w:hAnsi="黑体" w:eastAsia="黑体" w:cs="黑体"/>
          <w:b w:val="0"/>
          <w:bCs w:val="0"/>
          <w:sz w:val="36"/>
          <w:szCs w:val="36"/>
        </w:rPr>
      </w:r>
      <w:r/>
    </w:p>
    <w:p>
      <w:pPr>
        <w:ind w:left="0" w:right="0" w:firstLine="560"/>
        <w:pageBreakBefore w:val="0"/>
        <w:spacing w:line="520" w:lineRule="exact"/>
        <w:rPr>
          <w:rFonts w:hint="eastAsia" w:ascii="仿宋_GB2312" w:hAnsi="仿宋_GB2312" w:eastAsia="仿宋_GB2312" w:cs="仿宋_GB2312"/>
          <w:bCs/>
          <w:sz w:val="28"/>
          <w:szCs w:val="28"/>
        </w:rPr>
      </w:pPr>
      <w:r/>
      <w:bookmarkStart w:id="176" w:name="_Toc16938559"/>
      <w:r/>
      <w:bookmarkStart w:id="177" w:name="_Toc513029243"/>
      <w:r/>
      <w:bookmarkStart w:id="178" w:name="_Toc20823315"/>
      <w:r>
        <w:rPr>
          <w:rFonts w:hint="eastAsia" w:ascii="仿宋_GB2312" w:hAnsi="仿宋_GB2312" w:eastAsia="仿宋_GB2312" w:cs="仿宋_GB2312"/>
          <w:bCs/>
          <w:sz w:val="28"/>
          <w:szCs w:val="28"/>
        </w:rPr>
        <w:t xml:space="preserve">以下为成交后签定本项目合同的通用条款，成交供应商不得提出实质性的修改。</w:t>
      </w:r>
      <w:r/>
    </w:p>
    <w:p>
      <w:pPr>
        <w:ind w:left="0" w:right="0" w:firstLine="562"/>
        <w:jc w:val="center"/>
        <w:pageBreakBefore w:val="0"/>
        <w:spacing w:line="520" w:lineRule="exact"/>
        <w:rPr>
          <w:rFonts w:hint="eastAsia" w:ascii="仿宋_GB2312" w:hAnsi="仿宋_GB2312" w:eastAsia="仿宋_GB2312" w:cs="仿宋_GB2312"/>
          <w:b/>
          <w:sz w:val="28"/>
          <w:szCs w:val="28"/>
        </w:rPr>
        <w:outlineLvl w:val="0"/>
      </w:pPr>
      <w:r>
        <w:rPr>
          <w:rFonts w:hint="eastAsia" w:ascii="仿宋_GB2312" w:hAnsi="仿宋_GB2312" w:eastAsia="仿宋_GB2312" w:cs="仿宋_GB2312"/>
          <w:b/>
          <w:sz w:val="28"/>
          <w:szCs w:val="28"/>
        </w:rPr>
      </w:r>
      <w:bookmarkEnd w:id="176"/>
      <w:r/>
      <w:bookmarkEnd w:id="177"/>
      <w:r/>
      <w:bookmarkEnd w:id="178"/>
      <w:r/>
      <w:r/>
    </w:p>
    <w:p>
      <w:pPr>
        <w:ind w:left="0" w:right="0" w:firstLine="800"/>
        <w:jc w:val="center"/>
        <w:pageBreakBefore w:val="0"/>
        <w:spacing w:line="520" w:lineRule="exact"/>
        <w:rPr>
          <w:rFonts w:hint="eastAsia" w:ascii="方正小标宋_GBK" w:hAnsi="方正小标宋_GBK" w:eastAsia="方正小标宋_GBK" w:cs="方正小标宋_GBK"/>
          <w:b w:val="0"/>
          <w:bCs/>
          <w:sz w:val="40"/>
          <w:szCs w:val="40"/>
        </w:rPr>
        <w:outlineLvl w:val="0"/>
      </w:pPr>
      <w:r/>
      <w:bookmarkStart w:id="179" w:name="_Hlt16619369"/>
      <w:r/>
      <w:bookmarkEnd w:id="179"/>
      <w:r/>
      <w:bookmarkStart w:id="180" w:name="_Hlt16619350"/>
      <w:r/>
      <w:bookmarkStart w:id="181" w:name="_Toc120614244"/>
      <w:r/>
      <w:bookmarkStart w:id="182" w:name="_Toc16938590"/>
      <w:r/>
      <w:bookmarkStart w:id="183" w:name="_Toc20823346"/>
      <w:r/>
      <w:bookmarkStart w:id="184" w:name="_Toc479757211"/>
      <w:r/>
      <w:bookmarkStart w:id="185" w:name="_Toc462564139"/>
      <w:r>
        <w:rPr>
          <w:rFonts w:hint="eastAsia" w:ascii="方正小标宋_GBK" w:hAnsi="方正小标宋_GBK" w:eastAsia="方正小标宋_GBK" w:cs="方正小标宋_GBK"/>
          <w:b w:val="0"/>
          <w:bCs/>
          <w:sz w:val="40"/>
          <w:szCs w:val="40"/>
        </w:rPr>
        <w:t xml:space="preserve">江苏省政府采购合同（服务）</w:t>
      </w:r>
      <w:r/>
    </w:p>
    <w:p>
      <w:pPr>
        <w:ind w:left="0" w:right="0" w:firstLine="562"/>
        <w:jc w:val="center"/>
        <w:keepLines w:val="0"/>
        <w:keepNext w:val="0"/>
        <w:pageBreakBefore w:val="0"/>
        <w:spacing w:before="181" w:after="181" w:line="520" w:lineRule="exact"/>
        <w:widowControl w:val="off"/>
        <w:rPr>
          <w:rFonts w:hint="eastAsia" w:ascii="仿宋_GB2312" w:hAnsi="仿宋_GB2312" w:eastAsia="仿宋_GB2312" w:cs="仿宋_GB2312"/>
          <w:b/>
          <w:sz w:val="28"/>
          <w:szCs w:val="28"/>
        </w:rPr>
        <w:outlineLvl w:val="0"/>
      </w:pPr>
      <w:r>
        <w:rPr>
          <w:rFonts w:hint="eastAsia" w:ascii="仿宋_GB2312" w:hAnsi="仿宋_GB2312" w:eastAsia="仿宋_GB2312" w:cs="仿宋_GB2312"/>
          <w:b/>
          <w:sz w:val="28"/>
          <w:szCs w:val="28"/>
        </w:rPr>
        <w:t xml:space="preserve">（合同编号</w:t>
      </w:r>
      <w:r>
        <w:rPr>
          <w:rFonts w:hint="eastAsia" w:ascii="仿宋_GB2312" w:hAnsi="仿宋_GB2312" w:eastAsia="仿宋_GB2312" w:cs="仿宋_GB2312"/>
          <w:b/>
          <w:sz w:val="28"/>
          <w:szCs w:val="28"/>
          <w:lang w:eastAsia="zh-CN"/>
        </w:rPr>
        <w:t xml:space="preserve">：</w:t>
      </w:r>
      <w:r>
        <w:rPr>
          <w:rFonts w:hint="eastAsia" w:ascii="仿宋_GB2312" w:hAnsi="仿宋_GB2312" w:eastAsia="仿宋_GB2312" w:cs="仿宋_GB2312"/>
          <w:b/>
          <w:sz w:val="28"/>
          <w:szCs w:val="28"/>
          <w:lang w:val="en-US" w:eastAsia="zh-CN"/>
        </w:rPr>
        <w:t xml:space="preserve">***</w:t>
      </w:r>
      <w:r>
        <w:rPr>
          <w:rFonts w:hint="eastAsia" w:ascii="仿宋_GB2312" w:hAnsi="仿宋_GB2312" w:eastAsia="仿宋_GB2312" w:cs="仿宋_GB2312"/>
          <w:b/>
          <w:sz w:val="28"/>
          <w:szCs w:val="28"/>
        </w:rPr>
        <w:t xml:space="preserve">）</w:t>
      </w:r>
      <w:r/>
    </w:p>
    <w:p>
      <w:pPr>
        <w:pStyle w:val="919"/>
        <w:ind w:left="0" w:right="0" w:firstLine="560"/>
        <w:pageBreakBefore w:val="0"/>
        <w:spacing w:line="520" w:lineRule="exact"/>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 xml:space="preserve">项目名称：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项目编号：</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lang w:val="en-US" w:eastAsia="zh-CN"/>
        </w:rPr>
        <w:t xml:space="preserve"> </w:t>
      </w:r>
      <w:r/>
    </w:p>
    <w:p>
      <w:pPr>
        <w:pStyle w:val="919"/>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甲方：（买方）_________</w:t>
      </w:r>
      <w:r/>
    </w:p>
    <w:p>
      <w:pPr>
        <w:pStyle w:val="919"/>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乙方：（卖方）_________</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xml:space="preserve">甲、乙双方根据</w:t>
      </w:r>
      <w:r>
        <w:rPr>
          <w:rFonts w:hint="eastAsia" w:ascii="仿宋_GB2312" w:hAnsi="仿宋_GB2312" w:eastAsia="仿宋_GB2312" w:cs="仿宋_GB2312"/>
          <w:sz w:val="28"/>
          <w:szCs w:val="28"/>
          <w:lang w:eastAsia="zh-CN"/>
        </w:rPr>
        <w:t xml:space="preserve">兴化市政务服务中心</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w:t>
      </w:r>
      <w:r>
        <w:rPr>
          <w:rFonts w:hint="eastAsia" w:ascii="仿宋_GB2312" w:hAnsi="仿宋_GB2312" w:eastAsia="仿宋_GB2312" w:cs="仿宋_GB2312"/>
          <w:sz w:val="28"/>
          <w:szCs w:val="28"/>
          <w:lang w:eastAsia="zh-CN"/>
        </w:rPr>
        <w:t xml:space="preserve">竞争性磋商</w:t>
      </w:r>
      <w:r>
        <w:rPr>
          <w:rFonts w:hint="eastAsia" w:ascii="仿宋_GB2312" w:hAnsi="仿宋_GB2312" w:eastAsia="仿宋_GB2312" w:cs="仿宋_GB2312"/>
          <w:sz w:val="28"/>
          <w:szCs w:val="28"/>
        </w:rPr>
        <w:t xml:space="preserve">的结果，签署本合同。</w:t>
      </w:r>
      <w:r/>
    </w:p>
    <w:p>
      <w:pPr>
        <w:pStyle w:val="919"/>
        <w:ind w:left="0" w:right="0" w:firstLine="562"/>
        <w:keepLines w:val="0"/>
        <w:keepNext w:val="0"/>
        <w:pageBreakBefore w:val="0"/>
        <w:spacing w:line="50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一、合同内容</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 标的名称：</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1.2标的质量：</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 标的数量（规模）：</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 履行时间（期限）：</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1.5 履行地点：</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1.6履行方式：</w:t>
      </w:r>
      <w:r/>
    </w:p>
    <w:p>
      <w:pPr>
        <w:pStyle w:val="919"/>
        <w:ind w:left="0" w:right="0" w:firstLine="562"/>
        <w:keepLines w:val="0"/>
        <w:keepNext w:val="0"/>
        <w:pageBreakBefore w:val="0"/>
        <w:spacing w:line="50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二、合同金额</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 本合同金额为（大写）：________（________元）人民币。</w:t>
      </w:r>
      <w:r/>
    </w:p>
    <w:p>
      <w:pPr>
        <w:pStyle w:val="919"/>
        <w:ind w:left="0" w:right="0" w:firstLine="562"/>
        <w:keepLines w:val="0"/>
        <w:keepNext w:val="0"/>
        <w:pageBreakBefore w:val="0"/>
        <w:spacing w:line="50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三、技术资料</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3.1乙方应按招标文件规定的时间向甲方提供服务（包含与服务相关的货物）的有关技术资料。</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9"/>
        <w:ind w:left="0" w:right="0" w:firstLine="562"/>
        <w:keepLines w:val="0"/>
        <w:keepNext w:val="0"/>
        <w:pageBreakBefore w:val="0"/>
        <w:spacing w:line="50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四、知识产权</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19"/>
        <w:ind w:left="0" w:right="0" w:firstLine="562"/>
        <w:keepLines w:val="0"/>
        <w:keepNext w:val="0"/>
        <w:pageBreakBefore w:val="0"/>
        <w:spacing w:line="500" w:lineRule="exact"/>
        <w:widowControl w:val="off"/>
        <w:rPr>
          <w:rFonts w:hint="eastAsia" w:ascii="仿宋_GB2312" w:hAnsi="仿宋_GB2312" w:eastAsia="仿宋_GB2312" w:cs="仿宋_GB2312"/>
          <w:sz w:val="28"/>
          <w:szCs w:val="28"/>
          <w:u w:val="single"/>
        </w:rPr>
      </w:pPr>
      <w:r>
        <w:rPr>
          <w:rFonts w:hint="eastAsia" w:ascii="仿宋_GB2312" w:hAnsi="仿宋_GB2312" w:eastAsia="仿宋_GB2312" w:cs="仿宋_GB2312"/>
          <w:b/>
          <w:sz w:val="28"/>
          <w:szCs w:val="28"/>
        </w:rPr>
        <w:t xml:space="preserve">五、产权担保</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5.1 乙方保证所交付的服务（包含与服务相关的货物）的所有权完全属于乙方且无任何抵押、查封等产权瑕疵。</w:t>
      </w:r>
      <w:r/>
    </w:p>
    <w:p>
      <w:pPr>
        <w:pStyle w:val="919"/>
        <w:ind w:left="0" w:right="0" w:firstLine="562"/>
        <w:keepLines w:val="0"/>
        <w:keepNext w:val="0"/>
        <w:pageBreakBefore w:val="0"/>
        <w:spacing w:line="50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六、履约保证金</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6.1 本项目乙方无需缴纳履约保证金。</w:t>
      </w:r>
      <w:r/>
    </w:p>
    <w:p>
      <w:pPr>
        <w:ind w:left="0" w:right="0" w:firstLine="562"/>
        <w:keepLines w:val="0"/>
        <w:keepNext w:val="0"/>
        <w:pageBreakBefore w:val="0"/>
        <w:spacing w:line="50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七、合同转包或分包</w:t>
      </w:r>
      <w:r/>
    </w:p>
    <w:p>
      <w:pPr>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7.1乙方不得将合同标的转包给他人履行。</w:t>
      </w:r>
      <w:r/>
    </w:p>
    <w:p>
      <w:pPr>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7.2乙方不得将合同标的分包给他人履行。</w:t>
      </w:r>
      <w:r/>
    </w:p>
    <w:p>
      <w:pPr>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7.3乙方如有转包或分包行为，甲方有权解除合同。</w:t>
      </w:r>
      <w:r/>
    </w:p>
    <w:p>
      <w:pPr>
        <w:pStyle w:val="919"/>
        <w:ind w:left="0" w:right="0" w:firstLine="562"/>
        <w:keepLines w:val="0"/>
        <w:keepNext w:val="0"/>
        <w:pageBreakBefore w:val="0"/>
        <w:spacing w:line="50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八、合同款项支付</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8.1合同款项的支付方式及进度安排</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乙方（卖方）收款账户信息：</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单位名称： </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帐    号： </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开 户 行： </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行    号： </w:t>
      </w:r>
      <w:r/>
    </w:p>
    <w:p>
      <w:pPr>
        <w:ind w:left="0" w:right="0" w:firstLine="562"/>
        <w:keepLines w:val="0"/>
        <w:keepNext w:val="0"/>
        <w:pageBreakBefore w:val="0"/>
        <w:spacing w:line="50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九、税费</w:t>
      </w:r>
      <w:r/>
    </w:p>
    <w:p>
      <w:pPr>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9.1本合同执行中相关的一切税费均由乙方负担。</w:t>
      </w:r>
      <w:r/>
    </w:p>
    <w:p>
      <w:pPr>
        <w:pStyle w:val="919"/>
        <w:ind w:left="0" w:right="0" w:firstLine="562"/>
        <w:keepLines w:val="0"/>
        <w:keepNext w:val="0"/>
        <w:pageBreakBefore w:val="0"/>
        <w:spacing w:line="50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十、项目验收</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10.1 甲方依法组织履约验收工作。</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10.3 对于实际使用人和甲方分离的项目，甲方邀请实际使用人参与验收。</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10.4 如有必要，甲方邀请参加本项目的其他供应商或第三方专业机构及专家参与验收，相关意见将作为验收书的参考资料。</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19"/>
        <w:ind w:left="0" w:right="0" w:firstLine="562"/>
        <w:keepLines w:val="0"/>
        <w:keepNext w:val="0"/>
        <w:pageBreakBefore w:val="0"/>
        <w:spacing w:line="50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十一、违约责任</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11.1 甲方无正当理由拒绝接受乙方提供服务的，甲方向乙方偿付拒绝接受服务合同价款总值</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11.2 甲方无故逾期验收和办理合同款项支付手续的,甲方应按逾期付款总额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每日向乙方支付违约金。</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11.3 乙方逾期提供服务的，乙方应按逾期提供服务合同总额每日</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的违约金，如造成甲方损失超过违约金的，超出部分由乙方继续承担赔偿责任。 </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11.4 乙方所提供服务的标准不符合合同规定及招标文件规定标准的，甲方有权拒绝接受服务，并可单方面解除合同。</w:t>
      </w:r>
      <w:r/>
    </w:p>
    <w:p>
      <w:pPr>
        <w:pStyle w:val="919"/>
        <w:ind w:left="0" w:right="0" w:firstLine="562"/>
        <w:keepLines w:val="0"/>
        <w:keepNext w:val="0"/>
        <w:pageBreakBefore w:val="0"/>
        <w:spacing w:line="50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十二、不可抗力事件处理</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12.1 在合同有效期内，任何一方因不可抗力事件导致不能履行合同，则合同履行期可延长，其延长期与不可抗力影响 期相同。</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12.2 不可抗力事件发生后，应立即通知对方，并寄送有关权威机构出具的证明。</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12.3 不可抗力事件延续120天以上，双方应通过友好协商，确定是否继续履行合同。</w:t>
      </w:r>
      <w:r/>
    </w:p>
    <w:p>
      <w:pPr>
        <w:pStyle w:val="919"/>
        <w:ind w:left="0" w:right="0" w:firstLine="562"/>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 xml:space="preserve">十三、解决争议的方法</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13.1双方在签订、履行合同中所发生的一切争议，应通过友好协商解决。如协商不成，由甲方住所地人民法院管辖。</w:t>
      </w:r>
      <w:r/>
    </w:p>
    <w:p>
      <w:pPr>
        <w:pStyle w:val="919"/>
        <w:ind w:left="0" w:right="0" w:firstLine="562"/>
        <w:keepLines w:val="0"/>
        <w:keepNext w:val="0"/>
        <w:pageBreakBefore w:val="0"/>
        <w:spacing w:line="50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十四、合同生效及其它</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14.1 合同经双方法定代表人或授权委托代表人签字并加盖单位公章后生效。</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14.2本合同未尽事宜，遵照《民法典》、《政府采购法》有关条文执行。</w:t>
      </w:r>
      <w:r/>
    </w:p>
    <w:p>
      <w:pPr>
        <w:pStyle w:val="919"/>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14.3 本合同正本</w:t>
      </w:r>
      <w:r>
        <w:rPr>
          <w:rFonts w:hint="eastAsia" w:ascii="仿宋_GB2312" w:hAnsi="仿宋_GB2312" w:eastAsia="仿宋_GB2312" w:cs="仿宋_GB2312"/>
          <w:b/>
          <w:bCs/>
          <w:sz w:val="28"/>
          <w:szCs w:val="28"/>
        </w:rPr>
        <w:t xml:space="preserve">一式三份</w:t>
      </w:r>
      <w:r>
        <w:rPr>
          <w:rFonts w:hint="eastAsia" w:ascii="仿宋_GB2312" w:hAnsi="仿宋_GB2312" w:eastAsia="仿宋_GB2312" w:cs="仿宋_GB2312"/>
          <w:sz w:val="28"/>
          <w:szCs w:val="28"/>
        </w:rPr>
        <w:t xml:space="preserve">，具有同等法律效力，甲方、乙方及财政监管部门各执一份。</w:t>
      </w:r>
      <w:r/>
    </w:p>
    <w:p>
      <w:pPr>
        <w:pStyle w:val="919"/>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919"/>
        <w:ind w:left="0" w:right="0" w:firstLine="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甲方：                        乙方： </w:t>
      </w:r>
      <w:r/>
    </w:p>
    <w:p>
      <w:pPr>
        <w:pStyle w:val="919"/>
        <w:ind w:left="0" w:right="0" w:firstLine="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地址：                        地址： </w:t>
      </w:r>
      <w:r/>
    </w:p>
    <w:p>
      <w:pPr>
        <w:pStyle w:val="919"/>
        <w:ind w:left="0" w:right="0" w:firstLine="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法定代表人或授权代表：        法定代表人或授权代表：</w:t>
      </w:r>
      <w:r/>
    </w:p>
    <w:p>
      <w:pPr>
        <w:pStyle w:val="919"/>
        <w:ind w:left="0" w:right="0" w:firstLine="2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                    联系电话： </w:t>
      </w:r>
      <w:r/>
    </w:p>
    <w:p>
      <w:pPr>
        <w:pStyle w:val="919"/>
        <w:ind w:left="0" w:right="0" w:firstLine="2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ind w:left="0" w:right="0" w:firstLine="560"/>
        <w:jc w:val="center"/>
        <w:keepNext/>
        <w:pageBreakBefore w:val="0"/>
        <w:spacing w:line="520" w:lineRule="exact"/>
        <w:rPr>
          <w:rFonts w:hint="eastAsia" w:ascii="黑体" w:hAnsi="黑体" w:eastAsia="黑体" w:cs="黑体"/>
          <w:b w:val="0"/>
          <w:bCs w:val="0"/>
          <w:sz w:val="36"/>
          <w:szCs w:val="36"/>
        </w:rPr>
        <w:outlineLvl w:val="0"/>
      </w:pPr>
      <w:r>
        <w:rPr>
          <w:rFonts w:hint="eastAsia" w:ascii="仿宋_GB2312" w:hAnsi="仿宋_GB2312" w:eastAsia="仿宋_GB2312" w:cs="仿宋_GB2312"/>
          <w:sz w:val="28"/>
          <w:szCs w:val="28"/>
        </w:rPr>
        <w:t xml:space="preserve">                 签订日期：      年    月   日</w:t>
      </w:r>
      <w:r>
        <w:rPr>
          <w:rFonts w:hint="eastAsia" w:ascii="仿宋_GB2312" w:hAnsi="仿宋_GB2312" w:eastAsia="仿宋_GB2312" w:cs="仿宋_GB2312"/>
          <w:bCs/>
          <w:sz w:val="28"/>
          <w:szCs w:val="28"/>
        </w:rPr>
        <w:br w:type="page" w:clear="all"/>
      </w:r>
      <w:r>
        <w:rPr>
          <w:rFonts w:hint="eastAsia" w:ascii="黑体" w:hAnsi="黑体" w:eastAsia="黑体" w:cs="黑体"/>
          <w:b w:val="0"/>
          <w:bCs w:val="0"/>
          <w:sz w:val="36"/>
          <w:szCs w:val="36"/>
        </w:rPr>
        <w:t xml:space="preserve">第</w:t>
      </w:r>
      <w:bookmarkEnd w:id="180"/>
      <w:r>
        <w:rPr>
          <w:rFonts w:hint="eastAsia" w:ascii="黑体" w:hAnsi="黑体" w:eastAsia="黑体" w:cs="黑体"/>
          <w:b w:val="0"/>
          <w:bCs w:val="0"/>
          <w:sz w:val="36"/>
          <w:szCs w:val="36"/>
        </w:rPr>
        <w:t xml:space="preserve">四章 采购需求</w:t>
      </w:r>
      <w:bookmarkEnd w:id="181"/>
      <w:r/>
      <w:bookmarkEnd w:id="182"/>
      <w:r/>
      <w:bookmarkEnd w:id="183"/>
      <w:r/>
      <w:bookmarkStart w:id="186" w:name="_Toc49090575"/>
      <w:r/>
      <w:bookmarkStart w:id="187" w:name="_Toc26554093"/>
      <w:r/>
      <w:r/>
    </w:p>
    <w:p>
      <w:pPr>
        <w:ind w:left="0" w:right="0" w:firstLine="720"/>
        <w:jc w:val="center"/>
        <w:keepNext/>
        <w:pageBreakBefore w:val="0"/>
        <w:spacing w:line="520" w:lineRule="exact"/>
        <w:rPr>
          <w:rFonts w:hint="eastAsia" w:ascii="黑体" w:hAnsi="黑体" w:eastAsia="黑体" w:cs="黑体"/>
          <w:b w:val="0"/>
          <w:bCs w:val="0"/>
          <w:sz w:val="36"/>
          <w:szCs w:val="36"/>
        </w:rPr>
        <w:outlineLvl w:val="0"/>
      </w:pPr>
      <w:r>
        <w:rPr>
          <w:rFonts w:hint="eastAsia" w:ascii="黑体" w:hAnsi="黑体" w:eastAsia="黑体" w:cs="黑体"/>
          <w:b w:val="0"/>
          <w:bCs w:val="0"/>
          <w:sz w:val="36"/>
          <w:szCs w:val="36"/>
        </w:rPr>
      </w:r>
      <w:r/>
    </w:p>
    <w:p>
      <w:pPr>
        <w:ind w:firstLine="480"/>
        <w:spacing w:line="520" w:lineRule="exact"/>
        <w:rPr>
          <w:rFonts w:ascii="仿宋_GB2312" w:hAnsi="仿宋_GB2312" w:eastAsia="仿宋_GB2312" w:cs="仿宋_GB2312"/>
          <w:color w:val="000000"/>
          <w:sz w:val="28"/>
          <w:szCs w:val="28"/>
        </w:rPr>
      </w:pPr>
      <w:r/>
      <w:bookmarkStart w:id="188" w:name="_Toc120614281"/>
      <w:r>
        <w:rPr>
          <w:rFonts w:hint="eastAsia" w:ascii="仿宋_GB2312" w:hAnsi="仿宋_GB2312" w:eastAsia="仿宋_GB2312" w:cs="仿宋_GB2312"/>
          <w:color w:val="000000"/>
          <w:sz w:val="28"/>
          <w:szCs w:val="28"/>
        </w:rPr>
        <w:t xml:space="preserve">项目属性:</w:t>
      </w:r>
      <w:r>
        <w:rPr>
          <w:rFonts w:hint="eastAsia" w:ascii="宋体"/>
          <w:color w:val="000000" w:themeColor="text1"/>
          <w:sz w:val="28"/>
          <w:szCs w:val="28"/>
          <w:lang w:eastAsia="zh-CN"/>
          <w14:textFill>
            <w14:solidFill>
              <w14:schemeClr w14:val="tx1"/>
            </w14:solidFill>
          </w14:textFill>
        </w:rPr>
        <w:t xml:space="preserve">服务</w:t>
      </w:r>
      <w:r>
        <w:rPr>
          <w:rFonts w:hint="eastAsia" w:ascii="仿宋_GB2312" w:hAnsi="仿宋_GB2312" w:eastAsia="仿宋_GB2312" w:cs="仿宋_GB2312"/>
          <w:color w:val="000000"/>
          <w:sz w:val="28"/>
          <w:szCs w:val="28"/>
        </w:rPr>
        <w:t xml:space="preserve">类项目。</w:t>
      </w:r>
      <w:r/>
    </w:p>
    <w:p>
      <w:pPr>
        <w:pStyle w:val="914"/>
        <w:ind w:firstLine="601"/>
        <w:keepLines w:val="0"/>
        <w:keepNext w:val="0"/>
        <w:pageBreakBefore w:val="0"/>
        <w:spacing w:line="500" w:lineRule="exact"/>
        <w:widowControl w:val="off"/>
        <w:rPr>
          <w:rFonts w:hint="eastAsia" w:ascii="黑体" w:hAnsi="黑体" w:eastAsia="黑体" w:cs="黑体"/>
          <w:b w:val="0"/>
          <w:bCs w:val="0"/>
          <w:color w:val="auto"/>
          <w:sz w:val="28"/>
          <w:szCs w:val="28"/>
        </w:rPr>
      </w:pPr>
      <w:r>
        <w:rPr>
          <w:rFonts w:hint="eastAsia" w:ascii="黑体" w:hAnsi="黑体" w:eastAsia="黑体" w:cs="黑体"/>
          <w:b w:val="0"/>
          <w:bCs w:val="0"/>
          <w:color w:val="auto"/>
          <w:sz w:val="28"/>
          <w:szCs w:val="28"/>
        </w:rPr>
        <w:t xml:space="preserve">一、说明</w:t>
      </w:r>
      <w:r/>
    </w:p>
    <w:p>
      <w:pPr>
        <w:pStyle w:val="914"/>
        <w:ind w:firstLine="560"/>
        <w:keepLines w:val="0"/>
        <w:keepNext w:val="0"/>
        <w:pageBreakBefore w:val="0"/>
        <w:spacing w:line="500" w:lineRule="exact"/>
        <w:widowControl w:val="off"/>
        <w:rPr>
          <w:rFonts w:hint="eastAsia" w:ascii="黑体" w:hAnsi="黑体" w:eastAsia="黑体" w:cs="黑体"/>
          <w:color w:val="auto"/>
          <w:sz w:val="28"/>
          <w:szCs w:val="28"/>
        </w:rPr>
      </w:pPr>
      <w:r>
        <w:rPr>
          <w:rFonts w:hint="eastAsia" w:ascii="黑体" w:hAnsi="黑体" w:eastAsia="黑体" w:cs="黑体"/>
          <w:color w:val="auto"/>
          <w:sz w:val="28"/>
          <w:szCs w:val="28"/>
        </w:rPr>
        <w:t xml:space="preserve">1、</w:t>
      </w:r>
      <w:r>
        <w:rPr>
          <w:rFonts w:hint="eastAsia" w:ascii="黑体" w:hAnsi="黑体" w:eastAsia="黑体" w:cs="黑体"/>
          <w:b w:val="0"/>
          <w:bCs w:val="0"/>
          <w:i/>
          <w:iCs w:val="0"/>
          <w:color w:val="auto"/>
          <w:sz w:val="28"/>
          <w:szCs w:val="28"/>
          <w:u w:val="single"/>
        </w:rPr>
        <w:t xml:space="preserve">对不允许偏离的实质性要求和条件，以黑体加斜体方式提示</w:t>
      </w:r>
      <w:r>
        <w:rPr>
          <w:rFonts w:hint="eastAsia" w:ascii="黑体" w:hAnsi="黑体" w:eastAsia="黑体" w:cs="黑体"/>
          <w:b w:val="0"/>
          <w:bCs w:val="0"/>
          <w:i/>
          <w:iCs w:val="0"/>
          <w:color w:val="auto"/>
          <w:sz w:val="28"/>
          <w:szCs w:val="28"/>
          <w:u w:val="single"/>
          <w:lang w:eastAsia="zh-CN"/>
        </w:rPr>
        <w:t xml:space="preserve">。</w:t>
      </w:r>
      <w:r/>
    </w:p>
    <w:p>
      <w:pPr>
        <w:pStyle w:val="914"/>
        <w:ind w:firstLine="560"/>
        <w:keepLines w:val="0"/>
        <w:keepNext w:val="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2、本项目采购的是非进口产品。</w:t>
      </w:r>
      <w:r/>
    </w:p>
    <w:p>
      <w:pPr>
        <w:pStyle w:val="914"/>
        <w:ind w:firstLine="560"/>
        <w:keepLines w:val="0"/>
        <w:keepNext w:val="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3、本项目不允许分包。</w:t>
      </w:r>
      <w:r/>
    </w:p>
    <w:p>
      <w:pPr>
        <w:pStyle w:val="914"/>
        <w:ind w:firstLine="601"/>
        <w:keepLines w:val="0"/>
        <w:keepNext w:val="0"/>
        <w:pageBreakBefore w:val="0"/>
        <w:spacing w:line="500" w:lineRule="exact"/>
        <w:widowControl w:val="off"/>
        <w:rPr>
          <w:rFonts w:hint="eastAsia" w:ascii="黑体" w:hAnsi="黑体" w:eastAsia="黑体" w:cs="黑体"/>
          <w:b w:val="0"/>
          <w:bCs w:val="0"/>
          <w:color w:val="auto"/>
          <w:sz w:val="28"/>
          <w:szCs w:val="28"/>
        </w:rPr>
      </w:pPr>
      <w:r>
        <w:rPr>
          <w:rFonts w:hint="eastAsia" w:ascii="黑体" w:hAnsi="黑体" w:eastAsia="黑体" w:cs="黑体"/>
          <w:b w:val="0"/>
          <w:bCs w:val="0"/>
          <w:color w:val="auto"/>
          <w:sz w:val="28"/>
          <w:szCs w:val="28"/>
        </w:rPr>
        <w:t xml:space="preserve">二、采购项目预算金额</w:t>
      </w:r>
      <w:r/>
    </w:p>
    <w:p>
      <w:pPr>
        <w:pStyle w:val="914"/>
        <w:ind w:firstLine="601"/>
        <w:spacing w:line="440" w:lineRule="exact"/>
        <w:rPr>
          <w:rFonts w:hint="eastAsia" w:ascii="黑体" w:hAnsi="黑体" w:eastAsia="黑体" w:cs="黑体"/>
          <w:b w:val="0"/>
          <w:bCs w:val="0"/>
          <w:i/>
          <w:iCs/>
          <w:color w:val="auto"/>
          <w:sz w:val="28"/>
          <w:szCs w:val="28"/>
          <w:u w:val="single"/>
        </w:rPr>
      </w:pPr>
      <w:r>
        <w:rPr>
          <w:rFonts w:hint="eastAsia" w:ascii="黑体" w:hAnsi="黑体" w:eastAsia="黑体" w:cs="黑体"/>
          <w:b w:val="0"/>
          <w:bCs w:val="0"/>
          <w:i/>
          <w:iCs/>
          <w:color w:val="auto"/>
          <w:sz w:val="28"/>
          <w:szCs w:val="28"/>
          <w:u w:val="single"/>
        </w:rPr>
        <w:t xml:space="preserve">1、本项目不接受超过</w:t>
      </w:r>
      <w:r>
        <w:rPr>
          <w:rFonts w:hint="eastAsia" w:ascii="黑体" w:hAnsi="黑体" w:eastAsia="黑体" w:cs="黑体"/>
          <w:b w:val="0"/>
          <w:bCs w:val="0"/>
          <w:i/>
          <w:iCs/>
          <w:color w:val="auto"/>
          <w:spacing w:val="-11"/>
          <w:sz w:val="28"/>
          <w:szCs w:val="28"/>
          <w:highlight w:val="none"/>
          <w:u w:val="single"/>
        </w:rPr>
        <w:t xml:space="preserve">人民币</w:t>
      </w:r>
      <w:r>
        <w:rPr>
          <w:rFonts w:hint="eastAsia" w:ascii="黑体" w:hAnsi="黑体" w:eastAsia="黑体" w:cs="黑体"/>
          <w:b w:val="0"/>
          <w:bCs w:val="0"/>
          <w:i/>
          <w:iCs/>
          <w:color w:val="auto"/>
          <w:spacing w:val="-11"/>
          <w:sz w:val="28"/>
          <w:szCs w:val="28"/>
          <w:highlight w:val="none"/>
          <w:u w:val="single"/>
          <w:lang w:val="en-US" w:eastAsia="zh-CN"/>
        </w:rPr>
        <w:t xml:space="preserve"> 壹佰贰拾伍万元整（¥：1250000.00元）</w:t>
      </w:r>
      <w:r>
        <w:rPr>
          <w:rFonts w:hint="eastAsia" w:ascii="黑体" w:hAnsi="黑体" w:eastAsia="黑体" w:cs="黑体"/>
          <w:b w:val="0"/>
          <w:bCs w:val="0"/>
          <w:i/>
          <w:iCs/>
          <w:color w:val="auto"/>
          <w:sz w:val="28"/>
          <w:szCs w:val="28"/>
          <w:u w:val="single"/>
        </w:rPr>
        <w:t xml:space="preserve">（采购项目预算金额）的投标报价。</w:t>
      </w:r>
      <w:r/>
    </w:p>
    <w:p>
      <w:pPr>
        <w:pStyle w:val="914"/>
        <w:ind w:firstLine="601"/>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2、本项目采购的是非进口产品、工程或服务。投标人应当根据采购项目的要求进行报价，“报价”如无特别说明，均指含税价格，包含增值税税款及其他所有税费，发票为增值税专用发票</w:t>
      </w:r>
      <w:r>
        <w:rPr>
          <w:rFonts w:hint="eastAsia" w:ascii="仿宋_GB2312" w:hAnsi="仿宋_GB2312" w:eastAsia="仿宋_GB2312" w:cs="仿宋_GB2312"/>
          <w:color w:val="auto"/>
          <w:sz w:val="28"/>
          <w:szCs w:val="28"/>
        </w:rPr>
        <w:t xml:space="preserve">或增值税普通发票（所包含的仪器设备类为增值税专用发票，物资耗材、工程和服务类为增值税普通发票）。投标人报价应包括全部货物/工程/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pStyle w:val="914"/>
        <w:ind w:firstLine="601"/>
        <w:spacing w:line="440" w:lineRule="exact"/>
        <w:rPr>
          <w:rFonts w:hint="eastAsia" w:ascii="黑体" w:hAnsi="黑体" w:eastAsia="黑体" w:cs="黑体"/>
          <w:b/>
          <w:bCs/>
          <w:color w:val="auto"/>
          <w:sz w:val="28"/>
          <w:szCs w:val="28"/>
          <w:highlight w:val="none"/>
          <w:u w:val="single"/>
        </w:rPr>
      </w:pPr>
      <w:r>
        <w:rPr>
          <w:rFonts w:hint="eastAsia" w:ascii="黑体" w:hAnsi="黑体" w:eastAsia="黑体" w:cs="黑体"/>
          <w:b/>
          <w:bCs/>
          <w:color w:val="auto"/>
          <w:sz w:val="28"/>
          <w:szCs w:val="28"/>
          <w:highlight w:val="none"/>
          <w:u w:val="single"/>
        </w:rPr>
        <w:t xml:space="preserve">特别提醒：</w:t>
      </w:r>
      <w:r/>
    </w:p>
    <w:p>
      <w:pPr>
        <w:pStyle w:val="914"/>
        <w:ind w:firstLine="601"/>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1、该项目要求投标人按采购清单报价（整体投标，不接受某一类产品单独投标或未包含完所有产品的投标）；投标报价为采购清单总价。</w:t>
      </w:r>
      <w:r/>
    </w:p>
    <w:p>
      <w:pPr>
        <w:pStyle w:val="914"/>
        <w:ind w:firstLine="601"/>
        <w:spacing w:line="440" w:lineRule="exact"/>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lang w:val="en-US" w:eastAsia="zh-CN"/>
        </w:rPr>
        <w:t xml:space="preserve">2、</w:t>
      </w:r>
      <w:r>
        <w:rPr>
          <w:rFonts w:hint="eastAsia" w:ascii="仿宋_GB2312" w:hAnsi="仿宋_GB2312" w:eastAsia="仿宋_GB2312" w:cs="仿宋_GB2312"/>
          <w:b/>
          <w:bCs/>
          <w:color w:val="auto"/>
          <w:sz w:val="28"/>
          <w:szCs w:val="28"/>
          <w:highlight w:val="yellow"/>
        </w:rPr>
        <w:t xml:space="preserve">本项目报价包含设备配套的数据集成、线路等所有一切费用，投标</w:t>
      </w:r>
      <w:r>
        <w:rPr>
          <w:rFonts w:hint="eastAsia" w:ascii="仿宋_GB2312" w:hAnsi="仿宋_GB2312" w:eastAsia="仿宋_GB2312" w:cs="仿宋_GB2312"/>
          <w:b/>
          <w:bCs/>
          <w:color w:val="auto"/>
          <w:sz w:val="28"/>
          <w:szCs w:val="28"/>
          <w:highlight w:val="yellow"/>
          <w:lang w:eastAsia="zh-CN"/>
        </w:rPr>
        <w:t xml:space="preserve">供应商</w:t>
      </w:r>
      <w:r>
        <w:rPr>
          <w:rFonts w:hint="eastAsia" w:ascii="仿宋_GB2312" w:hAnsi="仿宋_GB2312" w:eastAsia="仿宋_GB2312" w:cs="仿宋_GB2312"/>
          <w:b/>
          <w:bCs/>
          <w:color w:val="auto"/>
          <w:sz w:val="28"/>
          <w:szCs w:val="28"/>
          <w:highlight w:val="yellow"/>
        </w:rPr>
        <w:t xml:space="preserve">必须确保设备正常使用、所有系统运行正常，如有漏项由投标</w:t>
      </w:r>
      <w:r>
        <w:rPr>
          <w:rFonts w:hint="eastAsia" w:ascii="仿宋_GB2312" w:hAnsi="仿宋_GB2312" w:eastAsia="仿宋_GB2312" w:cs="仿宋_GB2312"/>
          <w:b/>
          <w:bCs/>
          <w:color w:val="auto"/>
          <w:sz w:val="28"/>
          <w:szCs w:val="28"/>
          <w:highlight w:val="yellow"/>
          <w:lang w:eastAsia="zh-CN"/>
        </w:rPr>
        <w:t xml:space="preserve">供应商</w:t>
      </w:r>
      <w:r>
        <w:rPr>
          <w:rFonts w:hint="eastAsia" w:ascii="仿宋_GB2312" w:hAnsi="仿宋_GB2312" w:eastAsia="仿宋_GB2312" w:cs="仿宋_GB2312"/>
          <w:b/>
          <w:bCs/>
          <w:color w:val="auto"/>
          <w:sz w:val="28"/>
          <w:szCs w:val="28"/>
          <w:highlight w:val="yellow"/>
        </w:rPr>
        <w:t xml:space="preserve">自行解决，采购人不再增加任何费用。</w:t>
      </w:r>
      <w:r/>
    </w:p>
    <w:p>
      <w:pPr>
        <w:ind w:firstLine="602"/>
        <w:spacing w:line="440" w:lineRule="exact"/>
        <w:rPr>
          <w:rFonts w:hint="eastAsia" w:ascii="黑体" w:hAnsi="黑体" w:eastAsia="黑体" w:cs="黑体"/>
          <w:b w:val="0"/>
          <w:bCs w:val="0"/>
          <w:color w:val="auto"/>
          <w:sz w:val="28"/>
          <w:szCs w:val="28"/>
        </w:rPr>
      </w:pPr>
      <w:r>
        <w:rPr>
          <w:rFonts w:hint="eastAsia" w:ascii="黑体" w:hAnsi="黑体" w:eastAsia="黑体" w:cs="黑体"/>
          <w:b w:val="0"/>
          <w:bCs w:val="0"/>
          <w:color w:val="auto"/>
          <w:sz w:val="28"/>
          <w:szCs w:val="28"/>
        </w:rPr>
        <w:t xml:space="preserve">三、采购标的内容</w:t>
      </w:r>
      <w:r/>
    </w:p>
    <w:p>
      <w:pPr>
        <w:pStyle w:val="914"/>
        <w:ind w:firstLine="601"/>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（一）项目概况</w:t>
      </w:r>
      <w:r/>
    </w:p>
    <w:p>
      <w:pPr>
        <w:pStyle w:val="914"/>
        <w:ind w:firstLine="601"/>
        <w:spacing w:line="440" w:lineRule="exact"/>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 xml:space="preserve">建设背景</w:t>
      </w:r>
      <w:r/>
    </w:p>
    <w:p>
      <w:pPr>
        <w:pStyle w:val="914"/>
        <w:ind w:firstLine="601"/>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为加强农场管理、提升农场生产效率、促进</w:t>
      </w:r>
      <w:r>
        <w:rPr>
          <w:rFonts w:hint="eastAsia" w:ascii="仿宋_GB2312" w:hAnsi="仿宋_GB2312" w:eastAsia="仿宋_GB2312" w:cs="仿宋_GB2312"/>
          <w:color w:val="auto"/>
          <w:sz w:val="28"/>
          <w:szCs w:val="28"/>
        </w:rPr>
        <w:t xml:space="preserve">农场增产增收，本次数字化农场建设项目，应用物联网技术、卫星遥感技术、高分辨率影像分析处理技术等，利用智能化设备，力求化解无人或少人状态下的农场农情监测、灾害评估、精细化农事操作等大田精细化作业技术难题，帮助管理者及时掌握农场情况，从而有效提升农业耕作精细化程度和智能化管理水平，进一步提升农业经济优势，打造农情准监测、农事精作业、农业高科技的“精、准、高”智慧农场综合管理示范样板。银宝集团作为全市唯一的国有农业产业化国家重点龙头企业，正致力于探索打造智慧农业四级标准，以智慧农业为核心，推动农业数字化、产业化。</w:t>
      </w:r>
      <w:r/>
    </w:p>
    <w:p>
      <w:pPr>
        <w:pStyle w:val="914"/>
        <w:ind w:firstLine="601"/>
        <w:spacing w:line="440" w:lineRule="exact"/>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 xml:space="preserve">建设目标</w:t>
      </w:r>
      <w:r/>
    </w:p>
    <w:p>
      <w:pPr>
        <w:pStyle w:val="914"/>
        <w:ind w:firstLine="601"/>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以“建模式、搞示范、提水平”为主要目标，充分利用遥感、物联网、互联网、人工智能、深度学习等现代信息技术，以荻垛数字农场为载体，搭建数字化生产软硬件环境，全面汇聚农情、农事等多项数据资源，创新数字信息服务在产业体系、生产体系、服务体系中的应用。</w:t>
      </w:r>
      <w:r/>
    </w:p>
    <w:p>
      <w:pPr>
        <w:pStyle w:val="914"/>
        <w:ind w:firstLine="601"/>
        <w:spacing w:line="440" w:lineRule="exact"/>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 xml:space="preserve">建设内容</w:t>
      </w:r>
      <w:r/>
    </w:p>
    <w:p>
      <w:pPr>
        <w:pStyle w:val="914"/>
        <w:ind w:firstLine="601"/>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项目总体建设包括农场数据资源中心1项、农场数字化管控平台1项、配套物联网设备1项、农田灌溉智能化改造1项、数据安全建设1项。</w:t>
      </w:r>
      <w:r/>
    </w:p>
    <w:p>
      <w:pPr>
        <w:pStyle w:val="914"/>
        <w:ind w:firstLine="601"/>
        <w:jc w:val="center"/>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表 </w:t>
      </w: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 SEQ 表 \* ARABIC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 w:val="28"/>
          <w:szCs w:val="28"/>
        </w:rPr>
        <w:t xml:space="preserve">1</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rPr>
        <w:t xml:space="preserve"> 采购清单</w:t>
      </w:r>
      <w:r/>
    </w:p>
    <w:tbl>
      <w:tblPr>
        <w:tblStyle w:val="70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96"/>
        <w:gridCol w:w="2736"/>
        <w:gridCol w:w="5036"/>
        <w:gridCol w:w="1020"/>
      </w:tblGrid>
      <w:tr>
        <w:trPr>
          <w:trHeight w:val="321"/>
        </w:trPr>
        <w:tc>
          <w:tcPr>
            <w:shd w:val="clear" w:color="auto" w:fill="f1f1f1"/>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序号</w:t>
            </w:r>
            <w:r/>
          </w:p>
        </w:tc>
        <w:tc>
          <w:tcPr>
            <w:shd w:val="clear" w:color="auto" w:fill="f1f1f1"/>
            <w:tcBorders>
              <w:top w:val="single" w:color="auto" w:sz="4" w:space="0"/>
              <w:left w:val="none" w:color="000000" w:sz="4" w:space="0"/>
              <w:bottom w:val="single" w:color="auto" w:sz="4" w:space="0"/>
              <w:right w:val="single" w:color="auto" w:sz="4" w:space="0"/>
            </w:tcBorders>
            <w:tcW w:w="1388" w:type="pct"/>
            <w:vAlign w:val="center"/>
            <w:textDirection w:val="lrTb"/>
            <w:noWrap w:val="false"/>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采购内容</w:t>
            </w:r>
            <w:r/>
          </w:p>
        </w:tc>
        <w:tc>
          <w:tcPr>
            <w:shd w:val="clear" w:color="auto" w:fill="f1f1f1"/>
            <w:tcBorders>
              <w:top w:val="single" w:color="auto" w:sz="4" w:space="0"/>
              <w:left w:val="none" w:color="000000" w:sz="4" w:space="0"/>
              <w:bottom w:val="single" w:color="auto" w:sz="4" w:space="0"/>
              <w:right w:val="single" w:color="auto" w:sz="4" w:space="0"/>
            </w:tcBorders>
            <w:tcW w:w="2761" w:type="pct"/>
            <w:vAlign w:val="center"/>
            <w:textDirection w:val="lrTb"/>
            <w:noWrap w:val="false"/>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详细内容</w:t>
            </w:r>
            <w:r/>
          </w:p>
        </w:tc>
        <w:tc>
          <w:tcPr>
            <w:shd w:val="clear" w:color="auto" w:fill="f1f1f1"/>
            <w:tcBorders>
              <w:top w:val="single" w:color="auto" w:sz="4" w:space="0"/>
              <w:left w:val="none" w:color="000000" w:sz="4" w:space="0"/>
              <w:bottom w:val="single" w:color="auto" w:sz="4" w:space="0"/>
              <w:right w:val="single" w:color="auto" w:sz="4" w:space="0"/>
            </w:tcBorders>
            <w:tcW w:w="599" w:type="pct"/>
            <w:textDirection w:val="lrTb"/>
            <w:noWrap w:val="false"/>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数量单位</w:t>
            </w:r>
            <w:r/>
          </w:p>
        </w:tc>
      </w:tr>
      <w:tr>
        <w:trPr>
          <w:trHeight w:val="339"/>
        </w:trPr>
        <w:tc>
          <w:tcPr>
            <w:tcBorders>
              <w:top w:val="none" w:color="000000" w:sz="4" w:space="0"/>
              <w:left w:val="single" w:color="auto" w:sz="4" w:space="0"/>
              <w:bottom w:val="single" w:color="auto" w:sz="4" w:space="0"/>
              <w:right w:val="single" w:color="auto" w:sz="4" w:space="0"/>
            </w:tcBorders>
            <w:tcW w:w="252" w:type="pct"/>
            <w:vAlign w:val="center"/>
            <w:textDirection w:val="lrTb"/>
            <w:noWrap/>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c>
          <w:tcPr>
            <w:tcBorders>
              <w:top w:val="none" w:color="000000" w:sz="4" w:space="0"/>
              <w:left w:val="none" w:color="000000" w:sz="4" w:space="0"/>
              <w:bottom w:val="single" w:color="auto" w:sz="4" w:space="0"/>
              <w:right w:val="single" w:color="auto" w:sz="4" w:space="0"/>
            </w:tcBorders>
            <w:tcW w:w="1388" w:type="pct"/>
            <w:vAlign w:val="center"/>
            <w:textDirection w:val="lrTb"/>
            <w:noWrap/>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农场数据资源中心</w:t>
            </w:r>
            <w:r/>
          </w:p>
        </w:tc>
        <w:tc>
          <w:tcPr>
            <w:tcBorders>
              <w:top w:val="none" w:color="000000" w:sz="4" w:space="0"/>
              <w:left w:val="none" w:color="000000" w:sz="4" w:space="0"/>
              <w:bottom w:val="single" w:color="auto" w:sz="4" w:space="0"/>
              <w:right w:val="single" w:color="auto" w:sz="4" w:space="0"/>
            </w:tcBorders>
            <w:tcW w:w="2761" w:type="pct"/>
            <w:vAlign w:val="center"/>
            <w:textDirection w:val="lrTb"/>
            <w:noWrap w:val="false"/>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建设农场基础数据和专题数据汇集农场日常管理数据、农业生产数据、卫星遥感数据、视频监控数据、气象数据、土壤监测数据等，进行专题数据资源库建设。预留数据接口，未来支持实现与省“苏农云”平台的对接。</w:t>
            </w:r>
            <w:r/>
          </w:p>
        </w:tc>
        <w:tc>
          <w:tcPr>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1项</w:t>
            </w:r>
            <w:r/>
          </w:p>
        </w:tc>
      </w:tr>
      <w:tr>
        <w:trPr>
          <w:trHeight w:val="559"/>
        </w:trPr>
        <w:tc>
          <w:tcPr>
            <w:tcBorders>
              <w:top w:val="none" w:color="000000" w:sz="4" w:space="0"/>
              <w:left w:val="single" w:color="auto" w:sz="4" w:space="0"/>
              <w:bottom w:val="single" w:color="auto" w:sz="4" w:space="0"/>
              <w:right w:val="single" w:color="auto" w:sz="4" w:space="0"/>
            </w:tcBorders>
            <w:tcW w:w="252" w:type="pct"/>
            <w:vAlign w:val="center"/>
            <w:textDirection w:val="lrTb"/>
            <w:noWrap/>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w:t>
            </w:r>
            <w:r/>
          </w:p>
        </w:tc>
        <w:tc>
          <w:tcPr>
            <w:tcBorders>
              <w:top w:val="none" w:color="000000" w:sz="4" w:space="0"/>
              <w:left w:val="none" w:color="000000" w:sz="4" w:space="0"/>
              <w:bottom w:val="single" w:color="auto" w:sz="4" w:space="0"/>
              <w:right w:val="single" w:color="auto" w:sz="4" w:space="0"/>
            </w:tcBorders>
            <w:tcW w:w="1388" w:type="pct"/>
            <w:vAlign w:val="center"/>
            <w:textDirection w:val="lrTb"/>
            <w:noWrap/>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农场数字化管控平台</w:t>
            </w:r>
            <w:r/>
          </w:p>
        </w:tc>
        <w:tc>
          <w:tcPr>
            <w:tcBorders>
              <w:top w:val="none" w:color="000000" w:sz="4" w:space="0"/>
              <w:left w:val="none" w:color="000000" w:sz="4" w:space="0"/>
              <w:bottom w:val="single" w:color="auto" w:sz="4" w:space="0"/>
              <w:right w:val="single" w:color="auto" w:sz="4" w:space="0"/>
            </w:tcBorders>
            <w:tcW w:w="2761" w:type="pct"/>
            <w:vAlign w:val="center"/>
            <w:textDirection w:val="lrTb"/>
            <w:noWrap w:val="false"/>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建设农场数字化管控平台，实现农场全域资源管理、农情监测预警、多元决策驾驶舱、新农人助手及资源数据中心的数据呈现。</w:t>
            </w:r>
            <w:r/>
          </w:p>
        </w:tc>
        <w:tc>
          <w:tcPr>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1项</w:t>
            </w:r>
            <w:r/>
          </w:p>
        </w:tc>
      </w:tr>
      <w:tr>
        <w:trPr>
          <w:trHeight w:val="479"/>
        </w:trPr>
        <w:tc>
          <w:tcPr>
            <w:tcBorders>
              <w:top w:val="single" w:color="auto" w:sz="4" w:space="0"/>
              <w:left w:val="single" w:color="auto" w:sz="4" w:space="0"/>
              <w:bottom w:val="single" w:color="auto" w:sz="4" w:space="0"/>
              <w:right w:val="single" w:color="auto" w:sz="4" w:space="0"/>
            </w:tcBorders>
            <w:tcW w:w="252" w:type="pct"/>
            <w:vAlign w:val="center"/>
            <w:textDirection w:val="lrTb"/>
            <w:noWrap/>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3</w:t>
            </w:r>
            <w:r/>
          </w:p>
        </w:tc>
        <w:tc>
          <w:tcPr>
            <w:tcBorders>
              <w:top w:val="single" w:color="auto" w:sz="4" w:space="0"/>
              <w:left w:val="none" w:color="000000" w:sz="4" w:space="0"/>
              <w:bottom w:val="single" w:color="auto" w:sz="4" w:space="0"/>
              <w:right w:val="single" w:color="auto" w:sz="4" w:space="0"/>
            </w:tcBorders>
            <w:tcW w:w="1388" w:type="pct"/>
            <w:vAlign w:val="center"/>
            <w:textDirection w:val="lrTb"/>
            <w:noWrap/>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配套物联网设备</w:t>
            </w:r>
            <w:r/>
          </w:p>
        </w:tc>
        <w:tc>
          <w:tcPr>
            <w:tcBorders>
              <w:top w:val="single" w:color="auto" w:sz="4" w:space="0"/>
              <w:left w:val="none" w:color="000000" w:sz="4" w:space="0"/>
              <w:bottom w:val="single" w:color="auto" w:sz="4" w:space="0"/>
              <w:right w:val="single" w:color="auto" w:sz="4" w:space="0"/>
            </w:tcBorders>
            <w:tcW w:w="2761" w:type="pct"/>
            <w:vAlign w:val="center"/>
            <w:textDirection w:val="lrTb"/>
            <w:noWrap w:val="false"/>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建设田间环境气象站、土壤墒情仪、智能虫情远程监测设备、视频监控、多光谱无人机等设备，对农场内的农业四情数据进行实时监测。</w:t>
            </w:r>
            <w:r/>
          </w:p>
        </w:tc>
        <w:tc>
          <w:tcPr>
            <w:tcBorders>
              <w:top w:val="single" w:color="auto" w:sz="4" w:space="0"/>
              <w:left w:val="none" w:color="000000" w:sz="4" w:space="0"/>
              <w:bottom w:val="single" w:color="auto" w:sz="4" w:space="0"/>
              <w:right w:val="single" w:color="auto" w:sz="4" w:space="0"/>
            </w:tcBorders>
            <w:tcW w:w="599" w:type="pct"/>
            <w:vAlign w:val="center"/>
            <w:textDirection w:val="lrTb"/>
            <w:noWrap w:val="false"/>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1项</w:t>
            </w:r>
            <w:r/>
          </w:p>
        </w:tc>
      </w:tr>
      <w:tr>
        <w:trPr>
          <w:trHeight w:val="479"/>
        </w:trPr>
        <w:tc>
          <w:tcPr>
            <w:tcBorders>
              <w:top w:val="single" w:color="auto" w:sz="4" w:space="0"/>
              <w:left w:val="single" w:color="auto" w:sz="4" w:space="0"/>
              <w:bottom w:val="single" w:color="auto" w:sz="4" w:space="0"/>
              <w:right w:val="single" w:color="auto" w:sz="4" w:space="0"/>
            </w:tcBorders>
            <w:tcW w:w="252" w:type="pct"/>
            <w:vAlign w:val="center"/>
            <w:textDirection w:val="lrTb"/>
            <w:noWrap/>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4</w:t>
            </w:r>
            <w:r/>
          </w:p>
        </w:tc>
        <w:tc>
          <w:tcPr>
            <w:tcBorders>
              <w:top w:val="single" w:color="auto" w:sz="4" w:space="0"/>
              <w:left w:val="none" w:color="000000" w:sz="4" w:space="0"/>
              <w:bottom w:val="single" w:color="auto" w:sz="4" w:space="0"/>
              <w:right w:val="single" w:color="auto" w:sz="4" w:space="0"/>
            </w:tcBorders>
            <w:tcW w:w="1388" w:type="pct"/>
            <w:vAlign w:val="center"/>
            <w:textDirection w:val="lrTb"/>
            <w:noWrap/>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农田灌溉智能化改造</w:t>
            </w:r>
            <w:r/>
          </w:p>
        </w:tc>
        <w:tc>
          <w:tcPr>
            <w:tcBorders>
              <w:top w:val="single" w:color="auto" w:sz="4" w:space="0"/>
              <w:left w:val="none" w:color="000000" w:sz="4" w:space="0"/>
              <w:bottom w:val="single" w:color="auto" w:sz="4" w:space="0"/>
              <w:right w:val="single" w:color="auto" w:sz="4" w:space="0"/>
            </w:tcBorders>
            <w:tcW w:w="2761" w:type="pct"/>
            <w:vAlign w:val="center"/>
            <w:textDirection w:val="lrTb"/>
            <w:noWrap w:val="false"/>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结合水位传感器针对作物不同生长期自动判断大田水位的高低，农事管理人员和作业人员可根据数字处方或自己的需求设置作物在不同时期的水位上下限及是否自动供排水，当水位低于或超出警戒线会自动告警，由农事管理人员和作业人员控制系统通过开关阀门进行自动供排水。</w:t>
            </w:r>
            <w:r/>
          </w:p>
        </w:tc>
        <w:tc>
          <w:tcPr>
            <w:tcBorders>
              <w:top w:val="single" w:color="auto" w:sz="4" w:space="0"/>
              <w:left w:val="none" w:color="000000" w:sz="4" w:space="0"/>
              <w:bottom w:val="single" w:color="auto" w:sz="4" w:space="0"/>
              <w:right w:val="single" w:color="auto" w:sz="4" w:space="0"/>
            </w:tcBorders>
            <w:tcW w:w="599" w:type="pct"/>
            <w:vAlign w:val="center"/>
            <w:textDirection w:val="lrTb"/>
            <w:noWrap w:val="false"/>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1项</w:t>
            </w:r>
            <w:r/>
          </w:p>
        </w:tc>
      </w:tr>
      <w:tr>
        <w:trPr>
          <w:trHeight w:val="479"/>
        </w:trPr>
        <w:tc>
          <w:tcPr>
            <w:tcBorders>
              <w:top w:val="single" w:color="auto" w:sz="4" w:space="0"/>
              <w:left w:val="single" w:color="auto" w:sz="4" w:space="0"/>
              <w:bottom w:val="single" w:color="auto" w:sz="4" w:space="0"/>
              <w:right w:val="single" w:color="auto" w:sz="4" w:space="0"/>
            </w:tcBorders>
            <w:tcW w:w="252" w:type="pct"/>
            <w:vAlign w:val="center"/>
            <w:textDirection w:val="lrTb"/>
            <w:noWrap/>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5</w:t>
            </w:r>
            <w:r/>
          </w:p>
        </w:tc>
        <w:tc>
          <w:tcPr>
            <w:tcBorders>
              <w:top w:val="single" w:color="auto" w:sz="4" w:space="0"/>
              <w:left w:val="none" w:color="000000" w:sz="4" w:space="0"/>
              <w:bottom w:val="single" w:color="auto" w:sz="4" w:space="0"/>
              <w:right w:val="single" w:color="auto" w:sz="4" w:space="0"/>
            </w:tcBorders>
            <w:tcW w:w="1388" w:type="pct"/>
            <w:vAlign w:val="center"/>
            <w:textDirection w:val="lrTb"/>
            <w:noWrap/>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数据安全建设</w:t>
            </w:r>
            <w:r/>
          </w:p>
        </w:tc>
        <w:tc>
          <w:tcPr>
            <w:tcBorders>
              <w:top w:val="single" w:color="auto" w:sz="4" w:space="0"/>
              <w:left w:val="none" w:color="000000" w:sz="4" w:space="0"/>
              <w:bottom w:val="single" w:color="auto" w:sz="4" w:space="0"/>
              <w:right w:val="single" w:color="auto" w:sz="4" w:space="0"/>
            </w:tcBorders>
            <w:tcW w:w="2761" w:type="pct"/>
            <w:vAlign w:val="center"/>
            <w:textDirection w:val="lrTb"/>
            <w:noWrap w:val="false"/>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项目建设按照等保二级要求，构建项目安全防护体系，并在建成后对项目进行等级保护测评，全方面对信息系统进行全面评估。</w:t>
            </w:r>
            <w:r/>
          </w:p>
        </w:tc>
        <w:tc>
          <w:tcPr>
            <w:tcBorders>
              <w:top w:val="single" w:color="auto" w:sz="4" w:space="0"/>
              <w:left w:val="none" w:color="000000" w:sz="4" w:space="0"/>
              <w:bottom w:val="single" w:color="auto" w:sz="4" w:space="0"/>
              <w:right w:val="single" w:color="auto" w:sz="4" w:space="0"/>
            </w:tcBorders>
            <w:tcW w:w="599" w:type="pct"/>
            <w:vAlign w:val="center"/>
            <w:textDirection w:val="lrTb"/>
            <w:noWrap w:val="false"/>
          </w:tcPr>
          <w:p>
            <w:pPr>
              <w:pStyle w:val="914"/>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1项</w:t>
            </w:r>
            <w:r/>
          </w:p>
        </w:tc>
      </w:tr>
    </w:tbl>
    <w:p>
      <w:pPr>
        <w:pStyle w:val="914"/>
        <w:ind w:firstLine="601"/>
        <w:spacing w:line="44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（二）项目采购清单及参数需求</w:t>
      </w:r>
      <w:r/>
    </w:p>
    <w:p>
      <w:pPr>
        <w:pStyle w:val="914"/>
        <w:ind w:firstLine="601"/>
        <w:spacing w:line="440" w:lineRule="exact"/>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 xml:space="preserve">1软件采购清单</w:t>
      </w:r>
      <w:r/>
    </w:p>
    <w:tbl>
      <w:tblPr>
        <w:tblStyle w:val="701"/>
        <w:tblW w:w="5296" w:type="pct"/>
        <w:tblInd w:w="-4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818"/>
        <w:gridCol w:w="460"/>
        <w:gridCol w:w="807"/>
        <w:gridCol w:w="1411"/>
        <w:gridCol w:w="4683"/>
        <w:gridCol w:w="496"/>
        <w:gridCol w:w="581"/>
      </w:tblGrid>
      <w:tr>
        <w:trPr>
          <w:trHeight w:val="327"/>
        </w:trPr>
        <w:tc>
          <w:tcPr>
            <w:shd w:val="clear" w:color="auto" w:fill="auto"/>
            <w:tcW w:w="296"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序号</w:t>
            </w:r>
            <w:r/>
          </w:p>
        </w:tc>
        <w:tc>
          <w:tcPr>
            <w:shd w:val="clear" w:color="auto" w:fill="auto"/>
            <w:tcW w:w="416"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服务名称</w:t>
            </w:r>
            <w:r/>
          </w:p>
        </w:tc>
        <w:tc>
          <w:tcPr>
            <w:gridSpan w:val="2"/>
            <w:shd w:val="clear" w:color="auto" w:fill="auto"/>
            <w:tcW w:w="644"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功能名称</w:t>
            </w:r>
            <w:r/>
          </w:p>
        </w:tc>
        <w:tc>
          <w:tcPr>
            <w:shd w:val="clear" w:color="auto" w:fill="auto"/>
            <w:tcW w:w="717"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建设内容</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参数及性能</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单位</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数量</w:t>
            </w:r>
            <w:r/>
          </w:p>
        </w:tc>
      </w:tr>
      <w:tr>
        <w:trPr>
          <w:trHeight w:val="327"/>
        </w:trPr>
        <w:tc>
          <w:tcPr>
            <w:shd w:val="clear" w:color="auto" w:fill="auto"/>
            <w:tcW w:w="296" w:type="pct"/>
            <w:vAlign w:val="center"/>
            <w:vMerge w:val="restart"/>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c>
          <w:tcPr>
            <w:shd w:val="clear" w:color="auto" w:fill="auto"/>
            <w:tcW w:w="416" w:type="pct"/>
            <w:vAlign w:val="center"/>
            <w:vMerge w:val="restart"/>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农场数字化管控平台</w:t>
            </w:r>
            <w:r/>
          </w:p>
        </w:tc>
        <w:tc>
          <w:tcPr>
            <w:gridSpan w:val="2"/>
            <w:shd w:val="clear" w:color="auto" w:fill="auto"/>
            <w:tcW w:w="644" w:type="pct"/>
            <w:vAlign w:val="center"/>
            <w:vMerge w:val="restart"/>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数据资源中心</w:t>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基础资源库</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1.采集农场基础地理信息数据，进行基础资源库建设</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1263"/>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gridSpan w:val="2"/>
            <w:shd w:val="clear" w:color="auto" w:fill="auto"/>
            <w:tcW w:w="644"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专题资源库</w:t>
            </w:r>
            <w:r/>
          </w:p>
        </w:tc>
        <w:tc>
          <w:tcPr>
            <w:shd w:val="clear" w:color="auto" w:fill="auto"/>
            <w:tcW w:w="2380"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2.采集汇集农场日常管理数据、农业生产数据、卫星遥感数据、视频监控数据、气象数据、土壤监测数据等，进行专题数据资源库建设</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639"/>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gridSpan w:val="2"/>
            <w:shd w:val="clear" w:color="auto" w:fill="auto"/>
            <w:tcW w:w="644"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接口预留、苏农云对接</w:t>
            </w:r>
            <w:r/>
          </w:p>
        </w:tc>
        <w:tc>
          <w:tcPr>
            <w:shd w:val="clear" w:color="auto" w:fill="auto"/>
            <w:tcW w:w="2380"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3.预留数据接口，未来支持实现与省“苏农云”平台的对接</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327"/>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gridSpan w:val="2"/>
            <w:shd w:val="clear" w:color="auto" w:fill="auto"/>
            <w:tcW w:w="644" w:type="pct"/>
            <w:vAlign w:val="center"/>
            <w:vMerge w:val="restart"/>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全域资源管理</w:t>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农田资源盘点</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4.借助卫星遥感，对农场种植基地开展基础地块数据搜集，按照农田地块形态、耕种方向、行距垄距和图像纹理等特征，识别农场种植基地地块的边界，并对基地地块面积进行测算和精准划分，在地图上矢量化展示农场种植基地的概况。</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327"/>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gridSpan w:val="2"/>
            <w:shd w:val="clear" w:color="auto" w:fill="auto"/>
            <w:tcW w:w="644"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物联设备管理</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5.提供物联设备包括视频监控、环境监测设备、土壤墒情仪的品牌、型号、性能及相关维保信息，支持台账信息的增加、删除、修改、查询等，满足管理者按地块编号搜索物联设备的信息。</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327"/>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gridSpan w:val="2"/>
            <w:shd w:val="clear" w:color="auto" w:fill="auto"/>
            <w:tcW w:w="644"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质量安全管理</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6.支持整地、育苗、灌溉、施肥、病虫害防治、采收、加工、检测等农事操作的规范记录和信息化管理，实现人、时间、地块、农事操作信息的关联。</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327"/>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234" w:type="pct"/>
            <w:vAlign w:val="center"/>
            <w:vMerge w:val="restart"/>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农情监测预警</w:t>
            </w:r>
            <w:r/>
          </w:p>
        </w:tc>
        <w:tc>
          <w:tcPr>
            <w:shd w:val="clear" w:color="auto" w:fill="auto"/>
            <w:tcW w:w="410" w:type="pct"/>
            <w:vAlign w:val="center"/>
            <w:vMerge w:val="restart"/>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基于遥感的农田种植监测</w:t>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作物识别</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7.通过采用深度学习技术，采用历年及最新的高分辨率卫星的遥感影像进行图像解译，构建水稻等主要种植作物识别模型，实现对监测区域内农田种植农作物种类的精确识别和分类，计算和统计作物的实际种植面积及分布。</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327"/>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234"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0"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作物长势监测</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8.利用多源卫星影像数据，反演相关植被指数，对农作物（水稻、小麦）的生长趋势进行不间断地观察，获得农作物（水稻、小麦）长势的综合评估，为农业生产者提供农作物（水稻、小麦）生长过程的状况，便于对农作物（水稻、小麦）的生长过程进行管理和监控。</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327"/>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234"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0"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作物熟期监测</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9.结合作物种植生长各个阶段的状态，利用历史遥感影像、历史气象数据、土壤数据等，综合判断作物成熟度及收获最佳时间，为作物及时收获提供决策支持。</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327"/>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234"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0"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作物产量预估</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10.综合历史耕地单产数据、产量数据、气象数据、卫星遥感数据等，对农作物（水稻、小麦）产量进行评估。</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327"/>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234"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0"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精准气象服务</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11.气象灾害预报基于站点观测数据和气象数据，包括农业气象历史数据。采用大数据分析等技术，为用户提供快速、及时、准确的农业气象灾害预报信息。</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327"/>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234"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0"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病害监测预警</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12.结合气象数据与历史病虫害数据，利用大数据分析技术，针对水稻稻瘟病、小麦赤霉病建立稻麦病害监测预警模型，对未来8天可能会发生的病害区域和时间进行预测。</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639"/>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234"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0"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基于无人机的农田农田巡防</w:t>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无人机巡田防护</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13.运用巡田无人机，利用固定翼/多旋翼无人机搭载CCD、多光谱相机等设备，围绕农作物分类、覆盖度监测、病虫害监测、作物生长情况监测、灌溉情况监测、非粮化监测等展开巡田工作，实现大范围、低空、精准农田农情监测等工作，科学指导农场农业生产。</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327"/>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234"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0" w:type="pct"/>
            <w:vAlign w:val="center"/>
            <w:vMerge w:val="restart"/>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基于物联网的农田环境监测</w:t>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土壤墒情监测</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14.对接土壤温湿度、土壤氮磷钾、PH等实时监测数据，实现数据的实时监测、历史数据查询、异常数据报警等。</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327"/>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234"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0"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农田环境监测</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15.基于地图实时展示基地农田环境传感器采集的空气温度、空气湿度、气压、风速、风向、降雨量等信息。</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327"/>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234"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0"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田间虫情</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16.定时采集现场图像，自动上传对接到平台中，帮助农事管理或操作人员远程了解基地田间虫情情况与变化，制定防治措施。</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90"/>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234"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0"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农田视频监控</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17.利用网络接入摄像头设备，基于地图实时展示高清摄像设备采集的作物播种情况、作物生长情况、投入品使用情况、病虫害状况、生产区域状况等信息。</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327"/>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gridSpan w:val="2"/>
            <w:shd w:val="clear" w:color="auto" w:fill="auto"/>
            <w:tcW w:w="644" w:type="pct"/>
            <w:vAlign w:val="center"/>
            <w:vMerge w:val="restart"/>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多元决策驾驶舱</w:t>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全景决策驾驶舱</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18.运用无人机以精度10cm进行倾斜摄影，建立三维模型，以农场发展全貌数字化为基础，为管理者提供“一站式”的数字农场建设工作辅助决策支持，建设农场全景概览，一览荻垛智慧农场基础设施、建设布局等。</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327"/>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gridSpan w:val="2"/>
            <w:shd w:val="clear" w:color="auto" w:fill="auto"/>
            <w:tcW w:w="644"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多元决策驾驶舱-气象服务指导专题</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19.以动态地图、统计图表形式展示农场当年及历史冬季平均累计降水、累计降水距平、平均温、平均温距平、最低温、最低温距平等信息；同时展示农场农业春播新闻和入冬气象与备耕观点。包括春播适宜区域预报以及播种与苗情监测。</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327"/>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gridSpan w:val="2"/>
            <w:shd w:val="clear" w:color="auto" w:fill="auto"/>
            <w:tcW w:w="644"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多元决策驾驶舱-种植监测专题</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20.全方位展示农场农作物长势状况、土壤墒情、农业气象，灾害预警等农作物生长信息，并将数据进行统计分析，以柱状图、折线图、饼状图等多种形式进行直观展示。</w:t>
            </w:r>
            <w:r/>
          </w:p>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实时动态更新农场农作物适宜收获区域，预测农作物产量、气象状况等信息，综合建立作物的生长成熟模型，确定作物的成熟时间范围。</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327"/>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gridSpan w:val="2"/>
            <w:shd w:val="clear" w:color="auto" w:fill="auto"/>
            <w:tcW w:w="644"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多元决策驾驶舱-粮储管理专题</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21.收获的部分粮食作物作为来年的储存粮食，可储存于荻垛现有粮仓中，结合大数据、物联网等技术，实时监测粮仓内的环境变化，辅助管理人员及时采取相应措施，保障粮食作物的储存环境。</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327"/>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gridSpan w:val="2"/>
            <w:shd w:val="clear" w:color="auto" w:fill="auto"/>
            <w:tcW w:w="644" w:type="pct"/>
            <w:vAlign w:val="center"/>
            <w:vMerge w:val="restart"/>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田小助，移动端</w:t>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农事作业管理</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22.提供移动端的农事作业记录模块，支持地图查看、检索农事记录，快速检索回溯农田数字笔记。</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327"/>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gridSpan w:val="2"/>
            <w:shd w:val="clear" w:color="auto" w:fill="auto"/>
            <w:tcW w:w="644"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作物长势监测</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23.小程序提供作物生长状况实时监测，支持查看水稻、小麦、玉米等主粮作物的长势变化情况</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327"/>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gridSpan w:val="2"/>
            <w:shd w:val="clear" w:color="auto" w:fill="auto"/>
            <w:tcW w:w="644"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气象变化监测</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24.通过小程序对区域内的气象变化进行监测，包括周均温、年积温、周降水等数据的变化，同时能够提供对积温、累积降水、均温等数据分析，包括短期内当前与历史同时期对比、现在与历史十年的平均对比分析。</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327"/>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gridSpan w:val="2"/>
            <w:shd w:val="clear" w:color="auto" w:fill="auto"/>
            <w:tcW w:w="644"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物联监测预警</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25.通过该模块实现建设物联网实时监测数据的查阅，以及预警信息的接收，方便相关人员及时了解大田作物生长的环境信息。</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r>
        <w:trPr>
          <w:trHeight w:val="327"/>
        </w:trPr>
        <w:tc>
          <w:tcPr>
            <w:shd w:val="clear" w:color="auto" w:fill="auto"/>
            <w:tcW w:w="29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416"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gridSpan w:val="2"/>
            <w:shd w:val="clear" w:color="auto" w:fill="auto"/>
            <w:tcW w:w="644" w:type="pct"/>
            <w:vAlign w:val="center"/>
            <w:vMerge w:val="continue"/>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c>
          <w:tcPr>
            <w:shd w:val="clear" w:color="auto" w:fill="auto"/>
            <w:tcW w:w="717" w:type="pct"/>
            <w:vAlign w:val="center"/>
            <w:textDirection w:val="lrTb"/>
            <w:noWrap w:val="false"/>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病虫害风险提示</w:t>
            </w:r>
            <w:r/>
          </w:p>
        </w:tc>
        <w:tc>
          <w:tcPr>
            <w:shd w:val="clear" w:color="auto" w:fill="auto"/>
            <w:tcW w:w="2380"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26.用于水稻稻瘟病、小麦赤霉病的病害风险预警、虫害风险预警等提示，农事管理人员、农事作业人员在小程序可收到预警信息，后续可根据预警信息实地查看情况</w:t>
            </w:r>
            <w:r/>
          </w:p>
        </w:tc>
        <w:tc>
          <w:tcPr>
            <w:shd w:val="clear" w:color="auto" w:fill="auto"/>
            <w:tcW w:w="252"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shd w:val="clear" w:color="auto" w:fill="auto"/>
            <w:tcW w:w="295" w:type="pct"/>
            <w:vAlign w:val="center"/>
            <w:textDirection w:val="lrTb"/>
            <w:noWrap/>
          </w:tcPr>
          <w:p>
            <w:pPr>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r>
    </w:tbl>
    <w:p>
      <w:pPr>
        <w:pStyle w:val="914"/>
        <w:ind w:firstLine="601"/>
        <w:spacing w:line="440" w:lineRule="exact"/>
        <w:rPr>
          <w:rFonts w:hint="eastAsia" w:ascii="仿宋_GB2312" w:hAnsi="仿宋_GB2312" w:eastAsia="仿宋_GB2312" w:cs="仿宋_GB2312"/>
          <w:b/>
          <w:bCs w:val="0"/>
          <w:color w:val="auto"/>
          <w:sz w:val="28"/>
          <w:szCs w:val="28"/>
        </w:rPr>
      </w:pPr>
      <w:r>
        <w:rPr>
          <w:rFonts w:hint="eastAsia" w:ascii="仿宋_GB2312" w:hAnsi="仿宋_GB2312" w:eastAsia="仿宋_GB2312" w:cs="仿宋_GB2312"/>
          <w:b/>
          <w:bCs w:val="0"/>
          <w:color w:val="auto"/>
          <w:sz w:val="28"/>
          <w:szCs w:val="28"/>
        </w:rPr>
        <w:t xml:space="preserve">2硬件设备采购清单</w:t>
      </w:r>
      <w:r/>
    </w:p>
    <w:tbl>
      <w:tblPr>
        <w:tblStyle w:val="70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808"/>
        <w:gridCol w:w="4663"/>
        <w:gridCol w:w="636"/>
        <w:gridCol w:w="747"/>
        <w:gridCol w:w="658"/>
      </w:tblGrid>
      <w:tr>
        <w:trPr>
          <w:trHeight w:val="270"/>
        </w:trPr>
        <w:tc>
          <w:tcPr>
            <w:gridSpan w:val="6"/>
            <w:tcW w:w="5000" w:type="pct"/>
            <w:vAlign w:val="center"/>
            <w:textDirection w:val="lrTb"/>
            <w:noWrap/>
          </w:tcPr>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一、配套物联网设备</w:t>
            </w:r>
            <w:r/>
          </w:p>
        </w:tc>
      </w:tr>
      <w:tr>
        <w:trPr>
          <w:trHeight w:val="365"/>
        </w:trPr>
        <w:tc>
          <w:tcPr>
            <w:tcW w:w="394" w:type="pct"/>
            <w:vAlign w:val="center"/>
            <w:textDirection w:val="lrTb"/>
            <w:noWrap/>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序号</w:t>
            </w:r>
            <w:r/>
          </w:p>
        </w:tc>
        <w:tc>
          <w:tcPr>
            <w:tcW w:w="978" w:type="pct"/>
            <w:vAlign w:val="center"/>
            <w:textDirection w:val="lrTb"/>
            <w:noWrap/>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名称</w:t>
            </w:r>
            <w:r/>
          </w:p>
        </w:tc>
        <w:tc>
          <w:tcPr>
            <w:tcW w:w="2515"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参数及性能</w:t>
            </w:r>
            <w:r/>
          </w:p>
        </w:tc>
        <w:tc>
          <w:tcPr>
            <w:tcW w:w="347"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数量</w:t>
            </w:r>
            <w:r/>
          </w:p>
        </w:tc>
        <w:tc>
          <w:tcPr>
            <w:tcW w:w="407"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单位</w:t>
            </w:r>
            <w:r/>
          </w:p>
        </w:tc>
        <w:tc>
          <w:tcPr>
            <w:tcW w:w="359"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备注</w:t>
            </w:r>
            <w:r/>
          </w:p>
        </w:tc>
      </w:tr>
      <w:tr>
        <w:trPr>
          <w:trHeight w:val="2660"/>
        </w:trPr>
        <w:tc>
          <w:tcPr>
            <w:tcW w:w="394" w:type="pct"/>
            <w:vAlign w:val="center"/>
            <w:textDirection w:val="lrTb"/>
            <w:noWrap/>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c>
          <w:tcPr>
            <w:tcW w:w="978"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土壤墒情仪</w:t>
            </w:r>
            <w:r/>
          </w:p>
        </w:tc>
        <w:tc>
          <w:tcPr>
            <w:tcW w:w="2515" w:type="pct"/>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1.可方便快捷检测土壤温湿度，PH值，电导率，氮磷钾等指标。                                  </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2.土壤水分测量量程0~饱和，分辨率0.1% 精度≤±2.5%cm3/cm3；</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3.土壤温度量程：-30~+60℃ 精度：±0.5℃，分辨率：0.1℃；</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4.土壤EC量程：0~20S/m 精度：±0.5S/m，分辨率：0.01S/m；</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5.量程：pH（0-14Ph） 分辨率：0.01Ph;</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6.土壤氮磷钾量程 1-1999 mg/kg(mg/L) 分辨率 1 mg/kg(mg/L) 精度 ±2%FS；</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7.支持移动4G CAT1/GSM/GPRS无线通信；</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8.光伏标称电压6V；</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9.防水能力：IP68；</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10.系统组成模块传感器端、数据采集器、无线通信及太阳能供电几个模块从芯片底层一体化设计，高度集成，可靠性、稳定性高。</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11.内置 6000mAH 锂电池组，确保仪器工作时间达到 4 小时以上，交直流两用，可实现野外流动测试。</w:t>
            </w:r>
            <w:r/>
          </w:p>
        </w:tc>
        <w:tc>
          <w:tcPr>
            <w:tcW w:w="347"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5</w:t>
            </w:r>
            <w:r/>
          </w:p>
        </w:tc>
        <w:tc>
          <w:tcPr>
            <w:tcW w:w="407"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tcW w:w="359"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r>
      <w:tr>
        <w:trPr>
          <w:trHeight w:val="957"/>
        </w:trPr>
        <w:tc>
          <w:tcPr>
            <w:tcW w:w="394" w:type="pct"/>
            <w:vAlign w:val="center"/>
            <w:textDirection w:val="lrTb"/>
            <w:noWrap/>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w:t>
            </w:r>
            <w:r/>
          </w:p>
        </w:tc>
        <w:tc>
          <w:tcPr>
            <w:tcW w:w="978"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小型气象站</w:t>
            </w:r>
            <w:r/>
          </w:p>
        </w:tc>
        <w:tc>
          <w:tcPr>
            <w:tcW w:w="2515" w:type="pct"/>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1.自动气象站由作物传感器、气象仪采集传输终端、供电系统、安装配件组成；可检测包括风速、风向、空气温度、空气湿度、雨量等环境数据。</w:t>
            </w:r>
            <w:r/>
          </w:p>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2.设备应符合以下要求：</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a)远程操作设置：远程设置采集时间间隔、联网模式、定位信息，查看设备的供电系统，联网状态信息，对现场设备进行重启与恢复操作，保存传感器设备的故障信息，在线校准，远程固件升级。</w:t>
            </w:r>
            <w:r/>
          </w:p>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b)数据查看:具有移动端手机APP、云数据平台：手机上随时查看数据、曲线图和云平台上的其他设备的数据进行相互关联分析，历史数据不丢失、支持任意时间段的实时数据、历史数据的查询、导出、打印功能。</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c)定位功能：集成GNSS定位模块，北斗+GPS双模定位。</w:t>
            </w:r>
            <w:r/>
          </w:p>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3.气象仪数据采集终端：                                                                                                                                                                                                                          </w:t>
            </w:r>
            <w:r/>
          </w:p>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可扩展通道：传感器≥80路，控制≥255路；                  </w:t>
            </w:r>
            <w:r>
              <w:rPr>
                <w:rFonts w:hint="eastAsia" w:ascii="仿宋_GB2312" w:hAnsi="仿宋_GB2312" w:eastAsia="仿宋_GB2312" w:cs="仿宋_GB2312"/>
                <w:color w:val="auto"/>
                <w:sz w:val="28"/>
                <w:szCs w:val="28"/>
              </w:rPr>
              <w:t xml:space="preserve">                                                                                                                                                                                                                                                                </w:t>
            </w:r>
            <w:r/>
          </w:p>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掉电采用电池供电数据保护，设置的参数以及历史数据可掉电保护；                                                                                                                        </w:t>
            </w:r>
            <w:r/>
          </w:p>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支持按键人工置数，硬件地址1~255，历史数据存储间隔1~</w:t>
            </w:r>
            <w:r>
              <w:rPr>
                <w:rFonts w:hint="eastAsia" w:ascii="仿宋_GB2312" w:hAnsi="仿宋_GB2312" w:eastAsia="仿宋_GB2312" w:cs="仿宋_GB2312"/>
                <w:color w:val="auto"/>
                <w:sz w:val="28"/>
                <w:szCs w:val="28"/>
              </w:rPr>
              <w:t xml:space="preserve">240min；                                                                                                                                                                                                                                                         </w:t>
            </w:r>
            <w:r/>
          </w:p>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可储存4万条数据，具有外部U盘存储扩展功能；                                                                                                                                            </w:t>
            </w:r>
            <w:r/>
          </w:p>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支持4G/5G/RJ45/WIFI/北斗等多种无线通讯方式；</w:t>
            </w:r>
            <w:r/>
          </w:p>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4.户外仪表箱：安装监测和电器设备、自带锁具、金属材质</w:t>
            </w:r>
            <w:r/>
          </w:p>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5.支持多种联网方式(4G/RJ45）接口，可采用 FTP/TCP-IP 网络通讯模式。</w:t>
            </w:r>
            <w:r/>
          </w:p>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6.传感器主要技术指标</w:t>
            </w:r>
            <w:r/>
          </w:p>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名称 测量范围 分辨率 准确度 </w:t>
            </w:r>
            <w:r/>
          </w:p>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风速： 0～70m/s  0.1m/s  ±(0.3+0.03V)m/s                                                                                                                                                 </w:t>
            </w:r>
            <w:r/>
          </w:p>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风向 ：0～360°  1°  ±3°                                                                                                                                                     </w:t>
            </w:r>
            <w:r/>
          </w:p>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环境温度： -50～+100℃  0.1℃  ±0.5℃                                                                                                                                                     </w:t>
            </w:r>
            <w:r/>
          </w:p>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环境湿度： 0～100%RH   0.1%   ±5% RH                                                                                                                                                        </w:t>
            </w:r>
            <w:r/>
          </w:p>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雨量： ≦4mm/min  0.2mm  ±4%</w:t>
            </w:r>
            <w:r/>
          </w:p>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7.轻型百叶箱：颜色：白色；层数：8层；材质：高科技优质抗紫外线材料；可安装大气温湿度气压传感器</w:t>
            </w:r>
            <w:r/>
          </w:p>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8.太阳能供电，60W太阳能板，不小于30AH电池</w:t>
            </w:r>
            <w:r/>
          </w:p>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9.无线通讯：大容量3年费用手机卡 </w:t>
            </w:r>
            <w:r/>
          </w:p>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10.防护设施：防雨箱。</w:t>
            </w:r>
            <w:r/>
          </w:p>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11.立杆支架：3米镀锌钢管，含地基或膨胀螺丝配件，避雷配件</w:t>
            </w:r>
            <w:r/>
          </w:p>
        </w:tc>
        <w:tc>
          <w:tcPr>
            <w:tcW w:w="347"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c>
          <w:tcPr>
            <w:tcW w:w="407"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tcW w:w="359"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r>
      <w:tr>
        <w:trPr>
          <w:trHeight w:val="274"/>
        </w:trPr>
        <w:tc>
          <w:tcPr>
            <w:tcW w:w="394" w:type="pct"/>
            <w:vAlign w:val="center"/>
            <w:textDirection w:val="lrTb"/>
            <w:noWrap/>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3</w:t>
            </w:r>
            <w:r/>
          </w:p>
        </w:tc>
        <w:tc>
          <w:tcPr>
            <w:tcW w:w="978"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虫情测报灯</w:t>
            </w:r>
            <w:r/>
          </w:p>
        </w:tc>
        <w:tc>
          <w:tcPr>
            <w:shd w:val="clear" w:color="auto" w:fill="auto"/>
            <w:tcW w:w="2515" w:type="pct"/>
            <w:vAlign w:val="center"/>
            <w:textDirection w:val="lrTb"/>
            <w:noWrap w:val="false"/>
          </w:tcPr>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满足GB/T 24689.1-2009植物保护机械 虫情测报灯；</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2.整体结构采用优质热镀锌钢材，并采用喷塑工艺。外观应平整光洁，表面平整光洁，色泽均匀，无裂痕等缺陷；整体应牢固、无松动。不应有尖角、锐边和毛刺等缺陷。焊缝应平整、牢固、光滑、明亮、无毛刺；</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3.灯管启动时间≤5s；</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4.三块撞击屏互成 120°角；</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5.光控：晚上自动开灯，白天自动关灯。在夜间工作状态下，不受瞬间强光照射改变工作状态。诱集光源、远红外虫体处理、排水、分时存放等工作；</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6.雨控：雨控传感器应按外界雨量变化自动控制测报灯工作；</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7.远红外虫体处理仓温度控制： 工作 15 分钟后达到 85℃±5℃，处理时间可调（时间可按照实际需求任意调整）；</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8.远红外虫体处理致死率＞ 95%，虫体完整率大于 95%；</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9.AI自动识别、计数：搭建识别数据库，根据拍摄的图片自动对图片中的害虫进行识别及计数，能识别棉铃虫、稻纵卷叶螟、二化螟、玉米螟、小地老虎、黄地老虎、甜菜夜蛾、草地螟、斜纹夜蛾、粘虫、草地贪夜蛾、稻飞虱、大地老虎、等190余种，识别率90%以上；</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10.排水装置：能有效将雨、虫分离；</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11.分散装置：有震动平铺和自动清扫功能，虫体不堆叠；</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12.防堵虫功能：加热仓内部增加特殊涂层，保证即使虫量爆发也不会出现虫体粘附加热仓内壁的情况；结合虫体堆叠预警，有效防止堵虫的发生；</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13.虫体堆叠预警：搭建虫体堆叠模型，通过拍摄的图片自动识别虫体堆叠，根据堆叠程度自动调整收集时间来减少每个循环的进虫量，从而解决虫体堆叠问题；</w:t>
            </w:r>
            <w:r/>
          </w:p>
          <w:p>
            <w:pPr>
              <w:jc w:val="both"/>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14.断电及故障预警：内置备用电源，设备断电后向平台端自动发送设备异常数据，实现断电及故障自动预警。；</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15.高低温保护：低于5℃机器会处于待机状态，高于70℃机器处于保护状态。</w:t>
            </w:r>
            <w:r/>
          </w:p>
          <w:p>
            <w:pPr>
              <w:jc w:val="both"/>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16.拍照底板脏污预警：搭建虫体脏污模型，通过拍摄的图片自动识别拍照底板脏污情况，从而发出预警，提醒及时清理拍照底板；</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17.通过气象和虫体种类、数量报表合并展示，直观的进行分析虫体的发生规律，结合害虫的发生情况，展示设备下所识别出的害虫所占百分比环形图展示，害虫的数量排名柱状图；更加准确的对虫害的发生趋势进行分析、预警；</w:t>
            </w:r>
            <w:r/>
          </w:p>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18.可以展示虫情走势信息，展示监测害虫始见期、高峰期、终见期的时间及对应数量，并展示随时间推移害虫的发生趋势；</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19.断电及故障预警：内置备用电源，设备断电后向平台端自动发送设备异常数据，实现断电及故障自动预警；</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20.主体尺寸：不低于2000mm×650mm×650mm。</w:t>
            </w:r>
            <w:r/>
          </w:p>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21.基座混凝土加钢筋地笼浇筑，浇筑尺寸1000*1000*600mm</w:t>
            </w:r>
            <w:r/>
          </w:p>
        </w:tc>
        <w:tc>
          <w:tcPr>
            <w:tcW w:w="347"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c>
          <w:tcPr>
            <w:tcW w:w="407"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tcW w:w="359"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r>
      <w:tr>
        <w:trPr>
          <w:trHeight w:val="1007"/>
        </w:trPr>
        <w:tc>
          <w:tcPr>
            <w:tcW w:w="394" w:type="pct"/>
            <w:vAlign w:val="center"/>
            <w:textDirection w:val="lrTb"/>
            <w:noWrap/>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4</w:t>
            </w:r>
            <w:r/>
          </w:p>
        </w:tc>
        <w:tc>
          <w:tcPr>
            <w:tcW w:w="978"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视频监控设备</w:t>
            </w:r>
            <w:r/>
          </w:p>
        </w:tc>
        <w:tc>
          <w:tcPr>
            <w:shd w:val="clear" w:color="auto" w:fill="auto"/>
            <w:tcW w:w="2515" w:type="pct"/>
            <w:vAlign w:val="center"/>
            <w:textDirection w:val="lrTb"/>
            <w:noWrap w:val="false"/>
          </w:tcPr>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视频监控设备由4g球机、256G内存卡、太阳能供电系统、智慧电控箱、安装配件组成；</w:t>
            </w:r>
            <w:r/>
          </w:p>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1.4g球机设备：</w:t>
            </w:r>
            <w:r/>
          </w:p>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a）主码流支持2560x1440，子码流支持704x576，第三码流支持1920x1080</w:t>
            </w:r>
            <w:r/>
          </w:p>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b）设备靶面尺寸为1/2.8英寸</w:t>
            </w:r>
            <w:r/>
          </w:p>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c）最低照度彩色不大于0.005 lx，黑白不大于0.001 lx；</w:t>
            </w:r>
            <w:r/>
          </w:p>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d）支持水平旋转范围360°连续旋转，垂直旋转范围-15°~90°</w:t>
            </w:r>
            <w:r/>
          </w:p>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e）支持300个预置位，可按照所设置的预置位完成大于8条巡航路径。支持预置位视频冻结功能.</w:t>
            </w:r>
            <w:r/>
          </w:p>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f）支持H.264、H.265、MJPEG视频编码格式，可将H.264、H.265格式设置为High Profile/Main/Baseline</w:t>
            </w:r>
            <w:r/>
          </w:p>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i）设备具有1个RJ45网络接口、1路音频输入、1路音频输出、1路报警输入、1路报警输出、1个SD卡槽、1个4G模块。设备采用220V转12V电源适配器供电。</w:t>
            </w:r>
            <w:r/>
          </w:p>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j）设备支持IP66防尘防水，工作温度：-30°C~65°C;</w:t>
            </w:r>
            <w:r/>
          </w:p>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2.监控立杆：主立杆高度不低于4.0m；采用热镀锌钢管；</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3.配套200W100ah太阳能供电系统。</w:t>
            </w:r>
            <w:r/>
          </w:p>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4..配备256GB内存卡。</w:t>
            </w:r>
            <w:r/>
          </w:p>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5.配套智慧电控箱，方便远程运维管理应满足以下条件：</w:t>
            </w:r>
            <w:r/>
          </w:p>
          <w:p>
            <w:pPr>
              <w:pStyle w:val="1003"/>
              <w:keepLines w:val="0"/>
              <w:keepNext w:val="0"/>
              <w:pageBreakBefore w:val="0"/>
              <w:spacing w:line="360" w:lineRule="exact"/>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lang w:eastAsia="zh-CN"/>
              </w:rPr>
              <w:t xml:space="preserve">a）空气开关:≥16A/2P；</w:t>
            </w:r>
            <w:r/>
          </w:p>
          <w:p>
            <w:pPr>
              <w:pStyle w:val="1003"/>
              <w:keepLines w:val="0"/>
              <w:keepNext w:val="0"/>
              <w:pageBreakBefore w:val="0"/>
              <w:spacing w:line="360" w:lineRule="exact"/>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lang w:eastAsia="zh-CN"/>
              </w:rPr>
              <w:t xml:space="preserve">b）电源防雷器:≥40KA/2P；</w:t>
            </w:r>
            <w:r/>
          </w:p>
          <w:p>
            <w:pPr>
              <w:pStyle w:val="1003"/>
              <w:keepLines w:val="0"/>
              <w:keepNext w:val="0"/>
              <w:pageBreakBefore w:val="0"/>
              <w:spacing w:line="360" w:lineRule="exact"/>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lang w:eastAsia="zh-CN"/>
              </w:rPr>
              <w:t xml:space="preserve">c）插座：≥5 个 3 位 5 孔插座；</w:t>
            </w:r>
            <w:r/>
          </w:p>
          <w:p>
            <w:pPr>
              <w:pStyle w:val="1003"/>
              <w:keepLines w:val="0"/>
              <w:keepNext w:val="0"/>
              <w:pageBreakBefore w:val="0"/>
              <w:spacing w:line="360" w:lineRule="exact"/>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lang w:eastAsia="zh-CN"/>
              </w:rPr>
              <w:t xml:space="preserve">d）风扇：220V；</w:t>
            </w:r>
            <w:r/>
          </w:p>
          <w:p>
            <w:pPr>
              <w:pStyle w:val="1003"/>
              <w:keepLines w:val="0"/>
              <w:keepNext w:val="0"/>
              <w:pageBreakBefore w:val="0"/>
              <w:spacing w:line="360" w:lineRule="exact"/>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lang w:eastAsia="zh-CN"/>
              </w:rPr>
              <w:t xml:space="preserve">e）防护等级：≥IP55；</w:t>
            </w:r>
            <w:r/>
          </w:p>
          <w:p>
            <w:pPr>
              <w:pStyle w:val="1003"/>
              <w:keepLines w:val="0"/>
              <w:keepNext w:val="0"/>
              <w:pageBreakBefore w:val="0"/>
              <w:spacing w:line="360" w:lineRule="exact"/>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lang w:eastAsia="zh-CN"/>
              </w:rPr>
              <w:t xml:space="preserve">6.配备2年的数据流量，400GB/年</w:t>
            </w:r>
            <w:r/>
          </w:p>
        </w:tc>
        <w:tc>
          <w:tcPr>
            <w:tcW w:w="347"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5</w:t>
            </w:r>
            <w:r/>
          </w:p>
        </w:tc>
        <w:tc>
          <w:tcPr>
            <w:tcW w:w="407"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tcW w:w="359"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r>
      <w:tr>
        <w:trPr>
          <w:trHeight w:val="1007"/>
        </w:trPr>
        <w:tc>
          <w:tcPr>
            <w:tcW w:w="394" w:type="pct"/>
            <w:vAlign w:val="center"/>
            <w:textDirection w:val="lrTb"/>
            <w:noWrap/>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5</w:t>
            </w:r>
            <w:r/>
          </w:p>
        </w:tc>
        <w:tc>
          <w:tcPr>
            <w:tcW w:w="978"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多光谱无人机</w:t>
            </w:r>
            <w:r/>
          </w:p>
        </w:tc>
        <w:tc>
          <w:tcPr>
            <w:shd w:val="clear" w:color="auto" w:fill="auto"/>
            <w:tcW w:w="2515" w:type="pct"/>
            <w:vAlign w:val="center"/>
            <w:textDirection w:val="lrTb"/>
            <w:noWrap w:val="false"/>
          </w:tcPr>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1.起飞重量（无配件）：≥900g；</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2.折叠后尺寸（长×宽×高）：220×95×90mm（±10）；</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3.对角线轴距：≥380 mm；</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4.最大信号有效距离（无干扰、无遮挡）：15km；</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5.最长飞行时间：45 分钟；</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6.最大可抗风速：12m/s；</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7.飞行器的前、后、左、右、上、下均具备视觉或红外避障传感器，能够在探测到障碍物时在App上进行提醒，并自动减速刹车；</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8.支持一键全景功能；</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9.支持GPS+GLONASS+BEIDOU（仅在RTK开启时支持GLONASS）、支持单北斗模式；</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10.工作环境温度：-10°C 至 40°C；</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11.GNSS定位悬停精度：垂直：±0.5 m，水平：±0.5 m；</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12.视觉定位悬停精度：垂直：±0.1 m，水平：±0.1 m；</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13.展开时间：从携行状态到起飞状态的展开时间≤30s；</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14.最大飞行海拔高度：6000米；</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15.在自主降落过程中，无人机飞行器能够检测下方地形.当下方地形为不平整地面或水面，飞行器保持悬停，同时通过地面站软件向用户发出警示信息；</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16.具备飞行器自检功能；</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17.具备低电量自动返航功能；</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18.具备信号丢失自动返航功能；</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19.具备4/3英寸广角测绘相机，2000万像素；</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20.广角相机具备机械快门；</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21.最短连续拍照间隔达0.7秒；</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22.支持DNG格式照片拍摄；</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23.照片XMP信息中提供内参标定参数；</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24.具备长焦相机，相机CMOS 1/2英寸，像素数1200万；</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25.最大支持56倍数字变焦；</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26.具备三轴机械增稳云台（俯仰、横滚、平移）；</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27.可见光相机支持4k30p视频录制；</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28.支持航点、正射、倾斜、航带、仿地等多种航线作业类型；</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29.支持通过密码保护无人机机身存储的图像视频数据；</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30.能够接收民航客机的ADS-B广播信息，并能过地面端软件向用户发出附近民航客机预警信息；</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31.具备遥控器和显示屏一体化设计；</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32.地面站显示器应采用触摸屏，屏幕显示分辨率1920*1080p，显示器亮度≥1000cd/m2；</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33.地面站具备Mini-HDMI视频输出接口、SD卡槽、USB接口；</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34.支持RTK厘米级定位，RTK可拆卸；</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35.RTK 重量24±2g；</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36.在RTK 固定解时，水平精度1cm+1ppm，高程精度1.5cm+1ppm；</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37.配备4块电池及一个充电管家。电池容量不小于5000mAh。</w:t>
            </w:r>
            <w:r/>
          </w:p>
        </w:tc>
        <w:tc>
          <w:tcPr>
            <w:tcW w:w="347"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c>
          <w:tcPr>
            <w:tcW w:w="407"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套</w:t>
            </w:r>
            <w:r/>
          </w:p>
        </w:tc>
        <w:tc>
          <w:tcPr>
            <w:tcW w:w="359"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r>
      <w:tr>
        <w:trPr>
          <w:trHeight w:val="577"/>
        </w:trPr>
        <w:tc>
          <w:tcPr>
            <w:tcW w:w="394" w:type="pct"/>
            <w:vAlign w:val="center"/>
            <w:textDirection w:val="lrTb"/>
            <w:noWrap/>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二</w:t>
            </w:r>
            <w:r/>
          </w:p>
        </w:tc>
        <w:tc>
          <w:tcPr>
            <w:gridSpan w:val="5"/>
            <w:tcW w:w="4606" w:type="pct"/>
            <w:vAlign w:val="center"/>
            <w:textDirection w:val="lrTb"/>
            <w:noWrap/>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农田灌溉智能化改造</w:t>
            </w:r>
            <w:r/>
          </w:p>
        </w:tc>
      </w:tr>
      <w:tr>
        <w:trPr>
          <w:trHeight w:val="503"/>
        </w:trPr>
        <w:tc>
          <w:tcPr>
            <w:tcW w:w="394" w:type="pct"/>
            <w:vAlign w:val="center"/>
            <w:textDirection w:val="lrTb"/>
            <w:noWrap/>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c>
          <w:tcPr>
            <w:tcW w:w="978" w:type="pct"/>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闸门智能化改造</w:t>
            </w:r>
            <w:r/>
          </w:p>
        </w:tc>
        <w:tc>
          <w:tcPr>
            <w:tcW w:w="2515" w:type="pct"/>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本设备主要控制渠道或格田水位，由闸体、控制柜、太阳能模块、水位监测模块组成。</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一、闸体：</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1.闸门材质：闸框采用高强度铝合金6063-T6经硬质阳极氧化处理；</w:t>
            </w:r>
            <w:r/>
          </w:p>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2.传动部件材质：传动零件采用304不锈钢；</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3.止水与衬板材质：止水橡胶采用三元乙丙橡胶(EPDM)制品，耐磨衬板采用超分子聚乙烯，摩擦系数＜0.2；</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4.电机、减速机：DC12V直流电机，高速齿轮减速机，传动效率90%；</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5.限位装置：具有上下限位开关，抗异物干扰能力强。</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6.编码器高度控制，实现开度数据精确控制和测量</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7.启闭方式：不锈钢螺杆启闭；</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8.密封性能：闸板侧部和底部与止水橡皮连接处均不透光；</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9.限位装置：限位位置运行一致性误差＜1mm；</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10.安全保护：具有闸门超限及过载停止和报警功能，设置手动急停按钮；具有电流过载保护，0.1A~30A自定义设置；</w:t>
            </w:r>
            <w:r/>
          </w:p>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二、闸门控制器</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1.电源输入：DC12-36V；</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2.电源输出：1路输出，负载电流2A；有18V太阳能供电系统接口1路</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3.驱动电流：≥10A；</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4.RS-485/USB；</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5.采用32位ARM控制器，集成外部存储；</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6.低电压、低功耗，软件支持服务器远程升级；</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7.开关量输入：编码器、上下限位控制；</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8.PCB板集成；</w:t>
            </w:r>
            <w:r/>
          </w:p>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9.可外接投入式液位计</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10.通讯：支持4G全网通无线通信；</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11.工作温度：-40℃至+70℃；</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12.工作湿度：0~95%不结露；</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13.平均无故障工作时长：≥25000h；</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14.控制方式：手动控制、远程控制；</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15.控制模式：开度控制、水位控制、流量控制；</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16.数据传输：4G；</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17.闸前水位传感器：量程1-1000mm，精度0.1%。</w:t>
            </w:r>
            <w:r>
              <w:rPr>
                <w:rFonts w:hint="eastAsia" w:ascii="仿宋_GB2312" w:hAnsi="仿宋_GB2312" w:eastAsia="仿宋_GB2312" w:cs="仿宋_GB2312"/>
                <w:color w:val="auto"/>
                <w:sz w:val="28"/>
                <w:szCs w:val="28"/>
              </w:rPr>
              <w:br/>
            </w:r>
            <w:r>
              <w:rPr>
                <w:rFonts w:hint="eastAsia" w:ascii="仿宋_GB2312" w:hAnsi="仿宋_GB2312" w:eastAsia="仿宋_GB2312" w:cs="仿宋_GB2312"/>
                <w:color w:val="auto"/>
                <w:sz w:val="28"/>
                <w:szCs w:val="28"/>
              </w:rPr>
              <w:t xml:space="preserve">18.超声波水渠水位测距模块：输出方式：RS485；电源电压：5V  低功耗，高精度；输出型号类别：数字传感器；</w:t>
            </w:r>
            <w:r/>
          </w:p>
        </w:tc>
        <w:tc>
          <w:tcPr>
            <w:tcW w:w="347" w:type="pct"/>
            <w:vAlign w:val="center"/>
            <w:textDirection w:val="lrTb"/>
            <w:noWrap w:val="false"/>
          </w:tcPr>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10</w:t>
            </w:r>
            <w:r/>
          </w:p>
        </w:tc>
        <w:tc>
          <w:tcPr>
            <w:tcW w:w="407" w:type="pct"/>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个</w:t>
            </w:r>
            <w:r/>
          </w:p>
        </w:tc>
        <w:tc>
          <w:tcPr>
            <w:tcW w:w="359"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r>
      <w:tr>
        <w:trPr>
          <w:trHeight w:val="90"/>
        </w:trPr>
        <w:tc>
          <w:tcPr>
            <w:tcW w:w="394" w:type="pct"/>
            <w:vAlign w:val="center"/>
            <w:textDirection w:val="lrTb"/>
            <w:noWrap/>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三</w:t>
            </w:r>
            <w:r/>
          </w:p>
        </w:tc>
        <w:tc>
          <w:tcPr>
            <w:gridSpan w:val="5"/>
            <w:tcW w:w="4606"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数据安全建设</w:t>
            </w:r>
            <w:r/>
          </w:p>
        </w:tc>
      </w:tr>
      <w:tr>
        <w:trPr>
          <w:trHeight w:val="90"/>
        </w:trPr>
        <w:tc>
          <w:tcPr>
            <w:tcW w:w="394" w:type="pct"/>
            <w:vAlign w:val="center"/>
            <w:textDirection w:val="lrTb"/>
            <w:noWrap/>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c>
          <w:tcPr>
            <w:tcW w:w="978" w:type="pct"/>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等保测评</w:t>
            </w:r>
            <w:r/>
          </w:p>
        </w:tc>
        <w:tc>
          <w:tcPr>
            <w:tcW w:w="2515" w:type="pct"/>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软件系统需通过等保测评（二级）</w:t>
            </w:r>
            <w:r/>
          </w:p>
        </w:tc>
        <w:tc>
          <w:tcPr>
            <w:tcW w:w="347" w:type="pct"/>
            <w:vAlign w:val="center"/>
            <w:textDirection w:val="lrTb"/>
            <w:noWrap w:val="false"/>
          </w:tcPr>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c>
          <w:tcPr>
            <w:tcW w:w="407" w:type="pct"/>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年</w:t>
            </w:r>
            <w:r/>
          </w:p>
        </w:tc>
        <w:tc>
          <w:tcPr>
            <w:tcW w:w="359"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r>
      <w:tr>
        <w:trPr>
          <w:trHeight w:val="90"/>
        </w:trPr>
        <w:tc>
          <w:tcPr>
            <w:tcW w:w="394" w:type="pct"/>
            <w:vAlign w:val="center"/>
            <w:textDirection w:val="lrTb"/>
            <w:noWrap/>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w:t>
            </w:r>
            <w:r/>
          </w:p>
        </w:tc>
        <w:tc>
          <w:tcPr>
            <w:tcW w:w="978" w:type="pct"/>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软件测试</w:t>
            </w:r>
            <w:r/>
          </w:p>
        </w:tc>
        <w:tc>
          <w:tcPr>
            <w:tcW w:w="2515" w:type="pct"/>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需通过软件功能测试</w:t>
            </w:r>
            <w:r/>
          </w:p>
        </w:tc>
        <w:tc>
          <w:tcPr>
            <w:tcW w:w="347" w:type="pct"/>
            <w:vAlign w:val="center"/>
            <w:textDirection w:val="lrTb"/>
            <w:noWrap w:val="false"/>
          </w:tcPr>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c>
          <w:tcPr>
            <w:tcW w:w="407" w:type="pct"/>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项</w:t>
            </w:r>
            <w:r/>
          </w:p>
        </w:tc>
        <w:tc>
          <w:tcPr>
            <w:tcW w:w="359"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r>
      <w:tr>
        <w:trPr>
          <w:trHeight w:val="90"/>
        </w:trPr>
        <w:tc>
          <w:tcPr>
            <w:tcW w:w="394" w:type="pct"/>
            <w:vAlign w:val="center"/>
            <w:textDirection w:val="lrTb"/>
            <w:noWrap/>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3</w:t>
            </w:r>
            <w:r/>
          </w:p>
        </w:tc>
        <w:tc>
          <w:tcPr>
            <w:tcW w:w="978" w:type="pct"/>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软件部署</w:t>
            </w:r>
            <w:r/>
          </w:p>
        </w:tc>
        <w:tc>
          <w:tcPr>
            <w:tcW w:w="2515" w:type="pct"/>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软件系统部署在镇里已有的云资源上</w:t>
            </w:r>
            <w:r/>
          </w:p>
        </w:tc>
        <w:tc>
          <w:tcPr>
            <w:tcW w:w="347" w:type="pct"/>
            <w:vAlign w:val="center"/>
            <w:textDirection w:val="lrTb"/>
            <w:noWrap w:val="false"/>
          </w:tcPr>
          <w:p>
            <w:pP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w:t>
            </w:r>
            <w:r/>
          </w:p>
        </w:tc>
        <w:tc>
          <w:tcPr>
            <w:tcW w:w="407" w:type="pct"/>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项</w:t>
            </w:r>
            <w:r/>
          </w:p>
        </w:tc>
        <w:tc>
          <w:tcPr>
            <w:tcW w:w="359" w:type="pct"/>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tc>
      </w:tr>
    </w:tbl>
    <w:p>
      <w:pPr>
        <w:pStyle w:val="914"/>
        <w:ind w:firstLine="601"/>
        <w:spacing w:line="440" w:lineRule="exact"/>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rPr>
        <w:t xml:space="preserve">四、供货安装方案</w:t>
      </w:r>
      <w:r/>
    </w:p>
    <w:p>
      <w:pPr>
        <w:pStyle w:val="914"/>
        <w:ind w:firstLine="601"/>
        <w:keepLines w:val="0"/>
        <w:keepNext w:val="0"/>
        <w:pageBreakBefore w:val="0"/>
        <w:spacing w:line="440" w:lineRule="exact"/>
        <w:widowControl w:val="off"/>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 xml:space="preserve">（一）供货方案</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1、成立专门的供货团队</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组建由项目经理、采购人员、物流人员和质量检验人员组成的供货团队，确保供货工作的高效、有序进行。</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明确各成员的职责和分工，建立有效的沟通机制，及时解决供货过程中出现的问题。</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2、确定供货时间表</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根据项目进度要求，制定详细的供货时间表，明确各个设备和材料的供货时间节点。</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考虑到生产周期、运输时间和安装调试时间等因素，合理安排供货顺序，确保项目的顺利进行。</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3、加强供货过程管理</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建立完善的供货过程管理体系，对供货进度、产品质量、包装运输等环节进行严格监控。</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对到货的设备和材料进行严格的质量检验，确保符合项目要求。</w:t>
      </w:r>
      <w:r/>
    </w:p>
    <w:p>
      <w:pPr>
        <w:pStyle w:val="914"/>
        <w:ind w:firstLine="601"/>
        <w:keepLines w:val="0"/>
        <w:keepNext w:val="0"/>
        <w:pageBreakBefore w:val="0"/>
        <w:spacing w:line="440" w:lineRule="exact"/>
        <w:widowControl w:val="off"/>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 xml:space="preserve">（二）安装方案</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1、组建专业安装团队</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安排具有丰富安装经验的技术人员，组建专业的安装团队。</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对安装人员进行培训，使其熟悉安装流程、技术要求和安全规范，确保安装工作的质量和安全。</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2、制定安装计划</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根据项目设计方案和供货时间表，制定详细的安装计划，明确各个设备和系统的安装顺序和时间节点。</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考虑到安装过程中可能出现的问题，制定相应的应急预案，确保安装工作的顺利进行。</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3、现场安装准备</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在安装前，对施工现场进行清理和整理，确保施工现场符合安装要求。</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准备好安装所需的工具、设备和材料，确保安装工作的顺利进行。</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对安装人员进行安全交底，确保安装过程中的安全。</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4、设备安装调试</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按照安装计划和技术要求，对各个设备和系统进行安装调试。</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在安装调试过程中，严格按照操作规程进行操作，确保安装质量和安全。</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对安装调试过程中出现的问题及时进行处理，确保设备和系统的正常运行。</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5、安装验收</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在设备安装调试完成后，组织相关人员进行安装验收。</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验收内容包括设备安装质量、系统运行情况、安全性能等方面。</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对验收中发现的问题及时进行整改，确保项目符合设计要求和质量标准。</w:t>
      </w:r>
      <w:r/>
    </w:p>
    <w:p>
      <w:pPr>
        <w:pStyle w:val="914"/>
        <w:ind w:firstLine="601"/>
        <w:keepLines w:val="0"/>
        <w:keepNext w:val="0"/>
        <w:pageBreakBefore w:val="0"/>
        <w:spacing w:line="440" w:lineRule="exact"/>
        <w:widowControl w:val="off"/>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 xml:space="preserve">（三）质量保证措施</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1、严格控制供货质量</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选择优质的供应商，对供应商进行严格的资质审核和产品质量检验。</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在供货合同中明确产品质量标准和验收方法，确保供应商能够提供符合要求的产品。</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对到货的设备和材料进行严格的质量检验，不合格的产品坚决不予接收。</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2、加强安装过程质量控制</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制定严格的安装工艺和质量标准，对安装过程进行严格的质量控制。</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安装人员必须经过培训，熟悉安装工艺和质量标准，严格按照操作规程进行操作。</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对安装过程中的关键环节进行重点监控，确保安装质量符合要求。</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3、建立质量追溯体系</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对供货和安装过程中的各个环节进行记录和备案，建立质量追溯体系。</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一旦出现质量问题，能够及时追溯到问题的源头，采取有效的措施进行整改。</w:t>
      </w:r>
      <w:r/>
    </w:p>
    <w:p>
      <w:pPr>
        <w:pStyle w:val="914"/>
        <w:ind w:firstLine="601"/>
        <w:keepLines w:val="0"/>
        <w:keepNext w:val="0"/>
        <w:pageBreakBefore w:val="0"/>
        <w:spacing w:line="440" w:lineRule="exact"/>
        <w:widowControl w:val="off"/>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rPr>
        <w:t xml:space="preserve">五、售后服务要求</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1、验收通过之日起对所有产品</w:t>
      </w:r>
      <w:r>
        <w:rPr>
          <w:rFonts w:hint="eastAsia" w:ascii="仿宋_GB2312" w:hAnsi="仿宋_GB2312" w:eastAsia="仿宋_GB2312" w:cs="仿宋_GB2312"/>
          <w:b/>
          <w:bCs/>
          <w:color w:val="auto"/>
          <w:sz w:val="28"/>
          <w:szCs w:val="28"/>
          <w:u w:val="single"/>
        </w:rPr>
        <w:t xml:space="preserve">免费质保3年、并免费提供3年的数据及系统运维服</w:t>
      </w:r>
      <w:r>
        <w:rPr>
          <w:rFonts w:hint="eastAsia" w:ascii="仿宋_GB2312" w:hAnsi="仿宋_GB2312" w:eastAsia="仿宋_GB2312" w:cs="仿宋_GB2312"/>
          <w:color w:val="auto"/>
          <w:sz w:val="28"/>
          <w:szCs w:val="28"/>
        </w:rPr>
        <w:t xml:space="preserve">。质保期内，乙方对产品质量实行三包，因设备配置或制造质量问题而引起的故障，乙方应在24小时内立即予以免费维修或更换，由此引起的一切费用由乙方承担。</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2、技术支持响应时间。一般问题2小时内电话支持，难点、重点问题2天内现场解决，质保期内相关费用由乙方承担，质保期满后乙方收取成本费。</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除本文件规定服务要求外，供应商所能承诺的售后服务应详细说明，同时负责免费向采购人提供设备维修或操作人员的培训。报修响应时间为路程正常时间加 2小时。</w:t>
      </w:r>
      <w:r/>
    </w:p>
    <w:p>
      <w:pPr>
        <w:pStyle w:val="914"/>
        <w:ind w:firstLine="601"/>
        <w:keepLines w:val="0"/>
        <w:keepNext w:val="0"/>
        <w:pageBreakBefore w:val="0"/>
        <w:spacing w:line="440" w:lineRule="exact"/>
        <w:widowControl w:val="off"/>
        <w:rPr>
          <w:rFonts w:hint="eastAsia"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 xml:space="preserve">特别提醒：</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以上所采购货物配置的除有特殊要求外，其余均须按照标准功能、参数提供。供应的产品必须是全新合格正品。</w:t>
      </w:r>
      <w:r/>
    </w:p>
    <w:p>
      <w:pPr>
        <w:pStyle w:val="914"/>
        <w:ind w:firstLine="601"/>
        <w:keepLines w:val="0"/>
        <w:keepNext w:val="0"/>
        <w:pageBreakBefore w:val="0"/>
        <w:spacing w:line="440" w:lineRule="exact"/>
        <w:widowControl w:val="off"/>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rPr>
        <w:t xml:space="preserve">六、交货时间、地点</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(1)采购合同签订后30天内交付并安装调试完毕。</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(2)交货地点：采购人指定地点 。</w:t>
      </w:r>
      <w:r/>
    </w:p>
    <w:p>
      <w:pPr>
        <w:pStyle w:val="914"/>
        <w:ind w:firstLine="601"/>
        <w:keepLines w:val="0"/>
        <w:keepNext w:val="0"/>
        <w:pageBreakBefore w:val="0"/>
        <w:spacing w:line="440" w:lineRule="exact"/>
        <w:widowControl w:val="off"/>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rPr>
        <w:t xml:space="preserve">七、付款方式</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货物到位安装结束，经验收合格后支付合同价的90%，余款待质保期满后一次性无息结清。</w:t>
      </w:r>
      <w:r/>
    </w:p>
    <w:p>
      <w:pPr>
        <w:pStyle w:val="914"/>
        <w:ind w:firstLine="601"/>
        <w:keepLines w:val="0"/>
        <w:keepNext w:val="0"/>
        <w:pageBreakBefore w:val="0"/>
        <w:spacing w:line="440" w:lineRule="exact"/>
        <w:widowControl w:val="off"/>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rPr>
        <w:t xml:space="preserve">八、采购标的业的所属行业</w:t>
      </w:r>
      <w:r/>
    </w:p>
    <w:p>
      <w:pPr>
        <w:pStyle w:val="914"/>
        <w:ind w:firstLine="601"/>
        <w:keepLines w:val="0"/>
        <w:keepNext w:val="0"/>
        <w:pageBreakBefore w:val="0"/>
        <w:spacing w:line="44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rPr>
        <w:t xml:space="preserve">参照《关于印发中小企业划型标准规定的通知》 (工信部联企业[2011]300 号)文件，本项目采购标的所属行业为</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b/>
          <w:bCs/>
          <w:i w:val="0"/>
          <w:iCs/>
          <w:color w:val="auto"/>
          <w:sz w:val="28"/>
          <w:szCs w:val="28"/>
          <w:highlight w:val="none"/>
          <w:u w:val="single"/>
        </w:rPr>
        <w:t xml:space="preserve">软件和信息技术服务业</w:t>
      </w:r>
      <w:r>
        <w:rPr>
          <w:rFonts w:hint="eastAsia" w:ascii="仿宋_GB2312" w:hAnsi="仿宋_GB2312" w:eastAsia="仿宋_GB2312" w:cs="仿宋_GB2312"/>
          <w:b/>
          <w:bCs/>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rPr>
        <w:t xml:space="preserve">。</w:t>
      </w:r>
      <w:r/>
    </w:p>
    <w:p>
      <w:pPr>
        <w:pStyle w:val="914"/>
        <w:ind w:firstLine="601"/>
        <w:keepLines w:val="0"/>
        <w:keepNext w:val="0"/>
        <w:pageBreakBefore w:val="0"/>
        <w:spacing w:line="440" w:lineRule="exact"/>
        <w:widowControl w:val="off"/>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 xml:space="preserve">九、验收标准</w:t>
      </w:r>
      <w:r/>
    </w:p>
    <w:p>
      <w:pPr>
        <w:pStyle w:val="914"/>
        <w:ind w:firstLine="560"/>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1、采购人可依法组织履约验收工作。</w:t>
      </w:r>
      <w:r/>
    </w:p>
    <w:p>
      <w:pPr>
        <w:pStyle w:val="914"/>
        <w:ind w:firstLine="560"/>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采购人在组织履约验收前，将根据项目特点制定验收方案，明确履约验收的时间、方式、程序等内容，并可根据项目特点对服务期内的服务实施情况进行分期考核，综合考核情况和服务效果进行验收。供应商应根据验收方案内容做好相应配合工作。</w:t>
      </w:r>
      <w:r/>
    </w:p>
    <w:p>
      <w:pPr>
        <w:pStyle w:val="914"/>
        <w:ind w:firstLine="560"/>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3、对于实际使用人和采购人分离的项目，采购人邀请实际使用人参与验收。</w:t>
      </w:r>
      <w:r/>
    </w:p>
    <w:p>
      <w:pPr>
        <w:pStyle w:val="914"/>
        <w:ind w:firstLine="560"/>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4、如有必要，采购人邀请参加本项目的其他供应商或第三方专业机构及专家参与验收，相关意见将作为验收书的参考资料。</w:t>
      </w:r>
      <w:r/>
    </w:p>
    <w:p>
      <w:pPr>
        <w:pStyle w:val="914"/>
        <w:ind w:firstLine="560"/>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5、采购人成立验收小组，按照采购合同的约定对供应商的履约情况进行验收。验收时,采购人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14"/>
        <w:ind w:firstLine="560"/>
        <w:keepLines w:val="0"/>
        <w:keepNext w:val="0"/>
        <w:pageBreakBefore w:val="0"/>
        <w:spacing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6、验收合格的项目,采购人根据采购合同的约定及时向供应商支付合同款项、退还履约保证金。验收不合格的项目，采购人依法及时处理。采购合同的履行、违约责任和解决争议的方式等适用《中华人民共和国民法典》。供应商在履约过程中有政府采购法律法规规定的违法违规情形的,采购人将及时报告本级财政部门。</w:t>
      </w:r>
      <w:r/>
    </w:p>
    <w:p>
      <w:pPr>
        <w:keepLines w:val="0"/>
        <w:keepNext w:val="0"/>
        <w:pageBreakBefore w:val="0"/>
        <w:spacing w:line="440" w:lineRule="exact"/>
        <w:widowControl w:val="off"/>
        <w:rPr>
          <w:rFonts w:hint="eastAsia" w:ascii="仿宋_GB2312" w:hAnsi="仿宋_GB2312" w:eastAsia="仿宋_GB2312" w:cs="仿宋_GB2312"/>
          <w:iCs/>
          <w:color w:val="auto"/>
          <w:sz w:val="28"/>
          <w:szCs w:val="28"/>
          <w:highlight w:val="yellow"/>
          <w:lang w:val="en-US" w:eastAsia="zh-CN" w:bidi="ar-SA"/>
        </w:rPr>
      </w:pPr>
      <w:r>
        <w:rPr>
          <w:rFonts w:hint="eastAsia" w:ascii="仿宋_GB2312" w:hAnsi="仿宋_GB2312" w:eastAsia="仿宋_GB2312" w:cs="仿宋_GB2312"/>
          <w:iCs/>
          <w:color w:val="auto"/>
          <w:sz w:val="28"/>
          <w:szCs w:val="28"/>
          <w:highlight w:val="yellow"/>
          <w:lang w:val="en-US" w:eastAsia="zh-CN" w:bidi="ar-SA"/>
        </w:rPr>
        <w:br w:type="page" w:clear="all"/>
      </w:r>
      <w:r/>
    </w:p>
    <w:p>
      <w:pPr>
        <w:pStyle w:val="706"/>
        <w:rPr>
          <w:rFonts w:hint="eastAsia"/>
          <w:lang w:val="en-US" w:eastAsia="zh-CN"/>
        </w:rPr>
      </w:pPr>
      <w:r>
        <w:rPr>
          <w:rFonts w:hint="eastAsia"/>
          <w:lang w:val="en-US" w:eastAsia="zh-CN"/>
        </w:rPr>
      </w:r>
      <w:r/>
    </w:p>
    <w:p>
      <w:pPr>
        <w:ind w:right="0"/>
        <w:jc w:val="center"/>
        <w:keepNext/>
        <w:pageBreakBefore w:val="0"/>
        <w:spacing w:line="520" w:lineRule="exact"/>
        <w:rPr>
          <w:rFonts w:hint="eastAsia" w:ascii="黑体" w:hAnsi="黑体" w:eastAsia="黑体" w:cs="黑体"/>
          <w:b w:val="0"/>
          <w:bCs w:val="0"/>
          <w:color w:val="auto"/>
          <w:sz w:val="36"/>
          <w:szCs w:val="36"/>
          <w:highlight w:val="none"/>
        </w:rPr>
        <w:outlineLvl w:val="0"/>
      </w:pPr>
      <w:r>
        <w:rPr>
          <w:rFonts w:hint="eastAsia" w:ascii="黑体" w:hAnsi="黑体" w:eastAsia="黑体" w:cs="黑体"/>
          <w:b w:val="0"/>
          <w:bCs w:val="0"/>
          <w:color w:val="auto"/>
          <w:sz w:val="36"/>
          <w:szCs w:val="36"/>
          <w:highlight w:val="none"/>
        </w:rPr>
        <w:t xml:space="preserve">第五章  评审方法与评审标准</w:t>
      </w:r>
      <w:r/>
    </w:p>
    <w:p>
      <w:pPr>
        <w:ind w:left="0" w:right="0" w:firstLine="56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ind w:left="0" w:right="0" w:firstLine="560"/>
        <w:jc w:val="left"/>
        <w:keepLines w:val="0"/>
        <w:keepNext w:val="0"/>
        <w:pageBreakBefore w:val="0"/>
        <w:spacing w:line="500" w:lineRule="exact"/>
        <w:widowControl w:val="off"/>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lang w:eastAsia="zh-CN"/>
        </w:rPr>
        <w:t xml:space="preserve">一、</w:t>
      </w:r>
      <w:r>
        <w:rPr>
          <w:rFonts w:hint="eastAsia" w:ascii="黑体" w:hAnsi="黑体" w:eastAsia="黑体" w:cs="黑体"/>
          <w:b w:val="0"/>
          <w:bCs/>
          <w:color w:val="auto"/>
          <w:sz w:val="28"/>
          <w:szCs w:val="28"/>
          <w:highlight w:val="none"/>
        </w:rPr>
        <w:t xml:space="preserve">政府采购政策功能落实</w:t>
      </w:r>
      <w:r/>
    </w:p>
    <w:p>
      <w:pPr>
        <w:ind w:left="0" w:right="0" w:firstLine="562"/>
        <w:jc w:val="left"/>
        <w:keepLines w:val="0"/>
        <w:keepNext w:val="0"/>
        <w:pageBreakBefore w:val="0"/>
        <w:spacing w:line="50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1、小微型企业价格扣除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（1）本项目对小型和微型企</w:t>
      </w:r>
      <w:r>
        <w:rPr>
          <w:rFonts w:hint="eastAsia" w:ascii="仿宋_GB2312" w:hAnsi="仿宋_GB2312" w:eastAsia="仿宋_GB2312" w:cs="仿宋_GB2312"/>
          <w:b w:val="0"/>
          <w:bCs w:val="0"/>
          <w:color w:val="auto"/>
          <w:sz w:val="28"/>
          <w:szCs w:val="28"/>
          <w:highlight w:val="none"/>
        </w:rPr>
        <w:t xml:space="preserve">业产品给予</w:t>
      </w:r>
      <w:r>
        <w:rPr>
          <w:rFonts w:hint="eastAsia" w:ascii="仿宋_GB2312" w:hAnsi="仿宋_GB2312" w:eastAsia="仿宋_GB2312" w:cs="仿宋_GB2312"/>
          <w:b w:val="0"/>
          <w:bCs w:val="0"/>
          <w:color w:val="auto"/>
          <w:sz w:val="28"/>
          <w:szCs w:val="28"/>
          <w:highlight w:val="none"/>
          <w:u w:val="single"/>
        </w:rPr>
        <w:t xml:space="preserve">10%</w:t>
      </w:r>
      <w:r>
        <w:rPr>
          <w:rFonts w:hint="eastAsia" w:ascii="仿宋_GB2312" w:hAnsi="仿宋_GB2312" w:eastAsia="仿宋_GB2312" w:cs="仿宋_GB2312"/>
          <w:b w:val="0"/>
          <w:bCs w:val="0"/>
          <w:color w:val="auto"/>
          <w:sz w:val="28"/>
          <w:szCs w:val="28"/>
          <w:highlight w:val="none"/>
        </w:rPr>
        <w:t xml:space="preserve">的扣除价格，用扣除后的价格参与评审。</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（2）供应商需按照采购文件的要求提供相应的《小微企业声明函》。</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（3）企业标准请参照《关于印发中小企业划型标准规定的通知》（工信部联企业[2011]300号）文件规定自行填写。</w:t>
      </w:r>
      <w:r/>
    </w:p>
    <w:p>
      <w:pPr>
        <w:ind w:left="0" w:right="0" w:firstLine="562"/>
        <w:jc w:val="left"/>
        <w:keepLines w:val="0"/>
        <w:keepNext w:val="0"/>
        <w:pageBreakBefore w:val="0"/>
        <w:spacing w:line="50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2、残疾人福利单位价格扣除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（1）本项目对残疾人福利性单位视同小型、微型企业，给予</w:t>
      </w:r>
      <w:r>
        <w:rPr>
          <w:rFonts w:hint="eastAsia" w:ascii="仿宋_GB2312" w:hAnsi="仿宋_GB2312" w:eastAsia="仿宋_GB2312" w:cs="仿宋_GB2312"/>
          <w:color w:val="auto"/>
          <w:sz w:val="28"/>
          <w:szCs w:val="28"/>
          <w:highlight w:val="none"/>
          <w:u w:val="single"/>
        </w:rPr>
        <w:t xml:space="preserve">10%</w:t>
      </w:r>
      <w:r>
        <w:rPr>
          <w:rFonts w:hint="eastAsia" w:ascii="仿宋_GB2312" w:hAnsi="仿宋_GB2312" w:eastAsia="仿宋_GB2312" w:cs="仿宋_GB2312"/>
          <w:color w:val="auto"/>
          <w:sz w:val="28"/>
          <w:szCs w:val="28"/>
          <w:highlight w:val="none"/>
        </w:rPr>
        <w:t xml:space="preserve">的价格扣除，用扣除后的价格参与评审。</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（2）残疾人福利单位需按照采购文件的要求提供《残疾人福利性单位声明函》。</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（3）残疾人福利单位标准请参照《关于促进残疾人就业政府采购政策的通知》（财库〔2017〕141号）。</w:t>
      </w:r>
      <w:r/>
    </w:p>
    <w:p>
      <w:pPr>
        <w:ind w:left="0" w:right="0" w:firstLine="562"/>
        <w:jc w:val="left"/>
        <w:keepLines w:val="0"/>
        <w:keepNext w:val="0"/>
        <w:pageBreakBefore w:val="0"/>
        <w:spacing w:line="50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3、监狱和戒毒企业价格扣除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（1）本项目对监狱和戒毒企业（简称监狱企业）视同小型、微型企业，给予</w:t>
      </w:r>
      <w:r>
        <w:rPr>
          <w:rFonts w:hint="eastAsia" w:ascii="仿宋_GB2312" w:hAnsi="仿宋_GB2312" w:eastAsia="仿宋_GB2312" w:cs="仿宋_GB2312"/>
          <w:color w:val="auto"/>
          <w:sz w:val="28"/>
          <w:szCs w:val="28"/>
          <w:highlight w:val="none"/>
          <w:u w:val="single"/>
        </w:rPr>
        <w:t xml:space="preserve">10%</w:t>
      </w:r>
      <w:r>
        <w:rPr>
          <w:rFonts w:hint="eastAsia" w:ascii="仿宋_GB2312" w:hAnsi="仿宋_GB2312" w:eastAsia="仿宋_GB2312" w:cs="仿宋_GB2312"/>
          <w:color w:val="auto"/>
          <w:sz w:val="28"/>
          <w:szCs w:val="28"/>
          <w:highlight w:val="none"/>
        </w:rPr>
        <w:t xml:space="preserve">的价格扣除，用扣除后的价格参与评审。</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（3）监狱企业标准请参照《关于政府采购支持监狱企业发展有关问题的通知》（财库[2014]68号）。</w:t>
      </w:r>
      <w:r/>
    </w:p>
    <w:p>
      <w:pPr>
        <w:ind w:left="0" w:right="0" w:firstLine="562"/>
        <w:jc w:val="left"/>
        <w:keepLines w:val="0"/>
        <w:keepNext w:val="0"/>
        <w:pageBreakBefore w:val="0"/>
        <w:spacing w:line="50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4、残疾人福利单位、监狱企业属于小型、微型企业的，不重复享受政策。</w:t>
      </w:r>
      <w:r/>
    </w:p>
    <w:p>
      <w:pPr>
        <w:ind w:firstLine="560"/>
        <w:jc w:val="left"/>
        <w:spacing w:line="520" w:lineRule="exact"/>
        <w:rPr>
          <w:rFonts w:hint="eastAsia" w:ascii="黑体" w:hAnsi="黑体" w:eastAsia="黑体" w:cs="黑体"/>
          <w:i/>
          <w:iCs/>
          <w:sz w:val="28"/>
          <w:szCs w:val="28"/>
          <w:highlight w:val="yellow"/>
          <w:u w:val="single"/>
        </w:rPr>
      </w:pPr>
      <w:r>
        <w:rPr>
          <w:rFonts w:hint="eastAsia" w:ascii="黑体" w:hAnsi="黑体" w:eastAsia="黑体" w:cs="黑体"/>
          <w:i/>
          <w:iCs/>
          <w:sz w:val="28"/>
          <w:szCs w:val="28"/>
          <w:highlight w:val="yellow"/>
          <w:u w:val="single"/>
        </w:rPr>
      </w:r>
      <w:r/>
    </w:p>
    <w:p>
      <w:pPr>
        <w:ind w:left="0" w:right="0" w:firstLine="560"/>
        <w:jc w:val="left"/>
        <w:keepLines w:val="0"/>
        <w:keepNext w:val="0"/>
        <w:pageBreakBefore w:val="0"/>
        <w:spacing w:line="520" w:lineRule="exact"/>
        <w:widowControl w:val="off"/>
        <w:rPr>
          <w:rFonts w:hint="eastAsia" w:ascii="黑体" w:hAnsi="黑体" w:eastAsia="黑体" w:cs="黑体"/>
          <w:b w:val="0"/>
          <w:bCs/>
          <w:color w:val="auto"/>
          <w:sz w:val="28"/>
          <w:szCs w:val="28"/>
          <w:highlight w:val="none"/>
          <w:lang w:eastAsia="zh-CN"/>
        </w:rPr>
      </w:pPr>
      <w:r>
        <w:rPr>
          <w:rFonts w:hint="eastAsia" w:ascii="黑体" w:hAnsi="黑体" w:eastAsia="黑体" w:cs="黑体"/>
          <w:b w:val="0"/>
          <w:bCs/>
          <w:color w:val="auto"/>
          <w:sz w:val="28"/>
          <w:szCs w:val="28"/>
          <w:highlight w:val="none"/>
          <w:lang w:eastAsia="zh-CN"/>
        </w:rPr>
        <w:t xml:space="preserve">二、评审办法和评审标准</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w:t>
      </w:r>
      <w:r>
        <w:rPr>
          <w:rFonts w:hint="eastAsia" w:ascii="仿宋_GB2312" w:hAnsi="仿宋_GB2312" w:eastAsia="仿宋_GB2312" w:cs="仿宋_GB2312"/>
          <w:color w:val="auto"/>
          <w:sz w:val="28"/>
          <w:szCs w:val="28"/>
          <w:highlight w:val="none"/>
          <w:lang w:eastAsia="zh-CN"/>
        </w:rPr>
        <w:t xml:space="preserve">本项目</w:t>
      </w:r>
      <w:r>
        <w:rPr>
          <w:rFonts w:hint="eastAsia" w:ascii="仿宋_GB2312" w:hAnsi="仿宋_GB2312" w:eastAsia="仿宋_GB2312" w:cs="仿宋_GB2312"/>
          <w:color w:val="auto"/>
          <w:sz w:val="28"/>
          <w:szCs w:val="28"/>
          <w:highlight w:val="none"/>
        </w:rPr>
        <w:t xml:space="preserve">采用</w:t>
      </w:r>
      <w:r>
        <w:rPr>
          <w:rFonts w:hint="eastAsia" w:ascii="仿宋_GB2312" w:hAnsi="仿宋_GB2312" w:eastAsia="仿宋_GB2312" w:cs="仿宋_GB2312"/>
          <w:b/>
          <w:bCs/>
          <w:color w:val="auto"/>
          <w:sz w:val="28"/>
          <w:szCs w:val="28"/>
          <w:highlight w:val="none"/>
          <w:u w:val="single"/>
        </w:rPr>
        <w:t xml:space="preserve">综合评分法</w:t>
      </w:r>
      <w:r>
        <w:rPr>
          <w:rFonts w:hint="eastAsia" w:ascii="仿宋_GB2312" w:hAnsi="仿宋_GB2312" w:eastAsia="仿宋_GB2312" w:cs="仿宋_GB2312"/>
          <w:color w:val="auto"/>
          <w:sz w:val="28"/>
          <w:szCs w:val="28"/>
          <w:highlight w:val="none"/>
        </w:rPr>
        <w:t xml:space="preserve">，由</w:t>
      </w:r>
      <w:r>
        <w:rPr>
          <w:rFonts w:hint="eastAsia" w:ascii="仿宋_GB2312" w:hAnsi="仿宋_GB2312" w:eastAsia="仿宋_GB2312" w:cs="仿宋_GB2312"/>
          <w:color w:val="auto"/>
          <w:sz w:val="28"/>
          <w:szCs w:val="28"/>
          <w:highlight w:val="none"/>
          <w:lang w:eastAsia="zh-CN"/>
        </w:rPr>
        <w:t xml:space="preserve">评标委员会</w:t>
      </w:r>
      <w:r>
        <w:rPr>
          <w:rFonts w:hint="eastAsia" w:ascii="仿宋_GB2312" w:hAnsi="仿宋_GB2312" w:eastAsia="仿宋_GB2312" w:cs="仿宋_GB2312"/>
          <w:color w:val="auto"/>
          <w:sz w:val="28"/>
          <w:szCs w:val="28"/>
          <w:highlight w:val="none"/>
        </w:rPr>
        <w:t xml:space="preserve">根据评分办法规定的各项因素综合评定打分，按照最终得分由高到低的顺序排列。最终得分相同的，按照</w:t>
      </w:r>
      <w:r>
        <w:rPr>
          <w:rFonts w:hint="eastAsia" w:ascii="仿宋_GB2312" w:hAnsi="仿宋_GB2312" w:eastAsia="仿宋_GB2312" w:cs="仿宋_GB2312"/>
          <w:color w:val="auto"/>
          <w:sz w:val="28"/>
          <w:szCs w:val="28"/>
          <w:highlight w:val="none"/>
          <w:lang w:eastAsia="zh-CN"/>
        </w:rPr>
        <w:t xml:space="preserve">投标</w:t>
      </w:r>
      <w:r>
        <w:rPr>
          <w:rFonts w:hint="eastAsia" w:ascii="仿宋_GB2312" w:hAnsi="仿宋_GB2312" w:eastAsia="仿宋_GB2312" w:cs="仿宋_GB2312"/>
          <w:color w:val="auto"/>
          <w:sz w:val="28"/>
          <w:szCs w:val="28"/>
          <w:highlight w:val="none"/>
        </w:rPr>
        <w:t xml:space="preserve">报价由低到高顺序排列。得分相同且投标报价相同的，由采购人采取随机抽取的方式确定排名顺序。</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trike w:val="0"/>
          <w:color w:val="auto"/>
          <w:sz w:val="28"/>
          <w:szCs w:val="28"/>
          <w:highlight w:val="none"/>
        </w:rPr>
      </w:pPr>
      <w:r>
        <w:rPr>
          <w:rFonts w:hint="eastAsia" w:ascii="仿宋_GB2312" w:hAnsi="仿宋_GB2312" w:eastAsia="仿宋_GB2312" w:cs="仿宋_GB2312"/>
          <w:color w:val="auto"/>
          <w:sz w:val="28"/>
          <w:szCs w:val="28"/>
          <w:highlight w:val="none"/>
        </w:rPr>
        <w:t xml:space="preserve">2、本项目</w:t>
      </w:r>
      <w:r>
        <w:rPr>
          <w:rFonts w:hint="eastAsia" w:ascii="仿宋_GB2312" w:hAnsi="仿宋_GB2312" w:eastAsia="仿宋_GB2312" w:cs="仿宋_GB2312"/>
          <w:color w:val="auto"/>
          <w:sz w:val="28"/>
          <w:szCs w:val="28"/>
          <w:highlight w:val="none"/>
          <w:lang w:eastAsia="zh-CN"/>
        </w:rPr>
        <w:t xml:space="preserve">推荐</w:t>
      </w:r>
      <w:r>
        <w:rPr>
          <w:rFonts w:hint="eastAsia" w:ascii="仿宋_GB2312" w:hAnsi="仿宋_GB2312" w:eastAsia="仿宋_GB2312" w:cs="仿宋_GB2312"/>
          <w:b/>
          <w:bCs/>
          <w:color w:val="auto"/>
          <w:sz w:val="28"/>
          <w:szCs w:val="28"/>
          <w:highlight w:val="none"/>
          <w:u w:val="single"/>
          <w:lang w:val="en-US" w:eastAsia="zh-CN"/>
        </w:rPr>
        <w:t xml:space="preserve">1</w:t>
      </w:r>
      <w:r>
        <w:rPr>
          <w:rFonts w:hint="eastAsia" w:ascii="仿宋_GB2312" w:hAnsi="仿宋_GB2312" w:eastAsia="仿宋_GB2312" w:cs="仿宋_GB2312"/>
          <w:b/>
          <w:bCs/>
          <w:color w:val="auto"/>
          <w:sz w:val="28"/>
          <w:szCs w:val="28"/>
          <w:highlight w:val="none"/>
          <w:u w:val="single"/>
        </w:rPr>
        <w:t xml:space="preserve">名</w:t>
      </w:r>
      <w:r>
        <w:rPr>
          <w:rFonts w:hint="eastAsia" w:ascii="仿宋_GB2312" w:hAnsi="仿宋_GB2312" w:eastAsia="仿宋_GB2312" w:cs="仿宋_GB2312"/>
          <w:b/>
          <w:bCs/>
          <w:color w:val="auto"/>
          <w:sz w:val="28"/>
          <w:szCs w:val="28"/>
          <w:highlight w:val="none"/>
          <w:u w:val="single"/>
          <w:lang w:eastAsia="zh-CN"/>
        </w:rPr>
        <w:t xml:space="preserve">成交</w:t>
      </w:r>
      <w:r>
        <w:rPr>
          <w:rFonts w:hint="eastAsia" w:ascii="仿宋_GB2312" w:hAnsi="仿宋_GB2312" w:eastAsia="仿宋_GB2312" w:cs="仿宋_GB2312"/>
          <w:b/>
          <w:bCs/>
          <w:color w:val="auto"/>
          <w:sz w:val="28"/>
          <w:szCs w:val="28"/>
          <w:highlight w:val="none"/>
          <w:u w:val="single"/>
        </w:rPr>
        <w:t xml:space="preserve">候选人</w:t>
      </w: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strike w:val="0"/>
          <w:color w:val="auto"/>
          <w:sz w:val="28"/>
          <w:szCs w:val="28"/>
          <w:highlight w:val="none"/>
        </w:rPr>
        <w:t xml:space="preserve">采购人确定最终得分最高且排名第一的</w:t>
      </w:r>
      <w:r>
        <w:rPr>
          <w:rFonts w:hint="eastAsia" w:ascii="仿宋_GB2312" w:hAnsi="仿宋_GB2312" w:eastAsia="仿宋_GB2312" w:cs="仿宋_GB2312"/>
          <w:strike w:val="0"/>
          <w:color w:val="auto"/>
          <w:sz w:val="28"/>
          <w:szCs w:val="28"/>
          <w:highlight w:val="none"/>
          <w:lang w:eastAsia="zh-CN"/>
        </w:rPr>
        <w:t xml:space="preserve">成交</w:t>
      </w:r>
      <w:r>
        <w:rPr>
          <w:rFonts w:hint="eastAsia" w:ascii="仿宋_GB2312" w:hAnsi="仿宋_GB2312" w:eastAsia="仿宋_GB2312" w:cs="仿宋_GB2312"/>
          <w:strike w:val="0"/>
          <w:color w:val="auto"/>
          <w:sz w:val="28"/>
          <w:szCs w:val="28"/>
          <w:highlight w:val="none"/>
        </w:rPr>
        <w:t xml:space="preserve">候选人为</w:t>
      </w:r>
      <w:r>
        <w:rPr>
          <w:rFonts w:hint="eastAsia" w:ascii="仿宋_GB2312" w:hAnsi="仿宋_GB2312" w:eastAsia="仿宋_GB2312" w:cs="仿宋_GB2312"/>
          <w:strike w:val="0"/>
          <w:color w:val="auto"/>
          <w:sz w:val="28"/>
          <w:szCs w:val="28"/>
          <w:highlight w:val="none"/>
          <w:lang w:eastAsia="zh-CN"/>
        </w:rPr>
        <w:t xml:space="preserve">成交</w:t>
      </w:r>
      <w:r>
        <w:rPr>
          <w:rFonts w:hint="eastAsia" w:ascii="仿宋_GB2312" w:hAnsi="仿宋_GB2312" w:eastAsia="仿宋_GB2312" w:cs="仿宋_GB2312"/>
          <w:strike w:val="0"/>
          <w:color w:val="auto"/>
          <w:sz w:val="28"/>
          <w:szCs w:val="28"/>
          <w:highlight w:val="none"/>
        </w:rPr>
        <w:t xml:space="preserve">供应商。</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评标时,</w:t>
      </w:r>
      <w:r>
        <w:rPr>
          <w:rFonts w:hint="eastAsia" w:ascii="仿宋_GB2312" w:hAnsi="仿宋_GB2312" w:eastAsia="仿宋_GB2312" w:cs="仿宋_GB2312"/>
          <w:color w:val="auto"/>
          <w:sz w:val="28"/>
          <w:szCs w:val="28"/>
          <w:highlight w:val="none"/>
          <w:lang w:eastAsia="zh-CN"/>
        </w:rPr>
        <w:t xml:space="preserve">磋商小组</w:t>
      </w:r>
      <w:r>
        <w:rPr>
          <w:rFonts w:hint="eastAsia" w:ascii="仿宋_GB2312" w:hAnsi="仿宋_GB2312" w:eastAsia="仿宋_GB2312" w:cs="仿宋_GB2312"/>
          <w:color w:val="auto"/>
          <w:sz w:val="28"/>
          <w:szCs w:val="28"/>
          <w:highlight w:val="none"/>
        </w:rPr>
        <w:t xml:space="preserve">各成员应当独立对每个有效投标供应商的</w:t>
      </w:r>
      <w:r>
        <w:rPr>
          <w:rFonts w:hint="eastAsia" w:ascii="仿宋_GB2312" w:hAnsi="仿宋_GB2312" w:eastAsia="仿宋_GB2312" w:cs="仿宋_GB2312"/>
          <w:color w:val="auto"/>
          <w:sz w:val="28"/>
          <w:szCs w:val="28"/>
          <w:highlight w:val="none"/>
          <w:lang w:eastAsia="zh-CN"/>
        </w:rPr>
        <w:t xml:space="preserve">响应文件</w:t>
      </w:r>
      <w:r>
        <w:rPr>
          <w:rFonts w:hint="eastAsia" w:ascii="仿宋_GB2312" w:hAnsi="仿宋_GB2312" w:eastAsia="仿宋_GB2312" w:cs="仿宋_GB2312"/>
          <w:color w:val="auto"/>
          <w:sz w:val="28"/>
          <w:szCs w:val="28"/>
          <w:highlight w:val="none"/>
        </w:rPr>
        <w:t xml:space="preserve">进行评价打分，然后汇总每个投标供应商每项评分因素的得分。</w:t>
      </w:r>
      <w:r/>
    </w:p>
    <w:p>
      <w:pPr>
        <w:ind w:left="0" w:right="0" w:firstLine="560"/>
        <w:jc w:val="left"/>
        <w:keepLines w:val="0"/>
        <w:keepNext w:val="0"/>
        <w:pageBreakBefore w:val="0"/>
        <w:spacing w:line="520" w:lineRule="exact"/>
        <w:widowControl w:val="off"/>
        <w:rPr>
          <w:rFonts w:hint="eastAsia" w:ascii="黑体" w:hAnsi="黑体" w:eastAsia="黑体" w:cs="黑体"/>
          <w:b w:val="0"/>
          <w:bCs/>
          <w:color w:val="auto"/>
          <w:sz w:val="28"/>
          <w:szCs w:val="28"/>
          <w:highlight w:val="none"/>
          <w:lang w:eastAsia="zh-CN"/>
        </w:rPr>
      </w:pPr>
      <w:r>
        <w:rPr>
          <w:rFonts w:hint="eastAsia" w:ascii="黑体" w:hAnsi="黑体" w:eastAsia="黑体" w:cs="黑体"/>
          <w:b w:val="0"/>
          <w:bCs/>
          <w:color w:val="auto"/>
          <w:sz w:val="28"/>
          <w:szCs w:val="28"/>
          <w:highlight w:val="none"/>
          <w:lang w:eastAsia="zh-CN"/>
        </w:rPr>
      </w:r>
      <w:r/>
    </w:p>
    <w:p>
      <w:pPr>
        <w:jc w:val="center"/>
        <w:keepLines w:val="0"/>
        <w:keepNext w:val="0"/>
        <w:pageBreakBefore w:val="0"/>
        <w:spacing w:beforeAutospacing="0" w:afterAutospacing="0" w:line="500" w:lineRule="exact"/>
        <w:rPr>
          <w:rFonts w:hint="eastAsia" w:ascii="方正小标宋_GBK" w:hAnsi="方正小标宋_GBK" w:eastAsia="方正小标宋_GBK" w:cs="方正小标宋_GBK"/>
          <w:bCs/>
          <w:color w:val="000000"/>
          <w:sz w:val="36"/>
          <w:szCs w:val="36"/>
        </w:rPr>
      </w:pPr>
      <w:r>
        <w:rPr>
          <w:rFonts w:hint="eastAsia" w:ascii="方正小标宋_GBK" w:hAnsi="方正小标宋_GBK" w:eastAsia="方正小标宋_GBK" w:cs="方正小标宋_GBK"/>
          <w:bCs/>
          <w:color w:val="000000"/>
          <w:sz w:val="36"/>
          <w:szCs w:val="36"/>
        </w:rPr>
        <w:t xml:space="preserve">评分办法</w:t>
      </w:r>
      <w:r/>
    </w:p>
    <w:tbl>
      <w:tblPr>
        <w:tblStyle w:val="701"/>
        <w:tblW w:w="5095" w:type="pct"/>
        <w:tblInd w:w="-17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566"/>
        <w:gridCol w:w="7898"/>
      </w:tblGrid>
      <w:tr>
        <w:trPr>
          <w:trHeight w:val="763"/>
        </w:trPr>
        <w:tc>
          <w:tcPr>
            <w:tcW w:w="827" w:type="pct"/>
            <w:vAlign w:val="center"/>
            <w:textDirection w:val="lrTb"/>
            <w:noWrap w:val="false"/>
          </w:tcPr>
          <w:p>
            <w:pPr>
              <w:pStyle w:val="914"/>
              <w:jc w:val="center"/>
              <w:keepLines w:val="0"/>
              <w:keepNext w:val="0"/>
              <w:pageBreakBefore w:val="0"/>
              <w:spacing w:line="440" w:lineRule="exact"/>
              <w:widowControl w:val="off"/>
              <w:rPr>
                <w:rFonts w:hint="eastAsia" w:ascii="黑体" w:hAnsi="黑体" w:eastAsia="黑体" w:cs="黑体"/>
                <w:color w:val="auto"/>
                <w:sz w:val="28"/>
                <w:szCs w:val="28"/>
              </w:rPr>
            </w:pPr>
            <w:r>
              <w:rPr>
                <w:rFonts w:hint="eastAsia" w:ascii="黑体" w:hAnsi="黑体" w:eastAsia="黑体" w:cs="黑体"/>
                <w:color w:val="auto"/>
                <w:sz w:val="28"/>
                <w:szCs w:val="28"/>
              </w:rPr>
              <w:t xml:space="preserve">细化项目及分值</w:t>
            </w:r>
            <w:r/>
          </w:p>
        </w:tc>
        <w:tc>
          <w:tcPr>
            <w:tcW w:w="4172" w:type="pct"/>
            <w:vAlign w:val="center"/>
            <w:textDirection w:val="lrTb"/>
            <w:noWrap w:val="false"/>
          </w:tcPr>
          <w:p>
            <w:pPr>
              <w:pStyle w:val="914"/>
              <w:jc w:val="center"/>
              <w:keepLines w:val="0"/>
              <w:keepNext w:val="0"/>
              <w:pageBreakBefore w:val="0"/>
              <w:spacing w:line="440" w:lineRule="exact"/>
              <w:widowControl w:val="off"/>
              <w:rPr>
                <w:rFonts w:hint="eastAsia" w:ascii="黑体" w:hAnsi="黑体" w:eastAsia="黑体" w:cs="黑体"/>
                <w:color w:val="auto"/>
                <w:sz w:val="28"/>
                <w:szCs w:val="28"/>
              </w:rPr>
            </w:pPr>
            <w:r>
              <w:rPr>
                <w:rFonts w:hint="eastAsia" w:ascii="黑体" w:hAnsi="黑体" w:eastAsia="黑体" w:cs="黑体"/>
                <w:color w:val="auto"/>
                <w:sz w:val="28"/>
                <w:szCs w:val="28"/>
              </w:rPr>
              <w:t xml:space="preserve">评  分  依  据</w:t>
            </w:r>
            <w:r/>
          </w:p>
        </w:tc>
      </w:tr>
      <w:tr>
        <w:trPr>
          <w:trHeight w:val="2201"/>
        </w:trPr>
        <w:tc>
          <w:tcPr>
            <w:tcW w:w="827" w:type="pct"/>
            <w:vAlign w:val="center"/>
            <w:textDirection w:val="lrTb"/>
            <w:noWrap w:val="false"/>
          </w:tcPr>
          <w:p>
            <w:pPr>
              <w:pStyle w:val="914"/>
              <w:jc w:val="center"/>
              <w:keepLines w:val="0"/>
              <w:keepNext w:val="0"/>
              <w:pageBreakBefore w:val="0"/>
              <w:spacing w:line="440" w:lineRule="exact"/>
              <w:widowControl w:val="off"/>
              <w:rPr>
                <w:rFonts w:hint="eastAsia" w:ascii="黑体" w:hAnsi="黑体" w:eastAsia="黑体" w:cs="黑体"/>
                <w:color w:val="auto"/>
                <w:sz w:val="28"/>
                <w:szCs w:val="28"/>
              </w:rPr>
            </w:pPr>
            <w:r>
              <w:rPr>
                <w:rFonts w:hint="eastAsia" w:ascii="黑体" w:hAnsi="黑体" w:eastAsia="黑体" w:cs="黑体"/>
                <w:color w:val="auto"/>
                <w:sz w:val="28"/>
                <w:szCs w:val="28"/>
              </w:rPr>
              <w:t xml:space="preserve">价格</w:t>
            </w:r>
            <w:r/>
          </w:p>
          <w:p>
            <w:pPr>
              <w:pStyle w:val="914"/>
              <w:jc w:val="center"/>
              <w:keepLines w:val="0"/>
              <w:keepNext w:val="0"/>
              <w:pageBreakBefore w:val="0"/>
              <w:spacing w:line="440" w:lineRule="exact"/>
              <w:widowControl w:val="off"/>
              <w:rPr>
                <w:rFonts w:hint="eastAsia" w:ascii="黑体" w:hAnsi="黑体" w:eastAsia="黑体" w:cs="黑体"/>
                <w:color w:val="auto"/>
                <w:sz w:val="28"/>
                <w:szCs w:val="28"/>
              </w:rPr>
            </w:pPr>
            <w:r>
              <w:rPr>
                <w:rFonts w:hint="eastAsia" w:ascii="黑体" w:hAnsi="黑体" w:eastAsia="黑体" w:cs="黑体"/>
                <w:color w:val="auto"/>
                <w:sz w:val="28"/>
                <w:szCs w:val="28"/>
              </w:rPr>
              <w:t xml:space="preserve">（30分）</w:t>
            </w:r>
            <w:r/>
          </w:p>
        </w:tc>
        <w:tc>
          <w:tcPr>
            <w:tcW w:w="4172" w:type="pct"/>
            <w:vAlign w:val="center"/>
            <w:textDirection w:val="lrTb"/>
            <w:noWrap w:val="false"/>
          </w:tcPr>
          <w:p>
            <w:pPr>
              <w:pStyle w:val="914"/>
              <w:jc w:val="left"/>
              <w:keepLines w:val="0"/>
              <w:keepNext w:val="0"/>
              <w:pageBreakBefore w:val="0"/>
              <w:spacing w:line="44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价格分采用低价优先法计算，即满足</w:t>
            </w:r>
            <w:r>
              <w:rPr>
                <w:rFonts w:hint="eastAsia" w:ascii="仿宋" w:hAnsi="仿宋" w:eastAsia="仿宋" w:cs="仿宋"/>
                <w:bCs/>
                <w:color w:val="auto"/>
                <w:sz w:val="28"/>
                <w:szCs w:val="28"/>
                <w:lang w:eastAsia="zh-CN"/>
              </w:rPr>
              <w:t xml:space="preserve">磋商</w:t>
            </w:r>
            <w:r>
              <w:rPr>
                <w:rFonts w:hint="eastAsia" w:ascii="仿宋" w:hAnsi="仿宋" w:eastAsia="仿宋" w:cs="仿宋"/>
                <w:bCs/>
                <w:color w:val="auto"/>
                <w:sz w:val="28"/>
                <w:szCs w:val="28"/>
              </w:rPr>
              <w:t xml:space="preserve">文件要求且</w:t>
            </w:r>
            <w:r>
              <w:rPr>
                <w:rFonts w:hint="eastAsia" w:ascii="仿宋" w:hAnsi="仿宋" w:eastAsia="仿宋" w:cs="仿宋"/>
                <w:bCs/>
                <w:color w:val="auto"/>
                <w:sz w:val="28"/>
                <w:szCs w:val="28"/>
                <w:lang w:eastAsia="zh-CN"/>
              </w:rPr>
              <w:t xml:space="preserve">响应</w:t>
            </w:r>
            <w:r>
              <w:rPr>
                <w:rFonts w:hint="eastAsia" w:ascii="仿宋" w:hAnsi="仿宋" w:eastAsia="仿宋" w:cs="仿宋"/>
                <w:bCs/>
                <w:color w:val="auto"/>
                <w:sz w:val="28"/>
                <w:szCs w:val="28"/>
              </w:rPr>
              <w:t xml:space="preserve">价格最低的报价为评标基准价，其价格分为满分30分。其他</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的价格分按照下列公式计算：</w:t>
            </w:r>
            <w:r/>
          </w:p>
          <w:p>
            <w:pPr>
              <w:pStyle w:val="914"/>
              <w:jc w:val="left"/>
              <w:keepLines w:val="0"/>
              <w:keepNext w:val="0"/>
              <w:pageBreakBefore w:val="0"/>
              <w:spacing w:line="44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报价得分=（评标基准价／投标报价）×30</w:t>
            </w:r>
            <w:r/>
          </w:p>
          <w:p>
            <w:pPr>
              <w:pStyle w:val="914"/>
              <w:jc w:val="left"/>
              <w:keepLines w:val="0"/>
              <w:keepNext w:val="0"/>
              <w:pageBreakBefore w:val="0"/>
              <w:spacing w:line="44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（分值计算结果保留两位小数）</w:t>
            </w:r>
            <w:r/>
          </w:p>
        </w:tc>
      </w:tr>
      <w:tr>
        <w:trPr>
          <w:trHeight w:val="1509"/>
        </w:trPr>
        <w:tc>
          <w:tcPr>
            <w:tcW w:w="827" w:type="pct"/>
            <w:vAlign w:val="center"/>
            <w:textDirection w:val="lrTb"/>
            <w:noWrap w:val="false"/>
          </w:tcPr>
          <w:p>
            <w:pPr>
              <w:pStyle w:val="914"/>
              <w:jc w:val="center"/>
              <w:keepLines w:val="0"/>
              <w:keepNext w:val="0"/>
              <w:pageBreakBefore w:val="0"/>
              <w:spacing w:line="440" w:lineRule="exact"/>
              <w:widowControl w:val="off"/>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技术指标响应性（29分）</w:t>
            </w:r>
            <w:r/>
          </w:p>
        </w:tc>
        <w:tc>
          <w:tcPr>
            <w:tcW w:w="4172" w:type="pct"/>
            <w:vAlign w:val="center"/>
            <w:textDirection w:val="lrTb"/>
            <w:noWrap w:val="false"/>
          </w:tcPr>
          <w:p>
            <w:pPr>
              <w:pStyle w:val="914"/>
              <w:jc w:val="left"/>
              <w:keepLines w:val="0"/>
              <w:keepNext w:val="0"/>
              <w:pageBreakBefore w:val="0"/>
              <w:spacing w:line="44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所投标的产品其技术参数、功能符合或高于</w:t>
            </w:r>
            <w:r>
              <w:rPr>
                <w:rFonts w:hint="eastAsia" w:ascii="仿宋" w:hAnsi="仿宋" w:eastAsia="仿宋" w:cs="仿宋"/>
                <w:bCs/>
                <w:color w:val="auto"/>
                <w:sz w:val="28"/>
                <w:szCs w:val="28"/>
                <w:highlight w:val="none"/>
                <w:lang w:eastAsia="zh-CN"/>
              </w:rPr>
              <w:t xml:space="preserve">磋商文件 第四章 采购需求 的相关要求</w:t>
            </w:r>
            <w:r>
              <w:rPr>
                <w:rFonts w:hint="eastAsia" w:ascii="仿宋" w:hAnsi="仿宋" w:eastAsia="仿宋" w:cs="仿宋"/>
                <w:bCs/>
                <w:color w:val="auto"/>
                <w:sz w:val="28"/>
                <w:szCs w:val="28"/>
                <w:highlight w:val="none"/>
              </w:rPr>
              <w:t xml:space="preserve">要求的得29分。技术要求未满足或负偏离的每条扣0.5分，扣完为止。</w:t>
            </w:r>
            <w:r/>
          </w:p>
        </w:tc>
      </w:tr>
      <w:tr>
        <w:trPr>
          <w:trHeight w:val="1509"/>
        </w:trPr>
        <w:tc>
          <w:tcPr>
            <w:tcW w:w="827" w:type="pct"/>
            <w:vAlign w:val="center"/>
            <w:textDirection w:val="lrTb"/>
            <w:noWrap w:val="false"/>
          </w:tcPr>
          <w:p>
            <w:pPr>
              <w:pStyle w:val="914"/>
              <w:jc w:val="center"/>
              <w:keepLines w:val="0"/>
              <w:keepNext w:val="0"/>
              <w:pageBreakBefore w:val="0"/>
              <w:spacing w:line="440" w:lineRule="exact"/>
              <w:widowControl w:val="off"/>
              <w:rPr>
                <w:rFonts w:hint="eastAsia" w:ascii="黑体" w:hAnsi="黑体" w:eastAsia="黑体" w:cs="黑体"/>
                <w:bCs/>
                <w:color w:val="auto"/>
                <w:sz w:val="28"/>
                <w:szCs w:val="28"/>
              </w:rPr>
            </w:pPr>
            <w:r>
              <w:rPr>
                <w:rFonts w:hint="eastAsia" w:ascii="黑体" w:hAnsi="黑体" w:eastAsia="黑体" w:cs="黑体"/>
                <w:bCs/>
                <w:color w:val="auto"/>
                <w:sz w:val="28"/>
                <w:szCs w:val="28"/>
              </w:rPr>
              <w:t xml:space="preserve">类似业绩 （6分）</w:t>
            </w:r>
            <w:r/>
          </w:p>
        </w:tc>
        <w:tc>
          <w:tcPr>
            <w:tcW w:w="4172" w:type="pct"/>
            <w:vAlign w:val="center"/>
            <w:textDirection w:val="lrTb"/>
            <w:noWrap w:val="false"/>
          </w:tcPr>
          <w:p>
            <w:pPr>
              <w:pStyle w:val="914"/>
              <w:jc w:val="left"/>
              <w:keepLines w:val="0"/>
              <w:keepNext w:val="0"/>
              <w:pageBreakBefore w:val="0"/>
              <w:spacing w:line="44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提供2021年1月1日以来农业信息化类、大数据管理类等相关业绩案例的， 每提供一项得2分，最多得6分。</w:t>
            </w:r>
            <w:r/>
          </w:p>
          <w:p>
            <w:pPr>
              <w:pStyle w:val="914"/>
              <w:jc w:val="left"/>
              <w:keepLines w:val="0"/>
              <w:keepNext w:val="0"/>
              <w:pageBreakBefore w:val="0"/>
              <w:spacing w:line="44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注：业绩项目案例需提供合同首页、合同金额页、签字盖章页及相关证明页原件扫描件，未提供不得分。</w:t>
            </w:r>
            <w:r/>
          </w:p>
        </w:tc>
      </w:tr>
      <w:tr>
        <w:trPr>
          <w:trHeight w:val="758"/>
        </w:trPr>
        <w:tc>
          <w:tcPr>
            <w:tcW w:w="827" w:type="pct"/>
            <w:vAlign w:val="center"/>
            <w:textDirection w:val="lrTb"/>
            <w:noWrap w:val="false"/>
          </w:tcPr>
          <w:p>
            <w:pPr>
              <w:pStyle w:val="914"/>
              <w:jc w:val="center"/>
              <w:keepLines w:val="0"/>
              <w:keepNext w:val="0"/>
              <w:pageBreakBefore w:val="0"/>
              <w:spacing w:line="440" w:lineRule="exact"/>
              <w:widowControl w:val="off"/>
              <w:rPr>
                <w:rFonts w:hint="eastAsia" w:ascii="黑体" w:hAnsi="黑体" w:eastAsia="黑体" w:cs="黑体"/>
                <w:bCs/>
                <w:color w:val="auto"/>
                <w:sz w:val="28"/>
                <w:szCs w:val="28"/>
              </w:rPr>
            </w:pPr>
            <w:r>
              <w:rPr>
                <w:rFonts w:hint="eastAsia" w:ascii="黑体" w:hAnsi="黑体" w:eastAsia="黑体" w:cs="黑体"/>
                <w:bCs/>
                <w:color w:val="auto"/>
                <w:sz w:val="28"/>
                <w:szCs w:val="28"/>
              </w:rPr>
              <w:t xml:space="preserve">软件著作权证书</w:t>
            </w:r>
            <w:r/>
          </w:p>
          <w:p>
            <w:pPr>
              <w:pStyle w:val="914"/>
              <w:jc w:val="center"/>
              <w:keepLines w:val="0"/>
              <w:keepNext w:val="0"/>
              <w:pageBreakBefore w:val="0"/>
              <w:spacing w:line="440" w:lineRule="exact"/>
              <w:widowControl w:val="off"/>
              <w:rPr>
                <w:rFonts w:hint="eastAsia" w:ascii="黑体" w:hAnsi="黑体" w:eastAsia="黑体" w:cs="黑体"/>
                <w:bCs/>
                <w:color w:val="auto"/>
                <w:sz w:val="28"/>
                <w:szCs w:val="28"/>
              </w:rPr>
            </w:pPr>
            <w:r>
              <w:rPr>
                <w:rFonts w:hint="eastAsia" w:ascii="黑体" w:hAnsi="黑体" w:eastAsia="黑体" w:cs="黑体"/>
                <w:bCs/>
                <w:color w:val="auto"/>
                <w:sz w:val="28"/>
                <w:szCs w:val="28"/>
              </w:rPr>
              <w:t xml:space="preserve">（8分）</w:t>
            </w:r>
            <w:r/>
          </w:p>
        </w:tc>
        <w:tc>
          <w:tcPr>
            <w:tcW w:w="4172" w:type="pct"/>
            <w:vAlign w:val="center"/>
            <w:textDirection w:val="lrTb"/>
            <w:noWrap w:val="false"/>
          </w:tcPr>
          <w:p>
            <w:pPr>
              <w:pStyle w:val="914"/>
              <w:jc w:val="left"/>
              <w:keepLines w:val="0"/>
              <w:keepNext w:val="0"/>
              <w:pageBreakBefore w:val="0"/>
              <w:spacing w:line="44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所投产品具备 “智慧农业综合应用平台”、“智慧农业大棚监测管理系统”、“二三维地理信息管理系统”、“全域综合土地整治管理系统”、“时空大数据管理平台”、“病虫害监测预警系统”、“物联网平台”的等相关软件著作权证书，每提供一项得2分，最高得8分。提供软件著作权证书原件扫描件。</w:t>
            </w:r>
            <w:r/>
          </w:p>
        </w:tc>
      </w:tr>
      <w:tr>
        <w:trPr>
          <w:trHeight w:val="1509"/>
        </w:trPr>
        <w:tc>
          <w:tcPr>
            <w:tcW w:w="827" w:type="pct"/>
            <w:vAlign w:val="center"/>
            <w:textDirection w:val="lrTb"/>
            <w:noWrap w:val="false"/>
          </w:tcPr>
          <w:p>
            <w:pPr>
              <w:pStyle w:val="914"/>
              <w:jc w:val="center"/>
              <w:keepLines w:val="0"/>
              <w:keepNext w:val="0"/>
              <w:pageBreakBefore w:val="0"/>
              <w:spacing w:line="440" w:lineRule="exact"/>
              <w:widowControl w:val="off"/>
              <w:rPr>
                <w:rFonts w:hint="eastAsia" w:ascii="黑体" w:hAnsi="黑体" w:eastAsia="黑体" w:cs="黑体"/>
                <w:bCs/>
                <w:color w:val="auto"/>
                <w:sz w:val="28"/>
                <w:szCs w:val="28"/>
              </w:rPr>
            </w:pPr>
            <w:r>
              <w:rPr>
                <w:rFonts w:hint="eastAsia" w:ascii="黑体" w:hAnsi="黑体" w:eastAsia="黑体" w:cs="黑体"/>
                <w:bCs/>
                <w:color w:val="auto"/>
                <w:sz w:val="28"/>
                <w:szCs w:val="28"/>
              </w:rPr>
              <w:t xml:space="preserve">人员配备（13分）</w:t>
            </w:r>
            <w:r/>
          </w:p>
        </w:tc>
        <w:tc>
          <w:tcPr>
            <w:tcW w:w="4172" w:type="pct"/>
            <w:vAlign w:val="center"/>
            <w:textDirection w:val="lrTb"/>
            <w:noWrap w:val="false"/>
          </w:tcPr>
          <w:p>
            <w:pPr>
              <w:pStyle w:val="914"/>
              <w:jc w:val="left"/>
              <w:keepLines w:val="0"/>
              <w:keepNext w:val="0"/>
              <w:pageBreakBefore w:val="0"/>
              <w:spacing w:line="44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1、项目经理：具有信息系统项目管理师证书、高级系统分析师证书、高级工程师证书（电子信息工程专业）、注册信息安全专业人员CISP证书的，每提供一个得2分，最高得4分。</w:t>
            </w:r>
            <w:r/>
          </w:p>
          <w:p>
            <w:pPr>
              <w:pStyle w:val="914"/>
              <w:jc w:val="left"/>
              <w:keepLines w:val="0"/>
              <w:keepNext w:val="0"/>
              <w:pageBreakBefore w:val="0"/>
              <w:spacing w:line="44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2、项目技术负责人：具有高级系统分析师证书、高级工程师工程师证书（电子信息工程专业）、信息系统项目管理师证书的，每提供一个得2分，最高得4分。</w:t>
            </w:r>
            <w:r/>
          </w:p>
          <w:p>
            <w:pPr>
              <w:pStyle w:val="914"/>
              <w:jc w:val="left"/>
              <w:keepLines w:val="0"/>
              <w:keepNext w:val="0"/>
              <w:pageBreakBefore w:val="0"/>
              <w:spacing w:line="44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项目团队人员不低于10人，团队人员中具有农林经济、计算机科学与技术、地理信息系统相关专业学位，每提供一个得0.5分，最高得3分；团队人员中具有IT服务工程师(ITSS)、信息系统项目管理师证书、中级及以上系统集成项目管理工程师证书、高级系统架构设计师证书等相关证书，每提供一个得0.5分，最多可得2分。本项最高得5分。</w:t>
            </w:r>
            <w:r/>
          </w:p>
          <w:p>
            <w:pPr>
              <w:pStyle w:val="914"/>
              <w:jc w:val="left"/>
              <w:keepLines w:val="0"/>
              <w:keepNext w:val="0"/>
              <w:pageBreakBefore w:val="0"/>
              <w:spacing w:line="44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注：以上所有人员须提供相关证书扫描件及近六个月任意一个月由投标人为其缴纳的社保证明扫描件</w:t>
            </w:r>
            <w:r/>
          </w:p>
        </w:tc>
      </w:tr>
      <w:tr>
        <w:trPr>
          <w:trHeight w:val="1509"/>
        </w:trPr>
        <w:tc>
          <w:tcPr>
            <w:tcW w:w="827" w:type="pct"/>
            <w:vAlign w:val="center"/>
            <w:textDirection w:val="lrTb"/>
            <w:noWrap w:val="false"/>
          </w:tcPr>
          <w:p>
            <w:pPr>
              <w:pStyle w:val="914"/>
              <w:jc w:val="center"/>
              <w:keepLines w:val="0"/>
              <w:keepNext w:val="0"/>
              <w:pageBreakBefore w:val="0"/>
              <w:spacing w:line="440" w:lineRule="exact"/>
              <w:widowControl w:val="off"/>
              <w:rPr>
                <w:rFonts w:hint="eastAsia" w:ascii="黑体" w:hAnsi="黑体" w:eastAsia="黑体" w:cs="黑体"/>
                <w:bCs/>
                <w:color w:val="auto"/>
                <w:sz w:val="28"/>
                <w:szCs w:val="28"/>
              </w:rPr>
            </w:pPr>
            <w:r>
              <w:rPr>
                <w:rFonts w:hint="eastAsia" w:ascii="黑体" w:hAnsi="黑体" w:eastAsia="黑体" w:cs="黑体"/>
                <w:bCs/>
                <w:color w:val="auto"/>
                <w:sz w:val="28"/>
                <w:szCs w:val="28"/>
              </w:rPr>
              <w:t xml:space="preserve">供货安装方案</w:t>
            </w:r>
            <w:r/>
          </w:p>
          <w:p>
            <w:pPr>
              <w:pStyle w:val="914"/>
              <w:jc w:val="center"/>
              <w:keepLines w:val="0"/>
              <w:keepNext w:val="0"/>
              <w:pageBreakBefore w:val="0"/>
              <w:spacing w:line="440" w:lineRule="exact"/>
              <w:widowControl w:val="off"/>
              <w:rPr>
                <w:rFonts w:hint="eastAsia" w:ascii="黑体" w:hAnsi="黑体" w:eastAsia="黑体" w:cs="黑体"/>
                <w:bCs/>
                <w:color w:val="auto"/>
                <w:sz w:val="28"/>
                <w:szCs w:val="28"/>
              </w:rPr>
            </w:pPr>
            <w:r>
              <w:rPr>
                <w:rFonts w:hint="eastAsia" w:ascii="黑体" w:hAnsi="黑体" w:eastAsia="黑体" w:cs="黑体"/>
                <w:bCs/>
                <w:color w:val="auto"/>
                <w:sz w:val="28"/>
                <w:szCs w:val="28"/>
              </w:rPr>
              <w:t xml:space="preserve">（10分）</w:t>
            </w:r>
            <w:r/>
          </w:p>
        </w:tc>
        <w:tc>
          <w:tcPr>
            <w:tcW w:w="4172" w:type="pct"/>
            <w:vAlign w:val="center"/>
            <w:textDirection w:val="lrTb"/>
            <w:noWrap w:val="false"/>
          </w:tcPr>
          <w:p>
            <w:pPr>
              <w:pStyle w:val="914"/>
              <w:jc w:val="left"/>
              <w:keepLines w:val="0"/>
              <w:keepNext w:val="0"/>
              <w:pageBreakBefore w:val="0"/>
              <w:spacing w:line="44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提供的供货安装方案优于本项目采购需求的，得10分；符合采购需求的，得6分；不符合采购需求或者未提供的，不得分。</w:t>
            </w:r>
            <w:r/>
          </w:p>
        </w:tc>
      </w:tr>
      <w:tr>
        <w:trPr>
          <w:trHeight w:val="1509"/>
        </w:trPr>
        <w:tc>
          <w:tcPr>
            <w:tcW w:w="827" w:type="pct"/>
            <w:vAlign w:val="center"/>
            <w:textDirection w:val="lrTb"/>
            <w:noWrap w:val="false"/>
          </w:tcPr>
          <w:p>
            <w:pPr>
              <w:pStyle w:val="914"/>
              <w:jc w:val="center"/>
              <w:keepLines w:val="0"/>
              <w:keepNext w:val="0"/>
              <w:pageBreakBefore w:val="0"/>
              <w:spacing w:line="440" w:lineRule="exact"/>
              <w:widowControl w:val="off"/>
              <w:rPr>
                <w:rFonts w:hint="eastAsia" w:ascii="黑体" w:hAnsi="黑体" w:eastAsia="黑体" w:cs="黑体"/>
                <w:bCs/>
                <w:color w:val="auto"/>
                <w:sz w:val="28"/>
                <w:szCs w:val="28"/>
              </w:rPr>
            </w:pPr>
            <w:r>
              <w:rPr>
                <w:rFonts w:hint="eastAsia" w:ascii="黑体" w:hAnsi="黑体" w:eastAsia="黑体" w:cs="黑体"/>
                <w:bCs/>
                <w:color w:val="auto"/>
                <w:sz w:val="28"/>
                <w:szCs w:val="28"/>
              </w:rPr>
              <w:t xml:space="preserve">设备及数据维修服务（4分）</w:t>
            </w:r>
            <w:r/>
          </w:p>
        </w:tc>
        <w:tc>
          <w:tcPr>
            <w:tcW w:w="4172" w:type="pct"/>
            <w:vAlign w:val="center"/>
            <w:textDirection w:val="lrTb"/>
            <w:noWrap w:val="false"/>
          </w:tcPr>
          <w:p>
            <w:pPr>
              <w:pStyle w:val="914"/>
              <w:jc w:val="left"/>
              <w:keepLines w:val="0"/>
              <w:keepNext w:val="0"/>
              <w:pageBreakBefore w:val="0"/>
              <w:spacing w:line="440" w:lineRule="exact"/>
              <w:widowControl w:val="off"/>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在原有设备质量保证期基础上每增加一年质保期得1分，最高得2分；数据及系统维护服务在原有免费服务期限内每增加一年免费服务得1分，最高得2分；本项最高得4分。</w:t>
            </w:r>
            <w:r/>
          </w:p>
        </w:tc>
      </w:tr>
    </w:tbl>
    <w:p>
      <w:pPr>
        <w:pStyle w:val="706"/>
        <w:rPr>
          <w:rFonts w:hint="eastAsia"/>
        </w:rPr>
      </w:pPr>
      <w:r>
        <w:rPr>
          <w:rFonts w:hint="eastAsia"/>
        </w:rPr>
      </w:r>
      <w:r/>
    </w:p>
    <w:p>
      <w:pPr>
        <w:ind w:firstLine="560"/>
        <w:keepLines w:val="0"/>
        <w:keepNext w:val="0"/>
        <w:pageBreakBefore w:val="0"/>
        <w:spacing w:beforeAutospacing="0" w:afterAutospacing="0" w:line="500" w:lineRule="exact"/>
        <w:rPr>
          <w:rFonts w:hint="eastAsia" w:ascii="黑体" w:hAnsi="黑体" w:eastAsia="黑体"/>
          <w:color w:val="auto"/>
          <w:sz w:val="28"/>
          <w:szCs w:val="28"/>
        </w:rPr>
      </w:pPr>
      <w:r>
        <w:rPr>
          <w:rFonts w:hint="eastAsia" w:ascii="黑体" w:hAnsi="黑体" w:eastAsia="黑体"/>
          <w:color w:val="auto"/>
          <w:sz w:val="28"/>
          <w:szCs w:val="28"/>
        </w:rPr>
      </w:r>
      <w:r/>
    </w:p>
    <w:p>
      <w:pPr>
        <w:ind w:firstLine="560"/>
        <w:keepLines w:val="0"/>
        <w:keepNext w:val="0"/>
        <w:pageBreakBefore w:val="0"/>
        <w:spacing w:beforeAutospacing="0" w:afterAutospacing="0" w:line="500" w:lineRule="exact"/>
        <w:rPr>
          <w:rFonts w:hint="eastAsia" w:ascii="仿宋" w:hAnsi="仿宋" w:eastAsia="仿宋" w:cs="仿宋_GB2312"/>
          <w:sz w:val="28"/>
          <w:szCs w:val="28"/>
          <w:lang w:val="en-US" w:eastAsia="zh-CN"/>
        </w:rPr>
      </w:pPr>
      <w:r>
        <w:rPr>
          <w:rFonts w:hint="eastAsia" w:ascii="黑体" w:hAnsi="黑体" w:eastAsia="黑体"/>
          <w:color w:val="auto"/>
          <w:sz w:val="28"/>
          <w:szCs w:val="28"/>
        </w:rPr>
        <w:t xml:space="preserve">声明：</w:t>
      </w:r>
      <w:r>
        <w:rPr>
          <w:rFonts w:hint="eastAsia" w:ascii="仿宋" w:hAnsi="仿宋" w:eastAsia="仿宋"/>
          <w:color w:val="auto"/>
          <w:sz w:val="28"/>
          <w:szCs w:val="28"/>
        </w:rPr>
        <w:t xml:space="preserve">当出现损害国家和采购人利益情况时，采购人、</w:t>
      </w:r>
      <w:r>
        <w:rPr>
          <w:rFonts w:hint="eastAsia" w:ascii="仿宋" w:hAnsi="仿宋" w:eastAsia="仿宋"/>
          <w:color w:val="auto"/>
          <w:sz w:val="28"/>
          <w:szCs w:val="28"/>
          <w:lang w:eastAsia="zh-CN"/>
        </w:rPr>
        <w:t xml:space="preserve">政务中心</w:t>
      </w:r>
      <w:r>
        <w:rPr>
          <w:rFonts w:hint="eastAsia" w:ascii="仿宋" w:hAnsi="仿宋" w:eastAsia="仿宋"/>
          <w:color w:val="auto"/>
          <w:sz w:val="28"/>
          <w:szCs w:val="28"/>
        </w:rPr>
        <w:t xml:space="preserve">有选择或拒绝任何供应商的权利，并对所采取的行为不主动说明原因。</w:t>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r>
      <w:r/>
    </w:p>
    <w:p>
      <w:pPr>
        <w:rPr>
          <w:rFonts w:hint="eastAsia" w:ascii="黑体" w:hAnsi="黑体" w:eastAsia="黑体" w:cs="黑体"/>
          <w:bCs/>
          <w:sz w:val="40"/>
          <w:szCs w:val="40"/>
        </w:rPr>
      </w:pPr>
      <w:r>
        <w:rPr>
          <w:rFonts w:hint="eastAsia" w:ascii="黑体" w:hAnsi="黑体" w:eastAsia="黑体" w:cs="黑体"/>
          <w:bCs/>
          <w:sz w:val="40"/>
          <w:szCs w:val="40"/>
        </w:rPr>
        <w:br w:type="page" w:clear="all"/>
      </w:r>
      <w:r/>
    </w:p>
    <w:p>
      <w:pPr>
        <w:pStyle w:val="731"/>
        <w:rPr>
          <w:rFonts w:hint="eastAsia"/>
        </w:rPr>
      </w:pPr>
      <w:r>
        <w:rPr>
          <w:rFonts w:hint="eastAsia"/>
        </w:rPr>
      </w:r>
      <w:r/>
    </w:p>
    <w:p>
      <w:pPr>
        <w:pStyle w:val="731"/>
        <w:rPr>
          <w:rFonts w:hint="eastAsia"/>
        </w:rPr>
      </w:pPr>
      <w:r>
        <w:rPr>
          <w:rFonts w:hint="eastAsia"/>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t xml:space="preserve">第六章  </w:t>
      </w:r>
      <w:bookmarkEnd w:id="186"/>
      <w:r/>
      <w:bookmarkEnd w:id="187"/>
      <w:r/>
      <w:bookmarkEnd w:id="188"/>
      <w:r>
        <w:rPr>
          <w:rFonts w:hint="eastAsia" w:ascii="黑体" w:hAnsi="黑体" w:eastAsia="黑体" w:cs="黑体"/>
          <w:bCs/>
          <w:sz w:val="40"/>
          <w:szCs w:val="40"/>
        </w:rPr>
        <w:t xml:space="preserve">响应文件格式</w:t>
      </w:r>
      <w:r/>
    </w:p>
    <w:p>
      <w:pPr>
        <w:ind w:left="0" w:right="0" w:firstLine="562"/>
        <w:jc w:val="center"/>
        <w:pageBreakBefore w:val="0"/>
        <w:spacing w:line="520" w:lineRule="exact"/>
        <w:rPr>
          <w:rFonts w:hint="eastAsia" w:ascii="仿宋_GB2312" w:hAnsi="仿宋_GB2312" w:eastAsia="仿宋_GB2312" w:cs="仿宋_GB2312"/>
          <w:b/>
          <w:sz w:val="28"/>
          <w:szCs w:val="28"/>
        </w:rPr>
      </w:pPr>
      <w:r/>
      <w:bookmarkStart w:id="189" w:name="_Hlt26955039"/>
      <w:r/>
      <w:bookmarkEnd w:id="189"/>
      <w:r/>
      <w:bookmarkStart w:id="190" w:name="_Hlt26671244"/>
      <w:r/>
      <w:bookmarkEnd w:id="190"/>
      <w:r/>
      <w:bookmarkStart w:id="191" w:name="_Toc49090576"/>
      <w:r/>
      <w:bookmarkStart w:id="192" w:name="_Toc120614282"/>
      <w:r/>
      <w:bookmarkStart w:id="193" w:name="_Toc26554094"/>
      <w:r/>
      <w:r/>
    </w:p>
    <w:p>
      <w:pPr>
        <w:ind w:right="0"/>
        <w:jc w:val="center"/>
        <w:pageBreakBefore w:val="0"/>
        <w:spacing w:line="520" w:lineRule="exact"/>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ind w:right="0"/>
        <w:jc w:val="center"/>
        <w:pageBreakBefore w:val="0"/>
        <w:spacing w:line="520" w:lineRule="exact"/>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ind w:right="0"/>
        <w:jc w:val="center"/>
        <w:keepLines w:val="0"/>
        <w:keepNext w:val="0"/>
        <w:pageBreakBefore w:val="0"/>
        <w:spacing w:line="920" w:lineRule="exact"/>
        <w:widowControl w:val="off"/>
        <w:rPr>
          <w:rFonts w:hint="eastAsia" w:ascii="方正小标宋_GBK" w:hAnsi="方正小标宋_GBK" w:eastAsia="方正小标宋_GBK" w:cs="方正小标宋_GBK"/>
          <w:b w:val="0"/>
          <w:bCs/>
          <w:sz w:val="56"/>
          <w:szCs w:val="56"/>
        </w:rPr>
      </w:pPr>
      <w:r>
        <w:rPr>
          <w:rFonts w:hint="eastAsia" w:ascii="方正小标宋_GBK" w:hAnsi="方正小标宋_GBK" w:eastAsia="方正小标宋_GBK" w:cs="方正小标宋_GBK"/>
          <w:b w:val="0"/>
          <w:bCs/>
          <w:sz w:val="56"/>
          <w:szCs w:val="56"/>
        </w:rPr>
        <w:t xml:space="preserve">响  应  文  件</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项 目 名 称：</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u w:val="single"/>
        </w:rPr>
      </w:pPr>
      <w:r>
        <w:rPr>
          <w:rFonts w:hint="eastAsia" w:ascii="仿宋_GB2312" w:hAnsi="仿宋_GB2312" w:eastAsia="仿宋_GB2312" w:cs="仿宋_GB2312"/>
          <w:b/>
          <w:sz w:val="28"/>
          <w:szCs w:val="28"/>
        </w:rPr>
        <w:t xml:space="preserve">采 购 编 号：</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u w:val="single"/>
        </w:rPr>
      </w:pPr>
      <w:r>
        <w:rPr>
          <w:rFonts w:hint="eastAsia" w:ascii="仿宋_GB2312" w:hAnsi="仿宋_GB2312" w:eastAsia="仿宋_GB2312" w:cs="仿宋_GB2312"/>
          <w:b/>
          <w:sz w:val="28"/>
          <w:szCs w:val="28"/>
        </w:rPr>
        <w:t xml:space="preserve">供应商名称 ：</w:t>
      </w:r>
      <w:r>
        <w:rPr>
          <w:rFonts w:hint="eastAsia" w:ascii="仿宋_GB2312" w:hAnsi="仿宋_GB2312" w:eastAsia="仿宋_GB2312" w:cs="仿宋_GB2312"/>
          <w:b/>
          <w:sz w:val="28"/>
          <w:szCs w:val="28"/>
          <w:u w:val="single"/>
        </w:rPr>
        <w:t xml:space="preserve">（加盖CA电子公章）</w:t>
      </w:r>
      <w:r/>
    </w:p>
    <w:p>
      <w:pPr>
        <w:ind w:left="1260" w:right="0" w:firstLine="562"/>
        <w:keepLines w:val="0"/>
        <w:keepNext w:val="0"/>
        <w:pageBreakBefore w:val="0"/>
        <w:spacing w:line="52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sz w:val="28"/>
          <w:szCs w:val="28"/>
        </w:rPr>
        <w:t xml:space="preserve">日      期 ：</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sz w:val="28"/>
          <w:szCs w:val="28"/>
          <w:u w:val="single"/>
        </w:rPr>
        <w:br w:type="page" w:clear="all"/>
      </w:r>
      <w:r/>
    </w:p>
    <w:p>
      <w:pPr>
        <w:ind w:left="0" w:right="0" w:firstLine="640"/>
        <w:jc w:val="center"/>
        <w:pageBreakBefore w:val="0"/>
        <w:spacing w:line="520" w:lineRule="exact"/>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响应</w:t>
      </w:r>
      <w:r>
        <w:rPr>
          <w:rFonts w:hint="eastAsia" w:ascii="黑体" w:hAnsi="黑体" w:eastAsia="黑体" w:cs="黑体"/>
          <w:b w:val="0"/>
          <w:bCs w:val="0"/>
          <w:sz w:val="32"/>
          <w:szCs w:val="32"/>
          <w:lang w:eastAsia="zh-CN"/>
        </w:rPr>
        <w:t xml:space="preserve">主要</w:t>
      </w:r>
      <w:r>
        <w:rPr>
          <w:rFonts w:hint="eastAsia" w:ascii="黑体" w:hAnsi="黑体" w:eastAsia="黑体" w:cs="黑体"/>
          <w:b w:val="0"/>
          <w:bCs w:val="0"/>
          <w:sz w:val="32"/>
          <w:szCs w:val="32"/>
        </w:rPr>
        <w:t xml:space="preserve">文件目录</w:t>
      </w:r>
      <w:r/>
    </w:p>
    <w:p>
      <w:pPr>
        <w:ind w:left="0" w:right="0" w:firstLine="562"/>
        <w:jc w:val="center"/>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一、法人或者其他组织的营业执照等证明文件，自然人的身份证明</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二、上一年度的财务状况报告</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三、依法缴纳税收和社会保障资金的相关材料</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四、具备履行合同所必需的设备和专业技术能力的书面声明</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五、参加政府采购活动前 3 年内在经营活动中没有重大违法记录的书面声明</w:t>
      </w:r>
      <w:r/>
    </w:p>
    <w:p>
      <w:pPr>
        <w:ind w:left="0" w:right="0" w:firstLine="560"/>
        <w:pageBreakBefore w:val="0"/>
        <w:spacing w:line="520" w:lineRule="exact"/>
        <w:rPr>
          <w:rFonts w:hint="eastAsia" w:ascii="黑体" w:hAnsi="黑体" w:eastAsia="黑体" w:cs="黑体"/>
          <w:i/>
          <w:sz w:val="28"/>
          <w:szCs w:val="28"/>
          <w:u w:val="single"/>
          <w:lang w:eastAsia="zh-CN"/>
        </w:rPr>
      </w:pPr>
      <w:r>
        <w:rPr>
          <w:rFonts w:hint="eastAsia" w:ascii="黑体" w:hAnsi="黑体" w:eastAsia="黑体" w:cs="黑体"/>
          <w:i/>
          <w:sz w:val="28"/>
          <w:szCs w:val="28"/>
          <w:u w:val="single"/>
        </w:rPr>
        <w:t xml:space="preserve">六、特定资格要求的证明文件</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七、法人授权书</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八、磋商响应函</w:t>
      </w:r>
      <w:r/>
    </w:p>
    <w:p>
      <w:pPr>
        <w:ind w:left="0" w:right="0" w:firstLine="560"/>
        <w:pageBreakBefore w:val="0"/>
        <w:spacing w:line="520" w:lineRule="exact"/>
        <w:rPr>
          <w:rFonts w:hint="eastAsia" w:ascii="黑体" w:hAnsi="黑体" w:eastAsia="黑体" w:cs="黑体"/>
          <w:i/>
          <w:iCs/>
          <w:sz w:val="28"/>
          <w:szCs w:val="28"/>
          <w:u w:val="single"/>
          <w:lang w:eastAsia="zh-CN"/>
        </w:rPr>
      </w:pPr>
      <w:r>
        <w:rPr>
          <w:rFonts w:hint="eastAsia" w:ascii="黑体" w:hAnsi="黑体" w:eastAsia="黑体" w:cs="黑体"/>
          <w:i/>
          <w:iCs/>
          <w:sz w:val="28"/>
          <w:szCs w:val="28"/>
          <w:u w:val="single"/>
        </w:rPr>
        <w:t xml:space="preserve">九、</w:t>
      </w:r>
      <w:r>
        <w:rPr>
          <w:rFonts w:hint="eastAsia" w:ascii="黑体" w:hAnsi="黑体" w:eastAsia="黑体" w:cs="黑体"/>
          <w:i/>
          <w:iCs/>
          <w:sz w:val="28"/>
          <w:szCs w:val="28"/>
          <w:u w:val="single"/>
          <w:lang w:eastAsia="zh-CN"/>
        </w:rPr>
        <w:t xml:space="preserve">竞争性磋商首次报价书</w:t>
      </w:r>
      <w:r/>
    </w:p>
    <w:p>
      <w:pPr>
        <w:ind w:left="0" w:right="0" w:firstLine="560"/>
        <w:pageBreakBefore w:val="0"/>
        <w:spacing w:line="520" w:lineRule="exact"/>
        <w:rPr>
          <w:rFonts w:hint="eastAsia" w:ascii="仿宋_GB2312" w:hAnsi="仿宋_GB2312" w:eastAsia="仿宋_GB2312" w:cs="仿宋_GB2312"/>
          <w:bCs w:val="0"/>
          <w:i w:val="0"/>
          <w:color w:val="auto"/>
          <w:sz w:val="28"/>
          <w:szCs w:val="28"/>
          <w:u w:val="none"/>
        </w:rPr>
      </w:pPr>
      <w:r>
        <w:rPr>
          <w:rFonts w:hint="eastAsia" w:ascii="黑体" w:hAnsi="黑体" w:eastAsia="黑体" w:cs="黑体"/>
          <w:b w:val="0"/>
          <w:bCs/>
          <w:i w:val="0"/>
          <w:iCs w:val="0"/>
          <w:sz w:val="28"/>
          <w:szCs w:val="28"/>
          <w:u w:val="none"/>
          <w:lang w:eastAsia="zh-CN"/>
        </w:rPr>
        <w:t xml:space="preserve">十、中小企业声明函</w:t>
      </w:r>
      <w:r>
        <w:rPr>
          <w:i w:val="0"/>
          <w:iCs w:val="0"/>
          <w:u w:val="none"/>
        </w:rPr>
      </w:r>
      <w:r/>
    </w:p>
    <w:p>
      <w:pPr>
        <w:ind w:left="0" w:right="0" w:firstLine="560"/>
        <w:pageBreakBefore w:val="0"/>
        <w:spacing w:line="52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十</w:t>
      </w:r>
      <w:r>
        <w:rPr>
          <w:rFonts w:hint="eastAsia" w:ascii="仿宋_GB2312" w:hAnsi="仿宋_GB2312" w:eastAsia="仿宋_GB2312" w:cs="仿宋_GB2312"/>
          <w:color w:val="auto"/>
          <w:sz w:val="28"/>
          <w:szCs w:val="28"/>
          <w:lang w:eastAsia="zh-CN"/>
        </w:rPr>
        <w:t xml:space="preserve">一</w:t>
      </w:r>
      <w:r>
        <w:rPr>
          <w:rFonts w:hint="eastAsia" w:ascii="仿宋_GB2312" w:hAnsi="仿宋_GB2312" w:eastAsia="仿宋_GB2312" w:cs="仿宋_GB2312"/>
          <w:color w:val="auto"/>
          <w:sz w:val="28"/>
          <w:szCs w:val="28"/>
        </w:rPr>
        <w:t xml:space="preserve">、残疾人福利性单位声明函</w:t>
      </w:r>
      <w:r/>
    </w:p>
    <w:p>
      <w:pPr>
        <w:ind w:left="0" w:right="0" w:firstLine="560"/>
        <w:pageBreakBefore w:val="0"/>
        <w:spacing w:line="520" w:lineRule="exact"/>
        <w:rPr>
          <w:rFonts w:hint="eastAsia" w:ascii="黑体" w:hAnsi="黑体" w:eastAsia="黑体" w:cs="黑体"/>
          <w:i/>
          <w:iCs/>
          <w:color w:val="auto"/>
          <w:sz w:val="28"/>
          <w:szCs w:val="28"/>
          <w:u w:val="single"/>
        </w:rPr>
      </w:pPr>
      <w:r>
        <w:rPr>
          <w:rFonts w:hint="eastAsia" w:ascii="黑体" w:hAnsi="黑体" w:eastAsia="黑体" w:cs="黑体"/>
          <w:i/>
          <w:iCs/>
          <w:color w:val="auto"/>
          <w:sz w:val="28"/>
          <w:szCs w:val="28"/>
          <w:u w:val="single"/>
        </w:rPr>
        <w:t xml:space="preserve">十</w:t>
      </w:r>
      <w:r>
        <w:rPr>
          <w:rFonts w:hint="eastAsia" w:ascii="黑体" w:hAnsi="黑体" w:eastAsia="黑体" w:cs="黑体"/>
          <w:i/>
          <w:iCs/>
          <w:color w:val="auto"/>
          <w:sz w:val="28"/>
          <w:szCs w:val="28"/>
          <w:u w:val="single"/>
          <w:lang w:eastAsia="zh-CN"/>
        </w:rPr>
        <w:t xml:space="preserve">二</w:t>
      </w:r>
      <w:r>
        <w:rPr>
          <w:rFonts w:hint="eastAsia" w:ascii="黑体" w:hAnsi="黑体" w:eastAsia="黑体" w:cs="黑体"/>
          <w:i/>
          <w:iCs/>
          <w:color w:val="auto"/>
          <w:sz w:val="28"/>
          <w:szCs w:val="28"/>
          <w:u w:val="single"/>
        </w:rPr>
        <w:t xml:space="preserve">、分项报价表</w:t>
      </w:r>
      <w:r/>
    </w:p>
    <w:p>
      <w:pPr>
        <w:ind w:left="0" w:right="0" w:firstLine="560"/>
        <w:pageBreakBefore w:val="0"/>
        <w:spacing w:line="520" w:lineRule="exact"/>
        <w:rPr>
          <w:rFonts w:hint="eastAsia" w:ascii="黑体" w:hAnsi="黑体" w:eastAsia="黑体" w:cs="黑体"/>
          <w:i/>
          <w:iCs/>
          <w:color w:val="auto"/>
          <w:sz w:val="28"/>
          <w:szCs w:val="28"/>
          <w:u w:val="single"/>
        </w:rPr>
      </w:pPr>
      <w:r>
        <w:rPr>
          <w:rFonts w:hint="eastAsia" w:ascii="黑体" w:hAnsi="黑体" w:eastAsia="黑体" w:cs="黑体"/>
          <w:i/>
          <w:iCs/>
          <w:color w:val="auto"/>
          <w:sz w:val="28"/>
          <w:szCs w:val="28"/>
          <w:u w:val="single"/>
        </w:rPr>
        <w:t xml:space="preserve">十</w:t>
      </w:r>
      <w:r>
        <w:rPr>
          <w:rFonts w:hint="eastAsia" w:ascii="黑体" w:hAnsi="黑体" w:eastAsia="黑体" w:cs="黑体"/>
          <w:i/>
          <w:iCs/>
          <w:color w:val="auto"/>
          <w:sz w:val="28"/>
          <w:szCs w:val="28"/>
          <w:u w:val="single"/>
          <w:lang w:eastAsia="zh-CN"/>
        </w:rPr>
        <w:t xml:space="preserve">三</w:t>
      </w:r>
      <w:r>
        <w:rPr>
          <w:rFonts w:hint="eastAsia" w:ascii="黑体" w:hAnsi="黑体" w:eastAsia="黑体" w:cs="黑体"/>
          <w:i/>
          <w:iCs/>
          <w:color w:val="auto"/>
          <w:sz w:val="28"/>
          <w:szCs w:val="28"/>
          <w:u w:val="single"/>
        </w:rPr>
        <w:t xml:space="preserve">、</w:t>
      </w:r>
      <w:r>
        <w:rPr>
          <w:rFonts w:hint="eastAsia" w:ascii="黑体" w:hAnsi="黑体" w:eastAsia="黑体" w:cs="黑体"/>
          <w:i/>
          <w:iCs/>
          <w:color w:val="auto"/>
          <w:sz w:val="28"/>
          <w:szCs w:val="28"/>
          <w:u w:val="single"/>
          <w:lang w:eastAsia="zh-CN"/>
        </w:rPr>
        <w:t xml:space="preserve">服务</w:t>
      </w:r>
      <w:r>
        <w:rPr>
          <w:rFonts w:hint="eastAsia" w:ascii="黑体" w:hAnsi="黑体" w:eastAsia="黑体" w:cs="黑体"/>
          <w:i/>
          <w:iCs/>
          <w:color w:val="auto"/>
          <w:sz w:val="28"/>
          <w:szCs w:val="28"/>
          <w:u w:val="single"/>
        </w:rPr>
        <w:t xml:space="preserve">响应要求及偏离表</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br w:type="page" w:clear="all"/>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一、法人或者其他组织的营业执照等证明文件，自然人的身份证明</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二、上一年度的财务状况报告</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 xml:space="preserve">本项目开标时间前</w:t>
      </w:r>
      <w:r>
        <w:rPr>
          <w:rFonts w:hint="eastAsia" w:ascii="仿宋_GB2312" w:hAnsi="仿宋_GB2312" w:eastAsia="仿宋_GB2312" w:cs="仿宋_GB2312"/>
          <w:bCs/>
          <w:sz w:val="28"/>
          <w:szCs w:val="28"/>
        </w:rPr>
        <w:t xml:space="preserve">六个月中任意一个月的财务状况报告（至少包括资产负债表和利润表），或</w:t>
      </w:r>
      <w:r>
        <w:rPr>
          <w:rFonts w:hint="eastAsia" w:ascii="仿宋_GB2312" w:hAnsi="仿宋_GB2312" w:eastAsia="仿宋_GB2312" w:cs="仿宋_GB2312"/>
          <w:bCs/>
          <w:sz w:val="28"/>
          <w:szCs w:val="28"/>
          <w:lang w:eastAsia="zh-CN"/>
        </w:rPr>
        <w:t xml:space="preserve">近</w:t>
      </w:r>
      <w:r>
        <w:rPr>
          <w:rFonts w:hint="eastAsia" w:ascii="仿宋_GB2312" w:hAnsi="仿宋_GB2312" w:eastAsia="仿宋_GB2312" w:cs="仿宋_GB2312"/>
          <w:bCs/>
          <w:sz w:val="28"/>
          <w:szCs w:val="28"/>
        </w:rPr>
        <w:t xml:space="preserve">两年中任意一个年度经审计的财务报告，或本项目开标</w:t>
      </w:r>
      <w:r>
        <w:rPr>
          <w:rFonts w:hint="eastAsia" w:ascii="仿宋_GB2312" w:hAnsi="仿宋_GB2312" w:eastAsia="仿宋_GB2312" w:cs="仿宋_GB2312"/>
          <w:bCs/>
          <w:sz w:val="28"/>
          <w:szCs w:val="28"/>
          <w:lang w:eastAsia="zh-CN"/>
        </w:rPr>
        <w:t xml:space="preserve">时间</w:t>
      </w:r>
      <w:r>
        <w:rPr>
          <w:rFonts w:hint="eastAsia" w:ascii="仿宋_GB2312" w:hAnsi="仿宋_GB2312" w:eastAsia="仿宋_GB2312" w:cs="仿宋_GB2312"/>
          <w:bCs/>
          <w:sz w:val="28"/>
          <w:szCs w:val="28"/>
        </w:rPr>
        <w:t xml:space="preserve">前</w:t>
      </w:r>
      <w:r>
        <w:rPr>
          <w:rFonts w:hint="eastAsia" w:ascii="仿宋_GB2312" w:hAnsi="仿宋_GB2312" w:eastAsia="仿宋_GB2312" w:cs="仿宋_GB2312"/>
          <w:bCs/>
          <w:sz w:val="28"/>
          <w:szCs w:val="28"/>
          <w:lang w:eastAsia="zh-CN"/>
        </w:rPr>
        <w:t xml:space="preserve">六</w:t>
      </w:r>
      <w:r>
        <w:rPr>
          <w:rFonts w:hint="eastAsia" w:ascii="仿宋_GB2312" w:hAnsi="仿宋_GB2312" w:eastAsia="仿宋_GB2312" w:cs="仿宋_GB2312"/>
          <w:bCs/>
          <w:sz w:val="28"/>
          <w:szCs w:val="28"/>
        </w:rPr>
        <w:t xml:space="preserve">个月内银行出具的资信证明</w:t>
      </w:r>
      <w:r>
        <w:rPr>
          <w:rFonts w:hint="eastAsia" w:ascii="仿宋_GB2312" w:hAnsi="仿宋_GB2312" w:eastAsia="仿宋_GB2312" w:cs="仿宋_GB2312"/>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rPr>
        <w:t xml:space="preserve">供应商成立不满一年无需提供</w:t>
      </w:r>
      <w:r>
        <w:rPr>
          <w:rFonts w:hint="eastAsia" w:ascii="仿宋_GB2312" w:hAnsi="仿宋_GB2312" w:eastAsia="仿宋_GB2312" w:cs="仿宋_GB2312"/>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三、依法缴纳税收和社会保障资金的相关材料</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提供提交响应文件截止时间前</w:t>
      </w:r>
      <w:r>
        <w:rPr>
          <w:rFonts w:hint="eastAsia" w:ascii="仿宋_GB2312" w:hAnsi="仿宋_GB2312" w:eastAsia="仿宋_GB2312" w:cs="仿宋_GB2312"/>
          <w:bCs/>
          <w:sz w:val="28"/>
          <w:szCs w:val="28"/>
          <w:lang w:eastAsia="zh-CN"/>
        </w:rPr>
        <w:t xml:space="preserve">六个月</w:t>
      </w:r>
      <w:r>
        <w:rPr>
          <w:rFonts w:hint="eastAsia" w:ascii="仿宋_GB2312" w:hAnsi="仿宋_GB2312" w:eastAsia="仿宋_GB2312" w:cs="仿宋_GB2312"/>
          <w:bCs/>
          <w:sz w:val="28"/>
          <w:szCs w:val="28"/>
        </w:rPr>
        <w:t xml:space="preserve">至少一个月依法缴纳税收及缴纳社会保障资金的证明材料。供应商依法享受缓缴、免缴税收、社会保障资金的提供证明材料。</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四、具备履行合同所必需的设备和专业技术能力的书面声明</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我单位郑重声明：我单位具备履行本项采购合同所必需的设备和专业技术能力，为履行本项采购合同我公司具备如下主要设备和主要专业技术能力：</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主要设备有：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主要专业技术能力有：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right"/>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lang w:eastAsia="zh-CN"/>
        </w:rPr>
        <w:t xml:space="preserve">声明人：</w:t>
      </w:r>
      <w:r>
        <w:rPr>
          <w:rFonts w:hint="eastAsia" w:ascii="仿宋_GB2312" w:hAnsi="仿宋_GB2312" w:eastAsia="仿宋_GB2312" w:cs="仿宋_GB2312"/>
          <w:sz w:val="28"/>
          <w:szCs w:val="28"/>
          <w:u w:val="single"/>
        </w:rPr>
        <w:t xml:space="preserve">（加盖CA电子公章）</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u w:val="single"/>
          <w:lang w:val="en-US" w:eastAsia="zh-CN"/>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五、参加政府采购活动前 3 年内在经营活动中没有重大违法记录的书面声明</w:t>
      </w:r>
      <w:r/>
    </w:p>
    <w:p>
      <w:pPr>
        <w:ind w:right="0"/>
        <w:jc w:val="center"/>
        <w:pageBreakBefore w:val="0"/>
        <w:spacing w:line="520" w:lineRule="exact"/>
        <w:rPr>
          <w:rFonts w:hint="eastAsia" w:ascii="方正小标宋_GBK" w:hAnsi="方正小标宋_GBK" w:eastAsia="方正小标宋_GBK" w:cs="方正小标宋_GBK"/>
          <w:b w:val="0"/>
          <w:bCs w:val="0"/>
          <w:sz w:val="32"/>
          <w:szCs w:val="32"/>
        </w:rPr>
      </w:pPr>
      <w:r>
        <w:rPr>
          <w:rFonts w:hint="eastAsia" w:ascii="方正小标宋_GBK" w:hAnsi="方正小标宋_GBK" w:eastAsia="方正小标宋_GBK" w:cs="方正小标宋_GBK"/>
          <w:b w:val="0"/>
          <w:bCs w:val="0"/>
          <w:sz w:val="32"/>
          <w:szCs w:val="32"/>
        </w:rPr>
        <w:t xml:space="preserve">声  明</w:t>
      </w:r>
      <w:r/>
    </w:p>
    <w:p>
      <w:pPr>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    </w:t>
      </w:r>
      <w:r/>
    </w:p>
    <w:p>
      <w:pPr>
        <w:ind w:right="0"/>
        <w:pageBreakBefore w:val="0"/>
        <w:spacing w:line="520" w:lineRule="exact"/>
        <w:rPr>
          <w:rFonts w:hint="eastAsia" w:ascii="仿宋_GB2312" w:hAnsi="仿宋_GB2312" w:eastAsia="仿宋_GB2312" w:cs="仿宋_GB2312"/>
          <w:b/>
          <w:bCs/>
          <w:sz w:val="28"/>
          <w:szCs w:val="28"/>
          <w:lang w:eastAsia="zh-CN"/>
        </w:rPr>
      </w:pPr>
      <w:r>
        <w:rPr>
          <w:rFonts w:hint="eastAsia" w:ascii="仿宋_GB2312" w:hAnsi="仿宋_GB2312" w:eastAsia="仿宋_GB2312" w:cs="仿宋_GB2312"/>
          <w:b/>
          <w:bCs/>
          <w:sz w:val="28"/>
          <w:szCs w:val="28"/>
          <w:u w:val="single"/>
          <w:lang w:val="en-US" w:eastAsia="zh-CN"/>
        </w:rPr>
        <w:t xml:space="preserve">             （</w:t>
      </w:r>
      <w:r>
        <w:rPr>
          <w:rFonts w:hint="eastAsia" w:ascii="仿宋_GB2312" w:hAnsi="仿宋_GB2312" w:eastAsia="仿宋_GB2312" w:cs="仿宋_GB2312"/>
          <w:b/>
          <w:bCs/>
          <w:sz w:val="28"/>
          <w:szCs w:val="28"/>
          <w:u w:val="single"/>
          <w:lang w:eastAsia="zh-CN"/>
        </w:rPr>
        <w:t xml:space="preserve">采购单位名称）</w:t>
      </w:r>
      <w:r>
        <w:rPr>
          <w:rFonts w:hint="eastAsia" w:ascii="仿宋_GB2312" w:hAnsi="仿宋_GB2312" w:eastAsia="仿宋_GB2312" w:cs="仿宋_GB2312"/>
          <w:b/>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right"/>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lang w:eastAsia="zh-CN"/>
        </w:rPr>
        <w:t xml:space="preserve">声明人：</w:t>
      </w:r>
      <w:r>
        <w:rPr>
          <w:rFonts w:hint="eastAsia" w:ascii="仿宋_GB2312" w:hAnsi="仿宋_GB2312" w:eastAsia="仿宋_GB2312" w:cs="仿宋_GB2312"/>
          <w:sz w:val="28"/>
          <w:szCs w:val="28"/>
          <w:u w:val="single"/>
        </w:rPr>
        <w:t xml:space="preserve">（加盖CA电子公章）</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六、特定资格要求的证明文件</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   如果本项目申请人的特定资格要求中要求提供的，必须提供。</w:t>
      </w:r>
      <w:bookmarkEnd w:id="191"/>
      <w:r/>
      <w:bookmarkEnd w:id="192"/>
      <w:r/>
      <w:bookmarkEnd w:id="193"/>
      <w:r/>
      <w:r/>
    </w:p>
    <w:p>
      <w:pPr>
        <w:ind w:left="0" w:right="0" w:firstLine="560"/>
        <w:pageBreakBefore w:val="0"/>
        <w:spacing w:line="520" w:lineRule="exact"/>
        <w:rPr>
          <w:rFonts w:hint="eastAsia" w:ascii="仿宋_GB2312" w:hAnsi="仿宋_GB2312" w:eastAsia="仿宋_GB2312" w:cs="仿宋_GB2312"/>
          <w:bCs/>
          <w:sz w:val="28"/>
          <w:szCs w:val="28"/>
        </w:rPr>
      </w:pPr>
      <w:r/>
      <w:bookmarkStart w:id="194" w:name="_Toc120614284"/>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rPr>
          <w:rFonts w:hint="eastAsia" w:ascii="黑体" w:hAnsi="黑体" w:eastAsia="黑体" w:cs="黑体"/>
          <w:i/>
          <w:sz w:val="28"/>
          <w:szCs w:val="28"/>
          <w:u w:val="single"/>
        </w:rPr>
      </w:pPr>
      <w:r>
        <w:rPr>
          <w:rFonts w:hint="eastAsia" w:ascii="黑体" w:hAnsi="黑体" w:eastAsia="黑体" w:cs="黑体"/>
          <w:i/>
          <w:sz w:val="28"/>
          <w:szCs w:val="28"/>
          <w:u w:val="single"/>
        </w:rPr>
        <w:br w:type="page" w:clear="all"/>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七、法人授权书</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r/>
    </w:p>
    <w:p>
      <w:pPr>
        <w:ind w:right="0"/>
        <w:jc w:val="center"/>
        <w:pageBreakBefore w:val="0"/>
        <w:spacing w:line="520" w:lineRule="exact"/>
        <w:rPr>
          <w:rFonts w:hint="eastAsia" w:ascii="黑体" w:hAnsi="黑体" w:eastAsia="黑体" w:cs="黑体"/>
          <w:i w:val="0"/>
          <w:iCs/>
          <w:sz w:val="36"/>
          <w:szCs w:val="36"/>
          <w:u w:val="none"/>
        </w:rPr>
      </w:pPr>
      <w:r>
        <w:rPr>
          <w:rFonts w:hint="eastAsia" w:ascii="黑体" w:hAnsi="黑体" w:eastAsia="黑体" w:cs="黑体"/>
          <w:i w:val="0"/>
          <w:iCs/>
          <w:sz w:val="36"/>
          <w:szCs w:val="36"/>
          <w:u w:val="none"/>
        </w:rPr>
        <w:t xml:space="preserve">法人授权书</w:t>
      </w:r>
      <w:r/>
    </w:p>
    <w:p>
      <w:pPr>
        <w:ind w:right="0"/>
        <w:jc w:val="center"/>
        <w:pageBreakBefore w:val="0"/>
        <w:spacing w:line="520" w:lineRule="exact"/>
        <w:rPr>
          <w:rFonts w:hint="eastAsia" w:ascii="黑体" w:hAnsi="黑体" w:eastAsia="黑体" w:cs="黑体"/>
          <w:i w:val="0"/>
          <w:iCs/>
          <w:sz w:val="36"/>
          <w:szCs w:val="36"/>
          <w:u w:val="none"/>
        </w:rPr>
      </w:pPr>
      <w:r>
        <w:rPr>
          <w:rFonts w:hint="eastAsia" w:ascii="黑体" w:hAnsi="黑体" w:eastAsia="黑体" w:cs="黑体"/>
          <w:i w:val="0"/>
          <w:iCs/>
          <w:sz w:val="36"/>
          <w:szCs w:val="36"/>
          <w:u w:val="none"/>
        </w:rPr>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本授权书声明：____________（供应商名称）授权________________（被授权人的姓名）为我方就</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号项目采购活动的合法代理人，以本单位名义全权处理一切与该项目采购有关的事务。</w:t>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本授权书于______年____月____日起生效，特此声明。</w:t>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被授权人身份证号码：</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被授权人联系电话：（手机）</w:t>
      </w:r>
      <w:r>
        <w:rPr>
          <w:rFonts w:hint="eastAsia" w:ascii="仿宋_GB2312" w:hAnsi="仿宋_GB2312" w:eastAsia="仿宋_GB2312" w:cs="仿宋_GB2312"/>
          <w:sz w:val="28"/>
          <w:szCs w:val="28"/>
          <w:u w:val="single"/>
        </w:rPr>
        <w:t xml:space="preserve">                          </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授权单位名称：</w:t>
      </w:r>
      <w:r>
        <w:rPr>
          <w:rFonts w:hint="eastAsia" w:ascii="仿宋_GB2312" w:hAnsi="仿宋_GB2312" w:eastAsia="仿宋_GB2312" w:cs="仿宋_GB2312"/>
          <w:sz w:val="28"/>
          <w:szCs w:val="28"/>
          <w:u w:val="single"/>
        </w:rPr>
        <w:t xml:space="preserve">（加盖CA电子公章）</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单位地址：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bookmarkStart w:id="195" w:name="_Hlt26955070"/>
      <w:r/>
      <w:bookmarkEnd w:id="195"/>
      <w:r/>
      <w:bookmarkStart w:id="196" w:name="_Hlt26671380"/>
      <w:r/>
      <w:bookmarkEnd w:id="196"/>
      <w:r/>
      <w:bookmarkStart w:id="197" w:name="_格式3__银行出具的资信证明"/>
      <w:r/>
      <w:bookmarkEnd w:id="197"/>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2"/>
        <w:keepLines/>
        <w:keepNext/>
        <w:pageBreakBefore w:val="0"/>
        <w:spacing w:line="520" w:lineRule="exact"/>
        <w:rPr>
          <w:rFonts w:hint="eastAsia" w:ascii="黑体" w:hAnsi="黑体" w:eastAsia="黑体" w:cs="黑体"/>
          <w:b w:val="0"/>
          <w:bCs/>
          <w:i/>
          <w:sz w:val="28"/>
          <w:szCs w:val="28"/>
          <w:u w:val="single"/>
        </w:rPr>
        <w:outlineLvl w:val="1"/>
      </w:pPr>
      <w:r>
        <w:rPr>
          <w:rFonts w:hint="eastAsia" w:ascii="仿宋_GB2312" w:hAnsi="仿宋_GB2312" w:eastAsia="仿宋_GB2312" w:cs="仿宋_GB2312"/>
          <w:b/>
          <w:sz w:val="28"/>
          <w:szCs w:val="28"/>
        </w:rPr>
        <w:br w:type="page" w:clear="all"/>
      </w:r>
      <w:r>
        <w:rPr>
          <w:rFonts w:hint="eastAsia" w:ascii="黑体" w:hAnsi="黑体" w:eastAsia="黑体" w:cs="黑体"/>
          <w:b w:val="0"/>
          <w:bCs/>
          <w:i/>
          <w:sz w:val="28"/>
          <w:szCs w:val="28"/>
          <w:u w:val="single"/>
        </w:rPr>
        <w:t xml:space="preserve">八、磋商响应函</w:t>
      </w:r>
      <w:r/>
    </w:p>
    <w:p>
      <w:pPr>
        <w:ind w:right="0"/>
        <w:jc w:val="center"/>
        <w:keepLines/>
        <w:keepNext/>
        <w:pageBreakBefore w:val="0"/>
        <w:spacing w:line="520" w:lineRule="exact"/>
        <w:rPr>
          <w:rFonts w:hint="eastAsia" w:ascii="黑体" w:hAnsi="黑体" w:eastAsia="黑体" w:cs="黑体"/>
          <w:b w:val="0"/>
          <w:bCs/>
          <w:i w:val="0"/>
          <w:iCs/>
          <w:sz w:val="32"/>
          <w:szCs w:val="32"/>
          <w:u w:val="none"/>
        </w:rPr>
        <w:outlineLvl w:val="1"/>
      </w:pPr>
      <w:r>
        <w:rPr>
          <w:rFonts w:hint="eastAsia" w:ascii="黑体" w:hAnsi="黑体" w:eastAsia="黑体" w:cs="黑体"/>
          <w:b w:val="0"/>
          <w:bCs/>
          <w:i w:val="0"/>
          <w:iCs/>
          <w:sz w:val="32"/>
          <w:szCs w:val="32"/>
          <w:u w:val="none"/>
        </w:rPr>
        <w:t xml:space="preserve">磋商响应函</w:t>
      </w:r>
      <w:r/>
    </w:p>
    <w:p>
      <w:pPr>
        <w:ind w:left="0" w:right="0" w:firstLine="560"/>
        <w:keepLines/>
        <w:keepNext/>
        <w:pageBreakBefore w:val="0"/>
        <w:spacing w:line="520" w:lineRule="exact"/>
        <w:rPr>
          <w:rFonts w:hint="eastAsia" w:ascii="黑体" w:hAnsi="黑体" w:eastAsia="黑体" w:cs="黑体"/>
          <w:b w:val="0"/>
          <w:bCs/>
          <w:i/>
          <w:sz w:val="28"/>
          <w:szCs w:val="28"/>
          <w:u w:val="single"/>
        </w:rPr>
        <w:outlineLvl w:val="1"/>
      </w:pPr>
      <w:r>
        <w:rPr>
          <w:rFonts w:hint="eastAsia" w:ascii="黑体" w:hAnsi="黑体" w:eastAsia="黑体" w:cs="黑体"/>
          <w:b w:val="0"/>
          <w:bCs/>
          <w:i/>
          <w:sz w:val="28"/>
          <w:szCs w:val="28"/>
          <w:u w:val="single"/>
        </w:rPr>
      </w:r>
      <w:r/>
    </w:p>
    <w:p>
      <w:pPr>
        <w:ind w:right="0"/>
        <w:jc w:val="left"/>
        <w:pageBreakBefore w:val="0"/>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lang w:eastAsia="zh-CN"/>
        </w:rPr>
        <w:t xml:space="preserve">兴化市政务服务中心</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根据贵方的</w:t>
      </w:r>
      <w:r>
        <w:rPr>
          <w:rFonts w:hint="eastAsia" w:ascii="仿宋_GB2312" w:hAnsi="仿宋_GB2312" w:eastAsia="仿宋_GB2312" w:cs="仿宋_GB2312"/>
          <w:bCs/>
          <w:color w:val="000000"/>
          <w:sz w:val="28"/>
          <w:szCs w:val="28"/>
          <w:u w:val="single"/>
          <w:lang w:val="en-US" w:eastAsia="zh-CN"/>
        </w:rPr>
        <w:t xml:space="preserve">           </w:t>
      </w:r>
      <w:r>
        <w:rPr>
          <w:rFonts w:hint="eastAsia" w:ascii="仿宋_GB2312" w:hAnsi="仿宋_GB2312" w:eastAsia="仿宋_GB2312" w:cs="仿宋_GB2312"/>
          <w:sz w:val="28"/>
          <w:szCs w:val="28"/>
        </w:rPr>
        <w:t xml:space="preserve">号磋商文件，正式授权_______(姓名)代表我方__________（供应商的名称），全权处理本次项目磋商的有关事宜。</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据此函，__________</w:t>
      </w:r>
      <w:r>
        <w:rPr>
          <w:rFonts w:hint="eastAsia" w:ascii="仿宋_GB2312" w:hAnsi="仿宋_GB2312" w:eastAsia="仿宋_GB2312" w:cs="仿宋_GB2312"/>
          <w:sz w:val="28"/>
          <w:szCs w:val="28"/>
          <w:lang w:eastAsia="zh-CN"/>
        </w:rPr>
        <w:t xml:space="preserve">（被授权人）</w:t>
      </w:r>
      <w:r>
        <w:rPr>
          <w:rFonts w:hint="eastAsia" w:ascii="仿宋_GB2312" w:hAnsi="仿宋_GB2312" w:eastAsia="仿宋_GB2312" w:cs="仿宋_GB2312"/>
          <w:sz w:val="28"/>
          <w:szCs w:val="28"/>
        </w:rPr>
        <w:t xml:space="preserve">兹宣布同意如下：</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1.按磋商文件规定的各项要求，向买方提供所需货物、服务（包含与货物相关的服务及与服务相关的货物）。</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2.我们完全理解贵方不一定将合同授予最低报价的供应商。</w:t>
      </w:r>
      <w:r/>
    </w:p>
    <w:p>
      <w:pPr>
        <w:ind w:left="0" w:right="0" w:firstLine="560"/>
        <w:jc w:val="left"/>
        <w:pageBreakBefore w:val="0"/>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3.我们已详细审核全部磋商文件及其有效补充文件，我们知道必须放弃提出含糊不清或误解问题的权利。我方认可并遵守</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文件的所有规定，放弃对</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文件提出质疑的权利</w:t>
      </w:r>
      <w:r>
        <w:rPr>
          <w:rFonts w:hint="eastAsia" w:ascii="仿宋_GB2312" w:hAnsi="仿宋_GB2312" w:eastAsia="仿宋_GB2312" w:cs="仿宋_GB2312"/>
          <w:sz w:val="28"/>
          <w:szCs w:val="28"/>
          <w:lang w:eastAsia="zh-CN"/>
        </w:rPr>
        <w:t xml:space="preserve">。</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4.我们同意从规定的开标日期起遵循本响应文件，并在规定的磋商有效期期满之前均具有约束力。</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5.同意向贵方提供贵方可能另外要求的与磋商有关的任何证据或资料，并保证我方已提供和将要提供的文件是真实的、准确的。</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6.一旦我方成交,我方将根据磋商文件的规定，严格履行合同的责任和义务,并保证在磋商文件规定的时间完成项目，交付买方验收、使用。</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7.我方与本磋商有关的正式通讯地址为：</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          址：</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邮          编：</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          话：</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传          真：</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供应商开户行：</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账          户： </w:t>
      </w:r>
      <w:r/>
    </w:p>
    <w:p>
      <w:pPr>
        <w:ind w:left="0" w:right="0" w:firstLine="560"/>
        <w:jc w:val="left"/>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日           期：________年____月____日</w:t>
      </w:r>
      <w:r/>
    </w:p>
    <w:p>
      <w:pPr>
        <w:ind w:left="0" w:right="0" w:firstLine="560"/>
        <w:jc w:val="center"/>
        <w:pageBreakBefore w:val="0"/>
        <w:spacing w:line="520" w:lineRule="exact"/>
        <w:rPr>
          <w:rFonts w:hint="eastAsia" w:ascii="黑体" w:hAnsi="黑体" w:eastAsia="黑体" w:cs="黑体"/>
          <w:b w:val="0"/>
          <w:bCs/>
          <w:i/>
          <w:iCs/>
          <w:sz w:val="28"/>
          <w:szCs w:val="28"/>
          <w:u w:val="single"/>
          <w:lang w:eastAsia="zh-CN"/>
        </w:rPr>
      </w:pPr>
      <w:r>
        <w:rPr>
          <w:rFonts w:hint="eastAsia" w:ascii="黑体" w:hAnsi="黑体" w:eastAsia="黑体" w:cs="黑体"/>
          <w:b w:val="0"/>
          <w:bCs/>
          <w:i/>
          <w:iCs/>
          <w:sz w:val="28"/>
          <w:szCs w:val="28"/>
          <w:u w:val="single"/>
        </w:rPr>
        <w:t xml:space="preserve">九、</w:t>
      </w:r>
      <w:r>
        <w:rPr>
          <w:rFonts w:hint="eastAsia" w:ascii="黑体" w:hAnsi="黑体" w:eastAsia="黑体" w:cs="黑体"/>
          <w:b w:val="0"/>
          <w:bCs/>
          <w:i/>
          <w:iCs/>
          <w:sz w:val="28"/>
          <w:szCs w:val="28"/>
          <w:u w:val="single"/>
          <w:lang w:eastAsia="zh-CN"/>
        </w:rPr>
        <w:t xml:space="preserve">竞争性磋商首次报价书</w:t>
      </w:r>
      <w:r/>
    </w:p>
    <w:p>
      <w:pPr>
        <w:ind w:left="0" w:right="0" w:firstLine="562"/>
        <w:jc w:val="both"/>
        <w:pageBreakBefore w:val="0"/>
        <w:spacing w:line="520" w:lineRule="exact"/>
        <w:rPr>
          <w:rFonts w:hint="eastAsia" w:ascii="黑体" w:hAnsi="黑体" w:eastAsia="黑体" w:cs="黑体"/>
          <w:b/>
          <w:bCs/>
          <w:i/>
          <w:iCs/>
          <w:sz w:val="28"/>
          <w:szCs w:val="28"/>
          <w:u w:val="single"/>
          <w:lang w:eastAsia="zh-CN"/>
        </w:rPr>
      </w:pPr>
      <w:r>
        <w:rPr>
          <w:rFonts w:hint="eastAsia" w:ascii="黑体" w:hAnsi="黑体" w:eastAsia="黑体" w:cs="黑体"/>
          <w:b/>
          <w:bCs/>
          <w:i/>
          <w:iCs/>
          <w:sz w:val="28"/>
          <w:szCs w:val="28"/>
          <w:u w:val="single"/>
          <w:lang w:eastAsia="zh-CN"/>
        </w:rPr>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投标人全称（加盖公章）：</w:t>
      </w:r>
      <w:bookmarkStart w:id="198" w:name="TBR"/>
      <w:r/>
      <w:bookmarkEnd w:id="198"/>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项目名称：</w:t>
      </w:r>
      <w:bookmarkStart w:id="199" w:name="XMMC"/>
      <w:r/>
      <w:bookmarkEnd w:id="199"/>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项目编号：</w:t>
      </w:r>
      <w:bookmarkStart w:id="200" w:name="XMBH"/>
      <w:r/>
      <w:bookmarkEnd w:id="200"/>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分包号：</w:t>
      </w:r>
      <w:bookmarkStart w:id="201" w:name="FBH"/>
      <w:r/>
      <w:bookmarkEnd w:id="201"/>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bl>
      <w:tblPr>
        <w:tblStyle w:val="701"/>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0"/>
      </w:tblGrid>
      <w:tr>
        <w:trPr>
          <w:cantSplit/>
          <w:trHeight w:val="1101"/>
        </w:trPr>
        <w:tc>
          <w:tcPr>
            <w:tcW w:w="9000" w:type="dxa"/>
            <w:vAlign w:val="center"/>
            <w:textDirection w:val="lrTb"/>
            <w:noWrap w:val="false"/>
          </w:tcPr>
          <w:p>
            <w:pPr>
              <w:contextualSpacing/>
              <w:ind w:right="0"/>
              <w:jc w:val="center"/>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投标总报价</w:t>
            </w:r>
            <w:r/>
          </w:p>
        </w:tc>
      </w:tr>
      <w:tr>
        <w:trPr>
          <w:cantSplit/>
          <w:trHeight w:val="1707"/>
        </w:trPr>
        <w:tc>
          <w:tcPr>
            <w:tcW w:w="9000" w:type="dxa"/>
            <w:vAlign w:val="center"/>
            <w:textDirection w:val="lrTb"/>
            <w:noWrap w:val="false"/>
          </w:tcPr>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大写：</w:t>
            </w:r>
            <w:bookmarkStart w:id="202" w:name="JEDX"/>
            <w:r/>
            <w:bookmarkEnd w:id="202"/>
            <w:r/>
            <w:r/>
          </w:p>
          <w:p>
            <w:pPr>
              <w:contextualSpacing/>
              <w:ind w:left="0" w:right="0" w:firstLine="560"/>
              <w:jc w:val="lef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小写：</w:t>
            </w:r>
            <w:bookmarkStart w:id="203" w:name="JEXX"/>
            <w:r/>
            <w:bookmarkEnd w:id="203"/>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（元）（人民币）</w:t>
            </w:r>
            <w:r/>
          </w:p>
        </w:tc>
      </w:tr>
    </w:tbl>
    <w:p>
      <w:pPr>
        <w:contextualSpacing/>
        <w:ind w:left="0" w:right="0" w:firstLine="560"/>
        <w:jc w:val="righ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contextualSpacing/>
        <w:ind w:left="0" w:right="0" w:firstLine="560"/>
        <w:jc w:val="righ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bookmarkStart w:id="204" w:name="NF"/>
      <w:r/>
      <w:bookmarkEnd w:id="204"/>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年</w:t>
      </w:r>
      <w:r>
        <w:rPr>
          <w:rFonts w:hint="eastAsia" w:ascii="仿宋_GB2312" w:hAnsi="仿宋_GB2312" w:eastAsia="仿宋_GB2312" w:cs="仿宋_GB2312"/>
          <w:color w:val="000000"/>
          <w:sz w:val="28"/>
          <w:szCs w:val="28"/>
          <w:u w:val="single"/>
        </w:rPr>
        <w:t xml:space="preserve"> </w:t>
      </w:r>
      <w:bookmarkStart w:id="205" w:name="YF"/>
      <w:r/>
      <w:bookmarkEnd w:id="205"/>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月</w:t>
      </w:r>
      <w:r>
        <w:rPr>
          <w:rFonts w:hint="eastAsia" w:ascii="仿宋_GB2312" w:hAnsi="仿宋_GB2312" w:eastAsia="仿宋_GB2312" w:cs="仿宋_GB2312"/>
          <w:color w:val="000000"/>
          <w:sz w:val="28"/>
          <w:szCs w:val="28"/>
          <w:u w:val="single"/>
        </w:rPr>
        <w:t xml:space="preserve"> </w:t>
      </w:r>
      <w:bookmarkStart w:id="206" w:name="RI"/>
      <w:r/>
      <w:bookmarkEnd w:id="206"/>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日</w:t>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r>
      <w:r/>
    </w:p>
    <w:p>
      <w:pPr>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br w:type="page" w:clear="all"/>
      </w:r>
      <w:r/>
    </w:p>
    <w:p>
      <w:pPr>
        <w:ind w:left="0" w:right="0" w:firstLine="560"/>
        <w:jc w:val="center"/>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i w:val="0"/>
          <w:iCs w:val="0"/>
          <w:sz w:val="28"/>
          <w:szCs w:val="28"/>
          <w:u w:val="none"/>
          <w:lang w:eastAsia="zh-CN"/>
        </w:rPr>
        <w:t xml:space="preserve">十、中小企业声明函（服务）</w:t>
      </w:r>
      <w:r>
        <w:rPr>
          <w:i w:val="0"/>
          <w:iCs w:val="0"/>
          <w:u w:val="none"/>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本公司（联合体）郑重声明，根据《政府采购促进中小企业发展管理办法》(财库[2020]46号)的规定，本公司（联合体）参加</w:t>
      </w:r>
      <w:r>
        <w:rPr>
          <w:rFonts w:hint="eastAsia" w:ascii="仿宋_GB2312" w:hAnsi="仿宋_GB2312" w:eastAsia="仿宋_GB2312" w:cs="仿宋_GB2312"/>
          <w:sz w:val="28"/>
          <w:szCs w:val="28"/>
          <w:u w:val="single"/>
          <w:lang w:eastAsia="zh-CN"/>
        </w:rPr>
        <w:t xml:space="preserve">兴化市政务服务中心</w:t>
      </w:r>
      <w:r>
        <w:rPr>
          <w:rFonts w:hint="eastAsia" w:ascii="仿宋_GB2312" w:hAnsi="仿宋_GB2312" w:eastAsia="仿宋_GB2312" w:cs="仿宋_GB2312"/>
          <w:sz w:val="28"/>
          <w:szCs w:val="28"/>
        </w:rPr>
        <w:t xml:space="preserve">组织的</w:t>
      </w:r>
      <w:r>
        <w:rPr>
          <w:rFonts w:hint="eastAsia" w:ascii="仿宋_GB2312" w:hAnsi="仿宋_GB2312" w:eastAsia="仿宋_GB2312" w:cs="仿宋_GB2312"/>
          <w:sz w:val="28"/>
          <w:szCs w:val="28"/>
          <w:u w:val="single"/>
        </w:rPr>
        <w:t xml:space="preserve">（单位名称）</w:t>
      </w:r>
      <w:r>
        <w:rPr>
          <w:rFonts w:hint="eastAsia" w:ascii="仿宋_GB2312" w:hAnsi="仿宋_GB2312" w:eastAsia="仿宋_GB2312" w:cs="仿宋_GB2312"/>
          <w:sz w:val="28"/>
          <w:szCs w:val="28"/>
        </w:rPr>
        <w:t xml:space="preserve">采购编号为</w:t>
      </w:r>
      <w:r>
        <w:rPr>
          <w:rFonts w:hint="eastAsia"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u w:val="single"/>
        </w:rPr>
        <w:t xml:space="preserve">（项目名称）</w:t>
      </w:r>
      <w:r>
        <w:rPr>
          <w:rFonts w:hint="eastAsia" w:ascii="仿宋_GB2312" w:hAnsi="仿宋_GB2312" w:eastAsia="仿宋_GB2312" w:cs="仿宋_GB2312"/>
          <w:sz w:val="28"/>
          <w:szCs w:val="28"/>
        </w:rPr>
        <w:t xml:space="preserve">的采购活动，服务全部由符合政策的</w:t>
      </w:r>
      <w:r>
        <w:rPr>
          <w:rFonts w:hint="eastAsia" w:ascii="仿宋_GB2312" w:hAnsi="仿宋_GB2312" w:eastAsia="仿宋_GB2312" w:cs="仿宋_GB2312"/>
          <w:sz w:val="28"/>
          <w:szCs w:val="28"/>
          <w:lang w:eastAsia="zh-CN"/>
        </w:rPr>
        <w:t xml:space="preserve">中</w:t>
      </w:r>
      <w:r>
        <w:rPr>
          <w:rFonts w:hint="eastAsia" w:ascii="仿宋_GB2312" w:hAnsi="仿宋_GB2312" w:eastAsia="仿宋_GB2312" w:cs="仿宋_GB2312"/>
          <w:sz w:val="28"/>
          <w:szCs w:val="28"/>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b w:val="0"/>
          <w:bCs w:val="0"/>
          <w:i w:val="0"/>
          <w:iCs/>
          <w:color w:val="auto"/>
          <w:sz w:val="28"/>
          <w:szCs w:val="28"/>
          <w:highlight w:val="yellow"/>
          <w:u w:val="single"/>
        </w:rPr>
        <w:t xml:space="preserve">软件和信息技术服务业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u w:val="single"/>
          <w:lang w:eastAsia="zh-CN"/>
        </w:rPr>
        <w:t xml:space="preserve">中</w:t>
      </w:r>
      <w:r>
        <w:rPr>
          <w:rFonts w:hint="eastAsia" w:ascii="仿宋_GB2312" w:hAnsi="仿宋_GB2312" w:eastAsia="仿宋_GB2312" w:cs="仿宋_GB2312"/>
          <w:sz w:val="28"/>
          <w:szCs w:val="28"/>
          <w:u w:val="single"/>
        </w:rPr>
        <w:t xml:space="preserve">型企业</w:t>
      </w:r>
      <w:r>
        <w:rPr>
          <w:rFonts w:hint="eastAsia" w:ascii="仿宋_GB2312" w:hAnsi="仿宋_GB2312" w:eastAsia="仿宋_GB2312" w:cs="仿宋_GB2312"/>
          <w:sz w:val="28"/>
          <w:szCs w:val="28"/>
          <w:u w:val="single"/>
          <w:lang w:eastAsia="zh-CN"/>
        </w:rPr>
        <w:t xml:space="preserve">、</w:t>
      </w:r>
      <w:r>
        <w:rPr>
          <w:rFonts w:hint="eastAsia" w:ascii="仿宋_GB2312" w:hAnsi="仿宋_GB2312" w:eastAsia="仿宋_GB2312" w:cs="仿宋_GB2312"/>
          <w:sz w:val="28"/>
          <w:szCs w:val="28"/>
          <w:u w:val="single"/>
        </w:rPr>
        <w:t xml:space="preserve">小型企业、微型企业）；</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b w:val="0"/>
          <w:bCs w:val="0"/>
          <w:i w:val="0"/>
          <w:iCs/>
          <w:color w:val="auto"/>
          <w:sz w:val="28"/>
          <w:szCs w:val="28"/>
          <w:highlight w:val="yellow"/>
          <w:u w:val="single"/>
        </w:rPr>
        <w:t xml:space="preserve">软件和信息技术服务业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u w:val="single"/>
          <w:lang w:eastAsia="zh-CN"/>
        </w:rPr>
        <w:t xml:space="preserve">中</w:t>
      </w:r>
      <w:r>
        <w:rPr>
          <w:rFonts w:hint="eastAsia" w:ascii="仿宋_GB2312" w:hAnsi="仿宋_GB2312" w:eastAsia="仿宋_GB2312" w:cs="仿宋_GB2312"/>
          <w:sz w:val="28"/>
          <w:szCs w:val="28"/>
          <w:u w:val="single"/>
        </w:rPr>
        <w:t xml:space="preserve">型企业</w:t>
      </w:r>
      <w:r>
        <w:rPr>
          <w:rFonts w:hint="eastAsia" w:ascii="仿宋_GB2312" w:hAnsi="仿宋_GB2312" w:eastAsia="仿宋_GB2312" w:cs="仿宋_GB2312"/>
          <w:sz w:val="28"/>
          <w:szCs w:val="28"/>
          <w:u w:val="single"/>
          <w:lang w:eastAsia="zh-CN"/>
        </w:rPr>
        <w:t xml:space="preserve">、</w:t>
      </w:r>
      <w:r>
        <w:rPr>
          <w:rFonts w:hint="eastAsia" w:ascii="仿宋_GB2312" w:hAnsi="仿宋_GB2312" w:eastAsia="仿宋_GB2312" w:cs="仿宋_GB2312"/>
          <w:sz w:val="28"/>
          <w:szCs w:val="28"/>
          <w:u w:val="single"/>
        </w:rPr>
        <w:t xml:space="preserve">小型企业、微型企业）；</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以上企业，不属于大企业的分支机构，不存在控股股东为大企业的情形，也不存在与大企业的负责人为同一人的情形。</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本企业对上述声明内容的真实性负责。如有虚假，将依法承担相应责任</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jc w:val="righ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企业名称（加盖CA电子公章）：</w:t>
      </w:r>
      <w:r/>
    </w:p>
    <w:p>
      <w:pPr>
        <w:ind w:left="0" w:right="0" w:firstLine="61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lang w:val="en-US" w:eastAsia="zh-CN"/>
        </w:rPr>
        <w:t xml:space="preserve">.</w:t>
      </w:r>
      <w:r>
        <w:rPr>
          <w:rFonts w:hint="eastAsia" w:ascii="仿宋_GB2312" w:hAnsi="仿宋_GB2312" w:eastAsia="仿宋_GB2312" w:cs="仿宋_GB2312"/>
          <w:sz w:val="28"/>
          <w:szCs w:val="28"/>
        </w:rPr>
        <w:t xml:space="preserve">从业人员、营业收入、资产总额填报上一年度数据，无上一年度数据的新成立企业可不填报。</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sz w:val="28"/>
          <w:szCs w:val="28"/>
          <w:lang w:val="en-US" w:eastAsia="zh-CN"/>
        </w:rPr>
        <w:t xml:space="preserve">.</w:t>
      </w:r>
      <w:r>
        <w:rPr>
          <w:rFonts w:hint="eastAsia" w:ascii="仿宋_GB2312" w:hAnsi="仿宋_GB2312" w:eastAsia="仿宋_GB2312" w:cs="仿宋_GB2312"/>
          <w:sz w:val="28"/>
          <w:szCs w:val="28"/>
        </w:rPr>
        <w:t xml:space="preserve">成交供应商</w:t>
      </w:r>
      <w:r>
        <w:rPr>
          <w:rFonts w:hint="eastAsia" w:ascii="仿宋_GB2312" w:hAnsi="仿宋_GB2312" w:eastAsia="仿宋_GB2312" w:cs="仿宋_GB2312"/>
          <w:sz w:val="28"/>
          <w:szCs w:val="28"/>
          <w:lang w:eastAsia="zh-CN"/>
        </w:rPr>
        <w:t xml:space="preserve">的</w:t>
      </w:r>
      <w:r>
        <w:rPr>
          <w:rFonts w:hint="eastAsia" w:ascii="仿宋_GB2312" w:hAnsi="仿宋_GB2312" w:eastAsia="仿宋_GB2312" w:cs="仿宋_GB2312"/>
          <w:sz w:val="28"/>
          <w:szCs w:val="28"/>
        </w:rPr>
        <w:t xml:space="preserve">此声明函将随成交结果同时公告，接受社会监督。</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w:t>
      </w:r>
      <w:r>
        <w:rPr>
          <w:rFonts w:hint="eastAsia" w:ascii="仿宋_GB2312" w:hAnsi="仿宋_GB2312" w:eastAsia="仿宋_GB2312" w:cs="仿宋_GB2312"/>
          <w:b/>
          <w:sz w:val="28"/>
          <w:szCs w:val="28"/>
          <w:lang w:eastAsia="zh-CN"/>
        </w:rPr>
        <w:t xml:space="preserve">一</w:t>
      </w:r>
      <w:r>
        <w:rPr>
          <w:rFonts w:hint="eastAsia" w:ascii="仿宋_GB2312" w:hAnsi="仿宋_GB2312" w:eastAsia="仿宋_GB2312" w:cs="仿宋_GB2312"/>
          <w:b/>
          <w:sz w:val="28"/>
          <w:szCs w:val="28"/>
        </w:rPr>
        <w:t xml:space="preserve">、残疾人福利性单位声明函</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项目（分包号：**）采购活动提供本单位制造的货物，或者提供其他残疾人福利性单位制造的货物（不包括使用非残疾人福利性单位注册商标的货物）。</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（备注：1、供应商如为残疾人福利单位的，不提供此声明函，价格将不做相应扣除。2、此声明函将随成交结果同时公告，接受社会监督）</w:t>
      </w:r>
      <w:r/>
    </w:p>
    <w:p>
      <w:pPr>
        <w:ind w:left="0" w:right="0" w:firstLine="584"/>
        <w:pageBreakBefore w:val="0"/>
        <w:spacing w:line="520" w:lineRule="exact"/>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r>
      <w:r/>
    </w:p>
    <w:p>
      <w:pPr>
        <w:ind w:left="0" w:right="0" w:firstLine="584"/>
        <w:jc w:val="left"/>
        <w:pageBreakBefore w:val="0"/>
        <w:spacing w:line="520"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pacing w:val="6"/>
          <w:sz w:val="28"/>
          <w:szCs w:val="28"/>
        </w:rPr>
        <w:t xml:space="preserve">             </w:t>
      </w:r>
      <w:r>
        <w:rPr>
          <w:rFonts w:hint="eastAsia" w:ascii="仿宋_GB2312" w:hAnsi="仿宋_GB2312" w:eastAsia="仿宋_GB2312" w:cs="仿宋_GB2312"/>
          <w:sz w:val="28"/>
          <w:szCs w:val="28"/>
        </w:rPr>
        <w:t xml:space="preserve">        供应商全称（加盖CA电子公章）：</w:t>
      </w:r>
      <w:r/>
    </w:p>
    <w:p>
      <w:pPr>
        <w:ind w:left="0" w:right="0" w:firstLine="560"/>
        <w:jc w:val="left"/>
        <w:pageBreakBefore w:val="0"/>
        <w:spacing w:line="520"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  期：</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643"/>
        <w:jc w:val="both"/>
        <w:pageBreakBefore w:val="0"/>
        <w:spacing w:line="520" w:lineRule="exact"/>
        <w:rPr>
          <w:rFonts w:hint="eastAsia" w:ascii="仿宋_GB2312" w:hAnsi="仿宋_GB2312" w:eastAsia="仿宋_GB2312" w:cs="仿宋_GB2312"/>
          <w:b/>
          <w:sz w:val="32"/>
          <w:szCs w:val="32"/>
          <w:highlight w:val="yellow"/>
          <w:lang w:eastAsia="zh-CN"/>
        </w:rPr>
      </w:pPr>
      <w:r>
        <w:rPr>
          <w:rFonts w:hint="eastAsia" w:ascii="仿宋_GB2312" w:hAnsi="仿宋_GB2312" w:eastAsia="仿宋_GB2312" w:cs="仿宋_GB2312"/>
          <w:b/>
          <w:sz w:val="32"/>
          <w:szCs w:val="32"/>
          <w:highlight w:val="yellow"/>
          <w:lang w:eastAsia="zh-CN"/>
        </w:rPr>
        <w:t xml:space="preserve">【如供应商非</w:t>
      </w:r>
      <w:r>
        <w:rPr>
          <w:rFonts w:hint="eastAsia" w:ascii="仿宋_GB2312" w:hAnsi="仿宋_GB2312" w:eastAsia="仿宋_GB2312" w:cs="仿宋_GB2312"/>
          <w:b/>
          <w:sz w:val="32"/>
          <w:szCs w:val="32"/>
          <w:highlight w:val="yellow"/>
        </w:rPr>
        <w:t xml:space="preserve">残疾人福利性单位</w:t>
      </w:r>
      <w:r>
        <w:rPr>
          <w:rFonts w:hint="eastAsia" w:ascii="仿宋_GB2312" w:hAnsi="仿宋_GB2312" w:eastAsia="仿宋_GB2312" w:cs="仿宋_GB2312"/>
          <w:b/>
          <w:sz w:val="32"/>
          <w:szCs w:val="32"/>
          <w:highlight w:val="yellow"/>
          <w:lang w:eastAsia="zh-CN"/>
        </w:rPr>
        <w:t xml:space="preserve">的，请删除本声明函模板后，填写“无”。】</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right="0"/>
        <w:jc w:val="center"/>
        <w:pageBreakBefore w:val="0"/>
        <w:spacing w:line="520" w:lineRule="exact"/>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二</w:t>
      </w:r>
      <w:r>
        <w:rPr>
          <w:rFonts w:hint="eastAsia" w:ascii="黑体" w:hAnsi="黑体" w:eastAsia="黑体" w:cs="黑体"/>
          <w:b w:val="0"/>
          <w:bCs/>
          <w:i/>
          <w:iCs/>
          <w:sz w:val="28"/>
          <w:szCs w:val="28"/>
          <w:u w:val="single"/>
        </w:rPr>
        <w:t xml:space="preserve">、</w:t>
      </w:r>
      <w:bookmarkStart w:id="207" w:name="_Hlk76057113"/>
      <w:r>
        <w:rPr>
          <w:rFonts w:hint="eastAsia" w:ascii="黑体" w:hAnsi="黑体" w:eastAsia="黑体" w:cs="黑体"/>
          <w:b w:val="0"/>
          <w:bCs/>
          <w:i/>
          <w:iCs/>
          <w:sz w:val="28"/>
          <w:szCs w:val="28"/>
          <w:u w:val="single"/>
        </w:rPr>
        <w:t xml:space="preserve">分项报价表</w:t>
      </w:r>
      <w:r/>
    </w:p>
    <w:p>
      <w:pPr>
        <w:ind w:right="0"/>
        <w:jc w:val="both"/>
        <w:pageBreakBefore w:val="0"/>
        <w:spacing w:line="520" w:lineRule="exact"/>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tbl>
      <w:tblPr>
        <w:tblStyle w:val="701"/>
        <w:tblW w:w="90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000"/>
        <w:gridCol w:w="1333"/>
        <w:gridCol w:w="1417"/>
        <w:gridCol w:w="1083"/>
        <w:gridCol w:w="1250"/>
        <w:gridCol w:w="1228"/>
      </w:tblGrid>
      <w:tr>
        <w:trPr>
          <w:cantSplit/>
          <w:trHeight w:val="817"/>
        </w:trPr>
        <w:tc>
          <w:tcPr>
            <w:tcW w:w="785" w:type="dxa"/>
            <w:vAlign w:val="center"/>
            <w:textDirection w:val="lrTb"/>
            <w:noWrap w:val="false"/>
          </w:tcPr>
          <w:p>
            <w:pPr>
              <w:jc w:val="center"/>
              <w:spacing w:line="0" w:lineRule="atLeast"/>
              <w:rPr>
                <w:rFonts w:hint="eastAsia" w:ascii="黑体" w:hAnsi="黑体" w:eastAsia="黑体" w:cs="黑体"/>
                <w:sz w:val="24"/>
                <w:szCs w:val="24"/>
                <w:lang w:eastAsia="zh-CN"/>
              </w:rPr>
            </w:pPr>
            <w:r>
              <w:rPr>
                <w:rFonts w:hint="eastAsia" w:ascii="黑体" w:hAnsi="黑体" w:eastAsia="黑体" w:cs="黑体"/>
                <w:sz w:val="24"/>
                <w:szCs w:val="24"/>
                <w:lang w:eastAsia="zh-CN"/>
              </w:rPr>
              <w:t xml:space="preserve">序号</w:t>
            </w:r>
            <w:r/>
          </w:p>
        </w:tc>
        <w:tc>
          <w:tcPr>
            <w:tcW w:w="2000"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分项服务名称</w:t>
            </w:r>
            <w:r/>
          </w:p>
        </w:tc>
        <w:tc>
          <w:tcPr>
            <w:tcW w:w="1333"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交付期</w:t>
            </w:r>
            <w:r/>
          </w:p>
        </w:tc>
        <w:tc>
          <w:tcPr>
            <w:tcW w:w="1417"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分项单位</w:t>
            </w:r>
            <w:r/>
          </w:p>
        </w:tc>
        <w:tc>
          <w:tcPr>
            <w:tcW w:w="1083"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数量</w:t>
            </w:r>
            <w:r/>
          </w:p>
        </w:tc>
        <w:tc>
          <w:tcPr>
            <w:tcW w:w="1250"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分项</w:t>
            </w:r>
            <w:r/>
          </w:p>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单价</w:t>
            </w:r>
            <w:r/>
          </w:p>
        </w:tc>
        <w:tc>
          <w:tcPr>
            <w:tcW w:w="1228"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分项</w:t>
            </w:r>
            <w:r/>
          </w:p>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总价</w:t>
            </w:r>
            <w:r/>
          </w:p>
        </w:tc>
      </w:tr>
      <w:tr>
        <w:trPr>
          <w:cantSplit/>
          <w:trHeight w:val="858"/>
        </w:trPr>
        <w:tc>
          <w:tcPr>
            <w:tcW w:w="7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0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33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858"/>
        </w:trPr>
        <w:tc>
          <w:tcPr>
            <w:tcW w:w="7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0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3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858"/>
        </w:trPr>
        <w:tc>
          <w:tcPr>
            <w:tcW w:w="7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20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3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858"/>
        </w:trPr>
        <w:tc>
          <w:tcPr>
            <w:tcW w:w="785"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0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33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883"/>
        </w:trPr>
        <w:tc>
          <w:tcPr>
            <w:gridSpan w:val="7"/>
            <w:tcW w:w="9096" w:type="dxa"/>
            <w:vAlign w:val="center"/>
            <w:textDirection w:val="lrTb"/>
            <w:noWrap w:val="false"/>
          </w:tcPr>
          <w:p>
            <w:pPr>
              <w:jc w:val="center"/>
              <w:spacing w:line="0" w:lineRule="atLeast"/>
              <w:rPr>
                <w:rFonts w:hint="eastAsia" w:ascii="宋体" w:hAnsi="宋体"/>
                <w:sz w:val="24"/>
                <w:szCs w:val="24"/>
              </w:rPr>
            </w:pPr>
            <w:r>
              <w:rPr>
                <w:rFonts w:hint="eastAsia" w:ascii="黑体" w:hAnsi="黑体" w:eastAsia="黑体" w:cs="黑体"/>
                <w:b w:val="0"/>
                <w:bCs w:val="0"/>
                <w:sz w:val="28"/>
                <w:szCs w:val="28"/>
              </w:rPr>
              <w:t xml:space="preserve">总报价（人民币：</w:t>
            </w:r>
            <w:r>
              <w:rPr>
                <w:rFonts w:hint="eastAsia" w:ascii="黑体" w:hAnsi="黑体" w:eastAsia="黑体" w:cs="黑体"/>
                <w:b w:val="0"/>
                <w:bCs w:val="0"/>
                <w:sz w:val="28"/>
                <w:szCs w:val="28"/>
                <w:lang w:eastAsia="zh-CN"/>
              </w:rPr>
              <w:t xml:space="preserve">大写：</w:t>
            </w:r>
            <w:r>
              <w:rPr>
                <w:rFonts w:hint="eastAsia" w:ascii="黑体" w:hAnsi="黑体" w:eastAsia="黑体" w:cs="黑体"/>
                <w:b w:val="0"/>
                <w:bCs w:val="0"/>
                <w:sz w:val="28"/>
                <w:szCs w:val="28"/>
                <w:u w:val="single"/>
                <w:lang w:val="en-US" w:eastAsia="zh-CN"/>
              </w:rPr>
              <w:t xml:space="preserve">            </w:t>
            </w:r>
            <w:r>
              <w:rPr>
                <w:rFonts w:hint="eastAsia" w:ascii="黑体" w:hAnsi="黑体" w:eastAsia="黑体" w:cs="黑体"/>
                <w:b w:val="0"/>
                <w:bCs w:val="0"/>
                <w:sz w:val="28"/>
                <w:szCs w:val="28"/>
                <w:lang w:val="en-US" w:eastAsia="zh-CN"/>
              </w:rPr>
              <w:t xml:space="preserve">；小写：</w:t>
            </w:r>
            <w:r>
              <w:rPr>
                <w:rFonts w:hint="eastAsia" w:ascii="黑体" w:hAnsi="黑体" w:eastAsia="黑体" w:cs="黑体"/>
                <w:b w:val="0"/>
                <w:bCs w:val="0"/>
                <w:sz w:val="28"/>
                <w:szCs w:val="28"/>
                <w:u w:val="single"/>
                <w:lang w:val="en-US" w:eastAsia="zh-CN"/>
              </w:rPr>
              <w:t xml:space="preserve">            </w:t>
            </w:r>
            <w:r>
              <w:rPr>
                <w:rFonts w:hint="eastAsia" w:ascii="黑体" w:hAnsi="黑体" w:eastAsia="黑体" w:cs="黑体"/>
                <w:b w:val="0"/>
                <w:bCs w:val="0"/>
                <w:sz w:val="28"/>
                <w:szCs w:val="28"/>
              </w:rPr>
              <w:t xml:space="preserve">元）</w:t>
            </w:r>
            <w:r/>
          </w:p>
        </w:tc>
      </w:tr>
    </w:tbl>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注：1、以上表格中</w:t>
      </w:r>
      <w:r>
        <w:rPr>
          <w:rFonts w:hint="eastAsia" w:ascii="仿宋_GB2312" w:hAnsi="仿宋_GB2312" w:eastAsia="仿宋_GB2312" w:cs="仿宋_GB2312"/>
          <w:sz w:val="28"/>
          <w:szCs w:val="28"/>
          <w:lang w:eastAsia="zh-CN"/>
        </w:rPr>
        <w:t xml:space="preserve">，供应商</w:t>
      </w:r>
      <w:r>
        <w:rPr>
          <w:rFonts w:hint="eastAsia" w:ascii="仿宋_GB2312" w:hAnsi="仿宋_GB2312" w:eastAsia="仿宋_GB2312" w:cs="仿宋_GB2312"/>
          <w:sz w:val="28"/>
          <w:szCs w:val="28"/>
        </w:rPr>
        <w:t xml:space="preserve">可</w:t>
      </w:r>
      <w:r>
        <w:rPr>
          <w:rFonts w:hint="eastAsia" w:ascii="仿宋_GB2312" w:hAnsi="仿宋_GB2312" w:eastAsia="仿宋_GB2312" w:cs="仿宋_GB2312"/>
          <w:sz w:val="28"/>
          <w:szCs w:val="28"/>
          <w:lang w:eastAsia="zh-CN"/>
        </w:rPr>
        <w:t xml:space="preserve">对</w:t>
      </w:r>
      <w:r>
        <w:rPr>
          <w:rFonts w:hint="eastAsia" w:ascii="仿宋_GB2312" w:hAnsi="仿宋_GB2312" w:eastAsia="仿宋_GB2312" w:cs="仿宋_GB2312"/>
          <w:sz w:val="28"/>
          <w:szCs w:val="28"/>
        </w:rPr>
        <w:t xml:space="preserve">各项进一步细分</w:t>
      </w:r>
      <w:r>
        <w:rPr>
          <w:rFonts w:hint="eastAsia" w:ascii="仿宋_GB2312" w:hAnsi="仿宋_GB2312" w:eastAsia="仿宋_GB2312" w:cs="仿宋_GB2312"/>
          <w:sz w:val="28"/>
          <w:szCs w:val="28"/>
          <w:lang w:eastAsia="zh-CN"/>
        </w:rPr>
        <w:t xml:space="preserve">和调整</w:t>
      </w:r>
      <w:r>
        <w:rPr>
          <w:rFonts w:hint="eastAsia" w:ascii="仿宋_GB2312" w:hAnsi="仿宋_GB2312" w:eastAsia="仿宋_GB2312" w:cs="仿宋_GB2312"/>
          <w:sz w:val="28"/>
          <w:szCs w:val="28"/>
        </w:rPr>
        <w:t xml:space="preserve">，行数不够可自加，应包括为完成本项目各项服务可能发生的全部费用及</w:t>
      </w:r>
      <w:r>
        <w:rPr>
          <w:rFonts w:hint="eastAsia" w:ascii="仿宋_GB2312" w:hAnsi="仿宋_GB2312" w:eastAsia="仿宋_GB2312" w:cs="仿宋_GB2312"/>
          <w:sz w:val="28"/>
          <w:szCs w:val="28"/>
          <w:lang w:eastAsia="zh-CN"/>
        </w:rPr>
        <w:t xml:space="preserve">供应商</w:t>
      </w:r>
      <w:r>
        <w:rPr>
          <w:rFonts w:hint="eastAsia" w:ascii="仿宋_GB2312" w:hAnsi="仿宋_GB2312" w:eastAsia="仿宋_GB2312" w:cs="仿宋_GB2312"/>
          <w:sz w:val="28"/>
          <w:szCs w:val="28"/>
        </w:rPr>
        <w:t xml:space="preserve">的利润和应交纳的税金等（包括人员工资、《劳动合同法》及相关法律法规规定的各种社会保险费、工具、办公费等其他费用）详细列出。</w:t>
      </w:r>
      <w:r>
        <w:rPr>
          <w:rFonts w:hint="eastAsia" w:ascii="仿宋_GB2312" w:hAnsi="仿宋_GB2312" w:eastAsia="仿宋_GB2312" w:cs="仿宋_GB2312"/>
          <w:sz w:val="28"/>
          <w:szCs w:val="28"/>
          <w:lang w:eastAsia="zh-CN"/>
        </w:rPr>
        <w:t xml:space="preserve">供应商</w:t>
      </w:r>
      <w:r>
        <w:rPr>
          <w:rFonts w:hint="eastAsia" w:ascii="仿宋_GB2312" w:hAnsi="仿宋_GB2312" w:eastAsia="仿宋_GB2312" w:cs="仿宋_GB2312"/>
          <w:sz w:val="28"/>
          <w:szCs w:val="28"/>
        </w:rPr>
        <w:t xml:space="preserve">对合同内容的费用、质量、文明服务等实行全面承包等所涉及的一切费用。</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2、“分项报价表”中“总报价”数额应当与“</w:t>
      </w:r>
      <w:r>
        <w:rPr>
          <w:rFonts w:hint="eastAsia" w:ascii="仿宋_GB2312" w:hAnsi="仿宋_GB2312" w:eastAsia="仿宋_GB2312" w:cs="仿宋_GB2312"/>
          <w:sz w:val="28"/>
          <w:szCs w:val="28"/>
          <w:lang w:eastAsia="zh-CN"/>
        </w:rPr>
        <w:t xml:space="preserve">竞争性磋商首次报价书</w:t>
      </w:r>
      <w:r>
        <w:rPr>
          <w:rFonts w:hint="eastAsia" w:ascii="仿宋_GB2312" w:hAnsi="仿宋_GB2312" w:eastAsia="仿宋_GB2312" w:cs="仿宋_GB2312"/>
          <w:sz w:val="28"/>
          <w:szCs w:val="28"/>
        </w:rPr>
        <w:t xml:space="preserve">”中“投标总报价”数额一致。</w:t>
      </w:r>
      <w:bookmarkEnd w:id="207"/>
      <w:r/>
      <w:r/>
    </w:p>
    <w:p>
      <w:pPr>
        <w:pStyle w:val="704"/>
        <w:ind w:left="0" w:firstLine="560"/>
        <w:keepLines w:val="0"/>
        <w:keepNext w:val="0"/>
        <w:pageBreakBefore w:val="0"/>
        <w:spacing w:line="400" w:lineRule="exact"/>
        <w:widowControl w:val="off"/>
        <w:rPr>
          <w:rFonts w:hint="eastAsia" w:ascii="仿宋_GB2312" w:hAnsi="仿宋_GB2312" w:eastAsia="仿宋_GB2312" w:cs="仿宋_GB2312"/>
          <w:sz w:val="28"/>
          <w:szCs w:val="28"/>
          <w:highlight w:val="yellow"/>
          <w:lang w:val="en-US" w:eastAsia="zh-CN"/>
        </w:rPr>
      </w:pPr>
      <w:r>
        <w:rPr>
          <w:rFonts w:hint="eastAsia" w:ascii="仿宋_GB2312" w:hAnsi="仿宋_GB2312" w:eastAsia="仿宋_GB2312" w:cs="仿宋_GB2312"/>
          <w:sz w:val="28"/>
          <w:szCs w:val="28"/>
          <w:highlight w:val="yellow"/>
          <w:lang w:val="en-US" w:eastAsia="zh-CN"/>
        </w:rPr>
      </w:r>
      <w:r/>
    </w:p>
    <w:p>
      <w:pPr>
        <w:pStyle w:val="704"/>
        <w:keepLines w:val="0"/>
        <w:keepNext w:val="0"/>
        <w:pageBreakBefore w:val="0"/>
        <w:spacing w:line="440" w:lineRule="exact"/>
        <w:widowControl w:val="off"/>
        <w:rPr>
          <w:rFonts w:hint="eastAsia"/>
        </w:rPr>
      </w:pPr>
      <w:r>
        <w:rPr>
          <w:rFonts w:hint="eastAsia"/>
        </w:rPr>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jc w:val="center"/>
        <w:rPr>
          <w:rFonts w:hint="eastAsia" w:ascii="黑体" w:hAnsi="黑体" w:eastAsia="黑体"/>
          <w:bCs/>
          <w:sz w:val="44"/>
          <w:szCs w:val="44"/>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三</w:t>
      </w:r>
      <w:r>
        <w:rPr>
          <w:rFonts w:hint="eastAsia" w:ascii="黑体" w:hAnsi="黑体" w:eastAsia="黑体" w:cs="黑体"/>
          <w:b w:val="0"/>
          <w:bCs/>
          <w:i/>
          <w:iCs/>
          <w:sz w:val="28"/>
          <w:szCs w:val="28"/>
          <w:u w:val="single"/>
        </w:rPr>
        <w:t xml:space="preserve">、服务要求响应及偏离表</w:t>
      </w:r>
      <w:r/>
    </w:p>
    <w:p>
      <w:pPr>
        <w:pStyle w:val="725"/>
      </w:pPr>
      <w:r/>
      <w:r/>
    </w:p>
    <w:tbl>
      <w:tblPr>
        <w:tblStyle w:val="701"/>
        <w:tblW w:w="8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2326"/>
        <w:gridCol w:w="2258"/>
        <w:gridCol w:w="2426"/>
        <w:gridCol w:w="1102"/>
      </w:tblGrid>
      <w:tr>
        <w:trPr>
          <w:cantSplit/>
          <w:jc w:val="center"/>
          <w:trHeight w:val="119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序号</w:t>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tcPr>
          <w:p>
            <w:pPr>
              <w:ind w:left="0" w:right="0" w:firstLine="0"/>
              <w:jc w:val="center"/>
              <w:keepLines w:val="0"/>
              <w:keepNext w:val="0"/>
              <w:pageBreakBefore w:val="0"/>
              <w:spacing w:line="520" w:lineRule="exact"/>
              <w:widowControl w:val="off"/>
              <w:rPr>
                <w:rFonts w:hint="eastAsia" w:ascii="黑体" w:hAnsi="黑体" w:eastAsia="黑体" w:cs="黑体"/>
                <w:sz w:val="28"/>
                <w:szCs w:val="28"/>
              </w:rPr>
            </w:pPr>
            <w:r>
              <w:rPr>
                <w:rFonts w:hint="eastAsia" w:ascii="黑体" w:hAnsi="黑体" w:eastAsia="黑体" w:cs="黑体"/>
                <w:sz w:val="28"/>
                <w:szCs w:val="28"/>
                <w:lang w:eastAsia="zh-CN"/>
              </w:rPr>
              <w:t xml:space="preserve">磋商</w:t>
            </w:r>
            <w:r>
              <w:rPr>
                <w:rFonts w:hint="eastAsia" w:ascii="黑体" w:hAnsi="黑体" w:eastAsia="黑体" w:cs="黑体"/>
                <w:sz w:val="28"/>
                <w:szCs w:val="28"/>
              </w:rPr>
              <w:t xml:space="preserve">文件要求</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tcPr>
          <w:p>
            <w:pPr>
              <w:ind w:left="0" w:right="0" w:firstLine="0"/>
              <w:jc w:val="center"/>
              <w:keepLines w:val="0"/>
              <w:keepNext w:val="0"/>
              <w:pageBreakBefore w:val="0"/>
              <w:spacing w:line="52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响应情况</w:t>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符合/正偏离/负偏离</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备注</w:t>
            </w:r>
            <w:r/>
          </w:p>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1</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2</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3</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4</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5</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6</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bl>
    <w:p>
      <w:pPr>
        <w:rPr>
          <w:rFonts w:hint="eastAsia" w:ascii="仿宋" w:hAnsi="仿宋" w:eastAsia="仿宋"/>
          <w:sz w:val="28"/>
          <w:szCs w:val="28"/>
        </w:rPr>
      </w:pPr>
      <w:r>
        <w:rPr>
          <w:rFonts w:hint="eastAsia"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注：如此表格栏目不够填写，可依照此格式自行扩展、复制。</w:t>
      </w:r>
      <w:r/>
    </w:p>
    <w:p>
      <w:pPr>
        <w:rPr>
          <w:rFonts w:hint="eastAsia" w:ascii="仿宋" w:hAnsi="仿宋" w:eastAsia="仿宋"/>
          <w:b/>
          <w:bCs/>
          <w:sz w:val="28"/>
          <w:szCs w:val="28"/>
        </w:rPr>
      </w:pPr>
      <w:r>
        <w:rPr>
          <w:rFonts w:hint="eastAsia" w:ascii="仿宋" w:hAnsi="仿宋" w:eastAsia="仿宋"/>
          <w:b/>
          <w:bCs/>
          <w:sz w:val="28"/>
          <w:szCs w:val="28"/>
        </w:rPr>
      </w:r>
      <w:r/>
    </w:p>
    <w:p>
      <w:pPr>
        <w:keepLines w:val="0"/>
        <w:keepNext w:val="0"/>
        <w:pageBreakBefore w:val="0"/>
        <w:spacing w:line="5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bCs/>
          <w:sz w:val="28"/>
          <w:szCs w:val="28"/>
        </w:rPr>
        <w:t xml:space="preserve">说明：</w:t>
      </w:r>
      <w:r>
        <w:rPr>
          <w:rFonts w:hint="eastAsia" w:ascii="仿宋_GB2312" w:hAnsi="仿宋_GB2312" w:eastAsia="仿宋_GB2312" w:cs="仿宋_GB2312"/>
          <w:sz w:val="28"/>
          <w:szCs w:val="28"/>
        </w:rPr>
        <w:t xml:space="preserve">1、供应商可根据</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w:t>
      </w:r>
      <w:r>
        <w:rPr>
          <w:rFonts w:hint="eastAsia" w:ascii="仿宋_GB2312" w:hAnsi="仿宋_GB2312" w:eastAsia="仿宋_GB2312" w:cs="仿宋_GB2312"/>
          <w:sz w:val="28"/>
          <w:szCs w:val="28"/>
          <w:lang w:val="en-US" w:eastAsia="zh-CN"/>
        </w:rPr>
        <w:t xml:space="preserve"> 第四章</w:t>
      </w:r>
      <w:r>
        <w:rPr>
          <w:rFonts w:hint="eastAsia" w:ascii="仿宋_GB2312" w:hAnsi="仿宋_GB2312" w:eastAsia="仿宋_GB2312" w:cs="仿宋_GB2312"/>
          <w:sz w:val="28"/>
          <w:szCs w:val="28"/>
          <w:lang w:eastAsia="zh-CN"/>
        </w:rPr>
        <w:t xml:space="preserve">采购</w:t>
      </w:r>
      <w:r>
        <w:rPr>
          <w:rFonts w:hint="eastAsia" w:ascii="仿宋_GB2312" w:hAnsi="仿宋_GB2312" w:eastAsia="仿宋_GB2312" w:cs="仿宋_GB2312"/>
          <w:sz w:val="28"/>
          <w:szCs w:val="28"/>
        </w:rPr>
        <w:t xml:space="preserve">需求的内容填报，服务要求响应表的内容必须对其相对应的要求中的内容</w:t>
      </w:r>
      <w:r>
        <w:rPr>
          <w:rFonts w:hint="eastAsia" w:ascii="仿宋_GB2312" w:hAnsi="仿宋_GB2312" w:eastAsia="仿宋_GB2312" w:cs="仿宋_GB2312"/>
          <w:b/>
          <w:sz w:val="28"/>
          <w:szCs w:val="28"/>
        </w:rPr>
        <w:t xml:space="preserve">逐项、详细、真实的填写。</w:t>
      </w:r>
      <w:r/>
    </w:p>
    <w:p>
      <w:pPr>
        <w:ind w:firstLine="823"/>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2、供应商对存在正偏离或负偏离的的技术要求，应真实填写</w:t>
      </w:r>
      <w:r>
        <w:rPr>
          <w:rFonts w:hint="eastAsia" w:ascii="仿宋_GB2312" w:hAnsi="仿宋_GB2312" w:eastAsia="仿宋_GB2312" w:cs="仿宋_GB2312"/>
          <w:b/>
          <w:sz w:val="28"/>
          <w:szCs w:val="28"/>
        </w:rPr>
        <w:t xml:space="preserve">（对属于正偏离的技术参数，供应商须在</w:t>
      </w:r>
      <w:r>
        <w:rPr>
          <w:rFonts w:hint="eastAsia" w:ascii="仿宋_GB2312" w:hAnsi="仿宋_GB2312" w:eastAsia="仿宋_GB2312" w:cs="仿宋_GB2312"/>
          <w:b/>
          <w:sz w:val="28"/>
          <w:szCs w:val="28"/>
          <w:lang w:eastAsia="zh-CN"/>
        </w:rPr>
        <w:t xml:space="preserve">响应</w:t>
      </w:r>
      <w:r>
        <w:rPr>
          <w:rFonts w:hint="eastAsia" w:ascii="仿宋_GB2312" w:hAnsi="仿宋_GB2312" w:eastAsia="仿宋_GB2312" w:cs="仿宋_GB2312"/>
          <w:b/>
          <w:sz w:val="28"/>
          <w:szCs w:val="28"/>
        </w:rPr>
        <w:t xml:space="preserve">文件中提供有效证明材料，如未提供，磋商小组在评审时将不予认可；对属于负偏离的技术参数，未真实填写的视为虚假响应）</w:t>
      </w:r>
      <w:r>
        <w:rPr>
          <w:rFonts w:hint="eastAsia" w:ascii="仿宋_GB2312" w:hAnsi="仿宋_GB2312" w:eastAsia="仿宋_GB2312" w:cs="仿宋_GB2312"/>
          <w:sz w:val="28"/>
          <w:szCs w:val="28"/>
        </w:rPr>
        <w:t xml:space="preserve">。</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bookmarkEnd w:id="194"/>
      <w:r/>
      <w:r/>
    </w:p>
    <w:p>
      <w:pPr>
        <w:rPr>
          <w:rFonts w:hint="eastAsia" w:ascii="仿宋_GB2312" w:hAnsi="仿宋_GB2312" w:eastAsia="仿宋_GB2312" w:cs="仿宋_GB2312"/>
          <w:b/>
          <w:sz w:val="28"/>
          <w:szCs w:val="28"/>
        </w:rPr>
      </w:pPr>
      <w:r/>
      <w:bookmarkStart w:id="208" w:name="_Hlt26955054"/>
      <w:r/>
      <w:bookmarkEnd w:id="208"/>
      <w:r>
        <w:rPr>
          <w:rFonts w:hint="eastAsia" w:ascii="仿宋_GB2312" w:hAnsi="仿宋_GB2312" w:eastAsia="仿宋_GB2312" w:cs="仿宋_GB2312"/>
          <w:b/>
          <w:sz w:val="28"/>
          <w:szCs w:val="28"/>
        </w:rPr>
        <w:br w:type="page" w:clear="all"/>
      </w:r>
      <w:bookmarkEnd w:id="184"/>
      <w:r/>
      <w:bookmarkEnd w:id="185"/>
      <w:r/>
      <w:r/>
    </w:p>
    <w:p>
      <w:pPr>
        <w:ind w:left="0" w:right="0" w:firstLine="72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t xml:space="preserve">质疑函范本</w:t>
      </w:r>
      <w:r/>
    </w:p>
    <w:p>
      <w:pPr>
        <w:ind w:left="0" w:right="0" w:firstLine="72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一、质疑供应商基本信息</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质疑供应商：</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授权代表：</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二、质疑项目基本情况</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质疑项目的名称：</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包号：</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采购人名称：</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采购文件获取日期：</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三、质疑事项具体内容</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质疑事项1：</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事实依据：</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法律依据：</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质疑事项2</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四、与质疑事项相关的质疑请求</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请求：</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签字(签章)：                   公章：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w:t>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left="0" w:right="0" w:firstLine="562"/>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质疑函制作说明：</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1.供应商提出质疑时，应提交质疑函和必要的证明材料。</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3.质疑供应商若对项目的某一分包进行质疑，质疑函中应列明具体分包号。</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4.质疑函的质疑事项应具体、明确，并有必要的事实依据和法律依据。</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5.质疑函的质疑请求应与质疑事项相关。</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6.质疑供应商为自然人的，质疑函应由本人签字；质疑供应商为法人或者其他组织的，质疑函应由法定代表人、主要负责人，或者其授权代表签字或者盖章，并加盖公章。</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sectPr>
      <w:footnotePr/>
      <w:endnotePr/>
      <w:type w:val="nextPage"/>
      <w:pgSz w:w="11906" w:h="16838" w:orient="portrait"/>
      <w:pgMar w:top="1417" w:right="1417" w:bottom="1134" w:left="1417"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简体">
    <w:panose1 w:val="020B0503020202020204"/>
  </w:font>
  <w:font w:name="楷体">
    <w:panose1 w:val="02010609060101010101"/>
  </w:font>
  <w:font w:name="Symbol">
    <w:panose1 w:val="05050102010706020507"/>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Wingdings">
    <w:panose1 w:val="05000000000000000000"/>
  </w:font>
  <w:font w:name="Century Schoolbook">
    <w:panose1 w:val="02040604050505020304"/>
  </w:font>
  <w:font w:name="华文楷体">
    <w:panose1 w:val="0201060004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2512695</wp:posOffset>
              </wp:positionH>
              <wp:positionV relativeFrom="paragraph">
                <wp:posOffset>76200</wp:posOffset>
              </wp:positionV>
              <wp:extent cx="640715" cy="3302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640715" cy="3302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3"/>
                            <w:jc w:val="center"/>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argin-left:197.8pt;mso-position-horizontal:absolute;mso-position-vertical-relative:text;margin-top:6.0pt;mso-position-vertical:absolute;width:50.4pt;height:26.0pt;mso-wrap-distance-left:9.0pt;mso-wrap-distance-top:0.0pt;mso-wrap-distance-right:9.0pt;mso-wrap-distance-bottom:0.0pt;v-text-anchor:top;visibility:visible;" filled="f" stroked="f" strokeweight="0.50pt">
              <v:textbox inset="0,0,0,0">
                <w:txbxContent>
                  <w:p>
                    <w:pPr>
                      <w:pStyle w:val="713"/>
                      <w:jc w:val="center"/>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9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6"/>
      <w:isLgl w:val="false"/>
      <w:suff w:val="nothing"/>
      <w:lvlText w:val=""/>
      <w:lvlJc w:val="left"/>
      <w:pPr>
        <w:ind w:left="0" w:firstLine="0"/>
      </w:pPr>
      <w:rPr>
        <w:rFonts w:hint="eastAsia"/>
      </w:rPr>
    </w:lvl>
    <w:lvl w:ilvl="6">
      <w:start w:val="1"/>
      <w:numFmt w:val="decimal"/>
      <w:pStyle w:val="887"/>
      <w:isLgl w:val="false"/>
      <w:suff w:val="nothing"/>
      <w:lvlText w:val=""/>
      <w:lvlJc w:val="left"/>
      <w:pPr>
        <w:ind w:left="0" w:firstLine="0"/>
      </w:pPr>
      <w:rPr>
        <w:rFonts w:hint="eastAsia"/>
      </w:rPr>
    </w:lvl>
    <w:lvl w:ilvl="7">
      <w:start w:val="1"/>
      <w:numFmt w:val="decimal"/>
      <w:pStyle w:val="888"/>
      <w:isLgl w:val="false"/>
      <w:suff w:val="nothing"/>
      <w:lvlText w:val=""/>
      <w:lvlJc w:val="left"/>
      <w:pPr>
        <w:ind w:left="0" w:firstLine="0"/>
      </w:pPr>
      <w:rPr>
        <w:rFonts w:hint="eastAsia"/>
      </w:rPr>
    </w:lvl>
    <w:lvl w:ilvl="8">
      <w:start w:val="1"/>
      <w:numFmt w:val="decimal"/>
      <w:pStyle w:val="889"/>
      <w:isLgl w:val="false"/>
      <w:suff w:val="nothing"/>
      <w:lvlText w:val=""/>
      <w:lvlJc w:val="left"/>
      <w:pPr>
        <w:ind w:left="0" w:firstLine="0"/>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1001"/>
    <w:uiPriority w:val="0"/>
    <w:qFormat/>
    <w:pPr>
      <w:jc w:val="both"/>
      <w:widowControl w:val="off"/>
    </w:pPr>
    <w:rPr>
      <w:rFonts w:hint="default" w:ascii="Calibri" w:hAnsi="Calibri" w:eastAsia="宋体" w:cs="Times New Roman"/>
      <w:sz w:val="21"/>
      <w:szCs w:val="22"/>
      <w:lang w:val="en-US" w:eastAsia="zh-CN" w:bidi="ar-SA"/>
    </w:rPr>
  </w:style>
  <w:style w:type="paragraph" w:styleId="691">
    <w:name w:val="Heading 1"/>
    <w:basedOn w:val="690"/>
    <w:next w:val="690"/>
    <w:link w:val="997"/>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33"/>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702"/>
    <w:link w:val="734"/>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5"/>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6"/>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7"/>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9"/>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40"/>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Normal Indent"/>
    <w:basedOn w:val="690"/>
    <w:uiPriority w:val="0"/>
    <w:unhideWhenUsed/>
    <w:qFormat/>
    <w:pPr>
      <w:ind w:firstLine="420"/>
    </w:pPr>
    <w:rPr>
      <w:rFonts w:ascii="Times New Roman" w:hAnsi="Times New Roman" w:eastAsia="宋体"/>
      <w:sz w:val="20"/>
      <w:szCs w:val="21"/>
    </w:rPr>
  </w:style>
  <w:style w:type="paragraph" w:styleId="703">
    <w:name w:val="toc 7"/>
    <w:basedOn w:val="690"/>
    <w:next w:val="690"/>
    <w:uiPriority w:val="0"/>
    <w:semiHidden/>
    <w:qFormat/>
    <w:pPr>
      <w:ind w:left="1260"/>
      <w:jc w:val="left"/>
    </w:pPr>
    <w:rPr>
      <w:rFonts w:ascii="Times New Roman" w:hAnsi="Times New Roman"/>
      <w:szCs w:val="21"/>
    </w:rPr>
  </w:style>
  <w:style w:type="paragraph" w:styleId="704">
    <w:name w:val="table of authorities"/>
    <w:basedOn w:val="690"/>
    <w:next w:val="690"/>
    <w:uiPriority w:val="99"/>
    <w:qFormat/>
    <w:pPr>
      <w:ind w:left="420"/>
    </w:pPr>
  </w:style>
  <w:style w:type="paragraph" w:styleId="705">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Document Map"/>
    <w:basedOn w:val="690"/>
    <w:uiPriority w:val="0"/>
    <w:qFormat/>
    <w:pPr>
      <w:spacing w:line="360" w:lineRule="auto"/>
    </w:pPr>
    <w:rPr>
      <w:rFonts w:ascii="微软雅黑" w:hAnsi="微软雅黑"/>
      <w:sz w:val="18"/>
      <w:szCs w:val="18"/>
    </w:rPr>
  </w:style>
  <w:style w:type="paragraph" w:styleId="707">
    <w:name w:val="Body Text"/>
    <w:basedOn w:val="690"/>
    <w:next w:val="690"/>
    <w:uiPriority w:val="0"/>
    <w:unhideWhenUsed/>
    <w:qFormat/>
    <w:rPr>
      <w:rFonts w:ascii="楷体_GB2312" w:hAnsi="Arial" w:eastAsia="楷体_GB2312" w:cs="Times New Roman"/>
      <w:sz w:val="28"/>
      <w:szCs w:val="28"/>
    </w:rPr>
  </w:style>
  <w:style w:type="paragraph" w:styleId="708">
    <w:name w:val="toc 5"/>
    <w:basedOn w:val="690"/>
    <w:next w:val="690"/>
    <w:uiPriority w:val="0"/>
    <w:semiHidden/>
    <w:qFormat/>
    <w:pPr>
      <w:ind w:left="840"/>
      <w:jc w:val="left"/>
    </w:pPr>
    <w:rPr>
      <w:rFonts w:ascii="Times New Roman" w:hAnsi="Times New Roman"/>
      <w:szCs w:val="21"/>
    </w:rPr>
  </w:style>
  <w:style w:type="paragraph" w:styleId="709">
    <w:name w:val="toc 3"/>
    <w:basedOn w:val="690"/>
    <w:next w:val="690"/>
    <w:uiPriority w:val="0"/>
    <w:semiHidden/>
    <w:qFormat/>
    <w:pPr>
      <w:ind w:left="420"/>
      <w:jc w:val="left"/>
    </w:pPr>
    <w:rPr>
      <w:rFonts w:ascii="Times New Roman" w:hAnsi="Times New Roman"/>
      <w:i/>
      <w:iCs/>
      <w:szCs w:val="24"/>
    </w:rPr>
  </w:style>
  <w:style w:type="paragraph" w:styleId="710">
    <w:name w:val="Plain Text"/>
    <w:basedOn w:val="690"/>
    <w:uiPriority w:val="0"/>
    <w:qFormat/>
    <w:rPr>
      <w:rFonts w:ascii="宋体" w:hAnsi="Courier New"/>
      <w:szCs w:val="22"/>
    </w:rPr>
  </w:style>
  <w:style w:type="paragraph" w:styleId="711">
    <w:name w:val="toc 8"/>
    <w:basedOn w:val="690"/>
    <w:next w:val="690"/>
    <w:uiPriority w:val="0"/>
    <w:semiHidden/>
    <w:qFormat/>
    <w:pPr>
      <w:ind w:left="1470"/>
      <w:jc w:val="left"/>
    </w:pPr>
    <w:rPr>
      <w:rFonts w:ascii="Times New Roman" w:hAnsi="Times New Roman"/>
      <w:szCs w:val="21"/>
    </w:rPr>
  </w:style>
  <w:style w:type="paragraph" w:styleId="712">
    <w:name w:val="endnote text"/>
    <w:basedOn w:val="690"/>
    <w:link w:val="878"/>
    <w:uiPriority w:val="99"/>
    <w:semiHidden/>
    <w:unhideWhenUsed/>
    <w:qFormat/>
    <w:pPr>
      <w:spacing w:after="0" w:line="240" w:lineRule="auto"/>
    </w:pPr>
    <w:rPr>
      <w:sz w:val="20"/>
    </w:rPr>
  </w:style>
  <w:style w:type="paragraph" w:styleId="713">
    <w:name w:val="Footer"/>
    <w:basedOn w:val="690"/>
    <w:link w:val="751"/>
    <w:uiPriority w:val="99"/>
    <w:unhideWhenUsed/>
    <w:qFormat/>
    <w:pPr>
      <w:spacing w:after="0" w:line="240" w:lineRule="auto"/>
      <w:tabs>
        <w:tab w:val="center" w:pos="7143" w:leader="none"/>
        <w:tab w:val="right" w:pos="14287" w:leader="none"/>
      </w:tabs>
    </w:pPr>
  </w:style>
  <w:style w:type="paragraph" w:styleId="714">
    <w:name w:val="Header"/>
    <w:basedOn w:val="690"/>
    <w:link w:val="749"/>
    <w:uiPriority w:val="99"/>
    <w:unhideWhenUsed/>
    <w:qFormat/>
    <w:pPr>
      <w:spacing w:after="0" w:line="240" w:lineRule="auto"/>
      <w:tabs>
        <w:tab w:val="center" w:pos="7143" w:leader="none"/>
        <w:tab w:val="right" w:pos="14287" w:leader="none"/>
      </w:tabs>
    </w:pPr>
  </w:style>
  <w:style w:type="paragraph" w:styleId="715">
    <w:name w:val="toc 1"/>
    <w:basedOn w:val="690"/>
    <w:next w:val="690"/>
    <w:uiPriority w:val="0"/>
    <w:semiHidden/>
    <w:qFormat/>
    <w:pPr>
      <w:jc w:val="left"/>
      <w:spacing w:before="120" w:after="120" w:line="400" w:lineRule="exact"/>
      <w:tabs>
        <w:tab w:val="right" w:pos="8720" w:leader="dot"/>
      </w:tabs>
    </w:pPr>
    <w:rPr>
      <w:rFonts w:ascii="宋体" w:hAnsi="宋体"/>
      <w:caps/>
      <w:sz w:val="24"/>
      <w:szCs w:val="24"/>
    </w:rPr>
  </w:style>
  <w:style w:type="paragraph" w:styleId="716">
    <w:name w:val="toc 4"/>
    <w:basedOn w:val="690"/>
    <w:next w:val="690"/>
    <w:uiPriority w:val="0"/>
    <w:semiHidden/>
    <w:qFormat/>
    <w:pPr>
      <w:ind w:left="630"/>
      <w:jc w:val="left"/>
    </w:pPr>
    <w:rPr>
      <w:rFonts w:ascii="Times New Roman" w:hAnsi="Times New Roman"/>
      <w:szCs w:val="21"/>
    </w:rPr>
  </w:style>
  <w:style w:type="paragraph" w:styleId="717">
    <w:name w:val="Subtitle"/>
    <w:basedOn w:val="690"/>
    <w:next w:val="690"/>
    <w:link w:val="744"/>
    <w:uiPriority w:val="11"/>
    <w:qFormat/>
    <w:pPr>
      <w:spacing w:before="200" w:after="200"/>
    </w:pPr>
    <w:rPr>
      <w:sz w:val="24"/>
      <w:szCs w:val="24"/>
    </w:rPr>
  </w:style>
  <w:style w:type="paragraph" w:styleId="718">
    <w:name w:val="footnote text"/>
    <w:basedOn w:val="690"/>
    <w:link w:val="877"/>
    <w:uiPriority w:val="99"/>
    <w:semiHidden/>
    <w:unhideWhenUsed/>
    <w:qFormat/>
    <w:pPr>
      <w:spacing w:after="40" w:line="240" w:lineRule="auto"/>
    </w:pPr>
    <w:rPr>
      <w:sz w:val="18"/>
    </w:rPr>
  </w:style>
  <w:style w:type="paragraph" w:styleId="719">
    <w:name w:val="toc 6"/>
    <w:basedOn w:val="690"/>
    <w:next w:val="690"/>
    <w:uiPriority w:val="0"/>
    <w:semiHidden/>
    <w:qFormat/>
    <w:pPr>
      <w:ind w:left="1050"/>
      <w:jc w:val="left"/>
    </w:pPr>
    <w:rPr>
      <w:rFonts w:ascii="Times New Roman" w:hAnsi="Times New Roman"/>
      <w:szCs w:val="21"/>
    </w:rPr>
  </w:style>
  <w:style w:type="paragraph" w:styleId="720">
    <w:name w:val="table of figures"/>
    <w:basedOn w:val="690"/>
    <w:next w:val="690"/>
    <w:uiPriority w:val="99"/>
    <w:unhideWhenUsed/>
    <w:qFormat/>
    <w:pPr>
      <w:spacing w:after="0" w:afterAutospacing="0"/>
    </w:pPr>
  </w:style>
  <w:style w:type="paragraph" w:styleId="721">
    <w:name w:val="toc 2"/>
    <w:basedOn w:val="690"/>
    <w:next w:val="690"/>
    <w:uiPriority w:val="0"/>
    <w:semiHidden/>
    <w:qFormat/>
    <w:pPr>
      <w:ind w:left="210"/>
      <w:jc w:val="left"/>
    </w:pPr>
    <w:rPr>
      <w:rFonts w:ascii="Times New Roman" w:hAnsi="Times New Roman"/>
      <w:smallCaps/>
      <w:szCs w:val="24"/>
    </w:rPr>
  </w:style>
  <w:style w:type="paragraph" w:styleId="722">
    <w:name w:val="toc 9"/>
    <w:basedOn w:val="690"/>
    <w:next w:val="690"/>
    <w:uiPriority w:val="0"/>
    <w:semiHidden/>
    <w:qFormat/>
    <w:pPr>
      <w:ind w:left="1680"/>
      <w:jc w:val="left"/>
    </w:pPr>
    <w:rPr>
      <w:rFonts w:ascii="Times New Roman" w:hAnsi="Times New Roman"/>
      <w:szCs w:val="21"/>
    </w:rPr>
  </w:style>
  <w:style w:type="paragraph" w:styleId="723">
    <w:name w:val="Normal (Web)"/>
    <w:basedOn w:val="690"/>
    <w:uiPriority w:val="99"/>
    <w:qFormat/>
    <w:pPr>
      <w:ind w:firstLine="420"/>
    </w:pPr>
    <w:rPr>
      <w:rFonts w:ascii="Calibri" w:hAnsi="Calibri"/>
      <w:szCs w:val="22"/>
    </w:rPr>
  </w:style>
  <w:style w:type="paragraph" w:styleId="724">
    <w:name w:val="Title"/>
    <w:basedOn w:val="690"/>
    <w:next w:val="690"/>
    <w:link w:val="743"/>
    <w:uiPriority w:val="10"/>
    <w:qFormat/>
    <w:pPr>
      <w:contextualSpacing/>
      <w:spacing w:before="300" w:after="200"/>
    </w:pPr>
    <w:rPr>
      <w:sz w:val="48"/>
      <w:szCs w:val="48"/>
    </w:rPr>
  </w:style>
  <w:style w:type="paragraph" w:styleId="725">
    <w:name w:val="Body Text First Indent"/>
    <w:basedOn w:val="707"/>
    <w:next w:val="690"/>
    <w:uiPriority w:val="0"/>
    <w:qFormat/>
    <w:pPr>
      <w:ind w:firstLine="200"/>
      <w:jc w:val="left"/>
      <w:spacing w:line="360" w:lineRule="auto"/>
    </w:pPr>
    <w:rPr>
      <w:bCs/>
      <w:sz w:val="24"/>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page number"/>
    <w:basedOn w:val="700"/>
    <w:uiPriority w:val="99"/>
    <w:qFormat/>
    <w:rPr>
      <w:rFonts w:cs="Times New Roman"/>
    </w:rPr>
  </w:style>
  <w:style w:type="character" w:styleId="729">
    <w:name w:val="Hyperlink"/>
    <w:basedOn w:val="700"/>
    <w:uiPriority w:val="99"/>
    <w:unhideWhenUsed/>
    <w:qFormat/>
    <w:rPr>
      <w:color w:val="0000ff" w:themeColor="hyperlink"/>
      <w:u w:val="single"/>
      <w14:textFill>
        <w14:solidFill>
          <w14:schemeClr w14:val="hlink"/>
        </w14:solidFill>
      </w14:textFill>
    </w:rPr>
  </w:style>
  <w:style w:type="character" w:styleId="730">
    <w:name w:val="footnote reference"/>
    <w:uiPriority w:val="99"/>
    <w:unhideWhenUsed/>
    <w:qFormat/>
    <w:rPr>
      <w:vertAlign w:val="superscript"/>
    </w:rPr>
  </w:style>
  <w:style w:type="paragraph" w:styleId="73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732" w:customStyle="1">
    <w:name w:val="Heading 1 Char"/>
    <w:link w:val="691"/>
    <w:uiPriority w:val="9"/>
    <w:qFormat/>
    <w:rPr>
      <w:rFonts w:ascii="Arial" w:hAnsi="Arial" w:eastAsia="Arial" w:cs="Arial"/>
      <w:sz w:val="40"/>
      <w:szCs w:val="40"/>
    </w:rPr>
  </w:style>
  <w:style w:type="character" w:styleId="733" w:customStyle="1">
    <w:name w:val="Heading 2 Char"/>
    <w:link w:val="692"/>
    <w:uiPriority w:val="9"/>
    <w:qFormat/>
    <w:rPr>
      <w:rFonts w:ascii="Arial" w:hAnsi="Arial" w:eastAsia="Arial" w:cs="Arial"/>
      <w:sz w:val="34"/>
    </w:rPr>
  </w:style>
  <w:style w:type="character" w:styleId="734" w:customStyle="1">
    <w:name w:val="Heading 3 Char"/>
    <w:link w:val="693"/>
    <w:uiPriority w:val="9"/>
    <w:qFormat/>
    <w:rPr>
      <w:rFonts w:ascii="Arial" w:hAnsi="Arial" w:eastAsia="Arial" w:cs="Arial"/>
      <w:sz w:val="30"/>
      <w:szCs w:val="30"/>
    </w:rPr>
  </w:style>
  <w:style w:type="character" w:styleId="735" w:customStyle="1">
    <w:name w:val="Heading 4 Char"/>
    <w:link w:val="694"/>
    <w:uiPriority w:val="9"/>
    <w:qFormat/>
    <w:rPr>
      <w:rFonts w:ascii="Arial" w:hAnsi="Arial" w:eastAsia="Arial" w:cs="Arial"/>
      <w:b/>
      <w:bCs/>
      <w:sz w:val="26"/>
      <w:szCs w:val="26"/>
    </w:rPr>
  </w:style>
  <w:style w:type="character" w:styleId="736" w:customStyle="1">
    <w:name w:val="Heading 5 Char"/>
    <w:link w:val="695"/>
    <w:uiPriority w:val="9"/>
    <w:qFormat/>
    <w:rPr>
      <w:rFonts w:ascii="Arial" w:hAnsi="Arial" w:eastAsia="Arial" w:cs="Arial"/>
      <w:b/>
      <w:bCs/>
      <w:sz w:val="24"/>
      <w:szCs w:val="24"/>
    </w:rPr>
  </w:style>
  <w:style w:type="character" w:styleId="737" w:customStyle="1">
    <w:name w:val="Heading 6 Char"/>
    <w:link w:val="696"/>
    <w:uiPriority w:val="9"/>
    <w:qFormat/>
    <w:rPr>
      <w:rFonts w:ascii="Arial" w:hAnsi="Arial" w:eastAsia="Arial" w:cs="Arial"/>
      <w:b/>
      <w:bCs/>
      <w:sz w:val="22"/>
      <w:szCs w:val="22"/>
    </w:rPr>
  </w:style>
  <w:style w:type="character" w:styleId="738" w:customStyle="1">
    <w:name w:val="Heading 7 Char"/>
    <w:link w:val="697"/>
    <w:uiPriority w:val="9"/>
    <w:qFormat/>
    <w:rPr>
      <w:rFonts w:ascii="Arial" w:hAnsi="Arial" w:eastAsia="Arial" w:cs="Arial"/>
      <w:b/>
      <w:bCs/>
      <w:i/>
      <w:iCs/>
      <w:sz w:val="22"/>
      <w:szCs w:val="22"/>
    </w:rPr>
  </w:style>
  <w:style w:type="character" w:styleId="739" w:customStyle="1">
    <w:name w:val="Heading 8 Char"/>
    <w:link w:val="698"/>
    <w:uiPriority w:val="9"/>
    <w:qFormat/>
    <w:rPr>
      <w:rFonts w:ascii="Arial" w:hAnsi="Arial" w:eastAsia="Arial" w:cs="Arial"/>
      <w:i/>
      <w:iCs/>
      <w:sz w:val="22"/>
      <w:szCs w:val="22"/>
    </w:rPr>
  </w:style>
  <w:style w:type="character" w:styleId="740" w:customStyle="1">
    <w:name w:val="Heading 9 Char"/>
    <w:link w:val="699"/>
    <w:uiPriority w:val="9"/>
    <w:qFormat/>
    <w:rPr>
      <w:rFonts w:ascii="Arial" w:hAnsi="Arial" w:eastAsia="Arial" w:cs="Arial"/>
      <w:i/>
      <w:iCs/>
      <w:sz w:val="21"/>
      <w:szCs w:val="21"/>
    </w:rPr>
  </w:style>
  <w:style w:type="paragraph" w:styleId="741">
    <w:name w:val="List Paragraph"/>
    <w:basedOn w:val="690"/>
    <w:uiPriority w:val="34"/>
    <w:qFormat/>
    <w:pPr>
      <w:contextualSpacing/>
      <w:ind w:left="720"/>
    </w:pPr>
  </w:style>
  <w:style w:type="paragraph" w:styleId="742">
    <w:name w:val="No Spacing"/>
    <w:uiPriority w:val="1"/>
    <w:qFormat/>
    <w:pPr>
      <w:spacing w:before="0" w:after="0" w:line="240" w:lineRule="auto"/>
    </w:pPr>
    <w:rPr>
      <w:rFonts w:hint="default" w:ascii="Calibri" w:hAnsi="Calibri" w:eastAsia="宋体" w:cs="Times New Roman"/>
    </w:rPr>
  </w:style>
  <w:style w:type="character" w:styleId="743" w:customStyle="1">
    <w:name w:val="Title Char"/>
    <w:link w:val="724"/>
    <w:uiPriority w:val="10"/>
    <w:qFormat/>
    <w:rPr>
      <w:sz w:val="48"/>
      <w:szCs w:val="48"/>
    </w:rPr>
  </w:style>
  <w:style w:type="character" w:styleId="744" w:customStyle="1">
    <w:name w:val="Subtitle Char"/>
    <w:link w:val="717"/>
    <w:uiPriority w:val="11"/>
    <w:qFormat/>
    <w:rPr>
      <w:sz w:val="24"/>
      <w:szCs w:val="24"/>
    </w:rPr>
  </w:style>
  <w:style w:type="paragraph" w:styleId="745">
    <w:name w:val="Quote"/>
    <w:basedOn w:val="690"/>
    <w:next w:val="690"/>
    <w:link w:val="746"/>
    <w:uiPriority w:val="29"/>
    <w:qFormat/>
    <w:pPr>
      <w:ind w:left="720" w:right="720"/>
    </w:pPr>
    <w:rPr>
      <w:i/>
    </w:rPr>
  </w:style>
  <w:style w:type="character" w:styleId="746" w:customStyle="1">
    <w:name w:val="Quote Char"/>
    <w:link w:val="745"/>
    <w:uiPriority w:val="29"/>
    <w:qFormat/>
    <w:rPr>
      <w:i/>
    </w:rPr>
  </w:style>
  <w:style w:type="paragraph" w:styleId="747">
    <w:name w:val="Intense Quote"/>
    <w:basedOn w:val="690"/>
    <w:next w:val="690"/>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Intense Quote Char"/>
    <w:link w:val="747"/>
    <w:uiPriority w:val="30"/>
    <w:qFormat/>
    <w:rPr>
      <w:i/>
    </w:rPr>
  </w:style>
  <w:style w:type="character" w:styleId="749" w:customStyle="1">
    <w:name w:val="Header Char"/>
    <w:link w:val="714"/>
    <w:uiPriority w:val="99"/>
    <w:qFormat/>
  </w:style>
  <w:style w:type="character" w:styleId="750" w:customStyle="1">
    <w:name w:val="Footer Char"/>
    <w:link w:val="713"/>
    <w:uiPriority w:val="99"/>
    <w:qFormat/>
  </w:style>
  <w:style w:type="character" w:styleId="751" w:customStyle="1">
    <w:name w:val="Caption Char"/>
    <w:link w:val="713"/>
    <w:uiPriority w:val="99"/>
    <w:qFormat/>
  </w:style>
  <w:style w:type="table" w:styleId="7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Footnote Text Char"/>
    <w:link w:val="718"/>
    <w:uiPriority w:val="99"/>
    <w:qFormat/>
    <w:rPr>
      <w:sz w:val="18"/>
    </w:rPr>
  </w:style>
  <w:style w:type="character" w:styleId="878" w:customStyle="1">
    <w:name w:val="Endnote Text Char"/>
    <w:link w:val="712"/>
    <w:uiPriority w:val="99"/>
    <w:qFormat/>
    <w:rPr>
      <w:sz w:val="20"/>
    </w:rPr>
  </w:style>
  <w:style w:type="paragraph" w:styleId="879" w:customStyle="1">
    <w:name w:val="TOC Heading"/>
    <w:uiPriority w:val="39"/>
    <w:unhideWhenUsed/>
    <w:qFormat/>
    <w:rPr>
      <w:rFonts w:hint="default" w:ascii="Calibri" w:hAnsi="Calibri" w:eastAsia="宋体" w:cs="Times New Roman"/>
    </w:rPr>
  </w:style>
  <w:style w:type="paragraph" w:styleId="880" w:customStyle="1">
    <w:name w:val="标题 11"/>
    <w:basedOn w:val="690"/>
    <w:next w:val="690"/>
    <w:link w:val="896"/>
    <w:uiPriority w:val="0"/>
    <w:qFormat/>
    <w:pPr>
      <w:jc w:val="center"/>
      <w:keepNext/>
      <w:outlineLvl w:val="0"/>
    </w:pPr>
    <w:rPr>
      <w:rFonts w:ascii="楷体_GB2312" w:hAnsi="Times New Roman" w:eastAsia="楷体_GB2312"/>
      <w:sz w:val="28"/>
      <w:szCs w:val="28"/>
    </w:rPr>
  </w:style>
  <w:style w:type="paragraph" w:styleId="881" w:customStyle="1">
    <w:name w:val="标题 21"/>
    <w:basedOn w:val="690"/>
    <w:next w:val="882"/>
    <w:link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2" w:customStyle="1">
    <w:name w:val="正文缩进1"/>
    <w:basedOn w:val="690"/>
    <w:link w:val="898"/>
    <w:uiPriority w:val="0"/>
    <w:qFormat/>
    <w:pPr>
      <w:ind w:firstLine="420"/>
    </w:pPr>
    <w:rPr>
      <w:szCs w:val="21"/>
    </w:rPr>
  </w:style>
  <w:style w:type="paragraph" w:styleId="883" w:customStyle="1">
    <w:name w:val="标题 31"/>
    <w:basedOn w:val="690"/>
    <w:next w:val="882"/>
    <w:link w:val="899"/>
    <w:uiPriority w:val="0"/>
    <w:qFormat/>
    <w:pPr>
      <w:keepLines/>
      <w:keepNext/>
      <w:spacing w:before="260" w:after="260" w:line="416" w:lineRule="auto"/>
      <w:outlineLvl w:val="2"/>
    </w:pPr>
    <w:rPr>
      <w:rFonts w:ascii="Times New Roman" w:hAnsi="Times New Roman"/>
      <w:b/>
      <w:bCs/>
      <w:sz w:val="32"/>
      <w:szCs w:val="32"/>
    </w:rPr>
  </w:style>
  <w:style w:type="paragraph" w:styleId="884" w:customStyle="1">
    <w:name w:val="标题 41"/>
    <w:basedOn w:val="690"/>
    <w:next w:val="882"/>
    <w:link w:val="900"/>
    <w:uiPriority w:val="0"/>
    <w:qFormat/>
    <w:pPr>
      <w:keepLines/>
      <w:keepNext/>
      <w:spacing w:before="280" w:after="290" w:line="376" w:lineRule="auto"/>
      <w:outlineLvl w:val="3"/>
    </w:pPr>
    <w:rPr>
      <w:rFonts w:ascii="Arial" w:hAnsi="Arial" w:eastAsia="黑体" w:cs="Arial"/>
      <w:b/>
      <w:bCs/>
      <w:sz w:val="28"/>
      <w:szCs w:val="28"/>
    </w:rPr>
  </w:style>
  <w:style w:type="paragraph" w:styleId="885" w:customStyle="1">
    <w:name w:val="标题 51"/>
    <w:basedOn w:val="690"/>
    <w:next w:val="882"/>
    <w:link w:val="901"/>
    <w:uiPriority w:val="0"/>
    <w:qFormat/>
    <w:pPr>
      <w:keepNext/>
      <w:outlineLvl w:val="4"/>
    </w:pPr>
    <w:rPr>
      <w:rFonts w:ascii="宋体" w:hAnsi="Times New Roman"/>
      <w:color w:val="000000"/>
      <w:sz w:val="28"/>
      <w:szCs w:val="28"/>
    </w:rPr>
  </w:style>
  <w:style w:type="paragraph" w:styleId="886" w:customStyle="1">
    <w:name w:val="标题 61"/>
    <w:basedOn w:val="690"/>
    <w:next w:val="690"/>
    <w:link w:val="90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7" w:customStyle="1">
    <w:name w:val="标题 71"/>
    <w:basedOn w:val="690"/>
    <w:next w:val="690"/>
    <w:link w:val="903"/>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88" w:customStyle="1">
    <w:name w:val="标题 81"/>
    <w:basedOn w:val="690"/>
    <w:next w:val="690"/>
    <w:link w:val="90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9" w:customStyle="1">
    <w:name w:val="标题 91"/>
    <w:basedOn w:val="690"/>
    <w:next w:val="690"/>
    <w:link w:val="905"/>
    <w:uiPriority w:val="0"/>
    <w:qFormat/>
    <w:pPr>
      <w:numPr>
        <w:ilvl w:val="8"/>
        <w:numId w:val="1"/>
      </w:numPr>
      <w:keepLines/>
      <w:keepNext/>
      <w:spacing w:before="240" w:after="64" w:line="320" w:lineRule="auto"/>
      <w:outlineLvl w:val="8"/>
    </w:pPr>
    <w:rPr>
      <w:rFonts w:ascii="Arial" w:hAnsi="Arial" w:eastAsia="黑体"/>
      <w:szCs w:val="21"/>
    </w:rPr>
  </w:style>
  <w:style w:type="character" w:styleId="890" w:customStyle="1">
    <w:name w:val="默认段落字体1"/>
    <w:link w:val="690"/>
    <w:uiPriority w:val="1"/>
    <w:unhideWhenUsed/>
    <w:qFormat/>
  </w:style>
  <w:style w:type="table" w:styleId="891" w:customStyle="1">
    <w:name w:val="普通表格1"/>
    <w:uiPriority w:val="99"/>
    <w:unhideWhenUsed/>
    <w:qFormat/>
    <w:tblPr/>
  </w:style>
  <w:style w:type="paragraph" w:styleId="892" w:customStyle="1">
    <w:name w:val="正文文本首行缩进"/>
    <w:basedOn w:val="893"/>
    <w:link w:val="895"/>
    <w:uiPriority w:val="0"/>
    <w:qFormat/>
    <w:pPr>
      <w:ind w:firstLine="200"/>
      <w:spacing w:line="360" w:lineRule="auto"/>
    </w:pPr>
    <w:rPr>
      <w:rFonts w:ascii="仿宋_GB2312" w:hAnsi="Times New Roman" w:eastAsia="仿宋_GB2312"/>
      <w:sz w:val="30"/>
      <w:szCs w:val="30"/>
    </w:rPr>
  </w:style>
  <w:style w:type="paragraph" w:styleId="893" w:customStyle="1">
    <w:name w:val="正文文本1"/>
    <w:basedOn w:val="690"/>
    <w:link w:val="894"/>
    <w:uiPriority w:val="0"/>
    <w:qFormat/>
    <w:rPr>
      <w:rFonts w:ascii="楷体_GB2312" w:hAnsi="Arial" w:eastAsia="楷体_GB2312"/>
      <w:sz w:val="28"/>
      <w:szCs w:val="28"/>
    </w:rPr>
  </w:style>
  <w:style w:type="character" w:styleId="894" w:customStyle="1">
    <w:name w:val="正文文本 字符"/>
    <w:link w:val="893"/>
    <w:uiPriority w:val="0"/>
    <w:qFormat/>
    <w:rPr>
      <w:rFonts w:ascii="楷体_GB2312" w:hAnsi="Arial" w:eastAsia="楷体_GB2312" w:cs="Times New Roman"/>
      <w:sz w:val="28"/>
      <w:szCs w:val="28"/>
    </w:rPr>
  </w:style>
  <w:style w:type="character" w:styleId="895" w:customStyle="1">
    <w:name w:val="正文文本首行缩进 字符"/>
    <w:link w:val="892"/>
    <w:uiPriority w:val="0"/>
    <w:qFormat/>
    <w:rPr>
      <w:rFonts w:ascii="仿宋_GB2312" w:hAnsi="Times New Roman" w:eastAsia="仿宋_GB2312" w:cs="Times New Roman"/>
      <w:sz w:val="30"/>
      <w:szCs w:val="30"/>
    </w:rPr>
  </w:style>
  <w:style w:type="character" w:styleId="896" w:customStyle="1">
    <w:name w:val="标题 1 字符"/>
    <w:link w:val="880"/>
    <w:uiPriority w:val="0"/>
    <w:qFormat/>
    <w:rPr>
      <w:rFonts w:ascii="楷体_GB2312" w:hAnsi="Times New Roman" w:eastAsia="楷体_GB2312" w:cs="Times New Roman"/>
      <w:sz w:val="28"/>
      <w:szCs w:val="28"/>
    </w:rPr>
  </w:style>
  <w:style w:type="character" w:styleId="897" w:customStyle="1">
    <w:name w:val="标题 2 字符"/>
    <w:link w:val="881"/>
    <w:uiPriority w:val="0"/>
    <w:qFormat/>
    <w:rPr>
      <w:rFonts w:ascii="Arial" w:hAnsi="Arial" w:eastAsia="幼圆" w:cs="Arial"/>
      <w:b/>
      <w:bCs/>
      <w:sz w:val="44"/>
      <w:szCs w:val="44"/>
    </w:rPr>
  </w:style>
  <w:style w:type="character" w:styleId="898" w:customStyle="1">
    <w:name w:val="正文缩进 字符"/>
    <w:link w:val="882"/>
    <w:uiPriority w:val="0"/>
    <w:qFormat/>
    <w:rPr>
      <w:rFonts w:ascii="Calibri" w:hAnsi="Calibri" w:eastAsia="宋体" w:cs="Times New Roman"/>
      <w:szCs w:val="21"/>
    </w:rPr>
  </w:style>
  <w:style w:type="character" w:styleId="899" w:customStyle="1">
    <w:name w:val="标题 3 字符"/>
    <w:link w:val="883"/>
    <w:uiPriority w:val="0"/>
    <w:qFormat/>
    <w:rPr>
      <w:rFonts w:ascii="Times New Roman" w:hAnsi="Times New Roman" w:eastAsia="宋体" w:cs="Times New Roman"/>
      <w:b/>
      <w:bCs/>
      <w:sz w:val="32"/>
      <w:szCs w:val="32"/>
    </w:rPr>
  </w:style>
  <w:style w:type="character" w:styleId="900" w:customStyle="1">
    <w:name w:val="标题 4 字符"/>
    <w:link w:val="884"/>
    <w:uiPriority w:val="0"/>
    <w:qFormat/>
    <w:rPr>
      <w:rFonts w:ascii="Arial" w:hAnsi="Arial" w:eastAsia="黑体" w:cs="Arial"/>
      <w:b/>
      <w:bCs/>
      <w:sz w:val="28"/>
      <w:szCs w:val="28"/>
    </w:rPr>
  </w:style>
  <w:style w:type="character" w:styleId="901" w:customStyle="1">
    <w:name w:val="标题 5 字符"/>
    <w:link w:val="885"/>
    <w:uiPriority w:val="0"/>
    <w:qFormat/>
    <w:rPr>
      <w:rFonts w:ascii="宋体" w:hAnsi="Times New Roman" w:eastAsia="宋体" w:cs="Times New Roman"/>
      <w:color w:val="000000"/>
      <w:sz w:val="28"/>
      <w:szCs w:val="28"/>
    </w:rPr>
  </w:style>
  <w:style w:type="character" w:styleId="902" w:customStyle="1">
    <w:name w:val="标题 6 字符"/>
    <w:link w:val="886"/>
    <w:uiPriority w:val="0"/>
    <w:qFormat/>
    <w:rPr>
      <w:rFonts w:ascii="Arial" w:hAnsi="Arial" w:eastAsia="黑体" w:cs="Times New Roman"/>
      <w:b/>
      <w:bCs/>
      <w:sz w:val="24"/>
      <w:szCs w:val="24"/>
    </w:rPr>
  </w:style>
  <w:style w:type="character" w:styleId="903" w:customStyle="1">
    <w:name w:val="标题 7 字符"/>
    <w:link w:val="887"/>
    <w:uiPriority w:val="0"/>
    <w:qFormat/>
    <w:rPr>
      <w:rFonts w:ascii="Times New Roman" w:hAnsi="Times New Roman" w:eastAsia="宋体" w:cs="Times New Roman"/>
      <w:b/>
      <w:bCs/>
      <w:sz w:val="24"/>
      <w:szCs w:val="24"/>
    </w:rPr>
  </w:style>
  <w:style w:type="character" w:styleId="904" w:customStyle="1">
    <w:name w:val="标题 8 字符"/>
    <w:link w:val="888"/>
    <w:uiPriority w:val="0"/>
    <w:qFormat/>
    <w:rPr>
      <w:rFonts w:ascii="Arial" w:hAnsi="Arial" w:eastAsia="黑体" w:cs="Times New Roman"/>
      <w:sz w:val="24"/>
      <w:szCs w:val="24"/>
    </w:rPr>
  </w:style>
  <w:style w:type="character" w:styleId="905" w:customStyle="1">
    <w:name w:val="标题 9 字符"/>
    <w:link w:val="889"/>
    <w:uiPriority w:val="0"/>
    <w:qFormat/>
    <w:rPr>
      <w:rFonts w:ascii="Arial" w:hAnsi="Arial" w:eastAsia="黑体" w:cs="Times New Roman"/>
      <w:szCs w:val="21"/>
    </w:rPr>
  </w:style>
  <w:style w:type="paragraph" w:styleId="906" w:customStyle="1">
    <w:name w:val="列表 31"/>
    <w:basedOn w:val="690"/>
    <w:uiPriority w:val="0"/>
    <w:qFormat/>
    <w:pPr>
      <w:ind w:left="100" w:hanging="200"/>
    </w:pPr>
    <w:rPr>
      <w:rFonts w:ascii="Times New Roman" w:hAnsi="Times New Roman"/>
      <w:szCs w:val="21"/>
    </w:rPr>
  </w:style>
  <w:style w:type="paragraph" w:styleId="907" w:customStyle="1">
    <w:name w:val="文档结构图1"/>
    <w:basedOn w:val="690"/>
    <w:link w:val="908"/>
    <w:uiPriority w:val="0"/>
    <w:semiHidden/>
    <w:qFormat/>
    <w:pPr>
      <w:shd w:val="clear" w:color="auto" w:fill="000080"/>
    </w:pPr>
    <w:rPr>
      <w:rFonts w:ascii="Times New Roman" w:hAnsi="Times New Roman"/>
      <w:szCs w:val="21"/>
    </w:rPr>
  </w:style>
  <w:style w:type="character" w:styleId="908" w:customStyle="1">
    <w:name w:val="文档结构图 字符"/>
    <w:link w:val="907"/>
    <w:uiPriority w:val="0"/>
    <w:semiHidden/>
    <w:qFormat/>
    <w:rPr>
      <w:rFonts w:ascii="Times New Roman" w:hAnsi="Times New Roman" w:eastAsia="宋体" w:cs="Times New Roman"/>
      <w:szCs w:val="21"/>
      <w:shd w:val="clear" w:color="auto" w:fill="000080"/>
    </w:rPr>
  </w:style>
  <w:style w:type="paragraph" w:styleId="909" w:customStyle="1">
    <w:name w:val="批注文字1"/>
    <w:basedOn w:val="690"/>
    <w:link w:val="910"/>
    <w:uiPriority w:val="0"/>
    <w:unhideWhenUsed/>
    <w:qFormat/>
    <w:pPr>
      <w:jc w:val="left"/>
    </w:pPr>
  </w:style>
  <w:style w:type="character" w:styleId="910" w:customStyle="1">
    <w:name w:val="批注文字 字符"/>
    <w:link w:val="909"/>
    <w:uiPriority w:val="0"/>
    <w:qFormat/>
    <w:rPr>
      <w:rFonts w:ascii="Calibri" w:hAnsi="Calibri" w:eastAsia="宋体" w:cs="Times New Roman"/>
    </w:rPr>
  </w:style>
  <w:style w:type="paragraph" w:styleId="911" w:customStyle="1">
    <w:name w:val="正文文本 31"/>
    <w:basedOn w:val="690"/>
    <w:link w:val="912"/>
    <w:uiPriority w:val="0"/>
    <w:qFormat/>
    <w:rPr>
      <w:rFonts w:ascii="仿宋_GB2312" w:hAnsi="Arial" w:eastAsia="仿宋_GB2312"/>
      <w:sz w:val="32"/>
      <w:szCs w:val="32"/>
    </w:rPr>
  </w:style>
  <w:style w:type="character" w:styleId="912" w:customStyle="1">
    <w:name w:val="正文文本 3 字符"/>
    <w:link w:val="911"/>
    <w:uiPriority w:val="0"/>
    <w:qFormat/>
    <w:rPr>
      <w:rFonts w:ascii="仿宋_GB2312" w:hAnsi="Arial" w:eastAsia="仿宋_GB2312" w:cs="Times New Roman"/>
      <w:sz w:val="32"/>
      <w:szCs w:val="32"/>
    </w:rPr>
  </w:style>
  <w:style w:type="paragraph" w:styleId="913" w:customStyle="1">
    <w:name w:val="正文文本缩进1"/>
    <w:basedOn w:val="914"/>
    <w:next w:val="690"/>
    <w:link w:val="917"/>
    <w:uiPriority w:val="0"/>
    <w:unhideWhenUsed/>
    <w:qFormat/>
    <w:pPr>
      <w:ind w:left="420"/>
      <w:spacing w:after="120"/>
    </w:pPr>
  </w:style>
  <w:style w:type="paragraph" w:styleId="914" w:customStyle="1">
    <w:name w:val="正文1"/>
    <w:next w:val="915"/>
    <w:uiPriority w:val="0"/>
    <w:qFormat/>
    <w:pPr>
      <w:spacing w:line="560" w:lineRule="atLeast"/>
      <w:widowControl w:val="off"/>
    </w:pPr>
    <w:rPr>
      <w:rFonts w:hint="default" w:ascii="Times New Roman" w:hAnsi="Times New Roman" w:eastAsia="宋体" w:cs="Times New Roman"/>
      <w:sz w:val="28"/>
    </w:rPr>
  </w:style>
  <w:style w:type="paragraph" w:styleId="915" w:customStyle="1">
    <w:name w:val="脚注文本1"/>
    <w:basedOn w:val="914"/>
    <w:next w:val="916"/>
    <w:uiPriority w:val="0"/>
    <w:qFormat/>
    <w:pPr>
      <w:jc w:val="left"/>
    </w:pPr>
    <w:rPr>
      <w:rFonts w:ascii="宋体" w:hAnsi="宋体" w:eastAsia="Times New Roman"/>
      <w:sz w:val="18"/>
      <w:szCs w:val="18"/>
    </w:rPr>
  </w:style>
  <w:style w:type="paragraph" w:styleId="916" w:customStyle="1">
    <w:name w:val="索引 51"/>
    <w:basedOn w:val="914"/>
    <w:next w:val="914"/>
    <w:uiPriority w:val="0"/>
    <w:qFormat/>
    <w:pPr>
      <w:ind w:left="798"/>
      <w:jc w:val="left"/>
    </w:pPr>
    <w:rPr>
      <w:rFonts w:ascii="Calibri" w:hAnsi="Calibri"/>
    </w:rPr>
  </w:style>
  <w:style w:type="character" w:styleId="917" w:customStyle="1">
    <w:name w:val="正文文本缩进 字符"/>
    <w:link w:val="913"/>
    <w:uiPriority w:val="0"/>
    <w:qFormat/>
    <w:rPr>
      <w:rFonts w:ascii="Calibri" w:hAnsi="Calibri" w:eastAsia="宋体" w:cs="Times New Roman"/>
    </w:rPr>
  </w:style>
  <w:style w:type="paragraph" w:styleId="918" w:customStyle="1">
    <w:name w:val="列表 21"/>
    <w:basedOn w:val="690"/>
    <w:uiPriority w:val="0"/>
    <w:qFormat/>
    <w:pPr>
      <w:ind w:left="100" w:hanging="200"/>
    </w:pPr>
    <w:rPr>
      <w:rFonts w:ascii="Times New Roman" w:hAnsi="Times New Roman"/>
      <w:szCs w:val="21"/>
    </w:rPr>
  </w:style>
  <w:style w:type="paragraph" w:styleId="919" w:customStyle="1">
    <w:name w:val="纯文本1"/>
    <w:basedOn w:val="690"/>
    <w:link w:val="920"/>
    <w:uiPriority w:val="0"/>
    <w:qFormat/>
    <w:rPr>
      <w:rFonts w:ascii="宋体" w:hAnsi="Courier New" w:cs="Courier New"/>
      <w:szCs w:val="21"/>
    </w:rPr>
  </w:style>
  <w:style w:type="character" w:styleId="920" w:customStyle="1">
    <w:name w:val="纯文本 字符"/>
    <w:link w:val="919"/>
    <w:uiPriority w:val="0"/>
    <w:qFormat/>
    <w:rPr>
      <w:rFonts w:ascii="宋体" w:hAnsi="Courier New" w:eastAsia="宋体" w:cs="Courier New"/>
      <w:szCs w:val="21"/>
    </w:rPr>
  </w:style>
  <w:style w:type="paragraph" w:styleId="921" w:customStyle="1">
    <w:name w:val="日期1"/>
    <w:basedOn w:val="690"/>
    <w:next w:val="690"/>
    <w:link w:val="922"/>
    <w:uiPriority w:val="0"/>
    <w:qFormat/>
    <w:rPr>
      <w:rFonts w:ascii="Times New Roman" w:hAnsi="Times New Roman"/>
      <w:sz w:val="24"/>
      <w:szCs w:val="24"/>
    </w:rPr>
  </w:style>
  <w:style w:type="character" w:styleId="922" w:customStyle="1">
    <w:name w:val="日期 字符"/>
    <w:link w:val="921"/>
    <w:uiPriority w:val="0"/>
    <w:qFormat/>
    <w:rPr>
      <w:rFonts w:ascii="Times New Roman" w:hAnsi="Times New Roman" w:eastAsia="宋体" w:cs="Times New Roman"/>
      <w:sz w:val="24"/>
      <w:szCs w:val="24"/>
    </w:rPr>
  </w:style>
  <w:style w:type="paragraph" w:styleId="923" w:customStyle="1">
    <w:name w:val="正文文本缩进 21"/>
    <w:basedOn w:val="690"/>
    <w:link w:val="924"/>
    <w:uiPriority w:val="0"/>
    <w:qFormat/>
    <w:pPr>
      <w:ind w:left="630" w:firstLine="645"/>
    </w:pPr>
    <w:rPr>
      <w:rFonts w:ascii="Arial" w:hAnsi="Arial" w:eastAsia="仿宋_GB2312" w:cs="Arial"/>
      <w:sz w:val="32"/>
      <w:szCs w:val="32"/>
    </w:rPr>
  </w:style>
  <w:style w:type="character" w:styleId="924" w:customStyle="1">
    <w:name w:val="正文文本缩进 2 字符"/>
    <w:link w:val="923"/>
    <w:uiPriority w:val="0"/>
    <w:qFormat/>
    <w:rPr>
      <w:rFonts w:ascii="Arial" w:hAnsi="Arial" w:eastAsia="仿宋_GB2312" w:cs="Arial"/>
      <w:sz w:val="32"/>
      <w:szCs w:val="32"/>
    </w:rPr>
  </w:style>
  <w:style w:type="paragraph" w:styleId="925" w:customStyle="1">
    <w:name w:val="批注框文本1"/>
    <w:basedOn w:val="690"/>
    <w:link w:val="926"/>
    <w:uiPriority w:val="0"/>
    <w:semiHidden/>
    <w:qFormat/>
    <w:rPr>
      <w:rFonts w:ascii="Times New Roman" w:hAnsi="Times New Roman"/>
      <w:sz w:val="18"/>
      <w:szCs w:val="18"/>
    </w:rPr>
  </w:style>
  <w:style w:type="character" w:styleId="926" w:customStyle="1">
    <w:name w:val="批注框文本 字符"/>
    <w:link w:val="925"/>
    <w:uiPriority w:val="0"/>
    <w:semiHidden/>
    <w:qFormat/>
    <w:rPr>
      <w:rFonts w:ascii="Times New Roman" w:hAnsi="Times New Roman" w:eastAsia="宋体" w:cs="Times New Roman"/>
      <w:sz w:val="18"/>
      <w:szCs w:val="18"/>
    </w:rPr>
  </w:style>
  <w:style w:type="paragraph" w:styleId="927" w:customStyle="1">
    <w:name w:val="页脚1"/>
    <w:basedOn w:val="690"/>
    <w:link w:val="928"/>
    <w:uiPriority w:val="0"/>
    <w:qFormat/>
    <w:pPr>
      <w:jc w:val="left"/>
      <w:tabs>
        <w:tab w:val="center" w:pos="4153" w:leader="none"/>
        <w:tab w:val="right" w:pos="8306" w:leader="none"/>
      </w:tabs>
    </w:pPr>
    <w:rPr>
      <w:rFonts w:ascii="Times New Roman" w:hAnsi="Times New Roman"/>
      <w:sz w:val="18"/>
      <w:szCs w:val="18"/>
    </w:rPr>
  </w:style>
  <w:style w:type="character" w:styleId="928" w:customStyle="1">
    <w:name w:val="页脚 字符"/>
    <w:link w:val="927"/>
    <w:uiPriority w:val="0"/>
    <w:qFormat/>
    <w:rPr>
      <w:rFonts w:ascii="Times New Roman" w:hAnsi="Times New Roman" w:eastAsia="宋体" w:cs="Times New Roman"/>
      <w:sz w:val="18"/>
      <w:szCs w:val="18"/>
    </w:rPr>
  </w:style>
  <w:style w:type="paragraph" w:styleId="929" w:customStyle="1">
    <w:name w:val="页眉1"/>
    <w:basedOn w:val="690"/>
    <w:link w:val="930"/>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30" w:customStyle="1">
    <w:name w:val="页眉 字符"/>
    <w:link w:val="929"/>
    <w:uiPriority w:val="0"/>
    <w:qFormat/>
    <w:rPr>
      <w:rFonts w:ascii="Times New Roman" w:hAnsi="Times New Roman" w:eastAsia="宋体" w:cs="Times New Roman"/>
      <w:sz w:val="18"/>
      <w:szCs w:val="18"/>
    </w:rPr>
  </w:style>
  <w:style w:type="paragraph" w:styleId="931" w:customStyle="1">
    <w:name w:val="列表1"/>
    <w:basedOn w:val="690"/>
    <w:uiPriority w:val="0"/>
    <w:qFormat/>
    <w:pPr>
      <w:ind w:left="200" w:hanging="200"/>
    </w:pPr>
    <w:rPr>
      <w:rFonts w:ascii="Times New Roman" w:hAnsi="Times New Roman"/>
      <w:szCs w:val="21"/>
    </w:rPr>
  </w:style>
  <w:style w:type="paragraph" w:styleId="932" w:customStyle="1">
    <w:name w:val="正文文本缩进 31"/>
    <w:basedOn w:val="690"/>
    <w:link w:val="933"/>
    <w:uiPriority w:val="0"/>
    <w:qFormat/>
    <w:pPr>
      <w:ind w:left="645" w:firstLine="645"/>
    </w:pPr>
    <w:rPr>
      <w:rFonts w:ascii="Arial" w:hAnsi="Arial" w:eastAsia="仿宋_GB2312" w:cs="Arial"/>
      <w:color w:val="ffff00"/>
      <w:sz w:val="32"/>
      <w:szCs w:val="32"/>
    </w:rPr>
  </w:style>
  <w:style w:type="character" w:styleId="933" w:customStyle="1">
    <w:name w:val="正文文本缩进 3 字符"/>
    <w:link w:val="932"/>
    <w:uiPriority w:val="0"/>
    <w:qFormat/>
    <w:rPr>
      <w:rFonts w:ascii="Arial" w:hAnsi="Arial" w:eastAsia="仿宋_GB2312" w:cs="Arial"/>
      <w:color w:val="ffff00"/>
      <w:sz w:val="32"/>
      <w:szCs w:val="32"/>
    </w:rPr>
  </w:style>
  <w:style w:type="paragraph" w:styleId="934" w:customStyle="1">
    <w:name w:val="图表目录1"/>
    <w:basedOn w:val="690"/>
    <w:next w:val="690"/>
    <w:uiPriority w:val="0"/>
    <w:semiHidden/>
    <w:qFormat/>
    <w:pPr>
      <w:ind w:left="840" w:hanging="420"/>
    </w:pPr>
    <w:rPr>
      <w:rFonts w:ascii="Times New Roman" w:hAnsi="Times New Roman"/>
      <w:szCs w:val="21"/>
    </w:rPr>
  </w:style>
  <w:style w:type="paragraph" w:styleId="935" w:customStyle="1">
    <w:name w:val="正文文本 21"/>
    <w:basedOn w:val="690"/>
    <w:link w:val="936"/>
    <w:uiPriority w:val="0"/>
    <w:qFormat/>
    <w:pPr>
      <w:jc w:val="center"/>
      <w:widowControl/>
    </w:pPr>
    <w:rPr>
      <w:rFonts w:ascii="楷体_GB2312" w:hAnsi="Times New Roman" w:eastAsia="楷体_GB2312"/>
      <w:sz w:val="28"/>
      <w:szCs w:val="28"/>
    </w:rPr>
  </w:style>
  <w:style w:type="character" w:styleId="936" w:customStyle="1">
    <w:name w:val="正文文本 2 字符"/>
    <w:link w:val="935"/>
    <w:uiPriority w:val="0"/>
    <w:qFormat/>
    <w:rPr>
      <w:rFonts w:ascii="楷体_GB2312" w:hAnsi="Times New Roman" w:eastAsia="楷体_GB2312" w:cs="Times New Roman"/>
      <w:sz w:val="28"/>
      <w:szCs w:val="28"/>
    </w:rPr>
  </w:style>
  <w:style w:type="paragraph" w:styleId="937" w:customStyle="1">
    <w:name w:val="普通(网站)1"/>
    <w:basedOn w:val="690"/>
    <w:uiPriority w:val="99"/>
    <w:qFormat/>
    <w:pPr>
      <w:jc w:val="left"/>
      <w:spacing w:before="100" w:beforeAutospacing="1" w:after="100" w:afterAutospacing="1"/>
      <w:widowControl/>
    </w:pPr>
    <w:rPr>
      <w:rFonts w:ascii="宋体" w:hAnsi="宋体" w:cs="宋体"/>
      <w:sz w:val="24"/>
      <w:szCs w:val="24"/>
    </w:rPr>
  </w:style>
  <w:style w:type="paragraph" w:styleId="938" w:customStyle="1">
    <w:name w:val="索引 11"/>
    <w:basedOn w:val="690"/>
    <w:next w:val="690"/>
    <w:uiPriority w:val="0"/>
    <w:semiHidden/>
    <w:qFormat/>
    <w:pPr>
      <w:spacing w:line="240" w:lineRule="atLeast"/>
    </w:pPr>
    <w:rPr>
      <w:rFonts w:ascii="Times New Roman" w:hAnsi="Times New Roman"/>
      <w:b/>
      <w:bCs/>
      <w:szCs w:val="21"/>
    </w:rPr>
  </w:style>
  <w:style w:type="paragraph" w:styleId="939" w:customStyle="1">
    <w:name w:val="批注主题1"/>
    <w:basedOn w:val="909"/>
    <w:next w:val="909"/>
    <w:link w:val="940"/>
    <w:uiPriority w:val="0"/>
    <w:semiHidden/>
    <w:qFormat/>
    <w:rPr>
      <w:rFonts w:ascii="Times New Roman" w:hAnsi="Times New Roman"/>
      <w:b/>
      <w:bCs/>
      <w:szCs w:val="21"/>
    </w:rPr>
  </w:style>
  <w:style w:type="character" w:styleId="940" w:customStyle="1">
    <w:name w:val="批注主题 字符"/>
    <w:link w:val="939"/>
    <w:uiPriority w:val="0"/>
    <w:semiHidden/>
    <w:qFormat/>
    <w:rPr>
      <w:rFonts w:ascii="Times New Roman" w:hAnsi="Times New Roman" w:eastAsia="宋体" w:cs="Times New Roman"/>
      <w:b/>
      <w:bCs/>
      <w:szCs w:val="21"/>
    </w:rPr>
  </w:style>
  <w:style w:type="paragraph" w:styleId="941" w:customStyle="1">
    <w:name w:val="正文文本首行缩进 2"/>
    <w:basedOn w:val="913"/>
    <w:link w:val="942"/>
    <w:uiPriority w:val="0"/>
    <w:qFormat/>
    <w:pPr>
      <w:ind w:left="0" w:firstLine="420"/>
      <w:spacing w:after="0" w:line="360" w:lineRule="auto"/>
    </w:pPr>
    <w:rPr>
      <w:rFonts w:ascii="宋体" w:hAnsi="宋体"/>
      <w:szCs w:val="20"/>
    </w:rPr>
  </w:style>
  <w:style w:type="character" w:styleId="942" w:customStyle="1">
    <w:name w:val="正文文本首行缩进 2 字符"/>
    <w:link w:val="941"/>
    <w:uiPriority w:val="0"/>
    <w:qFormat/>
    <w:rPr>
      <w:rFonts w:ascii="宋体" w:hAnsi="宋体" w:eastAsia="宋体" w:cs="Times New Roman"/>
      <w:szCs w:val="20"/>
    </w:rPr>
  </w:style>
  <w:style w:type="table" w:styleId="943" w:customStyle="1">
    <w:name w:val="网格型1"/>
    <w:basedOn w:val="891"/>
    <w:uiPriority w:val="0"/>
    <w:qFormat/>
    <w:pPr>
      <w:jc w:val="both"/>
      <w:widowControl w:val="off"/>
    </w:pPr>
    <w:rPr>
      <w:rFonts w:ascii="Times New Roman" w:hAnsi="Times New Roman" w:eastAsia="宋体" w:cs="Times New Roman"/>
      <w:sz w:val="20"/>
      <w:szCs w:val="20"/>
    </w:rPr>
    <w:tblPr/>
  </w:style>
  <w:style w:type="character" w:styleId="944" w:customStyle="1">
    <w:name w:val="要点1"/>
    <w:link w:val="690"/>
    <w:uiPriority w:val="0"/>
    <w:qFormat/>
    <w:rPr>
      <w:b/>
      <w:bCs/>
    </w:rPr>
  </w:style>
  <w:style w:type="character" w:styleId="945" w:customStyle="1">
    <w:name w:val="页码1"/>
    <w:link w:val="690"/>
    <w:uiPriority w:val="0"/>
    <w:qFormat/>
  </w:style>
  <w:style w:type="character" w:styleId="946" w:customStyle="1">
    <w:name w:val="访问过的超链接"/>
    <w:link w:val="690"/>
    <w:uiPriority w:val="0"/>
    <w:qFormat/>
    <w:rPr>
      <w:color w:val="800080"/>
      <w:u w:val="single"/>
    </w:rPr>
  </w:style>
  <w:style w:type="character" w:styleId="947" w:customStyle="1">
    <w:name w:val="超链接1"/>
    <w:link w:val="690"/>
    <w:uiPriority w:val="0"/>
    <w:qFormat/>
    <w:rPr>
      <w:color w:val="0000ff"/>
      <w:u w:val="single"/>
    </w:rPr>
  </w:style>
  <w:style w:type="character" w:styleId="948" w:customStyle="1">
    <w:name w:val="批注引用1"/>
    <w:link w:val="690"/>
    <w:uiPriority w:val="0"/>
    <w:semiHidden/>
    <w:qFormat/>
    <w:rPr>
      <w:sz w:val="21"/>
      <w:szCs w:val="21"/>
    </w:rPr>
  </w:style>
  <w:style w:type="character" w:styleId="949" w:customStyle="1">
    <w:name w:val="font5 Char"/>
    <w:link w:val="690"/>
    <w:uiPriority w:val="0"/>
    <w:qFormat/>
    <w:rPr>
      <w:rFonts w:ascii="宋体" w:hAnsi="宋体" w:eastAsia="宋体"/>
      <w:sz w:val="28"/>
      <w:szCs w:val="28"/>
      <w:lang w:val="en-US" w:eastAsia="zh-CN" w:bidi="ar-SA"/>
    </w:rPr>
  </w:style>
  <w:style w:type="character" w:styleId="950" w:customStyle="1">
    <w:name w:val="二级目录 Char"/>
    <w:link w:val="951"/>
    <w:uiPriority w:val="0"/>
    <w:qFormat/>
    <w:rPr>
      <w:b/>
      <w:sz w:val="30"/>
      <w:szCs w:val="28"/>
    </w:rPr>
  </w:style>
  <w:style w:type="paragraph" w:styleId="951" w:customStyle="1">
    <w:name w:val="二级目录"/>
    <w:next w:val="690"/>
    <w:link w:val="950"/>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52" w:customStyle="1">
    <w:name w:val="列出段落 Char"/>
    <w:link w:val="953"/>
    <w:uiPriority w:val="0"/>
    <w:qFormat/>
    <w:rPr>
      <w:rFonts w:ascii="Calibri" w:hAnsi="Calibri"/>
      <w:sz w:val="24"/>
      <w:szCs w:val="24"/>
      <w:lang w:eastAsia="en-US" w:bidi="en-US"/>
    </w:rPr>
  </w:style>
  <w:style w:type="paragraph" w:styleId="953" w:customStyle="1">
    <w:name w:val="列出段落1"/>
    <w:basedOn w:val="690"/>
    <w:link w:val="952"/>
    <w:uiPriority w:val="0"/>
    <w:qFormat/>
    <w:pPr>
      <w:contextualSpacing/>
      <w:ind w:left="720"/>
      <w:jc w:val="left"/>
      <w:widowControl/>
    </w:pPr>
    <w:rPr>
      <w:rFonts w:eastAsia="宋体" w:cs="Times New Roman"/>
      <w:sz w:val="24"/>
      <w:szCs w:val="24"/>
      <w:lang w:eastAsia="en-US" w:bidi="en-US"/>
    </w:rPr>
  </w:style>
  <w:style w:type="paragraph" w:styleId="954" w:customStyle="1">
    <w:name w:val="Body Text(ch)"/>
    <w:basedOn w:val="690"/>
    <w:next w:val="893"/>
    <w:uiPriority w:val="0"/>
    <w:qFormat/>
    <w:pPr>
      <w:spacing w:after="120"/>
    </w:pPr>
    <w:rPr>
      <w:rFonts w:ascii="宋体" w:hAnsi="Arial"/>
      <w:bCs/>
      <w:iCs/>
      <w:szCs w:val="24"/>
    </w:rPr>
  </w:style>
  <w:style w:type="paragraph" w:styleId="955"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6"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7" w:customStyle="1">
    <w:name w:val="Char"/>
    <w:basedOn w:val="690"/>
    <w:uiPriority w:val="0"/>
    <w:qFormat/>
    <w:pPr>
      <w:ind w:firstLine="200"/>
      <w:tabs>
        <w:tab w:val="left" w:pos="360" w:leader="none"/>
      </w:tabs>
    </w:pPr>
    <w:rPr>
      <w:rFonts w:ascii="Times New Roman" w:hAnsi="Times New Roman"/>
      <w:sz w:val="28"/>
      <w:szCs w:val="30"/>
    </w:rPr>
  </w:style>
  <w:style w:type="paragraph" w:styleId="958" w:customStyle="1">
    <w:name w:val=" Char"/>
    <w:basedOn w:val="907"/>
    <w:uiPriority w:val="0"/>
    <w:qFormat/>
    <w:rPr>
      <w:rFonts w:ascii="Tahoma" w:hAnsi="Tahoma"/>
      <w:sz w:val="24"/>
      <w:szCs w:val="24"/>
    </w:rPr>
  </w:style>
  <w:style w:type="paragraph" w:styleId="959" w:customStyle="1">
    <w:name w:val="普通正文"/>
    <w:basedOn w:val="690"/>
    <w:uiPriority w:val="0"/>
    <w:qFormat/>
    <w:pPr>
      <w:ind w:firstLine="480"/>
      <w:jc w:val="left"/>
      <w:spacing w:before="120" w:after="120" w:line="360" w:lineRule="auto"/>
    </w:pPr>
    <w:rPr>
      <w:rFonts w:ascii="Arial" w:hAnsi="Arial"/>
      <w:sz w:val="24"/>
      <w:szCs w:val="24"/>
    </w:rPr>
  </w:style>
  <w:style w:type="paragraph" w:styleId="960" w:customStyle="1">
    <w:name w:val="table_lines"/>
    <w:basedOn w:val="690"/>
    <w:uiPriority w:val="0"/>
    <w:qFormat/>
    <w:pPr>
      <w:jc w:val="left"/>
      <w:widowControl/>
    </w:pPr>
    <w:rPr>
      <w:rFonts w:ascii="Times New Roman" w:hAnsi="Times New Roman"/>
      <w:sz w:val="20"/>
      <w:szCs w:val="20"/>
      <w:lang w:val="de-DE" w:eastAsia="de-DE"/>
    </w:rPr>
  </w:style>
  <w:style w:type="paragraph" w:styleId="96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2" w:customStyle="1">
    <w:name w:val="font7"/>
    <w:basedOn w:val="690"/>
    <w:uiPriority w:val="0"/>
    <w:qFormat/>
    <w:pPr>
      <w:jc w:val="left"/>
      <w:spacing w:before="100" w:beforeAutospacing="1" w:after="100" w:afterAutospacing="1"/>
      <w:widowControl/>
    </w:pPr>
    <w:rPr>
      <w:rFonts w:hint="eastAsia" w:ascii="宋体" w:hAnsi="宋体"/>
      <w:sz w:val="18"/>
      <w:szCs w:val="18"/>
    </w:rPr>
  </w:style>
  <w:style w:type="paragraph" w:styleId="963" w:customStyle="1">
    <w:name w:val=" Char Char Char Char"/>
    <w:basedOn w:val="907"/>
    <w:uiPriority w:val="0"/>
    <w:qFormat/>
    <w:pPr>
      <w:spacing w:line="360" w:lineRule="auto"/>
    </w:pPr>
    <w:rPr>
      <w:rFonts w:ascii="Tahoma" w:hAnsi="Tahoma"/>
      <w:sz w:val="24"/>
      <w:szCs w:val="24"/>
    </w:rPr>
  </w:style>
  <w:style w:type="paragraph" w:styleId="964" w:customStyle="1">
    <w:name w:val="列表段落"/>
    <w:basedOn w:val="690"/>
    <w:uiPriority w:val="0"/>
    <w:qFormat/>
    <w:pPr>
      <w:contextualSpacing/>
      <w:ind w:left="720"/>
      <w:jc w:val="left"/>
      <w:widowControl/>
    </w:pPr>
    <w:rPr>
      <w:sz w:val="24"/>
      <w:szCs w:val="24"/>
      <w:lang w:eastAsia="en-US" w:bidi="en-US"/>
    </w:rPr>
  </w:style>
  <w:style w:type="paragraph" w:styleId="965" w:customStyle="1">
    <w:name w:val="4"/>
    <w:basedOn w:val="690"/>
    <w:next w:val="932"/>
    <w:uiPriority w:val="0"/>
    <w:qFormat/>
    <w:pPr>
      <w:ind w:firstLine="420"/>
      <w:spacing w:line="360" w:lineRule="auto"/>
    </w:pPr>
    <w:rPr>
      <w:rFonts w:ascii="Times New Roman" w:hAnsi="Times New Roman"/>
      <w:color w:val="ff0000"/>
      <w:sz w:val="24"/>
      <w:szCs w:val="24"/>
    </w:rPr>
  </w:style>
  <w:style w:type="paragraph" w:styleId="966" w:customStyle="1">
    <w:name w:val="普通 (Web)"/>
    <w:basedOn w:val="690"/>
    <w:uiPriority w:val="0"/>
    <w:qFormat/>
    <w:pPr>
      <w:jc w:val="left"/>
      <w:spacing w:before="100" w:beforeAutospacing="1" w:after="100" w:afterAutospacing="1"/>
      <w:widowControl/>
    </w:pPr>
    <w:rPr>
      <w:rFonts w:ascii="宋体" w:hAnsi="宋体"/>
      <w:sz w:val="24"/>
      <w:szCs w:val="24"/>
    </w:rPr>
  </w:style>
  <w:style w:type="paragraph" w:styleId="967" w:customStyle="1">
    <w:name w:val=" Char Char Char Char Char Char Char Char Char Char"/>
    <w:basedOn w:val="690"/>
    <w:uiPriority w:val="0"/>
    <w:qFormat/>
    <w:pPr>
      <w:spacing w:line="360" w:lineRule="auto"/>
    </w:pPr>
    <w:rPr>
      <w:rFonts w:ascii="Times New Roman" w:hAnsi="Times New Roman"/>
      <w:sz w:val="24"/>
      <w:szCs w:val="20"/>
    </w:rPr>
  </w:style>
  <w:style w:type="paragraph" w:styleId="968" w:customStyle="1">
    <w:name w:val="样式1"/>
    <w:basedOn w:val="690"/>
    <w:uiPriority w:val="0"/>
    <w:qFormat/>
    <w:pPr>
      <w:numPr>
        <w:ilvl w:val="0"/>
        <w:numId w:val="3"/>
      </w:numPr>
    </w:pPr>
    <w:rPr>
      <w:rFonts w:ascii="宋体" w:hAnsi="宋体"/>
      <w:szCs w:val="21"/>
    </w:rPr>
  </w:style>
  <w:style w:type="paragraph" w:styleId="969" w:customStyle="1">
    <w:name w:val="font6"/>
    <w:basedOn w:val="690"/>
    <w:uiPriority w:val="0"/>
    <w:qFormat/>
    <w:pPr>
      <w:jc w:val="left"/>
      <w:spacing w:before="100" w:beforeAutospacing="1" w:after="100" w:afterAutospacing="1"/>
      <w:widowControl/>
    </w:pPr>
    <w:rPr>
      <w:rFonts w:hint="eastAsia" w:ascii="宋体" w:hAnsi="宋体"/>
      <w:sz w:val="28"/>
      <w:szCs w:val="28"/>
      <w:u w:val="single"/>
    </w:rPr>
  </w:style>
  <w:style w:type="paragraph" w:styleId="970"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72" w:customStyle="1">
    <w:name w:val="标题3"/>
    <w:basedOn w:val="690"/>
    <w:next w:val="690"/>
    <w:uiPriority w:val="0"/>
    <w:qFormat/>
    <w:pPr>
      <w:ind w:firstLine="624"/>
      <w:spacing w:line="590" w:lineRule="atLeast"/>
    </w:pPr>
    <w:rPr>
      <w:rFonts w:ascii="方正黑体_GBK" w:hAnsi="Times New Roman" w:eastAsia="方正黑体_GBK"/>
      <w:sz w:val="32"/>
      <w:szCs w:val="32"/>
    </w:rPr>
  </w:style>
  <w:style w:type="paragraph" w:styleId="973"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5" w:customStyle="1">
    <w:name w:val="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976"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7" w:customStyle="1">
    <w:name w:val=" 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978" w:customStyle="1">
    <w:name w:val="xl30"/>
    <w:basedOn w:val="690"/>
    <w:uiPriority w:val="0"/>
    <w:qFormat/>
    <w:pPr>
      <w:jc w:val="center"/>
      <w:spacing w:before="100" w:beforeAutospacing="1" w:after="100" w:afterAutospacing="1"/>
      <w:widowControl/>
    </w:pPr>
    <w:rPr>
      <w:rFonts w:ascii="宋体" w:hAnsi="宋体"/>
      <w:b/>
      <w:bCs/>
      <w:sz w:val="36"/>
      <w:szCs w:val="36"/>
    </w:rPr>
  </w:style>
  <w:style w:type="paragraph" w:styleId="979" w:customStyle="1">
    <w:name w:val="Char Char Char Char"/>
    <w:basedOn w:val="907"/>
    <w:uiPriority w:val="0"/>
    <w:qFormat/>
    <w:pPr>
      <w:spacing w:line="360" w:lineRule="auto"/>
    </w:pPr>
    <w:rPr>
      <w:rFonts w:ascii="Tahoma" w:hAnsi="Tahoma"/>
      <w:sz w:val="24"/>
      <w:szCs w:val="24"/>
    </w:rPr>
  </w:style>
  <w:style w:type="paragraph" w:styleId="980" w:customStyle="1">
    <w:name w:val="table_1stline"/>
    <w:basedOn w:val="690"/>
    <w:uiPriority w:val="0"/>
    <w:qFormat/>
    <w:pPr>
      <w:jc w:val="left"/>
      <w:spacing w:before="120"/>
      <w:widowControl/>
    </w:pPr>
    <w:rPr>
      <w:rFonts w:ascii="Times New Roman" w:hAnsi="Times New Roman"/>
      <w:bCs/>
      <w:sz w:val="20"/>
      <w:szCs w:val="20"/>
      <w:lang w:val="de-DE" w:eastAsia="de-DE"/>
    </w:rPr>
  </w:style>
  <w:style w:type="paragraph" w:styleId="981" w:customStyle="1">
    <w:name w:val="font5"/>
    <w:basedOn w:val="690"/>
    <w:uiPriority w:val="0"/>
    <w:qFormat/>
    <w:pPr>
      <w:jc w:val="left"/>
      <w:spacing w:before="100" w:beforeAutospacing="1" w:after="100" w:afterAutospacing="1"/>
      <w:widowControl/>
    </w:pPr>
    <w:rPr>
      <w:rFonts w:hint="eastAsia" w:ascii="宋体" w:hAnsi="宋体"/>
      <w:sz w:val="28"/>
      <w:szCs w:val="28"/>
    </w:rPr>
  </w:style>
  <w:style w:type="paragraph" w:styleId="982" w:customStyle="1">
    <w:name w:val="标题1"/>
    <w:basedOn w:val="690"/>
    <w:next w:val="69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8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5" w:customStyle="1">
    <w:name w:val="列表段落1"/>
    <w:basedOn w:val="690"/>
    <w:uiPriority w:val="34"/>
    <w:qFormat/>
    <w:pPr>
      <w:ind w:firstLine="420"/>
    </w:pPr>
    <w:rPr>
      <w:rFonts w:ascii="Times New Roman" w:hAnsi="Times New Roman"/>
    </w:rPr>
  </w:style>
  <w:style w:type="paragraph" w:styleId="986" w:customStyle="1">
    <w:name w:val="_Style 116"/>
    <w:basedOn w:val="690"/>
    <w:next w:val="964"/>
    <w:uiPriority w:val="0"/>
    <w:qFormat/>
    <w:pPr>
      <w:contextualSpacing/>
      <w:ind w:left="720"/>
      <w:jc w:val="left"/>
      <w:widowControl/>
    </w:pPr>
    <w:rPr>
      <w:sz w:val="24"/>
      <w:szCs w:val="24"/>
      <w:lang w:eastAsia="en-US" w:bidi="en-US"/>
    </w:rPr>
  </w:style>
  <w:style w:type="paragraph" w:styleId="987" w:customStyle="1">
    <w:name w:val="正文空两格"/>
    <w:basedOn w:val="690"/>
    <w:uiPriority w:val="0"/>
    <w:qFormat/>
    <w:pPr>
      <w:ind w:firstLine="200"/>
    </w:pPr>
    <w:rPr>
      <w:rFonts w:ascii="Times New Roman" w:hAnsi="Times New Roman"/>
      <w:szCs w:val="21"/>
    </w:rPr>
  </w:style>
  <w:style w:type="character" w:styleId="988" w:customStyle="1">
    <w:name w:val="纯文本 Char"/>
    <w:link w:val="690"/>
    <w:uiPriority w:val="0"/>
    <w:qFormat/>
    <w:rPr>
      <w:rFonts w:ascii="宋体" w:hAnsi="Courier New" w:eastAsia="宋体" w:cs="Courier New"/>
      <w:szCs w:val="21"/>
    </w:rPr>
  </w:style>
  <w:style w:type="paragraph" w:styleId="989" w:customStyle="1">
    <w:name w:val="black1"/>
    <w:basedOn w:val="690"/>
    <w:uiPriority w:val="99"/>
    <w:qFormat/>
    <w:pPr>
      <w:jc w:val="left"/>
      <w:spacing w:before="100" w:beforeAutospacing="1" w:after="100" w:afterAutospacing="1"/>
      <w:widowControl/>
    </w:pPr>
    <w:rPr>
      <w:rFonts w:ascii="宋体" w:hAnsi="宋体"/>
      <w:sz w:val="24"/>
    </w:rPr>
  </w:style>
  <w:style w:type="character" w:styleId="990" w:customStyle="1">
    <w:name w:val="l-btn-left"/>
    <w:basedOn w:val="700"/>
    <w:uiPriority w:val="0"/>
    <w:qFormat/>
  </w:style>
  <w:style w:type="character" w:styleId="991" w:customStyle="1">
    <w:name w:val="current"/>
    <w:basedOn w:val="700"/>
    <w:uiPriority w:val="0"/>
    <w:qFormat/>
    <w:rPr>
      <w:b/>
      <w:bCs/>
      <w:color w:val="05a7d8"/>
      <w:sz w:val="18"/>
      <w:szCs w:val="18"/>
    </w:rPr>
  </w:style>
  <w:style w:type="character" w:styleId="992" w:customStyle="1">
    <w:name w:val="l-btn-text36"/>
    <w:basedOn w:val="700"/>
    <w:uiPriority w:val="0"/>
    <w:qFormat/>
  </w:style>
  <w:style w:type="paragraph" w:styleId="993" w:customStyle="1">
    <w:name w:val="段"/>
    <w:basedOn w:val="690"/>
    <w:next w:val="690"/>
    <w:uiPriority w:val="0"/>
    <w:qFormat/>
    <w:pPr>
      <w:ind w:firstLine="200"/>
      <w:spacing w:line="360" w:lineRule="auto"/>
      <w:widowControl/>
    </w:pPr>
    <w:rPr>
      <w:rFonts w:ascii="宋体" w:hAnsi="宋体" w:cs="宋体"/>
      <w:sz w:val="24"/>
    </w:rPr>
  </w:style>
  <w:style w:type="paragraph" w:styleId="994" w:customStyle="1">
    <w:name w:val="无间隔1"/>
    <w:basedOn w:val="690"/>
    <w:uiPriority w:val="0"/>
    <w:qFormat/>
    <w:pPr>
      <w:ind w:firstLine="200"/>
      <w:jc w:val="left"/>
      <w:spacing w:line="360" w:lineRule="auto"/>
      <w:widowControl/>
    </w:pPr>
    <w:rPr>
      <w:rFonts w:ascii="宋体" w:hAnsi="宋体"/>
      <w:sz w:val="24"/>
    </w:rPr>
  </w:style>
  <w:style w:type="character" w:styleId="995" w:customStyle="1">
    <w:name w:val="font11"/>
    <w:basedOn w:val="700"/>
    <w:uiPriority w:val="0"/>
    <w:qFormat/>
    <w:rPr>
      <w:rFonts w:hint="eastAsia" w:ascii="微软雅黑" w:hAnsi="微软雅黑" w:eastAsia="微软雅黑" w:cs="微软雅黑"/>
      <w:color w:val="000000"/>
      <w:sz w:val="20"/>
      <w:szCs w:val="20"/>
      <w:u w:val="none"/>
    </w:rPr>
  </w:style>
  <w:style w:type="character" w:styleId="996" w:customStyle="1">
    <w:name w:val="font51"/>
    <w:basedOn w:val="700"/>
    <w:uiPriority w:val="0"/>
    <w:qFormat/>
    <w:rPr>
      <w:rFonts w:hint="eastAsia" w:ascii="宋体" w:hAnsi="宋体" w:eastAsia="宋体" w:cs="宋体"/>
      <w:color w:val="000000"/>
      <w:sz w:val="24"/>
      <w:u w:val="none"/>
    </w:rPr>
  </w:style>
  <w:style w:type="character" w:styleId="997" w:customStyle="1">
    <w:name w:val="标题 1 Char"/>
    <w:basedOn w:val="700"/>
    <w:link w:val="691"/>
    <w:uiPriority w:val="0"/>
    <w:qFormat/>
    <w:rPr>
      <w:rFonts w:ascii="宋体"/>
      <w:b/>
      <w:bCs/>
      <w:sz w:val="32"/>
      <w:szCs w:val="32"/>
    </w:rPr>
  </w:style>
  <w:style w:type="paragraph" w:styleId="998" w:customStyle="1">
    <w:name w:val="Table Paragraph"/>
    <w:basedOn w:val="690"/>
    <w:uiPriority w:val="1"/>
    <w:qFormat/>
    <w:rPr>
      <w:rFonts w:ascii="宋体" w:hAnsi="宋体" w:eastAsia="宋体" w:cs="宋体"/>
      <w:szCs w:val="22"/>
      <w:lang w:val="zh-CN" w:bidi="zh-CN"/>
    </w:rPr>
  </w:style>
  <w:style w:type="character" w:styleId="999" w:customStyle="1">
    <w:name w:val="Heading 1 Char1"/>
    <w:uiPriority w:val="99"/>
    <w:qFormat/>
    <w:rPr>
      <w:rFonts w:ascii="Century Schoolbook" w:hAnsi="Century Schoolbook"/>
      <w:sz w:val="20"/>
    </w:rPr>
  </w:style>
  <w:style w:type="paragraph" w:styleId="1000" w:customStyle="1">
    <w:name w:val="正文2"/>
    <w:basedOn w:val="690"/>
    <w:uiPriority w:val="0"/>
    <w:qFormat/>
    <w:pPr>
      <w:widowControl/>
    </w:pPr>
    <w:rPr>
      <w:rFonts w:ascii="Calibri" w:hAnsi="Calibri" w:cs="Calibri"/>
      <w:szCs w:val="21"/>
    </w:rPr>
  </w:style>
  <w:style w:type="character" w:styleId="1001" w:customStyle="1">
    <w:name w:val="超链接11"/>
    <w:link w:val="690"/>
    <w:uiPriority w:val="0"/>
    <w:qFormat/>
    <w:rPr>
      <w:rFonts w:ascii="Calibri" w:hAnsi="Calibri" w:eastAsia="宋体" w:cs="Times New Roman"/>
      <w:sz w:val="21"/>
      <w:szCs w:val="22"/>
      <w:lang w:val="en-US" w:eastAsia="zh-CN" w:bidi="ar-SA"/>
    </w:rPr>
  </w:style>
  <w:style w:type="character" w:styleId="1002" w:customStyle="1">
    <w:name w:val="titlebody"/>
    <w:uiPriority w:val="0"/>
    <w:qFormat/>
    <w:rPr>
      <w:rFonts w:ascii="宋体" w:hAnsi="宋体" w:eastAsia="宋体" w:cs="宋体"/>
      <w:b/>
      <w:bCs/>
      <w:color w:val="000000"/>
      <w:sz w:val="24"/>
      <w:szCs w:val="24"/>
    </w:rPr>
  </w:style>
  <w:style w:type="paragraph" w:styleId="1003" w:customStyle="1">
    <w:name w:val="null3"/>
    <w:hidden/>
    <w:uiPriority w:val="0"/>
    <w:qFormat/>
    <w:rPr>
      <w:rFonts w:hint="eastAsia" w:asciiTheme="minorHAnsi" w:hAnsiTheme="minorHAnsi" w:eastAsiaTheme="minorEastAsia" w:cstheme="minorBidi"/>
      <w:lang w:val="en-US" w:eastAsia="zh-Hans" w:bidi="ar-SA"/>
    </w:r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刘关宝</cp:lastModifiedBy>
  <cp:revision>12</cp:revision>
  <dcterms:created xsi:type="dcterms:W3CDTF">2023-09-14T01:51:00Z</dcterms:created>
  <dcterms:modified xsi:type="dcterms:W3CDTF">2024-11-12T06:28:07Z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3A3B3E61DA134332802D21EC2AF8B5EB_13</vt:lpwstr>
  </property>
</Properties>
</file>