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1084"/>
        <w:spacing w:line="760" w:lineRule="exact"/>
        <w:rPr>
          <w:rFonts w:hint="eastAsia" w:ascii="黑体" w:hAnsi="黑体" w:eastAsia="黑体"/>
          <w:b/>
          <w:sz w:val="36"/>
          <w:szCs w:val="36"/>
        </w:rPr>
      </w:pPr>
      <w:r>
        <w:rPr>
          <w:rFonts w:hint="eastAsia" w:ascii="黑体" w:hAnsi="黑体" w:eastAsia="黑体"/>
          <w:b/>
          <w:sz w:val="36"/>
          <w:szCs w:val="36"/>
        </w:rPr>
        <w:t xml:space="preserve">项目名称: 2026淮安马拉松赛事运营服务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1084"/>
        <w:spacing w:line="760" w:lineRule="exact"/>
        <w:rPr>
          <w:rFonts w:hint="eastAsia" w:ascii="黑体" w:hAnsi="黑体" w:eastAsia="黑体"/>
          <w:b/>
          <w:sz w:val="36"/>
        </w:rPr>
      </w:pPr>
      <w:r>
        <w:rPr>
          <w:rFonts w:hint="eastAsia" w:ascii="黑体" w:hAnsi="黑体" w:eastAsia="黑体"/>
          <w:b/>
          <w:sz w:val="36"/>
        </w:rPr>
        <w:t xml:space="preserve">项目编号: JSZC-320800-HAZY-C2025-0007</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firstLine="1446"/>
        <w:rPr>
          <w:rFonts w:hint="eastAsia" w:ascii="黑体" w:hAnsi="黑体" w:eastAsia="黑体"/>
          <w:b/>
          <w:sz w:val="36"/>
          <w:szCs w:val="36"/>
        </w:rPr>
      </w:pPr>
      <w:r>
        <w:rPr>
          <w:rFonts w:hint="eastAsia" w:ascii="黑体" w:hAnsi="黑体" w:eastAsia="黑体"/>
          <w:b/>
          <w:sz w:val="36"/>
          <w:szCs w:val="36"/>
        </w:rPr>
        <w:t xml:space="preserve">采购单位：淮安市体育局</w:t>
      </w:r>
      <w:r/>
    </w:p>
    <w:p>
      <w:pPr>
        <w:ind w:firstLine="2884"/>
        <w:rPr>
          <w:rFonts w:hint="eastAsia" w:ascii="黑体" w:hAnsi="黑体" w:eastAsia="黑体"/>
          <w:b/>
          <w:sz w:val="36"/>
          <w:szCs w:val="36"/>
        </w:rPr>
      </w:pPr>
      <w:r>
        <w:rPr>
          <w:rFonts w:hint="eastAsia" w:ascii="黑体" w:hAnsi="黑体" w:eastAsia="黑体"/>
          <w:b/>
          <w:sz w:val="36"/>
          <w:szCs w:val="36"/>
        </w:rPr>
      </w:r>
      <w:r/>
    </w:p>
    <w:p>
      <w:pPr>
        <w:ind w:firstLine="1446"/>
        <w:rPr>
          <w:rFonts w:hint="eastAsia" w:ascii="黑体" w:hAnsi="黑体" w:eastAsia="黑体"/>
          <w:b/>
          <w:sz w:val="36"/>
          <w:szCs w:val="36"/>
        </w:rPr>
      </w:pPr>
      <w:r>
        <w:rPr>
          <w:rFonts w:hint="eastAsia" w:ascii="黑体" w:hAnsi="黑体" w:eastAsia="黑体"/>
          <w:b/>
          <w:sz w:val="36"/>
          <w:szCs w:val="36"/>
        </w:rPr>
        <w:t xml:space="preserve">代理机构：淮安市政源工程咨询有限公司</w:t>
      </w:r>
      <w:r/>
    </w:p>
    <w:p>
      <w:pPr>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r>
      <w:r/>
    </w:p>
    <w:p>
      <w:pPr>
        <w:ind w:firstLine="2692"/>
        <w:tabs>
          <w:tab w:val="center" w:pos="5215" w:leader="none"/>
        </w:tabs>
        <w:rPr>
          <w:rFonts w:hint="eastAsia" w:ascii="黑体" w:hAnsi="黑体" w:eastAsia="黑体"/>
          <w:b/>
          <w:bCs/>
          <w:sz w:val="36"/>
          <w:szCs w:val="36"/>
        </w:rPr>
      </w:pPr>
      <w:r>
        <w:rPr>
          <w:rFonts w:hint="eastAsia" w:ascii="黑体" w:hAnsi="黑体" w:eastAsia="黑体"/>
          <w:b/>
          <w:sz w:val="36"/>
          <w:szCs w:val="36"/>
        </w:rPr>
        <w:t xml:space="preserve">二0二五年</w:t>
      </w:r>
      <w:r>
        <w:rPr>
          <w:rFonts w:hint="eastAsia" w:ascii="黑体" w:hAnsi="黑体" w:eastAsia="黑体"/>
          <w:b/>
          <w:sz w:val="36"/>
          <w:szCs w:val="36"/>
        </w:rPr>
        <w:t xml:space="preserve">十</w:t>
      </w:r>
      <w:r>
        <w:rPr>
          <w:rFonts w:hint="eastAsia" w:ascii="黑体" w:hAnsi="黑体" w:eastAsia="黑体"/>
          <w:b/>
          <w:sz w:val="36"/>
          <w:szCs w:val="36"/>
        </w:rPr>
        <w:t xml:space="preserve">二</w:t>
      </w:r>
      <w:r>
        <w:rPr>
          <w:rFonts w:hint="eastAsia" w:ascii="黑体" w:hAnsi="黑体" w:eastAsia="黑体"/>
          <w:b/>
          <w:sz w:val="36"/>
          <w:szCs w:val="36"/>
        </w:rPr>
        <w:t xml:space="preserve">月</w:t>
      </w:r>
      <w:r>
        <w:rPr>
          <w:rFonts w:hint="eastAsia" w:ascii="黑体" w:hAnsi="黑体" w:eastAsia="黑体"/>
          <w:b/>
          <w:sz w:val="36"/>
          <w:szCs w:val="36"/>
        </w:rPr>
        <w:t xml:space="preserve">十</w:t>
      </w:r>
      <w:r>
        <w:rPr>
          <w:rFonts w:hint="eastAsia" w:ascii="黑体" w:hAnsi="黑体" w:eastAsia="黑体"/>
          <w:b/>
          <w:sz w:val="36"/>
          <w:szCs w:val="36"/>
        </w:rPr>
        <w:t xml:space="preserve">九</w:t>
      </w:r>
      <w:r>
        <w:rPr>
          <w:rFonts w:hint="eastAsia" w:ascii="黑体" w:hAnsi="黑体" w:eastAsia="黑体"/>
          <w:b/>
          <w:sz w:val="36"/>
          <w:szCs w:val="36"/>
        </w:rPr>
        <w:t xml:space="preserve">日</w:t>
      </w:r>
      <w:r>
        <w:rPr>
          <w:rFonts w:ascii="黑体" w:hAnsi="黑体" w:eastAsia="黑体"/>
          <w:b/>
          <w:sz w:val="36"/>
          <w:szCs w:val="36"/>
        </w:rPr>
        <w:tab/>
      </w:r>
      <w:r/>
    </w:p>
    <w:p>
      <w:pPr>
        <w:ind w:firstLine="2692"/>
        <w:tabs>
          <w:tab w:val="center" w:pos="5215" w:leader="none"/>
        </w:tabs>
        <w:rPr>
          <w:rFonts w:hint="eastAsia" w:ascii="黑体" w:hAnsi="黑体" w:eastAsia="黑体"/>
          <w:b/>
          <w:bCs/>
          <w:sz w:val="36"/>
          <w:szCs w:val="36"/>
        </w:rPr>
      </w:pPr>
      <w:r>
        <w:rPr>
          <w:rFonts w:hint="eastAsia" w:ascii="黑体" w:hAnsi="黑体" w:eastAsia="黑体"/>
          <w:b/>
          <w:bCs/>
          <w:sz w:val="36"/>
          <w:szCs w:val="36"/>
        </w:rPr>
      </w:r>
      <w:r/>
    </w:p>
    <w:p>
      <w:pPr>
        <w:tabs>
          <w:tab w:val="center" w:pos="5215" w:leader="none"/>
        </w:tabs>
        <w:rPr>
          <w:rFonts w:hint="eastAsia" w:ascii="黑体" w:hAnsi="黑体" w:eastAsia="黑体"/>
          <w:b/>
          <w:bCs/>
          <w:sz w:val="36"/>
          <w:szCs w:val="36"/>
        </w:rPr>
      </w:pPr>
      <w:r>
        <w:rPr>
          <w:rFonts w:hint="eastAsia" w:ascii="黑体" w:hAnsi="黑体" w:eastAsia="黑体"/>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hint="eastAsia" w:ascii="仿宋" w:hAnsi="仿宋" w:eastAsia="仿宋"/>
          <w:sz w:val="28"/>
        </w:rPr>
      </w:pPr>
      <w:r>
        <w:rPr>
          <w:rFonts w:hint="eastAsia" w:ascii="仿宋" w:hAnsi="仿宋" w:eastAsia="仿宋"/>
          <w:sz w:val="28"/>
        </w:rPr>
        <w:t xml:space="preserve">受淮安市体育局的委托，淮安市政源工程咨询有限公司就该单位2026淮安马拉松赛事运营服务进行竞争性磋商采购，现邀请符合条件的供应商参加竞争性磋商。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52880"/>
                <wp:effectExtent l="0" t="0" r="9525" b="0"/>
                <wp:wrapNone/>
                <wp:docPr id="1" name="矩形 2"/>
                <wp:cNvGraphicFramePr/>
                <a:graphic xmlns:a="http://schemas.openxmlformats.org/drawingml/2006/main">
                  <a:graphicData uri="http://schemas.microsoft.com/office/word/2010/wordprocessingShape">
                    <wps:wsp>
                      <wps:cNvPr id="0" name=""/>
                      <wps:cNvSpPr/>
                      <wps:spPr bwMode="auto">
                        <a:xfrm>
                          <a:off x="0" y="0"/>
                          <a:ext cx="6124575" cy="1452880"/>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2026淮安马拉松赛事运营服务</w:t>
                            </w:r>
                            <w:r>
                              <w:rPr>
                                <w:rFonts w:hint="eastAsia" w:ascii="仿宋" w:hAnsi="仿宋" w:eastAsia="仿宋"/>
                                <w:sz w:val="28"/>
                                <w:szCs w:val="28"/>
                              </w:rPr>
                              <w:t xml:space="preserve">的潜在供应商应在淮安市政府采购网（http://czj.huaian.gov.cn/col/13924_326175/index.html）自行免费下载</w:t>
                            </w:r>
                            <w:r>
                              <w:rPr>
                                <w:rFonts w:hint="eastAsia" w:ascii="仿宋" w:hAnsi="仿宋" w:eastAsia="仿宋"/>
                                <w:sz w:val="28"/>
                              </w:rPr>
                              <w:t xml:space="preserve">磋商</w:t>
                            </w:r>
                            <w:r>
                              <w:rPr>
                                <w:rFonts w:hint="eastAsia" w:ascii="仿宋" w:hAnsi="仿宋" w:eastAsia="仿宋"/>
                                <w:sz w:val="28"/>
                                <w:szCs w:val="28"/>
                              </w:rPr>
                              <w:t xml:space="preserve">文件，并于2026年12月31日14点30分（北京时间）前提交响应文件。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4.4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2026淮安马拉松赛事运营服务</w:t>
                      </w:r>
                      <w:r>
                        <w:rPr>
                          <w:rFonts w:hint="eastAsia" w:ascii="仿宋" w:hAnsi="仿宋" w:eastAsia="仿宋"/>
                          <w:sz w:val="28"/>
                          <w:szCs w:val="28"/>
                        </w:rPr>
                        <w:t xml:space="preserve">的潜在供应商应在淮安市政府采购网（http://czj.huaian.gov.cn/col/13924_326175/index.html）自行免费下载</w:t>
                      </w:r>
                      <w:r>
                        <w:rPr>
                          <w:rFonts w:hint="eastAsia" w:ascii="仿宋" w:hAnsi="仿宋" w:eastAsia="仿宋"/>
                          <w:sz w:val="28"/>
                        </w:rPr>
                        <w:t xml:space="preserve">磋商</w:t>
                      </w:r>
                      <w:r>
                        <w:rPr>
                          <w:rFonts w:hint="eastAsia" w:ascii="仿宋" w:hAnsi="仿宋" w:eastAsia="仿宋"/>
                          <w:sz w:val="28"/>
                          <w:szCs w:val="28"/>
                        </w:rPr>
                        <w:t xml:space="preserve">文件，并于2026年12月31日14点30分（北京时间）前提交响应文件。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（一）项目编号:JSZC-320800-HAZY-C2025-00</w:t>
      </w:r>
      <w:r>
        <w:rPr>
          <w:rFonts w:hint="eastAsia" w:ascii="仿宋" w:hAnsi="仿宋" w:eastAsia="仿宋"/>
          <w:sz w:val="28"/>
          <w:szCs w:val="28"/>
          <w:lang w:val="en-US" w:eastAsia="zh-CN"/>
        </w:rPr>
        <w:t xml:space="preserve">07</w:t>
      </w:r>
      <w:r>
        <w:rPr>
          <w:rFonts w:hint="eastAsia" w:ascii="仿宋" w:hAnsi="仿宋" w:eastAsia="仿宋"/>
          <w:sz w:val="28"/>
          <w:szCs w:val="28"/>
        </w:rPr>
        <w:t xml:space="preserve"> </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rPr>
        <w:t xml:space="preserve">2026淮安马拉松赛事运营服务</w:t>
      </w:r>
      <w:r/>
    </w:p>
    <w:p>
      <w:pPr>
        <w:ind w:firstLine="565"/>
        <w:spacing w:line="520" w:lineRule="exact"/>
        <w:rPr>
          <w:rFonts w:hint="eastAsia"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350</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350</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bookmarkStart w:id="0" w:name="OLE_LINK6"/>
      <w:r>
        <w:rPr>
          <w:rFonts w:hint="eastAsia" w:ascii="仿宋" w:hAnsi="仿宋" w:eastAsia="仿宋"/>
          <w:sz w:val="28"/>
          <w:szCs w:val="28"/>
        </w:rPr>
        <w:t xml:space="preserve">2026淮安马拉松赛事运营服务，详见文件采购需求</w:t>
      </w:r>
      <w:bookmarkEnd w:id="0"/>
      <w:r>
        <w:rPr>
          <w:rFonts w:hint="eastAsia" w:ascii="仿宋" w:hAnsi="仿宋" w:eastAsia="仿宋"/>
          <w:sz w:val="28"/>
          <w:szCs w:val="28"/>
        </w:rPr>
        <w:t xml:space="preserve">。</w:t>
      </w:r>
      <w:r/>
    </w:p>
    <w:p>
      <w:pPr>
        <w:ind w:firstLine="565"/>
        <w:spacing w:line="500" w:lineRule="exact"/>
        <w:rPr>
          <w:rFonts w:hint="eastAsia" w:ascii="仿宋" w:hAnsi="仿宋" w:eastAsia="仿宋"/>
          <w:sz w:val="28"/>
          <w:szCs w:val="28"/>
        </w:rPr>
      </w:pPr>
      <w:r>
        <w:rPr>
          <w:rFonts w:hint="eastAsia" w:ascii="仿宋" w:hAnsi="仿宋" w:eastAsia="仿宋"/>
          <w:sz w:val="28"/>
          <w:szCs w:val="28"/>
        </w:rPr>
        <w:t xml:space="preserve">（七）合同履行期限:合同签订至2026淮安马拉松赛事结束后60日内。</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（八）本项目（□是☑否）接受联合体竞争性磋商。</w:t>
      </w:r>
      <w:r/>
    </w:p>
    <w:p>
      <w:pPr>
        <w:ind w:firstLine="565"/>
        <w:spacing w:line="520" w:lineRule="exact"/>
        <w:rPr>
          <w:rFonts w:hint="eastAsia"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bookmarkStart w:id="1" w:name="OLE_LINK8"/>
      <w:r/>
      <w:bookmarkStart w:id="2" w:name="OLE_LINK1"/>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w:t>
      </w:r>
      <w:bookmarkEnd w:id="1"/>
      <w:r>
        <w:rPr>
          <w:rFonts w:hint="eastAsia" w:ascii="仿宋" w:hAnsi="仿宋" w:eastAsia="仿宋"/>
          <w:sz w:val="28"/>
          <w:szCs w:val="28"/>
        </w:rPr>
        <w:t xml:space="preserve">，具体详见第二章“供应商须知”第36.1项</w:t>
      </w:r>
      <w:r>
        <w:rPr>
          <w:rFonts w:hint="eastAsia" w:ascii="仿宋" w:hAnsi="仿宋" w:eastAsia="仿宋"/>
          <w:sz w:val="28"/>
          <w:szCs w:val="28"/>
          <w:lang w:val="zh-CN"/>
        </w:rPr>
        <w:t xml:space="preserve">。</w:t>
      </w:r>
      <w:bookmarkEnd w:id="2"/>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sz w:val="28"/>
          <w:szCs w:val="28"/>
        </w:rPr>
        <w:t xml:space="preserve">（三）本项目的特定资格要求:无。</w:t>
      </w:r>
      <w:r/>
    </w:p>
    <w:p>
      <w:pPr>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方式：在“淮安市政府采购网”自行免费下载磋商文件。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磋商文件并进行操作。</w:t>
      </w:r>
      <w:r/>
    </w:p>
    <w:p>
      <w:pPr>
        <w:ind w:firstLine="565"/>
        <w:spacing w:line="500" w:lineRule="exact"/>
        <w:rPr>
          <w:rFonts w:hint="eastAsia"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（一）电子响应文件提交截止时间及磋商时间:2026年12</w:t>
      </w:r>
      <w:r>
        <w:rPr>
          <w:rFonts w:hint="eastAsia" w:ascii="仿宋" w:hAnsi="仿宋" w:eastAsia="仿宋"/>
          <w:sz w:val="28"/>
          <w:szCs w:val="28"/>
        </w:rPr>
        <w:t xml:space="preserve">月</w:t>
      </w:r>
      <w:r>
        <w:rPr>
          <w:rFonts w:hint="eastAsia" w:ascii="仿宋" w:hAnsi="仿宋" w:eastAsia="仿宋"/>
          <w:sz w:val="28"/>
          <w:szCs w:val="28"/>
        </w:rPr>
        <w:t xml:space="preserve">31日14</w:t>
      </w:r>
      <w:r>
        <w:rPr>
          <w:rFonts w:ascii="仿宋" w:hAnsi="仿宋" w:eastAsia="仿宋"/>
          <w:sz w:val="28"/>
          <w:szCs w:val="28"/>
        </w:rPr>
        <w:t xml:space="preserve">:30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自本公告发布之日起3个工作日。</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名称:淮安市体育局</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地址:淮安市翔宇南道1号</w:t>
      </w:r>
      <w:r/>
    </w:p>
    <w:p>
      <w:pPr>
        <w:ind w:firstLine="560"/>
        <w:spacing w:line="520" w:lineRule="exact"/>
        <w:rPr>
          <w:rFonts w:hint="eastAsia" w:ascii="仿宋" w:hAnsi="仿宋" w:eastAsia="仿宋"/>
          <w:sz w:val="28"/>
          <w:szCs w:val="28"/>
        </w:rPr>
      </w:pPr>
      <w:r/>
      <w:bookmarkStart w:id="37" w:name="_GoBack"/>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孟主任  0517-83605685</w:t>
      </w:r>
      <w:r>
        <w:rPr>
          <w:rFonts w:hint="eastAsia" w:ascii="仿宋" w:hAnsi="仿宋" w:eastAsia="仿宋"/>
          <w:sz w:val="28"/>
          <w:szCs w:val="28"/>
          <w:highlight w:val="none"/>
        </w:rPr>
        <w:t xml:space="preserve">  </w:t>
      </w:r>
      <w:bookmarkEnd w:id="37"/>
      <w:r>
        <w:rPr>
          <w:rFonts w:hint="eastAsia" w:ascii="仿宋" w:hAnsi="仿宋" w:eastAsia="仿宋"/>
          <w:sz w:val="28"/>
          <w:szCs w:val="28"/>
        </w:rPr>
        <w:t xml:space="preserve"> </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名称:淮安市政源工程咨询有限公司</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地址:淮安经济技术开发区珠海路39号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联系方式:钱刚堂  13357974810</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有关本次磋商活动的事项若存在变动或修改，敬请及时关注代理机构在“淮安市政府采购网”发布的更正公告。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宋体" w:hAnsi="宋体"/>
          <w:bCs/>
          <w:sz w:val="32"/>
        </w:rPr>
      </w:pPr>
      <w:r>
        <w:rPr>
          <w:rFonts w:hint="eastAsia" w:ascii="宋体" w:hAnsi="宋体"/>
          <w:bCs/>
          <w:sz w:val="32"/>
        </w:rPr>
      </w:r>
      <w:r/>
    </w:p>
    <w:p>
      <w:pPr>
        <w:spacing w:line="440" w:lineRule="exact"/>
        <w:rPr>
          <w:rFonts w:hint="eastAsia" w:ascii="宋体" w:hAnsi="宋体"/>
          <w:bCs/>
          <w:sz w:val="32"/>
          <w:szCs w:val="32"/>
        </w:rPr>
      </w:pPr>
      <w:r>
        <w:rPr>
          <w:rFonts w:hint="eastAsia" w:ascii="宋体" w:hAnsi="宋体"/>
          <w:bCs/>
          <w:sz w:val="32"/>
          <w:szCs w:val="32"/>
        </w:rPr>
        <w:t xml:space="preserve">               </w:t>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4.1供应商应自行承担所有与参加磋商有关的费用。不论磋商的结果如何，淮安市政源工程咨询有限公司（以下简称代理机构）和采购人在任何情况下均无义务和责任承担这些费用。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w:t>
      </w:r>
      <w:r>
        <w:rPr>
          <w:rFonts w:hint="eastAsia" w:ascii="仿宋" w:hAnsi="仿宋" w:eastAsia="仿宋"/>
          <w:sz w:val="28"/>
          <w:szCs w:val="28"/>
          <w:lang w:val="zh-CN"/>
        </w:rPr>
        <w:t xml:space="preserve">本项目代理服务费参照原计价格2002-1980号文标准打折计取，计人民币6000元整，包含在磋商报价中，不需单独列项计取。由成交单位在领取成交通知书时支付。</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（6）响应文件格式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7.磋商文件的澄清和修改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sz w:val="28"/>
          <w:szCs w:val="28"/>
        </w:rPr>
      </w:pPr>
      <w:r/>
      <w:bookmarkStart w:id="3" w:name="_Toc513029214"/>
      <w:r/>
      <w:bookmarkStart w:id="4" w:name="_Toc16938530"/>
      <w:r/>
      <w:bookmarkStart w:id="5" w:name="_Toc20823286"/>
      <w:r/>
      <w:bookmarkStart w:id="6" w:name="_Toc462564073"/>
      <w:r>
        <w:rPr>
          <w:rFonts w:hint="eastAsia" w:ascii="仿宋" w:hAnsi="仿宋" w:eastAsia="仿宋"/>
          <w:sz w:val="28"/>
          <w:szCs w:val="28"/>
        </w:rPr>
        <w:t xml:space="preserve">8．响应文件的语言及度量衡单位</w:t>
      </w:r>
      <w:bookmarkEnd w:id="3"/>
      <w:r/>
      <w:bookmarkEnd w:id="4"/>
      <w:r/>
      <w:bookmarkEnd w:id="5"/>
      <w:r/>
      <w:bookmarkEnd w:id="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hint="eastAsia" w:ascii="仿宋" w:hAnsi="仿宋" w:eastAsia="仿宋"/>
          <w:sz w:val="28"/>
          <w:szCs w:val="28"/>
        </w:rPr>
      </w:pPr>
      <w:r/>
      <w:bookmarkStart w:id="7" w:name="_Toc513029215"/>
      <w:r/>
      <w:bookmarkStart w:id="8" w:name="_Toc462564074"/>
      <w:r/>
      <w:bookmarkStart w:id="9" w:name="_Toc20823287"/>
      <w:r/>
      <w:bookmarkStart w:id="10" w:name="_Toc16938531"/>
      <w:r>
        <w:rPr>
          <w:rFonts w:hint="eastAsia" w:ascii="仿宋" w:hAnsi="仿宋" w:eastAsia="仿宋"/>
          <w:sz w:val="28"/>
          <w:szCs w:val="28"/>
        </w:rPr>
        <w:t xml:space="preserve">9．响应文件构成</w:t>
      </w:r>
      <w:bookmarkEnd w:id="7"/>
      <w:r/>
      <w:bookmarkEnd w:id="8"/>
      <w:r/>
      <w:bookmarkEnd w:id="9"/>
      <w:r/>
      <w:bookmarkEnd w:id="10"/>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sz w:val="28"/>
          <w:szCs w:val="28"/>
        </w:rPr>
      </w:pPr>
      <w:r/>
      <w:bookmarkStart w:id="11" w:name="_Toc513029219"/>
      <w:r/>
      <w:bookmarkStart w:id="12" w:name="_Toc49090509"/>
      <w:r/>
      <w:bookmarkStart w:id="13" w:name="_Toc14577357"/>
      <w:r/>
      <w:bookmarkStart w:id="14" w:name="_Toc513029216"/>
      <w:r/>
      <w:bookmarkStart w:id="15" w:name="_Toc14577354"/>
      <w:r/>
      <w:bookmarkStart w:id="16" w:name="_Toc49090507"/>
      <w:r/>
      <w:bookmarkStart w:id="17" w:name="_Toc14577355"/>
      <w:r/>
      <w:bookmarkStart w:id="18" w:name="_Toc49090508"/>
      <w:r>
        <w:rPr>
          <w:rFonts w:hint="eastAsia" w:ascii="仿宋" w:hAnsi="仿宋" w:eastAsia="仿宋"/>
          <w:sz w:val="28"/>
          <w:szCs w:val="28"/>
        </w:rPr>
        <w:t xml:space="preserve">10．证明磋商响应标的符合磋商文件规定的文件</w:t>
      </w:r>
      <w:bookmarkEnd w:id="11"/>
      <w:r/>
      <w:bookmarkEnd w:id="12"/>
      <w:r/>
      <w:bookmarkEnd w:id="13"/>
      <w:r/>
      <w:bookmarkEnd w:id="14"/>
      <w:r/>
      <w:bookmarkEnd w:id="15"/>
      <w:r/>
      <w:bookmarkEnd w:id="1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10.1供应商应按照磋商文件要求提交证明文件，证明其及磋商响应标的符合磋商文件规定。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17"/>
      <w:r/>
      <w:bookmarkEnd w:id="18"/>
      <w:r/>
      <w:r/>
    </w:p>
    <w:p>
      <w:pPr>
        <w:spacing w:line="520" w:lineRule="exact"/>
        <w:rPr>
          <w:rFonts w:hint="eastAsia"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sz w:val="28"/>
          <w:szCs w:val="28"/>
        </w:rPr>
      </w:pPr>
      <w:r/>
      <w:bookmarkStart w:id="19" w:name="_Hlt26954731"/>
      <w:r/>
      <w:bookmarkEnd w:id="19"/>
      <w:r/>
      <w:bookmarkStart w:id="20" w:name="_Hlt26670482"/>
      <w:r/>
      <w:bookmarkEnd w:id="20"/>
      <w:r/>
      <w:bookmarkStart w:id="21" w:name="_Hlt26954846"/>
      <w:r/>
      <w:bookmarkEnd w:id="21"/>
      <w:r/>
      <w:bookmarkStart w:id="22" w:name="_Hlt26670486"/>
      <w:r/>
      <w:bookmarkEnd w:id="22"/>
      <w:r/>
      <w:bookmarkStart w:id="23" w:name="_Hlt26954848"/>
      <w:r/>
      <w:bookmarkEnd w:id="23"/>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p>
    <w:p>
      <w:pPr>
        <w:spacing w:line="520" w:lineRule="exact"/>
        <w:rPr>
          <w:rFonts w:hint="eastAsia" w:ascii="仿宋" w:hAnsi="仿宋" w:eastAsia="仿宋"/>
          <w:sz w:val="28"/>
          <w:szCs w:val="28"/>
        </w:rPr>
      </w:pPr>
      <w:r/>
      <w:bookmarkStart w:id="24" w:name="_Toc14577359"/>
      <w:r/>
      <w:bookmarkStart w:id="25" w:name="_Toc49090510"/>
      <w:r>
        <w:rPr>
          <w:rFonts w:hint="eastAsia" w:ascii="仿宋" w:hAnsi="仿宋" w:eastAsia="仿宋"/>
          <w:sz w:val="28"/>
          <w:szCs w:val="28"/>
        </w:rPr>
        <w:t xml:space="preserve">14.磋商响应函</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bookmarkEnd w:id="24"/>
      <w:r/>
      <w:bookmarkEnd w:id="25"/>
      <w:r/>
      <w:r/>
    </w:p>
    <w:p>
      <w:pPr>
        <w:spacing w:line="520" w:lineRule="exact"/>
        <w:rPr>
          <w:rFonts w:hint="eastAsia" w:ascii="仿宋" w:hAnsi="仿宋" w:eastAsia="仿宋"/>
          <w:sz w:val="28"/>
          <w:szCs w:val="28"/>
        </w:rPr>
      </w:pPr>
      <w:r>
        <w:rPr>
          <w:rFonts w:hint="eastAsia" w:ascii="仿宋" w:hAnsi="仿宋" w:eastAsia="仿宋"/>
          <w:sz w:val="28"/>
          <w:szCs w:val="28"/>
        </w:rPr>
        <w:t xml:space="preserve">15.方案部分（如本项目涉及的话）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15.1本项目评标标准中的方案部分</w:t>
      </w:r>
      <w:r>
        <w:rPr>
          <w:rFonts w:hint="eastAsia" w:ascii="仿宋" w:hAnsi="仿宋" w:eastAsia="仿宋"/>
          <w:b/>
          <w:bCs/>
          <w:sz w:val="28"/>
          <w:szCs w:val="28"/>
          <w:u w:val="single"/>
        </w:rPr>
        <w:t xml:space="preserve">不采用</w:t>
      </w:r>
      <w:r>
        <w:rPr>
          <w:rFonts w:hint="eastAsia" w:ascii="仿宋" w:hAnsi="仿宋" w:eastAsia="仿宋"/>
          <w:sz w:val="28"/>
          <w:szCs w:val="28"/>
        </w:rPr>
        <w:t xml:space="preserve">暗标方式进行评审。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15.2编制要求：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15.3供应商需按15.2的要求编制方案，否则按未提供方案处理。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16.磋商有效期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16.1磋商有效期为从磋商之日起计算的九十天。磋商有效期比规定短的将被视为</w:t>
      </w:r>
      <w:r>
        <w:rPr>
          <w:rFonts w:hint="eastAsia" w:ascii="仿宋" w:hAnsi="仿宋" w:eastAsia="仿宋"/>
          <w:sz w:val="28"/>
          <w:szCs w:val="28"/>
          <w:lang w:val="zh-CN"/>
        </w:rPr>
        <w:t xml:space="preserve">非响应磋商而予以拒绝。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sz w:val="28"/>
          <w:szCs w:val="28"/>
        </w:rPr>
      </w:pPr>
      <w:r>
        <w:rPr>
          <w:rFonts w:hint="eastAsia" w:ascii="仿宋" w:hAnsi="仿宋" w:eastAsia="仿宋"/>
          <w:sz w:val="28"/>
          <w:szCs w:val="28"/>
        </w:rPr>
        <w:t xml:space="preserve">17.响应文件的签署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18.响应文件的上传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r/>
    </w:p>
    <w:p>
      <w:pPr>
        <w:spacing w:line="520" w:lineRule="exact"/>
        <w:rPr>
          <w:rFonts w:hint="eastAsia" w:ascii="仿宋" w:hAnsi="仿宋" w:eastAsia="仿宋"/>
          <w:sz w:val="28"/>
          <w:szCs w:val="28"/>
        </w:rPr>
      </w:pPr>
      <w:r>
        <w:rPr>
          <w:rFonts w:hint="eastAsia" w:ascii="仿宋" w:hAnsi="仿宋" w:eastAsia="仿宋"/>
          <w:sz w:val="28"/>
          <w:szCs w:val="28"/>
        </w:rPr>
        <w:t xml:space="preserve">19.提交响应文件截止时间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20.1在磋商文件规定的提交响应文件截止时间后上传的任何电子响应文件。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21.1.1供应商可在提交响应文件截止时间前，登录“苏采云”撤回电子响应文件。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21.1.2供应商在提交响应文件截止时间前撤回电子响应文件，且未重新上传的，则认为其不再参与本项目磋商活动。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21.2.1供应商可在提交响应文件截止时间前，登录“苏采云”修改电子响应文件，电子响应文件以最终完成上传的为准。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21.2.2供应商不得在提交响应文件截止时间之后修改电子响应文件。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得在提交电子响应文件截止时间起至磋商有效期满前撤回、修改电子响应文件。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hint="eastAsia" w:ascii="仿宋" w:hAnsi="仿宋" w:eastAsia="仿宋"/>
          <w:sz w:val="28"/>
          <w:szCs w:val="28"/>
        </w:rPr>
      </w:pPr>
      <w:r/>
      <w:bookmarkStart w:id="26" w:name="_Toc16938546"/>
      <w:r/>
      <w:bookmarkStart w:id="27" w:name="_Toc513029230"/>
      <w:r/>
      <w:bookmarkStart w:id="28" w:name="_Toc20823302"/>
      <w:r>
        <w:rPr>
          <w:rFonts w:hint="eastAsia" w:ascii="仿宋" w:hAnsi="仿宋" w:eastAsia="仿宋"/>
          <w:sz w:val="28"/>
          <w:szCs w:val="28"/>
        </w:rPr>
        <w:t xml:space="preserve">2</w:t>
      </w:r>
      <w:bookmarkEnd w:id="26"/>
      <w:r/>
      <w:bookmarkEnd w:id="27"/>
      <w:r/>
      <w:bookmarkEnd w:id="28"/>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23.1代理机构将组织磋商小组对响应文件进行评审。磋商小组由采购人代表和有关技术、经济等方面的专家组成，且人员构成符合政府采购有关规定。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代理机构和磋商小组不向未成交的供应商解释未成交原因，也不公布评审过程中的相关细节。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9" w:name="_Toc16938548"/>
      <w:r/>
      <w:bookmarkStart w:id="30" w:name="_Toc20823304"/>
      <w:r/>
      <w:bookmarkStart w:id="31" w:name="_Toc513029232"/>
      <w:r>
        <w:rPr>
          <w:rFonts w:hint="eastAsia" w:ascii="仿宋" w:hAnsi="仿宋" w:eastAsia="仿宋"/>
          <w:sz w:val="28"/>
          <w:szCs w:val="28"/>
        </w:rPr>
        <w:t xml:space="preserve">25.评审过程中的澄清</w:t>
      </w:r>
      <w:bookmarkEnd w:id="29"/>
      <w:r/>
      <w:bookmarkEnd w:id="30"/>
      <w:r/>
      <w:bookmarkEnd w:id="3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接到磋商小组澄清、说明和更正要求的供应商如未按规定作出澄清、说明和更正，其风险由供应商自行承担。</w:t>
      </w:r>
      <w:r/>
    </w:p>
    <w:p>
      <w:pPr>
        <w:spacing w:line="520" w:lineRule="exact"/>
        <w:rPr>
          <w:rFonts w:hint="eastAsia" w:ascii="仿宋" w:hAnsi="仿宋" w:eastAsia="仿宋"/>
          <w:sz w:val="28"/>
          <w:szCs w:val="28"/>
        </w:rPr>
      </w:pPr>
      <w:r/>
      <w:bookmarkStart w:id="32" w:name="_Toc513029233"/>
      <w:r/>
      <w:bookmarkStart w:id="33" w:name="_Toc20823305"/>
      <w:r/>
      <w:bookmarkStart w:id="34" w:name="_Toc16938549"/>
      <w:r>
        <w:rPr>
          <w:rFonts w:hint="eastAsia" w:ascii="仿宋" w:hAnsi="仿宋" w:eastAsia="仿宋"/>
          <w:sz w:val="28"/>
          <w:szCs w:val="28"/>
        </w:rPr>
        <w:t xml:space="preserve">26.对响应文件的审</w:t>
      </w:r>
      <w:bookmarkEnd w:id="32"/>
      <w:r/>
      <w:bookmarkEnd w:id="33"/>
      <w:r/>
      <w:bookmarkEnd w:id="34"/>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26.3.7不符合磋商文件中规定的实质性要求和条件的（实质性要求和条件是指本磋商文件中用带星号（“★”）的商务和技术要求）。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26.3.9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26.3.10响应文件未按照磋商文件要求加盖CA电子公章的。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26.3.11其他法律、法规及本磋商文件规定的属无效响应的情形。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30.2代理机构将在淮安市政府采购网发布成交结果公告。</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30.3成交候选人在合同签订前，如经查实从参加该成交项目之日起计算所参加的政府采购活动前三年内，在经营活动中有行贿犯罪记录的，代理机构将报告主管部门取消其成交候选人资格。</w:t>
      </w:r>
      <w:r/>
    </w:p>
    <w:p>
      <w:pPr>
        <w:spacing w:line="520" w:lineRule="exact"/>
        <w:rPr>
          <w:rFonts w:hint="eastAsia" w:ascii="仿宋" w:hAnsi="仿宋" w:eastAsia="仿宋"/>
          <w:sz w:val="28"/>
        </w:rPr>
      </w:pPr>
      <w:r>
        <w:rPr>
          <w:rFonts w:hint="eastAsia" w:ascii="仿宋" w:hAnsi="仿宋" w:eastAsia="仿宋"/>
          <w:sz w:val="28"/>
        </w:rPr>
        <w:t xml:space="preserve">31.成交通知书</w:t>
      </w:r>
      <w:r/>
    </w:p>
    <w:p>
      <w:pPr>
        <w:ind w:firstLine="560"/>
        <w:spacing w:line="520" w:lineRule="exact"/>
        <w:rPr>
          <w:rFonts w:hint="eastAsia" w:ascii="仿宋" w:hAnsi="仿宋" w:eastAsia="仿宋"/>
          <w:sz w:val="28"/>
        </w:rPr>
      </w:pPr>
      <w:r>
        <w:rPr>
          <w:rFonts w:hint="eastAsia" w:ascii="仿宋" w:hAnsi="仿宋" w:eastAsia="仿宋"/>
          <w:sz w:val="28"/>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rPr>
      </w:pPr>
      <w:r>
        <w:rPr>
          <w:rFonts w:hint="eastAsia" w:ascii="仿宋" w:hAnsi="仿宋" w:eastAsia="仿宋"/>
          <w:sz w:val="28"/>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32.签订合同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32.2成交供应商自成交通知书发出之日起三十日内无正当理由不与采购人签订合同的，将按规定进行处理。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33.货物和服务的减少</w: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pStyle w:val="917"/>
        <w:spacing w:line="520" w:lineRule="exact"/>
        <w:rPr>
          <w:rFonts w:hint="eastAsia" w:ascii="仿宋" w:hAnsi="仿宋" w:eastAsia="仿宋"/>
          <w:b/>
          <w:bCs/>
          <w:sz w:val="28"/>
          <w:szCs w:val="28"/>
        </w:rPr>
      </w:pPr>
      <w:r>
        <w:rPr>
          <w:rFonts w:hint="eastAsia" w:ascii="仿宋" w:hAnsi="仿宋" w:eastAsia="仿宋"/>
          <w:b/>
          <w:bCs/>
          <w:sz w:val="28"/>
          <w:szCs w:val="28"/>
        </w:rPr>
        <w:t xml:space="preserve">34.履约保证金</w:t>
      </w:r>
      <w:r/>
    </w:p>
    <w:p>
      <w:pPr>
        <w:ind w:firstLine="560"/>
        <w:spacing w:line="520" w:lineRule="exact"/>
        <w:rPr>
          <w:rFonts w:hint="eastAsia" w:ascii="仿宋" w:hAnsi="仿宋" w:eastAsia="仿宋"/>
          <w:sz w:val="28"/>
          <w:szCs w:val="28"/>
          <w:highlight w:val="red"/>
        </w:rPr>
      </w:pPr>
      <w:r>
        <w:rPr>
          <w:rFonts w:hint="eastAsia" w:ascii="仿宋" w:hAnsi="仿宋" w:eastAsia="仿宋"/>
          <w:sz w:val="28"/>
          <w:szCs w:val="28"/>
        </w:rPr>
        <w:t xml:space="preserve">本项目不收取履约保证金</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35.5质疑函应当包括以下主要内容，附上相关证明材料。否则，代理机构不予受理。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35.7对于内容、格式符合规定的质疑函，采购人将在七个工作日内以电子文件的形式作出答复，但质疑答复的内容不涉及商业秘密。如果质疑供应商还需要纸质形式回复函的，需主动与代理机构联系索取，或者在质疑函中明确提出该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36.政策功能落实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（1）残疾人福利单位需按照采购文件的要求提供《残疾人福利性单位声明函》，详见采购文件第六章示范格式。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37. 节能、环保政策（本项目不涉及）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38．政府绿色采购</w:t>
      </w:r>
      <w:r>
        <w:rPr>
          <w:rFonts w:hint="eastAsia" w:ascii="仿宋" w:hAnsi="仿宋" w:eastAsia="仿宋"/>
          <w:sz w:val="28"/>
          <w:szCs w:val="28"/>
        </w:rPr>
        <w:t xml:space="preserve">（本项目不涉及）</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927"/>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927"/>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rPr>
      </w:pPr>
      <w:r>
        <w:rPr>
          <w:rFonts w:hint="eastAsia" w:ascii="仿宋" w:hAnsi="仿宋" w:eastAsia="仿宋"/>
          <w:sz w:val="28"/>
          <w:szCs w:val="28"/>
        </w:rPr>
        <w:t xml:space="preserve">39. 履约资金扶持政策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1、价格:10分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采用低价优先法计算，满足磋商文件要求且最后报价最低为磋商基准价，其价格分为满分。其他供应商的价格分按照下列公式计算（小数点保留两位）: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磋商报价得分＝（磋商基准价/最后磋商报价）×</w:t>
      </w:r>
      <w:r>
        <w:rPr>
          <w:rFonts w:hint="eastAsia" w:ascii="仿宋" w:hAnsi="仿宋" w:eastAsia="仿宋"/>
          <w:sz w:val="28"/>
          <w:szCs w:val="28"/>
        </w:rPr>
        <w:t xml:space="preserve">10</w:t>
      </w:r>
      <w:r>
        <w:rPr>
          <w:rFonts w:ascii="仿宋" w:hAnsi="仿宋" w:eastAsia="仿宋"/>
          <w:sz w:val="28"/>
          <w:szCs w:val="28"/>
        </w:rPr>
        <w:t xml:space="preserve">分</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2、方案部分：</w:t>
      </w:r>
      <w:r>
        <w:rPr>
          <w:rFonts w:hint="eastAsia" w:ascii="仿宋" w:hAnsi="仿宋" w:eastAsia="仿宋"/>
          <w:b/>
          <w:bCs/>
          <w:sz w:val="28"/>
          <w:szCs w:val="28"/>
        </w:rPr>
        <w:t xml:space="preserve">45</w:t>
      </w:r>
      <w:r>
        <w:rPr>
          <w:rFonts w:ascii="仿宋" w:hAnsi="仿宋" w:eastAsia="仿宋"/>
          <w:b/>
          <w:bCs/>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供应商按照下列要求提供方案，磋商小组根据供应商提供的方案进行评分，不提供分项方案或者经三分之二磋商小组认定分项方案存在重大偏离的，该分项不得分。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（1）赛事总体方案（10分）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方案包括赛事场地设计、路线设计、特色活动、特色服务等。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①方案内容完整、流程规范合理、工作制度完善的得10分；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②方案内容较完整、流程较规范合理、工作制度较完善的得5分；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③方案内容较不完整、流程较不规范合理、工作制度较不完善的得3分。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（2）竞赛组织工作方案（10分）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方案包括竞赛规程、裁判工作方案、收容方案、志愿者工作方案、计时方案、整体工作计划、招商方案等。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①方案内容科学合理、可行性高的得10分；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②方案内容较科学合理、具有一定可行性的得5分。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（3）医疗保障措施（9分）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方案包括组织领导设置、现场医疗急救保障组设置、各部门任务分工设置、第三方医疗系统方案等。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①方案内容科学合理、可行性高的得9分；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②方案内容较科学合理、具有一定可行性的得4分。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（4）突发事件处理方案（8分）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方案包括组织体系及职责、预防和预警机制、应急保障等，并对发生猝死情况制定应急处置方案。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①方案内容科学合理、可行性高的得8分；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②方案内容较科学合理、具有一定可行性的得4分。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（5）安全保卫方案（8分）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方案包括组织领导设置、岗位分工等。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①方案内容科学合理、可行性高的得8分；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②方案内容较科学合理、具有一定可行性的得4分。</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3、商务部分：45分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（1）自2020年1月1</w:t>
      </w:r>
      <w:r>
        <w:rPr>
          <w:rFonts w:hint="eastAsia" w:ascii="仿宋" w:hAnsi="仿宋" w:eastAsia="仿宋"/>
          <w:sz w:val="28"/>
          <w:szCs w:val="28"/>
          <w:highlight w:val="none"/>
        </w:rPr>
        <w:t xml:space="preserve">日以来</w:t>
      </w:r>
      <w:r>
        <w:rPr>
          <w:rFonts w:hint="eastAsia" w:ascii="仿宋" w:hAnsi="仿宋" w:eastAsia="仿宋"/>
          <w:sz w:val="28"/>
          <w:szCs w:val="28"/>
        </w:rPr>
        <w:t xml:space="preserve">，供应商主办的或承办的或运营过世界田联金标及以上赛事的得10分，主办的或承办的或运营过其余世界田联标牌赛事的得5分。（提供赛事承办或运营协议、世界田联官网截图及赛事等级证书</w:t>
      </w:r>
      <w:r>
        <w:rPr>
          <w:rFonts w:hint="eastAsia" w:ascii="仿宋" w:hAnsi="仿宋" w:eastAsia="仿宋"/>
          <w:sz w:val="28"/>
          <w:szCs w:val="28"/>
          <w:lang w:val="zh-CN"/>
        </w:rPr>
        <w:t xml:space="preserve">扫描件加盖供应商电子签章，</w:t>
      </w:r>
      <w:r>
        <w:rPr>
          <w:rFonts w:hint="eastAsia" w:ascii="仿宋" w:hAnsi="仿宋" w:eastAsia="仿宋"/>
          <w:sz w:val="28"/>
          <w:szCs w:val="28"/>
        </w:rPr>
        <w:t xml:space="preserve">运营过多场标牌赛事的不累计计算，</w:t>
      </w:r>
      <w:r>
        <w:rPr>
          <w:rFonts w:hint="eastAsia" w:ascii="仿宋" w:hAnsi="仿宋" w:eastAsia="仿宋"/>
          <w:sz w:val="28"/>
          <w:szCs w:val="28"/>
          <w:lang w:val="zh-CN"/>
        </w:rPr>
        <w:t xml:space="preserve">未提供或提供不全的本项不得分</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（2）供应商具有马拉松赛事信息技术开发著作权或专利技术，每提供一项著作权或专利技术证明材料的得1分，本项最多得6分。（提供相关证明材料</w:t>
      </w:r>
      <w:r>
        <w:rPr>
          <w:rFonts w:hint="eastAsia" w:ascii="仿宋" w:hAnsi="仿宋" w:eastAsia="仿宋"/>
          <w:sz w:val="28"/>
          <w:szCs w:val="28"/>
          <w:lang w:val="zh-CN"/>
        </w:rPr>
        <w:t xml:space="preserve">扫描件加盖供应商电子签章</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（3）供应商关于马拉松赛事相关设计或制作物</w:t>
      </w:r>
      <w:r>
        <w:rPr>
          <w:rFonts w:hint="eastAsia" w:ascii="仿宋" w:hAnsi="仿宋" w:eastAsia="仿宋"/>
          <w:sz w:val="28"/>
          <w:szCs w:val="28"/>
          <w:highlight w:val="none"/>
        </w:rPr>
        <w:t xml:space="preserve">获得过设计类奖项</w:t>
      </w:r>
      <w:r>
        <w:rPr>
          <w:rFonts w:hint="eastAsia" w:ascii="仿宋" w:hAnsi="仿宋" w:eastAsia="仿宋"/>
          <w:sz w:val="28"/>
          <w:szCs w:val="28"/>
        </w:rPr>
        <w:t xml:space="preserve">的得5分。（提供相关证明材料</w:t>
      </w:r>
      <w:r>
        <w:rPr>
          <w:rFonts w:hint="eastAsia" w:ascii="仿宋" w:hAnsi="仿宋" w:eastAsia="仿宋"/>
          <w:sz w:val="28"/>
          <w:szCs w:val="28"/>
          <w:lang w:val="zh-CN"/>
        </w:rPr>
        <w:t xml:space="preserve">扫描件加盖供应商电子签章</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（4）供应商团队成员具备中国田径协会颁发的“竞赛组织管理培训”“比赛监督培训”“路跑赛事医疗体系构建与急救管理”“路跑赛事媒体传播专题培训”“公路丈量员培训”</w:t>
      </w:r>
      <w:r>
        <w:rPr>
          <w:rFonts w:hint="eastAsia" w:ascii="仿宋" w:hAnsi="仿宋" w:eastAsia="仿宋"/>
          <w:sz w:val="28"/>
          <w:szCs w:val="28"/>
          <w:highlight w:val="none"/>
        </w:rPr>
        <w:t xml:space="preserve">等结业培训证书，每提供1种得2分，本项最高得10分。</w:t>
      </w:r>
      <w:r>
        <w:rPr>
          <w:rFonts w:hint="eastAsia" w:ascii="仿宋" w:hAnsi="仿宋" w:eastAsia="仿宋"/>
          <w:sz w:val="28"/>
          <w:szCs w:val="28"/>
        </w:rPr>
        <w:t xml:space="preserve">（提供相关人员证书及2025年1月以来任意1个月供应商为其缴纳社保证明材料</w:t>
      </w:r>
      <w:r>
        <w:rPr>
          <w:rFonts w:hint="eastAsia" w:ascii="仿宋" w:hAnsi="仿宋" w:eastAsia="仿宋"/>
          <w:sz w:val="28"/>
          <w:szCs w:val="28"/>
          <w:lang w:val="zh-CN"/>
        </w:rPr>
        <w:t xml:space="preserve">扫描件加盖供应商电子签章</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（5）供应商团队成员具备马拉松或路跑项目社会体育指导员证书的得2分。（提供相关人员证书及2025年1月以来任意1个月供应商为其缴纳社保证明材料</w:t>
      </w:r>
      <w:r>
        <w:rPr>
          <w:rFonts w:hint="eastAsia" w:ascii="仿宋" w:hAnsi="仿宋" w:eastAsia="仿宋"/>
          <w:sz w:val="28"/>
          <w:szCs w:val="28"/>
          <w:lang w:val="zh-CN"/>
        </w:rPr>
        <w:t xml:space="preserve">扫描件加盖供应商电子签章</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供应商运行的马拉松赛事在中国田径协会“路跑赛事典型案例”征集活动中，获得过“具有影响力典型案例”或“城市形象媒体传播典型案例”的，每项案例得4分，本项最高得8分。（提供中国田径协会相关证明文件加盖</w:t>
      </w:r>
      <w:r>
        <w:rPr>
          <w:rFonts w:hint="eastAsia" w:ascii="仿宋" w:hAnsi="仿宋" w:eastAsia="仿宋"/>
          <w:sz w:val="28"/>
          <w:szCs w:val="28"/>
          <w:lang w:val="zh-CN"/>
        </w:rPr>
        <w:t xml:space="preserve">供应商电子签章</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7</w:t>
      </w:r>
      <w:r>
        <w:rPr>
          <w:rFonts w:hint="eastAsia" w:ascii="仿宋" w:hAnsi="仿宋" w:eastAsia="仿宋"/>
          <w:sz w:val="28"/>
          <w:szCs w:val="28"/>
          <w:lang w:val="zh-CN"/>
        </w:rPr>
        <w:t xml:space="preserve">）供应商获</w:t>
      </w:r>
      <w:r>
        <w:rPr>
          <w:rFonts w:hint="eastAsia" w:ascii="仿宋" w:hAnsi="仿宋" w:eastAsia="仿宋"/>
          <w:sz w:val="28"/>
          <w:szCs w:val="28"/>
          <w:highlight w:val="none"/>
          <w:lang w:val="zh-CN"/>
        </w:rPr>
        <w:t xml:space="preserve">得过体育类相关表彰的，国家级的得</w:t>
      </w:r>
      <w:r>
        <w:rPr>
          <w:rFonts w:hint="eastAsia" w:ascii="仿宋" w:hAnsi="仿宋" w:eastAsia="仿宋"/>
          <w:sz w:val="28"/>
          <w:szCs w:val="28"/>
          <w:highlight w:val="none"/>
        </w:rPr>
        <w:t xml:space="preserve">4</w:t>
      </w:r>
      <w:r>
        <w:rPr>
          <w:rFonts w:hint="eastAsia" w:ascii="仿宋" w:hAnsi="仿宋" w:eastAsia="仿宋"/>
          <w:sz w:val="28"/>
          <w:szCs w:val="28"/>
          <w:highlight w:val="none"/>
          <w:lang w:val="zh-CN"/>
        </w:rPr>
        <w:t xml:space="preserve">分，地市级的得</w:t>
      </w:r>
      <w:r>
        <w:rPr>
          <w:rFonts w:hint="eastAsia" w:ascii="仿宋" w:hAnsi="仿宋" w:eastAsia="仿宋"/>
          <w:sz w:val="28"/>
          <w:szCs w:val="28"/>
          <w:highlight w:val="none"/>
        </w:rPr>
        <w:t xml:space="preserve">2分</w:t>
      </w:r>
      <w:r>
        <w:rPr>
          <w:rFonts w:hint="eastAsia" w:ascii="仿宋" w:hAnsi="仿宋" w:eastAsia="仿宋"/>
          <w:sz w:val="28"/>
          <w:szCs w:val="28"/>
          <w:highlight w:val="none"/>
          <w:lang w:val="zh-CN"/>
        </w:rPr>
        <w:t xml:space="preserve">。</w:t>
      </w:r>
      <w:r>
        <w:rPr>
          <w:rFonts w:hint="eastAsia" w:ascii="仿宋" w:hAnsi="仿宋" w:eastAsia="仿宋"/>
          <w:sz w:val="28"/>
          <w:szCs w:val="28"/>
          <w:lang w:val="zh-CN"/>
        </w:rPr>
        <w:t xml:space="preserve">（提供相关表彰文件证明材料并加供应商电子签章）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br w:type="page" w:clear="all"/>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917"/>
        <w:ind w:firstLine="4200"/>
        <w:spacing w:line="520" w:lineRule="exact"/>
        <w:rPr>
          <w:rFonts w:hint="eastAsia" w:ascii="仿宋" w:hAnsi="仿宋" w:eastAsia="仿宋"/>
          <w:sz w:val="28"/>
          <w:szCs w:val="28"/>
        </w:rPr>
      </w:pPr>
      <w:r>
        <w:rPr>
          <w:rFonts w:hint="eastAsia" w:ascii="仿宋" w:hAnsi="仿宋" w:eastAsia="仿宋"/>
          <w:sz w:val="28"/>
          <w:szCs w:val="28"/>
        </w:rPr>
        <w:t xml:space="preserve">合同格式</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 </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甲、乙双方根据项目编号</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的</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采购项目磋商采购结果及磋商文件的要求,经协商一致,达成如下合同:</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为共同推进马拉松运动在淮安的开展，凝聚和发挥社会力量，甲、乙双方经过友好协商，就赛事的市场开发及运营推广等事宜达成如下协议：2026淮安马拉松定位于打造规模约1.5万人大型赛事，以中国田径协会A1类赛事为标准，严格按照中国田径协会要求，科学严谨、精致人文、系统规范地进行赛事组织，努力实现组织工作的提升和创新，确保赛事举办热烈、顺利、安全、圆满。</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定义及解释</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在本协议及其附件中，除非另有规定，下列词语的含义如下：</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赛事：在本协议中特指由淮安市人民政府主办，中共淮安市委宣传部、淮安市体育局、淮安市文旅集团、淮安经济技术开发区管委会、清江浦区人民政府、淮安区人民政府、生态文旅区管理办公室等承办等单位协办的2026淮安马拉松赛事。</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协议期限：指自本协议签订生效之日起至比赛结束60日内。</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赞助企业：是指经授权享有与赛事相关的商业权利并与甲方或乙方签署赞助协议，且获得授予赛事相关称谓及相关权益的实体，包括赛事合作伙伴及各等级赞助商、供应商、服务商等。</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市场开发权：是指围绕赛事资源进行商业开发活动的权利。甲方或乙方根据本协议约定共同或单独利用赛事资源进行商业开发活动，并享有赛事的商业开发及运营收益。</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除另有说明，所称条、款及附件应为本协议的条、款和附件。</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标题仅为方便阅读而设，不具有法律效力，不构成对本协议的解释。</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赛事基本情况</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赛事目标： </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赛事时间：2026年  月  日。</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主办单位：</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比赛项目：</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赛事规模：（15000人）全程马拉松：8000人（42.195公里），半程马拉松（21.0975公里）7000人。</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赛事路线：赛事起点为</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，终点为</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。甲方有权根据具体情况对赛事路线进行调整，并至少于开放报名前3天通知乙方。</w:t>
      </w:r>
      <w:r/>
    </w:p>
    <w:p>
      <w:pPr>
        <w:ind w:firstLine="560"/>
        <w:spacing w:line="520" w:lineRule="exact"/>
        <w:rPr>
          <w:rFonts w:hint="eastAsia" w:ascii="仿宋" w:hAnsi="仿宋" w:eastAsia="仿宋" w:cs="Arial Unicode MS"/>
          <w:color w:val="000000"/>
          <w:sz w:val="28"/>
          <w:szCs w:val="28"/>
        </w:rPr>
      </w:pPr>
      <w:r/>
      <w:bookmarkStart w:id="35" w:name="OLE_LINK5"/>
      <w:r>
        <w:rPr>
          <w:rFonts w:hint="eastAsia" w:ascii="仿宋" w:hAnsi="仿宋" w:eastAsia="仿宋" w:cs="Arial Unicode MS"/>
          <w:color w:val="000000"/>
          <w:sz w:val="28"/>
          <w:szCs w:val="28"/>
        </w:rPr>
        <w:t xml:space="preserve">第三条 甲方的权利和义务</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1.甲方的权利</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1.1甲方拥有赛事的举办权，形象设计方案、市场开发方案、运营及推广方案等的审批权；有权对乙方按照本协议约定落实赛事市场开发和赛事运营工作情况进行审核；享有与赛事相关标识、徽标、作品、特许产品的设计制作、赛事官方网站、官方微博等与赛事相关的全部知识产权；</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1.2甲方对于乙方履行本协议项下的各项义务具有监督权和审核权，有权对于乙方的各项工作进行指导并提出意见和建议，乙方所执行的所有工作内容须在甲方确认后方可实施，但乙方应提前三天书面向甲方提交需甲方确认的工作内容；</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1.3乙方与其他第三方签署的与赛事相关的协议违反相关法律法规或侵害甲方或第三方权益，应当承担的法律责任。</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2.甲方的义务</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2.1甲方负责依据赛事报批相关规定，完成赛事的报批工作；参赛选手的背景审查工作；协调落实赛事相关的交通管控、安全保障、市容卫生、医疗防疫、志愿者招募、裁判、赛事宣传、公交摆渡等与赛事组织和运营相关的工作；负责策划与组织新闻发布会，邀请网络、报纸等平面媒体、自媒体、流媒体、新媒体等对赛事进行宣传报道，做好赛事现场媒体服务，制作赛事宣传片及短视频等，并承担上述工作产生的费用；</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2.2尽最大努力为乙方享有本协议项下权利并履行本协议项下义务提供便利，并满足乙方为赛事的推广和赞助提出的合理需求，为乙方协调引进赛事赞助冠名商；</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第四条 乙方的权利和义务</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1.乙方的权利，以乙方完全履行本协议项下的各项义务为前提，乙方对赛事享有如下权利，并有权收取赛事运营费用：</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1.1乙方享有赛事特许产品的设计制作及经营权，乙方应当将特许产品的设计方案事先提交甲方书面同意后，方可投入制作；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1.2乙方不得将其在本协议项下甲方授予其开发、经营的赛事商业权益的权利全部或部分转包给第三方；</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1.3乙方按照甲方事先制定的赛事报名费标准收取报名费用，并拥有全部赛事报名费的收益。</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1.4如乙方超出本条款约定的范围对赛事进行商业开发时，应当事先取得甲方的书面同意。</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2.乙方的义务，乙方应当履行的各项义务如下：</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2.1乙方应当按照中国田径协会A1类赛事标准筹备、组织、举办赛事，应遵守相关法律法规规定、本协议及附件中的各项约定以及甲方的具体要求，开展赛事运营及市场开发工作；</w:t>
      </w:r>
      <w:r/>
    </w:p>
    <w:p>
      <w:pPr>
        <w:ind w:firstLine="560"/>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2.2在本协议约定的合作期内，乙方应当按照中国田径协会A1类赛事标准运营赛事，力争赛事达到国内标杆城市马拉松赛事同等赛事品质和品牌影响力；</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2.3乙方应当根据赛事实际情况及甲方具体要求，配备专业的赛事运营团队，制定切实可行的赛事运营方案并以书面形式报甲方审核确认，甲方应在收到后的3天内完成确认，乙方应当严格按照该赛事运营方案的规定开展活动；</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2.4乙方聘请专业的第三方评估机构对整个赛事进行评估，应在赛事结束后60个工作日内，向甲方递交2026淮安马拉松赛事评估报告;</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2.5乙方负责面洽</w:t>
      </w:r>
      <w:r>
        <w:rPr>
          <w:rFonts w:hint="eastAsia" w:ascii="仿宋" w:hAnsi="仿宋" w:eastAsia="仿宋" w:cs="Arial Unicode MS"/>
          <w:color w:val="000000"/>
          <w:sz w:val="28"/>
          <w:szCs w:val="28"/>
          <w:highlight w:val="none"/>
        </w:rPr>
        <w:t xml:space="preserve">淮安市文化旅游集团</w:t>
      </w:r>
      <w:r>
        <w:rPr>
          <w:rFonts w:hint="eastAsia" w:ascii="仿宋" w:hAnsi="仿宋" w:eastAsia="仿宋" w:cs="Arial Unicode MS"/>
          <w:color w:val="000000"/>
          <w:sz w:val="28"/>
          <w:szCs w:val="28"/>
        </w:rPr>
        <w:t xml:space="preserve">，做好赛事的市场开发、推广、赛事运营以及赛前赞助商展示等工作；</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rPr>
        <w:t xml:space="preserve">2.</w:t>
      </w:r>
      <w:r>
        <w:rPr>
          <w:rFonts w:hint="eastAsia" w:ascii="仿宋" w:hAnsi="仿宋" w:eastAsia="仿宋" w:cs="Arial Unicode MS"/>
          <w:color w:val="000000"/>
          <w:sz w:val="28"/>
          <w:szCs w:val="28"/>
          <w:highlight w:val="none"/>
        </w:rPr>
        <w:t xml:space="preserve">6乙方负责制作赛事官方手册、裁判员手册等（赛事宣传册、参赛指南、媒体手册、秩序册、志愿者手册等为电子手册）；</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2.7负责按照中国田径协会相关赛事标准联系和落实赛事起终点场地、路线、交通、救护等工作；</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2.8乙方应以满足赛事需要为前提，向甲方提供足够数量的服装及装备。包括参赛选手、嘉宾、裁判员、志愿者，服装需以颜色或款式等进行区分；具体方案包括数量和设计样式须报甲方审核确认，甲方应在收到后的3天内完成确认；</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2.9乙方应当按照中国田径协会A1类赛事标准，提供满足赛事所需的饮用水、运动饮料、能量补给品，保证产品质量安全，符合相关行业标准；</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2.10乙方应当按照中国田径协会A1类赛事标准，提供赛事相关功能用车，并在赛前向甲方及相关人员提供赛事工作使用至比赛结束之日，赛事序列车车辆使用必须配有专业司机驾驶；</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2.11乙方应为所有参赛选手以及工作人员统计并办理人身伤害保险，参赛选手保险金</w:t>
      </w:r>
      <w:r>
        <w:rPr>
          <w:rFonts w:hint="eastAsia" w:ascii="仿宋" w:hAnsi="仿宋" w:eastAsia="仿宋" w:cs="Arial Unicode MS"/>
          <w:color w:val="000000"/>
          <w:sz w:val="28"/>
          <w:szCs w:val="28"/>
          <w:highlight w:val="none"/>
        </w:rPr>
        <w:t xml:space="preserve">额不得低于每人人民币50万元，工作人员保险金额不得低于每人人民币50万元。一</w:t>
      </w:r>
      <w:r>
        <w:rPr>
          <w:rFonts w:hint="eastAsia" w:ascii="仿宋" w:hAnsi="仿宋" w:eastAsia="仿宋" w:cs="Arial Unicode MS"/>
          <w:color w:val="000000"/>
          <w:sz w:val="28"/>
          <w:szCs w:val="28"/>
        </w:rPr>
        <w:t xml:space="preserve">旦发生参赛选手或工作人员人身伤亡的，甲乙方共同负责处理相关赔偿补偿事宜；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2.12除本协议另有约定外，乙方履行本协议约定的各项义务，所产生的全部费用均包含在赛事运营费中。</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第五条 赛事的市场开发</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赞助、招商及冠名单位为全国或本地具有一定影响力的品牌，本次赛事的市场开发由淮安市文化旅游集团负责，乙方配合淮安市文化旅游集团做好招商工作，所有赞助单位需经甲方审核确认。甲方赞助费用、物资及权益归乙方赛事运营使</w:t>
      </w:r>
      <w:r>
        <w:rPr>
          <w:rFonts w:hint="eastAsia" w:ascii="仿宋" w:hAnsi="仿宋" w:eastAsia="仿宋" w:cs="Arial Unicode MS"/>
          <w:color w:val="000000"/>
          <w:sz w:val="28"/>
          <w:szCs w:val="28"/>
          <w:highlight w:val="none"/>
        </w:rPr>
        <w:t xml:space="preserve">用（其中300万元的现金赞助部分归乙方所有）;</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知悉，在赛事起点区域，不得出现除赞助企业以外的任何商业形式的广告、宣传口号（赛事举办之前就已经存在的固定广告牌或店招除外）；需在甲方指定的位置和区域摆放A板和经过许可的实物，不得设置流动彩旗、水墩旗等其他任何形式的宣传广告;</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3.在赛事市场开发中，如有冲突，有甲方和乙方协商解决。</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第六条 赛事运营</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乙方应按照中国田</w:t>
      </w:r>
      <w:r>
        <w:rPr>
          <w:rFonts w:hint="eastAsia" w:ascii="仿宋" w:hAnsi="仿宋" w:eastAsia="仿宋" w:cs="Arial Unicode MS"/>
          <w:color w:val="000000"/>
          <w:sz w:val="28"/>
          <w:szCs w:val="28"/>
          <w:highlight w:val="none"/>
        </w:rPr>
        <w:t xml:space="preserve">径协会A1类赛事</w:t>
      </w:r>
      <w:r>
        <w:rPr>
          <w:rFonts w:hint="eastAsia" w:ascii="仿宋" w:hAnsi="仿宋" w:eastAsia="仿宋" w:cs="Arial Unicode MS"/>
          <w:color w:val="000000"/>
          <w:sz w:val="28"/>
          <w:szCs w:val="28"/>
        </w:rPr>
        <w:t xml:space="preserve">标准，开展赛事运营工作，并承担由此产生的全部费用。上述赛事运营工作包括但不限于下列工作：</w:t>
      </w:r>
      <w:bookmarkEnd w:id="35"/>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1.负责赛事品牌形象设计并组织实施：</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1.1乙方承诺按照申报国际田径联合会标牌赛事的目标，进行赛事品牌总体设计；</w:t>
      </w:r>
      <w:r/>
    </w:p>
    <w:p>
      <w:pPr>
        <w:ind w:firstLine="560"/>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1.2乙方负责赛事视觉系统（VI）的设计，赛事视觉系统（VI）版权归甲方所有，赛事视觉系统（VI）风格应简约大气时尚，体现国际化和赛事的特点特色；</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2.乙方负责提供如下的赛事运营保障措施：</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2.1乙方应当制订详尽的总体运营方案。方案应符合赛事发展预期，且具有可执行性；</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2.2乙方负责赛事奖杯、奖牌和完赛纪念牌的设计制作，设计方案应当事先提交甲方确认，甲方应在收到后的3天内完成确认；</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2.3乙方负责赛事印刷品的设计制作，包括官方手册、成绩册等的设计工作，前述印刷品的设计方案应当在赛事前以书面形式报甲方审核，经甲方审核同意后方可印刷制作，甲方应在收到后的3天内完成审核；</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2.4乙方负责赛事起终点、赛道沿途功能区的设计、制作、搭建，并负责相关物资物料的投放、看管以及赛后回收等工作；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2.5乙方负责赛事起终点、赛事起跑仪式、颁奖仪式、赛前热身、氛围营造等相关工作的组织实施；</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2.6乙方负责做好赛事官方网站运营及报名系统的开发（租赁）、运营、维护、管理和报名组织工作。甲方拥有查询报名情况等后台管理权限；</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2.7乙方负责制定竞赛物品和完赛物品购置方案并组织实施，以及竞赛物品和完赛物品的发放工作，该购置方案应当在赛事前报甲方审核，甲方应在收到后的3天内完成审核；</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2.8乙方负责参赛选手号码布的设计、制作、发放工作，参赛选手号码布的设计方案必须在赛事前报甲方审定，甲方应在收到后的3天内完成审核；</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2.9乙方负责计时记分系统的组织实施工作，应按照赛事运营的要求，提供符合赛事标准的计时钟及相关服务。计时记分系统须符合行业标准和国际田径联合会及中国田径协会相关认证。赛事应当采用电子芯片计时，赛后成绩应能及时以短信通知完赛选手。成绩证书应包括枪声成绩、净计时成绩、分段计时成绩。赛后成绩乙方负责按中国田径协会要求时间前尽快上传及公布并提交甲方。乙方应当确保计时毯设置和数量符合国际田径联合会赛事及中国田径协会相关规定要求；</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2.10乙方按照国际田径联合会及中国田径协会赛事的要求，规划赛事起终点、路线，并开展相关丈量和认证工作；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2.11乙方负责设计、制作起终点、路线及各站点标识指引牌，标识指引牌须根据场地情况和实际工作需要制作，并按照相关要求摆放；</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2.12乙方负责按照国际田径联合会及中国田径协会赛事标准设置及布置起终点、沿途饮水用水、饮料和能量补给站及各功能区，乙方确保有充足的运送及人员服务能力（包括物资运送车辆及搬运人员）；</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2.13乙方负责官方领跑员招募工作，组织开展培训等活动；</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2.14乙方按照各岗位的需求，会同甲方制定志愿者招募方案，负责组织实施志愿者赛前培训及赛时上岗工作；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2.15乙方负责赛后选手服务组织实施，乙方应设置拉伸服务区，并组织拉伸理疗服务人员等；</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2.16乙方负责按国际田径联合会及中国田径协会赛事要求负责开展兴奋剂检测工作，并承担兴奋剂检查官等检测人员的差旅费、劳务费和检测等费用；</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2.17乙方应根据天气情况及甲方具体要求，负责在赛道沿途根据国际田径联合会及中国田径协会赛事标准设置喷淋降温设施；</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2.18乙方负责竞赛器材的购置或租赁；</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2.19</w:t>
      </w:r>
      <w:r>
        <w:rPr>
          <w:rFonts w:hint="eastAsia" w:ascii="仿宋" w:hAnsi="仿宋" w:eastAsia="仿宋" w:cs="Arial Unicode MS"/>
          <w:color w:val="000000"/>
          <w:sz w:val="28"/>
          <w:szCs w:val="28"/>
          <w:highlight w:val="none"/>
        </w:rPr>
        <w:t xml:space="preserve">乙方负责制定精英运动员、官员等相关团体的接待方案提交甲方确认后，乙方负责组织实施，甲方应在收到后的3天内完成确认</w:t>
      </w:r>
      <w:r>
        <w:rPr>
          <w:rFonts w:hint="eastAsia" w:ascii="仿宋" w:hAnsi="仿宋" w:eastAsia="仿宋" w:cs="Arial Unicode MS"/>
          <w:color w:val="000000"/>
          <w:sz w:val="28"/>
          <w:szCs w:val="28"/>
        </w:rPr>
        <w:t xml:space="preserve">；</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2.20乙方负责制定赛事用车方案，包括志愿者、参赛队伍、竞赛组织、技术官员、接待等，并组织开展工作；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2.21乙方负责参赛选手、官方领跑员、裁判员、志愿者、组委会工作人员等相关赛事人员的赛事保险以及赛事期间与赛前物品发放期间的公众责任险的统计及购买工作；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2.22乙方负责赛事起终点、赛道内沿途移动卫生间的投放、保洁、回收等相关工作，数量应符合中国田径协会相关标准；</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2.23乙方负责赛前、赛中、赛后选手咨询服务工作；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2.24乙方负责为赛事提供通讯终端方案及租赁、发放、回收工作；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2.25乙方负责赛道的设计制作和布置工作；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2.26乙方负责赛事官方网站、官方微信公众平台等的建设、维护，信息的发布和更新，后台管理等；</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2.27乙方负责赛事宣传道旗、A板等的制作及布置工作；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2.28乙方根据赛事的需要，完成其他工作。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3.乙方应当保证本条约定的工作达到中国田径协会A1类赛事标准，并负责向中田协申请赛事技术认证工作。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4.乙方负责赛前物品发放方案的制定及搭建、组织、运行工作。</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5.除本协议中另有明确约定外，乙方履行本条约定的义务，所产生的全部费用均包含在赛事运营费中。</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第七条 赛事费用的承担</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rPr>
        <w:t xml:space="preserve">1</w:t>
      </w:r>
      <w:r>
        <w:rPr>
          <w:rFonts w:hint="eastAsia" w:ascii="仿宋" w:hAnsi="仿宋" w:eastAsia="仿宋" w:cs="Arial Unicode MS"/>
          <w:color w:val="000000"/>
          <w:sz w:val="28"/>
          <w:szCs w:val="28"/>
          <w:highlight w:val="none"/>
        </w:rPr>
        <w:t xml:space="preserve">.甲方承担与赛事相关的媒体宣传推广、交通管控、安全保障、医疗卫生防疫、志愿者招募、赛事相关场地使用、公共交通摆渡、赛道外围景观提升和氛围营造等公共资源部分的调度及费用，负责比赛期间工作人员、志愿者用餐保障，负责中田协、省市领导等嘉宾的用餐、用房及用车保障，负责提供赛事礼仪人员；</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2.乙方负责承担包括但不限于 2026淮安市马拉松赛事策划、竞赛组织和器材保障、赛道和场地布置、赛事医疗急救和保障、各类资料印制、赛事保险等，及其实施过程中所产生的全部费用，具体参照采购需求中的相关内容。</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3.乙方承担志愿者除招募费用外的培训、组织、交通等费用。</w:t>
      </w:r>
      <w:r/>
    </w:p>
    <w:p>
      <w:pPr>
        <w:ind w:firstLine="560"/>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4.乙方承担对2026淮安马拉松进行技术认证、安全评估、赛事评估等赛事组织产生的相关费用。</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5.甲方为提升赛事品质目的，在本协议约定之外，为本赛事增加其他投入的所需费用的承担由双方另行协商。</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第八条  运营费</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合同金额：本协议的赛事运营费总金额</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万元(大写：</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万元人民币)，分项价格详见乙方提交的投标报价表。</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付款方式:</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乙方账户信息：</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收款单位：</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开 户 行：</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帐    号：</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第九条 知识产权</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甲乙双方共同确认在本协议签署之前各自享有的知识产权均归各方独自拥有；与赛事相关的标识、徽标、作品、特许产品的设计制作、赛事官方网站及官方微博等赛事全部知识产权均归甲方所有，乙方对甲方的前述所有权益不得提出异议，亦不得以任何的形式权利化或据为己有；但在本协议期间，乙方为赛事推广之目的拥有使用权，乙方在使用或授权第三方使用赛事标识等时，不得对赛事标识等的完整性使用进行任何改变和加工（与赞助企业签署的赞助协议中另有约定的除外）。</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2.除本协议中另有约定，未经甲方事先书面同意，乙方不得擅自使用甲方的商标、名称等各类标识，亦不得擅自使用甲方享有的其他知识产权。</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赛事数据包括报名、参赛、完赛等一系列数据所涉及的所有权利归甲方所有，未经甲方事先书面同意，乙方不得为赛事需要以外之目的以任何方式披露，乙方有义务保证数据安全、保密。乙方应在赛事结束后10个工作日内将完整的相关数据报送甲方，且乙方不得自行留存。</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3.本条约定不因本协议期满终止或提前解除而失效。</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第十条 保密义务</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非经对方事先书面同意，甲乙双方任何一方不得将在本协议签署、履行过程中知悉的对方的非公开信息（或赛事数据）向任何第三方披露，否则，由此给对方造成的损失，违约方承担全额赔偿责任。本条约定不因本协议期满终止或提前解除而失效。</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第十一条 转让</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承诺，未经甲方事先书面同意，不得向任何第三方转让本协议项下的任何权利或义务。如经甲方书面同意，乙方将本协议项下的权利或义务转让给其他第三方的，则乙方应就本协议转让部分的履行与第三方承担连带责任。本条约定不因本协议期满终止或提前解除而失效。</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第十二条 不可抗力</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不可抗力是指本协议双方不能控制、不可预见或即使预见亦无法避免的事件，该事件妨碍、影响或延误任何一方根据协议履行其全部或部分义务。该事件包括但不限于政府行为、自然灾害、流行性疾病、战争或任何其它不可抗力事件。</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2.出现不可抗力事件时，遭受不可抗力的一方应以书面形式及时向对方发出通知，并告知对该类事件对本协议可能产生的影响，并应当在合理期限内提供相关证明。</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3.由于不可抗力事件致使本协议不能履行或延迟履行，则双方于彼此间不承担任何违约责任。</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第十三条 违约责任</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1.乙方违反本协议约定，经甲方书面催告后5日内未予纠正的，甲方有权单方解除本协议，如造成甲方损失的，乙方应赔偿甲方因此遭受的全部损失。</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2.赛事运营及市场开发过程中，乙方无论基于何种原因给任何第三方造成损失或被第三方追究违约责任的，均由乙方负责处理和赔偿，如由此给甲方造成损失的，乙方承担全部赔偿责任。</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3.如乙方提供的食品、饮用水、运动饮料和能量补给品存在质量问题或含有反兴奋剂禁用清单中规定的禁用物质，则甲方有权解除本协议，如由此给甲方造成损失的，乙方承担全额赔偿责任。</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第十四条 通知</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本协议项下发出的任何通知或通讯应采用书面形式，并可通过专人递送或快递机构送达至相关方，或者以邮资已付的信件邮寄或通过传真传送至如下所示的该方地址或传真号：</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甲方联系人：</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地址：</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电话：传真：</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乙方联系人：</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地址：</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电话：             传真：</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一切通知、请求、指令、主张、要求、批准和其它要求或准许发出的通讯应在收件人收到或（当采用电信传送方式时，如电子邮件或传真）传送完毕时视为已送达。</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第十五条  法律适用及争议解决</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本协议书的解释和执行适用中华人民共和国法律。</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甲乙双方在履行本协议中出现的争议首先通过友好协商的方式解决，协商不成时，申请仲裁（选定仲裁机构为淮安仲裁委员会）或提起诉讼（约定由采购人所在地法院管辖）。</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第十六条  其他</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本协议自甲乙双方签署之日起生效，有效期至2026年  月  日。</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本合同经甲、乙双方加盖电子签章后生效。如有变动，必须经甲方、乙方协商一致，并报主管部门备案后，方可更改。双方正式签署。</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如果本协议的任何规定在任何时间、任何方面被判为不合法、无效或不可执行，本协议的其他规定继续有效。</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本协议附件作为本协议不可分割的组成部分，与本协议具有同等法律效力。</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第十七条  履约保证金</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不收取。</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第十八条  组成本合同的文件包括</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1、合同格式及条款；</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2、磋商文件和乙方的响应文件；</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3、成交通知书；</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4、甲乙双方商定的其他必要文件。上述合同文件内容互为补充，如有不明确，由甲方负责解释。</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第十九条 未尽事宜，经双方协商后，另行签订补充协议</w:t>
      </w:r>
      <w:r/>
    </w:p>
    <w:p>
      <w:pPr>
        <w:ind w:firstLine="560"/>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pStyle w:val="917"/>
        <w:spacing w:line="520" w:lineRule="exact"/>
        <w:rPr>
          <w:rFonts w:hint="eastAsia" w:ascii="仿宋" w:hAnsi="仿宋" w:eastAsia="仿宋"/>
          <w:sz w:val="28"/>
          <w:szCs w:val="28"/>
        </w:rPr>
      </w:pPr>
      <w:r>
        <w:rPr>
          <w:rFonts w:hint="eastAsia" w:ascii="仿宋" w:hAnsi="仿宋" w:eastAsia="仿宋"/>
          <w:sz w:val="28"/>
          <w:szCs w:val="28"/>
        </w:rPr>
      </w:r>
      <w:r/>
    </w:p>
    <w:p>
      <w:pPr>
        <w:pStyle w:val="917"/>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17"/>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917"/>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917"/>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p>
    <w:p>
      <w:pPr>
        <w:pStyle w:val="917"/>
        <w:spacing w:line="520" w:lineRule="exact"/>
        <w:rPr>
          <w:rFonts w:hint="eastAsia" w:ascii="仿宋" w:hAnsi="仿宋" w:eastAsia="仿宋"/>
          <w:sz w:val="28"/>
          <w:szCs w:val="24"/>
        </w:rPr>
      </w:pPr>
      <w:r>
        <w:rPr>
          <w:rFonts w:hint="eastAsia" w:ascii="仿宋" w:hAnsi="仿宋" w:eastAsia="仿宋"/>
          <w:sz w:val="28"/>
          <w:szCs w:val="24"/>
        </w:rPr>
      </w:r>
      <w:r/>
    </w:p>
    <w:p>
      <w:pPr>
        <w:rPr>
          <w:rFonts w:hint="eastAsia" w:ascii="宋体" w:hAnsi="宋体"/>
          <w:bCs/>
          <w:sz w:val="32"/>
          <w:szCs w:val="32"/>
        </w:rPr>
      </w:pPr>
      <w:r>
        <w:rPr>
          <w:rFonts w:hint="eastAsia" w:ascii="宋体" w:hAnsi="宋体"/>
          <w:bCs/>
          <w:sz w:val="32"/>
          <w:szCs w:val="32"/>
        </w:rPr>
        <w:t xml:space="preserve">       </w:t>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rPr>
          <w:rFonts w:hint="eastAsia" w:ascii="宋体" w:hAnsi="宋体"/>
          <w:bCs/>
          <w:sz w:val="32"/>
          <w:szCs w:val="32"/>
        </w:rPr>
      </w:pPr>
      <w:r>
        <w:rPr>
          <w:rFonts w:hint="eastAsia" w:ascii="宋体" w:hAnsi="宋体"/>
          <w:bCs/>
          <w:sz w:val="32"/>
          <w:szCs w:val="32"/>
        </w:rPr>
      </w:r>
      <w:r/>
    </w:p>
    <w:p>
      <w:pPr>
        <w:spacing w:line="520" w:lineRule="exact"/>
        <w:rPr>
          <w:rFonts w:hint="eastAsia" w:ascii="仿宋" w:hAnsi="仿宋" w:eastAsia="仿宋"/>
          <w:bCs/>
          <w:sz w:val="28"/>
          <w:szCs w:val="28"/>
        </w:rPr>
      </w:pPr>
      <w:r>
        <w:rPr>
          <w:rFonts w:hint="eastAsia" w:ascii="仿宋" w:hAnsi="仿宋" w:eastAsia="仿宋"/>
          <w:bCs/>
          <w:sz w:val="28"/>
          <w:szCs w:val="28"/>
        </w:rPr>
      </w:r>
      <w:r/>
    </w:p>
    <w:p>
      <w:pPr>
        <w:pStyle w:val="917"/>
        <w:ind w:firstLine="2873"/>
        <w:spacing w:line="520" w:lineRule="exact"/>
        <w:rPr>
          <w:rFonts w:hint="eastAsia" w:ascii="仿宋" w:hAnsi="仿宋" w:eastAsia="仿宋"/>
          <w:b/>
          <w:bCs/>
          <w:sz w:val="36"/>
          <w:szCs w:val="36"/>
        </w:rPr>
      </w:pPr>
      <w:r>
        <w:rPr>
          <w:rFonts w:ascii="仿宋" w:hAnsi="仿宋" w:eastAsia="仿宋"/>
          <w:b/>
          <w:bCs/>
          <w:sz w:val="36"/>
          <w:szCs w:val="36"/>
        </w:rPr>
        <w:br w:type="page" w:clear="all"/>
      </w:r>
      <w:r/>
    </w:p>
    <w:p>
      <w:pPr>
        <w:pStyle w:val="917"/>
        <w:ind w:firstLine="2873"/>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p>
    <w:p>
      <w:pPr>
        <w:pStyle w:val="739"/>
        <w:spacing w:line="520" w:lineRule="exact"/>
        <w:rPr>
          <w:rFonts w:hint="eastAsia" w:ascii="仿宋" w:hAnsi="仿宋" w:eastAsia="仿宋" w:cs="仿宋"/>
          <w:sz w:val="28"/>
        </w:rPr>
      </w:pPr>
      <w:r>
        <w:rPr>
          <w:rFonts w:hint="eastAsia" w:ascii="仿宋" w:hAnsi="仿宋" w:eastAsia="仿宋" w:cs="仿宋"/>
          <w:b/>
          <w:sz w:val="28"/>
          <w:szCs w:val="28"/>
        </w:rPr>
        <w:t xml:space="preserve">一、项目概况</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1.赛事名称：2026淮安马拉松</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2.比赛时间：2026年4月12日（可根据组委会要求进行调整）</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3.组织架构：</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主办单位：淮安市人民政府</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承办单位：中共淮安市委宣传部、淮安市体育局、淮安市文旅集团、淮安经济技术开发区管委会、清江浦区人民政府、淮安区人民政府、生态文旅区管理办公室。</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采购单位：淮安市体育局</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运营单位：（本次磋商成交供应商）。</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4.赛事项目设置：</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（一）赛事规模（15000人）</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全程马拉松：8000人（42.195公里），半程马拉松（21.0975公里）7000人。</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（二）赛事规格</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1.世界田联标牌赛事、中国田径协会A1类赛事。</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2.办赛基本要求：</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安全有序，赛事全程保障有力，实现全员安全、顺利有序。</w:t>
      </w:r>
      <w:r/>
    </w:p>
    <w:p>
      <w:pPr>
        <w:spacing w:line="520" w:lineRule="exact"/>
        <w:rPr>
          <w:rFonts w:hint="eastAsia" w:ascii="仿宋" w:hAnsi="仿宋" w:eastAsia="仿宋" w:cs="仿宋"/>
          <w:b/>
          <w:bCs/>
          <w:sz w:val="28"/>
        </w:rPr>
      </w:pPr>
      <w:r>
        <w:rPr>
          <w:rFonts w:hint="eastAsia" w:ascii="仿宋" w:hAnsi="仿宋" w:eastAsia="仿宋" w:cs="仿宋"/>
          <w:b/>
          <w:bCs/>
          <w:sz w:val="28"/>
        </w:rPr>
        <w:t xml:space="preserve">二、项目具体服务内容</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1.总体要求</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2026淮安马拉松是以世界田联标牌赛事、中国田径协会A1类赛事标准执行运营。由淮安市人民政府主办，中共淮安市委宣传部、淮安市体育局、淮安市文旅集团、淮安经济技术开发区管委会、清江浦区人民政府、淮安区人民政府、生态文旅区管理办公室等承办的群众性体育比赛，参与人员包括市内、省内、国内及国外马拉松跑爱好者，规模要求15000人。供应商参与负责淮安市马拉松赛事团队不少于30人。</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2.项目方案</w:t>
      </w:r>
      <w:r/>
    </w:p>
    <w:p>
      <w:pPr>
        <w:ind w:firstLine="560"/>
        <w:spacing w:line="520" w:lineRule="exact"/>
        <w:rPr>
          <w:rFonts w:hint="eastAsia" w:ascii="仿宋" w:hAnsi="仿宋" w:eastAsia="仿宋" w:cs="仿宋"/>
          <w:sz w:val="28"/>
        </w:rPr>
      </w:pPr>
      <w:r>
        <w:rPr>
          <w:rFonts w:hint="eastAsia" w:ascii="仿宋" w:hAnsi="仿宋" w:eastAsia="仿宋" w:cs="仿宋"/>
          <w:sz w:val="28"/>
          <w:highlight w:val="none"/>
        </w:rPr>
        <w:t xml:space="preserve">视觉识别方案（赛事LOGO、运动员服装、号码布、完赛纪念牌等），赛事竞赛组织执行方案、场地布置方案、开幕式方案、颁奖方案等方案根据马拉松组委会时间节点安排提前一周上报采购单位审核</w:t>
      </w:r>
      <w:r>
        <w:rPr>
          <w:rFonts w:hint="eastAsia" w:ascii="仿宋" w:hAnsi="仿宋" w:eastAsia="仿宋" w:cs="仿宋"/>
          <w:sz w:val="28"/>
        </w:rPr>
        <w:t xml:space="preserve">。</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3.项目服务内容</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3.1、负责赛事的竞赛组织、路线设计、场地落实、布置执行等工作；</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3.2、负责</w:t>
      </w:r>
      <w:r>
        <w:rPr>
          <w:rFonts w:hint="eastAsia" w:ascii="仿宋" w:hAnsi="仿宋" w:eastAsia="仿宋" w:cs="仿宋"/>
          <w:sz w:val="28"/>
          <w:highlight w:val="none"/>
        </w:rPr>
        <w:t xml:space="preserve">赛事应急方案</w:t>
      </w:r>
      <w:r>
        <w:rPr>
          <w:rFonts w:hint="eastAsia" w:ascii="仿宋" w:hAnsi="仿宋" w:eastAsia="仿宋" w:cs="仿宋"/>
          <w:sz w:val="28"/>
        </w:rPr>
        <w:t xml:space="preserve">的提供，负责运动员意外保险及赛事责任保险等工作；</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3.3、负责赛事的赛用物资采购、设计和制作，并负责运动员比赛奖金；</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3.4、负责开闭幕式、颁奖仪式等工作； </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3.5、承担赛事核定执行内容的一切费用；</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3.6、赛事主办方要求的其他工作。</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4.项目具体服务要求</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负责承担包括但不限于2026年淮安市马拉松赛事策划、竞赛组织和器材保障、赛道和场地布置、医疗救助志愿者招募管理、赛事医疗急救和保障、各类资料印制、赛事保险等，及其实施过程中所产生的全部费用，确保赛事顺利有序进行，具体如下：</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做好赛事总体思路策划。要求赛事组织方案科学、合理、细致，具体细化方案有创意、可操作；向中国田径协会支付马拉松赛事技术认证服务费10万元人民币（该价格不作为竞标价格），负责向中国田协申请赛事技术认证工作。具体工作推进计划表节点明确、任务明确。赛事总体思路策划及各方案经采购人和赛事组委会确认后由成交公司组织实施。赛事总体思路策划及各方案经采购人和赛事组委会确认后由中标单位组织实施。</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4.2、赛事的服务定位、服务方案、服务保障措施：从服务好业主角度出发，对项目的整体统筹规划，认识深刻，定位合理；服务方案中服务流程合理、管理措施完备，管理科学、服务制度完善；服务团队齐备、组织机构健全，保密措施严格，建立完善的赛事工作台账、工作信息收集、反馈等保证客户质量的措施。</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4.3、重点围绕特邀运动员、裁判员接待；运动员报名、审核、通知、答疑、报到、免责申明签署、号码簿与芯片发放、参赛包发放；比赛起点运动员存包、引导；比赛终点运动员完赛包发放、取包；获奖运动员参加颁奖仪式；运动员完赛奖牌、完赛证书的设计与采购；比赛期间应急救援等服务细节制定服务标准并严格执行。</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4.4、</w:t>
      </w:r>
      <w:r>
        <w:rPr>
          <w:rFonts w:hint="eastAsia" w:ascii="仿宋" w:hAnsi="仿宋" w:eastAsia="仿宋" w:cs="仿宋"/>
          <w:sz w:val="28"/>
          <w:highlight w:val="none"/>
        </w:rPr>
        <w:t xml:space="preserve">赛事竞赛组织须按照中国田协相关标准进行，完成中国田径协会A类赛事认证，并完成赛道勘测及认证</w:t>
      </w:r>
      <w:r>
        <w:rPr>
          <w:rFonts w:hint="eastAsia" w:ascii="仿宋" w:hAnsi="仿宋" w:eastAsia="仿宋" w:cs="仿宋"/>
          <w:sz w:val="28"/>
        </w:rPr>
        <w:t xml:space="preserve">。</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4.5、负责提供竞赛和器材保障。组建竞赛团队，包括技术总监、技术官员、总裁判长、裁判长、裁判员、比赛监督、兴奋剂检测、工作人员等。负责按照竞赛需求提供各类保障，具体包括但不限于：</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4.5.1、制定赛事竞赛规程、线路说明、报名须知等赛事对外公布的通告、通知；</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4.5.2、负责赛事报名系统平台开发，并负责后期具体赛事执行管理。包括官方网站、官方微博、微信平台的搭建，要求赛事的报名，完赛成绩证书下载、参赛照片的上传在网络进行；开发赛事报名的渠道。</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4.5.3、承担赛事奖金，奖金总额根据田协的马拉松办赛规定，具体奖励名次和金额由赛事规程设定。</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4.5.4、提供所有参赛运动员的奖杯、奖牌、证书。</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4.5.5、对接赛道认证机构，并承担机构人员指导服务费及赛道丈量专业人员往返淮安差旅费、在淮安期间的食宿费等。承担赛事技术代表、技术官员、裁判员比赛期间的差旅费、劳务费、食宿接待，差旅费和劳务费按同类赛事相关标准执行。承担赛前裁判员培训、技术会议、察看线路等工作的食宿和差旅费。承担特邀运动员所需费用。</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w:t>
      </w:r>
      <w:r>
        <w:rPr>
          <w:rFonts w:hint="eastAsia" w:ascii="仿宋" w:hAnsi="仿宋" w:eastAsia="仿宋" w:cs="仿宋"/>
          <w:sz w:val="28"/>
          <w:highlight w:val="none"/>
        </w:rPr>
        <w:t xml:space="preserve">.6、邀请符合要求的国内、国际精英选手。</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4.5.7、提供足够数量的参赛选手号码布、完赛奖牌、存衣包、参赛运动服装、完赛礼品等，要求优质精美、体现地方特色。</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4.5.8、承担赛事报名系统后期具体运营管理、报名选手资格审查等；提供符合比赛要求的感应器计时系统和足够数量的全程、半程参赛选手感应计时芯片；提供满足比赛要求的裁判员、后勤保障人员无线通讯系统和设备；提供裁判所需的电脑、打印机和相应耗材。</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4.5.9、为所有参赛选手、赛事技术人员、裁判员、工作人员、赛事志愿者投保人身意外险（其中参赛选手含猝死保险赔付）。</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4.5.10、设计制作提供足够数量的各类证件、印刷资料等，如志愿者证、车辆通行证、安保人员证、媒体记者证、工作人员证、赛事手册等。要求设计美观大方、材质优良。</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需按照上述需求制订竞赛和器材保障方案，并根据比赛时间节点明确倒计时实施进度计划，以及配备相应的工作人员不少于30人。</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4.6、赛事志愿者招募</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4.6.1本次赛事需要志愿者总人数约4000名左右。</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4.6.2具有医师执业证、其他急救证书（美国心脏协会 AHA—CPR AED 急救证书、红十字救护员证、急救中心初级救护员证）或经过专业培训的医学专业志愿者 200 名左右。</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4.6.3、采购人负责协助团市委进行志愿者的招募，供应商负责志愿者赛时车辆接送安排，根据裁判组的要求做好志愿者的培训、岗位分配和比赛期间的集结投放，为每名志愿者提供1个背包、 1 件上衣和人身意外险。</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需按照上述需求（可高不可低于上述需求）制订志愿者招募管理方案，并要求方案中要根据比赛时间节点明确倒计时实施进度计划，以及相应的工作人员配备情况。</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4.7、赛事医疗急救保障。提供合理专业医疗急救团队及设备，加强沿途医疗流动监控，确保赛事医疗救助快速响应。应制订医疗急救方案，包含核心医疗人员、陪跑医疗志愿者、AED器材的数量和沿途布设情况。包括但不限于：</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4.7.1、协助卫健委制定赛事医疗救援工作方案，详细列出比赛中医疗点的位置和其提供的医疗服务（急救、健康护理、救护车服务、电话联络等）；</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4.7.2、根据赛事要求设立医疗救护点（每 2.5公里 1 个），配备医疗急救点的急救包（含药品）和体外除颤设备（AED）；</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4.7.3、 根据赛事要求设立流动救护自行车，并配备专业救护人员及急救包（含药品）、体外除颤设备（AED）；</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4.7.4 、设置赛前训练指导、运动前防护、运动损伤救治、急救知识普及等活动。</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4.7.5、负责引进合作良好且赛事医疗急救经验丰富的知名医疗组织，全面系统组建赛事医疗团队，开展专业赛事医疗急救培训及应急突发情况处理培训。</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需按照上述需求制订医疗救助志愿者招募管理培训方案，并根据比赛时间节点明确倒计时实施进度计划，以及相应的工作人员配备。</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4.8、为赛事的顺利举办营造良好舆论环境，充分展示此次比赛的知名度与影响力。包括但不限于：</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4.8.1、做好赛事官网、官微、公微的开发与维护，确保系统安全可靠高效运行。</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4.8.2、充分利用官网、官微、公微在报名前、赛前、赛中、赛后不同阶段发布赛事最新信息，赛事记录，并围绕跑者关心的问题策划编辑全系列图文，科学准确有效地推送。</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4.8.3、官网、官微、公微推送的图文信息须经采购人和组委会新闻宣传部同意后负责组织实施。</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4.8.4、利用网络平台做好赛事直播工作。</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4.9、协助参与后勤保障工作。应提供以下后勤保障物资品名、要求及数量统计，包括但不限于：</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4.9.1、提供饮用水、功能饮料、一次性杯子、运动员补给食品（面包、香蕉等）。</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4.9.2、提供志愿者和裁判员接送、运动员摆渡、运动员收容需求的大巴。</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4.9.3、提供移动公厕，帐篷等。</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4.9.4、赛道设置防高温设施及物资，包括但不限于喷淋棚，海绵块，冰块等。</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需按照上述需求制订后勤保障方案，确保饮用水、饮料和食品质量安全，明确各类食品发放流程、各类车辆分配和运输线路安排等，并根据比赛时间节点明确倒计时实施进度计划，以及相应的工作人员、运输车辆配备。</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4.10、</w:t>
      </w:r>
      <w:r>
        <w:rPr>
          <w:rFonts w:hint="eastAsia" w:ascii="仿宋" w:hAnsi="仿宋" w:eastAsia="仿宋" w:cs="仿宋"/>
          <w:sz w:val="28"/>
          <w:highlight w:val="none"/>
        </w:rPr>
        <w:t xml:space="preserve">赛</w:t>
      </w:r>
      <w:r>
        <w:rPr>
          <w:rFonts w:hint="eastAsia" w:ascii="仿宋" w:hAnsi="仿宋" w:eastAsia="仿宋" w:cs="仿宋"/>
          <w:sz w:val="28"/>
          <w:highlight w:val="none"/>
        </w:rPr>
        <w:t xml:space="preserve">道和场地布置。要按照马拉松比赛的标准进行赛道和场地布置，具体包括但不限于主背景墙、起点拱门、终点拱门、主席台和颁奖台、音响、起点检录区、终点成绩统计区、终点物品发放区、终点衣物领取区、里程提示牌、补给提示牌、导引提示牌、地贴指示、沿线饮用水和饮料食品补给站、隔离带、工作帐篷、A字牌、冲刺带、活动桌椅、各类宣传广告牌和道旗、注水旗等，并落实赛事解说嘉宾、现场主持人。应制订赛道和场地布置方案，包含形象设计、各类平面布置图，以及各类物品的数量和总体施工计划安排。赛道和场地布置方案须经采购人和组委会同意后组织实施。</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4.11赛事安保工作方案。协助公安部门制定赛事安保工作方案、应急处置工作方案和交通管制工作方案。</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4.12、应急预案。需针对竞赛和器材保障、医疗救助志愿者招募管理、媒体宣传推广、后勤保障、赛道和场地布置等工作可能遇到的突发性情况制订应急预案。</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4.13、做好赛事商业运作和市场开发，扩大赛事品牌知名度。但在确定赛事冠名赞助商前须征求采购人意见。</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4.14、赛事报名。做好赛事报名系统开发与维护，做好报名人员的注册登记，做好运动员安全协议、参赛声明等文字材料的起草和签订，确保赛事报名工作安全顺利。选手报名费用由成交单位统一收取，并拥有全部赛事报名费的收益。</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4.15、赛事评估。供应商应根据采购人关于2026淮安马拉松赛事评估要求，聘请专业的第三方评估机构对整个赛事进行评估，形成2026淮安马拉松赛事评估报告。</w:t>
      </w:r>
      <w:r/>
    </w:p>
    <w:p>
      <w:pPr>
        <w:spacing w:line="520" w:lineRule="exact"/>
        <w:rPr>
          <w:rFonts w:hint="eastAsia" w:ascii="仿宋" w:hAnsi="仿宋" w:eastAsia="仿宋" w:cs="仿宋"/>
          <w:b/>
          <w:bCs/>
          <w:sz w:val="28"/>
        </w:rPr>
      </w:pPr>
      <w:r>
        <w:rPr>
          <w:rFonts w:hint="eastAsia" w:ascii="仿宋" w:hAnsi="仿宋" w:eastAsia="仿宋" w:cs="仿宋"/>
          <w:b/>
          <w:bCs/>
          <w:sz w:val="28"/>
        </w:rPr>
        <w:t xml:space="preserve">三、特别约定内容</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1.赞助、招商及冠名单位为全国或本地具有一定影响力的品牌，双方可共同开展招商工作，所有赞助单位需经采购单位审核确认，赞助费用、物资及权益（其中300万元的现金赞助部分）归中标单位赛事运营使用。</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2.提供合理专业医疗急救团队及设备，确保赛事医疗救助快速响应。</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3.赛事资金拨付与赛事推进工作相结合，采购人根据工作推进报告拨付赛事阶段性运作经费，如因成交公司自身原因没有完成工作推进表中的相关工作，采购人有权延迟、核减赛事经费拨付。</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4.货物和服务的追加、减少和添购</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4.1、采购结束后，采购人若由于各种客观原因，必须对采购项目所牵涉的货物和服务进行适当的减少时，在双方协商一致的前提下，可以按照竞争性磋商采购时的价格水平做相应的调减，并据此签订补充合同。</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4.2、采购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5.马拉松赛结束60天内，做好本次赛事活动全过程的资料归档：包含所有纸质、电子、影像资料，进行分类装订和归档，交至采购单位。</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6.成交单位核心物资采购（主要包含急救、计时等）合同需报备采购单位。</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7.成交单位按照采购方要求完成活动且赛事无重大事故发生，后续采购给予优先考虑。</w:t>
      </w:r>
      <w:r/>
    </w:p>
    <w:p>
      <w:pPr>
        <w:spacing w:line="520" w:lineRule="exact"/>
        <w:rPr>
          <w:rFonts w:hint="eastAsia" w:ascii="仿宋" w:hAnsi="仿宋" w:eastAsia="仿宋" w:cs="仿宋"/>
          <w:b/>
          <w:bCs/>
          <w:sz w:val="28"/>
        </w:rPr>
      </w:pPr>
      <w:r>
        <w:rPr>
          <w:rFonts w:hint="eastAsia" w:ascii="仿宋" w:hAnsi="仿宋" w:eastAsia="仿宋" w:cs="仿宋"/>
          <w:b/>
          <w:bCs/>
          <w:sz w:val="28"/>
        </w:rPr>
        <w:t xml:space="preserve">四、主办方可提供的资源</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体育、宣传、旅游、公安、交警、城管、交通、卫生、住建等需要政府配合协调的资源；</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比赛路线涉及地方政府的配合；</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根据需要对比赛路线进行整修及简易改造；</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发动4000人左右的大学生志愿者；</w:t>
      </w:r>
      <w:r/>
    </w:p>
    <w:p>
      <w:pPr>
        <w:spacing w:line="520" w:lineRule="exact"/>
        <w:rPr>
          <w:rFonts w:hint="eastAsia" w:ascii="仿宋" w:hAnsi="仿宋" w:eastAsia="仿宋" w:cs="仿宋"/>
          <w:b/>
          <w:bCs/>
          <w:sz w:val="28"/>
        </w:rPr>
      </w:pPr>
      <w:r>
        <w:rPr>
          <w:rFonts w:hint="eastAsia" w:ascii="仿宋" w:hAnsi="仿宋" w:eastAsia="仿宋" w:cs="仿宋"/>
          <w:b/>
          <w:bCs/>
          <w:sz w:val="28"/>
        </w:rPr>
        <w:t xml:space="preserve">五、知识产权要求</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本次采购的成交供应商提供的有关设计方案的署名权归供应商所有，著作权、版权、专利权和使用权归采购人所有（署名权除外）。</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供应商须保证响应文件及资料均未侵犯他人的知识产权，否则必须承担全部责任。</w:t>
      </w:r>
      <w:r/>
    </w:p>
    <w:p>
      <w:pPr>
        <w:spacing w:line="520" w:lineRule="exact"/>
        <w:rPr>
          <w:rFonts w:hint="eastAsia" w:ascii="仿宋" w:hAnsi="仿宋" w:eastAsia="仿宋" w:cs="仿宋"/>
          <w:b/>
          <w:bCs/>
          <w:sz w:val="28"/>
        </w:rPr>
      </w:pPr>
      <w:r>
        <w:rPr>
          <w:rFonts w:hint="eastAsia" w:ascii="仿宋" w:hAnsi="仿宋" w:eastAsia="仿宋" w:cs="仿宋"/>
          <w:b/>
          <w:bCs/>
          <w:sz w:val="28"/>
        </w:rPr>
        <w:t xml:space="preserve">六、商务部分</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（一）服务时间：合同签订至2026淮安马拉松赛事结束后60日内。</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（二）服务地点：由采购人指定。</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（三）付款方式：</w:t>
      </w:r>
      <w:r/>
    </w:p>
    <w:p>
      <w:pPr>
        <w:pStyle w:val="917"/>
        <w:ind w:firstLine="562"/>
        <w:spacing w:line="520" w:lineRule="exact"/>
        <w:rPr>
          <w:rFonts w:hint="eastAsia" w:hAnsi="宋体"/>
          <w:b/>
          <w:bCs/>
          <w:sz w:val="44"/>
        </w:rPr>
      </w:pPr>
      <w:r>
        <w:rPr>
          <w:rFonts w:hint="eastAsia" w:ascii="仿宋" w:hAnsi="仿宋" w:eastAsia="仿宋" w:cs="仿宋"/>
          <w:sz w:val="28"/>
        </w:rPr>
        <w:t xml:space="preserve">赛事结束60日内，提交赛事结案报告及赛事评估报告，经采购人确认成交人如约履行各项义务、完成各项善后工作，无任何对本次比赛可能造成不良影响的遗留问题。采购人承诺在年度财政资金下达后，收到结算相关材料及发票一次性向合同履约人付清总合同款。</w:t>
      </w:r>
      <w:r/>
    </w:p>
    <w:p>
      <w:pPr>
        <w:ind w:firstLine="1749"/>
        <w:spacing w:line="360" w:lineRule="auto"/>
        <w:rPr>
          <w:rFonts w:hint="eastAsia" w:ascii="宋体" w:hAnsi="宋体"/>
          <w:b/>
          <w:bCs/>
          <w:sz w:val="44"/>
        </w:rPr>
      </w:pPr>
      <w:r>
        <w:rPr>
          <w:rFonts w:hint="eastAsia" w:ascii="宋体" w:hAnsi="宋体"/>
          <w:b/>
          <w:bCs/>
          <w:sz w:val="44"/>
        </w:rPr>
      </w:r>
      <w:r/>
    </w:p>
    <w:p>
      <w:pPr>
        <w:pStyle w:val="917"/>
        <w:rPr>
          <w:rFonts w:hint="eastAsia" w:ascii="黑体" w:hAnsi="黑体" w:eastAsia="黑体"/>
          <w:b/>
          <w:bCs/>
          <w:sz w:val="36"/>
          <w:szCs w:val="36"/>
        </w:rPr>
      </w:pPr>
      <w:r>
        <w:rPr>
          <w:rFonts w:hint="eastAsia" w:ascii="黑体" w:hAnsi="黑体" w:eastAsia="黑体"/>
          <w:b/>
          <w:bCs/>
          <w:sz w:val="36"/>
          <w:szCs w:val="36"/>
        </w:rPr>
      </w:r>
      <w:r/>
    </w:p>
    <w:p>
      <w:pPr>
        <w:pStyle w:val="917"/>
        <w:ind w:firstLine="2342"/>
        <w:rPr>
          <w:rFonts w:hint="eastAsia" w:ascii="黑体" w:hAnsi="黑体" w:eastAsia="黑体"/>
          <w:b/>
          <w:bCs/>
          <w:sz w:val="36"/>
          <w:szCs w:val="36"/>
        </w:rPr>
      </w:pPr>
      <w:r>
        <w:rPr>
          <w:rFonts w:hint="eastAsia" w:ascii="黑体" w:hAnsi="黑体" w:eastAsia="黑体"/>
          <w:b/>
          <w:bCs/>
          <w:sz w:val="36"/>
          <w:szCs w:val="36"/>
        </w:rPr>
      </w:r>
      <w:r/>
    </w:p>
    <w:p>
      <w:pPr>
        <w:pStyle w:val="917"/>
        <w:ind w:firstLine="2342"/>
        <w:rPr>
          <w:rFonts w:hint="eastAsia" w:ascii="黑体" w:hAnsi="黑体" w:eastAsia="黑体"/>
          <w:b/>
          <w:bCs/>
          <w:sz w:val="36"/>
          <w:szCs w:val="36"/>
        </w:rPr>
      </w:pPr>
      <w:r>
        <w:rPr>
          <w:rFonts w:hint="eastAsia" w:ascii="黑体" w:hAnsi="黑体" w:eastAsia="黑体"/>
          <w:b/>
          <w:bCs/>
          <w:sz w:val="36"/>
          <w:szCs w:val="36"/>
        </w:rPr>
      </w:r>
      <w:r/>
    </w:p>
    <w:p>
      <w:pPr>
        <w:pStyle w:val="917"/>
        <w:ind w:firstLine="2342"/>
        <w:rPr>
          <w:rFonts w:hint="eastAsia" w:ascii="黑体" w:hAnsi="黑体" w:eastAsia="黑体"/>
          <w:b/>
          <w:bCs/>
          <w:sz w:val="36"/>
          <w:szCs w:val="36"/>
        </w:rPr>
      </w:pPr>
      <w:r>
        <w:rPr>
          <w:rFonts w:hint="eastAsia" w:ascii="黑体" w:hAnsi="黑体" w:eastAsia="黑体"/>
          <w:b/>
          <w:bCs/>
          <w:sz w:val="36"/>
          <w:szCs w:val="36"/>
        </w:rPr>
      </w:r>
      <w:r/>
    </w:p>
    <w:p>
      <w:pPr>
        <w:pStyle w:val="917"/>
        <w:rPr>
          <w:rFonts w:hint="eastAsia" w:ascii="黑体" w:hAnsi="黑体" w:eastAsia="黑体"/>
          <w:b/>
          <w:bCs/>
          <w:sz w:val="36"/>
          <w:szCs w:val="36"/>
        </w:rPr>
      </w:pPr>
      <w:r>
        <w:rPr>
          <w:rFonts w:hint="eastAsia" w:ascii="黑体" w:hAnsi="黑体" w:eastAsia="黑体"/>
          <w:b/>
          <w:bCs/>
          <w:sz w:val="36"/>
          <w:szCs w:val="36"/>
        </w:rPr>
      </w:r>
      <w:r/>
    </w:p>
    <w:p>
      <w:pPr>
        <w:pStyle w:val="917"/>
        <w:ind w:firstLine="2342"/>
        <w:rPr>
          <w:rFonts w:hint="eastAsia" w:ascii="黑体" w:hAnsi="黑体" w:eastAsia="黑体"/>
          <w:b/>
          <w:bCs/>
          <w:sz w:val="36"/>
          <w:szCs w:val="36"/>
        </w:rPr>
      </w:pPr>
      <w:r>
        <w:rPr>
          <w:rFonts w:hint="eastAsia" w:ascii="黑体" w:hAnsi="黑体" w:eastAsia="黑体"/>
          <w:b/>
          <w:bCs/>
          <w:sz w:val="36"/>
          <w:szCs w:val="36"/>
        </w:rPr>
      </w:r>
      <w:r/>
    </w:p>
    <w:p>
      <w:pPr>
        <w:pStyle w:val="917"/>
        <w:ind w:firstLine="2342"/>
        <w:rPr>
          <w:rFonts w:hint="eastAsia" w:ascii="黑体" w:hAnsi="黑体" w:eastAsia="黑体"/>
          <w:b/>
          <w:bCs/>
          <w:sz w:val="36"/>
          <w:szCs w:val="36"/>
        </w:rPr>
      </w:pPr>
      <w:r>
        <w:rPr>
          <w:rFonts w:hint="eastAsia" w:ascii="黑体" w:hAnsi="黑体" w:eastAsia="黑体"/>
          <w:b/>
          <w:bCs/>
          <w:sz w:val="36"/>
          <w:szCs w:val="36"/>
        </w:rPr>
      </w:r>
      <w:r/>
    </w:p>
    <w:p>
      <w:pPr>
        <w:pStyle w:val="917"/>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p>
    <w:p>
      <w:pPr>
        <w:pStyle w:val="917"/>
        <w:ind w:firstLine="2640"/>
        <w:rPr>
          <w:rFonts w:hint="eastAsia" w:ascii="黑体" w:hAnsi="黑体" w:eastAsia="黑体"/>
          <w:sz w:val="44"/>
          <w:szCs w:val="44"/>
        </w:rPr>
      </w:pPr>
      <w:r>
        <w:rPr>
          <w:rFonts w:hint="eastAsia" w:ascii="黑体" w:hAnsi="黑体" w:eastAsia="黑体"/>
          <w:sz w:val="44"/>
          <w:szCs w:val="44"/>
        </w:rPr>
      </w:r>
      <w:r/>
    </w:p>
    <w:p>
      <w:pPr>
        <w:pStyle w:val="917"/>
        <w:ind w:firstLine="2640"/>
        <w:rPr>
          <w:rFonts w:hint="eastAsia" w:ascii="黑体" w:hAnsi="黑体" w:eastAsia="黑体"/>
          <w:sz w:val="44"/>
          <w:szCs w:val="44"/>
        </w:rPr>
      </w:pPr>
      <w:r>
        <w:rPr>
          <w:rFonts w:hint="eastAsia" w:ascii="黑体" w:hAnsi="黑体" w:eastAsia="黑体"/>
          <w:sz w:val="44"/>
          <w:szCs w:val="44"/>
        </w:rPr>
      </w:r>
      <w:r/>
    </w:p>
    <w:p>
      <w:pPr>
        <w:pStyle w:val="917"/>
        <w:rPr>
          <w:rFonts w:hint="eastAsia" w:ascii="黑体" w:hAnsi="黑体" w:eastAsia="黑体"/>
          <w:sz w:val="44"/>
          <w:szCs w:val="44"/>
        </w:rPr>
      </w:pPr>
      <w:r>
        <w:rPr>
          <w:rFonts w:hint="eastAsia" w:ascii="黑体" w:hAnsi="黑体" w:eastAsia="黑体"/>
          <w:sz w:val="44"/>
          <w:szCs w:val="44"/>
        </w:rPr>
      </w:r>
      <w:r/>
    </w:p>
    <w:p>
      <w:pPr>
        <w:pStyle w:val="917"/>
        <w:rPr>
          <w:rFonts w:hint="eastAsia" w:ascii="黑体" w:hAnsi="黑体" w:eastAsia="黑体"/>
          <w:sz w:val="32"/>
        </w:rPr>
      </w:pPr>
      <w:r>
        <w:rPr>
          <w:rFonts w:hint="eastAsia" w:ascii="黑体" w:hAnsi="黑体" w:eastAsia="黑体"/>
          <w:sz w:val="32"/>
        </w:rPr>
      </w:r>
      <w:r/>
    </w:p>
    <w:p>
      <w:pPr>
        <w:pStyle w:val="917"/>
        <w:rPr>
          <w:rFonts w:hint="eastAsia" w:ascii="黑体" w:hAnsi="黑体" w:eastAsia="黑体"/>
          <w:sz w:val="32"/>
        </w:rPr>
      </w:pPr>
      <w:r>
        <w:rPr>
          <w:rFonts w:hint="eastAsia" w:ascii="黑体" w:hAnsi="黑体" w:eastAsia="黑体"/>
          <w:sz w:val="32"/>
        </w:rPr>
      </w:r>
      <w:r/>
    </w:p>
    <w:p>
      <w:pPr>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917"/>
        <w:rPr>
          <w:rFonts w:hint="eastAsia" w:ascii="黑体" w:hAnsi="黑体" w:eastAsia="黑体"/>
          <w:sz w:val="32"/>
        </w:rPr>
      </w:pPr>
      <w:r>
        <w:rPr>
          <w:rFonts w:hint="eastAsia" w:ascii="黑体" w:hAnsi="黑体" w:eastAsia="黑体"/>
          <w:sz w:val="32"/>
        </w:rPr>
      </w:r>
      <w:r/>
    </w:p>
    <w:p>
      <w:pPr>
        <w:pStyle w:val="917"/>
        <w:ind w:firstLine="1066"/>
        <w:rPr>
          <w:rFonts w:hint="eastAsia" w:ascii="黑体" w:hAnsi="黑体" w:eastAsia="黑体"/>
          <w:b/>
          <w:sz w:val="36"/>
          <w:szCs w:val="24"/>
        </w:rPr>
      </w:pPr>
      <w:r>
        <w:rPr>
          <w:rFonts w:hint="eastAsia" w:ascii="黑体" w:hAnsi="黑体" w:eastAsia="黑体"/>
          <w:b/>
          <w:sz w:val="36"/>
          <w:szCs w:val="24"/>
        </w:rPr>
      </w:r>
      <w:r/>
    </w:p>
    <w:p>
      <w:pPr>
        <w:pStyle w:val="917"/>
        <w:ind w:firstLine="1066"/>
        <w:rPr>
          <w:rFonts w:hint="eastAsia" w:ascii="黑体" w:hAnsi="黑体" w:eastAsia="黑体"/>
          <w:b/>
          <w:sz w:val="36"/>
          <w:szCs w:val="24"/>
        </w:rPr>
      </w:pPr>
      <w:r>
        <w:rPr>
          <w:rFonts w:hint="eastAsia" w:ascii="黑体" w:hAnsi="黑体" w:eastAsia="黑体"/>
          <w:b/>
          <w:sz w:val="36"/>
          <w:szCs w:val="24"/>
        </w:rPr>
      </w:r>
      <w:r/>
    </w:p>
    <w:p>
      <w:pPr>
        <w:pStyle w:val="917"/>
        <w:ind w:firstLine="1428"/>
        <w:rPr>
          <w:rFonts w:hint="eastAsia"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p>
    <w:p>
      <w:pPr>
        <w:pStyle w:val="917"/>
        <w:ind w:firstLine="1904"/>
        <w:rPr>
          <w:rFonts w:hint="eastAsia" w:ascii="黑体" w:hAnsi="黑体" w:eastAsia="黑体"/>
          <w:sz w:val="32"/>
        </w:rPr>
      </w:pPr>
      <w:r>
        <w:rPr>
          <w:rFonts w:hint="eastAsia" w:ascii="黑体" w:hAnsi="黑体" w:eastAsia="黑体"/>
          <w:sz w:val="32"/>
        </w:rPr>
      </w:r>
      <w:r/>
    </w:p>
    <w:p>
      <w:pPr>
        <w:pStyle w:val="917"/>
        <w:ind w:firstLine="1904"/>
        <w:rPr>
          <w:rFonts w:hint="eastAsia" w:ascii="黑体" w:hAnsi="黑体" w:eastAsia="黑体"/>
          <w:sz w:val="32"/>
        </w:rPr>
      </w:pPr>
      <w:r>
        <w:rPr>
          <w:rFonts w:hint="eastAsia" w:ascii="黑体" w:hAnsi="黑体" w:eastAsia="黑体"/>
          <w:sz w:val="32"/>
        </w:rPr>
      </w:r>
      <w:r/>
    </w:p>
    <w:p>
      <w:pPr>
        <w:pStyle w:val="917"/>
        <w:ind w:firstLine="1904"/>
        <w:rPr>
          <w:rFonts w:hint="eastAsia" w:ascii="黑体" w:hAnsi="黑体" w:eastAsia="黑体"/>
          <w:sz w:val="32"/>
        </w:rPr>
      </w:pPr>
      <w:r>
        <w:rPr>
          <w:rFonts w:hint="eastAsia" w:ascii="黑体" w:hAnsi="黑体" w:eastAsia="黑体"/>
          <w:sz w:val="32"/>
        </w:rPr>
      </w:r>
      <w:r/>
    </w:p>
    <w:p>
      <w:pPr>
        <w:pStyle w:val="917"/>
        <w:ind w:firstLine="1904"/>
        <w:rPr>
          <w:rFonts w:hint="eastAsia" w:ascii="黑体" w:hAnsi="黑体" w:eastAsia="黑体"/>
          <w:sz w:val="32"/>
        </w:rPr>
      </w:pPr>
      <w:r>
        <w:rPr>
          <w:rFonts w:hint="eastAsia" w:ascii="黑体" w:hAnsi="黑体" w:eastAsia="黑体"/>
          <w:sz w:val="32"/>
        </w:rPr>
      </w:r>
      <w:r/>
    </w:p>
    <w:p>
      <w:pPr>
        <w:pStyle w:val="917"/>
        <w:ind w:firstLine="2645"/>
        <w:rPr>
          <w:rFonts w:hint="eastAsia" w:ascii="黑体" w:hAnsi="黑体" w:eastAsia="黑体"/>
          <w:b/>
          <w:sz w:val="32"/>
        </w:rPr>
      </w:pPr>
      <w:r>
        <w:rPr>
          <w:rFonts w:hint="eastAsia" w:ascii="黑体" w:hAnsi="黑体" w:eastAsia="黑体"/>
          <w:b/>
          <w:sz w:val="36"/>
          <w:szCs w:val="24"/>
        </w:rPr>
        <w:t xml:space="preserve">二0二六年    月    日</w:t>
      </w:r>
      <w:r/>
    </w:p>
    <w:p>
      <w:pPr>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r>
      <w:r/>
    </w:p>
    <w:p>
      <w:pPr>
        <w:spacing w:line="640" w:lineRule="exact"/>
        <w:rPr>
          <w:rFonts w:hint="eastAsia" w:ascii="仿宋" w:hAnsi="仿宋" w:eastAsia="仿宋"/>
          <w:b/>
          <w:bCs/>
          <w:sz w:val="32"/>
          <w:szCs w:val="32"/>
        </w:rPr>
      </w:pPr>
      <w:r>
        <w:rPr>
          <w:rFonts w:hint="eastAsia" w:ascii="仿宋" w:hAnsi="仿宋" w:eastAsia="仿宋"/>
          <w:b/>
          <w:bCs/>
          <w:sz w:val="32"/>
          <w:szCs w:val="32"/>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hint="eastAsia" w:ascii="仿宋" w:hAnsi="仿宋" w:eastAsia="仿宋"/>
          <w:sz w:val="28"/>
        </w:rPr>
      </w:pPr>
      <w:r>
        <w:rPr>
          <w:rFonts w:hint="eastAsia" w:ascii="仿宋" w:hAnsi="仿宋" w:eastAsia="仿宋"/>
          <w:sz w:val="28"/>
        </w:rPr>
        <w:t xml:space="preserve">淮安市体育局:</w:t>
      </w:r>
      <w:r/>
    </w:p>
    <w:p>
      <w:pPr>
        <w:pStyle w:val="966"/>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66"/>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3、按照磋商文件中规定的各项要求，我方愿以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hint="eastAsia" w:ascii="仿宋" w:hAnsi="仿宋" w:eastAsia="仿宋"/>
          <w:sz w:val="28"/>
        </w:rPr>
      </w:pPr>
      <w:r>
        <w:rPr>
          <w:rFonts w:hint="eastAsia" w:ascii="仿宋" w:hAnsi="仿宋" w:eastAsia="仿宋"/>
          <w:sz w:val="28"/>
        </w:rPr>
      </w:r>
      <w:r/>
    </w:p>
    <w:p>
      <w:pPr>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66"/>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rPr>
        <w:t xml:space="preserve">电子签</w:t>
      </w:r>
      <w:r>
        <w:rPr>
          <w:rFonts w:hint="eastAsia" w:ascii="仿宋" w:hAnsi="仿宋" w:eastAsia="仿宋"/>
          <w:sz w:val="28"/>
          <w:u w:val="single"/>
        </w:rPr>
        <w:t xml:space="preserve">章）           </w:t>
      </w:r>
      <w:r/>
    </w:p>
    <w:p>
      <w:pPr>
        <w:pStyle w:val="966"/>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17"/>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2926"/>
        <w:spacing w:line="440" w:lineRule="exact"/>
        <w:rPr>
          <w:rFonts w:hint="eastAsia" w:ascii="仿宋" w:hAnsi="仿宋" w:eastAsia="仿宋"/>
          <w:sz w:val="28"/>
          <w:szCs w:val="28"/>
        </w:rPr>
      </w:pPr>
      <w:r>
        <w:rPr>
          <w:rFonts w:hint="eastAsia" w:ascii="仿宋" w:hAnsi="仿宋" w:eastAsia="仿宋"/>
          <w:sz w:val="28"/>
          <w:szCs w:val="28"/>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917"/>
        <w:jc w:val="center"/>
        <w:rPr>
          <w:rFonts w:hint="eastAsia" w:ascii="仿宋" w:hAnsi="仿宋" w:eastAsia="仿宋"/>
          <w:b/>
          <w:sz w:val="32"/>
          <w:szCs w:val="32"/>
        </w:rPr>
      </w:pPr>
      <w:r>
        <w:rPr>
          <w:rFonts w:hint="eastAsia" w:ascii="仿宋" w:hAnsi="仿宋" w:eastAsia="仿宋"/>
          <w:b/>
          <w:sz w:val="32"/>
          <w:szCs w:val="32"/>
        </w:rPr>
        <w:t xml:space="preserve">二、磋商报价明细表</w:t>
      </w:r>
      <w:r/>
    </w:p>
    <w:p>
      <w:pPr>
        <w:pStyle w:val="917"/>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729"/>
        <w:tblW w:w="955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2800"/>
        <w:gridCol w:w="1650"/>
        <w:gridCol w:w="1312"/>
        <w:gridCol w:w="1538"/>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w:t>
            </w:r>
            <w:r>
              <w:rPr>
                <w:rFonts w:ascii="仿宋" w:hAnsi="仿宋" w:eastAsia="仿宋"/>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w:t>
            </w:r>
            <w:r>
              <w:rPr>
                <w:rFonts w:ascii="仿宋" w:hAnsi="仿宋" w:eastAsia="仿宋"/>
                <w:sz w:val="24"/>
                <w:szCs w:val="24"/>
              </w:rPr>
              <w:t xml:space="preserve">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w:t>
            </w:r>
            <w:r>
              <w:rPr>
                <w:rFonts w:hint="eastAsia" w:ascii="仿宋" w:hAnsi="仿宋" w:eastAsia="仿宋"/>
                <w:sz w:val="24"/>
                <w:szCs w:val="24"/>
              </w:rPr>
              <w:t xml:space="preserve">报</w:t>
            </w:r>
            <w:r>
              <w:rPr>
                <w:rFonts w:ascii="仿宋" w:hAnsi="仿宋" w:eastAsia="仿宋"/>
                <w:sz w:val="24"/>
                <w:szCs w:val="24"/>
              </w:rPr>
              <w:t xml:space="preserve">价</w:t>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jc w:val="left"/>
              <w:spacing w:line="360" w:lineRule="auto"/>
              <w:rPr>
                <w:rFonts w:hint="eastAsia" w:ascii="仿宋" w:hAnsi="仿宋" w:eastAsia="仿宋"/>
                <w:sz w:val="24"/>
              </w:rPr>
            </w:pPr>
            <w:r>
              <w:rPr>
                <w:rFonts w:hint="eastAsia"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0"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2"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8" w:type="dxa"/>
            <w:vAlign w:val="center"/>
            <w:textDirection w:val="lrTb"/>
            <w:noWrap w:val="false"/>
          </w:tcPr>
          <w:p>
            <w:pPr>
              <w:pStyle w:val="917"/>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59" w:type="dxa"/>
            <w:vAlign w:val="center"/>
            <w:textDirection w:val="lrTb"/>
            <w:noWrap w:val="false"/>
          </w:tcPr>
          <w:p>
            <w:pPr>
              <w:pStyle w:val="917"/>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p>
        </w:tc>
      </w:tr>
    </w:tbl>
    <w:p>
      <w:pPr>
        <w:pStyle w:val="917"/>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917"/>
        <w:ind w:firstLine="411"/>
        <w:spacing w:line="440" w:lineRule="exact"/>
        <w:rPr>
          <w:rFonts w:hint="eastAsia" w:ascii="仿宋" w:hAnsi="仿宋" w:eastAsia="仿宋"/>
          <w:sz w:val="28"/>
          <w:szCs w:val="24"/>
        </w:rPr>
      </w:pPr>
      <w:r>
        <w:rPr>
          <w:rFonts w:ascii="仿宋" w:hAnsi="仿宋" w:eastAsia="仿宋"/>
          <w:sz w:val="28"/>
          <w:szCs w:val="24"/>
        </w:rPr>
        <w:t xml:space="preserve">备注：报价采用总承包方式，“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ind w:firstLine="280"/>
        <w:spacing w:line="440" w:lineRule="exact"/>
        <w:rPr>
          <w:rFonts w:hint="eastAsia" w:ascii="仿宋" w:hAnsi="仿宋" w:eastAsia="仿宋"/>
          <w:sz w:val="28"/>
          <w:szCs w:val="28"/>
        </w:rPr>
      </w:pPr>
      <w:r>
        <w:rPr>
          <w:rFonts w:hint="eastAsia" w:ascii="仿宋" w:hAnsi="仿宋" w:eastAsia="仿宋"/>
          <w:sz w:val="28"/>
          <w:szCs w:val="28"/>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三、服务要求响应偏离表</w:t>
      </w:r>
      <w:r/>
    </w:p>
    <w:tbl>
      <w:tblPr>
        <w:tblStyle w:val="729"/>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项目采购需求中主要服务</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所报服务及相关描述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（2）供应商必须仔细阅读本磋商文件第五章中所有服务条款和相关要求，并将响应情况及偏离情况逐项填入上表，响应时不得对原有条款进行直接复制粘贴及简单表述为完全响应。</w:t>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917"/>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bCs/>
          <w:sz w:val="28"/>
        </w:rPr>
      </w:pPr>
      <w:r>
        <w:rPr>
          <w:rFonts w:hint="eastAsia" w:ascii="仿宋" w:hAnsi="仿宋" w:eastAsia="仿宋"/>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1012"/>
        <w:rPr>
          <w:rFonts w:hint="eastAsia" w:ascii="仿宋" w:hAnsi="仿宋" w:eastAsia="仿宋"/>
          <w:b/>
          <w:bCs/>
          <w:sz w:val="32"/>
        </w:rPr>
      </w:pPr>
      <w:r>
        <w:rPr>
          <w:rFonts w:hint="eastAsia" w:ascii="仿宋" w:hAnsi="仿宋" w:eastAsia="仿宋"/>
          <w:b/>
          <w:bCs/>
          <w:sz w:val="32"/>
        </w:rPr>
      </w:r>
      <w:r/>
    </w:p>
    <w:p>
      <w:pPr>
        <w:pStyle w:val="1012"/>
        <w:jc w:val="center"/>
        <w:rPr>
          <w:rFonts w:hint="eastAsia" w:ascii="仿宋" w:hAnsi="仿宋" w:eastAsia="仿宋"/>
          <w:b/>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人员配备表</w:t>
      </w:r>
      <w:r/>
    </w:p>
    <w:p>
      <w:pPr>
        <w:pStyle w:val="1012"/>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161"/>
        <w:gridCol w:w="1123"/>
        <w:gridCol w:w="1123"/>
        <w:gridCol w:w="1424"/>
        <w:gridCol w:w="1071"/>
        <w:gridCol w:w="1042"/>
        <w:gridCol w:w="1366"/>
      </w:tblGrid>
      <w:tr>
        <w:trPr>
          <w:jc w:val="center"/>
          <w:trHeight w:val="482"/>
        </w:trPr>
        <w:tc>
          <w:tcPr>
            <w:tcW w:w="991"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 号</w:t>
            </w:r>
            <w:r/>
          </w:p>
        </w:tc>
        <w:tc>
          <w:tcPr>
            <w:tcW w:w="1161"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 名</w:t>
            </w:r>
            <w:r/>
          </w:p>
        </w:tc>
        <w:tc>
          <w:tcPr>
            <w:tcW w:w="1123"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性别</w:t>
            </w:r>
            <w:r/>
          </w:p>
        </w:tc>
        <w:tc>
          <w:tcPr>
            <w:tcW w:w="1123"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年 龄</w:t>
            </w:r>
            <w:r/>
          </w:p>
        </w:tc>
        <w:tc>
          <w:tcPr>
            <w:tcW w:w="1424"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工作经历</w:t>
            </w:r>
            <w:r/>
          </w:p>
        </w:tc>
        <w:tc>
          <w:tcPr>
            <w:tcW w:w="1071"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 称</w:t>
            </w:r>
            <w:r/>
          </w:p>
        </w:tc>
        <w:tc>
          <w:tcPr>
            <w:tcW w:w="1042"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1366" w:type="dxa"/>
            <w:vAlign w:val="center"/>
            <w:textDirection w:val="lrTb"/>
            <w:noWrap/>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拟任岗位</w:t>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jc w:val="center"/>
          <w:trHeight w:val="880"/>
        </w:trPr>
        <w:tc>
          <w:tcPr>
            <w:tcW w:w="99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6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23"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424"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71"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42"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66" w:type="dxa"/>
            <w:textDirection w:val="lrTb"/>
            <w:noWrap/>
          </w:tcPr>
          <w:p>
            <w:pPr>
              <w:spacing w:line="80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1012"/>
        <w:ind w:firstLine="691"/>
        <w:spacing w:line="440" w:lineRule="exact"/>
        <w:rPr>
          <w:rFonts w:hint="eastAsia" w:ascii="仿宋" w:hAnsi="仿宋" w:eastAsia="仿宋"/>
          <w:sz w:val="28"/>
          <w:szCs w:val="24"/>
        </w:rPr>
      </w:pPr>
      <w:r>
        <w:rPr>
          <w:rFonts w:hint="eastAsia" w:ascii="仿宋" w:hAnsi="仿宋" w:eastAsia="仿宋"/>
          <w:sz w:val="28"/>
          <w:szCs w:val="24"/>
        </w:rPr>
      </w:r>
      <w:r/>
    </w:p>
    <w:p>
      <w:pPr>
        <w:spacing w:line="520" w:lineRule="exact"/>
        <w:rPr>
          <w:rFonts w:hint="eastAsia" w:ascii="仿宋" w:hAnsi="仿宋" w:eastAsia="仿宋" w:cs="仿宋"/>
          <w:color w:val="000000"/>
          <w:sz w:val="28"/>
          <w:u w:val="single"/>
        </w:rPr>
      </w:pPr>
      <w:r>
        <w:rPr>
          <w:rFonts w:hint="eastAsia" w:ascii="仿宋" w:hAnsi="仿宋" w:eastAsia="仿宋" w:cs="仿宋"/>
          <w:color w:val="000000"/>
          <w:sz w:val="28"/>
        </w:rPr>
        <w:t xml:space="preserve">供应商:</w:t>
      </w:r>
      <w:r>
        <w:rPr>
          <w:rFonts w:hint="eastAsia" w:ascii="仿宋" w:hAnsi="仿宋" w:eastAsia="仿宋" w:cs="仿宋"/>
          <w:color w:val="000000"/>
          <w:sz w:val="28"/>
          <w:u w:val="single"/>
        </w:rPr>
        <w:t xml:space="preserve">（加盖CA</w:t>
      </w:r>
      <w:r>
        <w:rPr>
          <w:rFonts w:hint="eastAsia" w:ascii="仿宋" w:hAnsi="仿宋" w:eastAsia="仿宋"/>
          <w:sz w:val="28"/>
          <w:szCs w:val="28"/>
          <w:u w:val="single"/>
          <w:lang w:val="zh-CN"/>
        </w:rPr>
        <w:t xml:space="preserve">电子签</w:t>
      </w:r>
      <w:r>
        <w:rPr>
          <w:rFonts w:hint="eastAsia" w:ascii="仿宋" w:hAnsi="仿宋" w:eastAsia="仿宋"/>
          <w:sz w:val="28"/>
          <w:u w:val="single"/>
        </w:rPr>
        <w:t xml:space="preserve">章</w:t>
      </w:r>
      <w:r>
        <w:rPr>
          <w:rFonts w:hint="eastAsia" w:ascii="仿宋" w:hAnsi="仿宋" w:eastAsia="仿宋" w:cs="仿宋"/>
          <w:color w:val="000000"/>
          <w:sz w:val="28"/>
          <w:u w:val="single"/>
        </w:rPr>
        <w:t xml:space="preserve">）</w:t>
      </w:r>
      <w:r/>
    </w:p>
    <w:p>
      <w:pPr>
        <w:pStyle w:val="1012"/>
        <w:rPr>
          <w:rFonts w:hint="eastAsia" w:ascii="仿宋" w:hAnsi="仿宋" w:eastAsia="仿宋"/>
          <w:sz w:val="28"/>
          <w:szCs w:val="24"/>
        </w:rPr>
      </w:pPr>
      <w:r>
        <w:rPr>
          <w:rFonts w:hint="eastAsia" w:ascii="仿宋" w:hAnsi="仿宋" w:eastAsia="仿宋"/>
          <w:color w:val="000000"/>
          <w:sz w:val="28"/>
        </w:rPr>
        <w:t xml:space="preserve">日期:  年  月  日</w:t>
      </w:r>
      <w:r/>
    </w:p>
    <w:p>
      <w:pPr>
        <w:pStyle w:val="1012"/>
        <w:ind w:firstLine="691"/>
        <w:spacing w:line="440" w:lineRule="exact"/>
        <w:rPr>
          <w:rFonts w:hint="eastAsia" w:ascii="仿宋" w:hAnsi="仿宋" w:eastAsia="仿宋"/>
          <w:sz w:val="28"/>
          <w:szCs w:val="24"/>
        </w:rPr>
      </w:pPr>
      <w:r>
        <w:rPr>
          <w:rFonts w:hint="eastAsia" w:ascii="仿宋" w:hAnsi="仿宋" w:eastAsia="仿宋"/>
          <w:sz w:val="28"/>
          <w:szCs w:val="24"/>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1606"/>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六、综合评分时供应商需提供的证明文件</w:t>
      </w:r>
      <w:r/>
    </w:p>
    <w:p>
      <w:pPr>
        <w:ind w:firstLine="140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77"/>
        <w:spacing w:line="440" w:lineRule="exact"/>
        <w:rPr>
          <w:rFonts w:hint="eastAsia" w:ascii="宋体" w:hAnsi="宋体"/>
          <w:b/>
          <w:sz w:val="36"/>
        </w:rPr>
      </w:pPr>
      <w:r/>
      <w:bookmarkStart w:id="36" w:name="_Toc157775454"/>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3534"/>
        <w:spacing w:line="440" w:lineRule="exact"/>
        <w:rPr>
          <w:rFonts w:hint="eastAsia" w:ascii="仿宋" w:hAnsi="仿宋" w:eastAsia="仿宋"/>
          <w:b/>
          <w:sz w:val="32"/>
          <w:szCs w:val="32"/>
        </w:rPr>
      </w:pPr>
      <w:r>
        <w:rPr>
          <w:rFonts w:hint="eastAsia" w:ascii="仿宋" w:hAnsi="仿宋" w:eastAsia="仿宋"/>
          <w:b/>
          <w:sz w:val="32"/>
          <w:szCs w:val="32"/>
        </w:rPr>
        <w:t xml:space="preserve">七、示范格式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36"/>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项目，签署上述项目的响应文件、进行采购、签署合同和处理与之有关的一切事务。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66"/>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致淮安市体育局:</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代表我公司参加代理机构组织的（项目编号: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采购项目的政府采购活动，受托人有权在该采购活动中，以我单位的名义签署磋商函和响应文件，与代理机构协商、澄清、解释，签订合同书并执行一切与此有关的事项。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907"/>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致淮安市体育局:</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90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致淮安市体育局:</w:t>
      </w:r>
      <w:r/>
    </w:p>
    <w:p>
      <w:pPr>
        <w:pStyle w:val="90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0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0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07"/>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90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0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7"/>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907"/>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907"/>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907"/>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0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致淮安市体育局:</w:t>
      </w:r>
      <w:r/>
    </w:p>
    <w:p>
      <w:pPr>
        <w:pStyle w:val="90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0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07"/>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07"/>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仿宋">
    <w:panose1 w:val="02010609060101010101"/>
  </w:font>
  <w:font w:name="Tahoma">
    <w:panose1 w:val="020B0604030504040204"/>
  </w:font>
  <w:font w:name="Calibri">
    <w:panose1 w:val="020F0502020204030204"/>
  </w:font>
  <w:font w:name="Helv">
    <w:panose1 w:val="020B0503020202020204"/>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51</w:t>
    </w:r>
    <w: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0"/>
      </w:rPr>
      <w:framePr w:wrap="around" w:vAnchor="text" w:hAnchor="margin" w:xAlign="center" w:y="1"/>
    </w:pPr>
    <w:r>
      <w:fldChar w:fldCharType="begin"/>
    </w:r>
    <w:r>
      <w:rPr>
        <w:rStyle w:val="930"/>
      </w:rPr>
      <w:instrText xml:space="preserve">PAGE  </w:instrTex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0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1">
    <w:name w:val="Heading 1 Char"/>
    <w:basedOn w:val="728"/>
    <w:link w:val="719"/>
    <w:uiPriority w:val="9"/>
    <w:rPr>
      <w:rFonts w:ascii="Arial" w:hAnsi="Arial" w:eastAsia="Arial" w:cs="Arial"/>
      <w:sz w:val="40"/>
      <w:szCs w:val="40"/>
    </w:rPr>
  </w:style>
  <w:style w:type="character" w:styleId="682">
    <w:name w:val="Heading 2 Char"/>
    <w:basedOn w:val="728"/>
    <w:link w:val="720"/>
    <w:uiPriority w:val="9"/>
    <w:rPr>
      <w:rFonts w:ascii="Arial" w:hAnsi="Arial" w:eastAsia="Arial" w:cs="Arial"/>
      <w:sz w:val="34"/>
    </w:rPr>
  </w:style>
  <w:style w:type="character" w:styleId="683">
    <w:name w:val="Heading 3 Char"/>
    <w:basedOn w:val="728"/>
    <w:link w:val="721"/>
    <w:uiPriority w:val="9"/>
    <w:rPr>
      <w:rFonts w:ascii="Arial" w:hAnsi="Arial" w:eastAsia="Arial" w:cs="Arial"/>
      <w:sz w:val="30"/>
      <w:szCs w:val="30"/>
    </w:rPr>
  </w:style>
  <w:style w:type="character" w:styleId="684">
    <w:name w:val="Heading 4 Char"/>
    <w:basedOn w:val="728"/>
    <w:link w:val="722"/>
    <w:uiPriority w:val="9"/>
    <w:rPr>
      <w:rFonts w:ascii="Arial" w:hAnsi="Arial" w:eastAsia="Arial" w:cs="Arial"/>
      <w:b/>
      <w:bCs/>
      <w:sz w:val="26"/>
      <w:szCs w:val="26"/>
    </w:rPr>
  </w:style>
  <w:style w:type="character" w:styleId="685">
    <w:name w:val="Heading 5 Char"/>
    <w:basedOn w:val="728"/>
    <w:link w:val="723"/>
    <w:uiPriority w:val="9"/>
    <w:rPr>
      <w:rFonts w:ascii="Arial" w:hAnsi="Arial" w:eastAsia="Arial" w:cs="Arial"/>
      <w:b/>
      <w:bCs/>
      <w:sz w:val="24"/>
      <w:szCs w:val="24"/>
    </w:rPr>
  </w:style>
  <w:style w:type="character" w:styleId="686">
    <w:name w:val="Heading 6 Char"/>
    <w:basedOn w:val="728"/>
    <w:link w:val="724"/>
    <w:uiPriority w:val="9"/>
    <w:rPr>
      <w:rFonts w:ascii="Arial" w:hAnsi="Arial" w:eastAsia="Arial" w:cs="Arial"/>
      <w:b/>
      <w:bCs/>
      <w:sz w:val="22"/>
      <w:szCs w:val="22"/>
    </w:rPr>
  </w:style>
  <w:style w:type="character" w:styleId="687">
    <w:name w:val="Heading 7 Char"/>
    <w:basedOn w:val="728"/>
    <w:link w:val="725"/>
    <w:uiPriority w:val="9"/>
    <w:rPr>
      <w:rFonts w:ascii="Arial" w:hAnsi="Arial" w:eastAsia="Arial" w:cs="Arial"/>
      <w:b/>
      <w:bCs/>
      <w:i/>
      <w:iCs/>
      <w:sz w:val="22"/>
      <w:szCs w:val="22"/>
    </w:rPr>
  </w:style>
  <w:style w:type="character" w:styleId="688">
    <w:name w:val="Heading 8 Char"/>
    <w:basedOn w:val="728"/>
    <w:link w:val="726"/>
    <w:uiPriority w:val="9"/>
    <w:rPr>
      <w:rFonts w:ascii="Arial" w:hAnsi="Arial" w:eastAsia="Arial" w:cs="Arial"/>
      <w:i/>
      <w:iCs/>
      <w:sz w:val="22"/>
      <w:szCs w:val="22"/>
    </w:rPr>
  </w:style>
  <w:style w:type="character" w:styleId="689">
    <w:name w:val="Heading 9 Char"/>
    <w:basedOn w:val="728"/>
    <w:link w:val="727"/>
    <w:uiPriority w:val="9"/>
    <w:rPr>
      <w:rFonts w:ascii="Arial" w:hAnsi="Arial" w:eastAsia="Arial" w:cs="Arial"/>
      <w:i/>
      <w:iCs/>
      <w:sz w:val="21"/>
      <w:szCs w:val="21"/>
    </w:rPr>
  </w:style>
  <w:style w:type="character" w:styleId="690">
    <w:name w:val="Title Char"/>
    <w:basedOn w:val="728"/>
    <w:link w:val="752"/>
    <w:uiPriority w:val="10"/>
    <w:rPr>
      <w:sz w:val="48"/>
      <w:szCs w:val="48"/>
    </w:rPr>
  </w:style>
  <w:style w:type="character" w:styleId="691">
    <w:name w:val="Subtitle Char"/>
    <w:basedOn w:val="728"/>
    <w:link w:val="746"/>
    <w:uiPriority w:val="11"/>
    <w:rPr>
      <w:sz w:val="24"/>
      <w:szCs w:val="24"/>
    </w:rPr>
  </w:style>
  <w:style w:type="character" w:styleId="692">
    <w:name w:val="Quote Char"/>
    <w:link w:val="770"/>
    <w:uiPriority w:val="29"/>
    <w:rPr>
      <w:i/>
    </w:rPr>
  </w:style>
  <w:style w:type="character" w:styleId="693">
    <w:name w:val="Intense Quote Char"/>
    <w:link w:val="772"/>
    <w:uiPriority w:val="30"/>
    <w:rPr>
      <w:i/>
    </w:rPr>
  </w:style>
  <w:style w:type="character" w:styleId="694">
    <w:name w:val="Header Char"/>
    <w:basedOn w:val="728"/>
    <w:link w:val="743"/>
    <w:uiPriority w:val="99"/>
  </w:style>
  <w:style w:type="character" w:styleId="695">
    <w:name w:val="Caption Char"/>
    <w:basedOn w:val="732"/>
    <w:link w:val="742"/>
    <w:uiPriority w:val="99"/>
  </w:style>
  <w:style w:type="table" w:styleId="696">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Footnote Text Char"/>
    <w:link w:val="747"/>
    <w:uiPriority w:val="99"/>
    <w:rPr>
      <w:sz w:val="18"/>
    </w:rPr>
  </w:style>
  <w:style w:type="character" w:styleId="716">
    <w:name w:val="Endnote Text Char"/>
    <w:link w:val="741"/>
    <w:uiPriority w:val="99"/>
    <w:rPr>
      <w:sz w:val="20"/>
    </w:rPr>
  </w:style>
  <w:style w:type="paragraph" w:styleId="717">
    <w:name w:val="TOC Heading"/>
    <w:uiPriority w:val="39"/>
    <w:unhideWhenUsed/>
  </w:style>
  <w:style w:type="paragraph" w:styleId="71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Heading 1"/>
    <w:basedOn w:val="718"/>
    <w:next w:val="718"/>
    <w:link w:val="757"/>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8"/>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9"/>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60"/>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61"/>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762"/>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4"/>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5"/>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style>
  <w:style w:type="table" w:styleId="729" w:default="1">
    <w:name w:val="Normal Table"/>
    <w:uiPriority w:val="99"/>
    <w:semiHidden/>
    <w:unhideWhenUsed/>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Normal Indent"/>
    <w:basedOn w:val="718"/>
    <w:uiPriority w:val="0"/>
    <w:qFormat/>
    <w:pPr>
      <w:ind w:firstLine="420"/>
    </w:pPr>
  </w:style>
  <w:style w:type="paragraph" w:styleId="732">
    <w:name w:val="Caption"/>
    <w:basedOn w:val="718"/>
    <w:next w:val="718"/>
    <w:uiPriority w:val="35"/>
    <w:semiHidden/>
    <w:unhideWhenUsed/>
    <w:qFormat/>
    <w:pPr>
      <w:spacing w:line="276" w:lineRule="auto"/>
    </w:pPr>
    <w:rPr>
      <w:b/>
      <w:bCs/>
      <w:color w:val="4f81bd"/>
      <w:sz w:val="18"/>
      <w:szCs w:val="18"/>
    </w:rPr>
  </w:style>
  <w:style w:type="paragraph" w:styleId="733">
    <w:name w:val="annotation text"/>
    <w:basedOn w:val="718"/>
    <w:uiPriority w:val="99"/>
    <w:unhideWhenUsed/>
    <w:qFormat/>
    <w:rPr>
      <w:lang w:val="zh-CN"/>
    </w:rPr>
  </w:style>
  <w:style w:type="paragraph" w:styleId="734">
    <w:name w:val="Body Text"/>
    <w:basedOn w:val="718"/>
    <w:next w:val="735"/>
    <w:uiPriority w:val="99"/>
    <w:qFormat/>
    <w:pPr>
      <w:ind w:firstLine="425"/>
      <w:spacing w:before="120"/>
    </w:pPr>
    <w:rPr>
      <w:szCs w:val="20"/>
    </w:rPr>
  </w:style>
  <w:style w:type="paragraph" w:styleId="735">
    <w:name w:val="Body Text First Indent"/>
    <w:basedOn w:val="734"/>
    <w:next w:val="718"/>
    <w:uiPriority w:val="0"/>
    <w:qFormat/>
    <w:pPr>
      <w:ind w:firstLine="200"/>
      <w:spacing w:line="360" w:lineRule="auto"/>
    </w:pPr>
    <w:rPr>
      <w:sz w:val="28"/>
      <w:szCs w:val="28"/>
    </w:rPr>
  </w:style>
  <w:style w:type="paragraph" w:styleId="736">
    <w:name w:val="index 4"/>
    <w:basedOn w:val="718"/>
    <w:next w:val="718"/>
    <w:uiPriority w:val="99"/>
    <w:unhideWhenUsed/>
    <w:qFormat/>
    <w:pPr>
      <w:ind w:left="600"/>
    </w:pPr>
  </w:style>
  <w:style w:type="paragraph" w:styleId="737">
    <w:name w:val="toc 5"/>
    <w:basedOn w:val="718"/>
    <w:next w:val="718"/>
    <w:uiPriority w:val="39"/>
    <w:unhideWhenUsed/>
    <w:qFormat/>
    <w:pPr>
      <w:ind w:left="1134"/>
      <w:spacing w:after="57"/>
    </w:pPr>
  </w:style>
  <w:style w:type="paragraph" w:styleId="738">
    <w:name w:val="toc 3"/>
    <w:basedOn w:val="718"/>
    <w:next w:val="718"/>
    <w:uiPriority w:val="39"/>
    <w:unhideWhenUsed/>
    <w:qFormat/>
    <w:pPr>
      <w:ind w:left="567"/>
      <w:spacing w:after="57"/>
    </w:pPr>
  </w:style>
  <w:style w:type="paragraph" w:styleId="739">
    <w:name w:val="Plain Text"/>
    <w:basedOn w:val="718"/>
    <w:uiPriority w:val="0"/>
    <w:qFormat/>
    <w:rPr>
      <w:rFonts w:ascii="宋体" w:hAnsi="Courier New"/>
      <w:szCs w:val="20"/>
    </w:rPr>
  </w:style>
  <w:style w:type="paragraph" w:styleId="740">
    <w:name w:val="toc 8"/>
    <w:basedOn w:val="718"/>
    <w:next w:val="718"/>
    <w:uiPriority w:val="39"/>
    <w:unhideWhenUsed/>
    <w:qFormat/>
    <w:pPr>
      <w:ind w:left="1984"/>
      <w:spacing w:after="57"/>
    </w:pPr>
  </w:style>
  <w:style w:type="paragraph" w:styleId="741">
    <w:name w:val="endnote text"/>
    <w:basedOn w:val="718"/>
    <w:link w:val="903"/>
    <w:uiPriority w:val="99"/>
    <w:semiHidden/>
    <w:unhideWhenUsed/>
    <w:qFormat/>
    <w:rPr>
      <w:sz w:val="20"/>
    </w:rPr>
  </w:style>
  <w:style w:type="paragraph" w:styleId="742">
    <w:name w:val="Footer"/>
    <w:basedOn w:val="718"/>
    <w:link w:val="776"/>
    <w:uiPriority w:val="99"/>
    <w:unhideWhenUsed/>
    <w:qFormat/>
    <w:pPr>
      <w:tabs>
        <w:tab w:val="center" w:pos="7143" w:leader="none"/>
        <w:tab w:val="right" w:pos="14287" w:leader="none"/>
      </w:tabs>
    </w:pPr>
  </w:style>
  <w:style w:type="paragraph" w:styleId="743">
    <w:name w:val="Header"/>
    <w:basedOn w:val="718"/>
    <w:link w:val="774"/>
    <w:uiPriority w:val="99"/>
    <w:unhideWhenUsed/>
    <w:qFormat/>
    <w:pPr>
      <w:tabs>
        <w:tab w:val="center" w:pos="7143" w:leader="none"/>
        <w:tab w:val="right" w:pos="14287" w:leader="none"/>
      </w:tabs>
    </w:pPr>
  </w:style>
  <w:style w:type="paragraph" w:styleId="744">
    <w:name w:val="toc 1"/>
    <w:basedOn w:val="718"/>
    <w:next w:val="718"/>
    <w:uiPriority w:val="39"/>
    <w:unhideWhenUsed/>
    <w:qFormat/>
    <w:pPr>
      <w:spacing w:after="57"/>
    </w:pPr>
  </w:style>
  <w:style w:type="paragraph" w:styleId="745">
    <w:name w:val="toc 4"/>
    <w:basedOn w:val="718"/>
    <w:next w:val="718"/>
    <w:uiPriority w:val="39"/>
    <w:unhideWhenUsed/>
    <w:qFormat/>
    <w:pPr>
      <w:ind w:left="850"/>
      <w:spacing w:after="57"/>
    </w:pPr>
  </w:style>
  <w:style w:type="paragraph" w:styleId="746">
    <w:name w:val="Subtitle"/>
    <w:basedOn w:val="718"/>
    <w:next w:val="718"/>
    <w:link w:val="769"/>
    <w:uiPriority w:val="11"/>
    <w:qFormat/>
    <w:pPr>
      <w:spacing w:before="200" w:after="200"/>
    </w:pPr>
    <w:rPr>
      <w:sz w:val="24"/>
    </w:rPr>
  </w:style>
  <w:style w:type="paragraph" w:styleId="747">
    <w:name w:val="footnote text"/>
    <w:basedOn w:val="718"/>
    <w:link w:val="902"/>
    <w:uiPriority w:val="99"/>
    <w:semiHidden/>
    <w:unhideWhenUsed/>
    <w:qFormat/>
    <w:pPr>
      <w:spacing w:after="40"/>
    </w:pPr>
    <w:rPr>
      <w:sz w:val="18"/>
    </w:rPr>
  </w:style>
  <w:style w:type="paragraph" w:styleId="748">
    <w:name w:val="toc 6"/>
    <w:basedOn w:val="718"/>
    <w:next w:val="718"/>
    <w:uiPriority w:val="39"/>
    <w:unhideWhenUsed/>
    <w:qFormat/>
    <w:pPr>
      <w:ind w:left="1417"/>
      <w:spacing w:after="57"/>
    </w:pPr>
  </w:style>
  <w:style w:type="paragraph" w:styleId="749">
    <w:name w:val="table of figures"/>
    <w:basedOn w:val="718"/>
    <w:next w:val="718"/>
    <w:uiPriority w:val="99"/>
    <w:unhideWhenUsed/>
    <w:qFormat/>
  </w:style>
  <w:style w:type="paragraph" w:styleId="750">
    <w:name w:val="toc 2"/>
    <w:basedOn w:val="718"/>
    <w:next w:val="718"/>
    <w:uiPriority w:val="39"/>
    <w:unhideWhenUsed/>
    <w:qFormat/>
    <w:pPr>
      <w:ind w:left="283"/>
      <w:spacing w:after="57"/>
    </w:pPr>
  </w:style>
  <w:style w:type="paragraph" w:styleId="751">
    <w:name w:val="toc 9"/>
    <w:basedOn w:val="718"/>
    <w:next w:val="718"/>
    <w:uiPriority w:val="39"/>
    <w:unhideWhenUsed/>
    <w:qFormat/>
    <w:pPr>
      <w:ind w:left="2268"/>
      <w:spacing w:after="57"/>
    </w:pPr>
  </w:style>
  <w:style w:type="paragraph" w:styleId="752">
    <w:name w:val="Title"/>
    <w:basedOn w:val="718"/>
    <w:next w:val="718"/>
    <w:link w:val="768"/>
    <w:uiPriority w:val="10"/>
    <w:qFormat/>
    <w:pPr>
      <w:contextualSpacing/>
      <w:spacing w:before="300" w:after="200"/>
    </w:pPr>
    <w:rPr>
      <w:sz w:val="48"/>
      <w:szCs w:val="48"/>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u w:val="single"/>
    </w:rPr>
  </w:style>
  <w:style w:type="character" w:styleId="756">
    <w:name w:val="footnote reference"/>
    <w:uiPriority w:val="99"/>
    <w:unhideWhenUsed/>
    <w:qFormat/>
    <w:rPr>
      <w:vertAlign w:val="superscript"/>
    </w:rPr>
  </w:style>
  <w:style w:type="character" w:styleId="757" w:customStyle="1">
    <w:name w:val="标题 1 字符"/>
    <w:link w:val="719"/>
    <w:uiPriority w:val="9"/>
    <w:qFormat/>
    <w:rPr>
      <w:rFonts w:ascii="Arial" w:hAnsi="Arial" w:eastAsia="Arial" w:cs="Arial"/>
      <w:sz w:val="40"/>
      <w:szCs w:val="40"/>
    </w:rPr>
  </w:style>
  <w:style w:type="character" w:styleId="758" w:customStyle="1">
    <w:name w:val="标题 2 字符"/>
    <w:link w:val="720"/>
    <w:uiPriority w:val="9"/>
    <w:qFormat/>
    <w:rPr>
      <w:rFonts w:ascii="Arial" w:hAnsi="Arial" w:eastAsia="Arial" w:cs="Arial"/>
      <w:sz w:val="34"/>
    </w:rPr>
  </w:style>
  <w:style w:type="character" w:styleId="759" w:customStyle="1">
    <w:name w:val="标题 3 字符"/>
    <w:link w:val="721"/>
    <w:uiPriority w:val="9"/>
    <w:qFormat/>
    <w:rPr>
      <w:rFonts w:ascii="Arial" w:hAnsi="Arial" w:eastAsia="Arial" w:cs="Arial"/>
      <w:sz w:val="30"/>
      <w:szCs w:val="30"/>
    </w:rPr>
  </w:style>
  <w:style w:type="character" w:styleId="760" w:customStyle="1">
    <w:name w:val="标题 4 字符"/>
    <w:link w:val="722"/>
    <w:uiPriority w:val="9"/>
    <w:qFormat/>
    <w:rPr>
      <w:rFonts w:ascii="Arial" w:hAnsi="Arial" w:eastAsia="Arial" w:cs="Arial"/>
      <w:b/>
      <w:bCs/>
      <w:sz w:val="26"/>
      <w:szCs w:val="26"/>
    </w:rPr>
  </w:style>
  <w:style w:type="character" w:styleId="761" w:customStyle="1">
    <w:name w:val="标题 5 字符"/>
    <w:link w:val="723"/>
    <w:uiPriority w:val="9"/>
    <w:qFormat/>
    <w:rPr>
      <w:rFonts w:ascii="Arial" w:hAnsi="Arial" w:eastAsia="Arial" w:cs="Arial"/>
      <w:b/>
      <w:bCs/>
      <w:sz w:val="24"/>
      <w:szCs w:val="24"/>
    </w:rPr>
  </w:style>
  <w:style w:type="character" w:styleId="762" w:customStyle="1">
    <w:name w:val="标题 6 字符"/>
    <w:link w:val="724"/>
    <w:uiPriority w:val="9"/>
    <w:qFormat/>
    <w:rPr>
      <w:rFonts w:ascii="Arial" w:hAnsi="Arial" w:eastAsia="Arial" w:cs="Arial"/>
      <w:b/>
      <w:bCs/>
      <w:sz w:val="22"/>
      <w:szCs w:val="22"/>
    </w:rPr>
  </w:style>
  <w:style w:type="character" w:styleId="763" w:customStyle="1">
    <w:name w:val="标题 7 字符"/>
    <w:link w:val="725"/>
    <w:uiPriority w:val="9"/>
    <w:qFormat/>
    <w:rPr>
      <w:rFonts w:ascii="Arial" w:hAnsi="Arial" w:eastAsia="Arial" w:cs="Arial"/>
      <w:b/>
      <w:bCs/>
      <w:i/>
      <w:iCs/>
      <w:sz w:val="22"/>
      <w:szCs w:val="22"/>
    </w:rPr>
  </w:style>
  <w:style w:type="character" w:styleId="764" w:customStyle="1">
    <w:name w:val="标题 8 字符"/>
    <w:link w:val="726"/>
    <w:uiPriority w:val="9"/>
    <w:qFormat/>
    <w:rPr>
      <w:rFonts w:ascii="Arial" w:hAnsi="Arial" w:eastAsia="Arial" w:cs="Arial"/>
      <w:i/>
      <w:iCs/>
      <w:sz w:val="22"/>
      <w:szCs w:val="22"/>
    </w:rPr>
  </w:style>
  <w:style w:type="character" w:styleId="765" w:customStyle="1">
    <w:name w:val="标题 9 字符"/>
    <w:link w:val="727"/>
    <w:uiPriority w:val="9"/>
    <w:qFormat/>
    <w:rPr>
      <w:rFonts w:ascii="Arial" w:hAnsi="Arial" w:eastAsia="Arial" w:cs="Arial"/>
      <w:i/>
      <w:iCs/>
      <w:sz w:val="21"/>
      <w:szCs w:val="21"/>
    </w:rPr>
  </w:style>
  <w:style w:type="paragraph" w:styleId="766">
    <w:name w:val="List Paragraph"/>
    <w:basedOn w:val="718"/>
    <w:uiPriority w:val="34"/>
    <w:qFormat/>
    <w:pPr>
      <w:contextualSpacing/>
      <w:ind w:left="720"/>
    </w:pPr>
  </w:style>
  <w:style w:type="paragraph" w:styleId="767">
    <w:name w:val="No Spacing"/>
    <w:uiPriority w:val="1"/>
    <w:qFormat/>
    <w:rPr>
      <w:rFonts w:ascii="Times New Roman" w:hAnsi="Times New Roman" w:eastAsia="宋体" w:cs="Times New Roman"/>
      <w:lang w:val="en-US" w:eastAsia="zh-CN" w:bidi="ar-SA"/>
    </w:rPr>
  </w:style>
  <w:style w:type="character" w:styleId="768" w:customStyle="1">
    <w:name w:val="标题 字符"/>
    <w:link w:val="752"/>
    <w:uiPriority w:val="10"/>
    <w:qFormat/>
    <w:rPr>
      <w:sz w:val="48"/>
      <w:szCs w:val="48"/>
    </w:rPr>
  </w:style>
  <w:style w:type="character" w:styleId="769" w:customStyle="1">
    <w:name w:val="副标题 字符"/>
    <w:link w:val="746"/>
    <w:uiPriority w:val="11"/>
    <w:qFormat/>
    <w:rPr>
      <w:sz w:val="24"/>
      <w:szCs w:val="24"/>
    </w:rPr>
  </w:style>
  <w:style w:type="paragraph" w:styleId="770">
    <w:name w:val="Quote"/>
    <w:basedOn w:val="718"/>
    <w:next w:val="718"/>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718"/>
    <w:next w:val="718"/>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页眉 字符"/>
    <w:link w:val="743"/>
    <w:uiPriority w:val="99"/>
    <w:qFormat/>
  </w:style>
  <w:style w:type="character" w:styleId="775" w:customStyle="1">
    <w:name w:val="Footer Char"/>
    <w:uiPriority w:val="99"/>
    <w:qFormat/>
  </w:style>
  <w:style w:type="character" w:styleId="776" w:customStyle="1">
    <w:name w:val="页脚 字符"/>
    <w:link w:val="742"/>
    <w:uiPriority w:val="99"/>
    <w:qFormat/>
  </w:style>
  <w:style w:type="table" w:styleId="7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0" w:customStyle="1">
    <w:name w:val="无格式表格 31"/>
    <w:uiPriority w:val="99"/>
    <w:qFormat/>
    <w:tblPr>
      <w:tblCellMar>
        <w:left w:w="0" w:type="dxa"/>
        <w:top w:w="0" w:type="dxa"/>
        <w:right w:w="0" w:type="dxa"/>
        <w:bottom w:w="0" w:type="dxa"/>
      </w:tblCellMar>
    </w:tblPr>
  </w:style>
  <w:style w:type="table" w:styleId="781" w:customStyle="1">
    <w:name w:val="无格式表格 41"/>
    <w:uiPriority w:val="99"/>
    <w:qFormat/>
    <w:tblPr>
      <w:tblCellMar>
        <w:left w:w="0" w:type="dxa"/>
        <w:top w:w="0" w:type="dxa"/>
        <w:right w:w="0" w:type="dxa"/>
        <w:bottom w:w="0" w:type="dxa"/>
      </w:tblCellMar>
    </w:tblPr>
  </w:style>
  <w:style w:type="table" w:styleId="782" w:customStyle="1">
    <w:name w:val="无格式表格 51"/>
    <w:uiPriority w:val="99"/>
    <w:qFormat/>
    <w:tblPr>
      <w:tblCellMar>
        <w:left w:w="0" w:type="dxa"/>
        <w:top w:w="0" w:type="dxa"/>
        <w:right w:w="0" w:type="dxa"/>
        <w:bottom w:w="0" w:type="dxa"/>
      </w:tblCellMar>
    </w:tblPr>
  </w:style>
  <w:style w:type="table" w:styleId="78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2" w:customStyle="1">
    <w:name w:val="清单表 1 浅色1"/>
    <w:uiPriority w:val="99"/>
    <w:qFormat/>
    <w:tblPr>
      <w:tblCellMar>
        <w:left w:w="0" w:type="dxa"/>
        <w:top w:w="0" w:type="dxa"/>
        <w:right w:w="0" w:type="dxa"/>
        <w:bottom w:w="0" w:type="dxa"/>
      </w:tblCellMar>
    </w:tblPr>
  </w:style>
  <w:style w:type="table" w:styleId="833" w:customStyle="1">
    <w:name w:val="List Table 1 Light - Accent 1"/>
    <w:uiPriority w:val="99"/>
    <w:qFormat/>
    <w:tblPr>
      <w:tblCellMar>
        <w:left w:w="0" w:type="dxa"/>
        <w:top w:w="0" w:type="dxa"/>
        <w:right w:w="0" w:type="dxa"/>
        <w:bottom w:w="0" w:type="dxa"/>
      </w:tblCellMar>
    </w:tblPr>
  </w:style>
  <w:style w:type="table" w:styleId="834" w:customStyle="1">
    <w:name w:val="List Table 1 Light - Accent 2"/>
    <w:uiPriority w:val="99"/>
    <w:qFormat/>
    <w:tblPr>
      <w:tblCellMar>
        <w:left w:w="0" w:type="dxa"/>
        <w:top w:w="0" w:type="dxa"/>
        <w:right w:w="0" w:type="dxa"/>
        <w:bottom w:w="0" w:type="dxa"/>
      </w:tblCellMar>
    </w:tblPr>
  </w:style>
  <w:style w:type="table" w:styleId="835" w:customStyle="1">
    <w:name w:val="List Table 1 Light - Accent 3"/>
    <w:uiPriority w:val="99"/>
    <w:qFormat/>
    <w:tblPr>
      <w:tblCellMar>
        <w:left w:w="0" w:type="dxa"/>
        <w:top w:w="0" w:type="dxa"/>
        <w:right w:w="0" w:type="dxa"/>
        <w:bottom w:w="0" w:type="dxa"/>
      </w:tblCellMar>
    </w:tblPr>
  </w:style>
  <w:style w:type="table" w:styleId="836" w:customStyle="1">
    <w:name w:val="List Table 1 Light - Accent 4"/>
    <w:uiPriority w:val="99"/>
    <w:qFormat/>
    <w:tblPr>
      <w:tblCellMar>
        <w:left w:w="0" w:type="dxa"/>
        <w:top w:w="0" w:type="dxa"/>
        <w:right w:w="0" w:type="dxa"/>
        <w:bottom w:w="0" w:type="dxa"/>
      </w:tblCellMar>
    </w:tblPr>
  </w:style>
  <w:style w:type="table" w:styleId="837" w:customStyle="1">
    <w:name w:val="List Table 1 Light - Accent 5"/>
    <w:uiPriority w:val="99"/>
    <w:qFormat/>
    <w:tblPr>
      <w:tblCellMar>
        <w:left w:w="0" w:type="dxa"/>
        <w:top w:w="0" w:type="dxa"/>
        <w:right w:w="0" w:type="dxa"/>
        <w:bottom w:w="0" w:type="dxa"/>
      </w:tblCellMar>
    </w:tblPr>
  </w:style>
  <w:style w:type="table" w:styleId="838" w:customStyle="1">
    <w:name w:val="List Table 1 Light - Accent 6"/>
    <w:uiPriority w:val="99"/>
    <w:qFormat/>
    <w:tblPr>
      <w:tblCellMar>
        <w:left w:w="0" w:type="dxa"/>
        <w:top w:w="0" w:type="dxa"/>
        <w:right w:w="0" w:type="dxa"/>
        <w:bottom w:w="0" w:type="dxa"/>
      </w:tblCellMar>
    </w:tblPr>
  </w:style>
  <w:style w:type="table" w:styleId="83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1" w:customStyle="1">
    <w:name w:val="Lined - Accent"/>
    <w:uiPriority w:val="99"/>
    <w:qFormat/>
    <w:rPr>
      <w:color w:val="404040"/>
    </w:rPr>
    <w:tblPr>
      <w:tblCellMar>
        <w:left w:w="0" w:type="dxa"/>
        <w:top w:w="0" w:type="dxa"/>
        <w:right w:w="0" w:type="dxa"/>
        <w:bottom w:w="0" w:type="dxa"/>
      </w:tblCellMar>
    </w:tblPr>
  </w:style>
  <w:style w:type="table" w:styleId="882" w:customStyle="1">
    <w:name w:val="Lined - Accent 1"/>
    <w:uiPriority w:val="99"/>
    <w:qFormat/>
    <w:rPr>
      <w:color w:val="404040"/>
    </w:rPr>
    <w:tblPr>
      <w:tblCellMar>
        <w:left w:w="0" w:type="dxa"/>
        <w:top w:w="0" w:type="dxa"/>
        <w:right w:w="0" w:type="dxa"/>
        <w:bottom w:w="0" w:type="dxa"/>
      </w:tblCellMar>
    </w:tblPr>
  </w:style>
  <w:style w:type="table" w:styleId="883" w:customStyle="1">
    <w:name w:val="Lined - Accent 2"/>
    <w:uiPriority w:val="99"/>
    <w:qFormat/>
    <w:rPr>
      <w:color w:val="404040"/>
    </w:rPr>
    <w:tblPr>
      <w:tblCellMar>
        <w:left w:w="0" w:type="dxa"/>
        <w:top w:w="0" w:type="dxa"/>
        <w:right w:w="0" w:type="dxa"/>
        <w:bottom w:w="0" w:type="dxa"/>
      </w:tblCellMar>
    </w:tblPr>
  </w:style>
  <w:style w:type="table" w:styleId="884" w:customStyle="1">
    <w:name w:val="Lined - Accent 3"/>
    <w:uiPriority w:val="99"/>
    <w:qFormat/>
    <w:rPr>
      <w:color w:val="404040"/>
    </w:rPr>
    <w:tblPr>
      <w:tblCellMar>
        <w:left w:w="0" w:type="dxa"/>
        <w:top w:w="0" w:type="dxa"/>
        <w:right w:w="0" w:type="dxa"/>
        <w:bottom w:w="0" w:type="dxa"/>
      </w:tblCellMar>
    </w:tblPr>
  </w:style>
  <w:style w:type="table" w:styleId="885" w:customStyle="1">
    <w:name w:val="Lined - Accent 4"/>
    <w:uiPriority w:val="99"/>
    <w:qFormat/>
    <w:rPr>
      <w:color w:val="404040"/>
    </w:rPr>
    <w:tblPr>
      <w:tblCellMar>
        <w:left w:w="0" w:type="dxa"/>
        <w:top w:w="0" w:type="dxa"/>
        <w:right w:w="0" w:type="dxa"/>
        <w:bottom w:w="0" w:type="dxa"/>
      </w:tblCellMar>
    </w:tblPr>
  </w:style>
  <w:style w:type="table" w:styleId="886" w:customStyle="1">
    <w:name w:val="Lined - Accent 5"/>
    <w:uiPriority w:val="99"/>
    <w:qFormat/>
    <w:rPr>
      <w:color w:val="404040"/>
    </w:rPr>
    <w:tblPr>
      <w:tblCellMar>
        <w:left w:w="0" w:type="dxa"/>
        <w:top w:w="0" w:type="dxa"/>
        <w:right w:w="0" w:type="dxa"/>
        <w:bottom w:w="0" w:type="dxa"/>
      </w:tblCellMar>
    </w:tblPr>
  </w:style>
  <w:style w:type="table" w:styleId="887" w:customStyle="1">
    <w:name w:val="Lined - Accent 6"/>
    <w:uiPriority w:val="99"/>
    <w:qFormat/>
    <w:rPr>
      <w:color w:val="404040"/>
    </w:rPr>
    <w:tblPr>
      <w:tblCellMar>
        <w:left w:w="0" w:type="dxa"/>
        <w:top w:w="0" w:type="dxa"/>
        <w:right w:w="0" w:type="dxa"/>
        <w:bottom w:w="0" w:type="dxa"/>
      </w:tblCellMar>
    </w:tblPr>
  </w:style>
  <w:style w:type="table" w:styleId="88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2" w:customStyle="1">
    <w:name w:val="脚注文本 字符"/>
    <w:link w:val="747"/>
    <w:uiPriority w:val="99"/>
    <w:qFormat/>
    <w:rPr>
      <w:sz w:val="18"/>
    </w:rPr>
  </w:style>
  <w:style w:type="character" w:styleId="903" w:customStyle="1">
    <w:name w:val="尾注文本 字符"/>
    <w:link w:val="741"/>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标题 11"/>
    <w:basedOn w:val="718"/>
    <w:next w:val="71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06" w:customStyle="1">
    <w:name w:val="标题 31"/>
    <w:basedOn w:val="718"/>
    <w:next w:val="90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07" w:customStyle="1">
    <w:name w:val="正文缩进1"/>
    <w:basedOn w:val="718"/>
    <w:link w:val="910"/>
    <w:uiPriority w:val="0"/>
    <w:qFormat/>
    <w:pPr>
      <w:ind w:firstLine="420"/>
    </w:pPr>
  </w:style>
  <w:style w:type="character" w:styleId="908" w:customStyle="1">
    <w:name w:val="默认段落字体1"/>
    <w:uiPriority w:val="0"/>
    <w:semiHidden/>
    <w:qFormat/>
  </w:style>
  <w:style w:type="table" w:styleId="909" w:customStyle="1">
    <w:name w:val="普通表格1"/>
    <w:uiPriority w:val="0"/>
    <w:semiHidden/>
    <w:qFormat/>
    <w:tblPr>
      <w:tblCellMar>
        <w:left w:w="0" w:type="dxa"/>
        <w:top w:w="0" w:type="dxa"/>
        <w:right w:w="0" w:type="dxa"/>
        <w:bottom w:w="0" w:type="dxa"/>
      </w:tblCellMar>
    </w:tblPr>
  </w:style>
  <w:style w:type="character" w:styleId="910" w:customStyle="1">
    <w:name w:val="正文缩进 Char"/>
    <w:link w:val="907"/>
    <w:uiPriority w:val="0"/>
    <w:qFormat/>
    <w:rPr>
      <w:sz w:val="21"/>
      <w:szCs w:val="24"/>
    </w:rPr>
  </w:style>
  <w:style w:type="paragraph" w:styleId="911" w:customStyle="1">
    <w:name w:val="文档结构图1"/>
    <w:basedOn w:val="718"/>
    <w:uiPriority w:val="0"/>
    <w:semiHidden/>
    <w:qFormat/>
    <w:pPr>
      <w:shd w:val="clear" w:color="auto" w:fill="000080"/>
    </w:pPr>
  </w:style>
  <w:style w:type="paragraph" w:styleId="912" w:customStyle="1">
    <w:name w:val="正文文本 31"/>
    <w:basedOn w:val="718"/>
    <w:uiPriority w:val="0"/>
    <w:qFormat/>
    <w:pPr>
      <w:jc w:val="center"/>
    </w:pPr>
    <w:rPr>
      <w:rFonts w:eastAsia="黑体"/>
      <w:sz w:val="72"/>
    </w:rPr>
  </w:style>
  <w:style w:type="paragraph" w:styleId="913" w:customStyle="1">
    <w:name w:val="正文文本1"/>
    <w:basedOn w:val="718"/>
    <w:uiPriority w:val="0"/>
    <w:qFormat/>
    <w:pPr>
      <w:jc w:val="center"/>
    </w:pPr>
    <w:rPr>
      <w:rFonts w:eastAsia="仿宋_GB2312"/>
      <w:sz w:val="28"/>
    </w:rPr>
  </w:style>
  <w:style w:type="paragraph" w:styleId="914" w:customStyle="1">
    <w:name w:val="正文文本缩进1"/>
    <w:basedOn w:val="718"/>
    <w:link w:val="915"/>
    <w:uiPriority w:val="0"/>
    <w:qFormat/>
    <w:pPr>
      <w:ind w:left="420"/>
      <w:spacing w:after="120"/>
    </w:pPr>
  </w:style>
  <w:style w:type="character" w:styleId="915" w:customStyle="1">
    <w:name w:val="正文文本缩进 Char"/>
    <w:link w:val="914"/>
    <w:uiPriority w:val="0"/>
    <w:qFormat/>
    <w:rPr>
      <w:sz w:val="21"/>
      <w:szCs w:val="24"/>
    </w:rPr>
  </w:style>
  <w:style w:type="paragraph" w:styleId="916" w:customStyle="1">
    <w:name w:val="文本块1"/>
    <w:basedOn w:val="718"/>
    <w:uiPriority w:val="0"/>
    <w:qFormat/>
    <w:pPr>
      <w:ind w:left="420" w:right="33"/>
      <w:jc w:val="left"/>
    </w:pPr>
    <w:rPr>
      <w:sz w:val="24"/>
      <w:szCs w:val="20"/>
    </w:rPr>
  </w:style>
  <w:style w:type="paragraph" w:styleId="917" w:customStyle="1">
    <w:name w:val="纯文本1"/>
    <w:basedOn w:val="718"/>
    <w:link w:val="918"/>
    <w:uiPriority w:val="0"/>
    <w:qFormat/>
    <w:rPr>
      <w:rFonts w:ascii="宋体" w:hAnsi="Courier New"/>
      <w:szCs w:val="20"/>
    </w:rPr>
  </w:style>
  <w:style w:type="character" w:styleId="918" w:customStyle="1">
    <w:name w:val="纯文本 Char"/>
    <w:link w:val="917"/>
    <w:uiPriority w:val="0"/>
    <w:qFormat/>
    <w:rPr>
      <w:rFonts w:ascii="宋体" w:hAnsi="Courier New" w:eastAsia="宋体"/>
      <w:sz w:val="21"/>
      <w:lang w:val="en-US" w:eastAsia="zh-CN" w:bidi="ar-SA"/>
    </w:rPr>
  </w:style>
  <w:style w:type="paragraph" w:styleId="919" w:customStyle="1">
    <w:name w:val="日期1"/>
    <w:basedOn w:val="718"/>
    <w:next w:val="718"/>
    <w:uiPriority w:val="0"/>
    <w:qFormat/>
    <w:pPr>
      <w:ind w:left="100"/>
    </w:pPr>
    <w:rPr>
      <w:rFonts w:ascii="黑体" w:eastAsia="黑体"/>
      <w:sz w:val="72"/>
    </w:rPr>
  </w:style>
  <w:style w:type="paragraph" w:styleId="920" w:customStyle="1">
    <w:name w:val="正文文本缩进 21"/>
    <w:basedOn w:val="718"/>
    <w:uiPriority w:val="0"/>
    <w:qFormat/>
    <w:pPr>
      <w:ind w:right="-2" w:firstLine="540"/>
      <w:tabs>
        <w:tab w:val="left" w:pos="9741" w:leader="none"/>
      </w:tabs>
    </w:pPr>
    <w:rPr>
      <w:rFonts w:eastAsia="仿宋_GB2312"/>
      <w:sz w:val="28"/>
    </w:rPr>
  </w:style>
  <w:style w:type="paragraph" w:styleId="921" w:customStyle="1">
    <w:name w:val="批注框文本1"/>
    <w:basedOn w:val="718"/>
    <w:uiPriority w:val="0"/>
    <w:semiHidden/>
    <w:qFormat/>
    <w:rPr>
      <w:sz w:val="18"/>
      <w:szCs w:val="18"/>
    </w:rPr>
  </w:style>
  <w:style w:type="paragraph" w:styleId="922" w:customStyle="1">
    <w:name w:val="页脚1"/>
    <w:basedOn w:val="718"/>
    <w:uiPriority w:val="0"/>
    <w:qFormat/>
    <w:pPr>
      <w:jc w:val="left"/>
      <w:tabs>
        <w:tab w:val="center" w:pos="4153" w:leader="none"/>
        <w:tab w:val="right" w:pos="8306" w:leader="none"/>
      </w:tabs>
    </w:pPr>
    <w:rPr>
      <w:sz w:val="18"/>
      <w:szCs w:val="18"/>
    </w:rPr>
  </w:style>
  <w:style w:type="paragraph" w:styleId="923" w:customStyle="1">
    <w:name w:val="页眉1"/>
    <w:basedOn w:val="718"/>
    <w:uiPriority w:val="0"/>
    <w:qFormat/>
    <w:pPr>
      <w:jc w:val="center"/>
      <w:tabs>
        <w:tab w:val="center" w:pos="4153" w:leader="none"/>
        <w:tab w:val="right" w:pos="8306" w:leader="none"/>
      </w:tabs>
      <w:pBdr>
        <w:bottom w:val="single" w:color="000000" w:sz="6" w:space="1"/>
      </w:pBdr>
    </w:pPr>
    <w:rPr>
      <w:sz w:val="18"/>
      <w:szCs w:val="18"/>
    </w:rPr>
  </w:style>
  <w:style w:type="paragraph" w:styleId="924" w:customStyle="1">
    <w:name w:val="正文文本缩进 31"/>
    <w:basedOn w:val="718"/>
    <w:uiPriority w:val="0"/>
    <w:qFormat/>
    <w:pPr>
      <w:ind w:firstLine="435"/>
    </w:pPr>
    <w:rPr>
      <w:rFonts w:ascii="仿宋_GB2312" w:hAnsi="宋体" w:eastAsia="仿宋_GB2312"/>
      <w:sz w:val="28"/>
    </w:rPr>
  </w:style>
  <w:style w:type="paragraph" w:styleId="925" w:customStyle="1">
    <w:name w:val="正文文本 21"/>
    <w:basedOn w:val="718"/>
    <w:uiPriority w:val="0"/>
    <w:qFormat/>
    <w:rPr>
      <w:rFonts w:ascii="仿宋_GB2312" w:eastAsia="仿宋_GB2312"/>
      <w:sz w:val="28"/>
    </w:rPr>
  </w:style>
  <w:style w:type="paragraph" w:styleId="926" w:customStyle="1">
    <w:name w:val="普通(网站)1"/>
    <w:basedOn w:val="718"/>
    <w:uiPriority w:val="99"/>
    <w:unhideWhenUsed/>
    <w:qFormat/>
    <w:pPr>
      <w:jc w:val="left"/>
      <w:spacing w:before="100" w:beforeAutospacing="1" w:after="100" w:afterAutospacing="1"/>
    </w:pPr>
    <w:rPr>
      <w:sz w:val="24"/>
      <w:szCs w:val="20"/>
    </w:rPr>
  </w:style>
  <w:style w:type="paragraph" w:styleId="927" w:customStyle="1">
    <w:name w:val="正文首行缩进 21"/>
    <w:basedOn w:val="914"/>
    <w:link w:val="928"/>
    <w:uiPriority w:val="0"/>
    <w:qFormat/>
    <w:pPr>
      <w:ind w:firstLine="420"/>
    </w:pPr>
  </w:style>
  <w:style w:type="character" w:styleId="928" w:customStyle="1">
    <w:name w:val="正文首行缩进 2 Char"/>
    <w:basedOn w:val="915"/>
    <w:link w:val="927"/>
    <w:uiPriority w:val="0"/>
    <w:qFormat/>
    <w:rPr>
      <w:sz w:val="21"/>
      <w:szCs w:val="24"/>
    </w:rPr>
  </w:style>
  <w:style w:type="table" w:styleId="929" w:customStyle="1">
    <w:name w:val="网格型1"/>
    <w:basedOn w:val="909"/>
    <w:uiPriority w:val="0"/>
    <w:qFormat/>
    <w:rPr>
      <w:rFonts w:ascii="Calibri" w:hAnsi="Calibri" w:cs="Calibri"/>
      <w:sz w:val="21"/>
      <w:szCs w:val="22"/>
    </w:rPr>
    <w:tblPr/>
  </w:style>
  <w:style w:type="character" w:styleId="930" w:customStyle="1">
    <w:name w:val="页码1"/>
    <w:uiPriority w:val="0"/>
    <w:qFormat/>
  </w:style>
  <w:style w:type="character" w:styleId="931" w:customStyle="1">
    <w:name w:val="已访问的超链接1"/>
    <w:uiPriority w:val="0"/>
    <w:qFormat/>
    <w:rPr>
      <w:color w:val="800080"/>
      <w:u w:val="single"/>
    </w:rPr>
  </w:style>
  <w:style w:type="character" w:styleId="932" w:customStyle="1">
    <w:name w:val="超链接1"/>
    <w:uiPriority w:val="0"/>
    <w:qFormat/>
    <w:rPr>
      <w:color w:val="0000ff"/>
      <w:u w:val="single"/>
    </w:rPr>
  </w:style>
  <w:style w:type="character" w:styleId="933" w:customStyle="1">
    <w:name w:val="纯文本 Char1"/>
    <w:uiPriority w:val="0"/>
    <w:qFormat/>
    <w:rPr>
      <w:rFonts w:ascii="宋体" w:hAnsi="Courier New"/>
      <w:sz w:val="21"/>
    </w:rPr>
  </w:style>
  <w:style w:type="paragraph" w:styleId="934" w:customStyle="1">
    <w:name w:val="font6"/>
    <w:basedOn w:val="718"/>
    <w:uiPriority w:val="0"/>
    <w:qFormat/>
    <w:pPr>
      <w:jc w:val="left"/>
      <w:spacing w:before="100" w:beforeAutospacing="1" w:after="100" w:afterAutospacing="1"/>
      <w:widowControl/>
    </w:pPr>
    <w:rPr>
      <w:rFonts w:eastAsia="Arial Unicode MS"/>
      <w:sz w:val="18"/>
      <w:szCs w:val="18"/>
    </w:rPr>
  </w:style>
  <w:style w:type="paragraph" w:styleId="935" w:customStyle="1">
    <w:name w:val="列出段落1"/>
    <w:basedOn w:val="718"/>
    <w:uiPriority w:val="99"/>
    <w:qFormat/>
    <w:pPr>
      <w:ind w:firstLine="420"/>
    </w:pPr>
  </w:style>
  <w:style w:type="paragraph" w:styleId="936" w:customStyle="1">
    <w:name w:val="xl43"/>
    <w:basedOn w:val="718"/>
    <w:uiPriority w:val="0"/>
    <w:qFormat/>
    <w:pPr>
      <w:jc w:val="left"/>
      <w:spacing w:before="100" w:beforeAutospacing="1" w:after="100" w:afterAutospacing="1"/>
      <w:widowControl/>
    </w:pPr>
    <w:rPr>
      <w:rFonts w:ascii="Arial Unicode MS" w:hAnsi="Arial Unicode MS" w:eastAsia="Arial Unicode MS"/>
      <w:sz w:val="24"/>
    </w:rPr>
  </w:style>
  <w:style w:type="paragraph" w:styleId="937" w:customStyle="1">
    <w:name w:val="xl68"/>
    <w:basedOn w:val="71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53"/>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39" w:customStyle="1">
    <w:name w:val="xl29"/>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46"/>
    <w:basedOn w:val="71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9"/>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59"/>
    <w:basedOn w:val="71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3" w:customStyle="1">
    <w:name w:val="xl33"/>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4" w:customStyle="1">
    <w:name w:val="xl86"/>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font7"/>
    <w:basedOn w:val="718"/>
    <w:uiPriority w:val="0"/>
    <w:qFormat/>
    <w:pPr>
      <w:jc w:val="left"/>
      <w:spacing w:before="100" w:beforeAutospacing="1" w:after="100" w:afterAutospacing="1"/>
      <w:widowControl/>
    </w:pPr>
    <w:rPr>
      <w:rFonts w:eastAsia="Arial Unicode MS"/>
      <w:sz w:val="18"/>
      <w:szCs w:val="18"/>
    </w:rPr>
  </w:style>
  <w:style w:type="paragraph" w:styleId="946" w:customStyle="1">
    <w:name w:val="Char Char Char Char"/>
    <w:basedOn w:val="911"/>
    <w:uiPriority w:val="0"/>
    <w:qFormat/>
    <w:pPr>
      <w:spacing w:line="360" w:lineRule="auto"/>
    </w:pPr>
    <w:rPr>
      <w:rFonts w:ascii="Tahoma" w:hAnsi="Tahoma"/>
      <w:sz w:val="24"/>
    </w:rPr>
  </w:style>
  <w:style w:type="paragraph" w:styleId="947" w:customStyle="1">
    <w:name w:val="xl67"/>
    <w:basedOn w:val="71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8" w:customStyle="1">
    <w:name w:val="xl45"/>
    <w:basedOn w:val="71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49" w:customStyle="1">
    <w:name w:val="xl72"/>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51" w:customStyle="1">
    <w:name w:val="xl60"/>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2" w:customStyle="1">
    <w:name w:val="xl84"/>
    <w:basedOn w:val="7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5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54" w:customStyle="1">
    <w:name w:val="xl69"/>
    <w:basedOn w:val="71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font12"/>
    <w:basedOn w:val="718"/>
    <w:uiPriority w:val="0"/>
    <w:qFormat/>
    <w:pPr>
      <w:jc w:val="left"/>
      <w:spacing w:before="100" w:beforeAutospacing="1" w:after="100" w:afterAutospacing="1"/>
      <w:widowControl/>
    </w:pPr>
    <w:rPr>
      <w:rFonts w:eastAsia="Arial Unicode MS"/>
      <w:color w:val="333333"/>
      <w:sz w:val="18"/>
      <w:szCs w:val="18"/>
    </w:rPr>
  </w:style>
  <w:style w:type="paragraph" w:styleId="956" w:customStyle="1">
    <w:name w:val="font8"/>
    <w:basedOn w:val="718"/>
    <w:uiPriority w:val="0"/>
    <w:qFormat/>
    <w:pPr>
      <w:jc w:val="left"/>
      <w:spacing w:before="100" w:beforeAutospacing="1" w:after="100" w:afterAutospacing="1"/>
      <w:widowControl/>
    </w:pPr>
    <w:rPr>
      <w:rFonts w:eastAsia="Arial Unicode MS"/>
      <w:sz w:val="18"/>
      <w:szCs w:val="18"/>
    </w:rPr>
  </w:style>
  <w:style w:type="paragraph" w:styleId="957" w:customStyle="1">
    <w:name w:val="xl47"/>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58"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959" w:customStyle="1">
    <w:name w:val="xl74"/>
    <w:basedOn w:val="71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77"/>
    <w:basedOn w:val="71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1" w:customStyle="1">
    <w:name w:val="xl71"/>
    <w:basedOn w:val="71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2" w:customStyle="1">
    <w:name w:val="xl75"/>
    <w:basedOn w:val="71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63" w:customStyle="1">
    <w:name w:val="xl38"/>
    <w:basedOn w:val="7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4" w:customStyle="1">
    <w:name w:val="xl51"/>
    <w:basedOn w:val="71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5" w:customStyle="1">
    <w:name w:val="xl78"/>
    <w:basedOn w:val="71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6" w:customStyle="1">
    <w:name w:val="普通正文"/>
    <w:basedOn w:val="718"/>
    <w:uiPriority w:val="0"/>
    <w:qFormat/>
    <w:pPr>
      <w:ind w:firstLine="480"/>
      <w:jc w:val="left"/>
      <w:spacing w:before="120" w:after="120" w:line="360" w:lineRule="auto"/>
    </w:pPr>
    <w:rPr>
      <w:rFonts w:ascii="Arial" w:hAnsi="Arial"/>
      <w:sz w:val="24"/>
    </w:rPr>
  </w:style>
  <w:style w:type="paragraph" w:styleId="967" w:customStyle="1">
    <w:name w:val="Char"/>
    <w:basedOn w:val="718"/>
    <w:uiPriority w:val="0"/>
    <w:qFormat/>
    <w:pPr>
      <w:tabs>
        <w:tab w:val="left" w:pos="360" w:leader="none"/>
      </w:tabs>
    </w:pPr>
    <w:rPr>
      <w:sz w:val="24"/>
    </w:rPr>
  </w:style>
  <w:style w:type="paragraph" w:styleId="968" w:customStyle="1">
    <w:name w:val="xl85"/>
    <w:basedOn w:val="7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69" w:customStyle="1">
    <w:name w:val="xl81"/>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70" w:customStyle="1">
    <w:name w:val="xl56"/>
    <w:basedOn w:val="71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1" w:customStyle="1">
    <w:name w:val="xl63"/>
    <w:basedOn w:val="71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2" w:customStyle="1">
    <w:name w:val="font10"/>
    <w:basedOn w:val="718"/>
    <w:uiPriority w:val="0"/>
    <w:qFormat/>
    <w:pPr>
      <w:jc w:val="left"/>
      <w:spacing w:before="100" w:beforeAutospacing="1" w:after="100" w:afterAutospacing="1"/>
      <w:widowControl/>
    </w:pPr>
    <w:rPr>
      <w:rFonts w:eastAsia="Arial Unicode MS"/>
      <w:sz w:val="18"/>
      <w:szCs w:val="18"/>
    </w:rPr>
  </w:style>
  <w:style w:type="paragraph" w:styleId="973" w:customStyle="1">
    <w:name w:val="xl62"/>
    <w:basedOn w:val="7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32"/>
    <w:basedOn w:val="7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37"/>
    <w:basedOn w:val="71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6" w:customStyle="1">
    <w:name w:val="xl54"/>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7" w:customStyle="1">
    <w:name w:val="font11"/>
    <w:basedOn w:val="718"/>
    <w:uiPriority w:val="0"/>
    <w:qFormat/>
    <w:pPr>
      <w:jc w:val="left"/>
      <w:spacing w:before="100" w:beforeAutospacing="1" w:after="100" w:afterAutospacing="1"/>
      <w:widowControl/>
    </w:pPr>
    <w:rPr>
      <w:rFonts w:hint="eastAsia" w:ascii="宋体" w:hAnsi="宋体"/>
      <w:color w:val="333333"/>
      <w:sz w:val="18"/>
      <w:szCs w:val="18"/>
    </w:rPr>
  </w:style>
  <w:style w:type="paragraph" w:styleId="978" w:customStyle="1">
    <w:name w:val="xl79"/>
    <w:basedOn w:val="71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79" w:customStyle="1">
    <w:name w:val="xl42"/>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80" w:customStyle="1">
    <w:name w:val="xl73"/>
    <w:basedOn w:val="71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1" w:customStyle="1">
    <w:name w:val="xl36"/>
    <w:basedOn w:val="71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2" w:customStyle="1">
    <w:name w:val="xl44"/>
    <w:basedOn w:val="718"/>
    <w:uiPriority w:val="0"/>
    <w:qFormat/>
    <w:pPr>
      <w:jc w:val="right"/>
      <w:spacing w:before="100" w:beforeAutospacing="1" w:after="100" w:afterAutospacing="1"/>
      <w:widowControl/>
    </w:pPr>
    <w:rPr>
      <w:rFonts w:ascii="Arial Unicode MS" w:hAnsi="Arial Unicode MS" w:eastAsia="Arial Unicode MS"/>
      <w:sz w:val="24"/>
    </w:rPr>
  </w:style>
  <w:style w:type="paragraph" w:styleId="983" w:customStyle="1">
    <w:name w:val="xl35"/>
    <w:basedOn w:val="71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Char Char Char Char Char 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985" w:customStyle="1">
    <w:name w:val="xl64"/>
    <w:basedOn w:val="71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6" w:customStyle="1">
    <w:name w:val="xl41"/>
    <w:basedOn w:val="7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xl52"/>
    <w:basedOn w:val="7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88" w:customStyle="1">
    <w:name w:val="xl80"/>
    <w:basedOn w:val="71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89" w:customStyle="1">
    <w:name w:val="xl31"/>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0" w:customStyle="1">
    <w:name w:val="xl30"/>
    <w:basedOn w:val="71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9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92" w:customStyle="1">
    <w:name w:val="xl34"/>
    <w:basedOn w:val="71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3" w:customStyle="1">
    <w:name w:val="Char1"/>
    <w:basedOn w:val="911"/>
    <w:uiPriority w:val="0"/>
    <w:qFormat/>
    <w:pPr>
      <w:spacing w:line="360" w:lineRule="auto"/>
    </w:pPr>
    <w:rPr>
      <w:rFonts w:ascii="Tahoma" w:hAnsi="Tahoma"/>
      <w:sz w:val="24"/>
    </w:rPr>
  </w:style>
  <w:style w:type="paragraph" w:styleId="994" w:customStyle="1">
    <w:name w:val="font9"/>
    <w:basedOn w:val="718"/>
    <w:uiPriority w:val="0"/>
    <w:qFormat/>
    <w:pPr>
      <w:jc w:val="left"/>
      <w:spacing w:before="100" w:beforeAutospacing="1" w:after="100" w:afterAutospacing="1"/>
      <w:widowControl/>
    </w:pPr>
    <w:rPr>
      <w:rFonts w:eastAsia="Arial Unicode MS"/>
      <w:b/>
      <w:bCs/>
      <w:color w:val="000000"/>
      <w:sz w:val="18"/>
      <w:szCs w:val="18"/>
    </w:rPr>
  </w:style>
  <w:style w:type="paragraph" w:styleId="995" w:customStyle="1">
    <w:name w:val="xl58"/>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6" w:customStyle="1">
    <w:name w:val="xl70"/>
    <w:basedOn w:val="7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7" w:customStyle="1">
    <w:name w:val="xl28"/>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xl48"/>
    <w:basedOn w:val="71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9" w:customStyle="1">
    <w:name w:val="font5"/>
    <w:basedOn w:val="718"/>
    <w:uiPriority w:val="0"/>
    <w:qFormat/>
    <w:pPr>
      <w:jc w:val="left"/>
      <w:spacing w:before="100" w:beforeAutospacing="1" w:after="100" w:afterAutospacing="1"/>
      <w:widowControl/>
    </w:pPr>
    <w:rPr>
      <w:rFonts w:hint="eastAsia" w:ascii="宋体" w:hAnsi="宋体"/>
      <w:sz w:val="18"/>
      <w:szCs w:val="18"/>
    </w:rPr>
  </w:style>
  <w:style w:type="paragraph" w:styleId="1000" w:customStyle="1">
    <w:name w:val="默认段落字体 Para Char Char Char Char Char Char Char Char Char1 Char Char Char Char Char Char Char"/>
    <w:basedOn w:val="911"/>
    <w:uiPriority w:val="0"/>
    <w:qFormat/>
    <w:rPr>
      <w:rFonts w:ascii="Tahoma" w:hAnsi="Tahoma"/>
      <w:sz w:val="24"/>
    </w:rPr>
  </w:style>
  <w:style w:type="paragraph" w:styleId="1001" w:customStyle="1">
    <w:name w:val="xl66"/>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font13"/>
    <w:basedOn w:val="718"/>
    <w:uiPriority w:val="0"/>
    <w:qFormat/>
    <w:pPr>
      <w:jc w:val="left"/>
      <w:spacing w:before="100" w:beforeAutospacing="1" w:after="100" w:afterAutospacing="1"/>
      <w:widowControl/>
    </w:pPr>
    <w:rPr>
      <w:rFonts w:eastAsia="Arial Unicode MS"/>
      <w:b/>
      <w:bCs/>
      <w:sz w:val="18"/>
      <w:szCs w:val="18"/>
    </w:rPr>
  </w:style>
  <w:style w:type="paragraph" w:styleId="1003" w:customStyle="1">
    <w:name w:val="xl83"/>
    <w:basedOn w:val="71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4" w:customStyle="1">
    <w:name w:val="xl61"/>
    <w:basedOn w:val="71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5" w:customStyle="1">
    <w:name w:val="xl76"/>
    <w:basedOn w:val="71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6" w:customStyle="1">
    <w:name w:val="xl55"/>
    <w:basedOn w:val="7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7" w:customStyle="1">
    <w:name w:val="xl40"/>
    <w:basedOn w:val="71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8" w:customStyle="1">
    <w:name w:val="xl65"/>
    <w:basedOn w:val="71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09" w:customStyle="1">
    <w:name w:val="xl49"/>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0" w:customStyle="1">
    <w:name w:val="xl50"/>
    <w:basedOn w:val="71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1" w:customStyle="1">
    <w:name w:val="xl82"/>
    <w:basedOn w:val="71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2" w:customStyle="1">
    <w:name w:val="纯文本11"/>
    <w:basedOn w:val="718"/>
    <w:uiPriority w:val="0"/>
    <w:qFormat/>
    <w:rPr>
      <w:rFonts w:ascii="宋体" w:hAnsi="Courier New"/>
      <w:szCs w:val="20"/>
    </w:rPr>
  </w:style>
  <w:style w:type="paragraph" w:styleId="1013" w:customStyle="1">
    <w:name w:val="表格文字"/>
    <w:next w:val="734"/>
    <w:uiPriority w:val="0"/>
    <w:qFormat/>
    <w:rPr>
      <w:rFonts w:ascii="宋体" w:hAnsi="Times New Roman" w:eastAsia="宋体" w:cs="Times New Roman"/>
      <w:sz w:val="21"/>
      <w:szCs w:val="21"/>
      <w:lang w:val="en-US" w:eastAsia="zh-CN" w:bidi="ar-SA"/>
    </w:rPr>
  </w:style>
  <w:style w:type="paragraph" w:styleId="1014" w:customStyle="1">
    <w:name w:val="批注文字1"/>
    <w:basedOn w:val="718"/>
    <w:uiPriority w:val="0"/>
    <w:qFormat/>
    <w:pPr>
      <w:jc w:val="left"/>
    </w:p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122A241C-EFB6-4A66-87B2-46B634A2DF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钱刚堂1</cp:lastModifiedBy>
  <cp:revision>4</cp:revision>
  <dcterms:created xsi:type="dcterms:W3CDTF">2025-12-18T08:57:00Z</dcterms:created>
  <dcterms:modified xsi:type="dcterms:W3CDTF">2025-12-19T09:03:52Z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EE3A98ED0BA54FEBB4C91F54F3237F0D_13</vt:lpwstr>
  </property>
  <property fmtid="{D5CDD505-2E9C-101B-9397-08002B2CF9AE}" pid="4" name="KSOTemplateDocerSaveRecord">
    <vt:lpwstr>eyJoZGlkIjoiNGM4YzQwNzBiMDE2MGNhMGI2ZmEwZGM2ZDNmOTQ3OWEiLCJ1c2VySWQiOiIyNjE3NDc3NyJ9</vt:lpwstr>
  </property>
</Properties>
</file>