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2025</w:t>
      </w:r>
      <w:r>
        <w:rPr>
          <w:rFonts w:hint="eastAsia" w:ascii="Arial" w:hAnsi="Arial"/>
          <w:b/>
          <w:bCs/>
          <w:sz w:val="32"/>
          <w:szCs w:val="24"/>
        </w:rPr>
        <w:t xml:space="preserve">年运输管理系统功能升级项目</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w:t>
      </w:r>
      <w:r>
        <w:rPr>
          <w:rFonts w:hint="eastAsia" w:ascii="Arial" w:hAnsi="Arial"/>
          <w:b/>
          <w:bCs/>
          <w:sz w:val="32"/>
          <w:szCs w:val="24"/>
        </w:rPr>
        <w:t xml:space="preserve">SCZX-C2025-0559</w:t>
      </w:r>
      <w:r/>
    </w:p>
    <w:p>
      <w:pPr>
        <w:ind w:left="2811" w:hanging="2811"/>
        <w:jc w:val="center"/>
        <w:rPr>
          <w:b/>
          <w:color w:val="ff0000"/>
          <w:sz w:val="28"/>
          <w:szCs w:val="28"/>
        </w:rPr>
      </w:pPr>
      <w:r>
        <w:rPr>
          <w:b/>
          <w:color w:val="ff0000"/>
          <w:sz w:val="28"/>
          <w:szCs w:val="28"/>
        </w:rPr>
      </w:r>
      <w:r/>
    </w:p>
    <w:p>
      <w:pPr>
        <w:ind w:firstLine="2108"/>
        <w:jc w:val="left"/>
        <w:spacing w:before="120" w:after="120" w:line="360" w:lineRule="auto"/>
        <w:rPr>
          <w:b/>
          <w:sz w:val="30"/>
          <w:szCs w:val="30"/>
        </w:rPr>
      </w:pPr>
      <w:r>
        <w:rPr>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211265091"/>
      <w:r/>
      <w:bookmarkStart w:id="1" w:name="_Toc120614210"/>
      <w:r/>
      <w:bookmarkStart w:id="2" w:name="_Toc513029200"/>
      <w:r/>
      <w:bookmarkStart w:id="3" w:name="_Toc20823272"/>
      <w:r/>
      <w:bookmarkStart w:id="4" w:name="_Toc523127445"/>
      <w:r/>
      <w:bookmarkStart w:id="5" w:name="_Toc479757206"/>
      <w:r/>
      <w:bookmarkStart w:id="6" w:name="_Toc16938516"/>
      <w:r>
        <w:rPr>
          <w:rFonts w:hint="eastAsia" w:ascii="黑体" w:hAnsi="Arial" w:eastAsia="黑体"/>
          <w:b/>
          <w:sz w:val="44"/>
          <w:szCs w:val="21"/>
        </w:rPr>
        <w:t xml:space="preserve">总目录</w:t>
      </w:r>
      <w:bookmarkEnd w:id="0"/>
      <w:r/>
      <w:r/>
    </w:p>
    <w:p>
      <w:pPr>
        <w:pStyle w:val="723"/>
        <w:rPr>
          <w:rFonts w:hint="eastAsia" w:ascii="等线" w:hAnsi="等线" w:eastAsia="等线"/>
          <w:caps w:val="0"/>
          <w:sz w:val="22"/>
        </w:rPr>
      </w:pPr>
      <w:r>
        <w:fldChar w:fldCharType="begin"/>
      </w:r>
      <w:r>
        <w:instrText xml:space="preserve"> TOC \o "1-3" \h \z \u </w:instrText>
      </w:r>
      <w:r>
        <w:fldChar w:fldCharType="separate"/>
      </w:r>
      <w:hyperlink w:tooltip="#_Toc211265091" w:anchor="_Toc211265091" w:history="1">
        <w:r>
          <w:rPr>
            <w:rStyle w:val="745"/>
            <w:rFonts w:hint="eastAsia" w:ascii="黑体" w:hAnsi="Arial" w:eastAsia="黑体"/>
            <w:b/>
          </w:rPr>
          <w:t xml:space="preserve">总目录</w:t>
        </w:r>
        <w:r>
          <w:rPr>
            <w:rFonts w:hint="eastAsia"/>
          </w:rPr>
          <w:tab/>
        </w:r>
        <w:r>
          <w:rPr>
            <w:rFonts w:hint="eastAsia"/>
          </w:rPr>
          <w:fldChar w:fldCharType="begin"/>
        </w:r>
        <w:r>
          <w:rPr>
            <w:rFonts w:hint="eastAsia"/>
          </w:rPr>
          <w:instrText xml:space="preserve"> </w:instrText>
        </w:r>
        <w:r>
          <w:instrText xml:space="preserve">PAGEREF _Toc211265091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23"/>
        <w:rPr>
          <w:rFonts w:hint="eastAsia" w:ascii="等线" w:hAnsi="等线" w:eastAsia="等线"/>
          <w:caps w:val="0"/>
          <w:sz w:val="22"/>
        </w:rPr>
      </w:pPr>
      <w:r/>
      <w:hyperlink w:tooltip="#_Toc211265092" w:anchor="_Toc211265092" w:history="1">
        <w:r>
          <w:rPr>
            <w:rStyle w:val="745"/>
            <w:rFonts w:hint="eastAsia" w:ascii="黑体" w:eastAsia="黑体"/>
          </w:rPr>
          <w:t xml:space="preserve">第一章磋商邀请</w:t>
        </w:r>
        <w:r>
          <w:rPr>
            <w:rFonts w:hint="eastAsia"/>
          </w:rPr>
          <w:tab/>
        </w:r>
        <w:r>
          <w:rPr>
            <w:rFonts w:hint="eastAsia"/>
          </w:rPr>
          <w:fldChar w:fldCharType="begin"/>
        </w:r>
        <w:r>
          <w:rPr>
            <w:rFonts w:hint="eastAsia"/>
          </w:rPr>
          <w:instrText xml:space="preserve"> </w:instrText>
        </w:r>
        <w:r>
          <w:instrText xml:space="preserve">PAGEREF _Toc211265092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3" w:anchor="_Toc211265093" w:history="1">
        <w:r>
          <w:rPr>
            <w:rStyle w:val="745"/>
            <w:rFonts w:hint="eastAsia"/>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_Toc211265093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4" w:anchor="_Toc211265094" w:history="1">
        <w:r>
          <w:rPr>
            <w:rStyle w:val="745"/>
            <w:rFonts w:hint="eastAsia"/>
            <w:b/>
            <w:bCs/>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_Toc211265094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5" w:anchor="_Toc211265095" w:history="1">
        <w:r>
          <w:rPr>
            <w:rStyle w:val="745"/>
            <w:rFonts w:hint="eastAsia"/>
            <w:b/>
            <w:bCs/>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_Toc211265095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6" w:anchor="_Toc211265096" w:history="1">
        <w:r>
          <w:rPr>
            <w:rStyle w:val="745"/>
            <w:rFonts w:hint="eastAsia"/>
            <w:b/>
            <w:bCs/>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_Toc211265096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7" w:anchor="_Toc211265097" w:history="1">
        <w:r>
          <w:rPr>
            <w:rStyle w:val="745"/>
            <w:rFonts w:hint="eastAsia"/>
            <w:b/>
            <w:bCs/>
          </w:rPr>
          <w:t xml:space="preserve">五、公告期限</w:t>
        </w:r>
        <w:r>
          <w:rPr>
            <w:rFonts w:hint="eastAsia"/>
          </w:rPr>
          <w:tab/>
        </w:r>
        <w:r>
          <w:rPr>
            <w:rFonts w:hint="eastAsia"/>
          </w:rPr>
          <w:fldChar w:fldCharType="begin"/>
        </w:r>
        <w:r>
          <w:rPr>
            <w:rFonts w:hint="eastAsia"/>
          </w:rPr>
          <w:instrText xml:space="preserve"> </w:instrText>
        </w:r>
        <w:r>
          <w:instrText xml:space="preserve">PAGEREF _Toc211265097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8" w:anchor="_Toc211265098" w:history="1">
        <w:r>
          <w:rPr>
            <w:rStyle w:val="745"/>
            <w:rFonts w:hint="eastAsia"/>
            <w:b/>
            <w:bCs/>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_Toc211265098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099" w:anchor="_Toc211265099" w:history="1">
        <w:r>
          <w:rPr>
            <w:rStyle w:val="745"/>
            <w:rFonts w:hint="eastAsia"/>
            <w:b/>
            <w:bCs/>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_Toc211265099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0" w:anchor="_Toc211265100" w:history="1">
        <w:r>
          <w:rPr>
            <w:rStyle w:val="745"/>
            <w:rFonts w:hint="eastAsia"/>
            <w:b/>
            <w:bCs/>
          </w:rPr>
          <w:t xml:space="preserve">八、其他</w:t>
        </w:r>
        <w:r>
          <w:rPr>
            <w:rFonts w:hint="eastAsia"/>
          </w:rPr>
          <w:tab/>
        </w:r>
        <w:r>
          <w:rPr>
            <w:rFonts w:hint="eastAsia"/>
          </w:rPr>
          <w:fldChar w:fldCharType="begin"/>
        </w:r>
        <w:r>
          <w:rPr>
            <w:rFonts w:hint="eastAsia"/>
          </w:rPr>
          <w:instrText xml:space="preserve"> </w:instrText>
        </w:r>
        <w:r>
          <w:instrText xml:space="preserve">PAGEREF _Toc211265100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1"/>
        <w:tabs>
          <w:tab w:val="right" w:pos="8296" w:leader="dot"/>
        </w:tabs>
        <w:rPr>
          <w:rFonts w:hint="eastAsia" w:ascii="等线" w:hAnsi="等线" w:eastAsia="等线"/>
          <w:smallCaps w:val="0"/>
          <w:sz w:val="22"/>
        </w:rPr>
      </w:pPr>
      <w:r/>
      <w:hyperlink w:tooltip="#_Toc211265101" w:anchor="_Toc211265101" w:history="1">
        <w:r>
          <w:rPr>
            <w:rStyle w:val="745"/>
            <w:rFonts w:hint="eastAsia" w:ascii="黑体" w:hAnsi="Arial" w:eastAsia="黑体" w:cs="Arial"/>
            <w:b/>
            <w:bCs/>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_Toc211265101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2" w:anchor="_Toc211265102" w:history="1">
        <w:r>
          <w:rPr>
            <w:rStyle w:val="745"/>
            <w:rFonts w:hint="eastAsia"/>
            <w:b/>
            <w:bCs/>
          </w:rPr>
          <w:t xml:space="preserve">一、总则</w:t>
        </w:r>
        <w:r>
          <w:rPr>
            <w:rFonts w:hint="eastAsia"/>
          </w:rPr>
          <w:tab/>
        </w:r>
        <w:r>
          <w:rPr>
            <w:rFonts w:hint="eastAsia"/>
          </w:rPr>
          <w:fldChar w:fldCharType="begin"/>
        </w:r>
        <w:r>
          <w:rPr>
            <w:rFonts w:hint="eastAsia"/>
          </w:rPr>
          <w:instrText xml:space="preserve"> </w:instrText>
        </w:r>
        <w:r>
          <w:instrText xml:space="preserve">PAGEREF _Toc211265102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3" w:anchor="_Toc211265103" w:history="1">
        <w:r>
          <w:rPr>
            <w:rStyle w:val="745"/>
            <w:rFonts w:hint="eastAsia"/>
            <w:b/>
            <w:bCs/>
          </w:rPr>
          <w:t xml:space="preserve">二、磋商文件</w:t>
        </w:r>
        <w:r>
          <w:rPr>
            <w:rFonts w:hint="eastAsia"/>
          </w:rPr>
          <w:tab/>
        </w:r>
        <w:r>
          <w:rPr>
            <w:rFonts w:hint="eastAsia"/>
          </w:rPr>
          <w:fldChar w:fldCharType="begin"/>
        </w:r>
        <w:r>
          <w:rPr>
            <w:rFonts w:hint="eastAsia"/>
          </w:rPr>
          <w:instrText xml:space="preserve"> </w:instrText>
        </w:r>
        <w:r>
          <w:instrText xml:space="preserve">PAGEREF _Toc211265103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4" w:anchor="_Toc211265104" w:history="1">
        <w:r>
          <w:rPr>
            <w:rStyle w:val="745"/>
            <w:rFonts w:hint="eastAsia"/>
            <w:b/>
            <w:bCs/>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_Toc211265104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5" w:anchor="_Toc211265105" w:history="1">
        <w:r>
          <w:rPr>
            <w:rStyle w:val="745"/>
            <w:rFonts w:hint="eastAsia"/>
            <w:b/>
            <w:bCs/>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_Toc211265105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6" w:anchor="_Toc211265106" w:history="1">
        <w:r>
          <w:rPr>
            <w:rStyle w:val="745"/>
            <w:rFonts w:hint="eastAsia"/>
            <w:b/>
            <w:bCs/>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_Toc211265106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7" w:anchor="_Toc211265107" w:history="1">
        <w:r>
          <w:rPr>
            <w:rStyle w:val="745"/>
            <w:rFonts w:hint="eastAsia"/>
            <w:b/>
            <w:bCs/>
          </w:rPr>
          <w:t xml:space="preserve">六、成交</w:t>
        </w:r>
        <w:r>
          <w:rPr>
            <w:rFonts w:hint="eastAsia"/>
          </w:rPr>
          <w:tab/>
        </w:r>
        <w:r>
          <w:rPr>
            <w:rFonts w:hint="eastAsia"/>
          </w:rPr>
          <w:fldChar w:fldCharType="begin"/>
        </w:r>
        <w:r>
          <w:rPr>
            <w:rFonts w:hint="eastAsia"/>
          </w:rPr>
          <w:instrText xml:space="preserve"> </w:instrText>
        </w:r>
        <w:r>
          <w:instrText xml:space="preserve">PAGEREF _Toc211265107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08" w:anchor="_Toc211265108" w:history="1">
        <w:r>
          <w:rPr>
            <w:rStyle w:val="745"/>
            <w:rFonts w:hint="eastAsia"/>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_Toc211265108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23"/>
        <w:rPr>
          <w:rFonts w:hint="eastAsia" w:ascii="等线" w:hAnsi="等线" w:eastAsia="等线"/>
          <w:caps w:val="0"/>
          <w:sz w:val="22"/>
        </w:rPr>
      </w:pPr>
      <w:r/>
      <w:hyperlink w:tooltip="#_Toc211265109" w:anchor="_Toc211265109" w:history="1">
        <w:r>
          <w:rPr>
            <w:rStyle w:val="745"/>
            <w:rFonts w:hint="eastAsia" w:ascii="黑体" w:eastAsia="黑体"/>
            <w:bCs/>
          </w:rPr>
          <w:t xml:space="preserve">第三章合同文本</w:t>
        </w:r>
        <w:r>
          <w:rPr>
            <w:rFonts w:hint="eastAsia"/>
          </w:rPr>
          <w:tab/>
        </w:r>
        <w:r>
          <w:rPr>
            <w:rFonts w:hint="eastAsia"/>
          </w:rPr>
          <w:fldChar w:fldCharType="begin"/>
        </w:r>
        <w:r>
          <w:rPr>
            <w:rFonts w:hint="eastAsia"/>
          </w:rPr>
          <w:instrText xml:space="preserve"> </w:instrText>
        </w:r>
        <w:r>
          <w:instrText xml:space="preserve">PAGEREF _Toc211265109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10" w:anchor="_Toc211265110" w:history="1">
        <w:r>
          <w:rPr>
            <w:rStyle w:val="745"/>
            <w:rFonts w:hint="eastAsia" w:ascii="宋体" w:hAnsi="宋体"/>
            <w:b/>
          </w:rPr>
          <w:t xml:space="preserve">江苏省政府采购合同（合同编号）（适用于服务类项目）</w:t>
        </w:r>
        <w:r>
          <w:rPr>
            <w:rFonts w:hint="eastAsia"/>
          </w:rPr>
          <w:tab/>
        </w:r>
        <w:r>
          <w:rPr>
            <w:rFonts w:hint="eastAsia"/>
          </w:rPr>
          <w:fldChar w:fldCharType="begin"/>
        </w:r>
        <w:r>
          <w:rPr>
            <w:rFonts w:hint="eastAsia"/>
          </w:rPr>
          <w:instrText xml:space="preserve"> </w:instrText>
        </w:r>
        <w:r>
          <w:instrText xml:space="preserve">PAGEREF _Toc211265110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723"/>
        <w:rPr>
          <w:rFonts w:hint="eastAsia" w:ascii="等线" w:hAnsi="等线" w:eastAsia="等线"/>
          <w:caps w:val="0"/>
          <w:sz w:val="22"/>
        </w:rPr>
      </w:pPr>
      <w:r/>
      <w:hyperlink w:tooltip="#_Toc211265111" w:anchor="_Toc211265111" w:history="1">
        <w:r>
          <w:rPr>
            <w:rStyle w:val="745"/>
            <w:rFonts w:hint="eastAsia" w:ascii="黑体" w:hAnsi="Courier New" w:eastAsia="黑体" w:cs="Courier New"/>
            <w:bCs/>
          </w:rPr>
          <w:t xml:space="preserve">第四章采购需求</w:t>
        </w:r>
        <w:r>
          <w:rPr>
            <w:rFonts w:hint="eastAsia"/>
          </w:rPr>
          <w:tab/>
        </w:r>
        <w:r>
          <w:rPr>
            <w:rFonts w:hint="eastAsia"/>
          </w:rPr>
          <w:fldChar w:fldCharType="begin"/>
        </w:r>
        <w:r>
          <w:rPr>
            <w:rFonts w:hint="eastAsia"/>
          </w:rPr>
          <w:instrText xml:space="preserve"> </w:instrText>
        </w:r>
        <w:r>
          <w:instrText xml:space="preserve">PAGEREF _Toc211265111 \h</w:instrText>
        </w:r>
        <w:r>
          <w:rPr>
            <w:rFonts w:hint="eastAsia"/>
          </w:rPr>
          <w:instrText xml:space="preserve"> </w:instrText>
        </w:r>
        <w:r>
          <w:rPr>
            <w:rFonts w:hint="eastAsia"/>
          </w:rPr>
        </w:r>
        <w:r>
          <w:rPr>
            <w:rFonts w:hint="eastAsia"/>
          </w:rPr>
          <w:fldChar w:fldCharType="separate"/>
        </w:r>
        <w:r>
          <w:rPr>
            <w:rFonts w:hint="eastAsia"/>
          </w:rPr>
          <w:t xml:space="preserve">22</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12" w:anchor="_Toc211265112" w:history="1">
        <w:r>
          <w:rPr>
            <w:rStyle w:val="745"/>
            <w:rFonts w:hint="eastAsia" w:ascii="宋体" w:hAnsi="宋体"/>
            <w:b/>
          </w:rPr>
          <w:t xml:space="preserve">一、采购标的清单</w:t>
        </w:r>
        <w:r>
          <w:rPr>
            <w:rFonts w:hint="eastAsia"/>
          </w:rPr>
          <w:tab/>
        </w:r>
        <w:r>
          <w:rPr>
            <w:rFonts w:hint="eastAsia"/>
          </w:rPr>
          <w:fldChar w:fldCharType="begin"/>
        </w:r>
        <w:r>
          <w:rPr>
            <w:rFonts w:hint="eastAsia"/>
          </w:rPr>
          <w:instrText xml:space="preserve"> </w:instrText>
        </w:r>
        <w:r>
          <w:instrText xml:space="preserve">PAGEREF _Toc211265112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714"/>
        <w:tabs>
          <w:tab w:val="right" w:pos="8296" w:leader="dot"/>
        </w:tabs>
        <w:rPr>
          <w:rFonts w:hint="eastAsia" w:ascii="等线" w:hAnsi="等线" w:eastAsia="等线"/>
          <w:i w:val="0"/>
          <w:iCs w:val="0"/>
          <w:sz w:val="22"/>
        </w:rPr>
      </w:pPr>
      <w:r/>
      <w:hyperlink w:tooltip="#_Toc211265113" w:anchor="_Toc211265113" w:history="1">
        <w:r>
          <w:rPr>
            <w:rStyle w:val="745"/>
            <w:rFonts w:hint="eastAsia" w:ascii="宋体" w:hAnsi="宋体"/>
            <w:b/>
          </w:rPr>
          <w:t xml:space="preserve">二、采购服务内容</w:t>
        </w:r>
        <w:r>
          <w:rPr>
            <w:rFonts w:hint="eastAsia"/>
          </w:rPr>
          <w:tab/>
        </w:r>
        <w:r>
          <w:rPr>
            <w:rFonts w:hint="eastAsia"/>
          </w:rPr>
          <w:fldChar w:fldCharType="begin"/>
        </w:r>
        <w:r>
          <w:rPr>
            <w:rFonts w:hint="eastAsia"/>
          </w:rPr>
          <w:instrText xml:space="preserve"> </w:instrText>
        </w:r>
        <w:r>
          <w:instrText xml:space="preserve">PAGEREF _Toc211265113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723"/>
        <w:rPr>
          <w:rFonts w:hint="eastAsia" w:ascii="等线" w:hAnsi="等线" w:eastAsia="等线"/>
          <w:caps w:val="0"/>
          <w:sz w:val="22"/>
        </w:rPr>
      </w:pPr>
      <w:r/>
      <w:hyperlink w:tooltip="#_Toc211265114" w:anchor="_Toc211265114" w:history="1">
        <w:r>
          <w:rPr>
            <w:rStyle w:val="745"/>
            <w:rFonts w:hint="eastAsia" w:ascii="黑体" w:eastAsia="黑体"/>
            <w:bCs/>
          </w:rPr>
          <w:t xml:space="preserve">第五章</w:t>
        </w:r>
        <w:r>
          <w:rPr>
            <w:rStyle w:val="745"/>
            <w:rFonts w:hint="eastAsia" w:ascii="黑体" w:eastAsia="黑体"/>
            <w:b/>
            <w:bCs/>
          </w:rPr>
          <w:t xml:space="preserve">评审方法与评审标准</w:t>
        </w:r>
        <w:r>
          <w:rPr>
            <w:rFonts w:hint="eastAsia"/>
          </w:rPr>
          <w:tab/>
        </w:r>
        <w:r>
          <w:rPr>
            <w:rFonts w:hint="eastAsia"/>
          </w:rPr>
          <w:fldChar w:fldCharType="begin"/>
        </w:r>
        <w:r>
          <w:rPr>
            <w:rFonts w:hint="eastAsia"/>
          </w:rPr>
          <w:instrText xml:space="preserve"> </w:instrText>
        </w:r>
        <w:r>
          <w:instrText xml:space="preserve">PAGEREF _Toc211265114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723"/>
        <w:rPr>
          <w:rFonts w:hint="eastAsia" w:ascii="等线" w:hAnsi="等线" w:eastAsia="等线"/>
          <w:caps w:val="0"/>
          <w:sz w:val="22"/>
        </w:rPr>
      </w:pPr>
      <w:r/>
      <w:hyperlink w:tooltip="#_Toc211265115" w:anchor="_Toc211265115" w:history="1">
        <w:r>
          <w:rPr>
            <w:rStyle w:val="745"/>
            <w:rFonts w:hint="eastAsia" w:ascii="黑体" w:eastAsia="黑体"/>
            <w:bCs/>
          </w:rPr>
          <w:t xml:space="preserve">第六章响应文件格式</w:t>
        </w:r>
        <w:r>
          <w:rPr>
            <w:rFonts w:hint="eastAsia"/>
          </w:rPr>
          <w:tab/>
        </w:r>
        <w:r>
          <w:rPr>
            <w:rFonts w:hint="eastAsia"/>
          </w:rPr>
          <w:fldChar w:fldCharType="begin"/>
        </w:r>
        <w:r>
          <w:rPr>
            <w:rFonts w:hint="eastAsia"/>
          </w:rPr>
          <w:instrText xml:space="preserve"> </w:instrText>
        </w:r>
        <w:r>
          <w:instrText xml:space="preserve">PAGEREF _Toc211265115 \h</w:instrText>
        </w:r>
        <w:r>
          <w:rPr>
            <w:rFonts w:hint="eastAsia"/>
          </w:rPr>
          <w:instrText xml:space="preserve"> </w:instrText>
        </w:r>
        <w:r>
          <w:rPr>
            <w:rFonts w:hint="eastAsia"/>
          </w:rPr>
        </w:r>
        <w:r>
          <w:rPr>
            <w:rFonts w:hint="eastAsia"/>
          </w:rPr>
          <w:fldChar w:fldCharType="separate"/>
        </w:r>
        <w:r>
          <w:rPr>
            <w:rFonts w:hint="eastAsia"/>
          </w:rPr>
          <w:t xml:space="preserve">40</w:t>
        </w:r>
        <w:r>
          <w:rPr>
            <w:rFonts w:hint="eastAsia"/>
          </w:rPr>
          <w:fldChar w:fldCharType="end"/>
        </w:r>
      </w:hyperlink>
      <w:r/>
      <w:r/>
    </w:p>
    <w:p>
      <w:pPr>
        <w:rPr>
          <w:rFonts w:eastAsia="黑体"/>
        </w:rPr>
      </w:pPr>
      <w:r>
        <w:rPr>
          <w:bCs/>
          <w:lang w:val="zh-CN"/>
        </w:rPr>
        <w:fldChar w:fldCharType="end"/>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rPr>
          <w:rFonts w:ascii="黑体" w:eastAsia="黑体"/>
          <w:sz w:val="44"/>
          <w:szCs w:val="44"/>
        </w:rPr>
        <w:outlineLvl w:val="0"/>
      </w:pPr>
      <w:r>
        <w:rPr>
          <w:highlight w:val="none"/>
        </w:rPr>
      </w:r>
      <w:r>
        <w:rPr>
          <w:highlight w:val="none"/>
        </w:rPr>
      </w:r>
    </w:p>
    <w:p>
      <w:pPr>
        <w:jc w:val="center"/>
        <w:keepNext/>
        <w:rPr>
          <w:highlight w:val="none"/>
        </w:rPr>
        <w:outlineLvl w:val="0"/>
      </w:pPr>
      <w:r>
        <w:rPr>
          <w:highlight w:val="none"/>
        </w:rPr>
      </w:r>
      <w:r>
        <w:rPr>
          <w:highlight w:val="none"/>
        </w:rPr>
      </w:r>
    </w:p>
    <w:p>
      <w:pPr>
        <w:jc w:val="center"/>
        <w:keepNext/>
        <w:rPr>
          <w:highlight w:val="none"/>
        </w:rPr>
        <w:outlineLvl w:val="0"/>
      </w:pPr>
      <w:r/>
      <w:bookmarkStart w:id="7" w:name="_Toc211265092"/>
      <w:r>
        <w:rPr>
          <w:rFonts w:hint="eastAsia" w:ascii="黑体" w:eastAsia="黑体"/>
          <w:sz w:val="44"/>
          <w:szCs w:val="44"/>
        </w:rPr>
        <w:t xml:space="preserve">第一章</w:t>
      </w:r>
      <w:bookmarkEnd w:id="1"/>
      <w:r>
        <w:rPr>
          <w:rFonts w:hint="eastAsia" w:ascii="黑体" w:eastAsia="黑体"/>
          <w:sz w:val="44"/>
          <w:szCs w:val="44"/>
        </w:rPr>
        <w:t xml:space="preserve">磋商邀请</w:t>
      </w:r>
      <w:bookmarkEnd w:id="7"/>
      <w:r/>
      <w:r/>
    </w:p>
    <w:p>
      <w:pPr>
        <w:ind w:firstLine="480"/>
        <w:rPr>
          <w:rFonts w:hint="eastAsia" w:ascii="宋体" w:hAnsi="宋体"/>
          <w:sz w:val="24"/>
          <w:szCs w:val="24"/>
        </w:rPr>
      </w:pPr>
      <w:r>
        <w:rPr>
          <w:rFonts w:hint="eastAsia" w:ascii="宋体" w:hAnsi="宋体"/>
          <w:sz w:val="24"/>
          <w:szCs w:val="24"/>
        </w:rPr>
        <w:t xml:space="preserve">受江苏省交通通信信息中心的委托，江苏省政府采购中心就2025年运输管理系统功能升级(JSZC-320000-SCZX-C2025-0559)项目进行竞争性磋商采购，欢迎符合条件的供应商参加磋商。</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 w:val="24"/>
          <w:szCs w:val="24"/>
          <w:u w:val="single"/>
        </w:rPr>
        <w:t xml:space="preserve">2025年运输管理系统功能升级</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2025</w:t>
      </w:r>
      <w:r>
        <w:rPr>
          <w:rFonts w:hint="eastAsia" w:ascii="宋体" w:hAnsi="宋体"/>
          <w:bCs/>
          <w:sz w:val="24"/>
          <w:szCs w:val="24"/>
          <w:u w:val="single"/>
        </w:rPr>
        <w:t xml:space="preserve">年10月29日9点30分（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b/>
          <w:bCs/>
          <w:sz w:val="32"/>
          <w:szCs w:val="32"/>
        </w:rPr>
        <w:outlineLvl w:val="2"/>
      </w:pPr>
      <w:r/>
      <w:bookmarkStart w:id="8" w:name="_Toc35393790"/>
      <w:r/>
      <w:bookmarkStart w:id="9" w:name="_Toc38985263"/>
      <w:r/>
      <w:bookmarkStart w:id="10" w:name="_Toc35393621"/>
      <w:r/>
      <w:bookmarkStart w:id="11" w:name="_Toc211265093"/>
      <w:r/>
      <w:bookmarkStart w:id="12" w:name="_Toc28359002"/>
      <w:r/>
      <w:bookmarkStart w:id="13" w:name="_Toc28359079"/>
      <w:r/>
      <w:bookmarkStart w:id="14" w:name="_Hlk24379207"/>
      <w:r>
        <w:rPr>
          <w:rFonts w:hint="eastAsia"/>
          <w:b/>
          <w:bCs/>
          <w:sz w:val="32"/>
          <w:szCs w:val="32"/>
        </w:rPr>
        <w:t xml:space="preserve">一、项目基本情况</w:t>
      </w:r>
      <w:bookmarkEnd w:id="8"/>
      <w:r/>
      <w:bookmarkEnd w:id="9"/>
      <w:r/>
      <w:bookmarkEnd w:id="10"/>
      <w:r/>
      <w:bookmarkEnd w:id="11"/>
      <w:r/>
      <w:bookmarkEnd w:id="12"/>
      <w:r/>
      <w:bookmarkEnd w:id="13"/>
      <w:r/>
      <w:r/>
    </w:p>
    <w:p>
      <w:pPr>
        <w:ind w:firstLine="480"/>
        <w:rPr>
          <w:rFonts w:hint="eastAsia" w:ascii="宋体" w:hAnsi="宋体"/>
          <w:sz w:val="24"/>
          <w:szCs w:val="24"/>
        </w:rPr>
      </w:pPr>
      <w:r>
        <w:rPr>
          <w:rFonts w:hint="eastAsia" w:ascii="宋体" w:hAnsi="宋体"/>
          <w:sz w:val="24"/>
          <w:szCs w:val="24"/>
        </w:rPr>
        <w:t xml:space="preserve">1.项目编号：JSZC-320000-SCZX-C2025-0559</w:t>
      </w:r>
      <w:r/>
    </w:p>
    <w:p>
      <w:pPr>
        <w:ind w:firstLine="480"/>
        <w:rPr>
          <w:rFonts w:hint="eastAsia" w:ascii="宋体" w:hAnsi="宋体"/>
          <w:sz w:val="24"/>
          <w:szCs w:val="24"/>
        </w:rPr>
      </w:pPr>
      <w:r>
        <w:rPr>
          <w:rFonts w:hint="eastAsia" w:ascii="宋体" w:hAnsi="宋体"/>
          <w:sz w:val="24"/>
          <w:szCs w:val="24"/>
        </w:rPr>
        <w:t xml:space="preserve">2.项目名称：2025年运输管理系统功能升级</w:t>
      </w:r>
      <w:bookmarkEnd w:id="14"/>
      <w:r/>
    </w:p>
    <w:p>
      <w:pPr>
        <w:ind w:firstLine="480"/>
        <w:rPr>
          <w:rFonts w:hint="eastAsia" w:ascii="宋体" w:hAnsi="宋体"/>
          <w:sz w:val="24"/>
          <w:szCs w:val="24"/>
        </w:rPr>
      </w:pPr>
      <w:r>
        <w:rPr>
          <w:rFonts w:hint="eastAsia" w:ascii="宋体" w:hAnsi="宋体"/>
          <w:sz w:val="24"/>
          <w:szCs w:val="24"/>
        </w:rPr>
        <w:t xml:space="preserve">3.预算金额：项目预算94.88万元（采购包1：69.88万元；采购包2：25万元）</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393"/>
        <w:gridCol w:w="3207"/>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393" w:type="dxa"/>
            <w:textDirection w:val="lrTb"/>
            <w:noWrap w:val="false"/>
          </w:tcPr>
          <w:p>
            <w:pPr>
              <w:jc w:val="center"/>
              <w:rPr>
                <w:rFonts w:hint="eastAsia" w:ascii="宋体" w:hAnsi="宋体"/>
                <w:szCs w:val="21"/>
              </w:rPr>
            </w:pPr>
            <w:r>
              <w:rPr>
                <w:rFonts w:hint="eastAsia" w:ascii="宋体" w:hAnsi="宋体"/>
                <w:szCs w:val="21"/>
              </w:rPr>
              <w:t xml:space="preserve">采购标的</w:t>
            </w:r>
            <w:r/>
          </w:p>
        </w:tc>
        <w:tc>
          <w:tcPr>
            <w:tcW w:w="3207" w:type="dxa"/>
            <w:textDirection w:val="lrTb"/>
            <w:noWrap w:val="false"/>
          </w:tcPr>
          <w:p>
            <w:pPr>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rHeight w:val="266"/>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2393"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综合运输管理提升</w:t>
            </w:r>
            <w:r/>
          </w:p>
        </w:tc>
        <w:tc>
          <w:tcPr>
            <w:tcW w:w="3207" w:type="dxa"/>
            <w:textDirection w:val="lrTb"/>
            <w:noWrap w:val="false"/>
          </w:tcPr>
          <w:p>
            <w:pPr>
              <w:jc w:val="center"/>
              <w:rPr>
                <w:rFonts w:hint="eastAsia" w:ascii="宋体" w:hAnsi="宋体"/>
                <w:szCs w:val="21"/>
              </w:rPr>
            </w:pPr>
            <w:r>
              <w:rPr>
                <w:rFonts w:hint="eastAsia" w:ascii="宋体" w:hAnsi="宋体"/>
                <w:szCs w:val="21"/>
              </w:rPr>
              <w:t xml:space="preserve">69.88</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2393" w:type="dxa"/>
            <w:textDirection w:val="lrTb"/>
            <w:noWrap w:val="false"/>
          </w:tcPr>
          <w:p>
            <w:pPr>
              <w:jc w:val="center"/>
              <w:rPr>
                <w:rFonts w:hint="eastAsia" w:ascii="宋体" w:hAnsi="宋体"/>
                <w:szCs w:val="21"/>
              </w:rPr>
            </w:pPr>
            <w:r>
              <w:rPr>
                <w:rFonts w:hint="eastAsia" w:ascii="宋体" w:hAnsi="宋体"/>
                <w:szCs w:val="21"/>
              </w:rPr>
              <w:t xml:space="preserve">危货运输监管</w:t>
            </w:r>
            <w:r>
              <w:rPr>
                <w:rFonts w:hint="eastAsia" w:ascii="宋体" w:hAnsi="宋体"/>
                <w:color w:val="000000"/>
                <w:szCs w:val="21"/>
              </w:rPr>
              <w:t xml:space="preserve">提升</w:t>
            </w:r>
            <w:r/>
          </w:p>
        </w:tc>
        <w:tc>
          <w:tcPr>
            <w:tcW w:w="3207" w:type="dxa"/>
            <w:textDirection w:val="lrTb"/>
            <w:noWrap w:val="false"/>
          </w:tcPr>
          <w:p>
            <w:pPr>
              <w:jc w:val="center"/>
              <w:rPr>
                <w:rFonts w:hint="eastAsia" w:ascii="宋体" w:hAnsi="宋体"/>
                <w:szCs w:val="21"/>
              </w:rPr>
            </w:pPr>
            <w:r>
              <w:rPr>
                <w:rFonts w:hint="eastAsia" w:ascii="宋体" w:hAnsi="宋体"/>
                <w:szCs w:val="21"/>
              </w:rPr>
              <w:t xml:space="preserve">25</w:t>
            </w:r>
            <w:r/>
          </w:p>
        </w:tc>
      </w:tr>
    </w:tbl>
    <w:p>
      <w:pPr>
        <w:rPr>
          <w:rFonts w:hint="eastAsia" w:ascii="宋体" w:hAnsi="宋体"/>
          <w:sz w:val="24"/>
          <w:szCs w:val="24"/>
        </w:rPr>
      </w:pPr>
      <w:r>
        <w:rPr>
          <w:rFonts w:hint="eastAsia" w:ascii="宋体" w:hAnsi="宋体"/>
          <w:sz w:val="24"/>
          <w:szCs w:val="24"/>
        </w:rPr>
      </w:r>
      <w:r/>
    </w:p>
    <w:p>
      <w:pPr>
        <w:numPr>
          <w:ilvl w:val="0"/>
          <w:numId w:val="5"/>
        </w:numPr>
        <w:ind w:firstLine="480"/>
        <w:rPr>
          <w:rFonts w:hint="eastAsia" w:ascii="宋体" w:hAnsi="宋体" w:cs="宋体"/>
          <w:sz w:val="24"/>
          <w:szCs w:val="24"/>
        </w:rPr>
      </w:pPr>
      <w:r>
        <w:rPr>
          <w:rFonts w:hint="eastAsia" w:ascii="宋体" w:hAnsi="宋体"/>
          <w:sz w:val="24"/>
          <w:szCs w:val="24"/>
        </w:rPr>
        <w:t xml:space="preserve">采购需求（简介）：为落实交通运输部和省政府对于运输管理工作的各项要求，进一步提升运政业务的管理和服务水平，现拟开展</w:t>
      </w:r>
      <w:r>
        <w:rPr>
          <w:sz w:val="24"/>
          <w:szCs w:val="24"/>
        </w:rPr>
        <w:t xml:space="preserve">2025</w:t>
      </w:r>
      <w:r>
        <w:rPr>
          <w:rFonts w:hint="eastAsia" w:ascii="宋体" w:hAnsi="宋体"/>
          <w:sz w:val="24"/>
          <w:szCs w:val="24"/>
        </w:rPr>
        <w:t xml:space="preserve">年运输管理系统功能升级相关工作，</w:t>
      </w:r>
      <w:r>
        <w:rPr>
          <w:rFonts w:hint="eastAsia" w:ascii="宋体" w:hAnsi="宋体" w:cs="宋体"/>
          <w:sz w:val="24"/>
          <w:szCs w:val="24"/>
        </w:rPr>
        <w:t xml:space="preserve">详细内容见本磋商文件第四章。</w:t>
      </w:r>
      <w:r/>
    </w:p>
    <w:p>
      <w:pPr>
        <w:ind w:firstLine="480"/>
        <w:rPr>
          <w:rFonts w:hint="eastAsia" w:ascii="宋体" w:hAnsi="宋体"/>
          <w:color w:val="000000"/>
          <w:sz w:val="24"/>
          <w:szCs w:val="24"/>
          <w:u w:val="single"/>
        </w:rPr>
      </w:pPr>
      <w:r>
        <w:rPr>
          <w:rFonts w:hint="eastAsia" w:ascii="宋体" w:hAnsi="宋体"/>
          <w:sz w:val="24"/>
          <w:szCs w:val="24"/>
        </w:rPr>
        <w:t xml:space="preserve">5.合同履行期限：</w:t>
      </w:r>
      <w:r>
        <w:rPr>
          <w:rFonts w:hint="eastAsia" w:ascii="宋体" w:hAnsi="宋体" w:cs="宋体"/>
          <w:bCs/>
          <w:color w:val="000000"/>
          <w:sz w:val="24"/>
        </w:rPr>
        <w:t xml:space="preserve">自合同签订之日起8个月内完成主要功能开发并进入试运行</w:t>
      </w:r>
      <w:r>
        <w:rPr>
          <w:rFonts w:hint="eastAsia" w:ascii="宋体" w:hAnsi="宋体"/>
          <w:color w:val="000000"/>
          <w:sz w:val="24"/>
          <w:szCs w:val="24"/>
        </w:rPr>
        <w:t xml:space="preserve">。</w:t>
      </w:r>
      <w:r/>
    </w:p>
    <w:p>
      <w:pPr>
        <w:ind w:firstLine="498"/>
        <w:keepLines/>
        <w:keepNext/>
        <w:spacing w:before="156" w:after="156" w:line="360" w:lineRule="auto"/>
        <w:rPr>
          <w:b/>
          <w:bCs/>
          <w:sz w:val="32"/>
          <w:szCs w:val="32"/>
        </w:rPr>
        <w:outlineLvl w:val="2"/>
      </w:pPr>
      <w:r/>
      <w:bookmarkStart w:id="15" w:name="_Toc35393791"/>
      <w:r/>
      <w:bookmarkStart w:id="16" w:name="_Toc28359003"/>
      <w:r/>
      <w:bookmarkStart w:id="17" w:name="_Toc35393622"/>
      <w:r/>
      <w:bookmarkStart w:id="18" w:name="_Toc38985264"/>
      <w:r/>
      <w:bookmarkStart w:id="19" w:name="_Toc211265094"/>
      <w:r/>
      <w:bookmarkStart w:id="20" w:name="_Toc28359080"/>
      <w:r>
        <w:rPr>
          <w:rFonts w:hint="eastAsia"/>
          <w:b/>
          <w:bCs/>
          <w:sz w:val="32"/>
          <w:szCs w:val="32"/>
        </w:rPr>
        <w:t xml:space="preserve">二、申请人的资格要求：</w:t>
      </w:r>
      <w:bookmarkEnd w:id="15"/>
      <w:r/>
      <w:bookmarkEnd w:id="16"/>
      <w:r/>
      <w:bookmarkEnd w:id="17"/>
      <w:r/>
      <w:bookmarkEnd w:id="18"/>
      <w:r/>
      <w:bookmarkEnd w:id="19"/>
      <w:r/>
      <w:bookmarkEnd w:id="20"/>
      <w:r/>
      <w:r/>
    </w:p>
    <w:p>
      <w:pPr>
        <w:ind w:firstLine="480"/>
        <w:rPr>
          <w:rFonts w:hint="eastAsia" w:ascii="宋体" w:hAnsi="宋体"/>
          <w:sz w:val="24"/>
          <w:szCs w:val="24"/>
        </w:rPr>
      </w:pPr>
      <w:r/>
      <w:bookmarkStart w:id="21" w:name="_Toc28359081"/>
      <w:r/>
      <w:bookmarkStart w:id="22" w:name="_Toc35393792"/>
      <w:r/>
      <w:bookmarkStart w:id="23" w:name="_Toc38985265"/>
      <w:r/>
      <w:bookmarkStart w:id="24" w:name="_Toc35393623"/>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480"/>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4.联合体参与磋商</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是否接受联合体参与磋商</w:t>
            </w:r>
            <w:r/>
          </w:p>
          <w:p>
            <w:pPr>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否</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否</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80"/>
        <w:rPr>
          <w:rFonts w:hint="eastAsia" w:ascii="宋体" w:hAnsi="宋体"/>
          <w:sz w:val="24"/>
          <w:szCs w:val="24"/>
        </w:rPr>
      </w:pPr>
      <w:r>
        <w:rPr>
          <w:rFonts w:hint="eastAsia" w:ascii="宋体" w:hAnsi="宋体"/>
          <w:sz w:val="24"/>
          <w:szCs w:val="24"/>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212"/>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212" w:type="dxa"/>
            <w:textDirection w:val="lrTb"/>
            <w:noWrap w:val="false"/>
          </w:tcPr>
          <w:p>
            <w:pPr>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2212" w:type="dxa"/>
            <w:textDirection w:val="lrTb"/>
            <w:noWrap w:val="false"/>
          </w:tcPr>
          <w:p>
            <w:pPr>
              <w:jc w:val="center"/>
              <w:rPr>
                <w:rFonts w:hint="eastAsia" w:ascii="宋体" w:hAnsi="宋体"/>
                <w:szCs w:val="21"/>
              </w:rPr>
            </w:pPr>
            <w:r>
              <w:rPr>
                <w:rFonts w:hint="eastAsia" w:ascii="宋体" w:hAnsi="宋体"/>
                <w:szCs w:val="21"/>
              </w:rPr>
              <w:t xml:space="preserve">无</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2212" w:type="dxa"/>
            <w:textDirection w:val="lrTb"/>
            <w:noWrap w:val="false"/>
          </w:tcPr>
          <w:p>
            <w:pPr>
              <w:jc w:val="center"/>
              <w:rPr>
                <w:rFonts w:hint="eastAsia" w:ascii="宋体" w:hAnsi="宋体"/>
                <w:szCs w:val="21"/>
              </w:rPr>
            </w:pPr>
            <w:r>
              <w:rPr>
                <w:rFonts w:hint="eastAsia" w:ascii="宋体" w:hAnsi="宋体"/>
                <w:szCs w:val="21"/>
              </w:rPr>
              <w:t xml:space="preserve">无</w:t>
            </w:r>
            <w:r/>
          </w:p>
        </w:tc>
      </w:tr>
    </w:tbl>
    <w:p>
      <w:pPr>
        <w:ind w:firstLine="480"/>
        <w:rPr>
          <w:rFonts w:hint="eastAsia" w:ascii="宋体" w:hAnsi="宋体" w:cs="宋体"/>
          <w:sz w:val="24"/>
          <w:szCs w:val="24"/>
        </w:rPr>
      </w:pPr>
      <w:r>
        <w:rPr>
          <w:rFonts w:hint="eastAsia" w:ascii="宋体" w:hAnsi="宋体" w:cs="宋体"/>
          <w:sz w:val="24"/>
          <w:szCs w:val="24"/>
        </w:rPr>
      </w:r>
      <w:r/>
    </w:p>
    <w:p>
      <w:pPr>
        <w:ind w:firstLine="498"/>
        <w:keepLines/>
        <w:keepNext/>
        <w:spacing w:before="156" w:after="156" w:line="360" w:lineRule="auto"/>
        <w:rPr>
          <w:b/>
          <w:bCs/>
          <w:sz w:val="32"/>
          <w:szCs w:val="32"/>
        </w:rPr>
        <w:outlineLvl w:val="2"/>
      </w:pPr>
      <w:r/>
      <w:bookmarkStart w:id="26" w:name="_Toc211265095"/>
      <w:r>
        <w:rPr>
          <w:rFonts w:hint="eastAsia"/>
          <w:b/>
          <w:bCs/>
          <w:sz w:val="32"/>
          <w:szCs w:val="32"/>
        </w:rPr>
        <w:t xml:space="preserve">三、</w:t>
      </w:r>
      <w:r>
        <w:rPr>
          <w:rFonts w:hint="eastAsia"/>
          <w:b/>
          <w:bCs/>
          <w:sz w:val="32"/>
          <w:szCs w:val="32"/>
        </w:rPr>
        <w:t xml:space="preserve">获取磋商</w:t>
      </w:r>
      <w:r>
        <w:rPr>
          <w:rFonts w:hint="eastAsia"/>
          <w:b/>
          <w:bCs/>
          <w:sz w:val="32"/>
          <w:szCs w:val="32"/>
        </w:rPr>
        <w:t xml:space="preserve">文件</w:t>
      </w:r>
      <w:bookmarkEnd w:id="26"/>
      <w:r/>
      <w:r/>
    </w:p>
    <w:p>
      <w:pPr>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8"/>
        <w:keepLines/>
        <w:keepNext/>
        <w:spacing w:before="156" w:after="156" w:line="360" w:lineRule="auto"/>
        <w:rPr>
          <w:b/>
          <w:bCs/>
          <w:color w:val="000000"/>
          <w:sz w:val="32"/>
          <w:szCs w:val="32"/>
        </w:rPr>
        <w:outlineLvl w:val="2"/>
      </w:pPr>
      <w:r/>
      <w:bookmarkStart w:id="27" w:name="_Toc28359082"/>
      <w:r/>
      <w:bookmarkStart w:id="28" w:name="_Toc28359005"/>
      <w:r/>
      <w:bookmarkStart w:id="29" w:name="_Toc35393793"/>
      <w:r/>
      <w:bookmarkStart w:id="30" w:name="_Toc38985266"/>
      <w:r/>
      <w:bookmarkStart w:id="31" w:name="_Toc35393624"/>
      <w:r/>
      <w:bookmarkStart w:id="32" w:name="_Toc211265096"/>
      <w:r/>
      <w:bookmarkEnd w:id="21"/>
      <w:r/>
      <w:bookmarkEnd w:id="22"/>
      <w:r/>
      <w:bookmarkEnd w:id="23"/>
      <w:r/>
      <w:bookmarkEnd w:id="24"/>
      <w:r/>
      <w:bookmarkEnd w:id="25"/>
      <w:r>
        <w:rPr>
          <w:rFonts w:hint="eastAsia"/>
          <w:b/>
          <w:bCs/>
          <w:sz w:val="32"/>
          <w:szCs w:val="32"/>
        </w:rPr>
        <w:t xml:space="preserve">四、提交</w:t>
      </w:r>
      <w:bookmarkEnd w:id="27"/>
      <w:r/>
      <w:bookmarkEnd w:id="28"/>
      <w:r>
        <w:rPr>
          <w:rFonts w:hint="eastAsia"/>
          <w:b/>
          <w:bCs/>
          <w:sz w:val="32"/>
          <w:szCs w:val="32"/>
        </w:rPr>
        <w:t xml:space="preserve">响应文件截止时间</w:t>
      </w:r>
      <w:bookmarkEnd w:id="29"/>
      <w:r/>
      <w:bookmarkEnd w:id="30"/>
      <w:r/>
      <w:bookmarkEnd w:id="31"/>
      <w:r>
        <w:rPr>
          <w:rFonts w:hint="eastAsia"/>
          <w:b/>
          <w:bCs/>
          <w:sz w:val="32"/>
          <w:szCs w:val="32"/>
        </w:rPr>
        <w:t xml:space="preserve">、</w:t>
      </w:r>
      <w:r>
        <w:rPr>
          <w:rFonts w:hint="eastAsia"/>
          <w:b/>
          <w:bCs/>
          <w:color w:val="000000"/>
          <w:sz w:val="32"/>
          <w:szCs w:val="32"/>
        </w:rPr>
        <w:t xml:space="preserve">开启时间及地点</w:t>
      </w:r>
      <w:bookmarkEnd w:id="32"/>
      <w:r/>
      <w:r/>
    </w:p>
    <w:p>
      <w:pPr>
        <w:ind w:firstLine="480"/>
        <w:rPr>
          <w:rFonts w:hint="eastAsia" w:ascii="宋体" w:hAnsi="宋体" w:cs="宋体"/>
          <w:sz w:val="24"/>
          <w:szCs w:val="24"/>
        </w:rPr>
      </w:pPr>
      <w:r>
        <w:rPr>
          <w:rFonts w:hint="eastAsia" w:ascii="宋体" w:hAnsi="宋体"/>
          <w:bCs/>
          <w:sz w:val="24"/>
          <w:szCs w:val="24"/>
          <w:u w:val="single"/>
        </w:rPr>
        <w:t xml:space="preserve">1.2025年10月29日9点30分</w:t>
      </w:r>
      <w:r>
        <w:rPr>
          <w:rFonts w:hint="eastAsia" w:ascii="宋体" w:hAnsi="宋体"/>
          <w:bCs/>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56" w:after="156" w:line="360" w:lineRule="auto"/>
        <w:rPr>
          <w:b/>
          <w:bCs/>
          <w:sz w:val="32"/>
          <w:szCs w:val="32"/>
        </w:rPr>
        <w:outlineLvl w:val="2"/>
      </w:pPr>
      <w:r/>
      <w:bookmarkStart w:id="33" w:name="_Toc35393794"/>
      <w:r/>
      <w:bookmarkStart w:id="34" w:name="_Toc28359084"/>
      <w:r/>
      <w:bookmarkStart w:id="35" w:name="_Toc38985267"/>
      <w:r/>
      <w:bookmarkStart w:id="36" w:name="_Toc211265097"/>
      <w:r/>
      <w:bookmarkStart w:id="37" w:name="_Toc28359007"/>
      <w:r/>
      <w:bookmarkStart w:id="38" w:name="_Toc35393625"/>
      <w:r>
        <w:rPr>
          <w:rFonts w:hint="eastAsia"/>
          <w:b/>
          <w:bCs/>
          <w:sz w:val="32"/>
          <w:szCs w:val="32"/>
        </w:rPr>
        <w:t xml:space="preserve">五、公告期限</w:t>
      </w:r>
      <w:bookmarkEnd w:id="33"/>
      <w:r/>
      <w:bookmarkEnd w:id="34"/>
      <w:r/>
      <w:bookmarkEnd w:id="35"/>
      <w:r/>
      <w:bookmarkEnd w:id="36"/>
      <w:r/>
      <w:bookmarkEnd w:id="37"/>
      <w:r/>
      <w:bookmarkEnd w:id="38"/>
      <w:r/>
      <w:r/>
    </w:p>
    <w:p>
      <w:pPr>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56" w:after="156" w:line="360" w:lineRule="auto"/>
        <w:rPr>
          <w:b/>
          <w:bCs/>
          <w:sz w:val="32"/>
          <w:szCs w:val="32"/>
        </w:rPr>
        <w:outlineLvl w:val="2"/>
      </w:pPr>
      <w:r/>
      <w:bookmarkStart w:id="39" w:name="_Toc35393795"/>
      <w:r/>
      <w:bookmarkStart w:id="40" w:name="_Toc35393626"/>
      <w:r/>
      <w:bookmarkStart w:id="41" w:name="_Toc38985268"/>
      <w:r/>
      <w:bookmarkStart w:id="42" w:name="_Toc211265098"/>
      <w:r>
        <w:rPr>
          <w:rFonts w:hint="eastAsia"/>
          <w:b/>
          <w:bCs/>
          <w:sz w:val="32"/>
          <w:szCs w:val="32"/>
        </w:rPr>
        <w:t xml:space="preserve">六、其他补充事宜</w:t>
      </w:r>
      <w:bookmarkEnd w:id="39"/>
      <w:r/>
      <w:bookmarkEnd w:id="40"/>
      <w:r/>
      <w:bookmarkEnd w:id="41"/>
      <w:r/>
      <w:bookmarkEnd w:id="42"/>
      <w:r/>
      <w:r/>
    </w:p>
    <w:p>
      <w:pPr>
        <w:ind w:firstLine="480"/>
        <w:rPr>
          <w:rFonts w:hint="eastAsia"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b/>
          <w:bCs/>
          <w:sz w:val="32"/>
          <w:szCs w:val="32"/>
        </w:rPr>
        <w:outlineLvl w:val="2"/>
      </w:pPr>
      <w:r/>
      <w:bookmarkStart w:id="43" w:name="_Toc38985269"/>
      <w:r/>
      <w:bookmarkStart w:id="44" w:name="_Toc28359008"/>
      <w:r/>
      <w:bookmarkStart w:id="45" w:name="_Toc211265099"/>
      <w:r/>
      <w:bookmarkStart w:id="46" w:name="_Toc35393796"/>
      <w:r/>
      <w:bookmarkStart w:id="47" w:name="_Toc35393627"/>
      <w:r/>
      <w:bookmarkStart w:id="48" w:name="_Toc28359085"/>
      <w:r>
        <w:rPr>
          <w:rFonts w:hint="eastAsia"/>
          <w:b/>
          <w:bCs/>
          <w:sz w:val="32"/>
          <w:szCs w:val="32"/>
        </w:rPr>
        <w:t xml:space="preserve">七、本次磋商联系方式</w:t>
      </w:r>
      <w:bookmarkEnd w:id="43"/>
      <w:r/>
      <w:bookmarkEnd w:id="44"/>
      <w:r/>
      <w:bookmarkEnd w:id="45"/>
      <w:r/>
      <w:bookmarkEnd w:id="46"/>
      <w:r/>
      <w:bookmarkEnd w:id="47"/>
      <w:r/>
      <w:bookmarkEnd w:id="48"/>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江苏省交通通信信息中心</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南京市升州路16号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周老师</w:t>
      </w:r>
      <w:r/>
    </w:p>
    <w:p>
      <w:pPr>
        <w:ind w:left="1079" w:hanging="300"/>
        <w:jc w:val="left"/>
        <w:spacing w:line="360" w:lineRule="auto"/>
        <w:rPr>
          <w:rFonts w:hint="eastAsia" w:ascii="宋体" w:hAnsi="宋体"/>
          <w:color w:val="000000"/>
          <w:sz w:val="24"/>
          <w:szCs w:val="24"/>
          <w:u w:val="single"/>
        </w:rPr>
      </w:pPr>
      <w:r>
        <w:rPr>
          <w:rFonts w:hint="eastAsia" w:ascii="宋体" w:hAnsi="宋体"/>
          <w:sz w:val="24"/>
          <w:szCs w:val="24"/>
        </w:rPr>
        <w:t xml:space="preserve">联系方式：</w:t>
      </w:r>
      <w:r>
        <w:rPr>
          <w:rFonts w:hint="eastAsia" w:ascii="宋体" w:hAnsi="宋体"/>
          <w:color w:val="000000"/>
          <w:sz w:val="24"/>
          <w:szCs w:val="24"/>
          <w:u w:val="single"/>
        </w:rPr>
        <w:t xml:space="preserve">025-5285310</w:t>
      </w:r>
      <w:bookmarkStart w:id="49" w:name="_Toc28359086"/>
      <w:r/>
      <w:bookmarkStart w:id="50" w:name="_Toc28359009"/>
      <w:r>
        <w:rPr>
          <w:rFonts w:hint="eastAsia" w:ascii="宋体" w:hAnsi="宋体"/>
          <w:color w:val="000000"/>
          <w:sz w:val="24"/>
          <w:szCs w:val="24"/>
          <w:u w:val="single"/>
        </w:rPr>
        <w:t xml:space="preserve">7</w:t>
      </w:r>
      <w:r/>
    </w:p>
    <w:p>
      <w:pPr>
        <w:ind w:left="1079" w:hanging="300"/>
        <w:jc w:val="left"/>
        <w:spacing w:line="360" w:lineRule="auto"/>
        <w:rPr>
          <w:rFonts w:hint="eastAsia" w:ascii="宋体" w:hAnsi="宋体"/>
          <w:sz w:val="24"/>
          <w:szCs w:val="24"/>
        </w:rPr>
      </w:pPr>
      <w:r/>
      <w:bookmarkStart w:id="51" w:name="_Toc28359010"/>
      <w:r/>
      <w:bookmarkStart w:id="52" w:name="_Toc28359087"/>
      <w:r/>
      <w:bookmarkEnd w:id="49"/>
      <w:r/>
      <w:bookmarkEnd w:id="50"/>
      <w:r>
        <w:rPr>
          <w:rFonts w:hint="eastAsia" w:ascii="宋体" w:hAnsi="宋体" w:cs="宋体"/>
          <w:sz w:val="24"/>
          <w:szCs w:val="24"/>
        </w:rPr>
        <w:t xml:space="preserve">2.江苏省政府采购中心信息</w:t>
      </w:r>
      <w:r/>
    </w:p>
    <w:p>
      <w:pPr>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p>
    <w:p>
      <w:pPr>
        <w:ind w:left="300" w:firstLine="420"/>
        <w:spacing w:line="360" w:lineRule="auto"/>
        <w:rPr>
          <w:rFonts w:hint="eastAsia" w:ascii="宋体" w:hAnsi="宋体"/>
          <w:sz w:val="24"/>
          <w:szCs w:val="24"/>
        </w:rPr>
      </w:pPr>
      <w:r/>
      <w:bookmarkStart w:id="53" w:name="_Toc211265100"/>
      <w:r/>
      <w:bookmarkEnd w:id="51"/>
      <w:r/>
      <w:bookmarkEnd w:id="52"/>
      <w:r>
        <w:rPr>
          <w:rFonts w:hint="eastAsia" w:ascii="宋体" w:hAnsi="宋体"/>
          <w:sz w:val="24"/>
          <w:szCs w:val="24"/>
        </w:rPr>
        <w:t xml:space="preserve">联系人：</w:t>
      </w:r>
      <w:r>
        <w:rPr>
          <w:rFonts w:hint="eastAsia" w:ascii="宋体" w:hAnsi="宋体"/>
          <w:sz w:val="24"/>
          <w:szCs w:val="24"/>
          <w:u w:val="single"/>
        </w:rPr>
        <w:t xml:space="preserve">  付钢、唐文        </w:t>
      </w:r>
      <w:r/>
    </w:p>
    <w:p>
      <w:pPr>
        <w:ind w:left="420" w:firstLine="420"/>
        <w:spacing w:line="360" w:lineRule="auto"/>
        <w:rPr>
          <w:rFonts w:hint="eastAsia" w:ascii="宋体" w:hAnsi="宋体"/>
          <w:sz w:val="24"/>
          <w:szCs w:val="24"/>
          <w:u w:val="single"/>
        </w:rPr>
      </w:pPr>
      <w:r>
        <w:rPr>
          <w:rFonts w:hint="eastAsia" w:ascii="宋体" w:hAnsi="宋体"/>
          <w:sz w:val="24"/>
          <w:szCs w:val="24"/>
          <w:u w:val="single"/>
        </w:rPr>
        <w:t xml:space="preserve">联系方式：025-83668520/83668519</w:t>
      </w:r>
      <w:r/>
    </w:p>
    <w:p>
      <w:pPr>
        <w:ind w:firstLine="498"/>
        <w:keepLines/>
        <w:keepNext/>
        <w:spacing w:before="156" w:after="156" w:line="360" w:lineRule="auto"/>
        <w:rPr>
          <w:b/>
          <w:bCs/>
          <w:sz w:val="32"/>
          <w:szCs w:val="32"/>
        </w:rPr>
        <w:outlineLvl w:val="2"/>
      </w:pPr>
      <w:r>
        <w:rPr>
          <w:rFonts w:hint="eastAsia"/>
          <w:b/>
          <w:bCs/>
          <w:sz w:val="32"/>
          <w:szCs w:val="32"/>
        </w:rPr>
        <w:t xml:space="preserve">八、其他</w:t>
      </w:r>
      <w:bookmarkEnd w:id="53"/>
      <w:r/>
      <w:r/>
    </w:p>
    <w:p>
      <w:pPr>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根据省财政厅《关于更换全省政府采购交易系统CA数字证书和电子签章</w:t>
      </w:r>
      <w:r>
        <w:rPr>
          <w:rFonts w:hint="eastAsia" w:ascii="宋体" w:hAnsi="宋体"/>
          <w:bCs/>
          <w:sz w:val="24"/>
          <w:szCs w:val="24"/>
        </w:rPr>
        <w:t xml:space="preserve">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的CA数字证书、电子签章已更换为江苏省电子政务证书认证中心CA和方正国际软件（北京）有限公司电子签章。如果供应商通过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tabs>
          <w:tab w:val="left" w:pos="900" w:leader="none"/>
        </w:tabs>
        <w:rPr>
          <w:rFonts w:hint="eastAsia"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系统供应商操作手册》（以下简称《操作手册》））、进行注册并按《操作手册》要求制作、上传电子响应文件。</w:t>
      </w:r>
      <w:r>
        <w:rPr>
          <w:rFonts w:hint="eastAsia" w:ascii="宋体" w:hAnsi="宋体"/>
          <w:bCs/>
          <w:color w:val="000000"/>
          <w:sz w:val="24"/>
          <w:szCs w:val="24"/>
        </w:rPr>
        <w:t xml:space="preserve">供应商也可前往“江苏政务服务网”（</w:t>
      </w:r>
      <w:r>
        <w:rPr>
          <w:bCs/>
          <w:color w:val="000000"/>
          <w:szCs w:val="21"/>
        </w:rPr>
        <w:t xml:space="preserve">www.jszwfw.gov.cn</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t>
      </w:r>
      <w:r>
        <w:rPr>
          <w:bCs/>
          <w:color w:val="000000"/>
          <w:szCs w:val="21"/>
        </w:rPr>
        <w:t xml:space="preserve">www.ccgp-jiangsu.gov.cn</w:t>
      </w:r>
      <w:r>
        <w:rPr>
          <w:bCs/>
          <w:color w:val="000000"/>
          <w:szCs w:val="21"/>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w:t>
      </w:r>
      <w:r>
        <w:rPr>
          <w:bCs/>
          <w:color w:val="000000"/>
          <w:szCs w:val="21"/>
        </w:rPr>
        <w:t xml:space="preserve">（</w:t>
      </w:r>
      <w:r>
        <w:rPr>
          <w:bCs/>
          <w:color w:val="000000"/>
          <w:szCs w:val="21"/>
        </w:rPr>
        <w:t xml:space="preserve">www.jszwfw.gov.cn</w:t>
      </w:r>
      <w:r>
        <w:rPr>
          <w:bCs/>
          <w:color w:val="000000"/>
          <w:szCs w:val="21"/>
        </w:rPr>
        <w:t xml:space="preserve">）</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企来办”专栏下“政府采购”模块中信息不一致，以“江苏政府采购网”信息为准。</w:t>
      </w:r>
      <w:r/>
    </w:p>
    <w:p>
      <w:pPr>
        <w:ind w:firstLine="480"/>
        <w:tabs>
          <w:tab w:val="left" w:pos="900" w:leader="none"/>
        </w:tabs>
        <w:rPr>
          <w:rFonts w:hint="eastAsia" w:ascii="宋体" w:hAnsi="宋体"/>
          <w:bCs/>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.有关本次磋商的事项</w:t>
      </w:r>
      <w:r>
        <w:rPr>
          <w:rFonts w:hint="eastAsia" w:ascii="宋体" w:hAnsi="宋体"/>
          <w:bCs/>
          <w:sz w:val="24"/>
          <w:szCs w:val="24"/>
        </w:rPr>
        <w:t xml:space="preserve">若存在变动或修改，敬请及时关注江苏省政府采购中心在“江苏政府采购网”发布的更正公告。</w:t>
      </w:r>
      <w:r/>
    </w:p>
    <w:p>
      <w:pPr>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54" w:name="_Toc120614211"/>
      <w:r/>
      <w:bookmarkStart w:id="55" w:name="_Toc211265101"/>
      <w:r>
        <w:rPr>
          <w:rFonts w:hint="eastAsia" w:ascii="黑体" w:hAnsi="Arial" w:eastAsia="黑体" w:cs="Arial"/>
          <w:b/>
          <w:bCs/>
          <w:sz w:val="44"/>
          <w:szCs w:val="44"/>
        </w:rPr>
        <w:t xml:space="preserve">第二</w:t>
      </w:r>
      <w:r>
        <w:rPr>
          <w:rFonts w:hint="eastAsia" w:ascii="黑体" w:hAnsi="Arial" w:eastAsia="黑体" w:cs="Arial"/>
          <w:b/>
          <w:bCs/>
          <w:sz w:val="44"/>
          <w:szCs w:val="44"/>
        </w:rPr>
        <w:t xml:space="preserve">章</w:t>
      </w:r>
      <w:bookmarkEnd w:id="2"/>
      <w:r/>
      <w:bookmarkEnd w:id="3"/>
      <w:r/>
      <w:bookmarkEnd w:id="4"/>
      <w:r/>
      <w:bookmarkEnd w:id="5"/>
      <w:r/>
      <w:bookmarkEnd w:id="6"/>
      <w:r/>
      <w:bookmarkEnd w:id="54"/>
      <w:r>
        <w:rPr>
          <w:rFonts w:hint="eastAsia" w:ascii="黑体" w:hAnsi="Arial" w:eastAsia="黑体" w:cs="Arial"/>
          <w:b/>
          <w:bCs/>
          <w:sz w:val="44"/>
          <w:szCs w:val="44"/>
        </w:rPr>
        <w:t xml:space="preserve">供应</w:t>
      </w:r>
      <w:r>
        <w:rPr>
          <w:rFonts w:hint="eastAsia" w:ascii="黑体" w:hAnsi="Arial" w:eastAsia="黑体" w:cs="Arial"/>
          <w:b/>
          <w:bCs/>
          <w:sz w:val="44"/>
          <w:szCs w:val="44"/>
        </w:rPr>
        <w:t xml:space="preserve">商须知</w:t>
      </w:r>
      <w:bookmarkEnd w:id="55"/>
      <w:r/>
      <w:r/>
    </w:p>
    <w:p>
      <w:pPr>
        <w:ind w:firstLine="498"/>
        <w:keepLines/>
        <w:keepNext/>
        <w:spacing w:before="156" w:after="156" w:line="360" w:lineRule="auto"/>
        <w:rPr>
          <w:b/>
          <w:bCs/>
          <w:sz w:val="32"/>
          <w:szCs w:val="32"/>
        </w:rPr>
        <w:outlineLvl w:val="2"/>
      </w:pPr>
      <w:r/>
      <w:bookmarkStart w:id="56" w:name="_Toc20823275"/>
      <w:r/>
      <w:bookmarkStart w:id="57" w:name="_Toc16938519"/>
      <w:r/>
      <w:bookmarkStart w:id="58" w:name="_Toc513029203"/>
      <w:r/>
      <w:bookmarkStart w:id="59" w:name="_Toc211265102"/>
      <w:r/>
      <w:bookmarkStart w:id="60" w:name="_Toc120614214"/>
      <w:r/>
      <w:bookmarkStart w:id="61" w:name="_Toc16938558"/>
      <w:r/>
      <w:bookmarkStart w:id="62" w:name="_Toc120614221"/>
      <w:r/>
      <w:bookmarkStart w:id="63" w:name="_Toc20823314"/>
      <w:r/>
      <w:bookmarkStart w:id="64" w:name="_Toc513029242"/>
      <w:r/>
      <w:bookmarkStart w:id="65" w:name="_Toc479757207"/>
      <w:r>
        <w:rPr>
          <w:rFonts w:hint="eastAsia"/>
          <w:b/>
          <w:bCs/>
          <w:sz w:val="32"/>
          <w:szCs w:val="32"/>
        </w:rPr>
        <w:t xml:space="preserve">一、总则</w:t>
      </w:r>
      <w:bookmarkEnd w:id="56"/>
      <w:r/>
      <w:bookmarkEnd w:id="57"/>
      <w:r/>
      <w:bookmarkEnd w:id="58"/>
      <w:r/>
      <w:bookmarkEnd w:id="59"/>
      <w:r/>
      <w:bookmarkEnd w:id="60"/>
      <w:r/>
      <w:r/>
    </w:p>
    <w:p>
      <w:pPr>
        <w:ind w:firstLine="420"/>
        <w:keepLines/>
        <w:keepNext/>
        <w:rPr>
          <w:rFonts w:ascii="Arial" w:hAnsi="Arial" w:eastAsia="黑体" w:cs="Arial"/>
          <w:sz w:val="28"/>
          <w:szCs w:val="28"/>
        </w:rPr>
        <w:outlineLvl w:val="3"/>
      </w:pPr>
      <w:r/>
      <w:bookmarkStart w:id="66" w:name="_Hlt16619475"/>
      <w:r/>
      <w:bookmarkStart w:id="67" w:name="_Toc458694821"/>
      <w:r/>
      <w:bookmarkStart w:id="68" w:name="_Toc20823276"/>
      <w:r/>
      <w:bookmarkStart w:id="69" w:name="_Toc513029204"/>
      <w:r/>
      <w:bookmarkStart w:id="70" w:name="_Toc16938520"/>
      <w:r/>
      <w:bookmarkEnd w:id="66"/>
      <w:r>
        <w:rPr>
          <w:rFonts w:hint="eastAsia" w:ascii="Arial" w:hAnsi="Arial" w:eastAsia="黑体" w:cs="Arial"/>
          <w:sz w:val="28"/>
          <w:szCs w:val="28"/>
        </w:rPr>
        <w:t xml:space="preserve">1</w:t>
      </w:r>
      <w:bookmarkEnd w:id="67"/>
      <w:r>
        <w:rPr>
          <w:rFonts w:hint="eastAsia" w:ascii="Arial" w:hAnsi="Arial" w:eastAsia="黑体" w:cs="Arial"/>
          <w:sz w:val="28"/>
          <w:szCs w:val="28"/>
        </w:rPr>
        <w:t xml:space="preserve">、采购方式</w:t>
      </w:r>
      <w:bookmarkEnd w:id="68"/>
      <w:r/>
      <w:bookmarkEnd w:id="69"/>
      <w:r/>
      <w:bookmarkEnd w:id="70"/>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71" w:name="_Toc513029205"/>
      <w:r/>
      <w:bookmarkStart w:id="72" w:name="_Toc20823277"/>
      <w:r/>
      <w:bookmarkStart w:id="73"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71"/>
      <w:r/>
      <w:bookmarkEnd w:id="72"/>
      <w:r/>
      <w:bookmarkEnd w:id="73"/>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bookmarkStart w:id="74" w:name="_Toc513029206"/>
      <w:r/>
      <w:bookmarkStart w:id="75" w:name="_Toc20823278"/>
      <w:r/>
      <w:bookmarkStart w:id="76"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74"/>
      <w:r/>
      <w:bookmarkEnd w:id="75"/>
      <w:r/>
      <w:bookmarkEnd w:id="76"/>
      <w:r/>
      <w:r/>
    </w:p>
    <w:p>
      <w:pPr>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77" w:name="_Toc16938523"/>
      <w:r/>
      <w:bookmarkStart w:id="78" w:name="_Toc20823279"/>
      <w:r/>
      <w:bookmarkStart w:id="79" w:name="_Toc462564067"/>
      <w:r/>
      <w:bookmarkStart w:id="80"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77"/>
      <w:r/>
      <w:bookmarkEnd w:id="78"/>
      <w:r/>
      <w:bookmarkEnd w:id="79"/>
      <w:r/>
      <w:bookmarkEnd w:id="80"/>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b/>
          <w:bCs/>
          <w:sz w:val="32"/>
          <w:szCs w:val="32"/>
        </w:rPr>
        <w:outlineLvl w:val="2"/>
      </w:pPr>
      <w:r/>
      <w:bookmarkStart w:id="81" w:name="_Toc513029209"/>
      <w:r/>
      <w:bookmarkStart w:id="82" w:name="_Toc16938525"/>
      <w:r/>
      <w:bookmarkStart w:id="83" w:name="_Toc20823281"/>
      <w:r/>
      <w:bookmarkStart w:id="84" w:name="_Toc120614215"/>
      <w:r/>
      <w:bookmarkStart w:id="85" w:name="_Toc211265103"/>
      <w:r>
        <w:rPr>
          <w:rFonts w:hint="eastAsia"/>
          <w:b/>
          <w:bCs/>
          <w:sz w:val="32"/>
          <w:szCs w:val="32"/>
        </w:rPr>
        <w:t xml:space="preserve">二、</w:t>
      </w:r>
      <w:bookmarkEnd w:id="81"/>
      <w:r/>
      <w:bookmarkEnd w:id="82"/>
      <w:r/>
      <w:bookmarkEnd w:id="83"/>
      <w:r/>
      <w:bookmarkEnd w:id="84"/>
      <w:r>
        <w:rPr>
          <w:rFonts w:hint="eastAsia"/>
          <w:b/>
          <w:bCs/>
          <w:sz w:val="32"/>
          <w:szCs w:val="32"/>
        </w:rPr>
        <w:t xml:space="preserve">磋商文件</w:t>
      </w:r>
      <w:bookmarkEnd w:id="85"/>
      <w:r/>
      <w:r/>
    </w:p>
    <w:p>
      <w:pPr>
        <w:ind w:firstLine="420"/>
        <w:keepLines/>
        <w:keepNext/>
        <w:rPr>
          <w:rFonts w:ascii="Arial" w:hAnsi="Arial" w:eastAsia="黑体" w:cs="Arial"/>
          <w:sz w:val="28"/>
          <w:szCs w:val="28"/>
        </w:rPr>
        <w:outlineLvl w:val="3"/>
      </w:pPr>
      <w:r/>
      <w:bookmarkStart w:id="86" w:name="_Toc513029210"/>
      <w:r/>
      <w:bookmarkStart w:id="87" w:name="_Toc20823282"/>
      <w:r/>
      <w:bookmarkStart w:id="88"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86"/>
      <w:r/>
      <w:bookmarkEnd w:id="87"/>
      <w:r/>
      <w:bookmarkEnd w:id="88"/>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ind w:firstLine="560"/>
        <w:keepLines/>
        <w:keepNext/>
        <w:rPr>
          <w:rFonts w:ascii="Arial" w:hAnsi="Arial" w:eastAsia="黑体" w:cs="Arial"/>
          <w:sz w:val="28"/>
          <w:szCs w:val="28"/>
        </w:rPr>
        <w:outlineLvl w:val="3"/>
      </w:pPr>
      <w:r/>
      <w:bookmarkStart w:id="89" w:name="_Toc513029212"/>
      <w:r/>
      <w:bookmarkStart w:id="90" w:name="_Toc462564071"/>
      <w:r/>
      <w:bookmarkStart w:id="91" w:name="_Toc16938528"/>
      <w:r/>
      <w:bookmarkStart w:id="92" w:name="_Toc20823284"/>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89"/>
      <w:r/>
      <w:bookmarkEnd w:id="90"/>
      <w:r/>
      <w:bookmarkEnd w:id="91"/>
      <w:r/>
      <w:bookmarkEnd w:id="92"/>
      <w:r/>
      <w:r/>
    </w:p>
    <w:p>
      <w:pPr>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w:t>
      </w:r>
      <w:r>
        <w:rPr>
          <w:rFonts w:hint="eastAsia" w:ascii="宋体" w:hAnsi="宋体"/>
          <w:sz w:val="24"/>
          <w:szCs w:val="21"/>
        </w:rPr>
        <w:t xml:space="preserve">影响响应文件编制的，采购中心将在提交首次响应文件截止时间至少5日前，在“江苏政府采购网”上发布书面更正公告形式通知所有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ind w:firstLine="482"/>
        <w:keepLines/>
        <w:keepNext/>
        <w:spacing w:before="156" w:after="156" w:line="360" w:lineRule="auto"/>
        <w:rPr>
          <w:b/>
          <w:bCs/>
          <w:sz w:val="32"/>
          <w:szCs w:val="32"/>
        </w:rPr>
        <w:outlineLvl w:val="2"/>
      </w:pPr>
      <w:r/>
      <w:bookmarkStart w:id="93" w:name="_Toc120614216"/>
      <w:r/>
      <w:bookmarkStart w:id="94" w:name="_Toc462564072"/>
      <w:r/>
      <w:bookmarkStart w:id="95" w:name="_Toc20823285"/>
      <w:r/>
      <w:bookmarkStart w:id="96" w:name="_Toc211265104"/>
      <w:r/>
      <w:bookmarkStart w:id="97" w:name="_Toc513029213"/>
      <w:r/>
      <w:bookmarkStart w:id="98" w:name="_Toc16938529"/>
      <w:r>
        <w:rPr>
          <w:rFonts w:hint="eastAsia"/>
          <w:b/>
          <w:bCs/>
          <w:sz w:val="32"/>
          <w:szCs w:val="32"/>
        </w:rPr>
        <w:t xml:space="preserve">三、响应文件的编制</w:t>
      </w:r>
      <w:bookmarkEnd w:id="93"/>
      <w:r/>
      <w:bookmarkEnd w:id="94"/>
      <w:r/>
      <w:bookmarkEnd w:id="95"/>
      <w:r/>
      <w:bookmarkEnd w:id="96"/>
      <w:r/>
      <w:bookmarkEnd w:id="97"/>
      <w:r/>
      <w:bookmarkEnd w:id="98"/>
      <w:r/>
      <w:r/>
    </w:p>
    <w:p>
      <w:pPr>
        <w:ind w:firstLine="560"/>
        <w:keepLines/>
        <w:keepNext/>
        <w:rPr>
          <w:rFonts w:ascii="Arial" w:hAnsi="Arial" w:eastAsia="黑体" w:cs="Arial"/>
          <w:b/>
          <w:sz w:val="28"/>
          <w:szCs w:val="28"/>
        </w:rPr>
        <w:outlineLvl w:val="3"/>
      </w:pPr>
      <w:r/>
      <w:bookmarkStart w:id="99" w:name="_Toc462564073"/>
      <w:r/>
      <w:bookmarkStart w:id="100" w:name="_Toc20823286"/>
      <w:r/>
      <w:bookmarkStart w:id="101" w:name="_Toc513029214"/>
      <w:r/>
      <w:bookmarkStart w:id="102"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99"/>
      <w:r/>
      <w:bookmarkEnd w:id="100"/>
      <w:r/>
      <w:bookmarkEnd w:id="101"/>
      <w:r/>
      <w:bookmarkEnd w:id="102"/>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103" w:name="_Toc462564074"/>
      <w:r/>
      <w:bookmarkStart w:id="104" w:name="_Toc513029215"/>
      <w:r/>
      <w:bookmarkStart w:id="105" w:name="_Toc20823287"/>
      <w:r/>
      <w:bookmarkStart w:id="106"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103"/>
      <w:r/>
      <w:bookmarkEnd w:id="104"/>
      <w:r/>
      <w:bookmarkEnd w:id="105"/>
      <w:r/>
      <w:bookmarkEnd w:id="106"/>
      <w:r/>
      <w:r/>
    </w:p>
    <w:p>
      <w:pPr>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107" w:name="_Hlt26668975"/>
      <w:r/>
      <w:bookmarkStart w:id="108" w:name="_Hlt26670360"/>
      <w:r/>
      <w:bookmarkStart w:id="109" w:name="_Hlt26954838"/>
      <w:r/>
      <w:bookmarkStart w:id="110" w:name="_Toc513029219"/>
      <w:r/>
      <w:bookmarkStart w:id="111" w:name="_Toc49090509"/>
      <w:r/>
      <w:bookmarkStart w:id="112" w:name="_Toc14577357"/>
      <w:r/>
      <w:bookmarkStart w:id="113" w:name="_Toc14577354"/>
      <w:r/>
      <w:bookmarkStart w:id="114" w:name="_Toc513029216"/>
      <w:r/>
      <w:bookmarkStart w:id="115" w:name="_Toc49090507"/>
      <w:r/>
      <w:bookmarkStart w:id="116" w:name="_Toc14577355"/>
      <w:r/>
      <w:bookmarkStart w:id="117" w:name="_Toc49090508"/>
      <w:r/>
      <w:bookmarkEnd w:id="107"/>
      <w:r/>
      <w:bookmarkEnd w:id="108"/>
      <w:r/>
      <w:bookmarkEnd w:id="109"/>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w:t>
      </w:r>
      <w:r>
        <w:rPr>
          <w:rFonts w:hint="eastAsia" w:ascii="Arial" w:hAnsi="Arial" w:eastAsia="黑体" w:cs="Arial"/>
          <w:sz w:val="28"/>
          <w:szCs w:val="28"/>
        </w:rPr>
        <w:t xml:space="preserve">符合磋商</w:t>
      </w:r>
      <w:r>
        <w:rPr>
          <w:rFonts w:hint="eastAsia" w:ascii="Arial" w:hAnsi="Arial" w:eastAsia="黑体" w:cs="Arial"/>
          <w:sz w:val="28"/>
          <w:szCs w:val="28"/>
        </w:rPr>
        <w:t xml:space="preserve">文件规定的文件</w:t>
      </w:r>
      <w:bookmarkEnd w:id="110"/>
      <w:r/>
      <w:bookmarkEnd w:id="111"/>
      <w:r/>
      <w:bookmarkEnd w:id="112"/>
      <w:r/>
      <w:bookmarkEnd w:id="113"/>
      <w:bookmarkEnd w:id="114"/>
      <w:bookmarkEnd w:id="115"/>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bookmarkEnd w:id="116"/>
      <w:bookmarkEnd w:id="117"/>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18" w:name="_Hlt26954846"/>
      <w:r/>
      <w:bookmarkStart w:id="119" w:name="_Hlt26954848"/>
      <w:r/>
      <w:bookmarkStart w:id="120" w:name="_Hlt26670482"/>
      <w:r/>
      <w:bookmarkStart w:id="121" w:name="_Hlt26670486"/>
      <w:r/>
      <w:bookmarkStart w:id="122" w:name="_Hlt26954731"/>
      <w:r/>
      <w:bookmarkEnd w:id="118"/>
      <w:r/>
      <w:bookmarkEnd w:id="119"/>
      <w:r/>
      <w:bookmarkEnd w:id="120"/>
      <w:r/>
      <w:bookmarkEnd w:id="121"/>
      <w:r/>
      <w:bookmarkEnd w:id="12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w:t>
      </w:r>
      <w:r>
        <w:rPr>
          <w:rFonts w:hint="eastAsia" w:ascii="宋体" w:hAnsi="宋体"/>
          <w:sz w:val="24"/>
          <w:szCs w:val="24"/>
        </w:rPr>
        <w:t xml:space="preserve">提供</w:t>
      </w:r>
      <w:r>
        <w:rPr>
          <w:rFonts w:hint="eastAsia" w:ascii="宋体" w:hAnsi="Arial" w:cs="宋体"/>
          <w:sz w:val="24"/>
          <w:szCs w:val="21"/>
          <w:lang w:val="zh-CN"/>
        </w:rPr>
        <w:t xml:space="preserve">磋商</w:t>
      </w:r>
      <w:r>
        <w:rPr>
          <w:rFonts w:hint="eastAsia" w:ascii="宋体" w:hAnsi="Arial" w:cs="宋体"/>
          <w:sz w:val="24"/>
          <w:szCs w:val="21"/>
          <w:lang w:val="zh-CN"/>
        </w:rPr>
        <w:t xml:space="preserve">响应标的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rPr>
          <w:rFonts w:ascii="Arial" w:hAnsi="Arial" w:eastAsia="黑体" w:cs="Arial"/>
          <w:sz w:val="28"/>
          <w:szCs w:val="28"/>
        </w:rPr>
        <w:outlineLvl w:val="3"/>
      </w:pPr>
      <w:r/>
      <w:bookmarkStart w:id="123" w:name="_Toc14577359"/>
      <w:r/>
      <w:bookmarkStart w:id="124"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ind w:firstLine="420"/>
        <w:keepLines/>
        <w:keepNext/>
        <w:rPr>
          <w:rFonts w:ascii="Arial" w:hAnsi="Arial" w:eastAsia="黑体" w:cs="Arial"/>
          <w:sz w:val="28"/>
          <w:szCs w:val="28"/>
        </w:rPr>
        <w:outlineLvl w:val="3"/>
      </w:pPr>
      <w:r/>
      <w:bookmarkStart w:id="125" w:name="_Toc49090511"/>
      <w:r/>
      <w:bookmarkStart w:id="126" w:name="_Toc14577360"/>
      <w:r/>
      <w:bookmarkEnd w:id="123"/>
      <w:r/>
      <w:bookmarkEnd w:id="124"/>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25"/>
      <w:r/>
      <w:bookmarkEnd w:id="126"/>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b/>
          <w:bCs/>
          <w:sz w:val="32"/>
          <w:szCs w:val="32"/>
        </w:rPr>
        <w:outlineLvl w:val="2"/>
      </w:pPr>
      <w:r/>
      <w:bookmarkStart w:id="127" w:name="_Hlt26954852"/>
      <w:r/>
      <w:bookmarkStart w:id="128" w:name="_Hlt26954739"/>
      <w:r/>
      <w:bookmarkStart w:id="129" w:name="_Toc20823296"/>
      <w:r/>
      <w:bookmarkStart w:id="130" w:name="_Toc211265105"/>
      <w:r/>
      <w:bookmarkStart w:id="131" w:name="_Toc16938540"/>
      <w:r/>
      <w:bookmarkStart w:id="132" w:name="_Toc120614217"/>
      <w:r/>
      <w:bookmarkStart w:id="133" w:name="_Toc513029224"/>
      <w:r/>
      <w:bookmarkEnd w:id="127"/>
      <w:r/>
      <w:bookmarkEnd w:id="128"/>
      <w:r>
        <w:rPr>
          <w:rFonts w:hint="eastAsia"/>
          <w:b/>
          <w:bCs/>
          <w:sz w:val="32"/>
          <w:szCs w:val="32"/>
        </w:rPr>
        <w:t xml:space="preserve">四、响应文件的递交</w:t>
      </w:r>
      <w:bookmarkEnd w:id="129"/>
      <w:r/>
      <w:bookmarkEnd w:id="130"/>
      <w:r/>
      <w:bookmarkEnd w:id="131"/>
      <w:r/>
      <w:bookmarkEnd w:id="132"/>
      <w:r/>
      <w:bookmarkEnd w:id="133"/>
      <w:r/>
      <w:r/>
    </w:p>
    <w:p>
      <w:pPr>
        <w:ind w:firstLine="560"/>
        <w:keepLines/>
        <w:keepNext/>
        <w:rPr>
          <w:rFonts w:ascii="黑体" w:hAnsi="Arial" w:eastAsia="黑体" w:cs="Arial"/>
          <w:sz w:val="28"/>
          <w:szCs w:val="28"/>
        </w:rPr>
        <w:outlineLvl w:val="3"/>
      </w:pPr>
      <w:r/>
      <w:bookmarkStart w:id="134" w:name="_Toc20823297"/>
      <w:r/>
      <w:bookmarkStart w:id="135" w:name="_Toc16938541"/>
      <w:r/>
      <w:bookmarkStart w:id="136" w:name="_Toc462564084"/>
      <w:r/>
      <w:bookmarkStart w:id="13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34"/>
      <w:r/>
      <w:bookmarkEnd w:id="135"/>
      <w:r/>
      <w:bookmarkEnd w:id="136"/>
      <w:r/>
      <w:bookmarkEnd w:id="137"/>
      <w:r>
        <w:rPr>
          <w:rFonts w:hint="eastAsia" w:ascii="黑体" w:hAnsi="Arial" w:eastAsia="黑体" w:cs="Arial"/>
          <w:sz w:val="28"/>
          <w:szCs w:val="28"/>
        </w:rPr>
        <w:t xml:space="preserve">响应文件的递交</w:t>
      </w:r>
      <w:r/>
    </w:p>
    <w:p>
      <w:pPr>
        <w:ind w:firstLine="600"/>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bookmarkStart w:id="138" w:name="_Toc20823298"/>
      <w:r/>
      <w:bookmarkStart w:id="139" w:name="_Toc16938542"/>
      <w:r/>
      <w:bookmarkStart w:id="140" w:name="_Toc513029226"/>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38"/>
      <w:r/>
      <w:bookmarkEnd w:id="139"/>
      <w:r/>
      <w:bookmarkEnd w:id="140"/>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41" w:name="_Toc20823299"/>
      <w:r/>
      <w:bookmarkStart w:id="142" w:name="_Toc16938543"/>
      <w:r/>
      <w:bookmarkStart w:id="143"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41"/>
      <w:r/>
      <w:bookmarkEnd w:id="142"/>
      <w:r/>
      <w:bookmarkEnd w:id="143"/>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44" w:name="_Toc20823300"/>
      <w:r/>
      <w:bookmarkStart w:id="145" w:name="_Toc16938544"/>
      <w:r/>
      <w:bookmarkStart w:id="146"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44"/>
      <w:r/>
      <w:bookmarkEnd w:id="145"/>
      <w:r/>
      <w:bookmarkEnd w:id="146"/>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b/>
          <w:bCs/>
          <w:sz w:val="32"/>
          <w:szCs w:val="32"/>
        </w:rPr>
        <w:outlineLvl w:val="2"/>
      </w:pPr>
      <w:r/>
      <w:bookmarkStart w:id="147" w:name="_Toc120614218"/>
      <w:r/>
      <w:bookmarkStart w:id="148" w:name="_Toc513029229"/>
      <w:r/>
      <w:bookmarkStart w:id="149" w:name="_Toc211265106"/>
      <w:r/>
      <w:bookmarkStart w:id="150" w:name="_Toc16938545"/>
      <w:r/>
      <w:bookmarkStart w:id="151" w:name="_Toc20823301"/>
      <w:r>
        <w:rPr>
          <w:rFonts w:hint="eastAsia"/>
          <w:b/>
          <w:bCs/>
          <w:sz w:val="32"/>
          <w:szCs w:val="32"/>
        </w:rPr>
        <w:t xml:space="preserve">五、响应文件的解密与评审</w:t>
      </w:r>
      <w:bookmarkEnd w:id="147"/>
      <w:r/>
      <w:bookmarkEnd w:id="148"/>
      <w:r/>
      <w:bookmarkEnd w:id="149"/>
      <w:r/>
      <w:bookmarkEnd w:id="150"/>
      <w:r/>
      <w:bookmarkEnd w:id="151"/>
      <w:r/>
      <w:r/>
    </w:p>
    <w:p>
      <w:pPr>
        <w:ind w:firstLine="420"/>
        <w:keepLines/>
        <w:keepNext/>
        <w:rPr>
          <w:rFonts w:ascii="Arial" w:hAnsi="Arial" w:eastAsia="黑体" w:cs="Arial"/>
          <w:sz w:val="28"/>
          <w:szCs w:val="28"/>
        </w:rPr>
        <w:outlineLvl w:val="3"/>
      </w:pPr>
      <w:r/>
      <w:bookmarkStart w:id="152" w:name="_Toc20823302"/>
      <w:r/>
      <w:bookmarkStart w:id="153" w:name="_Toc16938546"/>
      <w:r/>
      <w:bookmarkStart w:id="154"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响应文件解密</w:t>
      </w:r>
      <w:r/>
    </w:p>
    <w:p>
      <w:pPr>
        <w:ind w:firstLine="360"/>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系统规定的时间内对磋商响应文件进行解密。</w:t>
      </w:r>
      <w:r/>
    </w:p>
    <w:p>
      <w:pPr>
        <w:ind w:firstLine="420"/>
        <w:keepLines/>
        <w:keepNext/>
        <w:rPr>
          <w:rFonts w:ascii="Arial" w:hAnsi="Arial" w:eastAsia="黑体" w:cs="Arial"/>
          <w:sz w:val="28"/>
          <w:szCs w:val="28"/>
        </w:rPr>
        <w:outlineLvl w:val="3"/>
      </w:pPr>
      <w:r/>
      <w:bookmarkStart w:id="155" w:name="_Toc20823303"/>
      <w:r/>
      <w:bookmarkStart w:id="156" w:name="_Toc513029231"/>
      <w:r/>
      <w:bookmarkStart w:id="15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bookmarkEnd w:id="155"/>
      <w:bookmarkEnd w:id="156"/>
      <w:bookmarkEnd w:id="157"/>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keepLines/>
        <w:keepNext/>
        <w:rPr>
          <w:rFonts w:ascii="Arial" w:hAnsi="Arial" w:eastAsia="黑体" w:cs="Arial"/>
          <w:sz w:val="28"/>
          <w:szCs w:val="28"/>
        </w:rPr>
        <w:outlineLvl w:val="3"/>
      </w:pPr>
      <w:r/>
      <w:bookmarkStart w:id="158" w:name="_Toc20823304"/>
      <w:r/>
      <w:bookmarkStart w:id="159" w:name="_Toc513029232"/>
      <w:r/>
      <w:bookmarkStart w:id="160"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w:t>
      </w:r>
      <w:r>
        <w:rPr>
          <w:rFonts w:hint="eastAsia" w:ascii="Arial" w:hAnsi="Arial" w:eastAsia="黑体" w:cs="Arial"/>
          <w:sz w:val="28"/>
          <w:szCs w:val="28"/>
        </w:rPr>
        <w:t xml:space="preserve">的</w:t>
      </w:r>
      <w:r>
        <w:rPr>
          <w:rFonts w:hint="eastAsia" w:ascii="Arial" w:hAnsi="Arial" w:eastAsia="黑体" w:cs="Arial"/>
          <w:sz w:val="28"/>
          <w:szCs w:val="28"/>
        </w:rPr>
        <w:t xml:space="preserve">澄清</w:t>
      </w:r>
      <w:bookmarkEnd w:id="158"/>
      <w:r/>
      <w:bookmarkEnd w:id="159"/>
      <w:r/>
      <w:bookmarkEnd w:id="160"/>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61" w:name="_Toc20823305"/>
      <w:r/>
      <w:bookmarkStart w:id="162" w:name="_Toc16938549"/>
      <w:r/>
      <w:bookmarkStart w:id="163"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61"/>
      <w:r/>
      <w:bookmarkEnd w:id="162"/>
      <w:r/>
      <w:bookmarkEnd w:id="163"/>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bookmarkStart w:id="164" w:name="_Toc16938550"/>
      <w:r/>
      <w:bookmarkStart w:id="165" w:name="_Toc20823306"/>
      <w:r/>
      <w:bookmarkStart w:id="166" w:name="_Toc513029234"/>
      <w:r>
        <w:rPr>
          <w:rFonts w:hint="eastAsia" w:ascii="宋体" w:hAnsi="宋体"/>
          <w:sz w:val="24"/>
          <w:szCs w:val="21"/>
        </w:rPr>
        <w:t xml:space="preserve">25.6供应商在项目评审全过程中应保持通讯畅通，并安排专人与采购中心及磋商小组联系。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4"/>
      <w:r/>
      <w:bookmarkEnd w:id="165"/>
      <w:r/>
      <w:bookmarkEnd w:id="166"/>
      <w:r>
        <w:rPr>
          <w:rFonts w:hint="eastAsia" w:ascii="Arial" w:hAnsi="Arial" w:eastAsia="黑体" w:cs="Arial"/>
          <w:sz w:val="28"/>
          <w:szCs w:val="28"/>
        </w:rPr>
        <w:t xml:space="preserve">磋商程序及评审方法和评审标准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w:t>
      </w:r>
      <w:r>
        <w:rPr>
          <w:rFonts w:hint="eastAsia" w:ascii="宋体" w:hAnsi="宋体"/>
          <w:sz w:val="24"/>
          <w:szCs w:val="24"/>
        </w:rPr>
        <w:t xml:space="preserve">采云</w:t>
      </w:r>
      <w:r>
        <w:rPr>
          <w:rFonts w:hint="eastAsia" w:ascii="宋体" w:hAnsi="宋体"/>
          <w:sz w:val="24"/>
          <w:szCs w:val="24"/>
        </w:rPr>
        <w:t xml:space="preserve">系统向供应商发布“磋商函”，供应商应当按照要求在苏</w:t>
      </w:r>
      <w:r>
        <w:rPr>
          <w:rFonts w:hint="eastAsia" w:ascii="宋体" w:hAnsi="宋体"/>
          <w:sz w:val="24"/>
          <w:szCs w:val="24"/>
        </w:rPr>
        <w:t xml:space="preserve">采云</w:t>
      </w:r>
      <w:r>
        <w:rPr>
          <w:rFonts w:hint="eastAsia" w:ascii="宋体" w:hAnsi="宋体"/>
          <w:sz w:val="24"/>
          <w:szCs w:val="24"/>
        </w:rPr>
        <w:t xml:space="preserve">系统提交“磋商响应函”并加盖CA电子公章。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w:t>
      </w:r>
      <w:r>
        <w:rPr>
          <w:rFonts w:ascii="宋体" w:hAnsi="宋体"/>
          <w:sz w:val="24"/>
          <w:szCs w:val="24"/>
        </w:rPr>
        <w:t xml:space="preserve">的</w:t>
      </w:r>
      <w:r>
        <w:rPr>
          <w:rFonts w:ascii="宋体" w:hAnsi="宋体"/>
          <w:sz w:val="24"/>
          <w:szCs w:val="24"/>
        </w:rPr>
        <w:t xml:space="preserve">技术、服务要求的，磋商结束后，磋商小组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w:t>
      </w:r>
      <w:r>
        <w:rPr>
          <w:rFonts w:ascii="宋体" w:hAnsi="宋体"/>
          <w:sz w:val="24"/>
          <w:szCs w:val="24"/>
        </w:rPr>
        <w:t xml:space="preserve">报价。</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系统中向其发布“最后报价要求函”及最后报价格式表，要求其在规定时间内提交最后报价。</w:t>
      </w:r>
      <w:r/>
    </w:p>
    <w:p>
      <w:pPr>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26.1.3供应商未在磋商小组规定的时间内在苏</w:t>
      </w:r>
      <w:r>
        <w:rPr>
          <w:rFonts w:hint="eastAsia" w:ascii="宋体" w:hAnsi="宋体"/>
          <w:sz w:val="24"/>
          <w:szCs w:val="24"/>
        </w:rPr>
        <w:t xml:space="preserve">采云</w:t>
      </w:r>
      <w:r>
        <w:rPr>
          <w:rFonts w:hint="eastAsia" w:ascii="宋体" w:hAnsi="宋体"/>
          <w:sz w:val="24"/>
          <w:szCs w:val="24"/>
        </w:rPr>
        <w:t xml:space="preserve">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w:t>
      </w:r>
      <w:r>
        <w:rPr>
          <w:rFonts w:hint="eastAsia" w:ascii="宋体" w:hAnsi="宋体"/>
          <w:sz w:val="24"/>
          <w:szCs w:val="24"/>
        </w:rPr>
        <w:t xml:space="preserve">采云</w:t>
      </w:r>
      <w:r>
        <w:rPr>
          <w:rFonts w:hint="eastAsia" w:ascii="宋体" w:hAnsi="宋体"/>
          <w:sz w:val="24"/>
          <w:szCs w:val="24"/>
        </w:rPr>
        <w:t xml:space="preserve">系统中提交“退出磋商函”并加盖CA电子公章</w:t>
      </w:r>
      <w:r>
        <w:rPr>
          <w:rFonts w:ascii="宋体" w:hAnsi="宋体"/>
          <w:sz w:val="24"/>
          <w:szCs w:val="24"/>
        </w:rPr>
        <w:t xml:space="preserve">。</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 异常低价响应审查</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26.1.4.1 供应</w:t>
      </w:r>
      <w:r>
        <w:rPr>
          <w:rFonts w:hint="eastAsia" w:ascii="宋体" w:hAnsi="宋体"/>
          <w:sz w:val="24"/>
          <w:szCs w:val="24"/>
        </w:rPr>
        <w:t xml:space="preserve">商最后</w:t>
      </w:r>
      <w:r>
        <w:rPr>
          <w:rFonts w:hint="eastAsia" w:ascii="宋体" w:hAnsi="宋体"/>
          <w:sz w:val="24"/>
          <w:szCs w:val="24"/>
        </w:rPr>
        <w:t xml:space="preserve">报价出现下列情形之一的，磋商小组应当启动异常低价响应审查程序：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（1）供应</w:t>
      </w:r>
      <w:r>
        <w:rPr>
          <w:rFonts w:hint="eastAsia" w:ascii="宋体" w:hAnsi="宋体"/>
          <w:sz w:val="24"/>
          <w:szCs w:val="24"/>
        </w:rPr>
        <w:t xml:space="preserve">商最后</w:t>
      </w:r>
      <w:r>
        <w:rPr>
          <w:rFonts w:hint="eastAsia" w:ascii="宋体" w:hAnsi="宋体"/>
          <w:sz w:val="24"/>
          <w:szCs w:val="24"/>
        </w:rPr>
        <w:t xml:space="preserve">报价低于采购项目预算50%的，即最后报价＜采购项目预算×50%；</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（2）响应报价低于采购项目最高限价45%的，即响应报价＜采购项目最高限价×45%；</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（3）磋商小组认定的供应</w:t>
      </w:r>
      <w:r>
        <w:rPr>
          <w:rFonts w:hint="eastAsia" w:ascii="宋体" w:hAnsi="宋体"/>
          <w:sz w:val="24"/>
          <w:szCs w:val="24"/>
        </w:rPr>
        <w:t xml:space="preserve">商最后</w:t>
      </w:r>
      <w:r>
        <w:rPr>
          <w:rFonts w:hint="eastAsia" w:ascii="宋体" w:hAnsi="宋体"/>
          <w:sz w:val="24"/>
          <w:szCs w:val="24"/>
        </w:rPr>
        <w:t xml:space="preserve">报价过低、有可能影响产品质量或者不能诚信履约的其他情形。</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26.1.4.2启动异常低价响应审查后，磋商小组应当要求相关供应商在评审现场合理的时间内，提供项目具体成本测算等与报价合理性相关的书面说明材料及相关证明材料，对最后报价</w:t>
      </w:r>
      <w:r>
        <w:rPr>
          <w:rFonts w:hint="eastAsia" w:ascii="宋体" w:hAnsi="宋体"/>
          <w:sz w:val="24"/>
          <w:szCs w:val="24"/>
        </w:rPr>
        <w:t xml:space="preserve">作出</w:t>
      </w:r>
      <w:r>
        <w:rPr>
          <w:rFonts w:hint="eastAsia" w:ascii="宋体" w:hAnsi="宋体"/>
          <w:sz w:val="24"/>
          <w:szCs w:val="24"/>
        </w:rPr>
        <w:t xml:space="preserve">解释，由磋商小组结合同类产品在主要电</w:t>
      </w:r>
      <w:r>
        <w:rPr>
          <w:rFonts w:hint="eastAsia" w:ascii="宋体" w:hAnsi="宋体"/>
          <w:sz w:val="24"/>
          <w:szCs w:val="24"/>
        </w:rPr>
        <w:t xml:space="preserve">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b/>
          <w:bCs/>
          <w:sz w:val="32"/>
          <w:szCs w:val="32"/>
        </w:rPr>
        <w:outlineLvl w:val="2"/>
      </w:pPr>
      <w:r/>
      <w:bookmarkStart w:id="167" w:name="_Toc120614219"/>
      <w:r/>
      <w:bookmarkStart w:id="168" w:name="_Toc513029235"/>
      <w:r/>
      <w:bookmarkStart w:id="169" w:name="_Toc20823307"/>
      <w:r/>
      <w:bookmarkStart w:id="170" w:name="_Toc16938551"/>
      <w:r/>
      <w:bookmarkStart w:id="171" w:name="_Toc211265107"/>
      <w:r>
        <w:rPr>
          <w:rFonts w:hint="eastAsia"/>
          <w:b/>
          <w:bCs/>
          <w:sz w:val="32"/>
          <w:szCs w:val="32"/>
        </w:rPr>
        <w:t xml:space="preserve">六、</w:t>
      </w:r>
      <w:bookmarkEnd w:id="167"/>
      <w:r/>
      <w:bookmarkEnd w:id="168"/>
      <w:r/>
      <w:bookmarkEnd w:id="169"/>
      <w:r/>
      <w:bookmarkEnd w:id="170"/>
      <w:r>
        <w:rPr>
          <w:rFonts w:hint="eastAsia"/>
          <w:b/>
          <w:bCs/>
          <w:sz w:val="32"/>
          <w:szCs w:val="32"/>
        </w:rPr>
        <w:t xml:space="preserve">成交</w:t>
      </w:r>
      <w:bookmarkEnd w:id="171"/>
      <w:r/>
      <w:r/>
    </w:p>
    <w:p>
      <w:pPr>
        <w:ind w:firstLine="600"/>
        <w:keepLines/>
        <w:keepNext/>
        <w:rPr>
          <w:rFonts w:hint="eastAsia" w:ascii="黑体" w:hAnsi="宋体" w:eastAsia="黑体"/>
          <w:bCs/>
          <w:sz w:val="30"/>
          <w:szCs w:val="30"/>
        </w:rPr>
        <w:outlineLvl w:val="3"/>
      </w:pPr>
      <w:r/>
      <w:bookmarkStart w:id="172" w:name="_Toc513029238"/>
      <w:r/>
      <w:bookmarkStart w:id="173" w:name="_Toc16938554"/>
      <w:r/>
      <w:bookmarkStart w:id="174"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2"/>
      <w:r>
        <w:rPr>
          <w:rFonts w:hint="eastAsia" w:ascii="黑体" w:hAnsi="宋体" w:eastAsia="黑体"/>
          <w:bCs/>
          <w:sz w:val="30"/>
          <w:szCs w:val="30"/>
        </w:rPr>
        <w:t xml:space="preserve">确定</w:t>
      </w:r>
      <w:bookmarkEnd w:id="173"/>
      <w:r/>
      <w:bookmarkEnd w:id="174"/>
      <w:r>
        <w:rPr>
          <w:rFonts w:hint="eastAsia" w:ascii="黑体" w:hAnsi="宋体" w:eastAsia="黑体"/>
          <w:bCs/>
          <w:sz w:val="30"/>
          <w:szCs w:val="30"/>
        </w:rPr>
        <w:t xml:space="preserve">成交单位</w:t>
      </w:r>
      <w:r/>
    </w:p>
    <w:p>
      <w:pPr>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w:t>
      </w:r>
      <w:r>
        <w:rPr>
          <w:rFonts w:hint="eastAsia" w:ascii="宋体" w:hAnsi="宋体"/>
          <w:sz w:val="24"/>
          <w:szCs w:val="21"/>
        </w:rPr>
        <w:t xml:space="preserve">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hint="eastAsia" w:ascii="黑体" w:hAnsi="宋体" w:eastAsia="黑体"/>
          <w:bCs/>
          <w:sz w:val="30"/>
          <w:szCs w:val="30"/>
        </w:rPr>
        <w:outlineLvl w:val="3"/>
      </w:pPr>
      <w:r/>
      <w:bookmarkStart w:id="175"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5"/>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b/>
          <w:bCs/>
          <w:sz w:val="32"/>
          <w:szCs w:val="32"/>
        </w:rPr>
        <w:outlineLvl w:val="2"/>
      </w:pPr>
      <w:r/>
      <w:bookmarkStart w:id="176" w:name="_Toc120614220"/>
      <w:r/>
      <w:bookmarkStart w:id="177" w:name="_Toc211265108"/>
      <w:r/>
      <w:bookmarkStart w:id="178" w:name="_Toc20823308"/>
      <w:r/>
      <w:bookmarkStart w:id="179" w:name="_Toc16938552"/>
      <w:r/>
      <w:bookmarkStart w:id="180" w:name="_Toc513029236"/>
      <w:r>
        <w:rPr>
          <w:rFonts w:hint="eastAsia"/>
          <w:b/>
          <w:bCs/>
          <w:sz w:val="32"/>
          <w:szCs w:val="32"/>
        </w:rPr>
        <w:t xml:space="preserve">七、授予合同</w:t>
      </w:r>
      <w:bookmarkEnd w:id="176"/>
      <w:r/>
      <w:bookmarkEnd w:id="177"/>
      <w:r/>
      <w:r/>
    </w:p>
    <w:p>
      <w:pPr>
        <w:ind w:firstLine="600"/>
        <w:keepLines/>
        <w:keepNext/>
        <w:rPr>
          <w:rFonts w:hint="eastAsia" w:ascii="黑体" w:hAnsi="宋体" w:eastAsia="黑体"/>
          <w:bCs/>
          <w:sz w:val="30"/>
          <w:szCs w:val="30"/>
        </w:rPr>
        <w:outlineLvl w:val="3"/>
      </w:pPr>
      <w:r/>
      <w:bookmarkStart w:id="181" w:name="_Toc16938553"/>
      <w:r/>
      <w:bookmarkStart w:id="182" w:name="_Toc20823309"/>
      <w:r/>
      <w:bookmarkStart w:id="183" w:name="_Toc513029237"/>
      <w:r/>
      <w:bookmarkEnd w:id="178"/>
      <w:r/>
      <w:bookmarkEnd w:id="179"/>
      <w:r/>
      <w:bookmarkEnd w:id="180"/>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bookmarkEnd w:id="182"/>
      <w:bookmarkEnd w:id="183"/>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555"/>
        <w:spacing w:line="500" w:lineRule="exact"/>
        <w:rPr>
          <w:rFonts w:hint="eastAsia" w:ascii="宋体" w:hAnsi="宋体"/>
          <w:bCs/>
          <w:sz w:val="24"/>
          <w:szCs w:val="24"/>
        </w:rPr>
      </w:pPr>
      <w:r>
        <w:rPr>
          <w:rFonts w:hint="eastAsia" w:ascii="宋体" w:hAnsi="宋体"/>
          <w:bCs/>
          <w:sz w:val="24"/>
          <w:szCs w:val="24"/>
        </w:rPr>
      </w:r>
      <w:r/>
    </w:p>
    <w:p>
      <w:pPr>
        <w:ind w:firstLine="420"/>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br w:type="page" w:clear="all"/>
      </w:r>
      <w:r/>
    </w:p>
    <w:p>
      <w:pPr>
        <w:ind w:firstLine="2640"/>
        <w:keepNext/>
        <w:rPr>
          <w:rFonts w:ascii="黑体" w:eastAsia="黑体"/>
          <w:bCs/>
          <w:sz w:val="44"/>
          <w:szCs w:val="28"/>
        </w:rPr>
        <w:outlineLvl w:val="0"/>
      </w:pPr>
      <w:r/>
      <w:bookmarkStart w:id="184" w:name="_Toc211265109"/>
      <w:r>
        <w:rPr>
          <w:rFonts w:hint="eastAsia" w:ascii="黑体" w:eastAsia="黑体"/>
          <w:bCs/>
          <w:sz w:val="44"/>
          <w:szCs w:val="28"/>
        </w:rPr>
        <w:t xml:space="preserve">第三章合同</w:t>
      </w:r>
      <w:bookmarkEnd w:id="61"/>
      <w:r/>
      <w:bookmarkEnd w:id="62"/>
      <w:r/>
      <w:bookmarkEnd w:id="63"/>
      <w:r/>
      <w:bookmarkEnd w:id="64"/>
      <w:r/>
      <w:bookmarkEnd w:id="65"/>
      <w:r>
        <w:rPr>
          <w:rFonts w:hint="eastAsia" w:ascii="黑体" w:eastAsia="黑体"/>
          <w:bCs/>
          <w:sz w:val="44"/>
          <w:szCs w:val="28"/>
        </w:rPr>
        <w:t xml:space="preserve">文本</w:t>
      </w:r>
      <w:bookmarkStart w:id="185" w:name="_Toc16938559"/>
      <w:r/>
      <w:bookmarkStart w:id="186" w:name="_Toc513029243"/>
      <w:r/>
      <w:bookmarkStart w:id="187" w:name="_Toc20823315"/>
      <w:r/>
      <w:bookmarkEnd w:id="184"/>
      <w:r/>
      <w:r/>
    </w:p>
    <w:p>
      <w:pPr>
        <w:ind w:firstLine="361"/>
        <w:jc w:val="center"/>
        <w:keepLines/>
        <w:keepNext/>
        <w:spacing w:before="156" w:after="156" w:line="360" w:lineRule="auto"/>
        <w:rPr>
          <w:rFonts w:hint="eastAsia" w:ascii="宋体" w:hAnsi="宋体"/>
          <w:b/>
          <w:sz w:val="24"/>
          <w:szCs w:val="24"/>
        </w:rPr>
        <w:outlineLvl w:val="2"/>
      </w:pPr>
      <w:r/>
      <w:bookmarkStart w:id="188" w:name="_Toc211265110"/>
      <w:r>
        <w:rPr>
          <w:rFonts w:hint="eastAsia" w:ascii="宋体" w:hAnsi="宋体"/>
          <w:b/>
          <w:sz w:val="24"/>
          <w:szCs w:val="24"/>
        </w:rPr>
        <w:t xml:space="preserve">江苏省政府采购合同（合同编号）（适用于服务类项目）</w:t>
      </w:r>
      <w:bookmarkEnd w:id="188"/>
      <w:r/>
      <w:r/>
    </w:p>
    <w:p>
      <w:pPr>
        <w:spacing w:before="120" w:after="120"/>
        <w:rPr>
          <w:rFonts w:hint="eastAsia" w:ascii="宋体" w:hAnsi="宋体" w:cs="Courier New"/>
          <w:sz w:val="24"/>
          <w:szCs w:val="24"/>
        </w:rPr>
      </w:pPr>
      <w:r>
        <w:rPr>
          <w:rFonts w:ascii="宋体" w:hAnsi="宋体" w:cs="Courier New"/>
          <w:sz w:val="24"/>
          <w:szCs w:val="24"/>
        </w:rPr>
        <w:t xml:space="preserve">项目名称：****</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3.2没有甲方事先书面同意，乙方不得将由甲方提供的有关合同或任何合同条文、规格、计划、图纸、样品或资料提供给与履行本合同无关的任何其他人。即使</w:t>
      </w:r>
      <w:r>
        <w:rPr>
          <w:rFonts w:ascii="宋体" w:hAnsi="宋体" w:cs="Courier New"/>
          <w:sz w:val="24"/>
          <w:szCs w:val="24"/>
        </w:rPr>
        <w:t xml:space="preserve">向履行</w:t>
      </w:r>
      <w:r>
        <w:rPr>
          <w:rFonts w:ascii="宋体" w:hAnsi="宋体" w:cs="Courier New"/>
          <w:sz w:val="24"/>
          <w:szCs w:val="24"/>
        </w:rPr>
        <w:t xml:space="preserve">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5.1乙方保证所交付的</w:t>
      </w:r>
      <w:r>
        <w:rPr>
          <w:rFonts w:hint="eastAsia" w:ascii="宋体" w:hAnsi="宋体" w:cs="Courier New"/>
          <w:sz w:val="24"/>
          <w:szCs w:val="24"/>
        </w:rPr>
        <w:t xml:space="preserve">合同标的</w:t>
      </w:r>
      <w:r>
        <w:rPr>
          <w:rFonts w:ascii="宋体" w:hAnsi="宋体" w:cs="Courier New"/>
          <w:sz w:val="24"/>
          <w:szCs w:val="24"/>
        </w:rPr>
        <w:t xml:space="preserve">的</w:t>
      </w:r>
      <w:r>
        <w:rPr>
          <w:rFonts w:ascii="宋体" w:hAnsi="宋体" w:cs="Courier New"/>
          <w:sz w:val="24"/>
          <w:szCs w:val="24"/>
        </w:rPr>
        <w:t xml:space="preserve">所有权完全属于</w:t>
      </w:r>
      <w:r>
        <w:rPr>
          <w:rFonts w:ascii="宋体" w:hAnsi="宋体" w:cs="Courier New"/>
          <w:sz w:val="24"/>
          <w:szCs w:val="24"/>
        </w:rPr>
        <w:t xml:space="preserve">乙方且</w:t>
      </w:r>
      <w:r>
        <w:rPr>
          <w:rFonts w:ascii="宋体" w:hAnsi="宋体" w:cs="Courier New"/>
          <w:sz w:val="24"/>
          <w:szCs w:val="24"/>
        </w:rPr>
        <w:t xml:space="preserve">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6.1乙方交纳人民币_________元作为本合同的履约保证金。</w:t>
      </w:r>
      <w:r>
        <w:rPr>
          <w:rFonts w:hint="eastAsia" w:ascii="宋体" w:hAnsi="宋体" w:cs="Courier New"/>
          <w:sz w:val="24"/>
          <w:szCs w:val="24"/>
        </w:rPr>
        <w:t xml:space="preserve">（不得超过合同金</w:t>
      </w:r>
      <w:r>
        <w:rPr>
          <w:rFonts w:hint="eastAsia" w:ascii="宋体" w:hAnsi="宋体" w:cs="Courier New"/>
          <w:sz w:val="24"/>
          <w:szCs w:val="24"/>
        </w:rPr>
        <w:t xml:space="preserve">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.1.1预付款支付时间：合同签订后，在采购人收到发票后</w:t>
      </w:r>
      <w:r>
        <w:rPr>
          <w:rFonts w:ascii="宋体" w:hAnsi="宋体"/>
          <w:color w:val="000000"/>
          <w:sz w:val="24"/>
          <w:szCs w:val="24"/>
        </w:rPr>
        <w:t xml:space="preserve">20</w:t>
      </w:r>
      <w:r>
        <w:rPr>
          <w:rFonts w:hint="eastAsia" w:ascii="宋体" w:hAnsi="宋体"/>
          <w:color w:val="000000"/>
          <w:sz w:val="24"/>
          <w:szCs w:val="24"/>
        </w:rPr>
        <w:t xml:space="preserve">日内，预付款支付比例：合同金额的50%。</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.1.2尾款支付时间：通过采购人组织验后，在采购人收到发票后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0日内，支付剩余款项。</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10.4如有必要，甲方邀请参加本项目的其他供应商或第三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w:t>
      </w:r>
      <w:r>
        <w:rPr>
          <w:rFonts w:hint="eastAsia" w:ascii="宋体" w:hAnsi="宋体" w:cs="Courier New"/>
          <w:sz w:val="24"/>
          <w:szCs w:val="24"/>
        </w:rPr>
        <w:t xml:space="preserve">验收书</w:t>
      </w:r>
      <w:r>
        <w:rPr>
          <w:rFonts w:hint="eastAsia" w:ascii="宋体" w:hAnsi="宋体" w:cs="Courier New"/>
          <w:sz w:val="24"/>
          <w:szCs w:val="24"/>
        </w:rPr>
        <w:t xml:space="preserve">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w:t>
      </w:r>
      <w:r>
        <w:rPr>
          <w:rFonts w:hint="eastAsia" w:ascii="宋体" w:hAnsi="宋体" w:cs="Courier New"/>
          <w:sz w:val="24"/>
          <w:szCs w:val="24"/>
        </w:rPr>
        <w:t xml:space="preserve">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.3乙方逾期</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的违约金，如造成甲方损失超过违约金的，超出部分由乙方继续承担赔偿责任。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.4乙方</w:t>
      </w:r>
      <w:r>
        <w:rPr>
          <w:rFonts w:hint="eastAsia" w:ascii="宋体" w:hAnsi="宋体" w:cs="Courier New"/>
          <w:sz w:val="24"/>
          <w:szCs w:val="24"/>
        </w:rPr>
        <w:t xml:space="preserve">交付合同标的</w:t>
      </w:r>
      <w:r>
        <w:rPr>
          <w:rFonts w:hint="eastAsia" w:ascii="宋体" w:hAnsi="宋体" w:cs="Courier New"/>
          <w:sz w:val="24"/>
          <w:szCs w:val="24"/>
        </w:rPr>
        <w:t xml:space="preserve">的</w:t>
      </w:r>
      <w:r>
        <w:rPr>
          <w:rFonts w:hint="eastAsia" w:ascii="宋体" w:hAnsi="宋体" w:cs="Courier New"/>
          <w:sz w:val="24"/>
          <w:szCs w:val="24"/>
        </w:rPr>
        <w:t xml:space="preserve">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.1在合同有效期内，任何一方因不可抗力事件导致不能履行合同，则合同履行期可延长，其延长期与不可抗力影响期相同。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13.1合同经双方法定代表人或授权委托代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甲方：乙方：</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地址：地址：</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联系电话：联系电话：</w:t>
      </w:r>
      <w:r/>
    </w:p>
    <w:p>
      <w:pPr>
        <w:ind w:firstLine="480"/>
        <w:jc w:val="right"/>
        <w:spacing w:line="500" w:lineRule="exact"/>
        <w:rPr>
          <w:sz w:val="24"/>
          <w:szCs w:val="24"/>
        </w:rPr>
      </w:pPr>
      <w:r>
        <w:rPr>
          <w:sz w:val="24"/>
          <w:szCs w:val="24"/>
        </w:rPr>
        <w:t xml:space="preserve">签订日期：年月日</w:t>
      </w:r>
      <w:r/>
    </w:p>
    <w:p>
      <w:pPr>
        <w:ind w:firstLine="2640"/>
        <w:keepNext/>
        <w:rPr>
          <w:rFonts w:ascii="黑体" w:hAnsi="Courier New" w:eastAsia="黑体" w:cs="Courier New"/>
          <w:bCs/>
          <w:sz w:val="44"/>
          <w:szCs w:val="21"/>
        </w:rPr>
        <w:outlineLvl w:val="0"/>
      </w:pPr>
      <w:r/>
      <w:bookmarkStart w:id="189" w:name="_Hlt16619369"/>
      <w:r/>
      <w:bookmarkStart w:id="190" w:name="_Hlt16619350"/>
      <w:r/>
      <w:bookmarkStart w:id="191" w:name="_Toc211265111"/>
      <w:r/>
      <w:bookmarkStart w:id="192" w:name="_Toc120614244"/>
      <w:r/>
      <w:bookmarkStart w:id="193" w:name="_Toc20823346"/>
      <w:r/>
      <w:bookmarkStart w:id="194" w:name="_Toc16938590"/>
      <w:r/>
      <w:bookmarkEnd w:id="185"/>
      <w:r/>
      <w:bookmarkEnd w:id="186"/>
      <w:r/>
      <w:bookmarkEnd w:id="187"/>
      <w:r/>
      <w:bookmarkEnd w:id="189"/>
      <w:r>
        <w:rPr>
          <w:rFonts w:hint="eastAsia" w:ascii="黑体" w:hAnsi="Courier New" w:eastAsia="黑体" w:cs="Courier New"/>
          <w:bCs/>
          <w:sz w:val="44"/>
          <w:szCs w:val="21"/>
        </w:rPr>
        <w:t xml:space="preserve">第</w:t>
      </w:r>
      <w:bookmarkEnd w:id="190"/>
      <w:r>
        <w:rPr>
          <w:rFonts w:hint="eastAsia" w:ascii="黑体" w:hAnsi="Courier New" w:eastAsia="黑体" w:cs="Courier New"/>
          <w:bCs/>
          <w:sz w:val="44"/>
          <w:szCs w:val="21"/>
        </w:rPr>
        <w:t xml:space="preserve">四章采购需求</w:t>
      </w:r>
      <w:bookmarkStart w:id="195" w:name="_Toc49090575"/>
      <w:r/>
      <w:bookmarkStart w:id="196" w:name="_Toc26554093"/>
      <w:r/>
      <w:bookmarkEnd w:id="191"/>
      <w:r/>
      <w:bookmarkEnd w:id="192"/>
      <w:r/>
      <w:bookmarkEnd w:id="193"/>
      <w:r/>
      <w:bookmarkEnd w:id="194"/>
      <w:r/>
      <w:r/>
    </w:p>
    <w:p>
      <w:pPr>
        <w:ind w:firstLine="361"/>
        <w:keepLines/>
        <w:keepNext/>
        <w:spacing w:before="156" w:after="156" w:line="360" w:lineRule="auto"/>
        <w:rPr>
          <w:rFonts w:hint="eastAsia" w:ascii="宋体" w:hAnsi="宋体"/>
          <w:b/>
          <w:sz w:val="24"/>
          <w:szCs w:val="24"/>
        </w:rPr>
        <w:outlineLvl w:val="2"/>
      </w:pPr>
      <w:r/>
      <w:bookmarkStart w:id="197" w:name="_Toc211265112"/>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bookmarkEnd w:id="197"/>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7"/>
        <w:gridCol w:w="2376"/>
        <w:gridCol w:w="2852"/>
      </w:tblGrid>
      <w:tr>
        <w:trPr>
          <w:cantSplit/>
          <w:jc w:val="center"/>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376" w:type="dxa"/>
            <w:vAlign w:val="center"/>
            <w:textDirection w:val="lrTb"/>
            <w:noWrap w:val="false"/>
          </w:tcPr>
          <w:p>
            <w:pPr>
              <w:jc w:val="center"/>
              <w:spacing w:line="0" w:lineRule="atLeast"/>
              <w:tabs>
                <w:tab w:val="left" w:pos="2020" w:leader="none"/>
              </w:tabs>
              <w:rPr>
                <w:rFonts w:hint="eastAsia" w:ascii="宋体" w:hAnsi="宋体" w:cs="宋体"/>
                <w:sz w:val="24"/>
                <w:szCs w:val="24"/>
              </w:rPr>
            </w:pPr>
            <w:r>
              <w:rPr>
                <w:rFonts w:hint="eastAsia" w:ascii="宋体" w:hAnsi="宋体" w:cs="宋体"/>
                <w:sz w:val="24"/>
                <w:szCs w:val="24"/>
              </w:rPr>
              <w:t xml:space="preserve">综合运输管理提升</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软件和信息技术服务业</w:t>
            </w:r>
            <w:r/>
          </w:p>
        </w:tc>
      </w:tr>
      <w:tr>
        <w:trPr>
          <w:cantSplit/>
          <w:jc w:val="center"/>
          <w:trHeight w:val="291"/>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3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危货运输监管提升</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软件和信息技术服务业</w:t>
            </w:r>
            <w:r/>
          </w:p>
        </w:tc>
      </w:tr>
    </w:tbl>
    <w:p>
      <w:pPr>
        <w:ind w:firstLine="361"/>
        <w:keepLines/>
        <w:keepNext/>
        <w:spacing w:before="156" w:after="156" w:line="360" w:lineRule="auto"/>
        <w:rPr>
          <w:rFonts w:hint="eastAsia" w:ascii="宋体" w:hAnsi="宋体"/>
          <w:b/>
          <w:sz w:val="24"/>
          <w:szCs w:val="24"/>
        </w:rPr>
        <w:outlineLvl w:val="2"/>
      </w:pPr>
      <w:r/>
      <w:bookmarkStart w:id="198" w:name="_Toc211265113"/>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采购服务内容</w:t>
      </w:r>
      <w:bookmarkEnd w:id="198"/>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采购包1</w:t>
      </w:r>
      <w:r>
        <w:rPr>
          <w:rFonts w:ascii="宋体" w:hAnsi="宋体"/>
          <w:b/>
          <w:bCs/>
          <w:sz w:val="24"/>
          <w:szCs w:val="24"/>
        </w:rPr>
        <w:t xml:space="preserve">：</w:t>
      </w:r>
      <w:r>
        <w:rPr>
          <w:rFonts w:hint="eastAsia" w:ascii="宋体" w:hAnsi="宋体"/>
          <w:b/>
          <w:bCs/>
          <w:sz w:val="24"/>
          <w:szCs w:val="24"/>
        </w:rPr>
        <w:t xml:space="preserve">综合运输管理提升</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(一）建设背景</w:t>
      </w:r>
      <w:r/>
    </w:p>
    <w:p>
      <w:pPr>
        <w:ind w:firstLine="480"/>
        <w:spacing w:line="360" w:lineRule="auto"/>
        <w:rPr>
          <w:rFonts w:hint="eastAsia" w:ascii="宋体" w:hAnsi="宋体"/>
          <w:sz w:val="24"/>
          <w:szCs w:val="24"/>
        </w:rPr>
      </w:pPr>
      <w:r>
        <w:rPr>
          <w:rFonts w:hint="eastAsia" w:ascii="宋体" w:hAnsi="宋体"/>
          <w:sz w:val="24"/>
          <w:szCs w:val="24"/>
        </w:rPr>
        <w:t xml:space="preserve">根据《国务院关于印发〈推动大规模设备更新和消费品以旧换新行动方案〉的通知》（国发〔2024〕7号）、《交通运输部等十三部门关于印发〈交通运输大规模设备更新行动方案〉的通知》（</w:t>
      </w:r>
      <w:r>
        <w:rPr>
          <w:rFonts w:hint="eastAsia" w:ascii="宋体" w:hAnsi="宋体"/>
          <w:sz w:val="24"/>
          <w:szCs w:val="24"/>
        </w:rPr>
        <w:t xml:space="preserve">交规划发</w:t>
      </w:r>
      <w:r>
        <w:rPr>
          <w:rFonts w:hint="eastAsia" w:ascii="宋体" w:hAnsi="宋体"/>
          <w:sz w:val="24"/>
          <w:szCs w:val="24"/>
        </w:rPr>
        <w:t xml:space="preserve">〔2024〕62号）、《省政府关于印发江苏省推动大规模设备更新和消费品以旧换新行动方案的通知》（苏政发〔2024〕41号）、《省交通运输厅等七部门关于印发江苏省推动交通运输领域大规模设备更新实施方案的通知》（</w:t>
      </w:r>
      <w:r>
        <w:rPr>
          <w:rFonts w:hint="eastAsia" w:ascii="宋体" w:hAnsi="宋体"/>
          <w:sz w:val="24"/>
          <w:szCs w:val="24"/>
        </w:rPr>
        <w:t xml:space="preserve">苏交计</w:t>
      </w:r>
      <w:r>
        <w:rPr>
          <w:rFonts w:hint="eastAsia" w:ascii="宋体" w:hAnsi="宋体"/>
          <w:sz w:val="24"/>
          <w:szCs w:val="24"/>
        </w:rPr>
        <w:t xml:space="preserve">〔2024〕38号）和省交通运输厅</w:t>
      </w:r>
      <w:r>
        <w:rPr>
          <w:rFonts w:hint="eastAsia" w:ascii="宋体" w:hAnsi="宋体"/>
          <w:sz w:val="24"/>
          <w:szCs w:val="24"/>
        </w:rPr>
        <w:t xml:space="preserve">《</w:t>
      </w:r>
      <w:r>
        <w:rPr>
          <w:rFonts w:hint="eastAsia" w:ascii="宋体" w:hAnsi="宋体"/>
          <w:sz w:val="24"/>
          <w:szCs w:val="24"/>
        </w:rPr>
        <w:t xml:space="preserve">关于印发</w:t>
      </w:r>
      <w:r>
        <w:rPr>
          <w:rFonts w:hint="eastAsia" w:ascii="宋体" w:hAnsi="宋体"/>
          <w:sz w:val="24"/>
          <w:szCs w:val="24"/>
        </w:rPr>
        <w:t xml:space="preserve">《</w:t>
      </w:r>
      <w:r>
        <w:rPr>
          <w:rFonts w:hint="eastAsia" w:ascii="宋体" w:hAnsi="宋体"/>
          <w:sz w:val="24"/>
          <w:szCs w:val="24"/>
        </w:rPr>
        <w:t xml:space="preserve">江苏省“交运贷”财政贴息实施方案</w:t>
      </w:r>
      <w:r>
        <w:rPr>
          <w:rFonts w:hint="eastAsia" w:ascii="宋体" w:hAnsi="宋体"/>
          <w:sz w:val="24"/>
          <w:szCs w:val="24"/>
        </w:rPr>
        <w:t xml:space="preserve">》</w:t>
      </w:r>
      <w:r>
        <w:rPr>
          <w:rFonts w:hint="eastAsia" w:ascii="宋体" w:hAnsi="宋体"/>
          <w:sz w:val="24"/>
          <w:szCs w:val="24"/>
        </w:rPr>
        <w:t xml:space="preserve">的通知</w:t>
      </w:r>
      <w:r>
        <w:rPr>
          <w:rFonts w:hint="eastAsia" w:ascii="宋体" w:hAnsi="宋体"/>
          <w:sz w:val="24"/>
          <w:szCs w:val="24"/>
        </w:rPr>
        <w:t xml:space="preserve">》</w:t>
      </w:r>
      <w:r>
        <w:rPr>
          <w:rFonts w:hint="eastAsia" w:ascii="宋体" w:hAnsi="宋体"/>
          <w:sz w:val="24"/>
          <w:szCs w:val="24"/>
        </w:rPr>
        <w:t xml:space="preserve">等相关文件要求，为贯彻落实党中央、国务院和我省关于推动大规模设备更新和有效降低全社会物流成本的部署，加速行业绿色转型与效率提升，对交通运输领域大规模设备更新和交通物流降本提质增效重点领域中长期贷款（以下称“交运贷”）给予财政贴息。对申请“交运贷”的项目实施项目储备清单管理，并对符合贴息范围和条件的项目进行项目和贷款需求登记申报，同时实现项目储备清单动态管理。</w:t>
      </w:r>
      <w:r/>
    </w:p>
    <w:p>
      <w:pPr>
        <w:ind w:firstLine="480"/>
        <w:spacing w:line="360" w:lineRule="auto"/>
        <w:rPr>
          <w:rFonts w:hint="eastAsia" w:ascii="宋体" w:hAnsi="宋体"/>
          <w:sz w:val="24"/>
          <w:szCs w:val="24"/>
        </w:rPr>
      </w:pPr>
      <w:r>
        <w:rPr>
          <w:rFonts w:hint="eastAsia" w:ascii="宋体" w:hAnsi="宋体"/>
          <w:sz w:val="24"/>
          <w:szCs w:val="24"/>
        </w:rPr>
        <w:t xml:space="preserve">目前我省交通运输总体安全形势良好，但安全形势依然严峻复杂，管理对象分布范围广，数量大。截止近期，我省道路运输</w:t>
      </w:r>
      <w:r>
        <w:rPr>
          <w:rFonts w:hint="eastAsia" w:ascii="宋体" w:hAnsi="宋体"/>
          <w:sz w:val="24"/>
          <w:szCs w:val="24"/>
        </w:rPr>
        <w:t xml:space="preserve">安全码已对</w:t>
      </w:r>
      <w:r>
        <w:rPr>
          <w:rFonts w:hint="eastAsia" w:ascii="宋体" w:hAnsi="宋体"/>
          <w:sz w:val="24"/>
          <w:szCs w:val="24"/>
        </w:rPr>
        <w:t xml:space="preserve">省内“两客</w:t>
      </w:r>
      <w:r>
        <w:rPr>
          <w:rFonts w:hint="eastAsia" w:ascii="宋体" w:hAnsi="宋体"/>
          <w:sz w:val="24"/>
          <w:szCs w:val="24"/>
        </w:rPr>
        <w:t xml:space="preserve">一</w:t>
      </w:r>
      <w:r>
        <w:rPr>
          <w:rFonts w:hint="eastAsia" w:ascii="宋体" w:hAnsi="宋体"/>
          <w:sz w:val="24"/>
          <w:szCs w:val="24"/>
        </w:rPr>
        <w:t xml:space="preserve">危”重点运输企业1300多家，运输车辆5.5万辆，从业人员5万实现了全面赋码，并对外省2.5万辆运输车辆和2.2万从业人员实现了赋码。根据交通部关于印发《“两客一危”车辆动态监控预警预防能力提升行动工作方案》的通知相关要求，升级改造系统，</w:t>
      </w:r>
      <w:r>
        <w:rPr>
          <w:rFonts w:hint="eastAsia" w:ascii="宋体" w:hAnsi="宋体"/>
          <w:sz w:val="24"/>
          <w:szCs w:val="24"/>
        </w:rPr>
        <w:t xml:space="preserve">实现部</w:t>
      </w:r>
      <w:r>
        <w:rPr>
          <w:rFonts w:hint="eastAsia" w:ascii="宋体" w:hAnsi="宋体"/>
          <w:sz w:val="24"/>
          <w:szCs w:val="24"/>
        </w:rPr>
        <w:t xml:space="preserve">省赋码规则共享、赋</w:t>
      </w:r>
      <w:r>
        <w:rPr>
          <w:rFonts w:hint="eastAsia" w:ascii="宋体" w:hAnsi="宋体"/>
          <w:sz w:val="24"/>
          <w:szCs w:val="24"/>
        </w:rPr>
        <w:t xml:space="preserve">码结果</w:t>
      </w:r>
      <w:r>
        <w:rPr>
          <w:rFonts w:hint="eastAsia" w:ascii="宋体" w:hAnsi="宋体"/>
          <w:sz w:val="24"/>
          <w:szCs w:val="24"/>
        </w:rPr>
        <w:t xml:space="preserve">同步、跨省车辆赋</w:t>
      </w:r>
      <w:r>
        <w:rPr>
          <w:rFonts w:hint="eastAsia" w:ascii="宋体" w:hAnsi="宋体"/>
          <w:sz w:val="24"/>
          <w:szCs w:val="24"/>
        </w:rPr>
        <w:t xml:space="preserve">码结果</w:t>
      </w:r>
      <w:r>
        <w:rPr>
          <w:rFonts w:hint="eastAsia" w:ascii="宋体" w:hAnsi="宋体"/>
          <w:sz w:val="24"/>
          <w:szCs w:val="24"/>
        </w:rPr>
        <w:t xml:space="preserve">查询、省级赋</w:t>
      </w:r>
      <w:r>
        <w:rPr>
          <w:rFonts w:hint="eastAsia" w:ascii="宋体" w:hAnsi="宋体"/>
          <w:sz w:val="24"/>
          <w:szCs w:val="24"/>
        </w:rPr>
        <w:t xml:space="preserve">码结果</w:t>
      </w:r>
      <w:r>
        <w:rPr>
          <w:rFonts w:hint="eastAsia" w:ascii="宋体" w:hAnsi="宋体"/>
          <w:sz w:val="24"/>
          <w:szCs w:val="24"/>
        </w:rPr>
        <w:t xml:space="preserve">上报接收、部省赋</w:t>
      </w:r>
      <w:r>
        <w:rPr>
          <w:rFonts w:hint="eastAsia" w:ascii="宋体" w:hAnsi="宋体"/>
          <w:sz w:val="24"/>
          <w:szCs w:val="24"/>
        </w:rPr>
        <w:t xml:space="preserve">码结果</w:t>
      </w:r>
      <w:r>
        <w:rPr>
          <w:rFonts w:hint="eastAsia" w:ascii="宋体" w:hAnsi="宋体"/>
          <w:sz w:val="24"/>
          <w:szCs w:val="24"/>
        </w:rPr>
        <w:t xml:space="preserve">对比等功能。同时江苏省交</w:t>
      </w:r>
      <w:r>
        <w:rPr>
          <w:rFonts w:hint="eastAsia" w:ascii="宋体" w:hAnsi="宋体"/>
          <w:sz w:val="24"/>
          <w:szCs w:val="24"/>
        </w:rPr>
        <w:t xml:space="preserve">通运输厅《关于深化“苏运安行”码应用的通知》明确需要对赋码</w:t>
      </w:r>
      <w:r>
        <w:rPr>
          <w:rFonts w:hint="eastAsia" w:ascii="宋体" w:hAnsi="宋体"/>
          <w:sz w:val="24"/>
          <w:szCs w:val="24"/>
        </w:rPr>
        <w:t xml:space="preserve">研判标准</w:t>
      </w:r>
      <w:r>
        <w:rPr>
          <w:rFonts w:hint="eastAsia" w:ascii="宋体" w:hAnsi="宋体"/>
          <w:sz w:val="24"/>
          <w:szCs w:val="24"/>
        </w:rPr>
        <w:t xml:space="preserve">进一步修订完善并且同步根据</w:t>
      </w:r>
      <w:r>
        <w:rPr>
          <w:rFonts w:hint="eastAsia" w:ascii="宋体" w:hAnsi="宋体"/>
          <w:sz w:val="24"/>
          <w:szCs w:val="24"/>
        </w:rPr>
        <w:t xml:space="preserve">研判标准</w:t>
      </w:r>
      <w:r>
        <w:rPr>
          <w:rFonts w:hint="eastAsia" w:ascii="宋体" w:hAnsi="宋体"/>
          <w:sz w:val="24"/>
          <w:szCs w:val="24"/>
        </w:rPr>
        <w:t xml:space="preserve">深化改造现有系统的赋码</w:t>
      </w:r>
      <w:r>
        <w:rPr>
          <w:rFonts w:hint="eastAsia" w:ascii="宋体" w:hAnsi="宋体"/>
          <w:sz w:val="24"/>
          <w:szCs w:val="24"/>
        </w:rPr>
        <w:t xml:space="preserve">研</w:t>
      </w:r>
      <w:r>
        <w:rPr>
          <w:rFonts w:hint="eastAsia" w:ascii="宋体" w:hAnsi="宋体"/>
          <w:sz w:val="24"/>
          <w:szCs w:val="24"/>
        </w:rPr>
        <w:t xml:space="preserve">判模型。</w:t>
      </w:r>
      <w:r/>
    </w:p>
    <w:p>
      <w:pPr>
        <w:ind w:firstLine="480"/>
        <w:spacing w:line="360" w:lineRule="auto"/>
        <w:rPr>
          <w:rFonts w:hint="eastAsia" w:ascii="宋体" w:hAnsi="宋体"/>
          <w:sz w:val="24"/>
          <w:szCs w:val="24"/>
        </w:rPr>
      </w:pPr>
      <w:r>
        <w:rPr>
          <w:rFonts w:hint="eastAsia" w:ascii="宋体" w:hAnsi="宋体"/>
          <w:sz w:val="24"/>
          <w:szCs w:val="24"/>
        </w:rPr>
        <w:t xml:space="preserve">交通运输部</w:t>
      </w:r>
      <w:r>
        <w:rPr>
          <w:rFonts w:hint="eastAsia" w:ascii="宋体" w:hAnsi="宋体"/>
          <w:sz w:val="24"/>
          <w:szCs w:val="24"/>
        </w:rPr>
        <w:t xml:space="preserve">《</w:t>
      </w:r>
      <w:r>
        <w:rPr>
          <w:rFonts w:hint="eastAsia" w:ascii="宋体" w:hAnsi="宋体"/>
          <w:sz w:val="24"/>
          <w:szCs w:val="24"/>
        </w:rPr>
        <w:t xml:space="preserve">关于印发</w:t>
      </w:r>
      <w:r>
        <w:rPr>
          <w:rFonts w:hint="eastAsia" w:ascii="宋体" w:hAnsi="宋体"/>
          <w:sz w:val="24"/>
          <w:szCs w:val="24"/>
        </w:rPr>
        <w:t xml:space="preserve">《</w:t>
      </w:r>
      <w:r>
        <w:rPr>
          <w:rFonts w:hint="eastAsia" w:ascii="宋体" w:hAnsi="宋体"/>
          <w:sz w:val="24"/>
          <w:szCs w:val="24"/>
        </w:rPr>
        <w:t xml:space="preserve">道路运输企业主要负责人和安全生产管理人员安全考核管理《道路运输企业主要负责人和安全生产管理办法》人员安全考核大纲</w:t>
      </w:r>
      <w:r>
        <w:rPr>
          <w:rFonts w:hint="eastAsia" w:ascii="宋体" w:hAnsi="宋体"/>
          <w:sz w:val="24"/>
          <w:szCs w:val="24"/>
        </w:rPr>
        <w:t xml:space="preserve">》</w:t>
      </w:r>
      <w:r>
        <w:rPr>
          <w:rFonts w:hint="eastAsia" w:ascii="宋体" w:hAnsi="宋体"/>
          <w:sz w:val="24"/>
          <w:szCs w:val="24"/>
        </w:rPr>
        <w:t xml:space="preserve">的通知</w:t>
      </w:r>
      <w:r>
        <w:rPr>
          <w:rFonts w:hint="eastAsia" w:ascii="宋体" w:hAnsi="宋体"/>
          <w:sz w:val="24"/>
          <w:szCs w:val="24"/>
        </w:rPr>
        <w:t xml:space="preserve">》</w:t>
      </w:r>
      <w:r>
        <w:rPr>
          <w:rFonts w:hint="eastAsia" w:ascii="宋体" w:hAnsi="宋体"/>
          <w:sz w:val="24"/>
          <w:szCs w:val="24"/>
        </w:rPr>
        <w:t xml:space="preserve">（交运</w:t>
      </w:r>
      <w:r>
        <w:rPr>
          <w:rFonts w:hint="eastAsia" w:ascii="宋体" w:hAnsi="宋体"/>
          <w:sz w:val="24"/>
          <w:szCs w:val="24"/>
        </w:rPr>
        <w:t xml:space="preserve">规</w:t>
      </w:r>
      <w:r>
        <w:rPr>
          <w:rFonts w:hint="eastAsia" w:ascii="宋体" w:hAnsi="宋体"/>
          <w:sz w:val="24"/>
          <w:szCs w:val="24"/>
        </w:rPr>
        <w:t xml:space="preserve">〔2024〕8号）中提出，</w:t>
      </w:r>
      <w:r>
        <w:rPr>
          <w:rFonts w:hint="eastAsia" w:ascii="宋体" w:hAnsi="宋体"/>
          <w:sz w:val="24"/>
          <w:szCs w:val="24"/>
        </w:rPr>
        <w:t xml:space="preserve">省级交通</w:t>
      </w:r>
      <w:r>
        <w:rPr>
          <w:rFonts w:hint="eastAsia" w:ascii="宋体" w:hAnsi="宋体"/>
          <w:sz w:val="24"/>
          <w:szCs w:val="24"/>
        </w:rPr>
        <w:t xml:space="preserve">运输主管部门负责统筹组织本行政区域内道路运输企业主要负责人和安全生产管理人员安全考核工作，并监督实施。《关于做好道路运输企业主要负责人和安全生产管理人员考核工作的通知》中进一步提出，“两类人员”按规定提交考核申请，经各设区市交通运输主管部门审核通过后即可预约考核，对聘用和解聘的“两类人员”及时按规定办理调出注销和调入登记变更等。</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(二）建设内容</w:t>
      </w:r>
      <w:r/>
    </w:p>
    <w:p>
      <w:pPr>
        <w:ind w:firstLine="480"/>
        <w:spacing w:line="360" w:lineRule="auto"/>
        <w:rPr>
          <w:rFonts w:hint="eastAsia" w:ascii="宋体" w:hAnsi="宋体"/>
          <w:sz w:val="24"/>
          <w:szCs w:val="24"/>
        </w:rPr>
      </w:pPr>
      <w:r>
        <w:rPr>
          <w:rFonts w:hint="eastAsia" w:ascii="宋体" w:hAnsi="宋体"/>
          <w:sz w:val="24"/>
          <w:szCs w:val="24"/>
        </w:rPr>
        <w:t xml:space="preserve">1、建设“交运贷”管理模块。开发移动端填报功能：符合贴息范围和条件的项目实施单位，通过填报入口按要求进行项目登记并提出项目贷款需求；开发管理端审核功能：各市区市交通运输主管部门审核本地区项目相关材料，符合条件的项目汇总后上报，省交通运输厅对项目内容、实施期限等进行审核，审核通过后纳入全省“交运贷”项目储备库；储备项目清单导入江苏省的“交运贷”财政贴息专版。</w:t>
      </w:r>
      <w:r/>
    </w:p>
    <w:p>
      <w:pPr>
        <w:ind w:firstLine="480"/>
        <w:spacing w:line="360" w:lineRule="auto"/>
        <w:rPr>
          <w:rFonts w:hint="eastAsia" w:ascii="宋体" w:hAnsi="宋体"/>
          <w:sz w:val="24"/>
          <w:szCs w:val="24"/>
        </w:rPr>
      </w:pPr>
      <w:r>
        <w:rPr>
          <w:rFonts w:hint="eastAsia" w:ascii="宋体" w:hAnsi="宋体"/>
          <w:sz w:val="24"/>
          <w:szCs w:val="24"/>
        </w:rPr>
        <w:t xml:space="preserve">2、优化调整道路运输“安全码”模块。根据交通部关于印发《“两客一危”车辆动态监控预警预防能力提升行动工作方案》的通知和江苏省交通运输厅《关于深化“苏运安行”码应用的通知》，开发部标车辆分类分级</w:t>
      </w:r>
      <w:r>
        <w:rPr>
          <w:rFonts w:hint="eastAsia" w:ascii="宋体" w:hAnsi="宋体"/>
          <w:sz w:val="24"/>
          <w:szCs w:val="24"/>
        </w:rPr>
        <w:t xml:space="preserve">研</w:t>
      </w:r>
      <w:r>
        <w:rPr>
          <w:rFonts w:hint="eastAsia" w:ascii="宋体" w:hAnsi="宋体"/>
          <w:sz w:val="24"/>
          <w:szCs w:val="24"/>
        </w:rPr>
        <w:t xml:space="preserve">判模型和江苏省道路运输安全码</w:t>
      </w:r>
      <w:r>
        <w:rPr>
          <w:rFonts w:hint="eastAsia" w:ascii="宋体" w:hAnsi="宋体"/>
          <w:sz w:val="24"/>
          <w:szCs w:val="24"/>
        </w:rPr>
        <w:t xml:space="preserve">研</w:t>
      </w:r>
      <w:r>
        <w:rPr>
          <w:rFonts w:hint="eastAsia" w:ascii="宋体" w:hAnsi="宋体"/>
          <w:sz w:val="24"/>
          <w:szCs w:val="24"/>
        </w:rPr>
        <w:t xml:space="preserve">判模型修订，并依据中国交通通信信息中心关于印发《“两客一危＂车辆分类分级赋码部省数据交互技术规范(2025)的通知》将相关数据与部平台进行交换共享，实现对本省籍赋码数据的上报和外省籍车辆赋码数据的获取，提高赋码质量，加强分类分级监管闭环。</w:t>
      </w:r>
      <w:r/>
    </w:p>
    <w:p>
      <w:pPr>
        <w:ind w:firstLine="480"/>
        <w:spacing w:line="360" w:lineRule="auto"/>
        <w:rPr>
          <w:rFonts w:hint="eastAsia" w:ascii="宋体" w:hAnsi="宋体"/>
          <w:sz w:val="24"/>
          <w:szCs w:val="24"/>
        </w:rPr>
      </w:pPr>
      <w:r>
        <w:rPr>
          <w:rFonts w:hint="eastAsia" w:ascii="宋体" w:hAnsi="宋体"/>
          <w:sz w:val="24"/>
          <w:szCs w:val="24"/>
        </w:rPr>
        <w:t xml:space="preserve">3、建设两类人员安全考核管理模块。根据部省相关管理规定和要求，开发两类人员安全考核管理模块，主要包含行业管理端、企业PC端。实现企业两类人员考试合格后，经各设区市交通运输主管部门审核通过后即可予以发放合格证明。聘用和解聘的两类人员可按规定办理调出注销和调入登记变更，合格证明到期</w:t>
      </w:r>
      <w:r>
        <w:rPr>
          <w:rFonts w:hint="eastAsia" w:ascii="宋体" w:hAnsi="宋体"/>
          <w:sz w:val="24"/>
          <w:szCs w:val="24"/>
        </w:rPr>
        <w:tab/>
        <w:t xml:space="preserve">前可申请延期等。</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(三）技术要求</w:t>
      </w:r>
      <w:r/>
    </w:p>
    <w:p>
      <w:pPr>
        <w:ind w:firstLine="480"/>
        <w:spacing w:line="360" w:lineRule="auto"/>
        <w:rPr>
          <w:rFonts w:hint="eastAsia" w:ascii="宋体" w:hAnsi="宋体"/>
          <w:sz w:val="24"/>
          <w:szCs w:val="24"/>
        </w:rPr>
      </w:pPr>
      <w:r>
        <w:rPr>
          <w:rFonts w:hint="eastAsia" w:ascii="宋体" w:hAnsi="宋体"/>
          <w:sz w:val="24"/>
          <w:szCs w:val="24"/>
        </w:rPr>
        <w:t xml:space="preserve">1、系统可用性</w:t>
      </w:r>
      <w:r/>
    </w:p>
    <w:p>
      <w:pPr>
        <w:ind w:firstLine="480"/>
        <w:spacing w:line="360" w:lineRule="auto"/>
        <w:rPr>
          <w:rFonts w:hint="eastAsia" w:ascii="宋体" w:hAnsi="宋体"/>
          <w:sz w:val="24"/>
          <w:szCs w:val="24"/>
        </w:rPr>
      </w:pPr>
      <w:r>
        <w:rPr>
          <w:rFonts w:hint="eastAsia" w:ascii="宋体" w:hAnsi="宋体"/>
          <w:sz w:val="24"/>
          <w:szCs w:val="24"/>
        </w:rPr>
        <w:t xml:space="preserve">本次建设的内容，可用性要求较高，要求高可用性A≥99.99%，系统需确保7×24小时高效运转。保证系统具有极高的运行质量，能够支持7×24小时连续不间断工作。在出现故障的时候，必须能够及时提供应急措施，以确保整个业务系统的不中断。平均年故障时间：&lt;1天，平均故障修复时间：&lt;2小时。</w:t>
      </w:r>
      <w:r/>
    </w:p>
    <w:p>
      <w:pPr>
        <w:ind w:firstLine="480"/>
        <w:spacing w:line="360" w:lineRule="auto"/>
        <w:rPr>
          <w:rFonts w:hint="eastAsia" w:ascii="宋体" w:hAnsi="宋体"/>
          <w:sz w:val="24"/>
          <w:szCs w:val="24"/>
        </w:rPr>
      </w:pPr>
      <w:r>
        <w:rPr>
          <w:rFonts w:hint="eastAsia" w:ascii="宋体" w:hAnsi="宋体"/>
          <w:sz w:val="24"/>
          <w:szCs w:val="24"/>
        </w:rPr>
        <w:t xml:space="preserve">2、系统可扩展性</w:t>
      </w:r>
      <w:r/>
    </w:p>
    <w:p>
      <w:pPr>
        <w:ind w:firstLine="480"/>
        <w:spacing w:line="360" w:lineRule="auto"/>
        <w:rPr>
          <w:rFonts w:hint="eastAsia" w:ascii="宋体" w:hAnsi="宋体"/>
          <w:sz w:val="24"/>
          <w:szCs w:val="24"/>
        </w:rPr>
      </w:pPr>
      <w:r>
        <w:rPr>
          <w:rFonts w:hint="eastAsia" w:ascii="宋体" w:hAnsi="宋体"/>
          <w:sz w:val="24"/>
          <w:szCs w:val="24"/>
        </w:rPr>
        <w:t xml:space="preserve">充分考虑未来业务量及业务种类增长的需求，同时也要考虑与行政管理体制的配合和协调。软件规模具有可调性；新的软件模块即插即用，新功能、新业务的增加能够在不影响平台运行的情况下实现；系统要具备逐步升级能力的结构采用模块化设计；可动态增加服务器，增加处理能力，能够实现负载平衡。</w:t>
      </w:r>
      <w:r/>
    </w:p>
    <w:p>
      <w:pPr>
        <w:ind w:firstLine="480"/>
        <w:spacing w:line="360" w:lineRule="auto"/>
        <w:rPr>
          <w:rFonts w:hint="eastAsia" w:ascii="宋体" w:hAnsi="宋体"/>
          <w:sz w:val="24"/>
          <w:szCs w:val="24"/>
        </w:rPr>
      </w:pPr>
      <w:r>
        <w:rPr>
          <w:rFonts w:hint="eastAsia" w:ascii="宋体" w:hAnsi="宋体"/>
          <w:sz w:val="24"/>
          <w:szCs w:val="24"/>
        </w:rPr>
        <w:t xml:space="preserve">3、系统响应时间</w:t>
      </w:r>
      <w:r/>
    </w:p>
    <w:p>
      <w:pPr>
        <w:ind w:firstLine="480"/>
        <w:spacing w:line="360" w:lineRule="auto"/>
        <w:rPr>
          <w:rFonts w:hint="eastAsia" w:ascii="宋体" w:hAnsi="宋体"/>
          <w:sz w:val="24"/>
          <w:szCs w:val="24"/>
        </w:rPr>
      </w:pPr>
      <w:r>
        <w:rPr>
          <w:rFonts w:hint="eastAsia" w:ascii="宋体" w:hAnsi="宋体"/>
          <w:sz w:val="24"/>
          <w:szCs w:val="24"/>
        </w:rPr>
        <w:t xml:space="preserve">系统应具有良好的运行速度，能够完成所要求的所有操作功能，考虑到不同类型用户对响应时间的忍耐程度，结合业务对系统响应时间的要求，平台访问应用响应时间&lt;3秒；事务处理查询平均2秒，复杂分析查询最长&lt;4秒。在网络稳定的环境下，操作性界面单一操作的系统响应时间&lt;3秒，高峰期&lt;4秒。</w:t>
      </w:r>
      <w:r/>
    </w:p>
    <w:p>
      <w:pPr>
        <w:ind w:firstLine="480"/>
        <w:spacing w:line="360" w:lineRule="auto"/>
      </w:pPr>
      <w:r>
        <w:rPr>
          <w:rFonts w:hint="eastAsia" w:ascii="宋体" w:hAnsi="宋体"/>
          <w:sz w:val="24"/>
          <w:szCs w:val="24"/>
        </w:rPr>
        <w:t xml:space="preserve">4、系统易用性</w:t>
      </w:r>
      <w:r/>
    </w:p>
    <w:p>
      <w:pPr>
        <w:ind w:firstLine="480"/>
        <w:spacing w:line="360" w:lineRule="auto"/>
        <w:rPr>
          <w:rFonts w:hint="eastAsia" w:ascii="宋体" w:hAnsi="宋体"/>
          <w:sz w:val="24"/>
          <w:szCs w:val="24"/>
        </w:rPr>
      </w:pPr>
      <w:r>
        <w:rPr>
          <w:rFonts w:hint="eastAsia" w:ascii="宋体" w:hAnsi="宋体"/>
          <w:sz w:val="24"/>
          <w:szCs w:val="24"/>
        </w:rPr>
        <w:t xml:space="preserve">系统界面应简洁、清晰、柔和、美观、大方，操作简单方便。终端和管理端界面具有统一界面风格；输入框提示明确，必输项有明确标识，并具备一定的检错功能，避免数据录入错误；支持快捷操作方式。</w:t>
      </w:r>
      <w:r/>
    </w:p>
    <w:p>
      <w:pPr>
        <w:ind w:firstLine="480"/>
        <w:spacing w:line="360" w:lineRule="auto"/>
        <w:rPr>
          <w:rFonts w:hint="eastAsia" w:ascii="宋体" w:hAnsi="宋体"/>
          <w:sz w:val="24"/>
          <w:szCs w:val="24"/>
        </w:rPr>
      </w:pPr>
      <w:r>
        <w:rPr>
          <w:rFonts w:hint="eastAsia" w:ascii="宋体" w:hAnsi="宋体"/>
          <w:sz w:val="24"/>
          <w:szCs w:val="24"/>
        </w:rPr>
        <w:t xml:space="preserve">5、系统的存储要求</w:t>
      </w:r>
      <w:r/>
    </w:p>
    <w:p>
      <w:pPr>
        <w:ind w:firstLine="480"/>
        <w:spacing w:line="360" w:lineRule="auto"/>
        <w:rPr>
          <w:rFonts w:hint="eastAsia" w:ascii="宋体" w:hAnsi="宋体"/>
          <w:sz w:val="24"/>
          <w:szCs w:val="24"/>
        </w:rPr>
      </w:pPr>
      <w:r>
        <w:rPr>
          <w:rFonts w:hint="eastAsia" w:ascii="宋体" w:hAnsi="宋体"/>
          <w:sz w:val="24"/>
          <w:szCs w:val="24"/>
        </w:rPr>
        <w:t xml:space="preserve">本项目因为涉及基础数据、运</w:t>
      </w:r>
      <w:r>
        <w:rPr>
          <w:rFonts w:hint="eastAsia" w:ascii="宋体" w:hAnsi="宋体"/>
          <w:sz w:val="24"/>
          <w:szCs w:val="24"/>
        </w:rPr>
        <w:t xml:space="preserve">维管理</w:t>
      </w:r>
      <w:r>
        <w:rPr>
          <w:rFonts w:hint="eastAsia" w:ascii="宋体" w:hAnsi="宋体"/>
          <w:sz w:val="24"/>
          <w:szCs w:val="24"/>
        </w:rPr>
        <w:t xml:space="preserve">数据、行业应用数据、其他数据等多个方面，不同的数据访问频率及数据产生量的大小均有所不同，根据对各管理机构需求的调研，我们确定系统的存储需满足业务数据5年内的存储要求。</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(四）商务要求</w:t>
      </w:r>
      <w:r/>
    </w:p>
    <w:p>
      <w:pPr>
        <w:ind w:firstLine="480"/>
        <w:spacing w:line="360" w:lineRule="auto"/>
        <w:rPr>
          <w:rFonts w:hint="eastAsia" w:ascii="宋体" w:hAnsi="宋体"/>
          <w:sz w:val="24"/>
          <w:szCs w:val="24"/>
        </w:rPr>
      </w:pPr>
      <w:r>
        <w:rPr>
          <w:rFonts w:hint="eastAsia" w:ascii="宋体" w:hAnsi="宋体"/>
          <w:sz w:val="24"/>
          <w:szCs w:val="24"/>
        </w:rPr>
        <w:t xml:space="preserve">1．交货期：自合同签订之日起8个月内完成开发、部署、集成和测试等工作，进入试运行阶段。</w:t>
      </w:r>
      <w:r/>
    </w:p>
    <w:p>
      <w:pPr>
        <w:ind w:firstLine="480"/>
        <w:spacing w:line="360" w:lineRule="auto"/>
        <w:rPr>
          <w:rFonts w:hint="eastAsia" w:ascii="宋体" w:hAnsi="宋体"/>
          <w:sz w:val="24"/>
          <w:szCs w:val="24"/>
        </w:rPr>
      </w:pPr>
      <w:r>
        <w:rPr>
          <w:rFonts w:hint="eastAsia" w:ascii="宋体" w:hAnsi="宋体"/>
          <w:sz w:val="24"/>
          <w:szCs w:val="24"/>
        </w:rPr>
        <w:t xml:space="preserve">2．交货方式：现场交货验货，并提交相关交付物。</w:t>
      </w:r>
      <w:r/>
    </w:p>
    <w:p>
      <w:pPr>
        <w:ind w:firstLine="480"/>
        <w:spacing w:line="360" w:lineRule="auto"/>
        <w:rPr>
          <w:rFonts w:hint="eastAsia" w:ascii="宋体" w:hAnsi="宋体"/>
          <w:sz w:val="24"/>
          <w:szCs w:val="24"/>
        </w:rPr>
      </w:pPr>
      <w:r>
        <w:rPr>
          <w:rFonts w:hint="eastAsia" w:ascii="宋体" w:hAnsi="宋体"/>
          <w:sz w:val="24"/>
          <w:szCs w:val="24"/>
        </w:rPr>
        <w:t xml:space="preserve">3．交货地点：南京市升州路16号。</w:t>
      </w:r>
      <w:r/>
    </w:p>
    <w:p>
      <w:pPr>
        <w:ind w:firstLine="480"/>
        <w:spacing w:line="360" w:lineRule="auto"/>
        <w:rPr>
          <w:rFonts w:hint="eastAsia" w:ascii="宋体" w:hAnsi="宋体"/>
          <w:sz w:val="24"/>
          <w:szCs w:val="24"/>
        </w:rPr>
      </w:pPr>
      <w:r>
        <w:rPr>
          <w:rFonts w:hint="eastAsia" w:ascii="宋体" w:hAnsi="宋体"/>
          <w:sz w:val="24"/>
          <w:szCs w:val="24"/>
        </w:rPr>
        <w:t xml:space="preserve">4．货款支付：</w:t>
      </w:r>
      <w:r/>
    </w:p>
    <w:p>
      <w:pPr>
        <w:ind w:firstLine="480"/>
        <w:spacing w:line="360" w:lineRule="auto"/>
        <w:rPr>
          <w:rFonts w:hint="eastAsia" w:ascii="宋体" w:hAnsi="宋体"/>
          <w:sz w:val="24"/>
          <w:szCs w:val="24"/>
        </w:rPr>
      </w:pPr>
      <w:r>
        <w:rPr>
          <w:rFonts w:hint="eastAsia" w:ascii="宋体" w:hAnsi="宋体"/>
          <w:sz w:val="24"/>
          <w:szCs w:val="24"/>
        </w:rPr>
        <w:t xml:space="preserve">合同签订后，在采购人收到发票后20日内，甲方支付合同总价50%的款项；</w:t>
      </w:r>
      <w:r>
        <w:rPr>
          <w:rFonts w:hint="eastAsia" w:ascii="宋体" w:hAnsi="宋体"/>
          <w:sz w:val="24"/>
          <w:szCs w:val="24"/>
        </w:rPr>
        <w:t xml:space="preserve">供应商完成产品的交付，经采购人验收合格后，在采购人收到发票后20日内，支付合同剩余款项。</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其他要求</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（1）项目属性:服务类项目。</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（2）进口</w:t>
      </w:r>
      <w:r>
        <w:rPr>
          <w:rFonts w:ascii="宋体" w:hAnsi="宋体"/>
          <w:bCs/>
          <w:sz w:val="24"/>
          <w:szCs w:val="24"/>
        </w:rPr>
        <w:t xml:space="preserve">产品</w:t>
      </w:r>
      <w:r>
        <w:rPr>
          <w:rFonts w:hint="eastAsia" w:ascii="宋体" w:hAnsi="宋体"/>
          <w:bCs/>
          <w:sz w:val="24"/>
          <w:szCs w:val="24"/>
        </w:rPr>
        <w:t xml:space="preserve">投标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3"/>
        <w:gridCol w:w="3512"/>
      </w:tblGrid>
      <w:tr>
        <w:trPr>
          <w:jc w:val="center"/>
        </w:trPr>
        <w:tc>
          <w:tcPr>
            <w:tcW w:w="1363"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采购包号</w:t>
            </w:r>
            <w:r/>
          </w:p>
        </w:tc>
        <w:tc>
          <w:tcPr>
            <w:tcW w:w="3512"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是否接受</w:t>
            </w:r>
            <w:r>
              <w:rPr>
                <w:rFonts w:ascii="宋体" w:hAnsi="宋体"/>
                <w:bCs/>
                <w:sz w:val="24"/>
                <w:szCs w:val="24"/>
              </w:rPr>
              <w:t xml:space="preserve">进口产品投标</w:t>
            </w:r>
            <w:r>
              <w:rPr>
                <w:rFonts w:hint="eastAsia" w:ascii="宋体" w:hAnsi="宋体"/>
                <w:bCs/>
                <w:sz w:val="24"/>
                <w:szCs w:val="24"/>
              </w:rPr>
              <w:t xml:space="preserve">（是/否）</w:t>
            </w:r>
            <w:r/>
          </w:p>
        </w:tc>
      </w:tr>
      <w:tr>
        <w:trPr>
          <w:jc w:val="center"/>
        </w:trPr>
        <w:tc>
          <w:tcPr>
            <w:tcW w:w="1363"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3512"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否</w:t>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(五）方案要求</w:t>
      </w:r>
      <w:r/>
    </w:p>
    <w:p>
      <w:pPr>
        <w:ind w:firstLine="480"/>
        <w:spacing w:line="360" w:lineRule="auto"/>
        <w:rPr>
          <w:rFonts w:hint="eastAsia" w:ascii="宋体" w:hAnsi="宋体"/>
          <w:sz w:val="24"/>
          <w:szCs w:val="24"/>
        </w:rPr>
      </w:pPr>
      <w:r>
        <w:rPr>
          <w:rFonts w:hint="eastAsia" w:ascii="宋体" w:hAnsi="宋体"/>
          <w:sz w:val="24"/>
          <w:szCs w:val="24"/>
        </w:rPr>
        <w:t xml:space="preserve">1、项目理解</w:t>
      </w:r>
      <w:r/>
    </w:p>
    <w:p>
      <w:pPr>
        <w:ind w:firstLine="480"/>
        <w:spacing w:line="360" w:lineRule="auto"/>
        <w:rPr>
          <w:rFonts w:hint="eastAsia" w:ascii="宋体" w:hAnsi="宋体"/>
          <w:sz w:val="24"/>
          <w:szCs w:val="24"/>
        </w:rPr>
      </w:pPr>
      <w:r>
        <w:rPr>
          <w:rFonts w:hint="eastAsia" w:ascii="宋体" w:hAnsi="宋体"/>
          <w:sz w:val="24"/>
          <w:szCs w:val="24"/>
        </w:rPr>
        <w:t xml:space="preserve">供应商根据招标文件要求，分析阐述项目建设需求、现状分析与不足。通过系统性阐述项目建设背景，梳理项目具体建设内容，全面覆盖招标人实际建设需求，体现项目建设的目标和必要性。</w:t>
      </w:r>
      <w:r/>
    </w:p>
    <w:p>
      <w:pPr>
        <w:ind w:firstLine="480"/>
        <w:spacing w:line="360" w:lineRule="auto"/>
        <w:rPr>
          <w:rFonts w:hint="eastAsia" w:ascii="宋体" w:hAnsi="宋体"/>
          <w:sz w:val="24"/>
          <w:szCs w:val="24"/>
        </w:rPr>
      </w:pPr>
      <w:r>
        <w:rPr>
          <w:rFonts w:hint="eastAsia" w:ascii="宋体" w:hAnsi="宋体"/>
          <w:sz w:val="24"/>
          <w:szCs w:val="24"/>
        </w:rPr>
        <w:t xml:space="preserve">2、项目总体设计方案</w:t>
      </w:r>
      <w:r/>
    </w:p>
    <w:p>
      <w:pPr>
        <w:ind w:firstLine="480"/>
        <w:spacing w:line="360" w:lineRule="auto"/>
        <w:rPr>
          <w:rFonts w:hint="eastAsia" w:ascii="宋体" w:hAnsi="宋体"/>
          <w:sz w:val="24"/>
          <w:szCs w:val="24"/>
        </w:rPr>
      </w:pPr>
      <w:r>
        <w:rPr>
          <w:rFonts w:hint="eastAsia" w:ascii="宋体" w:hAnsi="宋体"/>
          <w:sz w:val="24"/>
          <w:szCs w:val="24"/>
        </w:rPr>
        <w:t xml:space="preserve">供应商应针对项目需求详细阐述建设该项目总体设计，包括系统架构图、功能架构图等。</w:t>
      </w:r>
      <w:r/>
    </w:p>
    <w:p>
      <w:pPr>
        <w:ind w:firstLine="480"/>
        <w:spacing w:line="360" w:lineRule="auto"/>
        <w:rPr>
          <w:rFonts w:hint="eastAsia" w:ascii="宋体" w:hAnsi="宋体"/>
          <w:sz w:val="24"/>
          <w:szCs w:val="24"/>
        </w:rPr>
      </w:pPr>
      <w:r>
        <w:rPr>
          <w:rFonts w:hint="eastAsia" w:ascii="宋体" w:hAnsi="宋体"/>
          <w:sz w:val="24"/>
          <w:szCs w:val="24"/>
        </w:rPr>
        <w:t xml:space="preserve">3、制订项目实施方案</w:t>
      </w:r>
      <w:r/>
    </w:p>
    <w:p>
      <w:pPr>
        <w:ind w:firstLine="480"/>
        <w:spacing w:line="360" w:lineRule="auto"/>
        <w:rPr>
          <w:rFonts w:hint="eastAsia" w:ascii="宋体" w:hAnsi="宋体"/>
          <w:sz w:val="24"/>
          <w:szCs w:val="24"/>
        </w:rPr>
      </w:pPr>
      <w:r>
        <w:rPr>
          <w:rFonts w:hint="eastAsia" w:ascii="宋体" w:hAnsi="宋体"/>
          <w:sz w:val="24"/>
          <w:szCs w:val="24"/>
        </w:rPr>
        <w:t xml:space="preserve">供应商应根据磋商文件要求及本项目特点，制订项目实施方案，包括具体的应包括进度计划和实施保证措施、质量保证措施、风险管理体系等。实施方案应做到完整全面、科学可行，并有针对性，配备具有相应资质和经验的项目经理及技术服务人员，应服从采购人管理要求，确保在规定的交付时限内完成；</w:t>
      </w:r>
      <w:r/>
    </w:p>
    <w:p>
      <w:pPr>
        <w:ind w:firstLine="480"/>
        <w:spacing w:line="360" w:lineRule="auto"/>
        <w:rPr>
          <w:rFonts w:hint="eastAsia" w:ascii="宋体" w:hAnsi="宋体"/>
          <w:sz w:val="24"/>
          <w:szCs w:val="24"/>
        </w:rPr>
      </w:pPr>
      <w:r>
        <w:rPr>
          <w:rFonts w:hint="eastAsia" w:ascii="宋体" w:hAnsi="宋体"/>
          <w:sz w:val="24"/>
          <w:szCs w:val="24"/>
        </w:rPr>
        <w:t xml:space="preserve">4、培训方案</w:t>
      </w:r>
      <w:r/>
    </w:p>
    <w:p>
      <w:pPr>
        <w:ind w:firstLine="480"/>
        <w:spacing w:line="360" w:lineRule="auto"/>
        <w:rPr>
          <w:rFonts w:hint="eastAsia" w:ascii="宋体" w:hAnsi="宋体"/>
          <w:sz w:val="24"/>
          <w:szCs w:val="24"/>
        </w:rPr>
      </w:pPr>
      <w:r>
        <w:rPr>
          <w:rFonts w:hint="eastAsia" w:ascii="宋体" w:hAnsi="宋体"/>
          <w:sz w:val="24"/>
          <w:szCs w:val="24"/>
        </w:rPr>
        <w:t xml:space="preserve">供应商应根据磋商文件要求及本项目特点，制订相应的培训教材并提供培训课程。供应商应安排具备相应资质和经验的技术人员，对采购单位的使用部门人员进行全流程使用培训，确保相关人员能熟练掌握设备或系统的日常使用及维护；</w:t>
      </w:r>
      <w:r/>
    </w:p>
    <w:p>
      <w:pPr>
        <w:ind w:firstLine="480"/>
        <w:spacing w:line="360" w:lineRule="auto"/>
        <w:rPr>
          <w:rFonts w:hint="eastAsia" w:ascii="宋体" w:hAnsi="宋体"/>
          <w:sz w:val="24"/>
          <w:szCs w:val="24"/>
        </w:rPr>
      </w:pPr>
      <w:r>
        <w:rPr>
          <w:rFonts w:hint="eastAsia" w:ascii="宋体" w:hAnsi="宋体"/>
          <w:sz w:val="24"/>
          <w:szCs w:val="24"/>
        </w:rPr>
        <w:t xml:space="preserve">5、服务方案</w:t>
      </w:r>
      <w:r/>
    </w:p>
    <w:p>
      <w:pPr>
        <w:ind w:firstLine="480"/>
        <w:spacing w:line="360" w:lineRule="auto"/>
        <w:rPr>
          <w:rFonts w:hint="eastAsia" w:ascii="宋体" w:hAnsi="宋体"/>
          <w:sz w:val="24"/>
          <w:szCs w:val="24"/>
        </w:rPr>
      </w:pPr>
      <w:r>
        <w:rPr>
          <w:rFonts w:hint="eastAsia" w:ascii="宋体" w:hAnsi="宋体"/>
          <w:sz w:val="24"/>
          <w:szCs w:val="24"/>
        </w:rPr>
        <w:t xml:space="preserve">供应商应制订有关服务方案，包括响应时间、服务方式、服务内容、故障解决等方面；服务方案应科学合理、具备针对性。</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(六）原型设计要求</w:t>
      </w:r>
      <w:r/>
    </w:p>
    <w:p>
      <w:pPr>
        <w:ind w:firstLine="480"/>
        <w:spacing w:line="360" w:lineRule="auto"/>
        <w:rPr>
          <w:rFonts w:hint="eastAsia" w:ascii="宋体" w:hAnsi="宋体"/>
          <w:sz w:val="24"/>
          <w:szCs w:val="24"/>
        </w:rPr>
      </w:pPr>
      <w:r>
        <w:rPr>
          <w:rFonts w:hint="eastAsia" w:ascii="宋体" w:hAnsi="宋体"/>
          <w:sz w:val="24"/>
          <w:szCs w:val="24"/>
        </w:rPr>
        <w:t xml:space="preserve">1、供应商需按照磋商文件规定的内容制作原型设计</w:t>
      </w:r>
      <w:r/>
    </w:p>
    <w:p>
      <w:pPr>
        <w:ind w:firstLine="480"/>
        <w:spacing w:line="360" w:lineRule="auto"/>
        <w:rPr>
          <w:rFonts w:hint="eastAsia" w:ascii="宋体" w:hAnsi="宋体"/>
          <w:sz w:val="24"/>
          <w:szCs w:val="24"/>
        </w:rPr>
      </w:pPr>
      <w:r>
        <w:rPr>
          <w:rFonts w:hint="eastAsia" w:ascii="宋体" w:hAnsi="宋体"/>
          <w:sz w:val="24"/>
          <w:szCs w:val="24"/>
        </w:rPr>
        <w:t xml:space="preserve">（1）结合业务理解，提供交运贷申报企业端原型，需要体现项目领域和项目明细之间的对应关系。</w:t>
      </w:r>
      <w:r/>
    </w:p>
    <w:p>
      <w:pPr>
        <w:ind w:firstLine="480"/>
        <w:spacing w:line="360" w:lineRule="auto"/>
        <w:rPr>
          <w:rFonts w:hint="eastAsia" w:ascii="宋体" w:hAnsi="宋体"/>
          <w:sz w:val="24"/>
          <w:szCs w:val="24"/>
        </w:rPr>
      </w:pPr>
      <w:r>
        <w:rPr>
          <w:rFonts w:hint="eastAsia" w:ascii="宋体" w:hAnsi="宋体"/>
          <w:sz w:val="24"/>
          <w:szCs w:val="24"/>
        </w:rPr>
        <w:t xml:space="preserve">（2）结合业务理解，提供人、车、企业的三个对象的</w:t>
      </w:r>
      <w:r>
        <w:rPr>
          <w:rFonts w:hint="eastAsia" w:ascii="宋体" w:hAnsi="宋体"/>
          <w:sz w:val="24"/>
          <w:szCs w:val="24"/>
        </w:rPr>
        <w:t xml:space="preserve">研</w:t>
      </w:r>
      <w:r>
        <w:rPr>
          <w:rFonts w:hint="eastAsia" w:ascii="宋体" w:hAnsi="宋体"/>
          <w:sz w:val="24"/>
          <w:szCs w:val="24"/>
        </w:rPr>
        <w:t xml:space="preserve">判指标模型原型：包含但不限于</w:t>
      </w:r>
      <w:r>
        <w:rPr>
          <w:rFonts w:hint="eastAsia" w:ascii="宋体" w:hAnsi="宋体"/>
          <w:sz w:val="24"/>
          <w:szCs w:val="24"/>
        </w:rPr>
        <w:t xml:space="preserve">研</w:t>
      </w:r>
      <w:r>
        <w:rPr>
          <w:rFonts w:hint="eastAsia" w:ascii="宋体" w:hAnsi="宋体"/>
          <w:sz w:val="24"/>
          <w:szCs w:val="24"/>
        </w:rPr>
        <w:t xml:space="preserve">判分类、</w:t>
      </w:r>
      <w:r>
        <w:rPr>
          <w:rFonts w:hint="eastAsia" w:ascii="宋体" w:hAnsi="宋体"/>
          <w:sz w:val="24"/>
          <w:szCs w:val="24"/>
        </w:rPr>
        <w:t xml:space="preserve">研</w:t>
      </w:r>
      <w:r>
        <w:rPr>
          <w:rFonts w:hint="eastAsia" w:ascii="宋体" w:hAnsi="宋体"/>
          <w:sz w:val="24"/>
          <w:szCs w:val="24"/>
        </w:rPr>
        <w:t xml:space="preserve">判登记、指标说明、数据来源等。</w:t>
      </w:r>
      <w:r/>
    </w:p>
    <w:p>
      <w:pPr>
        <w:ind w:firstLine="480"/>
        <w:spacing w:line="360" w:lineRule="auto"/>
        <w:rPr>
          <w:rFonts w:hint="eastAsia" w:ascii="宋体" w:hAnsi="宋体"/>
          <w:sz w:val="24"/>
          <w:szCs w:val="24"/>
        </w:rPr>
      </w:pPr>
      <w:r>
        <w:rPr>
          <w:rFonts w:hint="eastAsia" w:ascii="宋体" w:hAnsi="宋体"/>
          <w:sz w:val="24"/>
          <w:szCs w:val="24"/>
        </w:rPr>
        <w:t xml:space="preserve">（3）结合业务理解，提供符合实际业务要求的两类人员安全考试制证审核原型设计：包括但不限于管理机构、经营范围、考试信息、已有合格证明、申请信息、材料清单等。</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(七）履约能力要求</w:t>
      </w:r>
      <w:r/>
    </w:p>
    <w:p>
      <w:pPr>
        <w:ind w:firstLine="482"/>
        <w:jc w:val="left"/>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sz w:val="24"/>
          <w:szCs w:val="24"/>
        </w:rPr>
        <w:t xml:space="preserve">1.</w:t>
      </w:r>
      <w:r>
        <w:rPr>
          <w:rFonts w:hint="eastAsia" w:ascii="宋体" w:hAnsi="宋体" w:cs="宋体"/>
          <w:b/>
          <w:bCs/>
          <w:color w:val="000000"/>
          <w:sz w:val="24"/>
          <w:szCs w:val="24"/>
        </w:rPr>
        <w:t xml:space="preserve">软件自主研发能力要求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供应商应具有自主研发能力，具备与本项目相关的软件著作权证书，证书内容涉及运政服务、企业平台、部省联动等相关主题。</w:t>
      </w:r>
      <w:r/>
    </w:p>
    <w:p>
      <w:pPr>
        <w:ind w:firstLine="482"/>
        <w:jc w:val="left"/>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2、供应</w:t>
      </w:r>
      <w:r>
        <w:rPr>
          <w:rFonts w:hint="eastAsia" w:ascii="宋体" w:hAnsi="宋体" w:cs="宋体"/>
          <w:b/>
          <w:bCs/>
          <w:color w:val="000000"/>
          <w:sz w:val="24"/>
          <w:szCs w:val="24"/>
        </w:rPr>
        <w:t xml:space="preserve">商综合</w:t>
      </w:r>
      <w:r>
        <w:rPr>
          <w:rFonts w:hint="eastAsia" w:ascii="宋体" w:hAnsi="宋体" w:cs="宋体"/>
          <w:b/>
          <w:bCs/>
          <w:color w:val="000000"/>
          <w:sz w:val="24"/>
          <w:szCs w:val="24"/>
        </w:rPr>
        <w:t xml:space="preserve">实力要求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供应商应具有有效期内的：ISO9001质量管理体系认证证书、ISO27001信息安全管理体系认证证书、ISO20000信息技术服务管理体系认证证书。</w:t>
      </w:r>
      <w:r/>
    </w:p>
    <w:p>
      <w:pPr>
        <w:ind w:firstLine="482"/>
        <w:jc w:val="left"/>
        <w:spacing w:line="360" w:lineRule="auto"/>
        <w:shd w:val="clear" w:color="auto" w:fill="ffffff"/>
        <w:widowControl/>
        <w:rPr>
          <w:rFonts w:hint="eastAsia" w:ascii="宋体" w:hAnsi="宋体" w:cs="Arial"/>
          <w:b/>
          <w:bCs/>
          <w:color w:val="000000"/>
          <w:sz w:val="24"/>
          <w:szCs w:val="24"/>
        </w:rPr>
      </w:pPr>
      <w:r>
        <w:rPr>
          <w:rFonts w:hint="eastAsia" w:ascii="宋体" w:hAnsi="宋体" w:cs="Arial"/>
          <w:b/>
          <w:bCs/>
          <w:color w:val="000000"/>
          <w:sz w:val="24"/>
          <w:szCs w:val="24"/>
        </w:rPr>
        <w:t xml:space="preserve">3、</w:t>
      </w:r>
      <w:r>
        <w:rPr>
          <w:rFonts w:hint="eastAsia" w:ascii="宋体" w:hAnsi="宋体" w:cs="宋体"/>
          <w:b/>
          <w:bCs/>
          <w:color w:val="000000"/>
          <w:sz w:val="24"/>
          <w:szCs w:val="24"/>
        </w:rPr>
        <w:t xml:space="preserve">企业业绩要求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供应商应提供自2023年1月1日以来（以合同签订时间为准）承接过类似运输管理、行政审批、便民服务类软件开发项目案例。</w:t>
      </w:r>
      <w:r/>
    </w:p>
    <w:p>
      <w:pPr>
        <w:ind w:firstLine="482"/>
        <w:jc w:val="left"/>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4、项目团队人员要求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实施过程</w:t>
      </w:r>
      <w:r>
        <w:rPr>
          <w:rFonts w:hint="eastAsia" w:ascii="宋体" w:hAnsi="宋体" w:cs="Arial"/>
          <w:color w:val="000000"/>
          <w:sz w:val="24"/>
          <w:szCs w:val="24"/>
        </w:rPr>
        <w:t xml:space="preserve">中项目</w:t>
      </w:r>
      <w:r>
        <w:rPr>
          <w:rFonts w:hint="eastAsia" w:ascii="宋体" w:hAnsi="宋体" w:cs="Arial"/>
          <w:color w:val="000000"/>
          <w:sz w:val="24"/>
          <w:szCs w:val="24"/>
        </w:rPr>
        <w:t xml:space="preserve">经理等核心团队人员需严格按照响应文件中承诺人员进行配置，并及时与业主交流确认。项目团队整体人数不少于4人，至少有一名项目经理，未经业主同意，不得私自更换。</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项目经理应具有自2023年1月1日以来担任过信息化项目的项目经理，并持有信息系统项目管理师证书（高级）。</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技术负责人应具有自2023年1月1日以来担任过信息化项目的技术负责人（证明材料），并具备高级工程师资格证书。</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项目组成员（不含项目经理和技术负责人），应具有计算机相关专业学历，且具有系统集成项目管理工程师、大数据分析师（高级）证书、高级软件工程师证书。</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采购包2：危货运输监管提升</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(一）建设背景</w:t>
      </w:r>
      <w:r/>
    </w:p>
    <w:p>
      <w:pPr>
        <w:ind w:firstLine="480"/>
        <w:spacing w:line="360" w:lineRule="auto"/>
        <w:rPr>
          <w:rFonts w:hint="eastAsia" w:ascii="宋体" w:hAnsi="宋体"/>
          <w:sz w:val="24"/>
          <w:szCs w:val="24"/>
        </w:rPr>
      </w:pPr>
      <w:r>
        <w:rPr>
          <w:rFonts w:hint="eastAsia" w:ascii="宋体" w:hAnsi="宋体"/>
          <w:sz w:val="24"/>
          <w:szCs w:val="24"/>
        </w:rPr>
        <w:t xml:space="preserve">2024年江苏省交通运输厅发布《关于做好危险货物道路运输安全管理工作的通知》（苏交运函〔2024〕246号），提出要进一步做好危险货物道路运输安全管理工作，严控运输环节安全风险。积极协调工信、生态环境、应急、市场监管部门按照职责分工，督促其监管领域装货人严格落实“五必查”工作，提高核验率，强化装货环节安全管控，实现多部门齐抓共管的格局。</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(二）建设内容</w:t>
      </w:r>
      <w:r/>
    </w:p>
    <w:p>
      <w:pPr>
        <w:ind w:firstLine="42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危货运输监管主要包括港口数据监测、安全码应用、</w:t>
      </w:r>
      <w:r>
        <w:rPr>
          <w:rFonts w:hint="eastAsia" w:ascii="宋体" w:hAnsi="宋体"/>
          <w:sz w:val="24"/>
          <w:szCs w:val="24"/>
        </w:rPr>
        <w:t xml:space="preserve">危废运输</w:t>
      </w:r>
      <w:r>
        <w:rPr>
          <w:rFonts w:hint="eastAsia" w:ascii="宋体" w:hAnsi="宋体"/>
          <w:sz w:val="24"/>
          <w:szCs w:val="24"/>
        </w:rPr>
        <w:t xml:space="preserve">应急预案、电子</w:t>
      </w:r>
      <w:r>
        <w:rPr>
          <w:rFonts w:hint="eastAsia" w:ascii="宋体" w:hAnsi="宋体"/>
          <w:sz w:val="24"/>
          <w:szCs w:val="24"/>
        </w:rPr>
        <w:t xml:space="preserve">运单五</w:t>
      </w:r>
      <w:r>
        <w:rPr>
          <w:rFonts w:hint="eastAsia" w:ascii="宋体" w:hAnsi="宋体"/>
          <w:sz w:val="24"/>
          <w:szCs w:val="24"/>
        </w:rPr>
        <w:t xml:space="preserve">必查闭环处置等功能新增，以及与港口危险货物装货企业、化工园区、生态环境厅进行数据对接。</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1.港口数据监测</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新增闸机和车辆装卸数据查询模块，集中展示装货企业上传的全部闸机信息和车辆装卸信息，并支持多维</w:t>
      </w:r>
      <w:r>
        <w:rPr>
          <w:rFonts w:hint="eastAsia" w:ascii="宋体" w:hAnsi="宋体"/>
          <w:sz w:val="24"/>
          <w:szCs w:val="24"/>
        </w:rPr>
        <w:t xml:space="preserve">度快速</w:t>
      </w:r>
      <w:r>
        <w:rPr>
          <w:rFonts w:hint="eastAsia" w:ascii="宋体" w:hAnsi="宋体"/>
          <w:sz w:val="24"/>
          <w:szCs w:val="24"/>
        </w:rPr>
        <w:t xml:space="preserve">检索；无自建系统或无法对接的港口，提供闸机和车辆装卸数据录入入口，完成相关数据上报；同时增加港口对接数据质量监测功能和港口统计分析功能，提高数据监测的效率和准确性。</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2.安全码应用</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提供电子运单填报限制功能，限制</w:t>
      </w:r>
      <w:r>
        <w:rPr>
          <w:rFonts w:hint="eastAsia" w:ascii="宋体" w:hAnsi="宋体"/>
          <w:sz w:val="24"/>
          <w:szCs w:val="24"/>
        </w:rPr>
        <w:t xml:space="preserve">红码人员</w:t>
      </w:r>
      <w:r>
        <w:rPr>
          <w:rFonts w:hint="eastAsia" w:ascii="宋体" w:hAnsi="宋体"/>
          <w:sz w:val="24"/>
          <w:szCs w:val="24"/>
        </w:rPr>
        <w:t xml:space="preserve">和车辆生成电子运单，实现“安全码”与危险货物道路运输电子运单二</w:t>
      </w:r>
      <w:r>
        <w:rPr>
          <w:rFonts w:hint="eastAsia" w:ascii="宋体" w:hAnsi="宋体"/>
          <w:sz w:val="24"/>
          <w:szCs w:val="24"/>
        </w:rPr>
        <w:t xml:space="preserve">维码应用</w:t>
      </w:r>
      <w:r>
        <w:rPr>
          <w:rFonts w:hint="eastAsia" w:ascii="宋体" w:hAnsi="宋体"/>
          <w:sz w:val="24"/>
          <w:szCs w:val="24"/>
        </w:rPr>
        <w:t xml:space="preserve">的有效结合；同时基于江苏交通云APP新增外省电子运单展示功能。</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危废运输</w:t>
      </w:r>
      <w:r>
        <w:rPr>
          <w:rFonts w:hint="eastAsia" w:ascii="宋体" w:hAnsi="宋体"/>
          <w:sz w:val="24"/>
          <w:szCs w:val="24"/>
        </w:rPr>
        <w:t xml:space="preserve">应急预案</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构建</w:t>
      </w:r>
      <w:r>
        <w:rPr>
          <w:rFonts w:hint="eastAsia" w:ascii="宋体" w:hAnsi="宋体"/>
          <w:sz w:val="24"/>
          <w:szCs w:val="24"/>
        </w:rPr>
        <w:t xml:space="preserve">危废运输</w:t>
      </w:r>
      <w:r>
        <w:rPr>
          <w:rFonts w:hint="eastAsia" w:ascii="宋体" w:hAnsi="宋体"/>
          <w:sz w:val="24"/>
          <w:szCs w:val="24"/>
        </w:rPr>
        <w:t xml:space="preserve">应急保障机制，覆盖运单推送、五必查、出厂、到厂四大环节，确保在省生态环境厅系统突发故障时，运输流程</w:t>
      </w:r>
      <w:r>
        <w:rPr>
          <w:rFonts w:hint="eastAsia" w:ascii="宋体" w:hAnsi="宋体"/>
          <w:sz w:val="24"/>
          <w:szCs w:val="24"/>
        </w:rPr>
        <w:t xml:space="preserve">不</w:t>
      </w:r>
      <w:r>
        <w:rPr>
          <w:rFonts w:hint="eastAsia" w:ascii="宋体" w:hAnsi="宋体"/>
          <w:sz w:val="24"/>
          <w:szCs w:val="24"/>
        </w:rPr>
        <w:t xml:space="preserve">断档、数据可回溯、责任可追溯，实现业务连续性与合</w:t>
      </w:r>
      <w:r>
        <w:rPr>
          <w:rFonts w:hint="eastAsia" w:ascii="宋体" w:hAnsi="宋体"/>
          <w:sz w:val="24"/>
          <w:szCs w:val="24"/>
        </w:rPr>
        <w:t xml:space="preserve">规</w:t>
      </w:r>
      <w:r>
        <w:rPr>
          <w:rFonts w:hint="eastAsia" w:ascii="宋体" w:hAnsi="宋体"/>
          <w:sz w:val="24"/>
          <w:szCs w:val="24"/>
        </w:rPr>
        <w:t xml:space="preserve">监管双保障。</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4.电子</w:t>
      </w:r>
      <w:r>
        <w:rPr>
          <w:rFonts w:hint="eastAsia" w:ascii="宋体" w:hAnsi="宋体"/>
          <w:sz w:val="24"/>
          <w:szCs w:val="24"/>
        </w:rPr>
        <w:t xml:space="preserve">运单五</w:t>
      </w:r>
      <w:r>
        <w:rPr>
          <w:rFonts w:hint="eastAsia" w:ascii="宋体" w:hAnsi="宋体"/>
          <w:sz w:val="24"/>
          <w:szCs w:val="24"/>
        </w:rPr>
        <w:t xml:space="preserve">必查闭环处置</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电子运单“五必查”闭环处置涵盖异常监测、闭环处理与数据对接，通过扩充异常运单的监管类型，优化闭环处置流程，强化主管部门对危险货物道路运输风险的动态感知与快速处置能力。</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5.与港口危险货物装货企业数据对接</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与港口危险货物装货企业开展数据对接工作，对接内容涵盖港口装卸数据、闸机数据等。供应商应制定标准接口，企业依规将相关信息推送至电子运单系统，实现港口企业与电子运单系统之间的数据实时</w:t>
      </w:r>
      <w:r>
        <w:rPr>
          <w:rFonts w:hint="eastAsia" w:ascii="宋体" w:hAnsi="宋体"/>
          <w:sz w:val="24"/>
          <w:szCs w:val="24"/>
        </w:rPr>
        <w:t xml:space="preserve">交互与</w:t>
      </w:r>
      <w:r>
        <w:rPr>
          <w:rFonts w:hint="eastAsia" w:ascii="宋体" w:hAnsi="宋体"/>
          <w:sz w:val="24"/>
          <w:szCs w:val="24"/>
        </w:rPr>
        <w:t xml:space="preserve">共享，并承担对接费用。</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6.与化工园区数据对接</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与化工园区开展数据对接工作，对接内容涵盖化工园区基本信息、园区内所辖企业信息以及园区所辖企业的装卸数据等。供应商应制定标准接口，将相关信息推送至电子运单系统，实现化工园区与电子运单系统之间的数据共享与业务协同，并承担对接费用。</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7.与生态环境厅系统对接</w:t>
      </w:r>
      <w:r/>
    </w:p>
    <w:p>
      <w:pPr>
        <w:ind w:firstLine="480"/>
        <w:jc w:val="left"/>
        <w:spacing w:line="360" w:lineRule="auto"/>
        <w:shd w:val="clear" w:color="auto" w:fill="ffffff"/>
        <w:widowControl/>
        <w:rPr>
          <w:rFonts w:hint="eastAsia" w:ascii="宋体" w:hAnsi="宋体"/>
          <w:sz w:val="24"/>
          <w:szCs w:val="24"/>
        </w:rPr>
      </w:pPr>
      <w:r>
        <w:rPr>
          <w:rFonts w:ascii="宋体" w:hAnsi="宋体"/>
          <w:sz w:val="24"/>
          <w:szCs w:val="24"/>
        </w:rPr>
        <w:t xml:space="preserve">与生态环境厅开展数据对接工作，对接内容涵盖危险废物转移联单信息、五必查信息等</w:t>
      </w:r>
      <w:r>
        <w:rPr>
          <w:rFonts w:hint="eastAsia" w:ascii="宋体" w:hAnsi="宋体"/>
          <w:sz w:val="24"/>
          <w:szCs w:val="24"/>
        </w:rPr>
        <w:t xml:space="preserve">。实现小</w:t>
      </w:r>
      <w:r>
        <w:rPr>
          <w:rFonts w:hint="eastAsia" w:ascii="宋体" w:hAnsi="宋体"/>
          <w:sz w:val="24"/>
          <w:szCs w:val="24"/>
        </w:rPr>
        <w:t xml:space="preserve">微企业</w:t>
      </w:r>
      <w:r>
        <w:rPr>
          <w:rFonts w:hint="eastAsia" w:ascii="宋体" w:hAnsi="宋体"/>
          <w:sz w:val="24"/>
          <w:szCs w:val="24"/>
        </w:rPr>
        <w:t xml:space="preserve">联单、货物及五必查数据的一站式接收、智能匹配与实时核验，并同步建立可即时调用的小</w:t>
      </w:r>
      <w:r>
        <w:rPr>
          <w:rFonts w:hint="eastAsia" w:ascii="宋体" w:hAnsi="宋体"/>
          <w:sz w:val="24"/>
          <w:szCs w:val="24"/>
        </w:rPr>
        <w:t xml:space="preserve">微产废</w:t>
      </w:r>
      <w:r>
        <w:rPr>
          <w:rFonts w:hint="eastAsia" w:ascii="宋体" w:hAnsi="宋体"/>
          <w:sz w:val="24"/>
          <w:szCs w:val="24"/>
        </w:rPr>
        <w:t xml:space="preserve">名录，为运输企业提供便捷准确的填报支撑。供应商应制定标准接口，</w:t>
      </w:r>
      <w:r>
        <w:rPr>
          <w:rFonts w:ascii="宋体" w:hAnsi="宋体"/>
          <w:sz w:val="24"/>
          <w:szCs w:val="24"/>
        </w:rPr>
        <w:t xml:space="preserve">并承担对接费用。</w:t>
      </w:r>
      <w:r>
        <w:rPr>
          <w:rFonts w:hint="eastAsia" w:ascii="宋体" w:hAnsi="宋体"/>
          <w:sz w:val="24"/>
          <w:szCs w:val="24"/>
        </w:rPr>
        <w:br/>
      </w:r>
      <w:r>
        <w:rPr>
          <w:rFonts w:hint="eastAsia" w:ascii="宋体" w:hAnsi="宋体"/>
          <w:b/>
          <w:bCs/>
          <w:sz w:val="24"/>
          <w:szCs w:val="24"/>
        </w:rPr>
        <w:t xml:space="preserve">(三）技术要求</w:t>
      </w:r>
      <w:r/>
    </w:p>
    <w:p>
      <w:pPr>
        <w:pStyle w:val="957"/>
        <w:ind w:firstLine="480"/>
        <w:spacing w:line="360" w:lineRule="auto"/>
        <w:rPr>
          <w:rFonts w:hint="eastAsia" w:ascii="宋体" w:hAnsi="宋体"/>
          <w:sz w:val="24"/>
          <w:szCs w:val="24"/>
        </w:rPr>
      </w:pPr>
      <w:r>
        <w:rPr>
          <w:rFonts w:hint="eastAsia" w:ascii="宋体" w:hAnsi="宋体"/>
          <w:sz w:val="24"/>
          <w:szCs w:val="24"/>
        </w:rPr>
        <w:t xml:space="preserve">1.系统可用性</w:t>
      </w:r>
      <w:r/>
    </w:p>
    <w:p>
      <w:pPr>
        <w:pStyle w:val="957"/>
        <w:ind w:firstLine="480"/>
        <w:spacing w:line="360" w:lineRule="auto"/>
        <w:rPr>
          <w:rFonts w:hint="eastAsia" w:ascii="宋体" w:hAnsi="宋体"/>
          <w:sz w:val="24"/>
          <w:szCs w:val="24"/>
        </w:rPr>
      </w:pPr>
      <w:r>
        <w:rPr>
          <w:rFonts w:hint="eastAsia" w:ascii="宋体" w:hAnsi="宋体"/>
          <w:sz w:val="24"/>
          <w:szCs w:val="24"/>
        </w:rPr>
        <w:t xml:space="preserve">本次建设内容可用性要求较高，要求高可用性A≥99.99%，系统需确保7×24小时高效运转，不存在“单点故障”。保证系统具有极高的运行质量，能够支持7×24小时连续不间断工作。在出现故障的时候，必须能够及时提供应急措施，以确保整个业务系统的不中断。平均年故障时间：&lt;1天，平均故障修复时间：&lt;2小时。</w:t>
      </w:r>
      <w:r/>
    </w:p>
    <w:p>
      <w:pPr>
        <w:pStyle w:val="957"/>
        <w:ind w:firstLine="480"/>
        <w:spacing w:line="360" w:lineRule="auto"/>
        <w:rPr>
          <w:rFonts w:hint="eastAsia" w:ascii="宋体" w:hAnsi="宋体"/>
          <w:sz w:val="24"/>
          <w:szCs w:val="24"/>
        </w:rPr>
      </w:pPr>
      <w:r>
        <w:rPr>
          <w:rFonts w:hint="eastAsia" w:ascii="宋体" w:hAnsi="宋体"/>
          <w:sz w:val="24"/>
          <w:szCs w:val="24"/>
        </w:rPr>
        <w:t xml:space="preserve">2.系统可扩展性</w:t>
      </w:r>
      <w:r/>
    </w:p>
    <w:p>
      <w:pPr>
        <w:pStyle w:val="957"/>
        <w:ind w:firstLine="480"/>
        <w:spacing w:line="360" w:lineRule="auto"/>
        <w:rPr>
          <w:rFonts w:hint="eastAsia" w:ascii="宋体" w:hAnsi="宋体"/>
          <w:sz w:val="24"/>
          <w:szCs w:val="24"/>
        </w:rPr>
      </w:pPr>
      <w:r>
        <w:rPr>
          <w:rFonts w:hint="eastAsia" w:ascii="宋体" w:hAnsi="宋体"/>
          <w:sz w:val="24"/>
          <w:szCs w:val="24"/>
        </w:rPr>
        <w:t xml:space="preserve">充分考虑未来业务量及业务种类增长的需求，同时也要考虑与行政管理体制的配合和协调。软件规模具有可调性；新的软件模块即插即用，新功能、新业务的增加能够在不影响平台运行的情况下实现；系统要具备逐步升级能力的结构采用模块化设计；可动态增加服务器，增加处理能力，能够实现负载平衡。</w:t>
      </w:r>
      <w:r/>
    </w:p>
    <w:p>
      <w:pPr>
        <w:pStyle w:val="957"/>
        <w:ind w:firstLine="480"/>
        <w:spacing w:line="360" w:lineRule="auto"/>
        <w:rPr>
          <w:rFonts w:hint="eastAsia" w:ascii="宋体" w:hAnsi="宋体"/>
          <w:sz w:val="24"/>
          <w:szCs w:val="24"/>
        </w:rPr>
      </w:pPr>
      <w:r>
        <w:rPr>
          <w:rFonts w:hint="eastAsia" w:ascii="宋体" w:hAnsi="宋体"/>
          <w:sz w:val="24"/>
          <w:szCs w:val="24"/>
        </w:rPr>
        <w:t xml:space="preserve">3.系统并发处理能力</w:t>
      </w:r>
      <w:r/>
    </w:p>
    <w:p>
      <w:pPr>
        <w:pStyle w:val="957"/>
        <w:ind w:firstLine="480"/>
        <w:spacing w:line="360" w:lineRule="auto"/>
        <w:rPr>
          <w:rFonts w:hint="eastAsia" w:ascii="宋体" w:hAnsi="宋体"/>
          <w:sz w:val="24"/>
          <w:szCs w:val="24"/>
        </w:rPr>
      </w:pPr>
      <w:r>
        <w:rPr>
          <w:rFonts w:hint="eastAsia" w:ascii="宋体" w:hAnsi="宋体"/>
          <w:sz w:val="24"/>
          <w:szCs w:val="24"/>
        </w:rPr>
        <w:t xml:space="preserve">按照目前的网络带宽、服务器性能和系统访问量的预测，系统建设应支持不低于100用户并发和不低于1000用户同时在线。</w:t>
      </w:r>
      <w:r/>
    </w:p>
    <w:p>
      <w:pPr>
        <w:pStyle w:val="957"/>
        <w:ind w:firstLine="480"/>
        <w:spacing w:line="360" w:lineRule="auto"/>
        <w:rPr>
          <w:rFonts w:hint="eastAsia" w:ascii="宋体" w:hAnsi="宋体"/>
          <w:sz w:val="24"/>
          <w:szCs w:val="24"/>
        </w:rPr>
      </w:pPr>
      <w:r>
        <w:rPr>
          <w:rFonts w:hint="eastAsia" w:ascii="宋体" w:hAnsi="宋体"/>
          <w:sz w:val="24"/>
          <w:szCs w:val="24"/>
        </w:rPr>
        <w:t xml:space="preserve">4.系统响应时间</w:t>
      </w:r>
      <w:r/>
    </w:p>
    <w:p>
      <w:pPr>
        <w:pStyle w:val="957"/>
        <w:ind w:firstLine="480"/>
        <w:spacing w:line="360" w:lineRule="auto"/>
        <w:rPr>
          <w:rFonts w:hint="eastAsia" w:ascii="宋体" w:hAnsi="宋体"/>
          <w:sz w:val="24"/>
          <w:szCs w:val="24"/>
        </w:rPr>
      </w:pPr>
      <w:r>
        <w:rPr>
          <w:rFonts w:hint="eastAsia" w:ascii="宋体" w:hAnsi="宋体"/>
          <w:sz w:val="24"/>
          <w:szCs w:val="24"/>
        </w:rPr>
        <w:t xml:space="preserve">系统应具有良好的运行速度，能够完成所要求的所有操作功能，考虑到不同类型用户对响应时间的忍耐程度，结合业务对系统响应时间的要求，平台访问应用响应时间&lt;3秒；事务处理查询平均3秒，复杂分析查询最长&lt;4秒。在网络稳定的环境下，操作性界面单一操作的系统响应时间&lt;3秒，高峰期&lt;4秒。</w:t>
      </w:r>
      <w:r/>
    </w:p>
    <w:p>
      <w:pPr>
        <w:pStyle w:val="957"/>
        <w:ind w:firstLine="480"/>
        <w:spacing w:line="360" w:lineRule="auto"/>
        <w:rPr>
          <w:rFonts w:hint="eastAsia" w:ascii="宋体" w:hAnsi="宋体"/>
          <w:sz w:val="24"/>
          <w:szCs w:val="24"/>
        </w:rPr>
      </w:pPr>
      <w:r>
        <w:rPr>
          <w:rFonts w:hint="eastAsia" w:ascii="宋体" w:hAnsi="宋体"/>
          <w:sz w:val="24"/>
          <w:szCs w:val="24"/>
        </w:rPr>
        <w:t xml:space="preserve">5.系统易用性</w:t>
      </w:r>
      <w:r/>
    </w:p>
    <w:p>
      <w:pPr>
        <w:pStyle w:val="957"/>
        <w:ind w:firstLine="480"/>
        <w:spacing w:line="360" w:lineRule="auto"/>
        <w:rPr>
          <w:rFonts w:hint="eastAsia" w:ascii="宋体" w:hAnsi="宋体"/>
          <w:sz w:val="24"/>
          <w:szCs w:val="24"/>
        </w:rPr>
      </w:pPr>
      <w:r>
        <w:rPr>
          <w:rFonts w:hint="eastAsia" w:ascii="宋体" w:hAnsi="宋体"/>
          <w:sz w:val="24"/>
          <w:szCs w:val="24"/>
        </w:rPr>
        <w:t xml:space="preserve">平台界面应简洁、清晰、柔和、美观、大方，操作简单方便。终端和管理端界面具有统一界面风格；输入框提示明确，必输项有明确标识，并具备一定的检错功能，避免数据录入错误；支持快捷操作方式。</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(四）商务要求</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1．交货期：自合同签订之日起8</w:t>
      </w:r>
      <w:r>
        <w:rPr>
          <w:rFonts w:ascii="宋体" w:hAnsi="宋体"/>
          <w:sz w:val="24"/>
          <w:szCs w:val="24"/>
        </w:rPr>
        <w:t xml:space="preserve">个月内</w:t>
      </w:r>
      <w:r>
        <w:rPr>
          <w:rFonts w:hint="eastAsia" w:ascii="宋体" w:hAnsi="宋体"/>
          <w:sz w:val="24"/>
          <w:szCs w:val="24"/>
        </w:rPr>
        <w:t xml:space="preserve">完成开发、部署、集成和测试等工作，进入试运行阶段。</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2．交货方式：现场交货验货，并提交相关交付物。</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3．交货地点：南京市升州路16号。</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4．货款支付：</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sz w:val="24"/>
          <w:szCs w:val="24"/>
        </w:rPr>
        <w:t xml:space="preserve">合同签订后</w:t>
      </w:r>
      <w:r>
        <w:rPr>
          <w:rFonts w:hint="eastAsia" w:ascii="宋体" w:hAnsi="宋体"/>
          <w:color w:val="000000"/>
          <w:sz w:val="24"/>
          <w:szCs w:val="24"/>
        </w:rPr>
        <w:t xml:space="preserve">，在采购人收到发票后</w:t>
      </w:r>
      <w:r>
        <w:rPr>
          <w:rFonts w:ascii="宋体" w:hAnsi="宋体"/>
          <w:color w:val="000000"/>
          <w:sz w:val="24"/>
          <w:szCs w:val="24"/>
        </w:rPr>
        <w:t xml:space="preserve">20</w:t>
      </w:r>
      <w:r>
        <w:rPr>
          <w:rFonts w:hint="eastAsia" w:ascii="宋体" w:hAnsi="宋体"/>
          <w:color w:val="000000"/>
          <w:sz w:val="24"/>
          <w:szCs w:val="24"/>
        </w:rPr>
        <w:t xml:space="preserve">日内，甲方支付合同总价5</w:t>
      </w:r>
      <w:r>
        <w:rPr>
          <w:rFonts w:ascii="宋体" w:hAnsi="宋体"/>
          <w:color w:val="000000"/>
          <w:sz w:val="24"/>
          <w:szCs w:val="24"/>
        </w:rPr>
        <w:t xml:space="preserve">0</w:t>
      </w:r>
      <w:r>
        <w:rPr>
          <w:rFonts w:hint="eastAsia" w:ascii="宋体" w:hAnsi="宋体"/>
          <w:color w:val="000000"/>
          <w:sz w:val="24"/>
          <w:szCs w:val="24"/>
        </w:rPr>
        <w:t xml:space="preserve">%的款项；供应商完成产品的交付，经采购人验收合格后，在采购人收到发票后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0日内，支付合同剩余款项。</w:t>
      </w:r>
      <w:r/>
    </w:p>
    <w:p>
      <w:pPr>
        <w:pStyle w:val="957"/>
        <w:ind w:firstLine="480"/>
        <w:spacing w:line="360" w:lineRule="auto"/>
        <w:rPr>
          <w:rFonts w:hint="eastAsia" w:ascii="宋体" w:hAnsi="宋体"/>
          <w:bCs/>
          <w:sz w:val="24"/>
          <w:szCs w:val="24"/>
        </w:rPr>
      </w:pPr>
      <w:r/>
      <w:bookmarkStart w:id="199" w:name="_Hlk211074493"/>
      <w:r>
        <w:rPr>
          <w:rFonts w:hint="eastAsia" w:ascii="宋体" w:hAnsi="宋体"/>
          <w:bCs/>
          <w:sz w:val="24"/>
          <w:szCs w:val="24"/>
        </w:rPr>
        <w:t xml:space="preserve">5.</w:t>
      </w:r>
      <w:r>
        <w:rPr>
          <w:rFonts w:ascii="宋体" w:hAnsi="宋体"/>
          <w:bCs/>
          <w:sz w:val="24"/>
          <w:szCs w:val="24"/>
        </w:rPr>
        <w:t xml:space="preserve">其他要求</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（1）项目属性:服务类项目。</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（2）进口</w:t>
      </w:r>
      <w:r>
        <w:rPr>
          <w:rFonts w:ascii="宋体" w:hAnsi="宋体"/>
          <w:bCs/>
          <w:sz w:val="24"/>
          <w:szCs w:val="24"/>
        </w:rPr>
        <w:t xml:space="preserve">产品</w:t>
      </w:r>
      <w:r>
        <w:rPr>
          <w:rFonts w:hint="eastAsia" w:ascii="宋体" w:hAnsi="宋体"/>
          <w:bCs/>
          <w:sz w:val="24"/>
          <w:szCs w:val="24"/>
        </w:rPr>
        <w:t xml:space="preserve">投标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3"/>
        <w:gridCol w:w="3785"/>
      </w:tblGrid>
      <w:tr>
        <w:trPr>
          <w:jc w:val="center"/>
        </w:trPr>
        <w:tc>
          <w:tcPr>
            <w:tcW w:w="1363"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采购包号</w:t>
            </w:r>
            <w:r/>
          </w:p>
        </w:tc>
        <w:tc>
          <w:tcPr>
            <w:tcW w:w="3785"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是否接受</w:t>
            </w:r>
            <w:r>
              <w:rPr>
                <w:rFonts w:ascii="宋体" w:hAnsi="宋体"/>
                <w:bCs/>
                <w:sz w:val="24"/>
                <w:szCs w:val="24"/>
              </w:rPr>
              <w:t xml:space="preserve">进口产品投标</w:t>
            </w:r>
            <w:r>
              <w:rPr>
                <w:rFonts w:hint="eastAsia" w:ascii="宋体" w:hAnsi="宋体"/>
                <w:bCs/>
                <w:sz w:val="24"/>
                <w:szCs w:val="24"/>
              </w:rPr>
              <w:t xml:space="preserve">（是/否）</w:t>
            </w:r>
            <w:r/>
          </w:p>
        </w:tc>
      </w:tr>
      <w:tr>
        <w:trPr>
          <w:jc w:val="center"/>
        </w:trPr>
        <w:tc>
          <w:tcPr>
            <w:tcW w:w="1363"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3785" w:type="dxa"/>
            <w:vAlign w:val="center"/>
            <w:textDirection w:val="lrTb"/>
            <w:noWrap w:val="false"/>
          </w:tcPr>
          <w:p>
            <w:pPr>
              <w:pStyle w:val="957"/>
              <w:ind w:firstLine="0"/>
              <w:jc w:val="center"/>
              <w:spacing w:line="360" w:lineRule="auto"/>
              <w:rPr>
                <w:rFonts w:hint="eastAsia" w:ascii="宋体" w:hAnsi="宋体"/>
                <w:bCs/>
                <w:sz w:val="24"/>
                <w:szCs w:val="24"/>
              </w:rPr>
            </w:pPr>
            <w:r>
              <w:rPr>
                <w:rFonts w:hint="eastAsia" w:ascii="宋体" w:hAnsi="宋体"/>
                <w:bCs/>
                <w:sz w:val="24"/>
                <w:szCs w:val="24"/>
              </w:rPr>
              <w:t xml:space="preserve">否</w:t>
            </w:r>
            <w:r/>
          </w:p>
        </w:tc>
      </w:tr>
    </w:tbl>
    <w:p>
      <w:pPr>
        <w:spacing w:line="360" w:lineRule="auto"/>
        <w:rPr>
          <w:rFonts w:hint="eastAsia" w:ascii="宋体" w:hAnsi="宋体"/>
          <w:b/>
          <w:bCs/>
          <w:sz w:val="24"/>
          <w:szCs w:val="24"/>
        </w:rPr>
      </w:pPr>
      <w:r/>
      <w:bookmarkStart w:id="200" w:name="_Hlk211074564"/>
      <w:r/>
      <w:bookmarkEnd w:id="199"/>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(五）方案要求</w:t>
      </w:r>
      <w:bookmarkEnd w:id="200"/>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1、项目理解</w:t>
      </w:r>
      <w:r/>
    </w:p>
    <w:p>
      <w:pPr>
        <w:pStyle w:val="957"/>
        <w:ind w:firstLine="480"/>
        <w:spacing w:line="360" w:lineRule="auto"/>
        <w:rPr>
          <w:rFonts w:hint="eastAsia" w:ascii="宋体" w:hAnsi="宋体"/>
          <w:sz w:val="24"/>
          <w:szCs w:val="24"/>
        </w:rPr>
      </w:pPr>
      <w:r>
        <w:rPr>
          <w:rFonts w:hint="eastAsia" w:ascii="宋体" w:hAnsi="宋体"/>
          <w:sz w:val="24"/>
          <w:szCs w:val="24"/>
        </w:rPr>
        <w:t xml:space="preserve">供应商应对项目背景、建设目标、建设内容、必要性分析相关内容进行充分梳理和理解。通过系统性阐述项目建设背景，梳理项目具体建设内容，全面覆盖招标人实际建设需求，体现项目建设的目标和必要性。</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2、总体设计方案</w:t>
      </w:r>
      <w:r/>
    </w:p>
    <w:p>
      <w:pPr>
        <w:pStyle w:val="957"/>
        <w:ind w:firstLine="480"/>
        <w:spacing w:line="360" w:lineRule="auto"/>
        <w:rPr>
          <w:rFonts w:hint="eastAsia" w:ascii="宋体" w:hAnsi="宋体"/>
          <w:sz w:val="24"/>
          <w:szCs w:val="24"/>
        </w:rPr>
      </w:pPr>
      <w:r>
        <w:rPr>
          <w:rFonts w:hint="eastAsia" w:ascii="宋体" w:hAnsi="宋体"/>
          <w:sz w:val="24"/>
          <w:szCs w:val="24"/>
        </w:rPr>
        <w:t xml:space="preserve">供应商应</w:t>
      </w:r>
      <w:r>
        <w:rPr>
          <w:rFonts w:ascii="宋体" w:hAnsi="宋体"/>
          <w:sz w:val="24"/>
          <w:szCs w:val="24"/>
        </w:rPr>
        <w:t xml:space="preserve">根据</w:t>
      </w:r>
      <w:r>
        <w:rPr>
          <w:rFonts w:hint="eastAsia" w:ascii="宋体" w:hAnsi="宋体"/>
          <w:sz w:val="24"/>
          <w:szCs w:val="24"/>
        </w:rPr>
        <w:t xml:space="preserve">招标建设内容要求及本项目特点</w:t>
      </w:r>
      <w:r>
        <w:rPr>
          <w:rFonts w:ascii="宋体" w:hAnsi="宋体"/>
          <w:sz w:val="24"/>
          <w:szCs w:val="24"/>
        </w:rPr>
        <w:t xml:space="preserve">，</w:t>
      </w:r>
      <w:r>
        <w:rPr>
          <w:rFonts w:hint="eastAsia" w:ascii="宋体" w:hAnsi="宋体"/>
          <w:sz w:val="24"/>
          <w:szCs w:val="24"/>
        </w:rPr>
        <w:t xml:space="preserve">制订项目总体设计方案，从系统架构、业务架构、部署架构、业务流程和系统功能等方面内容进行详细设计和阐述。</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3、项目实施方案</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供应商应</w:t>
      </w:r>
      <w:r>
        <w:rPr>
          <w:rFonts w:ascii="宋体" w:hAnsi="宋体"/>
          <w:bCs/>
          <w:sz w:val="24"/>
          <w:szCs w:val="24"/>
        </w:rPr>
        <w:t xml:space="preserve">根据</w:t>
      </w:r>
      <w:r>
        <w:rPr>
          <w:rFonts w:hint="eastAsia" w:ascii="宋体" w:hAnsi="宋体"/>
          <w:bCs/>
          <w:sz w:val="24"/>
          <w:szCs w:val="24"/>
        </w:rPr>
        <w:t xml:space="preserve">磋商文件要求及本项目特点</w:t>
      </w:r>
      <w:r>
        <w:rPr>
          <w:rFonts w:ascii="宋体" w:hAnsi="宋体"/>
          <w:bCs/>
          <w:sz w:val="24"/>
          <w:szCs w:val="24"/>
        </w:rPr>
        <w:t xml:space="preserve">，</w:t>
      </w:r>
      <w:r>
        <w:rPr>
          <w:rFonts w:hint="eastAsia" w:ascii="宋体" w:hAnsi="宋体"/>
          <w:bCs/>
          <w:sz w:val="24"/>
          <w:szCs w:val="24"/>
        </w:rPr>
        <w:t xml:space="preserve">制订项目实施方案，包括</w:t>
      </w:r>
      <w:r>
        <w:rPr>
          <w:rFonts w:hint="eastAsia" w:ascii="宋体" w:hAnsi="宋体"/>
          <w:bCs/>
          <w:color w:val="000000"/>
          <w:sz w:val="24"/>
          <w:szCs w:val="24"/>
        </w:rPr>
        <w:t xml:space="preserve">进度计划、组织机构、岗位职责、人员配置安排、项目过程管理措施、质量保障措施等</w:t>
      </w:r>
      <w:r>
        <w:rPr>
          <w:rFonts w:hint="eastAsia" w:ascii="宋体" w:hAnsi="宋体"/>
          <w:bCs/>
          <w:sz w:val="24"/>
          <w:szCs w:val="24"/>
        </w:rPr>
        <w:t xml:space="preserve">。实施方案应做到完整全面、科学可行，并有针对性，配备具有相应资质和经验的项目经理及技术服务人员，应服从采购人管理要求，确保在规定的交付时限内完成。</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4、培训要求</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供应商应</w:t>
      </w:r>
      <w:r>
        <w:rPr>
          <w:rFonts w:ascii="宋体" w:hAnsi="宋体"/>
          <w:bCs/>
          <w:sz w:val="24"/>
          <w:szCs w:val="24"/>
        </w:rPr>
        <w:t xml:space="preserve">根据</w:t>
      </w:r>
      <w:r>
        <w:rPr>
          <w:rFonts w:hint="eastAsia" w:ascii="宋体" w:hAnsi="宋体"/>
          <w:bCs/>
          <w:sz w:val="24"/>
          <w:szCs w:val="24"/>
        </w:rPr>
        <w:t xml:space="preserve">磋商文件要求及本项目特点，制订项目的培训计划、培训内容并提供培训课程。供应商应安排具备相应资质和经验的技术人员，对采购单位的使用部门人员进行使用培训，确保相关人员能熟练系统的日常使用及维护。</w:t>
      </w:r>
      <w:r/>
    </w:p>
    <w:p>
      <w:pPr>
        <w:pStyle w:val="957"/>
        <w:ind w:firstLine="480"/>
        <w:spacing w:line="360" w:lineRule="auto"/>
        <w:rPr>
          <w:rFonts w:hint="eastAsia" w:ascii="宋体" w:hAnsi="宋体"/>
          <w:bCs/>
          <w:sz w:val="24"/>
          <w:szCs w:val="24"/>
        </w:rPr>
      </w:pPr>
      <w:r>
        <w:rPr>
          <w:rFonts w:hint="eastAsia" w:ascii="宋体" w:hAnsi="宋体"/>
          <w:bCs/>
          <w:sz w:val="24"/>
          <w:szCs w:val="24"/>
        </w:rPr>
        <w:t xml:space="preserve">5、服务要求</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供应商应制订有关的管理制度，提供运</w:t>
      </w:r>
      <w:r>
        <w:rPr>
          <w:rFonts w:hint="eastAsia" w:ascii="宋体" w:hAnsi="宋体"/>
          <w:sz w:val="24"/>
          <w:szCs w:val="24"/>
        </w:rPr>
        <w:t xml:space="preserve">维人员</w:t>
      </w:r>
      <w:r>
        <w:rPr>
          <w:rFonts w:hint="eastAsia" w:ascii="宋体" w:hAnsi="宋体"/>
          <w:sz w:val="24"/>
          <w:szCs w:val="24"/>
        </w:rPr>
        <w:t xml:space="preserve">的数量、素质、技术水平及运维服务的响应标准、服务体系、故障解决方案等服务方案；服务方案应科学合理、具备针对性，并指定专门的运维服务人员，确保维保期电话30分钟响应，8小时内到现场，24小时内解决问题。</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(六）演示要求</w:t>
      </w:r>
      <w:r/>
    </w:p>
    <w:p>
      <w:pPr>
        <w:ind w:firstLine="420"/>
        <w:spacing w:line="360" w:lineRule="auto"/>
        <w:rPr>
          <w:rFonts w:hint="eastAsia" w:ascii="宋体" w:hAnsi="宋体"/>
          <w:sz w:val="24"/>
          <w:szCs w:val="24"/>
        </w:rPr>
      </w:pPr>
      <w:r>
        <w:rPr>
          <w:rFonts w:hint="eastAsia" w:ascii="宋体" w:hAnsi="宋体"/>
          <w:sz w:val="24"/>
          <w:szCs w:val="24"/>
        </w:rPr>
        <w:t xml:space="preserve">1.供应商需按照磋商文件规定的演示内容制作演示视频文件，视频文件的格式为*.mp4或*.</w:t>
      </w:r>
      <w:r>
        <w:rPr>
          <w:rFonts w:hint="eastAsia" w:ascii="宋体" w:hAnsi="宋体"/>
          <w:sz w:val="24"/>
          <w:szCs w:val="24"/>
        </w:rPr>
        <w:t xml:space="preserve">avi</w:t>
      </w:r>
      <w:r>
        <w:rPr>
          <w:rFonts w:hint="eastAsia" w:ascii="宋体" w:hAnsi="宋体"/>
          <w:sz w:val="24"/>
          <w:szCs w:val="24"/>
        </w:rPr>
        <w:t xml:space="preserve">，供应商须将视频文件分段压缩为*.zip文件上传（单个文件不得大于100M，所有文件总共不得大于300M）。文件上</w:t>
      </w:r>
      <w:r>
        <w:rPr>
          <w:rFonts w:hint="eastAsia" w:ascii="宋体" w:hAnsi="宋体"/>
          <w:sz w:val="24"/>
          <w:szCs w:val="24"/>
        </w:rPr>
        <w:t xml:space="preserve">传方式见</w:t>
      </w:r>
      <w:r>
        <w:rPr>
          <w:rFonts w:hint="eastAsia" w:ascii="宋体" w:hAnsi="宋体"/>
          <w:sz w:val="24"/>
          <w:szCs w:val="24"/>
        </w:rPr>
        <w:t xml:space="preserve">《操作手册》规定，上传的演示视频将作为投标文件的组成部分，视频时长总计不超过15分钟。</w:t>
      </w:r>
      <w:r/>
    </w:p>
    <w:p>
      <w:pPr>
        <w:ind w:firstLine="420"/>
        <w:spacing w:line="360" w:lineRule="auto"/>
        <w:rPr>
          <w:rFonts w:hint="eastAsia" w:ascii="宋体" w:hAnsi="宋体"/>
          <w:sz w:val="24"/>
          <w:szCs w:val="24"/>
        </w:rPr>
      </w:pPr>
      <w:r>
        <w:rPr>
          <w:rFonts w:hint="eastAsia" w:ascii="宋体" w:hAnsi="宋体"/>
          <w:sz w:val="24"/>
          <w:szCs w:val="24"/>
        </w:rPr>
        <w:t xml:space="preserve">2.演示内容如下：</w:t>
      </w:r>
      <w:r/>
    </w:p>
    <w:p>
      <w:pPr>
        <w:ind w:firstLine="420"/>
        <w:spacing w:line="360" w:lineRule="auto"/>
        <w:rPr>
          <w:rFonts w:hint="eastAsia" w:ascii="宋体" w:hAnsi="宋体"/>
          <w:sz w:val="24"/>
          <w:szCs w:val="24"/>
        </w:rPr>
      </w:pPr>
      <w:r>
        <w:rPr>
          <w:rFonts w:hint="eastAsia" w:ascii="宋体" w:hAnsi="宋体"/>
          <w:sz w:val="24"/>
          <w:szCs w:val="24"/>
        </w:rPr>
        <w:t xml:space="preserve">（1）数据监测功能演示</w:t>
      </w:r>
      <w:r/>
    </w:p>
    <w:p>
      <w:pPr>
        <w:ind w:left="420" w:firstLine="420"/>
        <w:spacing w:line="360" w:lineRule="auto"/>
        <w:rPr>
          <w:rFonts w:hint="eastAsia" w:ascii="宋体" w:hAnsi="宋体"/>
          <w:sz w:val="24"/>
          <w:szCs w:val="24"/>
        </w:rPr>
      </w:pPr>
      <w:r>
        <w:rPr>
          <w:rFonts w:hint="eastAsia" w:ascii="宋体" w:hAnsi="宋体"/>
          <w:sz w:val="24"/>
          <w:szCs w:val="24"/>
        </w:rPr>
        <w:t xml:space="preserve">演示运单异常监测功能，包括运单总数、填报异常、行前测评异常、五必查异常、定位数据对比异常等。</w:t>
      </w:r>
      <w:r/>
    </w:p>
    <w:p>
      <w:pPr>
        <w:ind w:left="420" w:firstLine="420"/>
        <w:spacing w:line="360" w:lineRule="auto"/>
        <w:rPr>
          <w:rFonts w:hint="eastAsia" w:ascii="宋体" w:hAnsi="宋体"/>
          <w:sz w:val="24"/>
          <w:szCs w:val="24"/>
        </w:rPr>
      </w:pPr>
      <w:r>
        <w:rPr>
          <w:rFonts w:hint="eastAsia" w:ascii="宋体" w:hAnsi="宋体"/>
          <w:sz w:val="24"/>
          <w:szCs w:val="24"/>
        </w:rPr>
        <w:t xml:space="preserve">演示港口闸机与闸机统计，集中展示装货企业车辆出闸入闸信息，可灵</w:t>
      </w:r>
      <w:r>
        <w:rPr>
          <w:rFonts w:hint="eastAsia" w:ascii="宋体" w:hAnsi="宋体"/>
          <w:sz w:val="24"/>
          <w:szCs w:val="24"/>
        </w:rPr>
        <w:t xml:space="preserve">活设置展示列表，支持多维</w:t>
      </w:r>
      <w:r>
        <w:rPr>
          <w:rFonts w:hint="eastAsia" w:ascii="宋体" w:hAnsi="宋体"/>
          <w:sz w:val="24"/>
          <w:szCs w:val="24"/>
        </w:rPr>
        <w:t xml:space="preserve">度快速</w:t>
      </w:r>
      <w:r>
        <w:rPr>
          <w:rFonts w:hint="eastAsia" w:ascii="宋体" w:hAnsi="宋体"/>
          <w:sz w:val="24"/>
          <w:szCs w:val="24"/>
        </w:rPr>
        <w:t xml:space="preserve">检索，可统计各企业车辆出入</w:t>
      </w:r>
      <w:r>
        <w:rPr>
          <w:rFonts w:hint="eastAsia" w:ascii="宋体" w:hAnsi="宋体"/>
          <w:sz w:val="24"/>
          <w:szCs w:val="24"/>
        </w:rPr>
        <w:t xml:space="preserve">闸</w:t>
      </w:r>
      <w:r>
        <w:rPr>
          <w:rFonts w:hint="eastAsia" w:ascii="宋体" w:hAnsi="宋体"/>
          <w:sz w:val="24"/>
          <w:szCs w:val="24"/>
        </w:rPr>
        <w:t xml:space="preserve">数据上传情况。</w:t>
      </w:r>
      <w:r/>
    </w:p>
    <w:p>
      <w:pPr>
        <w:ind w:left="420" w:firstLine="420"/>
        <w:spacing w:line="360" w:lineRule="auto"/>
        <w:rPr>
          <w:rFonts w:hint="eastAsia" w:ascii="宋体" w:hAnsi="宋体"/>
          <w:sz w:val="24"/>
          <w:szCs w:val="24"/>
        </w:rPr>
      </w:pPr>
      <w:r>
        <w:rPr>
          <w:rFonts w:hint="eastAsia" w:ascii="宋体" w:hAnsi="宋体"/>
          <w:sz w:val="24"/>
          <w:szCs w:val="24"/>
        </w:rPr>
        <w:t xml:space="preserve">演示港口车辆装卸与统计，集中展示装货企业、经办人、联系电话、检查</w:t>
      </w:r>
      <w:r>
        <w:rPr>
          <w:rFonts w:hint="eastAsia" w:ascii="宋体" w:hAnsi="宋体"/>
          <w:sz w:val="24"/>
          <w:szCs w:val="24"/>
        </w:rPr>
        <w:t xml:space="preserve">时间第信息</w:t>
      </w:r>
      <w:r>
        <w:rPr>
          <w:rFonts w:hint="eastAsia" w:ascii="宋体" w:hAnsi="宋体"/>
          <w:sz w:val="24"/>
          <w:szCs w:val="24"/>
        </w:rPr>
        <w:t xml:space="preserve">，可灵活设置展示列表，支持多维</w:t>
      </w:r>
      <w:r>
        <w:rPr>
          <w:rFonts w:hint="eastAsia" w:ascii="宋体" w:hAnsi="宋体"/>
          <w:sz w:val="24"/>
          <w:szCs w:val="24"/>
        </w:rPr>
        <w:t xml:space="preserve">度快速</w:t>
      </w:r>
      <w:r>
        <w:rPr>
          <w:rFonts w:hint="eastAsia" w:ascii="宋体" w:hAnsi="宋体"/>
          <w:sz w:val="24"/>
          <w:szCs w:val="24"/>
        </w:rPr>
        <w:t xml:space="preserve">检索，可统计各企业车辆装卸数据上传情况。</w:t>
      </w:r>
      <w:r/>
    </w:p>
    <w:p>
      <w:pPr>
        <w:ind w:firstLine="480"/>
        <w:spacing w:line="360" w:lineRule="auto"/>
        <w:rPr>
          <w:rFonts w:hint="eastAsia" w:ascii="宋体" w:hAnsi="宋体"/>
          <w:sz w:val="24"/>
          <w:szCs w:val="24"/>
        </w:rPr>
      </w:pPr>
      <w:r>
        <w:rPr>
          <w:rFonts w:hint="eastAsia" w:ascii="宋体" w:hAnsi="宋体"/>
          <w:sz w:val="24"/>
          <w:szCs w:val="24"/>
        </w:rPr>
        <w:t xml:space="preserve">（2）移动应用功能演示</w:t>
      </w:r>
      <w:r/>
    </w:p>
    <w:p>
      <w:pPr>
        <w:ind w:left="640" w:firstLine="420"/>
        <w:spacing w:line="360" w:lineRule="auto"/>
        <w:rPr>
          <w:rFonts w:hint="eastAsia" w:ascii="宋体" w:hAnsi="宋体"/>
          <w:sz w:val="24"/>
          <w:szCs w:val="24"/>
        </w:rPr>
      </w:pPr>
      <w:r>
        <w:rPr>
          <w:rFonts w:hint="eastAsia" w:ascii="宋体" w:hAnsi="宋体"/>
          <w:sz w:val="24"/>
          <w:szCs w:val="24"/>
        </w:rPr>
        <w:t xml:space="preserve">演示装货人五必查功能，可通过扫描</w:t>
      </w:r>
      <w:r>
        <w:rPr>
          <w:rFonts w:hint="eastAsia" w:ascii="宋体" w:hAnsi="宋体"/>
          <w:sz w:val="24"/>
          <w:szCs w:val="24"/>
        </w:rPr>
        <w:t xml:space="preserve">二维码对</w:t>
      </w:r>
      <w:r>
        <w:rPr>
          <w:rFonts w:hint="eastAsia" w:ascii="宋体" w:hAnsi="宋体"/>
          <w:sz w:val="24"/>
          <w:szCs w:val="24"/>
        </w:rPr>
        <w:t xml:space="preserve">装货企业</w:t>
      </w:r>
      <w:r>
        <w:rPr>
          <w:rFonts w:hint="eastAsia" w:ascii="宋体" w:hAnsi="宋体"/>
          <w:sz w:val="24"/>
          <w:szCs w:val="24"/>
        </w:rPr>
        <w:t xml:space="preserve">开展五必查核</w:t>
      </w:r>
      <w:r>
        <w:rPr>
          <w:rFonts w:hint="eastAsia" w:ascii="宋体" w:hAnsi="宋体"/>
          <w:sz w:val="24"/>
          <w:szCs w:val="24"/>
        </w:rPr>
        <w:t xml:space="preserve">验。</w:t>
      </w:r>
      <w:r/>
    </w:p>
    <w:p>
      <w:pPr>
        <w:ind w:left="640" w:firstLine="420"/>
        <w:spacing w:line="360" w:lineRule="auto"/>
        <w:rPr>
          <w:rFonts w:hint="eastAsia" w:ascii="宋体" w:hAnsi="宋体"/>
          <w:sz w:val="24"/>
          <w:szCs w:val="24"/>
        </w:rPr>
      </w:pPr>
      <w:r>
        <w:rPr>
          <w:rFonts w:hint="eastAsia" w:ascii="宋体" w:hAnsi="宋体"/>
          <w:sz w:val="24"/>
          <w:szCs w:val="24"/>
        </w:rPr>
        <w:t xml:space="preserve">演示电子运单展示功能，可查看人员安全码赋码结果、历史运单、行车日志。</w:t>
      </w:r>
      <w:r/>
    </w:p>
    <w:p>
      <w:pPr>
        <w:ind w:left="640" w:firstLine="420"/>
        <w:spacing w:line="360" w:lineRule="auto"/>
        <w:rPr>
          <w:rFonts w:hint="eastAsia" w:ascii="宋体" w:hAnsi="宋体"/>
          <w:sz w:val="24"/>
          <w:szCs w:val="24"/>
        </w:rPr>
      </w:pPr>
      <w:r>
        <w:rPr>
          <w:rFonts w:hint="eastAsia" w:ascii="宋体" w:hAnsi="宋体"/>
          <w:sz w:val="24"/>
          <w:szCs w:val="24"/>
        </w:rPr>
        <w:t xml:space="preserve">演示电子运单管理功能，可查询本企业本月危货、</w:t>
      </w:r>
      <w:r>
        <w:rPr>
          <w:rFonts w:hint="eastAsia" w:ascii="宋体" w:hAnsi="宋体"/>
          <w:sz w:val="24"/>
          <w:szCs w:val="24"/>
        </w:rPr>
        <w:t xml:space="preserve">危废运单</w:t>
      </w:r>
      <w:r>
        <w:rPr>
          <w:rFonts w:hint="eastAsia" w:ascii="宋体" w:hAnsi="宋体"/>
          <w:sz w:val="24"/>
          <w:szCs w:val="24"/>
        </w:rPr>
        <w:t xml:space="preserve">情况，提供运单填报、行车日志、常用企业管理、地址管理等功能。</w:t>
      </w:r>
      <w:r/>
    </w:p>
    <w:p>
      <w:pPr>
        <w:ind w:firstLine="482"/>
        <w:spacing w:line="360" w:lineRule="auto"/>
        <w:rPr>
          <w:rFonts w:hint="eastAsia" w:ascii="宋体" w:hAnsi="宋体"/>
          <w:b/>
          <w:bCs/>
          <w:sz w:val="24"/>
          <w:szCs w:val="24"/>
        </w:rPr>
        <w:outlineLvl w:val="3"/>
      </w:pPr>
      <w:r>
        <w:rPr>
          <w:rFonts w:hint="eastAsia" w:ascii="宋体" w:hAnsi="宋体"/>
          <w:b/>
          <w:bCs/>
          <w:sz w:val="24"/>
          <w:szCs w:val="24"/>
        </w:rPr>
        <w:t xml:space="preserve">(七）履约能力要求</w:t>
      </w:r>
      <w:r/>
    </w:p>
    <w:p>
      <w:pPr>
        <w:ind w:firstLine="420"/>
        <w:spacing w:line="360" w:lineRule="auto"/>
        <w:shd w:val="clear" w:color="auto" w:fill="ffffff"/>
        <w:rPr>
          <w:rFonts w:hint="eastAsia" w:ascii="宋体" w:hAnsi="宋体" w:cs="宋体"/>
          <w:b/>
          <w:bCs/>
          <w:color w:val="000000"/>
          <w:sz w:val="24"/>
        </w:rPr>
      </w:pPr>
      <w:r>
        <w:rPr>
          <w:rFonts w:hint="eastAsia" w:ascii="宋体" w:hAnsi="宋体" w:cs="宋体"/>
          <w:b/>
          <w:bCs/>
          <w:color w:val="000000"/>
          <w:sz w:val="24"/>
        </w:rPr>
        <w:t xml:space="preserve">1.软件自主研发能力要求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供应商具有自主研发能力，具备与本项目相关的软件著作权证书，证书内容涉及交通运行监测、交通运行指标分析、信息资源整合、交通大数据等相关主题。</w:t>
      </w:r>
      <w:r/>
    </w:p>
    <w:p>
      <w:pPr>
        <w:ind w:firstLine="482"/>
        <w:jc w:val="left"/>
        <w:spacing w:line="360" w:lineRule="auto"/>
        <w:shd w:val="clear" w:color="auto" w:fill="ffffff"/>
        <w:widowControl/>
        <w:rPr>
          <w:rFonts w:hint="eastAsia" w:ascii="宋体" w:hAnsi="宋体" w:cs="Arial"/>
          <w:color w:val="000000"/>
          <w:sz w:val="24"/>
          <w:szCs w:val="24"/>
        </w:rPr>
      </w:pPr>
      <w:r>
        <w:rPr>
          <w:rFonts w:hint="eastAsia" w:ascii="宋体" w:hAnsi="宋体" w:cs="宋体"/>
          <w:b/>
          <w:bCs/>
          <w:color w:val="000000"/>
          <w:sz w:val="24"/>
          <w:szCs w:val="24"/>
        </w:rPr>
        <w:t xml:space="preserve">2.综合实力要求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供应商应具有有效期内的：ISO9001质量管理体系认证证书、ISO27001信息安全管理体系认证证书、ISO20000信息技术服务管理体系认证证书。</w:t>
      </w:r>
      <w:r/>
    </w:p>
    <w:p>
      <w:pPr>
        <w:ind w:firstLine="420"/>
        <w:spacing w:line="360" w:lineRule="auto"/>
        <w:shd w:val="clear" w:color="auto" w:fill="ffffff"/>
        <w:rPr>
          <w:rFonts w:hint="eastAsia" w:ascii="宋体" w:hAnsi="宋体" w:cs="宋体"/>
          <w:b/>
          <w:bCs/>
          <w:color w:val="000000"/>
          <w:sz w:val="24"/>
        </w:rPr>
      </w:pPr>
      <w:r>
        <w:rPr>
          <w:rFonts w:hint="eastAsia" w:ascii="宋体" w:hAnsi="宋体" w:cs="宋体"/>
          <w:b/>
          <w:bCs/>
          <w:color w:val="000000"/>
          <w:sz w:val="24"/>
        </w:rPr>
        <w:t xml:space="preserve">3.企业业绩要求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供应商应提供自2021年1月1日（以合同签订时间为准）以来承接过</w:t>
      </w:r>
      <w:r>
        <w:rPr>
          <w:rFonts w:ascii="宋体" w:hAnsi="宋体" w:cs="Arial"/>
          <w:color w:val="000000"/>
          <w:sz w:val="24"/>
          <w:szCs w:val="24"/>
        </w:rPr>
        <w:t xml:space="preserve">交通信息化软件</w:t>
      </w:r>
      <w:r>
        <w:rPr>
          <w:rFonts w:hint="eastAsia" w:ascii="宋体" w:hAnsi="宋体" w:cs="Arial"/>
          <w:color w:val="000000"/>
          <w:sz w:val="24"/>
          <w:szCs w:val="24"/>
        </w:rPr>
        <w:t xml:space="preserve">建设或</w:t>
      </w:r>
      <w:r>
        <w:rPr>
          <w:rFonts w:ascii="宋体" w:hAnsi="宋体" w:cs="Arial"/>
          <w:color w:val="000000"/>
          <w:sz w:val="24"/>
          <w:szCs w:val="24"/>
        </w:rPr>
        <w:t xml:space="preserve">危险货物道路运输安全监管</w:t>
      </w:r>
      <w:r>
        <w:rPr>
          <w:rFonts w:hint="eastAsia" w:ascii="宋体" w:hAnsi="宋体" w:cs="Arial"/>
          <w:color w:val="000000"/>
          <w:sz w:val="24"/>
          <w:szCs w:val="24"/>
        </w:rPr>
        <w:t xml:space="preserve">类似</w:t>
      </w:r>
      <w:r>
        <w:rPr>
          <w:rFonts w:ascii="宋体" w:hAnsi="宋体" w:cs="Arial"/>
          <w:color w:val="000000"/>
          <w:sz w:val="24"/>
          <w:szCs w:val="24"/>
        </w:rPr>
        <w:t xml:space="preserve">项目</w:t>
      </w:r>
      <w:r>
        <w:rPr>
          <w:rFonts w:hint="eastAsia" w:ascii="宋体" w:hAnsi="宋体" w:cs="Arial"/>
          <w:color w:val="000000"/>
          <w:sz w:val="24"/>
          <w:szCs w:val="24"/>
        </w:rPr>
        <w:t xml:space="preserve">建设案例，所有业绩必须是供应商和项目业主单位直接签署的合同。</w:t>
      </w:r>
      <w:r/>
    </w:p>
    <w:p>
      <w:pPr>
        <w:ind w:firstLine="482"/>
        <w:jc w:val="left"/>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sz w:val="24"/>
          <w:szCs w:val="24"/>
        </w:rPr>
        <w:t xml:space="preserve">4.</w:t>
      </w:r>
      <w:r>
        <w:rPr>
          <w:rFonts w:hint="eastAsia" w:ascii="宋体" w:hAnsi="宋体" w:cs="宋体"/>
          <w:b/>
          <w:bCs/>
          <w:color w:val="000000"/>
          <w:sz w:val="24"/>
          <w:szCs w:val="24"/>
        </w:rPr>
        <w:t xml:space="preserve">项目团队人员要求</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实施过程</w:t>
      </w:r>
      <w:r>
        <w:rPr>
          <w:rFonts w:hint="eastAsia" w:ascii="宋体" w:hAnsi="宋体" w:cs="Arial"/>
          <w:color w:val="000000"/>
          <w:sz w:val="24"/>
          <w:szCs w:val="24"/>
        </w:rPr>
        <w:t xml:space="preserve">中项目</w:t>
      </w:r>
      <w:r>
        <w:rPr>
          <w:rFonts w:hint="eastAsia" w:ascii="宋体" w:hAnsi="宋体" w:cs="Arial"/>
          <w:color w:val="000000"/>
          <w:sz w:val="24"/>
          <w:szCs w:val="24"/>
        </w:rPr>
        <w:t xml:space="preserve">经理等核心团队人员需严格按照响应文件中承诺人员进行配置，并及时与业主交流确认。项目团队整体人数不少于6人，至少有一名项目经理，未经业主同意，不得私自更换。</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项目经理应具有电子信息工程类（或数字经济类）高级工程师、信息系统项目管理师（高级）证书等证书。</w:t>
      </w:r>
      <w:r/>
    </w:p>
    <w:p>
      <w:pPr>
        <w:ind w:firstLine="480"/>
        <w:jc w:val="left"/>
        <w:spacing w:line="360" w:lineRule="auto"/>
        <w:shd w:val="clear" w:color="auto" w:fill="ffffff"/>
        <w:widowControl/>
        <w:rPr>
          <w:rFonts w:hint="eastAsia" w:ascii="宋体" w:hAnsi="宋体" w:cs="Arial"/>
          <w:color w:val="000000"/>
          <w:sz w:val="24"/>
          <w:szCs w:val="24"/>
        </w:rPr>
      </w:pPr>
      <w:r>
        <w:rPr>
          <w:rFonts w:hint="eastAsia" w:ascii="宋体" w:hAnsi="宋体" w:cs="Arial"/>
          <w:color w:val="000000"/>
          <w:sz w:val="24"/>
          <w:szCs w:val="24"/>
        </w:rPr>
        <w:t xml:space="preserve">项目组成员（不含项目经理）应具有高级工程师职称证书、信息系统项目管理师、系统分析师证书、系统架构设计师证书、高级软件工程师等证书。</w:t>
      </w:r>
      <w:r/>
    </w:p>
    <w:p>
      <w:pPr>
        <w:tabs>
          <w:tab w:val="left" w:pos="6200" w:leader="none"/>
        </w:tabs>
        <w:rPr>
          <w:rFonts w:ascii="Arial" w:hAnsi="Arial" w:cs="Arial"/>
          <w:b/>
          <w:sz w:val="32"/>
          <w:szCs w:val="21"/>
        </w:rPr>
      </w:pPr>
      <w:r>
        <w:rPr>
          <w:rFonts w:ascii="Arial" w:hAnsi="Arial" w:cs="Arial"/>
          <w:b/>
          <w:sz w:val="32"/>
          <w:szCs w:val="21"/>
        </w:rPr>
        <w:br w:type="page" w:clear="all"/>
      </w:r>
      <w:r/>
    </w:p>
    <w:p>
      <w:pPr>
        <w:jc w:val="center"/>
        <w:keepNext/>
        <w:rPr>
          <w:rFonts w:ascii="黑体" w:eastAsia="黑体"/>
          <w:bCs/>
          <w:sz w:val="44"/>
          <w:szCs w:val="28"/>
        </w:rPr>
        <w:outlineLvl w:val="0"/>
      </w:pPr>
      <w:r/>
      <w:bookmarkStart w:id="201" w:name="_Toc211265114"/>
      <w:r/>
      <w:bookmarkStart w:id="202" w:name="_Toc120614281"/>
      <w:r>
        <w:rPr>
          <w:rFonts w:hint="eastAsia" w:ascii="黑体" w:eastAsia="黑体"/>
          <w:bCs/>
          <w:sz w:val="44"/>
          <w:szCs w:val="28"/>
        </w:rPr>
        <w:t xml:space="preserve">第五章</w:t>
      </w:r>
      <w:r>
        <w:rPr>
          <w:rFonts w:hint="eastAsia" w:ascii="黑体" w:eastAsia="黑体"/>
          <w:b/>
          <w:bCs/>
          <w:sz w:val="44"/>
          <w:szCs w:val="28"/>
        </w:rPr>
        <w:t xml:space="preserve">评审方法与评审标准</w:t>
      </w:r>
      <w:bookmarkEnd w:id="201"/>
      <w:r/>
      <w:r/>
    </w:p>
    <w:p>
      <w:pPr>
        <w:rPr>
          <w:szCs w:val="21"/>
        </w:rPr>
      </w:pPr>
      <w:r>
        <w:rPr>
          <w:szCs w:val="21"/>
        </w:rPr>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w:t>
      </w:r>
      <w:r>
        <w:rPr>
          <w:rFonts w:hint="eastAsia" w:ascii="宋体" w:hAnsi="宋体"/>
          <w:sz w:val="24"/>
          <w:szCs w:val="24"/>
        </w:rPr>
        <w:t xml:space="preserve">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79"/>
        <w:spacing w:line="360" w:lineRule="auto"/>
        <w:rPr>
          <w:rFonts w:hint="eastAsia" w:ascii="宋体" w:hAnsi="宋体"/>
          <w:b/>
          <w:bCs/>
          <w:sz w:val="24"/>
          <w:szCs w:val="24"/>
        </w:rPr>
        <w:outlineLvl w:val="3"/>
      </w:pPr>
      <w:r>
        <w:rPr>
          <w:rFonts w:hint="eastAsia" w:ascii="宋体" w:hAnsi="宋体"/>
          <w:b/>
          <w:bCs/>
          <w:sz w:val="24"/>
          <w:szCs w:val="24"/>
        </w:rPr>
        <w:t xml:space="preserve">采购包1</w:t>
      </w:r>
      <w:r>
        <w:rPr>
          <w:rFonts w:ascii="宋体" w:hAnsi="宋体"/>
          <w:b/>
          <w:bCs/>
          <w:sz w:val="24"/>
          <w:szCs w:val="24"/>
        </w:rPr>
        <w:t xml:space="preserve">：</w:t>
      </w:r>
      <w:r>
        <w:rPr>
          <w:rFonts w:hint="eastAsia" w:ascii="宋体" w:hAnsi="宋体"/>
          <w:b/>
          <w:bCs/>
          <w:sz w:val="24"/>
          <w:szCs w:val="24"/>
        </w:rPr>
        <w:t xml:space="preserve">综合运输管理提升</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p>
      <w:pPr>
        <w:pStyle w:val="932"/>
        <w:spacing w:line="0" w:lineRule="atLeast"/>
        <w:rPr>
          <w:rFonts w:hint="eastAsia" w:ascii="宋体" w:hAnsi="宋体"/>
          <w:bCs/>
        </w:rPr>
      </w:pPr>
      <w:r>
        <w:rPr>
          <w:rFonts w:hint="eastAsia" w:ascii="宋体" w:hAnsi="宋体"/>
          <w:bCs/>
        </w:rPr>
        <w:t xml:space="preserve">本项目采用综合评分法确定成交候选人。磋商小组会将按下列评分办法和标准进行评分，总分值为100分。</w:t>
      </w:r>
      <w:r/>
    </w:p>
    <w:p>
      <w:pPr>
        <w:pStyle w:val="932"/>
        <w:spacing w:line="0" w:lineRule="atLeast"/>
        <w:rPr>
          <w:rFonts w:hint="eastAsia" w:ascii="宋体" w:hAnsi="宋体"/>
          <w:bCs/>
        </w:rPr>
      </w:pPr>
      <w:r>
        <w:rPr>
          <w:rFonts w:hint="eastAsia" w:ascii="宋体" w:hAnsi="宋体"/>
          <w:bCs/>
        </w:rPr>
      </w:r>
      <w:r/>
    </w:p>
    <w:p>
      <w:pPr>
        <w:pStyle w:val="932"/>
        <w:spacing w:line="0" w:lineRule="atLeast"/>
        <w:rPr>
          <w:rFonts w:hint="eastAsia" w:ascii="宋体" w:hAnsi="宋体"/>
          <w:bCs/>
        </w:rPr>
      </w:pPr>
      <w:r>
        <w:rPr>
          <w:rFonts w:hint="eastAsia" w:ascii="宋体" w:hAnsi="宋体"/>
          <w:bCs/>
        </w:rPr>
      </w:r>
      <w:r/>
    </w:p>
    <w:tbl>
      <w:tblPr>
        <w:tblW w:w="9526" w:type="dxa"/>
        <w:jc w:val="center"/>
        <w:tblLook w:val="04A0" w:firstRow="1" w:lastRow="0" w:firstColumn="1" w:lastColumn="0" w:noHBand="0" w:noVBand="1"/>
      </w:tblPr>
      <w:tblGrid>
        <w:gridCol w:w="729"/>
        <w:gridCol w:w="1261"/>
        <w:gridCol w:w="6728"/>
        <w:gridCol w:w="808"/>
      </w:tblGrid>
      <w:tr>
        <w:trPr>
          <w:jc w:val="center"/>
          <w:trHeight w:val="57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评审因素</w:t>
            </w:r>
            <w:r/>
          </w:p>
        </w:tc>
        <w:tc>
          <w:tcPr>
            <w:tcBorders>
              <w:top w:val="single" w:color="000000" w:sz="4" w:space="0"/>
              <w:left w:val="none" w:color="000000" w:sz="4" w:space="0"/>
              <w:bottom w:val="single" w:color="000000" w:sz="4" w:space="0"/>
              <w:right w:val="single" w:color="000000" w:sz="4" w:space="0"/>
            </w:tcBorders>
            <w:tcW w:w="6728"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评审细则</w:t>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分值</w:t>
            </w:r>
            <w:r/>
          </w:p>
        </w:tc>
      </w:tr>
      <w:tr>
        <w:trPr>
          <w:jc w:val="center"/>
          <w:trHeight w:val="576"/>
        </w:trPr>
        <w:tc>
          <w:tcPr>
            <w:gridSpan w:val="4"/>
            <w:tcBorders>
              <w:top w:val="single" w:color="000000" w:sz="4" w:space="0"/>
              <w:left w:val="single" w:color="000000" w:sz="4" w:space="0"/>
              <w:bottom w:val="single" w:color="000000" w:sz="4" w:space="0"/>
              <w:right w:val="single" w:color="000000" w:sz="4" w:space="0"/>
            </w:tcBorders>
            <w:tcW w:w="9526"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1、价格（10分）</w:t>
            </w:r>
            <w:r/>
          </w:p>
        </w:tc>
      </w:tr>
      <w:tr>
        <w:trPr>
          <w:jc w:val="center"/>
          <w:trHeight w:val="1200"/>
        </w:trPr>
        <w:tc>
          <w:tcPr>
            <w:tcBorders>
              <w:top w:val="non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1.1</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价格</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ascii="宋体" w:hAnsi="宋体"/>
                <w:szCs w:val="21"/>
              </w:rPr>
              <w:t xml:space="preserve">1.1</w:t>
            </w:r>
            <w:r>
              <w:rPr>
                <w:rFonts w:hint="eastAsia" w:ascii="宋体" w:hAnsi="宋体"/>
                <w:szCs w:val="21"/>
              </w:rPr>
              <w:t xml:space="preserve">采用低价优先法计算，即满足磋商文件要求且投标价格最低的投标报价为评标基准价，其价格分为满分</w:t>
            </w:r>
            <w:r>
              <w:rPr>
                <w:rFonts w:ascii="宋体" w:hAnsi="宋体"/>
                <w:szCs w:val="21"/>
              </w:rPr>
              <w:t xml:space="preserve">10</w:t>
            </w:r>
            <w:r>
              <w:rPr>
                <w:rFonts w:hint="eastAsia" w:ascii="宋体" w:hAnsi="宋体"/>
                <w:szCs w:val="21"/>
              </w:rPr>
              <w:t xml:space="preserve">分。其他投标人的价格</w:t>
            </w:r>
            <w:r>
              <w:rPr>
                <w:rFonts w:hint="eastAsia" w:ascii="宋体" w:hAnsi="宋体"/>
                <w:szCs w:val="21"/>
              </w:rPr>
              <w:t xml:space="preserve">分统一</w:t>
            </w:r>
            <w:r>
              <w:rPr>
                <w:rFonts w:hint="eastAsia" w:ascii="宋体" w:hAnsi="宋体"/>
                <w:szCs w:val="21"/>
              </w:rPr>
              <w:t xml:space="preserve">按照下列公式计算：投标报价得分</w:t>
            </w:r>
            <w:r>
              <w:rPr>
                <w:rFonts w:ascii="宋体" w:hAnsi="宋体"/>
                <w:szCs w:val="21"/>
              </w:rPr>
              <w:t xml:space="preserve">=(</w:t>
            </w:r>
            <w:r>
              <w:rPr>
                <w:rFonts w:hint="eastAsia" w:ascii="宋体" w:hAnsi="宋体"/>
                <w:szCs w:val="21"/>
              </w:rPr>
              <w:t xml:space="preserve">评标基准价</w:t>
            </w:r>
            <w:r>
              <w:rPr>
                <w:rFonts w:ascii="宋体" w:hAnsi="宋体"/>
                <w:szCs w:val="21"/>
              </w:rPr>
              <w:t xml:space="preserve">/</w:t>
            </w:r>
            <w:r>
              <w:rPr>
                <w:rFonts w:hint="eastAsia" w:ascii="宋体" w:hAnsi="宋体"/>
                <w:szCs w:val="21"/>
              </w:rPr>
              <w:t xml:space="preserve">投标报价</w:t>
            </w:r>
            <w:r>
              <w:rPr>
                <w:rFonts w:ascii="宋体" w:hAnsi="宋体"/>
                <w:szCs w:val="21"/>
              </w:rPr>
              <w:t xml:space="preserve">)</w:t>
            </w: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（小数点保留两位）</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ascii="宋体" w:hAnsi="宋体"/>
                <w:szCs w:val="21"/>
              </w:rPr>
              <w:t xml:space="preserve">10</w:t>
            </w:r>
            <w:r/>
          </w:p>
        </w:tc>
      </w:tr>
      <w:tr>
        <w:trPr>
          <w:jc w:val="center"/>
          <w:trHeight w:val="620"/>
        </w:trPr>
        <w:tc>
          <w:tcPr>
            <w:gridSpan w:val="4"/>
            <w:tcBorders>
              <w:top w:val="none" w:color="000000" w:sz="4" w:space="0"/>
              <w:left w:val="single" w:color="000000" w:sz="4" w:space="0"/>
              <w:bottom w:val="single" w:color="000000" w:sz="4" w:space="0"/>
              <w:right w:val="single" w:color="000000" w:sz="4" w:space="0"/>
            </w:tcBorders>
            <w:tcW w:w="9526" w:type="dxa"/>
            <w:vAlign w:val="center"/>
            <w:textDirection w:val="lrTb"/>
            <w:noWrap w:val="false"/>
          </w:tcPr>
          <w:p>
            <w:pPr>
              <w:jc w:val="left"/>
              <w:widowControl/>
              <w:rPr>
                <w:rFonts w:hint="eastAsia" w:ascii="宋体" w:hAnsi="宋体"/>
                <w:szCs w:val="21"/>
              </w:rPr>
            </w:pPr>
            <w:r>
              <w:rPr>
                <w:rFonts w:hint="eastAsia" w:ascii="宋体" w:hAnsi="宋体" w:cs="宋体"/>
                <w:b/>
                <w:bCs/>
                <w:szCs w:val="21"/>
              </w:rPr>
              <w:t xml:space="preserve">2、技术（45分）</w:t>
            </w:r>
            <w:r/>
          </w:p>
        </w:tc>
      </w:tr>
      <w:tr>
        <w:trPr>
          <w:jc w:val="center"/>
          <w:trHeight w:val="109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.1</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项目理解</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供应商根据招标文件要求，分析阐述项目建设需求、通过系统性阐述项目建设背景，梳理项目具体建设内容，全面覆盖招标人实际建设需求。内容详细且优于项目需求得</w:t>
            </w:r>
            <w:r>
              <w:rPr>
                <w:rFonts w:ascii="宋体" w:hAnsi="宋体"/>
                <w:szCs w:val="21"/>
              </w:rPr>
              <w:t xml:space="preserve">5</w:t>
            </w:r>
            <w:r>
              <w:rPr>
                <w:rFonts w:hint="eastAsia" w:ascii="宋体" w:hAnsi="宋体"/>
                <w:szCs w:val="21"/>
              </w:rPr>
              <w:t xml:space="preserve">分，符合项目需求得</w:t>
            </w:r>
            <w:r>
              <w:rPr>
                <w:rFonts w:ascii="宋体" w:hAnsi="宋体"/>
                <w:szCs w:val="21"/>
              </w:rPr>
              <w:t xml:space="preserve">3</w:t>
            </w:r>
            <w:r>
              <w:rPr>
                <w:rFonts w:hint="eastAsia" w:ascii="宋体" w:hAnsi="宋体"/>
                <w:szCs w:val="21"/>
              </w:rPr>
              <w:t xml:space="preserve">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09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2.2</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现状分析与不足</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供应商根据招标文件要求结合实际业务，分析阐述业务现状与不足，体现项目建设的目标和必要性。内容详细且优于项目需求得5分，符合项目需求得3分，不符合项目需求或未提供的得0分。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56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2.3</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项目总体设计方案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针对项目需求详细阐述建设该项目总体设计，包括系统架构图、功能架构图等，评标委员会根据分析情况进行综合评分。方案内容详细且优于项目需求得</w:t>
            </w:r>
            <w:r>
              <w:rPr>
                <w:rFonts w:ascii="宋体" w:hAnsi="宋体"/>
                <w:szCs w:val="21"/>
              </w:rPr>
              <w:t xml:space="preserve">5</w:t>
            </w:r>
            <w:r>
              <w:rPr>
                <w:rFonts w:hint="eastAsia" w:ascii="宋体" w:hAnsi="宋体"/>
                <w:szCs w:val="21"/>
              </w:rPr>
              <w:t xml:space="preserve">分，方案符合项目需求得</w:t>
            </w:r>
            <w:r>
              <w:rPr>
                <w:rFonts w:ascii="宋体" w:hAnsi="宋体"/>
                <w:szCs w:val="21"/>
              </w:rPr>
              <w:t xml:space="preserve">3</w:t>
            </w:r>
            <w:r>
              <w:rPr>
                <w:rFonts w:hint="eastAsia" w:ascii="宋体" w:hAnsi="宋体"/>
                <w:szCs w:val="21"/>
              </w:rPr>
              <w:t xml:space="preserve">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59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4</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升级“交运贷”管理模块方案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针对项目建设内容提出的需求，提供“交运贷”管理模块升级方案，包含但不限于总体业务流程图及描述、企业端、管理端升级方案，评标委员会根据以上内容进行综合评分。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2148"/>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2.5</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优化调整道路运输“安全码”模块方案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针对项目建设内容提出的需求，提供优化调整道路运输“安全码”模块方案，包含但不限于优化车辆</w:t>
            </w:r>
            <w:r>
              <w:rPr>
                <w:rFonts w:hint="eastAsia" w:ascii="宋体" w:hAnsi="宋体"/>
                <w:szCs w:val="21"/>
              </w:rPr>
              <w:t xml:space="preserve">赋码部省</w:t>
            </w:r>
            <w:r>
              <w:rPr>
                <w:rFonts w:hint="eastAsia" w:ascii="宋体" w:hAnsi="宋体"/>
                <w:szCs w:val="21"/>
              </w:rPr>
              <w:t xml:space="preserve">联动功能（提供客运车辆分类分级赋</w:t>
            </w:r>
            <w:r>
              <w:rPr>
                <w:rFonts w:hint="eastAsia" w:ascii="宋体" w:hAnsi="宋体"/>
                <w:szCs w:val="21"/>
              </w:rPr>
              <w:t xml:space="preserve">码指标</w:t>
            </w:r>
            <w:r>
              <w:rPr>
                <w:rFonts w:hint="eastAsia" w:ascii="宋体" w:hAnsi="宋体"/>
                <w:szCs w:val="21"/>
              </w:rPr>
              <w:t xml:space="preserve">体系、</w:t>
            </w:r>
            <w:r>
              <w:rPr>
                <w:rFonts w:hint="eastAsia" w:ascii="宋体" w:hAnsi="宋体"/>
                <w:szCs w:val="21"/>
              </w:rPr>
              <w:t xml:space="preserve">危货道路运输</w:t>
            </w:r>
            <w:r>
              <w:rPr>
                <w:rFonts w:hint="eastAsia" w:ascii="宋体" w:hAnsi="宋体"/>
                <w:szCs w:val="21"/>
              </w:rPr>
              <w:t xml:space="preserve">车辆分类分级赋</w:t>
            </w:r>
            <w:r>
              <w:rPr>
                <w:rFonts w:hint="eastAsia" w:ascii="宋体" w:hAnsi="宋体"/>
                <w:szCs w:val="21"/>
              </w:rPr>
              <w:t xml:space="preserve">码指标</w:t>
            </w:r>
            <w:r>
              <w:rPr>
                <w:rFonts w:hint="eastAsia" w:ascii="宋体" w:hAnsi="宋体"/>
                <w:szCs w:val="21"/>
              </w:rPr>
              <w:t xml:space="preserve">体系）、调整安全码赋码</w:t>
            </w:r>
            <w:r>
              <w:rPr>
                <w:rFonts w:hint="eastAsia" w:ascii="宋体" w:hAnsi="宋体"/>
                <w:szCs w:val="21"/>
              </w:rPr>
              <w:t xml:space="preserve">研</w:t>
            </w:r>
            <w:r>
              <w:rPr>
                <w:rFonts w:hint="eastAsia" w:ascii="宋体" w:hAnsi="宋体"/>
                <w:szCs w:val="21"/>
              </w:rPr>
              <w:t xml:space="preserve">判模型（具体描述各类模型修改详情），评标委员会根据以上内容进行综合评分。方案内容详细且优于项目需求得5分，方案符合项目需求得3分，不符合项目需求或未提供的得0分。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71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6</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建设两类人员安全考核管理模块方案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针对项目建设内容提出的需求，提供建设两类人员安全考核管理模块方案，包含但不限于：总体业务流程图及描述、行业管理端、企业</w:t>
            </w:r>
            <w:r>
              <w:rPr>
                <w:rFonts w:ascii="宋体" w:hAnsi="宋体"/>
                <w:szCs w:val="21"/>
              </w:rPr>
              <w:t xml:space="preserve">PC</w:t>
            </w:r>
            <w:r>
              <w:rPr>
                <w:rFonts w:hint="eastAsia" w:ascii="宋体" w:hAnsi="宋体"/>
                <w:szCs w:val="21"/>
              </w:rPr>
              <w:t xml:space="preserve">端、厅网站建设等。评标委员会根据以上内容进行综合评分。方案内容详细且优于项目需求得5分，方案符合项目需求得3分，不符合项目需求或未提供的得0分。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29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2.7</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项目实施方案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供应商应根据磋商文件要求及本项目特点，制订项目实施方案，包括具体的应包括进度计划和实施保证措施、质量保证措施、风险管理体系等。实施方案应做到完整全面、科学可行，并有针对性，配备具有相应资质和经验的项目经理及技术服务人员，应服从采购人管理要求，确保在规定的交付时限内完成。评标委员会根据以上内容进行综合评分。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21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8</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项目培训方案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供应商应根据磋商文件要求及本项目特点，制订相应的培训教材并提供培训课程。供应商应安排具备相应资质和经验的技术人员，对采购单位的使用部门人员进行全流程使用培训，确保相关人员能熟练掌握设备或系统的日常使用及维护。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145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2.9</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售后服务方案</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供应商应制订有关售后服务方案，包括响应时间、服务方式、服务内容、故障解决等方面；服务方案应科学合理、具备针对性。评标委员会根据以上内容进行综合评分。方案内容详细且优于项目需求得5分，方案符合项目需求得3分，不符合项目需求或未提供的得0分。</w:t>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r>
      <w:tr>
        <w:trPr>
          <w:jc w:val="center"/>
          <w:trHeight w:val="625"/>
        </w:trPr>
        <w:tc>
          <w:tcPr>
            <w:gridSpan w:val="4"/>
            <w:tcBorders>
              <w:top w:val="single" w:color="000000" w:sz="4" w:space="0"/>
              <w:left w:val="single" w:color="000000" w:sz="4" w:space="0"/>
              <w:bottom w:val="single" w:color="000000" w:sz="4" w:space="0"/>
              <w:right w:val="single" w:color="000000" w:sz="4" w:space="0"/>
            </w:tcBorders>
            <w:tcW w:w="9526" w:type="dxa"/>
            <w:vAlign w:val="center"/>
            <w:textDirection w:val="lrTb"/>
            <w:noWrap w:val="false"/>
          </w:tcPr>
          <w:p>
            <w:pPr>
              <w:jc w:val="left"/>
              <w:widowControl/>
              <w:rPr>
                <w:rFonts w:hint="eastAsia" w:ascii="宋体" w:hAnsi="宋体"/>
                <w:szCs w:val="21"/>
              </w:rPr>
            </w:pPr>
            <w:r>
              <w:rPr>
                <w:rFonts w:hint="eastAsia" w:ascii="宋体" w:hAnsi="宋体" w:cs="宋体"/>
                <w:b/>
                <w:bCs/>
                <w:szCs w:val="21"/>
              </w:rPr>
              <w:t xml:space="preserve">3、原型设计（12分）</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交运贷申报企业端原型设计</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结合业务理解，提供交运贷申报企业端原型，需要体现项目领域和项目明细之间的对应关系，设计内容</w:t>
            </w:r>
            <w:r>
              <w:rPr>
                <w:rFonts w:hint="eastAsia" w:ascii="宋体" w:hAnsi="宋体"/>
                <w:szCs w:val="21"/>
              </w:rPr>
              <w:t xml:space="preserve">详细可</w:t>
            </w:r>
            <w:r>
              <w:rPr>
                <w:rFonts w:hint="eastAsia" w:ascii="宋体" w:hAnsi="宋体"/>
                <w:szCs w:val="21"/>
              </w:rPr>
              <w:t xml:space="preserve">实现。优于项目需求得4分，方案符合项目需求得2分，不符合项目需求或未提供的得0分。</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r>
      <w:tr>
        <w:trPr>
          <w:jc w:val="center"/>
          <w:trHeight w:val="145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人、车、企业的三个对象的</w:t>
            </w:r>
            <w:r>
              <w:rPr>
                <w:rFonts w:hint="eastAsia" w:ascii="宋体" w:hAnsi="宋体" w:cs="宋体"/>
                <w:szCs w:val="21"/>
              </w:rPr>
              <w:t xml:space="preserve">研</w:t>
            </w:r>
            <w:r>
              <w:rPr>
                <w:rFonts w:hint="eastAsia" w:ascii="宋体" w:hAnsi="宋体" w:cs="宋体"/>
                <w:szCs w:val="21"/>
              </w:rPr>
              <w:t xml:space="preserve">判指标模型原型设计</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结合业务理解，提供人、车、企业的三个对象的</w:t>
            </w:r>
            <w:r>
              <w:rPr>
                <w:rFonts w:hint="eastAsia" w:ascii="宋体" w:hAnsi="宋体"/>
                <w:szCs w:val="21"/>
              </w:rPr>
              <w:t xml:space="preserve">研</w:t>
            </w:r>
            <w:r>
              <w:rPr>
                <w:rFonts w:hint="eastAsia" w:ascii="宋体" w:hAnsi="宋体"/>
                <w:szCs w:val="21"/>
              </w:rPr>
              <w:t xml:space="preserve">判指标模型原型：包含但不限于</w:t>
            </w:r>
            <w:r>
              <w:rPr>
                <w:rFonts w:hint="eastAsia" w:ascii="宋体" w:hAnsi="宋体"/>
                <w:szCs w:val="21"/>
              </w:rPr>
              <w:t xml:space="preserve">研</w:t>
            </w:r>
            <w:r>
              <w:rPr>
                <w:rFonts w:hint="eastAsia" w:ascii="宋体" w:hAnsi="宋体"/>
                <w:szCs w:val="21"/>
              </w:rPr>
              <w:t xml:space="preserve">判分类、</w:t>
            </w:r>
            <w:r>
              <w:rPr>
                <w:rFonts w:hint="eastAsia" w:ascii="宋体" w:hAnsi="宋体"/>
                <w:szCs w:val="21"/>
              </w:rPr>
              <w:t xml:space="preserve">研</w:t>
            </w:r>
            <w:r>
              <w:rPr>
                <w:rFonts w:hint="eastAsia" w:ascii="宋体" w:hAnsi="宋体"/>
                <w:szCs w:val="21"/>
              </w:rPr>
              <w:t xml:space="preserve">判登记、指标说明、数据来源等，设计内容</w:t>
            </w:r>
            <w:r>
              <w:rPr>
                <w:rFonts w:hint="eastAsia" w:ascii="宋体" w:hAnsi="宋体"/>
                <w:szCs w:val="21"/>
              </w:rPr>
              <w:t xml:space="preserve">详细可</w:t>
            </w:r>
            <w:r>
              <w:rPr>
                <w:rFonts w:hint="eastAsia" w:ascii="宋体" w:hAnsi="宋体"/>
                <w:szCs w:val="21"/>
              </w:rPr>
              <w:t xml:space="preserve">实现得4分。优于项目需求得4分，方案符合项目需求得2分，不符合项目需求或未提供的得0分。</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r>
      <w:tr>
        <w:trPr>
          <w:jc w:val="center"/>
          <w:trHeight w:val="145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3.3</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两类人员安全考试制证审核原型设计</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结合业务理解，提供符合实际业务要求的两类人员安全考试制证审核原型设计：包括但不限于管理机构、经营范围、考试信息、已有合格证明、申请信息、材料清单等，设计内容</w:t>
            </w:r>
            <w:r>
              <w:rPr>
                <w:rFonts w:hint="eastAsia" w:ascii="宋体" w:hAnsi="宋体" w:cs="宋体"/>
                <w:szCs w:val="21"/>
              </w:rPr>
              <w:t xml:space="preserve">详细可</w:t>
            </w:r>
            <w:r>
              <w:rPr>
                <w:rFonts w:hint="eastAsia" w:ascii="宋体" w:hAnsi="宋体" w:cs="宋体"/>
                <w:szCs w:val="21"/>
              </w:rPr>
              <w:t xml:space="preserve">实现</w:t>
            </w:r>
            <w:r>
              <w:rPr>
                <w:rFonts w:hint="eastAsia" w:ascii="宋体" w:hAnsi="宋体"/>
                <w:szCs w:val="21"/>
              </w:rPr>
              <w:t xml:space="preserve">。优于项目需求得4分，方案符合项目需求得2分，不符合项目需求或未提供的得0分。</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ascii="宋体" w:hAnsi="宋体"/>
                <w:szCs w:val="21"/>
              </w:rPr>
              <w:t xml:space="preserve">4</w:t>
            </w:r>
            <w:r/>
          </w:p>
        </w:tc>
      </w:tr>
      <w:tr>
        <w:trPr>
          <w:jc w:val="center"/>
          <w:trHeight w:val="628"/>
        </w:trPr>
        <w:tc>
          <w:tcPr>
            <w:gridSpan w:val="4"/>
            <w:tcBorders>
              <w:top w:val="single" w:color="000000" w:sz="4" w:space="0"/>
              <w:left w:val="single" w:color="000000" w:sz="4" w:space="0"/>
              <w:bottom w:val="single" w:color="000000" w:sz="4" w:space="0"/>
              <w:right w:val="single" w:color="000000" w:sz="4" w:space="0"/>
            </w:tcBorders>
            <w:tcW w:w="9526"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4、商务（33分）</w:t>
            </w:r>
            <w:r/>
          </w:p>
        </w:tc>
      </w:tr>
      <w:tr>
        <w:trPr>
          <w:jc w:val="center"/>
          <w:trHeight w:val="265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szCs w:val="21"/>
              </w:rPr>
            </w:pPr>
            <w:r>
              <w:rPr>
                <w:rFonts w:ascii="宋体" w:hAnsi="宋体"/>
                <w:szCs w:val="21"/>
              </w:rPr>
              <w:t xml:space="preserve">4.1</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软件自主研发能力</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供应商具有自主研发能力，具备与本项目相关的软件著作权证书，证书内容涉及运政服务、企业平台、部省联动等相关主题，每提供一个软件著作权证书得1分，本项最多得3分。如投标文件中提供的著作权名称表述与磋商文件描述的关键字样不一致，而该投标文件中能证明供应商拥有的著作权具有或相似功能和效果，且评标委员会认可的，视同符合要求。（提供</w:t>
            </w:r>
            <w:r>
              <w:rPr>
                <w:rFonts w:hint="eastAsia" w:ascii="宋体" w:hAnsi="宋体" w:cs="宋体"/>
                <w:szCs w:val="21"/>
              </w:rPr>
              <w:t xml:space="preserve">软相同件</w:t>
            </w:r>
            <w:r>
              <w:rPr>
                <w:rFonts w:hint="eastAsia" w:ascii="宋体" w:hAnsi="宋体" w:cs="宋体"/>
                <w:szCs w:val="21"/>
              </w:rPr>
              <w:t xml:space="preserve">著作权证书证明材料复印件并加盖投标人公章，未提供不得分）</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p>
        </w:tc>
      </w:tr>
      <w:tr>
        <w:trPr>
          <w:cantSplit/>
          <w:jc w:val="center"/>
          <w:trHeight w:val="1056"/>
        </w:trPr>
        <w:tc>
          <w:tcPr>
            <w:tcBorders>
              <w:top w:val="single" w:color="000000" w:sz="4" w:space="0"/>
              <w:left w:val="single" w:color="000000" w:sz="4" w:space="0"/>
              <w:right w:val="single" w:color="000000" w:sz="4" w:space="0"/>
            </w:tcBorders>
            <w:tcW w:w="714" w:type="dxa"/>
            <w:vAlign w:val="center"/>
            <w:vMerge w:val="restart"/>
            <w:textDirection w:val="lrTb"/>
            <w:noWrap w:val="false"/>
          </w:tcPr>
          <w:p>
            <w:pPr>
              <w:jc w:val="center"/>
              <w:widowControl/>
              <w:rPr>
                <w:rFonts w:hint="eastAsia" w:ascii="宋体" w:hAnsi="宋体"/>
                <w:szCs w:val="21"/>
              </w:rPr>
            </w:pPr>
            <w:r>
              <w:rPr>
                <w:rFonts w:hint="eastAsia" w:ascii="宋体" w:hAnsi="宋体"/>
                <w:szCs w:val="21"/>
              </w:rPr>
              <w:t xml:space="preserve">4.2</w:t>
            </w:r>
            <w:r/>
          </w:p>
        </w:tc>
        <w:tc>
          <w:tcPr>
            <w:tcBorders>
              <w:top w:val="single" w:color="000000" w:sz="4" w:space="0"/>
              <w:left w:val="single" w:color="000000" w:sz="4" w:space="0"/>
              <w:right w:val="single" w:color="000000" w:sz="4" w:space="0"/>
            </w:tcBorders>
            <w:tcW w:w="126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综合实力</w:t>
            </w:r>
            <w:r/>
          </w:p>
        </w:tc>
        <w:tc>
          <w:tcPr>
            <w:tcBorders>
              <w:top w:val="none" w:color="000000" w:sz="4" w:space="0"/>
              <w:left w:val="none" w:color="000000" w:sz="4" w:space="0"/>
              <w:bottom w:val="single" w:color="000000" w:sz="4" w:space="0"/>
              <w:right w:val="single" w:color="000000" w:sz="4" w:space="0"/>
            </w:tcBorders>
            <w:tcW w:w="6728" w:type="dxa"/>
            <w:vAlign w:val="center"/>
            <w:vMerge w:val="restart"/>
            <w:textDirection w:val="lrTb"/>
            <w:noWrap w:val="false"/>
          </w:tcPr>
          <w:p>
            <w:pPr>
              <w:jc w:val="left"/>
              <w:widowControl/>
              <w:rPr>
                <w:rFonts w:hint="eastAsia" w:ascii="宋体" w:hAnsi="宋体"/>
                <w:szCs w:val="21"/>
              </w:rPr>
            </w:pPr>
            <w:r>
              <w:rPr>
                <w:rFonts w:hint="eastAsia" w:ascii="宋体" w:hAnsi="宋体"/>
                <w:szCs w:val="21"/>
              </w:rPr>
              <w:t xml:space="preserve">供应商具有有效期内的</w:t>
            </w:r>
            <w:r>
              <w:rPr>
                <w:rFonts w:ascii="宋体" w:hAnsi="宋体"/>
                <w:szCs w:val="21"/>
              </w:rPr>
              <w:t xml:space="preserve">ISO9001</w:t>
            </w:r>
            <w:r>
              <w:rPr>
                <w:rFonts w:hint="eastAsia" w:ascii="宋体" w:hAnsi="宋体"/>
                <w:szCs w:val="21"/>
              </w:rPr>
              <w:t xml:space="preserve">质量管理体系认证证书的，得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cantSplit/>
          <w:jc w:val="center"/>
          <w:trHeight w:val="1338"/>
        </w:trPr>
        <w:tc>
          <w:tcPr>
            <w:tcBorders>
              <w:left w:val="single" w:color="000000" w:sz="4" w:space="0"/>
              <w:bottom w:val="none" w:color="000000" w:sz="4" w:space="0"/>
              <w:right w:val="single" w:color="000000" w:sz="4" w:space="0"/>
            </w:tcBorders>
            <w:tcW w:w="714"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left w:val="single" w:color="000000" w:sz="4" w:space="0"/>
              <w:bottom w:val="none" w:color="000000" w:sz="4" w:space="0"/>
              <w:right w:val="single" w:color="000000" w:sz="4" w:space="0"/>
            </w:tcBorders>
            <w:tcW w:w="126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728" w:type="dxa"/>
            <w:vAlign w:val="center"/>
            <w:vMerge w:val="restart"/>
            <w:textDirection w:val="lrTb"/>
            <w:noWrap w:val="false"/>
          </w:tcPr>
          <w:p>
            <w:pPr>
              <w:jc w:val="left"/>
              <w:widowControl/>
              <w:rPr>
                <w:rFonts w:hint="eastAsia" w:ascii="宋体" w:hAnsi="宋体"/>
                <w:szCs w:val="21"/>
              </w:rPr>
            </w:pPr>
            <w:r>
              <w:rPr>
                <w:rFonts w:hint="eastAsia" w:ascii="宋体" w:hAnsi="宋体"/>
                <w:szCs w:val="21"/>
              </w:rPr>
              <w:t xml:space="preserve">供应商具有有效期内的</w:t>
            </w:r>
            <w:r>
              <w:rPr>
                <w:rFonts w:ascii="宋体" w:hAnsi="宋体"/>
                <w:szCs w:val="21"/>
              </w:rPr>
              <w:t xml:space="preserve">ISO27001</w:t>
            </w:r>
            <w:r>
              <w:rPr>
                <w:rFonts w:hint="eastAsia" w:ascii="宋体" w:hAnsi="宋体"/>
                <w:szCs w:val="21"/>
              </w:rPr>
              <w:t xml:space="preserve">信息安全管理体系认证证书的，得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cantSplit/>
          <w:jc w:val="center"/>
          <w:trHeight w:val="864"/>
        </w:trPr>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投标人具有有效期内的</w:t>
            </w:r>
            <w:r>
              <w:rPr>
                <w:rFonts w:ascii="宋体" w:hAnsi="宋体"/>
                <w:szCs w:val="21"/>
              </w:rPr>
              <w:t xml:space="preserve">ISO20000</w:t>
            </w:r>
            <w:r>
              <w:rPr>
                <w:rFonts w:hint="eastAsia" w:ascii="宋体" w:hAnsi="宋体"/>
                <w:szCs w:val="21"/>
              </w:rPr>
              <w:t xml:space="preserve">信息技术服务管理体系认证证书的，得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jc w:val="center"/>
          <w:trHeight w:val="140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4.3</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企业业绩</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投标人自</w:t>
            </w:r>
            <w:r>
              <w:rPr>
                <w:rFonts w:ascii="宋体" w:hAnsi="宋体"/>
                <w:szCs w:val="21"/>
              </w:rPr>
              <w:t xml:space="preserve">202</w:t>
            </w:r>
            <w:r>
              <w:rPr>
                <w:rFonts w:hint="eastAsia" w:ascii="宋体" w:hAnsi="宋体"/>
                <w:szCs w:val="21"/>
              </w:rPr>
              <w:t xml:space="preserve">3年</w:t>
            </w:r>
            <w:r>
              <w:rPr>
                <w:rFonts w:ascii="宋体" w:hAnsi="宋体"/>
                <w:szCs w:val="21"/>
              </w:rPr>
              <w:t xml:space="preserve">1</w:t>
            </w:r>
            <w:r>
              <w:rPr>
                <w:rFonts w:hint="eastAsia" w:ascii="宋体" w:hAnsi="宋体"/>
                <w:szCs w:val="21"/>
              </w:rPr>
              <w:t xml:space="preserve">月</w:t>
            </w:r>
            <w:r>
              <w:rPr>
                <w:rFonts w:ascii="宋体" w:hAnsi="宋体"/>
                <w:szCs w:val="21"/>
              </w:rPr>
              <w:t xml:space="preserve">1</w:t>
            </w:r>
            <w:r>
              <w:rPr>
                <w:rFonts w:hint="eastAsia" w:ascii="宋体" w:hAnsi="宋体"/>
                <w:szCs w:val="21"/>
              </w:rPr>
              <w:t xml:space="preserve">日以来（以合同签订时间为准）承接过类似运输管理、行政审批、便民服务类软件开发项目案例，满足</w:t>
            </w:r>
            <w:r>
              <w:rPr>
                <w:rFonts w:ascii="宋体" w:hAnsi="宋体"/>
                <w:szCs w:val="21"/>
              </w:rPr>
              <w:t xml:space="preserve">1</w:t>
            </w:r>
            <w:r>
              <w:rPr>
                <w:rFonts w:hint="eastAsia" w:ascii="宋体" w:hAnsi="宋体"/>
                <w:szCs w:val="21"/>
              </w:rPr>
              <w:t xml:space="preserve">项得</w:t>
            </w:r>
            <w:r>
              <w:rPr>
                <w:rFonts w:ascii="宋体" w:hAnsi="宋体"/>
                <w:szCs w:val="21"/>
              </w:rPr>
              <w:t xml:space="preserve">2</w:t>
            </w:r>
            <w:r>
              <w:rPr>
                <w:rFonts w:hint="eastAsia" w:ascii="宋体" w:hAnsi="宋体"/>
                <w:szCs w:val="21"/>
              </w:rPr>
              <w:t xml:space="preserve">分，最多得</w:t>
            </w:r>
            <w:r>
              <w:rPr>
                <w:rFonts w:ascii="宋体" w:hAnsi="宋体"/>
                <w:szCs w:val="21"/>
              </w:rPr>
              <w:t xml:space="preserve">10</w:t>
            </w:r>
            <w:r>
              <w:rPr>
                <w:rFonts w:hint="eastAsia" w:ascii="宋体" w:hAnsi="宋体"/>
                <w:szCs w:val="21"/>
              </w:rPr>
              <w:t xml:space="preserve">分。注：所有业绩必须是投标人和项目业主单位直接签署的合同。需提供合同协议书复印件并加盖公章，否则不得分。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10</w:t>
            </w:r>
            <w:r/>
          </w:p>
        </w:tc>
      </w:tr>
      <w:tr>
        <w:trPr>
          <w:jc w:val="center"/>
          <w:trHeight w:val="456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4.4</w:t>
            </w:r>
            <w:r/>
          </w:p>
        </w:tc>
        <w:tc>
          <w:tcPr>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项目团队</w:t>
            </w:r>
            <w:r/>
          </w:p>
        </w:tc>
        <w:tc>
          <w:tcPr>
            <w:tcBorders>
              <w:top w:val="none" w:color="000000" w:sz="4" w:space="0"/>
              <w:left w:val="none" w:color="000000" w:sz="4" w:space="0"/>
              <w:bottom w:val="single" w:color="000000" w:sz="4" w:space="0"/>
              <w:right w:val="single" w:color="000000" w:sz="4" w:space="0"/>
            </w:tcBorders>
            <w:tcW w:w="672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（1）项目经理：自2023年1月1日以来担任过信息化项目的项目经理（证明材料），并持有信息系统项目管理师证书（高级），得3分。</w:t>
            </w:r>
            <w:r/>
          </w:p>
          <w:p>
            <w:pPr>
              <w:jc w:val="left"/>
              <w:widowControl/>
              <w:rPr>
                <w:rFonts w:hint="eastAsia" w:ascii="宋体" w:hAnsi="宋体" w:cs="宋体"/>
                <w:szCs w:val="21"/>
              </w:rPr>
            </w:pPr>
            <w:r>
              <w:rPr>
                <w:rFonts w:hint="eastAsia" w:ascii="宋体" w:hAnsi="宋体" w:cs="宋体"/>
                <w:szCs w:val="21"/>
              </w:rPr>
              <w:t xml:space="preserve">（2）技术负责人：自2023年1月1日以来担任过信息化项目的技术负责人（证明材料），并具备高级工程师资格证书，得3分。</w:t>
            </w:r>
            <w:r/>
          </w:p>
          <w:p>
            <w:pPr>
              <w:jc w:val="left"/>
              <w:widowControl/>
              <w:rPr>
                <w:rFonts w:hint="eastAsia" w:ascii="宋体" w:hAnsi="宋体" w:cs="宋体"/>
                <w:szCs w:val="21"/>
              </w:rPr>
            </w:pPr>
            <w:r>
              <w:rPr>
                <w:rFonts w:hint="eastAsia" w:ascii="宋体" w:hAnsi="宋体" w:cs="宋体"/>
                <w:szCs w:val="21"/>
              </w:rPr>
              <w:t xml:space="preserve">（3）供应商项目组成员（不含项目经理和技术负责人），需为本项目提供不少于4人的固定项目组团队，团队成员具有计算机相关专业学历，且具有系统集成项目管理工程师、大数据分析师（高级）证书、高级软件工程师证书的每提供1人得2分，最高得8分。</w:t>
            </w:r>
            <w:r/>
          </w:p>
          <w:p>
            <w:pPr>
              <w:jc w:val="left"/>
              <w:widowControl/>
              <w:rPr>
                <w:rFonts w:hint="eastAsia" w:ascii="宋体" w:hAnsi="宋体"/>
                <w:szCs w:val="21"/>
              </w:rPr>
            </w:pPr>
            <w:r>
              <w:rPr>
                <w:rFonts w:hint="eastAsia" w:ascii="宋体" w:hAnsi="宋体" w:cs="宋体"/>
                <w:szCs w:val="21"/>
              </w:rPr>
              <w:t xml:space="preserve">（注：以合同签订时间为准；同一成员不重复计算；供应商须提供以上人员的身份证、学历证明、相关证书复印件以及供应商为以上人员近六个月任意一个月缴纳的</w:t>
            </w:r>
            <w:r>
              <w:rPr>
                <w:rFonts w:hint="eastAsia" w:ascii="宋体" w:hAnsi="宋体" w:cs="宋体"/>
                <w:szCs w:val="21"/>
              </w:rPr>
              <w:t xml:space="preserve">社保证明</w:t>
            </w:r>
            <w:r>
              <w:rPr>
                <w:rFonts w:hint="eastAsia" w:ascii="宋体" w:hAnsi="宋体" w:cs="宋体"/>
                <w:szCs w:val="21"/>
              </w:rPr>
              <w:t xml:space="preserve">材料并加盖供应商公章，项目经理和技术负责人还需提供业绩合同证明（业绩合同需加盖甲方公章）的复印件并加盖供应商公章，未提供或未按要求提供不得分。）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14</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left"/>
              <w:widowControl/>
              <w:rPr>
                <w:rFonts w:hint="eastAsia" w:ascii="宋体" w:hAnsi="宋体"/>
                <w:b/>
                <w:szCs w:val="21"/>
              </w:rPr>
            </w:pPr>
            <w:r>
              <w:rPr>
                <w:rFonts w:hint="eastAsia" w:ascii="宋体" w:hAnsi="宋体"/>
                <w:b/>
                <w:szCs w:val="21"/>
              </w:rPr>
              <w:t xml:space="preserve">合计</w:t>
            </w:r>
            <w:r/>
          </w:p>
        </w:tc>
        <w:tc>
          <w:tcPr>
            <w:gridSpan w:val="2"/>
            <w:tcBorders>
              <w:top w:val="single" w:color="000000" w:sz="4" w:space="0"/>
              <w:left w:val="none" w:color="000000" w:sz="4" w:space="0"/>
              <w:bottom w:val="single" w:color="000000" w:sz="4" w:space="0"/>
              <w:right w:val="single" w:color="000000" w:sz="4" w:space="0"/>
            </w:tcBorders>
            <w:tcW w:w="7989"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rPr>
                <w:rFonts w:ascii="宋体" w:hAnsi="宋体"/>
                <w:szCs w:val="21"/>
              </w:rPr>
              <w:t xml:space="preserve">00</w:t>
            </w:r>
            <w:r/>
          </w:p>
        </w:tc>
      </w:tr>
    </w:tbl>
    <w:p>
      <w:pPr>
        <w:pStyle w:val="932"/>
        <w:spacing w:line="0" w:lineRule="atLeast"/>
        <w:rPr>
          <w:rFonts w:hint="eastAsia" w:ascii="宋体" w:hAnsi="宋体"/>
          <w:bCs/>
        </w:rPr>
      </w:pPr>
      <w:r>
        <w:rPr>
          <w:rFonts w:hint="eastAsia" w:ascii="宋体" w:hAnsi="宋体"/>
          <w:bCs/>
        </w:rPr>
      </w:r>
      <w:r/>
    </w:p>
    <w:p>
      <w:r/>
      <w:r/>
    </w:p>
    <w:p>
      <w:r/>
      <w:r/>
    </w:p>
    <w:p>
      <w:pPr>
        <w:ind w:firstLine="418"/>
        <w:spacing w:line="360" w:lineRule="auto"/>
        <w:rPr>
          <w:rFonts w:hint="eastAsia" w:ascii="宋体" w:hAnsi="宋体"/>
          <w:b/>
          <w:bCs/>
          <w:sz w:val="24"/>
          <w:szCs w:val="24"/>
        </w:rPr>
        <w:outlineLvl w:val="3"/>
      </w:pPr>
      <w:r>
        <w:rPr>
          <w:szCs w:val="21"/>
        </w:rPr>
        <w:br w:type="page" w:clear="all"/>
      </w:r>
      <w:r>
        <w:rPr>
          <w:rFonts w:hint="eastAsia" w:ascii="宋体" w:hAnsi="宋体"/>
          <w:b/>
          <w:bCs/>
          <w:sz w:val="24"/>
          <w:szCs w:val="24"/>
        </w:rPr>
        <w:t xml:space="preserve">采购包2</w:t>
      </w:r>
      <w:r>
        <w:rPr>
          <w:rFonts w:ascii="宋体" w:hAnsi="宋体"/>
          <w:b/>
          <w:bCs/>
          <w:sz w:val="24"/>
          <w:szCs w:val="24"/>
        </w:rPr>
        <w:t xml:space="preserve">：</w:t>
      </w:r>
      <w:r>
        <w:rPr>
          <w:rFonts w:hint="eastAsia" w:ascii="宋体" w:hAnsi="宋体"/>
          <w:b/>
          <w:bCs/>
          <w:sz w:val="24"/>
          <w:szCs w:val="24"/>
        </w:rPr>
        <w:t xml:space="preserve">危货运输监管提升</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p>
      <w:pPr>
        <w:pStyle w:val="932"/>
        <w:spacing w:line="0" w:lineRule="atLeast"/>
        <w:rPr>
          <w:rFonts w:hint="eastAsia" w:ascii="宋体" w:hAnsi="宋体"/>
          <w:bCs/>
        </w:rPr>
      </w:pPr>
      <w:r>
        <w:rPr>
          <w:rFonts w:hint="eastAsia" w:ascii="宋体" w:hAnsi="宋体"/>
          <w:bCs/>
        </w:rPr>
        <w:t xml:space="preserve">本项目采用综合评分法确定成交候选人。磋商小组会将按下列评分办法和标准进行评分，总分值为100分。</w:t>
      </w:r>
      <w:r/>
    </w:p>
    <w:p>
      <w:pPr>
        <w:rPr>
          <w:szCs w:val="21"/>
        </w:rPr>
      </w:pPr>
      <w:r>
        <w:rPr>
          <w:szCs w:val="21"/>
        </w:rPr>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57"/>
        <w:gridCol w:w="1440"/>
        <w:gridCol w:w="6437"/>
        <w:gridCol w:w="941"/>
      </w:tblGrid>
      <w:tr>
        <w:trPr>
          <w:jc w:val="center"/>
          <w:trHeight w:val="501"/>
          <w:tblHeader/>
        </w:trPr>
        <w:tc>
          <w:tcPr>
            <w:tcBorders>
              <w:top w:val="single" w:color="000000" w:sz="2" w:space="0"/>
              <w:bottom w:val="single" w:color="000000" w:sz="2" w:space="0"/>
            </w:tcBorders>
            <w:tcW w:w="757" w:type="dxa"/>
            <w:textDirection w:val="lrTb"/>
            <w:noWrap w:val="false"/>
          </w:tcPr>
          <w:p>
            <w:pPr>
              <w:jc w:val="center"/>
              <w:spacing w:before="122" w:line="360" w:lineRule="auto"/>
              <w:rPr>
                <w:b/>
                <w:bCs/>
                <w:spacing w:val="-3"/>
                <w:szCs w:val="21"/>
              </w:rPr>
            </w:pPr>
            <w:r>
              <w:rPr>
                <w:b/>
                <w:bCs/>
                <w:spacing w:val="-3"/>
                <w:szCs w:val="21"/>
              </w:rPr>
              <w:t xml:space="preserve">序号</w:t>
            </w:r>
            <w:r/>
          </w:p>
        </w:tc>
        <w:tc>
          <w:tcPr>
            <w:tcBorders>
              <w:top w:val="single" w:color="000000" w:sz="2" w:space="0"/>
              <w:bottom w:val="single" w:color="000000" w:sz="2" w:space="0"/>
            </w:tcBorders>
            <w:tcW w:w="1440" w:type="dxa"/>
            <w:textDirection w:val="lrTb"/>
            <w:noWrap w:val="false"/>
          </w:tcPr>
          <w:p>
            <w:pPr>
              <w:jc w:val="center"/>
              <w:spacing w:before="122" w:line="360" w:lineRule="auto"/>
              <w:rPr>
                <w:b/>
                <w:bCs/>
                <w:spacing w:val="-3"/>
                <w:szCs w:val="21"/>
              </w:rPr>
            </w:pPr>
            <w:r>
              <w:rPr>
                <w:b/>
                <w:bCs/>
                <w:spacing w:val="-3"/>
                <w:szCs w:val="21"/>
              </w:rPr>
              <w:t xml:space="preserve">评审因素</w:t>
            </w:r>
            <w:r/>
          </w:p>
        </w:tc>
        <w:tc>
          <w:tcPr>
            <w:tcBorders>
              <w:top w:val="single" w:color="000000" w:sz="2" w:space="0"/>
              <w:bottom w:val="single" w:color="000000" w:sz="2" w:space="0"/>
            </w:tcBorders>
            <w:tcW w:w="6437" w:type="dxa"/>
            <w:textDirection w:val="lrTb"/>
            <w:noWrap w:val="false"/>
          </w:tcPr>
          <w:p>
            <w:pPr>
              <w:jc w:val="center"/>
              <w:spacing w:before="122" w:line="360" w:lineRule="auto"/>
              <w:rPr>
                <w:b/>
                <w:bCs/>
                <w:spacing w:val="-3"/>
                <w:szCs w:val="21"/>
              </w:rPr>
            </w:pPr>
            <w:r>
              <w:rPr>
                <w:b/>
                <w:bCs/>
                <w:spacing w:val="-3"/>
                <w:szCs w:val="21"/>
              </w:rPr>
              <w:t xml:space="preserve">评审细则</w:t>
            </w:r>
            <w:r/>
          </w:p>
        </w:tc>
        <w:tc>
          <w:tcPr>
            <w:tcBorders>
              <w:top w:val="single" w:color="000000" w:sz="2" w:space="0"/>
              <w:bottom w:val="single" w:color="000000" w:sz="2" w:space="0"/>
            </w:tcBorders>
            <w:tcW w:w="941" w:type="dxa"/>
            <w:textDirection w:val="lrTb"/>
            <w:noWrap w:val="false"/>
          </w:tcPr>
          <w:p>
            <w:pPr>
              <w:jc w:val="center"/>
              <w:spacing w:before="122" w:line="360" w:lineRule="auto"/>
              <w:rPr>
                <w:b/>
                <w:bCs/>
                <w:spacing w:val="-3"/>
                <w:szCs w:val="21"/>
              </w:rPr>
            </w:pPr>
            <w:r>
              <w:rPr>
                <w:b/>
                <w:bCs/>
                <w:spacing w:val="-3"/>
                <w:szCs w:val="21"/>
              </w:rPr>
              <w:t xml:space="preserve">分值</w:t>
            </w:r>
            <w:r/>
          </w:p>
        </w:tc>
      </w:tr>
      <w:tr>
        <w:trPr>
          <w:jc w:val="center"/>
          <w:trHeight w:val="460"/>
        </w:trPr>
        <w:tc>
          <w:tcPr>
            <w:gridSpan w:val="4"/>
            <w:tcBorders>
              <w:top w:val="single" w:color="000000" w:sz="2" w:space="0"/>
              <w:bottom w:val="single" w:color="000000" w:sz="2" w:space="0"/>
            </w:tcBorders>
            <w:tcW w:w="9575" w:type="dxa"/>
            <w:textDirection w:val="lrTb"/>
            <w:noWrap w:val="false"/>
          </w:tcPr>
          <w:p>
            <w:pPr>
              <w:ind w:left="114"/>
              <w:spacing w:before="122" w:line="360" w:lineRule="auto"/>
            </w:pPr>
            <w:r>
              <w:rPr>
                <w:b/>
                <w:bCs/>
                <w:spacing w:val="-3"/>
              </w:rPr>
              <w:t xml:space="preserve">1.</w:t>
            </w:r>
            <w:r>
              <w:rPr>
                <w:b/>
                <w:bCs/>
                <w:spacing w:val="-3"/>
              </w:rPr>
              <w:t xml:space="preserve">价</w:t>
            </w:r>
            <w:r>
              <w:rPr>
                <w:b/>
                <w:bCs/>
                <w:spacing w:val="-2"/>
              </w:rPr>
              <w:t xml:space="preserve">格（</w:t>
            </w:r>
            <w:r>
              <w:rPr>
                <w:b/>
                <w:bCs/>
                <w:spacing w:val="-2"/>
              </w:rPr>
              <w:t xml:space="preserve">10</w:t>
            </w:r>
            <w:r>
              <w:rPr>
                <w:b/>
                <w:bCs/>
                <w:spacing w:val="-2"/>
              </w:rPr>
              <w:t xml:space="preserve">分）</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pPr>
            <w:r>
              <w:rPr>
                <w:spacing w:val="-6"/>
              </w:rPr>
              <w:t xml:space="preserve">1</w:t>
            </w:r>
            <w:r>
              <w:rPr>
                <w:spacing w:val="-5"/>
              </w:rPr>
              <w:t xml:space="preserve">.1</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pPr>
            <w:r>
              <w:rPr>
                <w:spacing w:val="-2"/>
              </w:rPr>
              <w:t xml:space="preserve">价格分</w:t>
            </w:r>
            <w:r/>
          </w:p>
        </w:tc>
        <w:tc>
          <w:tcPr>
            <w:tcBorders>
              <w:top w:val="single" w:color="000000" w:sz="2" w:space="0"/>
              <w:bottom w:val="single" w:color="000000" w:sz="2" w:space="0"/>
            </w:tcBorders>
            <w:tcW w:w="6437" w:type="dxa"/>
            <w:vAlign w:val="center"/>
            <w:textDirection w:val="lrTb"/>
            <w:noWrap w:val="false"/>
          </w:tcPr>
          <w:p>
            <w:pPr>
              <w:jc w:val="left"/>
              <w:spacing w:line="360" w:lineRule="auto"/>
            </w:pPr>
            <w:r>
              <w:t xml:space="preserve">采用低价优先法计算，即满足采购文件要求且投标价格最低的有效投标报价为评标基准价，其价格分为满分。其他供应商的价格</w:t>
            </w:r>
            <w:r>
              <w:t xml:space="preserve">分统一</w:t>
            </w:r>
            <w:r>
              <w:t xml:space="preserve">按照下列公式计算：报价得分</w:t>
            </w:r>
            <w:r>
              <w:t xml:space="preserve">=(</w:t>
            </w:r>
            <w:r>
              <w:t xml:space="preserve">评标基准价</w:t>
            </w:r>
            <w:r>
              <w:t xml:space="preserve">/</w:t>
            </w:r>
            <w:r>
              <w:t xml:space="preserve">最终报价</w:t>
            </w:r>
            <w:r>
              <w:t xml:space="preserve">)×</w:t>
            </w:r>
            <w:r>
              <w:t xml:space="preserve">价格分值（小数点保留两位）（有效投标报价为未被评标委员会判定为无效标的投标文件）</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t xml:space="preserve">10</w:t>
            </w:r>
            <w:r/>
          </w:p>
        </w:tc>
      </w:tr>
      <w:tr>
        <w:trPr>
          <w:jc w:val="center"/>
          <w:trHeight w:val="460"/>
        </w:trPr>
        <w:tc>
          <w:tcPr>
            <w:gridSpan w:val="4"/>
            <w:tcBorders>
              <w:top w:val="single" w:color="000000" w:sz="2" w:space="0"/>
              <w:bottom w:val="single" w:color="000000" w:sz="2" w:space="0"/>
            </w:tcBorders>
            <w:tcW w:w="9575" w:type="dxa"/>
            <w:textDirection w:val="lrTb"/>
            <w:noWrap w:val="false"/>
          </w:tcPr>
          <w:p>
            <w:pPr>
              <w:ind w:left="114"/>
              <w:spacing w:before="123" w:line="360" w:lineRule="auto"/>
            </w:pPr>
            <w:r>
              <w:rPr>
                <w:b/>
                <w:bCs/>
                <w:spacing w:val="-3"/>
              </w:rPr>
              <w:t xml:space="preserve">2.</w:t>
            </w:r>
            <w:r>
              <w:rPr>
                <w:b/>
                <w:bCs/>
                <w:spacing w:val="-3"/>
              </w:rPr>
              <w:t xml:space="preserve">技术（</w:t>
            </w:r>
            <w:r>
              <w:rPr>
                <w:rFonts w:hint="eastAsia"/>
                <w:b/>
                <w:bCs/>
                <w:spacing w:val="-3"/>
              </w:rPr>
              <w:t xml:space="preserve">45</w:t>
            </w:r>
            <w:r>
              <w:rPr>
                <w:b/>
                <w:bCs/>
                <w:spacing w:val="-3"/>
              </w:rPr>
              <w:t xml:space="preserve">分）</w:t>
            </w:r>
            <w:r/>
          </w:p>
        </w:tc>
      </w:tr>
      <w:tr>
        <w:trPr>
          <w:jc w:val="center"/>
          <w:trHeight w:val="479"/>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2.1</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spacing w:val="-2"/>
              </w:rPr>
              <w:t xml:space="preserve">项目理解</w:t>
            </w:r>
            <w:r/>
          </w:p>
        </w:tc>
        <w:tc>
          <w:tcPr>
            <w:tcBorders>
              <w:top w:val="single" w:color="000000" w:sz="2" w:space="0"/>
              <w:bottom w:val="single" w:color="000000" w:sz="2" w:space="0"/>
            </w:tcBorders>
            <w:tcW w:w="6437" w:type="dxa"/>
            <w:vAlign w:val="center"/>
            <w:textDirection w:val="lrTb"/>
            <w:noWrap w:val="false"/>
          </w:tcPr>
          <w:p>
            <w:pPr>
              <w:spacing w:line="360" w:lineRule="auto"/>
            </w:pPr>
            <w:r>
              <w:t xml:space="preserve">供应商根据招标文件要求，分析阐述项目建设背景、建设目标、建设内容以及必要性分析。优于项目需求理解的得</w:t>
            </w:r>
            <w:r>
              <w:t xml:space="preserve">5</w:t>
            </w:r>
            <w:r>
              <w:t xml:space="preserve">分，符合项目需求理解的得</w:t>
            </w:r>
            <w:r>
              <w:rPr>
                <w:rFonts w:hint="eastAsia"/>
              </w:rPr>
              <w:t xml:space="preserve">3</w:t>
            </w:r>
            <w:r>
              <w:t xml:space="preserve">分，不符合项目需求理解或未提供方案的得</w:t>
            </w:r>
            <w:r>
              <w:t xml:space="preserve">0</w:t>
            </w:r>
            <w: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479"/>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2.2</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spacing w:val="-2"/>
              </w:rPr>
              <w:t xml:space="preserve">总体设计方案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t xml:space="preserve">供应商应在采购需求内容上深化，包括系统架构、业务架构等。优于项目需求的得</w:t>
            </w:r>
            <w:r>
              <w:t xml:space="preserve">5</w:t>
            </w:r>
            <w:r>
              <w:t xml:space="preserve">分，符合项目需求的得</w:t>
            </w:r>
            <w:r>
              <w:rPr>
                <w:rFonts w:hint="eastAsia"/>
              </w:rPr>
              <w:t xml:space="preserve">3</w:t>
            </w:r>
            <w:r>
              <w:t xml:space="preserve">分，不符合项目需求或未提供方案的得</w:t>
            </w:r>
            <w:r>
              <w:t xml:space="preserve">0</w:t>
            </w:r>
            <w: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2.3</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功能模块设计方案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t xml:space="preserve">供应商应在采购需求内容上深化，包括港口数据监测、安全码应用、</w:t>
            </w:r>
            <w:r>
              <w:t xml:space="preserve">危废运输</w:t>
            </w:r>
            <w:r>
              <w:t xml:space="preserve">应急预案、电子</w:t>
            </w:r>
            <w:r>
              <w:t xml:space="preserve">运单五</w:t>
            </w:r>
            <w:r>
              <w:t xml:space="preserve">必查闭环处置等。优于项目需求的得</w:t>
            </w:r>
            <w:r>
              <w:t xml:space="preserve">5</w:t>
            </w:r>
            <w:r>
              <w:t xml:space="preserve">分，符合项目需求的得</w:t>
            </w:r>
            <w:r>
              <w:rPr>
                <w:rFonts w:hint="eastAsia"/>
              </w:rPr>
              <w:t xml:space="preserve">3</w:t>
            </w:r>
            <w:r>
              <w:t xml:space="preserve">分，不符合项目需求或未提供方案的得</w:t>
            </w:r>
            <w:r>
              <w:t xml:space="preserve">0</w:t>
            </w:r>
            <w: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2.4</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rPr>
              <w:t xml:space="preserve">港口危险货物装货企业数据对接方案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rPr>
                <w:rFonts w:hint="eastAsia"/>
              </w:rPr>
              <w:t xml:space="preserve">供应商应在采购需求内容上深化。优于项目需求的得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2.5</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rPr>
              <w:t xml:space="preserve">化工园区数据对接方案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rPr>
                <w:rFonts w:hint="eastAsia"/>
              </w:rPr>
              <w:t xml:space="preserve">供应商应在采购需求内容上深化。优于项目需求的得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2.6</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rPr>
              <w:t xml:space="preserve">生态环境厅系统对接方案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rPr>
                <w:rFonts w:hint="eastAsia"/>
              </w:rPr>
              <w:t xml:space="preserve">供应商应在采购需求内容上深化。优于项目需求的得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2.</w:t>
            </w:r>
            <w:r>
              <w:rPr>
                <w:rFonts w:hint="eastAsia"/>
                <w:spacing w:val="-2"/>
              </w:rPr>
              <w:t xml:space="preserve">7</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spacing w:val="-2"/>
              </w:rPr>
              <w:t xml:space="preserve">项目实施</w:t>
            </w:r>
            <w:r/>
          </w:p>
          <w:p>
            <w:pPr>
              <w:jc w:val="center"/>
              <w:spacing w:before="68" w:line="360" w:lineRule="auto"/>
              <w:rPr>
                <w:spacing w:val="-2"/>
              </w:rPr>
            </w:pPr>
            <w:r>
              <w:rPr>
                <w:spacing w:val="-2"/>
              </w:rPr>
              <w:t xml:space="preserve">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sz w:val="24"/>
                <w:szCs w:val="24"/>
              </w:rPr>
            </w:pPr>
            <w:r>
              <w:t xml:space="preserve">供应商</w:t>
            </w:r>
            <w:r>
              <w:rPr>
                <w:rFonts w:hint="eastAsia"/>
              </w:rPr>
              <w:t xml:space="preserve">应在采购需求内容上深化，</w:t>
            </w:r>
            <w:r>
              <w:t xml:space="preserve">包括进度计划、组织机构、岗位职责、人员配置安排、项目过程管理措施、质量保障措施等。</w:t>
            </w:r>
            <w:r>
              <w:rPr>
                <w:rFonts w:hint="eastAsia"/>
              </w:rPr>
              <w:t xml:space="preserve">优于项目</w:t>
            </w:r>
            <w:r>
              <w:rPr>
                <w:rFonts w:hint="eastAsia"/>
              </w:rPr>
              <w:t xml:space="preserve">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rPr>
                <w:spacing w:val="-6"/>
                <w:sz w:val="24"/>
                <w:szCs w:val="24"/>
              </w:rPr>
            </w:pPr>
            <w: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2.8</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运维</w:t>
            </w:r>
            <w:r>
              <w:rPr>
                <w:spacing w:val="-2"/>
              </w:rPr>
              <w:t xml:space="preserve">服务</w:t>
            </w:r>
            <w:r/>
          </w:p>
          <w:p>
            <w:pPr>
              <w:jc w:val="center"/>
              <w:spacing w:before="68" w:line="360" w:lineRule="auto"/>
              <w:rPr>
                <w:spacing w:val="-2"/>
              </w:rPr>
            </w:pPr>
            <w:r>
              <w:rPr>
                <w:spacing w:val="-2"/>
              </w:rPr>
              <w:t xml:space="preserve">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lang w:val="zh-CN"/>
              </w:rPr>
            </w:pPr>
            <w:r>
              <w:t xml:space="preserve">供应商</w:t>
            </w:r>
            <w:r>
              <w:rPr>
                <w:rFonts w:hint="eastAsia"/>
              </w:rPr>
              <w:t xml:space="preserve">应在采购需求内容上深化，</w:t>
            </w:r>
            <w:r>
              <w:t xml:space="preserve">包括</w:t>
            </w:r>
            <w:r>
              <w:rPr>
                <w:rFonts w:hint="eastAsia"/>
              </w:rPr>
              <w:t xml:space="preserve">运维</w:t>
            </w:r>
            <w:r>
              <w:t xml:space="preserve">服务人员的数量、素质、技术水平及</w:t>
            </w:r>
            <w:r>
              <w:rPr>
                <w:rFonts w:hint="eastAsia"/>
              </w:rPr>
              <w:t xml:space="preserve">运维</w:t>
            </w:r>
            <w:r>
              <w:t xml:space="preserve">服务的响应标准、服务体系、故障解决方案等。</w:t>
            </w:r>
            <w:r>
              <w:rPr>
                <w:rFonts w:hint="eastAsia"/>
              </w:rPr>
              <w:t xml:space="preserve">优于项目需求的得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rPr>
                <w:spacing w:val="-6"/>
              </w:rPr>
            </w:pPr>
            <w:r>
              <w:rPr>
                <w:rFonts w:hint="eastAsia"/>
              </w:rPr>
              <w:t xml:space="preserve">5</w:t>
            </w:r>
            <w:r/>
          </w:p>
        </w:tc>
      </w:tr>
      <w:tr>
        <w:trPr>
          <w:jc w:val="center"/>
          <w:trHeight w:val="315"/>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2.9</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项目</w:t>
            </w:r>
            <w:r>
              <w:rPr>
                <w:spacing w:val="-2"/>
              </w:rPr>
              <w:t xml:space="preserve">培训</w:t>
            </w:r>
            <w:r/>
          </w:p>
          <w:p>
            <w:pPr>
              <w:jc w:val="center"/>
              <w:spacing w:before="68" w:line="360" w:lineRule="auto"/>
              <w:rPr>
                <w:spacing w:val="-2"/>
              </w:rPr>
            </w:pPr>
            <w:r>
              <w:rPr>
                <w:spacing w:val="-2"/>
              </w:rPr>
              <w:t xml:space="preserve">方案</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t xml:space="preserve">供应商</w:t>
            </w:r>
            <w:r>
              <w:rPr>
                <w:rFonts w:hint="eastAsia"/>
              </w:rPr>
              <w:t xml:space="preserve">应在采购需求内容上深化，</w:t>
            </w:r>
            <w:r>
              <w:t xml:space="preserve">包括培训计划、培训内容等。</w:t>
            </w:r>
            <w:r>
              <w:rPr>
                <w:rFonts w:hint="eastAsia"/>
              </w:rPr>
              <w:t xml:space="preserve">优于项目需求的得</w:t>
            </w:r>
            <w:r>
              <w:rPr>
                <w:rFonts w:hint="eastAsia"/>
              </w:rPr>
              <w:t xml:space="preserve">5</w:t>
            </w:r>
            <w:r>
              <w:rPr>
                <w:rFonts w:hint="eastAsia"/>
              </w:rPr>
              <w:t xml:space="preserve">分，符合项目需求的得</w:t>
            </w:r>
            <w:r>
              <w:rPr>
                <w:rFonts w:hint="eastAsia"/>
              </w:rPr>
              <w:t xml:space="preserve">3</w:t>
            </w:r>
            <w:r>
              <w:rPr>
                <w:rFonts w:hint="eastAsia"/>
              </w:rPr>
              <w:t xml:space="preserve">分，不符合项目需求或未提供方案的得</w:t>
            </w:r>
            <w:r>
              <w:rPr>
                <w:rFonts w:hint="eastAsia"/>
              </w:rPr>
              <w:t xml:space="preserve">0</w:t>
            </w:r>
            <w:r>
              <w:rPr>
                <w:rFonts w:hint="eastAsia"/>
              </w:rPr>
              <w:t xml:space="preserve">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rPr>
                <w:spacing w:val="-6"/>
              </w:rPr>
            </w:pPr>
            <w:r>
              <w:rPr>
                <w:rFonts w:hint="eastAsia"/>
              </w:rPr>
              <w:t xml:space="preserve">5</w:t>
            </w:r>
            <w:r/>
          </w:p>
        </w:tc>
      </w:tr>
      <w:tr>
        <w:trPr>
          <w:jc w:val="center"/>
          <w:trHeight w:val="472"/>
        </w:trPr>
        <w:tc>
          <w:tcPr>
            <w:gridSpan w:val="4"/>
            <w:tcBorders>
              <w:top w:val="single" w:color="000000" w:sz="2" w:space="0"/>
              <w:bottom w:val="single" w:color="000000" w:sz="2" w:space="0"/>
            </w:tcBorders>
            <w:tcW w:w="9575" w:type="dxa"/>
            <w:vAlign w:val="center"/>
            <w:textDirection w:val="lrTb"/>
            <w:noWrap w:val="false"/>
          </w:tcPr>
          <w:p>
            <w:pPr>
              <w:spacing w:before="68" w:line="360" w:lineRule="auto"/>
            </w:pPr>
            <w:r>
              <w:rPr>
                <w:b/>
                <w:bCs/>
                <w:spacing w:val="-3"/>
              </w:rPr>
              <w:t xml:space="preserve">3.</w:t>
            </w:r>
            <w:r>
              <w:rPr>
                <w:rFonts w:hint="eastAsia"/>
                <w:b/>
                <w:bCs/>
                <w:spacing w:val="-3"/>
              </w:rPr>
              <w:t xml:space="preserve">系统演示</w:t>
            </w:r>
            <w:r>
              <w:rPr>
                <w:b/>
                <w:bCs/>
                <w:spacing w:val="-3"/>
              </w:rPr>
              <w:t xml:space="preserve">（</w:t>
            </w:r>
            <w:r>
              <w:rPr>
                <w:rFonts w:hint="eastAsia"/>
                <w:b/>
                <w:bCs/>
                <w:spacing w:val="-3"/>
              </w:rPr>
              <w:t xml:space="preserve">10</w:t>
            </w:r>
            <w:r>
              <w:rPr>
                <w:b/>
                <w:bCs/>
                <w:spacing w:val="-3"/>
              </w:rPr>
              <w:t xml:space="preserve">）</w:t>
            </w:r>
            <w:r/>
          </w:p>
        </w:tc>
      </w:tr>
      <w:tr>
        <w:trPr>
          <w:jc w:val="center"/>
          <w:trHeight w:val="259"/>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3.1</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系统演示</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pPr>
            <w:r>
              <w:t xml:space="preserve">本次演示内容共有</w:t>
            </w:r>
            <w:r>
              <w:rPr>
                <w:rFonts w:hint="eastAsia"/>
              </w:rPr>
              <w:t xml:space="preserve">2</w:t>
            </w:r>
            <w:r>
              <w:t xml:space="preserve">项，根据各供应商的演示情况进行评分，演示时间不超过</w:t>
            </w:r>
            <w:r>
              <w:t xml:space="preserve">15</w:t>
            </w:r>
            <w:r>
              <w:t xml:space="preserve">分钟，本项最高得</w:t>
            </w:r>
            <w:r>
              <w:t xml:space="preserve">1</w:t>
            </w:r>
            <w:r>
              <w:rPr>
                <w:rFonts w:hint="eastAsia"/>
              </w:rPr>
              <w:t xml:space="preserve">0</w:t>
            </w:r>
            <w:r>
              <w:t xml:space="preserve">分（注</w:t>
            </w:r>
            <w:r>
              <w:t xml:space="preserve">:</w:t>
            </w:r>
            <w:r>
              <w:t xml:space="preserve">系统演示和原型演示本项最高得</w:t>
            </w:r>
            <w:r>
              <w:rPr>
                <w:rFonts w:hint="eastAsia"/>
              </w:rPr>
              <w:t xml:space="preserve">10</w:t>
            </w:r>
            <w:r>
              <w:t xml:space="preserve">分，</w:t>
            </w:r>
            <w:r>
              <w:t xml:space="preserve">PPT</w:t>
            </w:r>
            <w:r>
              <w:t xml:space="preserve">演示本项最高</w:t>
            </w:r>
            <w:r>
              <w:rPr>
                <w:rFonts w:hint="eastAsia"/>
              </w:rPr>
              <w:t xml:space="preserve">5</w:t>
            </w:r>
            <w:r>
              <w:t xml:space="preserve">分，不演示不得分）。演示应包含但不限于以下内容：</w:t>
            </w:r>
            <w:r/>
          </w:p>
          <w:p>
            <w:pPr>
              <w:jc w:val="left"/>
              <w:spacing w:line="360" w:lineRule="auto"/>
              <w:widowControl/>
            </w:pPr>
            <w:r>
              <w:rPr>
                <w:rFonts w:hint="eastAsia"/>
              </w:rPr>
              <w:t xml:space="preserve">一、数据监测功能演示（</w:t>
            </w:r>
            <w:r>
              <w:rPr>
                <w:rFonts w:hint="eastAsia"/>
              </w:rPr>
              <w:t xml:space="preserve">5</w:t>
            </w:r>
            <w:r>
              <w:rPr>
                <w:rFonts w:hint="eastAsia"/>
              </w:rPr>
              <w:t xml:space="preserve">分）</w:t>
            </w:r>
            <w:r/>
          </w:p>
          <w:p>
            <w:pPr>
              <w:jc w:val="left"/>
              <w:spacing w:line="360" w:lineRule="auto"/>
              <w:widowControl/>
            </w:pPr>
            <w:r>
              <w:rPr>
                <w:rFonts w:hint="eastAsia"/>
              </w:rPr>
              <w:t xml:space="preserve">（</w:t>
            </w:r>
            <w:r>
              <w:rPr>
                <w:rFonts w:hint="eastAsia"/>
              </w:rPr>
              <w:t xml:space="preserve">1</w:t>
            </w:r>
            <w:r>
              <w:rPr>
                <w:rFonts w:hint="eastAsia"/>
              </w:rPr>
              <w:t xml:space="preserve">）演示运单异常监测功能，包括运单总数、填报异常、行前测评异常、五必查异常、定位数据对比异常等。（</w:t>
            </w:r>
            <w:r>
              <w:rPr>
                <w:rFonts w:hint="eastAsia"/>
              </w:rPr>
              <w:t xml:space="preserve">1</w:t>
            </w:r>
            <w:r>
              <w:rPr>
                <w:rFonts w:hint="eastAsia"/>
              </w:rPr>
              <w:t xml:space="preserve">分）</w:t>
            </w:r>
            <w:r/>
          </w:p>
          <w:p>
            <w:pPr>
              <w:jc w:val="left"/>
              <w:spacing w:line="360" w:lineRule="auto"/>
              <w:widowControl/>
            </w:pPr>
            <w:r>
              <w:rPr>
                <w:rFonts w:hint="eastAsia"/>
              </w:rPr>
              <w:t xml:space="preserve">（</w:t>
            </w:r>
            <w:r>
              <w:rPr>
                <w:rFonts w:hint="eastAsia"/>
              </w:rPr>
              <w:t xml:space="preserve">2</w:t>
            </w:r>
            <w:r>
              <w:rPr>
                <w:rFonts w:hint="eastAsia"/>
              </w:rPr>
              <w:t xml:space="preserve">）演示港口闸机与闸机统计，集中展示装货企业车辆出闸入闸信息，可灵活设置展示列表，支持多维</w:t>
            </w:r>
            <w:r>
              <w:rPr>
                <w:rFonts w:hint="eastAsia"/>
              </w:rPr>
              <w:t xml:space="preserve">度快速</w:t>
            </w:r>
            <w:r>
              <w:rPr>
                <w:rFonts w:hint="eastAsia"/>
              </w:rPr>
              <w:t xml:space="preserve">检索，可统计各企业车辆出入</w:t>
            </w:r>
            <w:r>
              <w:rPr>
                <w:rFonts w:hint="eastAsia"/>
              </w:rPr>
              <w:t xml:space="preserve">闸</w:t>
            </w:r>
            <w:r>
              <w:rPr>
                <w:rFonts w:hint="eastAsia"/>
              </w:rPr>
              <w:t xml:space="preserve">数据上传情况。（</w:t>
            </w:r>
            <w:r>
              <w:rPr>
                <w:rFonts w:hint="eastAsia"/>
              </w:rPr>
              <w:t xml:space="preserve">2</w:t>
            </w:r>
            <w:r>
              <w:rPr>
                <w:rFonts w:hint="eastAsia"/>
              </w:rPr>
              <w:t xml:space="preserve">分）</w:t>
            </w:r>
            <w:r/>
          </w:p>
          <w:p>
            <w:pPr>
              <w:jc w:val="left"/>
              <w:spacing w:line="360" w:lineRule="auto"/>
              <w:widowControl/>
            </w:pPr>
            <w:r>
              <w:rPr>
                <w:rFonts w:hint="eastAsia"/>
              </w:rPr>
              <w:t xml:space="preserve">（</w:t>
            </w:r>
            <w:r>
              <w:rPr>
                <w:rFonts w:hint="eastAsia"/>
              </w:rPr>
              <w:t xml:space="preserve">3</w:t>
            </w:r>
            <w:r>
              <w:rPr>
                <w:rFonts w:hint="eastAsia"/>
              </w:rPr>
              <w:t xml:space="preserve">）演示港口车辆装卸与统计，集中展示装货企业、经办人、联系电话、检查</w:t>
            </w:r>
            <w:r>
              <w:rPr>
                <w:rFonts w:hint="eastAsia"/>
              </w:rPr>
              <w:t xml:space="preserve">时间第信息</w:t>
            </w:r>
            <w:r>
              <w:rPr>
                <w:rFonts w:hint="eastAsia"/>
              </w:rPr>
              <w:t xml:space="preserve">，可灵活设置展示列表，支持多维</w:t>
            </w:r>
            <w:r>
              <w:rPr>
                <w:rFonts w:hint="eastAsia"/>
              </w:rPr>
              <w:t xml:space="preserve">度快速</w:t>
            </w:r>
            <w:r>
              <w:rPr>
                <w:rFonts w:hint="eastAsia"/>
              </w:rPr>
              <w:t xml:space="preserve">检索，可统计各企业车辆装卸数据上传情况。（</w:t>
            </w:r>
            <w:r>
              <w:rPr>
                <w:rFonts w:hint="eastAsia"/>
              </w:rPr>
              <w:t xml:space="preserve">2</w:t>
            </w:r>
            <w:r>
              <w:rPr>
                <w:rFonts w:hint="eastAsia"/>
              </w:rPr>
              <w:t xml:space="preserve">分）</w:t>
            </w:r>
            <w:r/>
          </w:p>
          <w:p>
            <w:pPr>
              <w:jc w:val="left"/>
              <w:spacing w:line="360" w:lineRule="auto"/>
              <w:widowControl/>
            </w:pPr>
            <w:r>
              <w:rPr>
                <w:rFonts w:hint="eastAsia"/>
              </w:rPr>
              <w:t xml:space="preserve">二、移动应用功能演示（</w:t>
            </w:r>
            <w:r>
              <w:rPr>
                <w:rFonts w:hint="eastAsia"/>
              </w:rPr>
              <w:t xml:space="preserve">5</w:t>
            </w:r>
            <w:r>
              <w:rPr>
                <w:rFonts w:hint="eastAsia"/>
              </w:rPr>
              <w:t xml:space="preserve">分）</w:t>
            </w:r>
            <w:r/>
          </w:p>
          <w:p>
            <w:pPr>
              <w:jc w:val="left"/>
              <w:spacing w:line="360" w:lineRule="auto"/>
              <w:widowControl/>
            </w:pPr>
            <w:r>
              <w:rPr>
                <w:rFonts w:hint="eastAsia"/>
              </w:rPr>
              <w:t xml:space="preserve">（</w:t>
            </w:r>
            <w:r>
              <w:rPr>
                <w:rFonts w:hint="eastAsia"/>
              </w:rPr>
              <w:t xml:space="preserve">1</w:t>
            </w:r>
            <w:r>
              <w:rPr>
                <w:rFonts w:hint="eastAsia"/>
              </w:rPr>
              <w:t xml:space="preserve">）演示装货人五必查功能，可通过扫描</w:t>
            </w:r>
            <w:r>
              <w:rPr>
                <w:rFonts w:hint="eastAsia"/>
              </w:rPr>
              <w:t xml:space="preserve">二维码对</w:t>
            </w:r>
            <w:r>
              <w:rPr>
                <w:rFonts w:hint="eastAsia"/>
              </w:rPr>
              <w:t xml:space="preserve">装货企业</w:t>
            </w:r>
            <w:r>
              <w:rPr>
                <w:rFonts w:hint="eastAsia"/>
              </w:rPr>
              <w:t xml:space="preserve">开展五必查核</w:t>
            </w:r>
            <w:r>
              <w:rPr>
                <w:rFonts w:hint="eastAsia"/>
              </w:rPr>
              <w:t xml:space="preserve">验。（</w:t>
            </w:r>
            <w:r>
              <w:rPr>
                <w:rFonts w:hint="eastAsia"/>
              </w:rPr>
              <w:t xml:space="preserve">1</w:t>
            </w:r>
            <w:r>
              <w:rPr>
                <w:rFonts w:hint="eastAsia"/>
              </w:rPr>
              <w:t xml:space="preserve">分）</w:t>
            </w:r>
            <w:r/>
          </w:p>
          <w:p>
            <w:pPr>
              <w:jc w:val="left"/>
              <w:spacing w:line="360" w:lineRule="auto"/>
              <w:widowControl/>
            </w:pPr>
            <w:r>
              <w:rPr>
                <w:rFonts w:hint="eastAsia"/>
              </w:rPr>
              <w:t xml:space="preserve">（</w:t>
            </w:r>
            <w:r>
              <w:rPr>
                <w:rFonts w:hint="eastAsia"/>
              </w:rPr>
              <w:t xml:space="preserve">2</w:t>
            </w:r>
            <w:r>
              <w:rPr>
                <w:rFonts w:hint="eastAsia"/>
              </w:rPr>
              <w:t xml:space="preserve">）演示电子运单展示功能，可查看人员安全码赋码结果、历史运单、行车日志。（</w:t>
            </w:r>
            <w:r>
              <w:rPr>
                <w:rFonts w:hint="eastAsia"/>
              </w:rPr>
              <w:t xml:space="preserve">2</w:t>
            </w:r>
            <w:r>
              <w:rPr>
                <w:rFonts w:hint="eastAsia"/>
              </w:rPr>
              <w:t xml:space="preserve">分）</w:t>
            </w:r>
            <w:r>
              <w:rPr>
                <w:rFonts w:hint="eastAsia"/>
              </w:rPr>
              <w:br w:type="textWrapping" w:clear="all"/>
            </w:r>
            <w:r>
              <w:rPr>
                <w:rFonts w:hint="eastAsia"/>
              </w:rPr>
              <w:t xml:space="preserve">（</w:t>
            </w:r>
            <w:r>
              <w:rPr>
                <w:rFonts w:hint="eastAsia"/>
              </w:rPr>
              <w:t xml:space="preserve">3</w:t>
            </w:r>
            <w:r>
              <w:rPr>
                <w:rFonts w:hint="eastAsia"/>
              </w:rPr>
              <w:t xml:space="preserve">）演示电子运单管理功能，可查询本企业本月危货、</w:t>
            </w:r>
            <w:r>
              <w:rPr>
                <w:rFonts w:hint="eastAsia"/>
              </w:rPr>
              <w:t xml:space="preserve">危废运单</w:t>
            </w:r>
            <w:r>
              <w:rPr>
                <w:rFonts w:hint="eastAsia"/>
              </w:rPr>
              <w:t xml:space="preserve">情况，提供运单填报、行车日志、常用企业管理、地址管理等功能。（</w:t>
            </w:r>
            <w:r>
              <w:rPr>
                <w:rFonts w:hint="eastAsia"/>
              </w:rPr>
              <w:t xml:space="preserve">2</w:t>
            </w:r>
            <w:r>
              <w:rPr>
                <w:rFonts w:hint="eastAsia"/>
              </w:rPr>
              <w:t xml:space="preserve">分）</w:t>
            </w:r>
            <w:r/>
          </w:p>
          <w:p>
            <w:pPr>
              <w:jc w:val="left"/>
              <w:spacing w:line="360" w:lineRule="auto"/>
              <w:widowControl/>
              <w:rPr>
                <w:lang w:val="zh-CN"/>
              </w:rPr>
            </w:pPr>
            <w:r>
              <w:rPr>
                <w:rFonts w:hint="eastAsia"/>
              </w:rPr>
              <w:t xml:space="preserve">上述演示最终以视频录屏形式进行上传，符合要求的得分，不符合要求或未演示的不得分。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rPr>
                <w:spacing w:val="-6"/>
              </w:rPr>
            </w:pPr>
            <w:r>
              <w:rPr>
                <w:rFonts w:hint="eastAsia"/>
                <w:spacing w:val="-6"/>
              </w:rPr>
              <w:t xml:space="preserve">10</w:t>
            </w:r>
            <w:r/>
          </w:p>
        </w:tc>
      </w:tr>
      <w:tr>
        <w:trPr>
          <w:jc w:val="center"/>
          <w:trHeight w:val="455"/>
        </w:trPr>
        <w:tc>
          <w:tcPr>
            <w:gridSpan w:val="4"/>
            <w:tcBorders>
              <w:top w:val="single" w:color="000000" w:sz="2" w:space="0"/>
              <w:bottom w:val="single" w:color="000000" w:sz="2" w:space="0"/>
            </w:tcBorders>
            <w:tcW w:w="9575" w:type="dxa"/>
            <w:vAlign w:val="center"/>
            <w:textDirection w:val="lrTb"/>
            <w:noWrap w:val="false"/>
          </w:tcPr>
          <w:p>
            <w:pPr>
              <w:spacing w:line="360" w:lineRule="auto"/>
            </w:pPr>
            <w:r>
              <w:rPr>
                <w:b/>
                <w:bCs/>
                <w:spacing w:val="-3"/>
              </w:rPr>
              <w:t xml:space="preserve">4.</w:t>
            </w:r>
            <w:r>
              <w:rPr>
                <w:rFonts w:hint="eastAsia"/>
                <w:b/>
                <w:bCs/>
                <w:spacing w:val="-3"/>
              </w:rPr>
              <w:t xml:space="preserve">商务</w:t>
            </w:r>
            <w:r>
              <w:rPr>
                <w:b/>
                <w:bCs/>
                <w:spacing w:val="-3"/>
              </w:rPr>
              <w:t xml:space="preserve">（</w:t>
            </w:r>
            <w:r>
              <w:rPr>
                <w:rFonts w:hint="eastAsia"/>
                <w:b/>
                <w:bCs/>
                <w:spacing w:val="-3"/>
              </w:rPr>
              <w:t xml:space="preserve">35</w:t>
            </w:r>
            <w:r>
              <w:rPr>
                <w:b/>
                <w:bCs/>
                <w:spacing w:val="-3"/>
              </w:rPr>
              <w:t xml:space="preserve">分）</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spacing w:val="-2"/>
              </w:rPr>
              <w:t xml:space="preserve">4.1</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rPr>
              <w:t xml:space="preserve">软件自主研发能力要求</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供应商具有自主研发能力，具备与本项目相关的软件著作权证书，证书内容涉及交通运行监测、交通运行指标分析、信息资源整合、交通大数据等相关主题，每提供一个软件著作权证书得1分，本项最多得3分。如投标文件中提供的著作权名称表述与磋商文件描述的关键字样不一致，而该投标文件中能证明供应商拥有的著作权具有或相似功能和效果，且评标委员会认可的，视同符合要求。（提供</w:t>
            </w:r>
            <w:r>
              <w:rPr>
                <w:rFonts w:hint="eastAsia" w:ascii="宋体" w:hAnsi="宋体" w:cs="宋体"/>
                <w:szCs w:val="21"/>
              </w:rPr>
              <w:t xml:space="preserve">软相同件</w:t>
            </w:r>
            <w:r>
              <w:rPr>
                <w:rFonts w:hint="eastAsia" w:ascii="宋体" w:hAnsi="宋体" w:cs="宋体"/>
                <w:szCs w:val="21"/>
              </w:rPr>
              <w:t xml:space="preserve">著作权证书证明材料复印件并加盖投标人公章，未提供不得分）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3</w:t>
            </w:r>
            <w:r/>
          </w:p>
        </w:tc>
      </w:tr>
      <w:tr>
        <w:trPr>
          <w:jc w:val="center"/>
          <w:trHeight w:val="90"/>
        </w:trPr>
        <w:tc>
          <w:tcPr>
            <w:tcBorders>
              <w:top w:val="single" w:color="000000" w:sz="2" w:space="0"/>
            </w:tcBorders>
            <w:tcW w:w="757" w:type="dxa"/>
            <w:vAlign w:val="center"/>
            <w:vMerge w:val="restart"/>
            <w:textDirection w:val="lrTb"/>
            <w:noWrap w:val="false"/>
          </w:tcPr>
          <w:p>
            <w:pPr>
              <w:jc w:val="center"/>
              <w:spacing w:before="68" w:line="360" w:lineRule="auto"/>
              <w:rPr>
                <w:spacing w:val="-2"/>
              </w:rPr>
            </w:pPr>
            <w:r>
              <w:rPr>
                <w:rFonts w:hint="eastAsia"/>
                <w:spacing w:val="-2"/>
              </w:rPr>
              <w:t xml:space="preserve">4.2</w:t>
            </w:r>
            <w:r/>
          </w:p>
        </w:tc>
        <w:tc>
          <w:tcPr>
            <w:tcBorders>
              <w:top w:val="single" w:color="000000" w:sz="2" w:space="0"/>
            </w:tcBorders>
            <w:tcW w:w="1440" w:type="dxa"/>
            <w:vAlign w:val="center"/>
            <w:vMerge w:val="restart"/>
            <w:textDirection w:val="lrTb"/>
            <w:noWrap w:val="false"/>
          </w:tcPr>
          <w:p>
            <w:pPr>
              <w:jc w:val="center"/>
              <w:spacing w:before="68" w:line="360" w:lineRule="auto"/>
              <w:rPr>
                <w:spacing w:val="-2"/>
              </w:rPr>
            </w:pPr>
            <w:r>
              <w:rPr>
                <w:rFonts w:hint="eastAsia"/>
                <w:spacing w:val="-2"/>
              </w:rPr>
              <w:t xml:space="preserve">综合实力</w:t>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供应商具有有效期内的</w:t>
            </w:r>
            <w:r>
              <w:rPr>
                <w:rFonts w:ascii="宋体" w:hAnsi="宋体"/>
                <w:szCs w:val="21"/>
              </w:rPr>
              <w:t xml:space="preserve">ISO9001</w:t>
            </w:r>
            <w:r>
              <w:rPr>
                <w:rFonts w:hint="eastAsia" w:ascii="宋体" w:hAnsi="宋体"/>
                <w:szCs w:val="21"/>
              </w:rPr>
              <w:t xml:space="preserve">质量管理体系认证证书的，得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widowControl/>
            </w:pPr>
            <w:r>
              <w:rPr>
                <w:rFonts w:hint="eastAsia"/>
              </w:rPr>
              <w:t xml:space="preserve">2</w:t>
            </w:r>
            <w:r/>
          </w:p>
        </w:tc>
      </w:tr>
      <w:tr>
        <w:trPr>
          <w:jc w:val="center"/>
          <w:trHeight w:val="90"/>
        </w:trPr>
        <w:tc>
          <w:tcPr>
            <w:tcW w:w="757" w:type="dxa"/>
            <w:vAlign w:val="center"/>
            <w:vMerge w:val="continue"/>
            <w:textDirection w:val="lrTb"/>
            <w:noWrap w:val="false"/>
          </w:tcPr>
          <w:p>
            <w:pPr>
              <w:jc w:val="center"/>
              <w:spacing w:before="68" w:line="360" w:lineRule="auto"/>
              <w:rPr>
                <w:spacing w:val="-2"/>
              </w:rPr>
            </w:pPr>
            <w:r>
              <w:rPr>
                <w:spacing w:val="-2"/>
              </w:rPr>
            </w:r>
            <w:r/>
          </w:p>
        </w:tc>
        <w:tc>
          <w:tcPr>
            <w:tcW w:w="1440" w:type="dxa"/>
            <w:vAlign w:val="center"/>
            <w:vMerge w:val="continue"/>
            <w:textDirection w:val="lrTb"/>
            <w:noWrap w:val="false"/>
          </w:tcPr>
          <w:p>
            <w:pPr>
              <w:jc w:val="center"/>
              <w:spacing w:before="68" w:line="360" w:lineRule="auto"/>
              <w:rPr>
                <w:spacing w:val="-2"/>
              </w:rPr>
            </w:pPr>
            <w:r>
              <w:rPr>
                <w:spacing w:val="-2"/>
              </w:rPr>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供应商具有有效期内的</w:t>
            </w:r>
            <w:r>
              <w:rPr>
                <w:rFonts w:ascii="宋体" w:hAnsi="宋体"/>
                <w:szCs w:val="21"/>
              </w:rPr>
              <w:t xml:space="preserve">ISO27001</w:t>
            </w:r>
            <w:r>
              <w:rPr>
                <w:rFonts w:hint="eastAsia" w:ascii="宋体" w:hAnsi="宋体"/>
                <w:szCs w:val="21"/>
              </w:rPr>
              <w:t xml:space="preserve">信息安全管理体系认证证书的，得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widowControl/>
            </w:pPr>
            <w:r>
              <w:rPr>
                <w:rFonts w:hint="eastAsia"/>
              </w:rPr>
              <w:t xml:space="preserve">2</w:t>
            </w:r>
            <w:r/>
          </w:p>
        </w:tc>
      </w:tr>
      <w:tr>
        <w:trPr>
          <w:jc w:val="center"/>
          <w:trHeight w:val="90"/>
        </w:trPr>
        <w:tc>
          <w:tcPr>
            <w:tcBorders>
              <w:bottom w:val="single" w:color="000000" w:sz="2" w:space="0"/>
            </w:tcBorders>
            <w:tcW w:w="757" w:type="dxa"/>
            <w:vAlign w:val="center"/>
            <w:vMerge w:val="continue"/>
            <w:textDirection w:val="lrTb"/>
            <w:noWrap w:val="false"/>
          </w:tcPr>
          <w:p>
            <w:pPr>
              <w:jc w:val="center"/>
              <w:spacing w:before="68" w:line="360" w:lineRule="auto"/>
              <w:rPr>
                <w:spacing w:val="-2"/>
              </w:rPr>
            </w:pPr>
            <w:r>
              <w:rPr>
                <w:spacing w:val="-2"/>
              </w:rPr>
            </w:r>
            <w:r/>
          </w:p>
        </w:tc>
        <w:tc>
          <w:tcPr>
            <w:tcBorders>
              <w:bottom w:val="single" w:color="000000" w:sz="2" w:space="0"/>
            </w:tcBorders>
            <w:tcW w:w="1440" w:type="dxa"/>
            <w:vAlign w:val="center"/>
            <w:vMerge w:val="continue"/>
            <w:textDirection w:val="lrTb"/>
            <w:noWrap w:val="false"/>
          </w:tcPr>
          <w:p>
            <w:pPr>
              <w:jc w:val="center"/>
              <w:spacing w:before="68" w:line="360" w:lineRule="auto"/>
              <w:rPr>
                <w:spacing w:val="-2"/>
              </w:rPr>
            </w:pPr>
            <w:r>
              <w:rPr>
                <w:spacing w:val="-2"/>
              </w:rPr>
            </w:r>
            <w:r/>
          </w:p>
        </w:tc>
        <w:tc>
          <w:tcPr>
            <w:tcBorders>
              <w:top w:val="single" w:color="000000" w:sz="2" w:space="0"/>
              <w:bottom w:val="single" w:color="000000" w:sz="2" w:space="0"/>
            </w:tcBorders>
            <w:tcW w:w="6437" w:type="dxa"/>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投标人具有有效期内的</w:t>
            </w:r>
            <w:r>
              <w:rPr>
                <w:rFonts w:ascii="宋体" w:hAnsi="宋体"/>
                <w:szCs w:val="21"/>
              </w:rPr>
              <w:t xml:space="preserve">ISO20000</w:t>
            </w:r>
            <w:r>
              <w:rPr>
                <w:rFonts w:hint="eastAsia" w:ascii="宋体" w:hAnsi="宋体"/>
                <w:szCs w:val="21"/>
              </w:rPr>
              <w:t xml:space="preserve">信息技术服务管理体系认证证书的，得</w:t>
            </w:r>
            <w:r>
              <w:rPr>
                <w:rFonts w:ascii="宋体" w:hAnsi="宋体"/>
                <w:szCs w:val="21"/>
              </w:rPr>
              <w:t xml:space="preserve">2</w:t>
            </w:r>
            <w:r>
              <w:rPr>
                <w:rFonts w:hint="eastAsia" w:ascii="宋体" w:hAnsi="宋体"/>
                <w:szCs w:val="21"/>
              </w:rPr>
              <w:t xml:space="preserve">分。（提供有效证书复印件并加盖投标人公章，未提供不得分）</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widowControl/>
            </w:pPr>
            <w:r>
              <w:rPr>
                <w:rFonts w:hint="eastAsia"/>
              </w:rPr>
              <w:t xml:space="preserve">2</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4.3</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企业业绩</w:t>
            </w:r>
            <w:r/>
          </w:p>
        </w:tc>
        <w:tc>
          <w:tcPr>
            <w:tcBorders>
              <w:top w:val="single" w:color="000000" w:sz="2" w:space="0"/>
              <w:bottom w:val="single" w:color="000000" w:sz="2" w:space="0"/>
            </w:tcBorders>
            <w:tcW w:w="6437" w:type="dxa"/>
            <w:vAlign w:val="center"/>
            <w:textDirection w:val="lrTb"/>
            <w:noWrap w:val="false"/>
          </w:tcPr>
          <w:p>
            <w:pPr>
              <w:spacing w:line="360" w:lineRule="auto"/>
            </w:pPr>
            <w:r>
              <w:t xml:space="preserve">（</w:t>
            </w:r>
            <w:r>
              <w:t xml:space="preserve">1</w:t>
            </w:r>
            <w:r>
              <w:t xml:space="preserve">）供应商自</w:t>
            </w:r>
            <w:r>
              <w:t xml:space="preserve">2021</w:t>
            </w:r>
            <w:r>
              <w:t xml:space="preserve">年</w:t>
            </w:r>
            <w:r>
              <w:t xml:space="preserve">1</w:t>
            </w:r>
            <w:r>
              <w:t xml:space="preserve">月</w:t>
            </w:r>
            <w:r>
              <w:t xml:space="preserve">1</w:t>
            </w:r>
            <w:r>
              <w:t xml:space="preserve">日（含）以来，承担过</w:t>
            </w:r>
            <w:r>
              <w:rPr>
                <w:rFonts w:hint="eastAsia"/>
              </w:rPr>
              <w:t xml:space="preserve">类似</w:t>
            </w:r>
            <w:r>
              <w:t xml:space="preserve">交通信息化软件项目业绩的，每提供</w:t>
            </w:r>
            <w:r>
              <w:t xml:space="preserve">1</w:t>
            </w:r>
            <w:r>
              <w:t xml:space="preserve">个得</w:t>
            </w:r>
            <w:r>
              <w:t xml:space="preserve">3</w:t>
            </w:r>
            <w:r>
              <w:t xml:space="preserve">分，最多得</w:t>
            </w:r>
            <w:r>
              <w:rPr>
                <w:rFonts w:hint="eastAsia"/>
                <w:color w:val="000000" w:themeColor="text1"/>
              </w:rPr>
              <w:t xml:space="preserve">9</w:t>
            </w:r>
            <w:r>
              <w:t xml:space="preserve">分，未提供不得分。</w:t>
            </w:r>
            <w:r>
              <w:br w:type="textWrapping" w:clear="all"/>
            </w:r>
            <w:r>
              <w:t xml:space="preserve">（</w:t>
            </w:r>
            <w:r>
              <w:t xml:space="preserve">2</w:t>
            </w:r>
            <w:r>
              <w:t xml:space="preserve">）供应商自</w:t>
            </w:r>
            <w:r>
              <w:t xml:space="preserve">2021</w:t>
            </w:r>
            <w:r>
              <w:t xml:space="preserve">年</w:t>
            </w:r>
            <w:r>
              <w:t xml:space="preserve">1</w:t>
            </w:r>
            <w:r>
              <w:t xml:space="preserve">月</w:t>
            </w:r>
            <w:r>
              <w:t xml:space="preserve">1</w:t>
            </w:r>
            <w:r>
              <w:t xml:space="preserve">日（含）以来，承担过</w:t>
            </w:r>
            <w:r>
              <w:rPr>
                <w:rFonts w:hint="eastAsia"/>
              </w:rPr>
              <w:t xml:space="preserve">类似</w:t>
            </w:r>
            <w:r>
              <w:t xml:space="preserve">危险货物道路运输安全监管系统项目业绩的，每提供</w:t>
            </w:r>
            <w:r>
              <w:t xml:space="preserve">1</w:t>
            </w:r>
            <w:r>
              <w:t xml:space="preserve">个得</w:t>
            </w:r>
            <w:r>
              <w:t xml:space="preserve">3</w:t>
            </w:r>
            <w:r>
              <w:t xml:space="preserve">分，最多得</w:t>
            </w:r>
            <w:r>
              <w:t xml:space="preserve">3</w:t>
            </w:r>
            <w:r>
              <w:t xml:space="preserve">分，未提供不得分。（</w:t>
            </w:r>
            <w:r>
              <w:rPr>
                <w:szCs w:val="21"/>
              </w:rPr>
              <w:t xml:space="preserve">时间以合同签订时间为准，</w:t>
            </w:r>
            <w:r>
              <w:t xml:space="preserve">提供有效合同，</w:t>
            </w:r>
            <w:r>
              <w:t xml:space="preserve">合同页须清晰</w:t>
            </w:r>
            <w:r>
              <w:t xml:space="preserve">可见相应内容）</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12</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4.4</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项目经理</w:t>
            </w:r>
            <w:r/>
          </w:p>
        </w:tc>
        <w:tc>
          <w:tcPr>
            <w:tcBorders>
              <w:top w:val="single" w:color="000000" w:sz="2" w:space="0"/>
              <w:bottom w:val="single" w:color="000000" w:sz="2" w:space="0"/>
            </w:tcBorders>
            <w:tcW w:w="6437" w:type="dxa"/>
            <w:vAlign w:val="center"/>
            <w:textDirection w:val="lrTb"/>
            <w:noWrap w:val="false"/>
          </w:tcPr>
          <w:p>
            <w:pPr>
              <w:spacing w:line="360" w:lineRule="auto"/>
            </w:pPr>
            <w:r>
              <w:t xml:space="preserve">供应商拟投入本项目的项目经</w:t>
            </w:r>
            <w:r>
              <w:rPr>
                <w:color w:val="000000"/>
              </w:rPr>
              <w:t xml:space="preserve">理具有电子信息工程类（或数字经济类）高级工程师及以上职称证书、信息系统项目管理师（高级）证书，</w:t>
            </w:r>
            <w:r>
              <w:t xml:space="preserve">每提供</w:t>
            </w:r>
            <w:r>
              <w:t xml:space="preserve">1</w:t>
            </w:r>
            <w:r>
              <w:t xml:space="preserve">个证书得</w:t>
            </w:r>
            <w:r>
              <w:t xml:space="preserve">2</w:t>
            </w:r>
            <w:r>
              <w:t xml:space="preserve">分，最多得</w:t>
            </w:r>
            <w:r>
              <w:t xml:space="preserve">4</w:t>
            </w:r>
            <w:r>
              <w:t xml:space="preserve">分。</w:t>
            </w:r>
            <w:r>
              <w:rPr>
                <w:lang w:val="zh-CN"/>
              </w:rPr>
              <w:t xml:space="preserve">（提供人员证书</w:t>
            </w:r>
            <w:r>
              <w:t xml:space="preserve">及供应商为其缴纳的</w:t>
            </w:r>
            <w:r>
              <w:rPr>
                <w:rFonts w:hint="eastAsia" w:ascii="宋体" w:hAnsi="宋体" w:cs="宋体"/>
                <w:szCs w:val="21"/>
              </w:rPr>
              <w:t xml:space="preserve">近三个月任意一个月</w:t>
            </w:r>
            <w:r>
              <w:t xml:space="preserve">的</w:t>
            </w:r>
            <w:r>
              <w:t xml:space="preserve">社保证明</w:t>
            </w:r>
            <w:r>
              <w:t xml:space="preserve">材料，缺一不可）</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t xml:space="preserve">4</w:t>
            </w:r>
            <w:r/>
          </w:p>
        </w:tc>
      </w:tr>
      <w:tr>
        <w:trPr>
          <w:jc w:val="center"/>
          <w:trHeight w:val="90"/>
        </w:trPr>
        <w:tc>
          <w:tcPr>
            <w:tcBorders>
              <w:top w:val="single" w:color="000000" w:sz="2" w:space="0"/>
              <w:bottom w:val="single" w:color="000000" w:sz="2" w:space="0"/>
            </w:tcBorders>
            <w:tcW w:w="757" w:type="dxa"/>
            <w:vAlign w:val="center"/>
            <w:textDirection w:val="lrTb"/>
            <w:noWrap w:val="false"/>
          </w:tcPr>
          <w:p>
            <w:pPr>
              <w:jc w:val="center"/>
              <w:spacing w:before="68" w:line="360" w:lineRule="auto"/>
              <w:rPr>
                <w:spacing w:val="-2"/>
              </w:rPr>
            </w:pPr>
            <w:r>
              <w:rPr>
                <w:rFonts w:hint="eastAsia"/>
                <w:spacing w:val="-2"/>
              </w:rPr>
              <w:t xml:space="preserve">4.5</w:t>
            </w:r>
            <w:r/>
          </w:p>
        </w:tc>
        <w:tc>
          <w:tcPr>
            <w:tcBorders>
              <w:top w:val="single" w:color="000000" w:sz="2" w:space="0"/>
              <w:bottom w:val="single" w:color="000000" w:sz="2" w:space="0"/>
            </w:tcBorders>
            <w:tcW w:w="1440" w:type="dxa"/>
            <w:vAlign w:val="center"/>
            <w:textDirection w:val="lrTb"/>
            <w:noWrap w:val="false"/>
          </w:tcPr>
          <w:p>
            <w:pPr>
              <w:jc w:val="center"/>
              <w:spacing w:before="68" w:line="360" w:lineRule="auto"/>
              <w:rPr>
                <w:spacing w:val="-2"/>
              </w:rPr>
            </w:pPr>
            <w:r>
              <w:rPr>
                <w:rFonts w:hint="eastAsia"/>
                <w:spacing w:val="-2"/>
              </w:rPr>
              <w:t xml:space="preserve">团队其他成员</w:t>
            </w:r>
            <w:r/>
          </w:p>
        </w:tc>
        <w:tc>
          <w:tcPr>
            <w:tcBorders>
              <w:top w:val="single" w:color="000000" w:sz="2" w:space="0"/>
              <w:bottom w:val="single" w:color="000000" w:sz="2" w:space="0"/>
            </w:tcBorders>
            <w:tcW w:w="6437" w:type="dxa"/>
            <w:vAlign w:val="center"/>
            <w:textDirection w:val="lrTb"/>
            <w:noWrap w:val="false"/>
          </w:tcPr>
          <w:p>
            <w:pPr>
              <w:spacing w:line="360" w:lineRule="auto"/>
            </w:pPr>
            <w:r>
              <w:t xml:space="preserve">供应商拟投入本项目的项目实施团队（不含项目经理）具有高级工程师及以上职称证书、信息系统项目管理师、系统分析师证书、系统架构设计师证书、高级软件工程师，每提供</w:t>
            </w:r>
            <w:r>
              <w:t xml:space="preserve">1</w:t>
            </w:r>
            <w:r>
              <w:t xml:space="preserve">个证书得</w:t>
            </w:r>
            <w:r>
              <w:t xml:space="preserve">2</w:t>
            </w:r>
            <w:r>
              <w:t xml:space="preserve">分，最高得</w:t>
            </w:r>
            <w:r>
              <w:rPr>
                <w:rFonts w:hint="eastAsia"/>
              </w:rPr>
              <w:t xml:space="preserve">10</w:t>
            </w:r>
            <w:r>
              <w:t xml:space="preserve">分。（多人一证、一人多证不重复计分，</w:t>
            </w:r>
            <w:r>
              <w:rPr>
                <w:lang w:val="zh-CN"/>
              </w:rPr>
              <w:t xml:space="preserve">提供</w:t>
            </w:r>
            <w:r>
              <w:t xml:space="preserve">上述</w:t>
            </w:r>
            <w:r>
              <w:rPr>
                <w:lang w:val="zh-CN"/>
              </w:rPr>
              <w:t xml:space="preserve">人员证书</w:t>
            </w:r>
            <w:r>
              <w:t xml:space="preserve">及供应商为其缴纳的</w:t>
            </w:r>
            <w:r>
              <w:rPr>
                <w:rFonts w:hint="eastAsia" w:ascii="宋体" w:hAnsi="宋体" w:cs="宋体"/>
                <w:szCs w:val="21"/>
              </w:rPr>
              <w:t xml:space="preserve">近三个月任意一个月</w:t>
            </w:r>
            <w:r>
              <w:t xml:space="preserve">的</w:t>
            </w:r>
            <w:r>
              <w:t xml:space="preserve">社保证明</w:t>
            </w:r>
            <w:r>
              <w:t xml:space="preserve">材料，缺一不可）</w:t>
            </w:r>
            <w:r/>
          </w:p>
        </w:tc>
        <w:tc>
          <w:tcPr>
            <w:tcBorders>
              <w:top w:val="single" w:color="000000" w:sz="2" w:space="0"/>
              <w:bottom w:val="single" w:color="000000" w:sz="2" w:space="0"/>
            </w:tcBorders>
            <w:tcW w:w="941" w:type="dxa"/>
            <w:vAlign w:val="center"/>
            <w:textDirection w:val="lrTb"/>
            <w:noWrap w:val="false"/>
          </w:tcPr>
          <w:p>
            <w:pPr>
              <w:jc w:val="center"/>
              <w:spacing w:before="68" w:line="360" w:lineRule="auto"/>
            </w:pPr>
            <w:r>
              <w:rPr>
                <w:rFonts w:hint="eastAsia"/>
              </w:rPr>
              <w:t xml:space="preserve">10</w:t>
            </w:r>
            <w:r/>
          </w:p>
        </w:tc>
      </w:tr>
      <w:tr>
        <w:trPr>
          <w:jc w:val="center"/>
          <w:trHeight w:val="464"/>
        </w:trPr>
        <w:tc>
          <w:tcPr>
            <w:tcBorders>
              <w:top w:val="single" w:color="000000" w:sz="2" w:space="0"/>
              <w:bottom w:val="single" w:color="000000" w:sz="2" w:space="0"/>
            </w:tcBorders>
            <w:tcW w:w="757" w:type="dxa"/>
            <w:vAlign w:val="center"/>
            <w:textDirection w:val="lrTb"/>
            <w:noWrap w:val="false"/>
          </w:tcPr>
          <w:p>
            <w:pPr>
              <w:jc w:val="center"/>
              <w:spacing w:line="360" w:lineRule="auto"/>
              <w:rPr>
                <w:b/>
                <w:color w:val="ff0000"/>
              </w:rPr>
            </w:pPr>
            <w:r>
              <w:rPr>
                <w:b/>
                <w:spacing w:val="-3"/>
              </w:rPr>
              <w:t xml:space="preserve">合</w:t>
            </w:r>
            <w:r>
              <w:rPr>
                <w:b/>
                <w:spacing w:val="-2"/>
              </w:rPr>
              <w:t xml:space="preserve">计</w:t>
            </w:r>
            <w:r/>
          </w:p>
        </w:tc>
        <w:tc>
          <w:tcPr>
            <w:gridSpan w:val="2"/>
            <w:tcBorders>
              <w:top w:val="single" w:color="000000" w:sz="2" w:space="0"/>
              <w:bottom w:val="single" w:color="000000" w:sz="2" w:space="0"/>
            </w:tcBorders>
            <w:tcW w:w="7877" w:type="dxa"/>
            <w:vAlign w:val="center"/>
            <w:textDirection w:val="lrTb"/>
            <w:noWrap w:val="false"/>
          </w:tcPr>
          <w:p>
            <w:pPr>
              <w:ind w:left="172"/>
              <w:jc w:val="center"/>
              <w:spacing w:before="123" w:line="360" w:lineRule="auto"/>
              <w:rPr>
                <w:color w:val="ff0000"/>
                <w:spacing w:val="-2"/>
              </w:rPr>
            </w:pPr>
            <w:r>
              <w:rPr>
                <w:color w:val="ff0000"/>
                <w:spacing w:val="-2"/>
              </w:rPr>
            </w:r>
            <w:r/>
          </w:p>
        </w:tc>
        <w:tc>
          <w:tcPr>
            <w:tcBorders>
              <w:top w:val="single" w:color="000000" w:sz="2" w:space="0"/>
              <w:bottom w:val="single" w:color="000000" w:sz="2" w:space="0"/>
            </w:tcBorders>
            <w:tcW w:w="941" w:type="dxa"/>
            <w:vAlign w:val="center"/>
            <w:textDirection w:val="lrTb"/>
            <w:noWrap w:val="false"/>
          </w:tcPr>
          <w:p>
            <w:pPr>
              <w:jc w:val="center"/>
              <w:spacing w:line="360" w:lineRule="auto"/>
            </w:pPr>
            <w:r>
              <w:rPr>
                <w:spacing w:val="-11"/>
              </w:rPr>
              <w:t xml:space="preserve">100</w:t>
            </w:r>
            <w:r>
              <w:rPr>
                <w:spacing w:val="-11"/>
              </w:rPr>
              <w:t xml:space="preserve">分</w:t>
            </w:r>
            <w:r/>
          </w:p>
        </w:tc>
      </w:tr>
    </w:tbl>
    <w:p>
      <w:pPr>
        <w:rPr>
          <w:szCs w:val="21"/>
        </w:rPr>
      </w:pPr>
      <w:r>
        <w:rPr>
          <w:szCs w:val="21"/>
        </w:rPr>
      </w:r>
      <w:r/>
    </w:p>
    <w:p>
      <w:pPr>
        <w:rPr>
          <w:szCs w:val="21"/>
        </w:rPr>
      </w:pPr>
      <w:r>
        <w:rPr>
          <w:szCs w:val="21"/>
        </w:rPr>
      </w:r>
      <w:r/>
    </w:p>
    <w:p>
      <w:pPr>
        <w:rPr>
          <w:szCs w:val="21"/>
        </w:rPr>
      </w:pPr>
      <w:r>
        <w:rPr>
          <w:szCs w:val="21"/>
        </w:rPr>
        <w:br w:type="page" w:clear="all"/>
      </w:r>
      <w:r/>
    </w:p>
    <w:p>
      <w:pPr>
        <w:rPr>
          <w:szCs w:val="21"/>
        </w:rPr>
      </w:pPr>
      <w:r>
        <w:rPr>
          <w:szCs w:val="21"/>
        </w:rPr>
      </w:r>
      <w:r/>
    </w:p>
    <w:p>
      <w:pPr>
        <w:jc w:val="center"/>
        <w:keepNext/>
        <w:rPr>
          <w:rFonts w:ascii="黑体" w:eastAsia="黑体"/>
          <w:bCs/>
          <w:sz w:val="44"/>
          <w:szCs w:val="28"/>
        </w:rPr>
        <w:outlineLvl w:val="0"/>
      </w:pPr>
      <w:r/>
      <w:bookmarkStart w:id="203" w:name="_Toc211265115"/>
      <w:r>
        <w:rPr>
          <w:rFonts w:hint="eastAsia" w:ascii="黑体" w:eastAsia="黑体"/>
          <w:bCs/>
          <w:sz w:val="44"/>
          <w:szCs w:val="28"/>
        </w:rPr>
        <w:t xml:space="preserve">第六章</w:t>
      </w:r>
      <w:bookmarkEnd w:id="195"/>
      <w:r/>
      <w:bookmarkEnd w:id="196"/>
      <w:r/>
      <w:bookmarkEnd w:id="202"/>
      <w:r>
        <w:rPr>
          <w:rFonts w:hint="eastAsia" w:ascii="黑体" w:eastAsia="黑体"/>
          <w:bCs/>
          <w:sz w:val="44"/>
          <w:szCs w:val="28"/>
        </w:rPr>
        <w:t xml:space="preserve">响应文件格式</w:t>
      </w:r>
      <w:bookmarkStart w:id="204" w:name="_Toc462564139"/>
      <w:r/>
      <w:bookmarkStart w:id="205" w:name="_Toc479757211"/>
      <w:r/>
      <w:bookmarkEnd w:id="203"/>
      <w:r/>
      <w:r/>
    </w:p>
    <w:p>
      <w:pPr>
        <w:jc w:val="center"/>
        <w:rPr>
          <w:rFonts w:hint="eastAsia" w:ascii="宋体" w:hAnsi="宋体"/>
          <w:b/>
          <w:sz w:val="72"/>
          <w:szCs w:val="21"/>
        </w:rPr>
      </w:pPr>
      <w:r/>
      <w:bookmarkStart w:id="206" w:name="_Hlt26955039"/>
      <w:r/>
      <w:bookmarkStart w:id="207" w:name="_Hlt26671244"/>
      <w:r/>
      <w:bookmarkStart w:id="208" w:name="_Toc49090576"/>
      <w:r/>
      <w:bookmarkStart w:id="209" w:name="_Toc26554094"/>
      <w:r/>
      <w:bookmarkStart w:id="210" w:name="_Toc120614282"/>
      <w:r/>
      <w:bookmarkEnd w:id="206"/>
      <w:r/>
      <w:bookmarkEnd w:id="207"/>
      <w:r/>
      <w:r/>
    </w:p>
    <w:p>
      <w:pPr>
        <w:jc w:val="center"/>
        <w:rPr>
          <w:rFonts w:hint="eastAsia" w:ascii="宋体" w:hAnsi="宋体"/>
          <w:b/>
          <w:sz w:val="72"/>
          <w:szCs w:val="21"/>
        </w:rPr>
      </w:pPr>
      <w:r>
        <w:rPr>
          <w:rFonts w:hint="eastAsia" w:ascii="宋体" w:hAnsi="宋体"/>
          <w:b/>
          <w:sz w:val="72"/>
          <w:szCs w:val="21"/>
        </w:rPr>
        <w:t xml:space="preserve">响应文件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项目名称：</w:t>
      </w:r>
      <w:r/>
    </w:p>
    <w:p>
      <w:pPr>
        <w:ind w:firstLine="1084"/>
        <w:rPr>
          <w:rFonts w:hint="eastAsia" w:ascii="宋体" w:hAnsi="宋体"/>
          <w:b/>
          <w:sz w:val="36"/>
          <w:szCs w:val="21"/>
          <w:u w:val="single"/>
        </w:rPr>
      </w:pPr>
      <w:r>
        <w:rPr>
          <w:rFonts w:hint="eastAsia" w:ascii="宋体" w:hAnsi="宋体"/>
          <w:b/>
          <w:sz w:val="36"/>
          <w:szCs w:val="21"/>
        </w:rPr>
        <w:t xml:space="preserve">项目编号：</w:t>
      </w:r>
      <w:r/>
    </w:p>
    <w:p>
      <w:pPr>
        <w:rPr>
          <w:rFonts w:hint="eastAsia" w:ascii="宋体" w:hAnsi="宋体"/>
          <w:b/>
          <w:sz w:val="36"/>
          <w:szCs w:val="21"/>
          <w:u w:val="single"/>
        </w:rPr>
      </w:pPr>
      <w:r>
        <w:rPr>
          <w:rFonts w:hint="eastAsia" w:ascii="宋体" w:hAnsi="宋体"/>
          <w:b/>
          <w:sz w:val="36"/>
          <w:szCs w:val="21"/>
        </w:rPr>
        <w:t xml:space="preserve">供应商名称：</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日期：</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w:t>
      </w:r>
      <w:r>
        <w:rPr>
          <w:rFonts w:hint="eastAsia" w:ascii="宋体" w:hAnsi="宋体"/>
          <w:sz w:val="24"/>
          <w:szCs w:val="21"/>
        </w:rPr>
        <w:t xml:space="preserve">商成立</w:t>
      </w:r>
      <w:r>
        <w:rPr>
          <w:rFonts w:hint="eastAsia" w:ascii="宋体" w:hAnsi="宋体"/>
          <w:sz w:val="24"/>
          <w:szCs w:val="21"/>
        </w:rPr>
        <w:t xml:space="preserve">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p>
    <w:p>
      <w:pPr>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w:t>
      </w:r>
      <w:r>
        <w:rPr>
          <w:rFonts w:hint="eastAsia" w:ascii="宋体" w:hAnsi="宋体"/>
          <w:sz w:val="24"/>
          <w:szCs w:val="21"/>
        </w:rPr>
        <w:t xml:space="preserve">商依法</w:t>
      </w:r>
      <w:r>
        <w:rPr>
          <w:rFonts w:hint="eastAsia" w:ascii="宋体" w:hAnsi="宋体"/>
          <w:sz w:val="24"/>
          <w:szCs w:val="21"/>
        </w:rPr>
        <w:t xml:space="preserve">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5.参加政府采购活动前3年内在经营活动中没有重大违法记录的书面声明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总备注：上述“资格审查内容”中1-5条、8、9条供应商必须在响应文件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中提供相关材料，否则作无效响应处理；6、10、11、12条如磋商文件要求必须提供相关材料而未提供的，作无效响应处理。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附件1分项报价表（服务类项目）</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18"/>
                <w:szCs w:val="18"/>
              </w:rPr>
            </w:pPr>
            <w:r>
              <w:rPr>
                <w:rFonts w:hint="eastAsia" w:ascii="宋体" w:hAnsi="宋体"/>
                <w:sz w:val="18"/>
                <w:szCs w:val="18"/>
              </w:rPr>
              <w:t xml:space="preserve">合同签</w:t>
            </w:r>
            <w:r/>
          </w:p>
          <w:p>
            <w:pPr>
              <w:jc w:val="center"/>
              <w:spacing w:line="0" w:lineRule="atLeast"/>
              <w:rPr>
                <w:rFonts w:hint="eastAsia" w:ascii="宋体" w:hAnsi="宋体"/>
                <w:sz w:val="24"/>
                <w:szCs w:val="24"/>
              </w:rPr>
            </w:pPr>
            <w:r>
              <w:rPr>
                <w:rFonts w:hint="eastAsia" w:ascii="宋体" w:hAnsi="宋体"/>
                <w:sz w:val="18"/>
                <w:szCs w:val="18"/>
              </w:rPr>
              <w:t xml:space="preserve">订后日</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5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磋商报价</w:t>
      </w:r>
      <w:r>
        <w:rPr>
          <w:rFonts w:hint="eastAsia" w:ascii="宋体" w:hAnsi="宋体"/>
          <w:sz w:val="24"/>
          <w:szCs w:val="24"/>
        </w:rPr>
        <w:t xml:space="preserve">采用总</w:t>
      </w:r>
      <w:r>
        <w:rPr>
          <w:rFonts w:hint="eastAsia" w:ascii="宋体" w:hAnsi="宋体"/>
          <w:sz w:val="24"/>
          <w:szCs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left="480"/>
        <w:rPr>
          <w:rFonts w:hint="eastAsia" w:ascii="宋体" w:hAnsi="宋体"/>
          <w:b/>
          <w:i/>
          <w:color w:val="ff0000"/>
          <w:sz w:val="24"/>
          <w:szCs w:val="21"/>
          <w:u w:val="single"/>
        </w:rPr>
      </w:pPr>
      <w:r>
        <w:rPr>
          <w:rFonts w:hint="eastAsia" w:ascii="宋体" w:hAnsi="宋体"/>
          <w:b/>
          <w:i/>
          <w:color w:val="ff0000"/>
          <w:sz w:val="24"/>
          <w:szCs w:val="21"/>
          <w:u w:val="single"/>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参加政府采购活动前3年内在经营活动中没有重大违法记录的书面声明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
          <w:color w:val="000000"/>
          <w:sz w:val="24"/>
          <w:szCs w:val="21"/>
        </w:rPr>
      </w:pPr>
      <w:r/>
      <w:bookmarkStart w:id="211" w:name="_Toc120614284"/>
      <w:r/>
      <w:bookmarkEnd w:id="208"/>
      <w:r/>
      <w:bookmarkEnd w:id="209"/>
      <w:r/>
      <w:bookmarkEnd w:id="210"/>
      <w:r/>
      <w:r/>
    </w:p>
    <w:p>
      <w:pPr>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法人授权书</w:t>
      </w:r>
      <w:r/>
    </w:p>
    <w:p>
      <w:pPr>
        <w:ind w:firstLine="480"/>
        <w:spacing w:line="0" w:lineRule="atLeas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0" w:lineRule="atLeas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0" w:lineRule="atLeast"/>
        <w:tabs>
          <w:tab w:val="left" w:pos="360" w:leader="none"/>
        </w:tabs>
        <w:rPr>
          <w:sz w:val="24"/>
          <w:szCs w:val="24"/>
          <w:u w:val="single"/>
        </w:rPr>
      </w:pPr>
      <w:r>
        <w:rPr>
          <w:rFonts w:hint="eastAsia"/>
          <w:sz w:val="24"/>
          <w:szCs w:val="24"/>
        </w:rPr>
        <w:t xml:space="preserve">被授权人身份证号码：</w:t>
      </w:r>
      <w:r/>
    </w:p>
    <w:p>
      <w:pPr>
        <w:ind w:firstLine="480"/>
        <w:spacing w:line="0" w:lineRule="atLeast"/>
        <w:tabs>
          <w:tab w:val="left" w:pos="360" w:leader="none"/>
        </w:tabs>
        <w:rPr>
          <w:sz w:val="24"/>
          <w:szCs w:val="24"/>
          <w:u w:val="single"/>
        </w:rPr>
      </w:pPr>
      <w:r>
        <w:rPr>
          <w:rFonts w:hint="eastAsia"/>
          <w:sz w:val="24"/>
          <w:szCs w:val="24"/>
        </w:rPr>
        <w:t xml:space="preserve">被授权人联系电话：（手机）</w:t>
      </w:r>
      <w:r/>
    </w:p>
    <w:p>
      <w:pPr>
        <w:ind w:firstLine="480"/>
        <w:spacing w:line="0" w:lineRule="atLeast"/>
        <w:tabs>
          <w:tab w:val="left" w:pos="360" w:leader="none"/>
        </w:tabs>
        <w:rPr>
          <w:color w:val="000000"/>
          <w:sz w:val="24"/>
          <w:szCs w:val="24"/>
          <w:u w:val="single"/>
        </w:rPr>
      </w:pPr>
      <w:r>
        <w:rPr>
          <w:rFonts w:hint="eastAsia"/>
          <w:color w:val="000000"/>
          <w:sz w:val="24"/>
          <w:szCs w:val="24"/>
        </w:rPr>
        <w:t xml:space="preserve">被授权人电子邮箱：</w:t>
      </w:r>
      <w:r/>
    </w:p>
    <w:p>
      <w:pPr>
        <w:ind w:firstLine="480"/>
        <w:spacing w:line="0" w:lineRule="atLeast"/>
        <w:tabs>
          <w:tab w:val="left" w:pos="360" w:leader="none"/>
        </w:tabs>
        <w:rPr>
          <w:sz w:val="24"/>
          <w:szCs w:val="24"/>
          <w:u w:val="single"/>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0" w:lineRule="atLeast"/>
        <w:tabs>
          <w:tab w:val="left" w:pos="360" w:leader="none"/>
        </w:tabs>
        <w:rPr>
          <w:sz w:val="24"/>
          <w:szCs w:val="24"/>
          <w:u w:val="single"/>
        </w:rPr>
      </w:pPr>
      <w:r>
        <w:rPr>
          <w:rFonts w:hint="eastAsia"/>
          <w:sz w:val="24"/>
          <w:szCs w:val="24"/>
        </w:rPr>
        <w:t xml:space="preserve">单位地址：</w:t>
      </w:r>
      <w:r/>
    </w:p>
    <w:p>
      <w:pPr>
        <w:ind w:firstLine="480"/>
        <w:spacing w:line="0" w:lineRule="atLeast"/>
        <w:tabs>
          <w:tab w:val="left" w:pos="360" w:leader="none"/>
        </w:tabs>
        <w:rPr>
          <w:sz w:val="24"/>
          <w:szCs w:val="24"/>
          <w:u w:val="single"/>
        </w:rPr>
      </w:pPr>
      <w:r>
        <w:rPr>
          <w:rFonts w:hint="eastAsia"/>
          <w:sz w:val="24"/>
          <w:szCs w:val="24"/>
        </w:rPr>
        <w:t xml:space="preserve">日期：</w:t>
      </w:r>
      <w:bookmarkStart w:id="212" w:name="_Hlt26955070"/>
      <w:r/>
      <w:bookmarkStart w:id="213" w:name="_格式3__银行出具的资信证明"/>
      <w:r/>
      <w:bookmarkStart w:id="214" w:name="_Hlt26671380"/>
      <w:r/>
      <w:bookmarkEnd w:id="212"/>
      <w:r/>
      <w:bookmarkEnd w:id="213"/>
      <w:r/>
      <w:bookmarkEnd w:id="214"/>
      <w:r/>
      <w:r/>
    </w:p>
    <w:p>
      <w:pPr>
        <w:ind w:firstLine="360"/>
        <w:spacing w:line="0" w:lineRule="atLeast"/>
        <w:rPr>
          <w:rFonts w:hint="eastAsia" w:ascii="宋体" w:hAnsi="宋体"/>
          <w:sz w:val="24"/>
          <w:szCs w:val="24"/>
        </w:rPr>
      </w:pPr>
      <w:r>
        <w:rPr>
          <w:rFonts w:hint="eastAsia" w:ascii="宋体" w:hAnsi="宋体"/>
          <w:sz w:val="24"/>
          <w:szCs w:val="24"/>
        </w:rPr>
      </w:r>
      <w:r/>
    </w:p>
    <w:p>
      <w:pPr>
        <w:rPr>
          <w:szCs w:val="21"/>
        </w:rPr>
      </w:pPr>
      <w:r>
        <w:rPr>
          <w:szCs w:val="21"/>
        </w:rPr>
      </w:r>
      <w:r/>
    </w:p>
    <w:p>
      <w:pPr>
        <w:jc w:val="center"/>
        <w:rPr>
          <w:rFonts w:hint="eastAsia"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磋商响应函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账号：</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96"/>
        <w:numPr>
          <w:ilvl w:val="0"/>
          <w:numId w:val="0"/>
        </w:numPr>
      </w:pPr>
      <w:r/>
      <w:r/>
    </w:p>
    <w:p>
      <w:pPr>
        <w:jc w:val="center"/>
        <w:rPr>
          <w:rFonts w:hint="eastAsia" w:ascii="黑体" w:hAnsi="黑体" w:eastAsia="黑体"/>
          <w:b/>
          <w:sz w:val="32"/>
          <w:szCs w:val="32"/>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声明函（服务类项目）</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w:t>
      </w:r>
      <w:r>
        <w:rPr>
          <w:rFonts w:hint="eastAsia" w:ascii="宋体" w:hAnsi="宋体"/>
          <w:sz w:val="24"/>
          <w:szCs w:val="24"/>
        </w:rPr>
        <w:t xml:space="preserve">的中小微企业、签订采购包意向协议的中小微企业）的具体情况如下：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color w:val="000000"/>
          <w:sz w:val="24"/>
          <w:szCs w:val="24"/>
        </w:rPr>
        <w:t xml:space="preserve">属</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00" w:lineRule="exact"/>
        <w:rPr>
          <w:rFonts w:hint="eastAsia"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w:t>
      </w:r>
      <w:r>
        <w:rPr>
          <w:rFonts w:hint="eastAsia" w:ascii="宋体" w:hAnsi="宋体"/>
          <w:sz w:val="24"/>
          <w:szCs w:val="24"/>
        </w:rPr>
        <w:t xml:space="preserve">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color w:val="000000"/>
          <w:sz w:val="24"/>
          <w:szCs w:val="24"/>
        </w:rPr>
      </w:pPr>
      <w:r>
        <w:rPr>
          <w:rFonts w:hint="eastAsia" w:ascii="宋体" w:hAnsi="宋体"/>
          <w:color w:val="000000"/>
          <w:sz w:val="24"/>
          <w:szCs w:val="24"/>
        </w:rPr>
        <w:t xml:space="preserve">3.供应商应对照</w:t>
      </w:r>
      <w:r>
        <w:rPr>
          <w:rFonts w:hint="eastAsia" w:ascii="宋体" w:hAnsi="宋体"/>
          <w:color w:val="000000"/>
          <w:sz w:val="24"/>
          <w:szCs w:val="24"/>
        </w:rPr>
        <w:t xml:space="preserve">《</w:t>
      </w:r>
      <w:r>
        <w:rPr>
          <w:rFonts w:hint="eastAsia" w:ascii="宋体" w:hAnsi="宋体"/>
          <w:color w:val="000000"/>
          <w:sz w:val="24"/>
          <w:szCs w:val="24"/>
        </w:rPr>
        <w:t xml:space="preserve">工业和信息化部、国家统计局、国家发展和改革委员会、</w:t>
      </w:r>
      <w:r/>
    </w:p>
    <w:p>
      <w:pPr>
        <w:spacing w:line="400" w:lineRule="exact"/>
        <w:rPr>
          <w:rFonts w:hint="eastAsia" w:ascii="黑体" w:hAnsi="黑体" w:eastAsia="黑体"/>
          <w:b/>
          <w:sz w:val="32"/>
          <w:szCs w:val="32"/>
        </w:rPr>
      </w:pPr>
      <w:r>
        <w:rPr>
          <w:rFonts w:hint="eastAsia" w:ascii="宋体" w:hAnsi="宋体"/>
          <w:color w:val="000000"/>
          <w:sz w:val="24"/>
          <w:szCs w:val="24"/>
        </w:rPr>
        <w:t xml:space="preserve">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w:t>
      </w:r>
      <w:r>
        <w:rPr>
          <w:rFonts w:hint="eastAsia" w:ascii="宋体" w:hAnsi="宋体"/>
          <w:color w:val="000000"/>
          <w:sz w:val="24"/>
          <w:szCs w:val="24"/>
        </w:rPr>
        <w:t xml:space="preserve">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588"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残疾人福利性单位声明函（服务类项目）</w:t>
      </w:r>
      <w:r/>
    </w:p>
    <w:p>
      <w:pPr>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的项目（采购包号：**）采购活动由本单位提供服务。</w:t>
      </w:r>
      <w:r/>
    </w:p>
    <w:p>
      <w:pPr>
        <w:ind w:firstLine="480"/>
        <w:spacing w:line="0" w:lineRule="atLeas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hint="eastAsia" w:ascii="宋体" w:hAnsi="宋体"/>
          <w:sz w:val="24"/>
          <w:szCs w:val="21"/>
        </w:rPr>
      </w:pPr>
      <w:r>
        <w:rPr>
          <w:rFonts w:hint="eastAsia" w:ascii="宋体" w:hAnsi="宋体"/>
          <w:sz w:val="24"/>
          <w:szCs w:val="21"/>
        </w:rPr>
      </w:r>
      <w:r/>
    </w:p>
    <w:p>
      <w:pPr>
        <w:ind w:firstLine="480"/>
        <w:spacing w:line="0" w:lineRule="atLeast"/>
        <w:rPr>
          <w:rFonts w:hint="eastAsia" w:ascii="宋体" w:hAnsi="宋体"/>
          <w:sz w:val="24"/>
          <w:szCs w:val="21"/>
        </w:rPr>
      </w:pPr>
      <w:r>
        <w:rPr>
          <w:rFonts w:hint="eastAsia" w:ascii="宋体" w:hAnsi="宋体"/>
          <w:sz w:val="24"/>
          <w:szCs w:val="21"/>
        </w:rPr>
        <w:t xml:space="preserve">备注：</w:t>
      </w:r>
      <w:r/>
    </w:p>
    <w:p>
      <w:pPr>
        <w:ind w:firstLine="480"/>
        <w:spacing w:line="0" w:lineRule="atLeas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0" w:lineRule="atLeast"/>
        <w:rPr>
          <w:rFonts w:hint="eastAsia" w:ascii="宋体" w:hAnsi="宋体"/>
          <w:sz w:val="24"/>
          <w:szCs w:val="21"/>
        </w:rPr>
      </w:pPr>
      <w:r>
        <w:rPr>
          <w:rFonts w:hint="eastAsia" w:ascii="宋体" w:hAnsi="宋体"/>
          <w:sz w:val="24"/>
          <w:szCs w:val="21"/>
        </w:rPr>
        <w:t xml:space="preserve">2.非专门面向中小微型企业采购的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日期：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联合体协议（参考格式）</w:t>
      </w:r>
      <w:r/>
    </w:p>
    <w:p>
      <w:pPr>
        <w:spacing w:line="0" w:lineRule="atLeas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（供应商1），（供应商2），</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spacing w:line="0" w:lineRule="atLeast"/>
        <w:rPr>
          <w:rFonts w:hint="eastAsia"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jc w:val="right"/>
        <w:spacing w:line="0" w:lineRule="atLeast"/>
        <w:rPr>
          <w:rFonts w:hint="eastAsia" w:ascii="宋体" w:hAnsi="宋体"/>
          <w:sz w:val="24"/>
          <w:szCs w:val="21"/>
        </w:rPr>
      </w:pPr>
      <w:r>
        <w:rPr>
          <w:rFonts w:hint="eastAsia" w:ascii="宋体" w:hAnsi="宋体"/>
          <w:sz w:val="24"/>
          <w:szCs w:val="21"/>
        </w:rPr>
        <w:t xml:space="preserve">联合体中各供应商全称（公章）：</w:t>
      </w:r>
      <w:r/>
    </w:p>
    <w:p>
      <w:pPr>
        <w:ind w:firstLine="645"/>
        <w:spacing w:line="0" w:lineRule="atLeast"/>
        <w:rPr>
          <w:rFonts w:hint="eastAsia" w:ascii="宋体" w:hAnsi="宋体"/>
          <w:sz w:val="24"/>
          <w:szCs w:val="21"/>
        </w:rPr>
      </w:pPr>
      <w:r>
        <w:rPr>
          <w:rFonts w:hint="eastAsia" w:ascii="宋体" w:hAnsi="宋体"/>
          <w:sz w:val="24"/>
          <w:szCs w:val="21"/>
        </w:rPr>
        <w:t xml:space="preserve">日期：</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ind w:firstLine="480"/>
              <w:spacing w:line="360" w:lineRule="auto"/>
              <w:shd w:val="clear" w:color="auto" w:fill="ffffff"/>
              <w:rPr>
                <w:rFonts w:hint="eastAsia" w:ascii="宋体" w:hAnsi="宋体"/>
                <w:color w:val="000000"/>
                <w:sz w:val="24"/>
                <w:szCs w:val="24"/>
              </w:rPr>
            </w:pPr>
            <w:r>
              <w:rPr>
                <w:rFonts w:ascii="宋体" w:hAnsi="宋体" w:cs="Arial"/>
                <w:i/>
                <w:color w:val="000000"/>
                <w:sz w:val="24"/>
                <w:szCs w:val="24"/>
                <w:u w:val="single"/>
              </w:rPr>
              <w:t xml:space="preserve">承诺本项目产品质量保证期至少两年，</w:t>
            </w:r>
            <w:r>
              <w:rPr>
                <w:rFonts w:ascii="宋体" w:hAnsi="宋体" w:cs="Arial"/>
                <w:i/>
                <w:color w:val="000000"/>
                <w:sz w:val="24"/>
                <w:szCs w:val="24"/>
                <w:u w:val="single"/>
              </w:rPr>
              <w:t xml:space="preserve">自项目</w:t>
            </w:r>
            <w:r>
              <w:rPr>
                <w:rFonts w:ascii="宋体" w:hAnsi="宋体" w:cs="Arial"/>
                <w:i/>
                <w:color w:val="000000"/>
                <w:sz w:val="24"/>
                <w:szCs w:val="24"/>
                <w:u w:val="single"/>
              </w:rPr>
              <w:t xml:space="preserve">验收合格后开始计算。质量保证期内，对运行中出现的故障</w:t>
            </w:r>
            <w:r>
              <w:rPr>
                <w:rFonts w:hint="eastAsia" w:ascii="宋体" w:hAnsi="宋体" w:cs="Arial"/>
                <w:i/>
                <w:color w:val="000000"/>
                <w:sz w:val="24"/>
                <w:szCs w:val="24"/>
                <w:u w:val="single"/>
              </w:rPr>
              <w:t xml:space="preserve">进行维护所产生的费用已包含在此次磋商报价中</w:t>
            </w:r>
            <w:r>
              <w:rPr>
                <w:rFonts w:ascii="宋体" w:hAnsi="宋体" w:cs="Arial"/>
                <w:i/>
                <w:color w:val="000000"/>
                <w:sz w:val="24"/>
                <w:szCs w:val="24"/>
                <w:u w:val="single"/>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ind w:firstLine="480"/>
              <w:jc w:val="left"/>
              <w:spacing w:line="400" w:lineRule="exact"/>
              <w:rPr>
                <w:rFonts w:hint="eastAsia" w:ascii="宋体" w:hAnsi="宋体"/>
                <w:color w:val="000000"/>
                <w:sz w:val="24"/>
                <w:szCs w:val="24"/>
              </w:rPr>
            </w:pPr>
            <w:r>
              <w:rPr>
                <w:rFonts w:ascii="宋体" w:hAnsi="宋体" w:cs="Arial"/>
                <w:i/>
                <w:color w:val="000000"/>
                <w:sz w:val="24"/>
                <w:szCs w:val="24"/>
                <w:u w:val="single"/>
              </w:rPr>
              <w:t xml:space="preserve">开发所涉及软件的知识产权为磋商供应商合法所有或经合法授权；本系统开发的所有成果版权属于江苏省交通通信信息中心所有，系统验收完成后，软件产品、源代码及所有文档资料须于三个月内提交给江苏省交通通信信息中心，未经许可，磋商供应商不得擅自修改、使用和转让。磋商供应商须承诺：如</w:t>
            </w:r>
            <w:r>
              <w:rPr>
                <w:rFonts w:hint="eastAsia" w:ascii="宋体" w:hAnsi="宋体" w:cs="Arial"/>
                <w:i/>
                <w:color w:val="000000"/>
                <w:sz w:val="24"/>
                <w:szCs w:val="24"/>
                <w:u w:val="single"/>
              </w:rPr>
              <w:t xml:space="preserve">成交</w:t>
            </w:r>
            <w:r>
              <w:rPr>
                <w:rFonts w:ascii="宋体" w:hAnsi="宋体" w:cs="Arial"/>
                <w:i/>
                <w:color w:val="000000"/>
                <w:sz w:val="24"/>
                <w:szCs w:val="24"/>
                <w:u w:val="single"/>
              </w:rPr>
              <w:t xml:space="preserve">，本项目的开发过程和所有产出没有任何不能向江苏省交通通信信息中心提交著作产权的内容和技术细节。</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11-1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p>
    <w:p>
      <w:pPr>
        <w:spacing w:line="400" w:lineRule="exact"/>
        <w:rPr>
          <w:rFonts w:hint="eastAsia"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3.供应商未对实质性要求逐条</w:t>
      </w:r>
      <w:r>
        <w:rPr>
          <w:rFonts w:hint="eastAsia" w:ascii="宋体" w:hAnsi="宋体"/>
          <w:sz w:val="24"/>
          <w:szCs w:val="24"/>
        </w:rPr>
        <w:t xml:space="preserve">作出</w:t>
      </w:r>
      <w:r>
        <w:rPr>
          <w:rFonts w:hint="eastAsia" w:ascii="宋体" w:hAnsi="宋体"/>
          <w:sz w:val="24"/>
          <w:szCs w:val="24"/>
        </w:rPr>
        <w:t xml:space="preserve">明确响应的，或未按磋商文件要求提供证明材料的，该采购包作无效响应处理。</w:t>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bookmarkEnd w:id="204"/>
      <w:bookmarkEnd w:id="205"/>
      <w:bookmarkEnd w:id="211"/>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签字(签章)：公章：</w:t>
      </w:r>
      <w:r/>
    </w:p>
    <w:p>
      <w:pPr>
        <w:rPr>
          <w:rFonts w:hint="eastAsia" w:ascii="宋体" w:hAnsi="宋体"/>
          <w:sz w:val="24"/>
          <w:szCs w:val="24"/>
        </w:rPr>
      </w:pPr>
      <w:r>
        <w:rPr>
          <w:rFonts w:hint="eastAsia" w:ascii="宋体" w:hAnsi="宋体"/>
          <w:sz w:val="24"/>
          <w:szCs w:val="24"/>
        </w:rPr>
        <w:t xml:space="preserve">日期：</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3"/>
        <w:rFonts w:hint="eastAsia"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47</w:t>
    </w:r>
    <w:r>
      <w:rPr>
        <w:rFonts w:ascii="宋体" w:hAnsi="宋体"/>
      </w:rPr>
      <w:fldChar w:fldCharType="end"/>
    </w:r>
    <w:r/>
  </w:p>
  <w:p>
    <w:pPr>
      <w:pStyle w:val="72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8"/>
      <w:isLgl w:val="false"/>
      <w:suff w:val="nothing"/>
      <w:lvlText w:val="%1、"/>
      <w:lvlJc w:val="left"/>
      <w:pPr>
        <w:ind w:left="851" w:firstLine="0"/>
      </w:pPr>
      <w:rPr>
        <w:rFonts w:hint="eastAsia"/>
      </w:rPr>
    </w:lvl>
    <w:lvl w:ilvl="1">
      <w:start w:val="1"/>
      <w:numFmt w:val="decimal"/>
      <w:isLgl w:val="false"/>
      <w:suff w:val="space"/>
      <w:lvlText w:val="%1.%2"/>
      <w:lvlJc w:val="left"/>
      <w:pPr>
        <w:ind w:left="142" w:firstLine="0"/>
      </w:pPr>
      <w:rPr>
        <w:rFonts w:hint="eastAsia"/>
        <w:b w:val="0"/>
        <w:bCs w:val="0"/>
      </w:rPr>
    </w:lvl>
    <w:lvl w:ilvl="2">
      <w:start w:val="1"/>
      <w:numFmt w:val="decimal"/>
      <w:isLgl w:val="false"/>
      <w:suff w:val="space"/>
      <w:lvlText w:val="%1.%2.%3"/>
      <w:lvlJc w:val="left"/>
      <w:pPr>
        <w:ind w:left="2978"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7）"/>
      <w:lvlJc w:val="left"/>
      <w:pPr>
        <w:ind w:left="0" w:firstLine="0"/>
      </w:pPr>
      <w:rPr>
        <w:rFonts w:hint="eastAsia"/>
      </w:rPr>
    </w:lvl>
    <w:lvl w:ilvl="7">
      <w:start w:val="1"/>
      <w:numFmt w:val="decimal"/>
      <w:isLgl w:val="false"/>
      <w:suff w:val="space"/>
      <w:lvlText w:val="%8）"/>
      <w:lvlJc w:val="left"/>
      <w:pPr>
        <w:ind w:left="0" w:firstLine="0"/>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4">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0"/>
    <w:link w:val="736"/>
    <w:uiPriority w:val="10"/>
    <w:rPr>
      <w:sz w:val="48"/>
      <w:szCs w:val="48"/>
    </w:rPr>
  </w:style>
  <w:style w:type="character" w:styleId="36">
    <w:name w:val="Subtitle Char"/>
    <w:basedOn w:val="700"/>
    <w:link w:val="725"/>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7"/>
    <w:uiPriority w:val="99"/>
    <w:rPr>
      <w:sz w:val="18"/>
    </w:rPr>
  </w:style>
  <w:style w:type="character" w:styleId="178">
    <w:name w:val="Endnote Text Char"/>
    <w:link w:val="719"/>
    <w:uiPriority w:val="99"/>
    <w:rPr>
      <w:sz w:val="20"/>
    </w:rPr>
  </w:style>
  <w:style w:type="paragraph" w:styleId="189">
    <w:name w:val="TOC Heading"/>
    <w:uiPriority w:val="39"/>
    <w:unhideWhenUsed/>
  </w:style>
  <w:style w:type="paragraph" w:styleId="690" w:default="1">
    <w:name w:val="Normal"/>
    <w:qFormat/>
    <w:pPr>
      <w:jc w:val="both"/>
      <w:widowControl w:val="off"/>
    </w:pPr>
    <w:rPr>
      <w:sz w:val="21"/>
      <w:szCs w:val="22"/>
    </w:rPr>
  </w:style>
  <w:style w:type="paragraph" w:styleId="691">
    <w:name w:val="Heading 1"/>
    <w:basedOn w:val="690"/>
    <w:next w:val="690"/>
    <w:link w:val="896"/>
    <w:qFormat/>
    <w:pPr>
      <w:jc w:val="center"/>
      <w:keepNext/>
      <w:outlineLvl w:val="0"/>
    </w:pPr>
    <w:rPr>
      <w:rFonts w:ascii="楷体_GB2312" w:eastAsia="楷体_GB2312"/>
      <w:sz w:val="28"/>
      <w:szCs w:val="28"/>
    </w:rPr>
  </w:style>
  <w:style w:type="paragraph" w:styleId="692">
    <w:name w:val="Heading 2"/>
    <w:basedOn w:val="690"/>
    <w:next w:val="703"/>
    <w:link w:val="897"/>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703"/>
    <w:link w:val="899"/>
    <w:qFormat/>
    <w:pPr>
      <w:keepLines/>
      <w:keepNext/>
      <w:spacing w:before="260" w:after="260" w:line="416" w:lineRule="auto"/>
      <w:outlineLvl w:val="2"/>
    </w:pPr>
    <w:rPr>
      <w:b/>
      <w:bCs/>
      <w:sz w:val="32"/>
      <w:szCs w:val="32"/>
    </w:rPr>
  </w:style>
  <w:style w:type="paragraph" w:styleId="694">
    <w:name w:val="Heading 4"/>
    <w:basedOn w:val="690"/>
    <w:next w:val="703"/>
    <w:link w:val="900"/>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3"/>
    <w:link w:val="901"/>
    <w:qFormat/>
    <w:pPr>
      <w:keepNext/>
      <w:outlineLvl w:val="4"/>
    </w:pPr>
    <w:rPr>
      <w:rFonts w:ascii="宋体"/>
      <w:color w:val="000000"/>
      <w:sz w:val="28"/>
      <w:szCs w:val="28"/>
    </w:rPr>
  </w:style>
  <w:style w:type="paragraph" w:styleId="696">
    <w:name w:val="Heading 6"/>
    <w:basedOn w:val="690"/>
    <w:next w:val="690"/>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03"/>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05"/>
    <w:qFormat/>
    <w:pPr>
      <w:numPr>
        <w:ilvl w:val="8"/>
        <w:numId w:val="1"/>
      </w:numPr>
      <w:keepLines/>
      <w:keepNext/>
      <w:spacing w:before="240" w:after="64" w:line="320" w:lineRule="auto"/>
      <w:outlineLvl w:val="8"/>
    </w:pPr>
    <w:rPr>
      <w:rFonts w:ascii="Arial" w:hAnsi="Arial" w:eastAsia="黑体"/>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Normal Indent"/>
    <w:basedOn w:val="690"/>
    <w:link w:val="898"/>
    <w:pPr>
      <w:ind w:firstLine="420"/>
    </w:pPr>
    <w:rPr>
      <w:szCs w:val="21"/>
    </w:rPr>
  </w:style>
  <w:style w:type="paragraph" w:styleId="704">
    <w:name w:val="List 3"/>
    <w:basedOn w:val="690"/>
    <w:pPr>
      <w:ind w:left="100" w:hanging="200"/>
    </w:pPr>
    <w:rPr>
      <w:szCs w:val="21"/>
    </w:rPr>
  </w:style>
  <w:style w:type="paragraph" w:styleId="705">
    <w:name w:val="toc 7"/>
    <w:basedOn w:val="690"/>
    <w:next w:val="690"/>
    <w:semiHidden/>
    <w:qFormat/>
    <w:pPr>
      <w:ind w:left="1260"/>
      <w:jc w:val="left"/>
    </w:pPr>
    <w:rPr>
      <w:szCs w:val="21"/>
    </w:rPr>
  </w:style>
  <w:style w:type="paragraph" w:styleId="706">
    <w:name w:val="Caption"/>
    <w:basedOn w:val="690"/>
    <w:next w:val="690"/>
    <w:uiPriority w:val="35"/>
    <w:semiHidden/>
    <w:unhideWhenUsed/>
    <w:qFormat/>
    <w:pPr>
      <w:spacing w:line="276" w:lineRule="auto"/>
    </w:pPr>
    <w:rPr>
      <w:b/>
      <w:bCs/>
      <w:color w:val="4f81bd" w:themeColor="accent1"/>
      <w:sz w:val="18"/>
      <w:szCs w:val="18"/>
    </w:rPr>
  </w:style>
  <w:style w:type="paragraph" w:styleId="707">
    <w:name w:val="Document Map"/>
    <w:basedOn w:val="690"/>
    <w:link w:val="906"/>
    <w:semiHidden/>
    <w:qFormat/>
    <w:pPr>
      <w:shd w:val="clear" w:color="auto" w:fill="000080"/>
    </w:pPr>
    <w:rPr>
      <w:szCs w:val="21"/>
    </w:rPr>
  </w:style>
  <w:style w:type="paragraph" w:styleId="708">
    <w:name w:val="annotation text"/>
    <w:basedOn w:val="690"/>
    <w:link w:val="907"/>
    <w:unhideWhenUsed/>
    <w:qFormat/>
    <w:pPr>
      <w:jc w:val="left"/>
    </w:pPr>
  </w:style>
  <w:style w:type="paragraph" w:styleId="709">
    <w:name w:val="Body Text 3"/>
    <w:basedOn w:val="690"/>
    <w:link w:val="908"/>
    <w:qFormat/>
    <w:rPr>
      <w:rFonts w:ascii="仿宋_GB2312" w:hAnsi="Arial" w:eastAsia="仿宋_GB2312"/>
      <w:sz w:val="32"/>
      <w:szCs w:val="32"/>
    </w:rPr>
  </w:style>
  <w:style w:type="paragraph" w:styleId="710">
    <w:name w:val="Body Text"/>
    <w:basedOn w:val="690"/>
    <w:link w:val="909"/>
    <w:qFormat/>
    <w:rPr>
      <w:rFonts w:ascii="楷体_GB2312" w:hAnsi="Arial" w:eastAsia="楷体_GB2312"/>
      <w:sz w:val="28"/>
      <w:szCs w:val="28"/>
    </w:rPr>
  </w:style>
  <w:style w:type="paragraph" w:styleId="711">
    <w:name w:val="Body Text Indent"/>
    <w:basedOn w:val="690"/>
    <w:link w:val="910"/>
    <w:unhideWhenUsed/>
    <w:qFormat/>
    <w:pPr>
      <w:ind w:left="420"/>
      <w:spacing w:after="120"/>
    </w:pPr>
  </w:style>
  <w:style w:type="paragraph" w:styleId="712">
    <w:name w:val="List 2"/>
    <w:basedOn w:val="690"/>
    <w:qFormat/>
    <w:pPr>
      <w:ind w:left="100" w:hanging="200"/>
    </w:pPr>
    <w:rPr>
      <w:szCs w:val="21"/>
    </w:rPr>
  </w:style>
  <w:style w:type="paragraph" w:styleId="713">
    <w:name w:val="toc 5"/>
    <w:basedOn w:val="690"/>
    <w:next w:val="690"/>
    <w:semiHidden/>
    <w:pPr>
      <w:ind w:left="840"/>
      <w:jc w:val="left"/>
    </w:pPr>
    <w:rPr>
      <w:szCs w:val="21"/>
    </w:rPr>
  </w:style>
  <w:style w:type="paragraph" w:styleId="714">
    <w:name w:val="toc 3"/>
    <w:basedOn w:val="690"/>
    <w:next w:val="690"/>
    <w:uiPriority w:val="39"/>
    <w:pPr>
      <w:ind w:left="420"/>
      <w:jc w:val="left"/>
    </w:pPr>
    <w:rPr>
      <w:i/>
      <w:iCs/>
      <w:szCs w:val="24"/>
    </w:rPr>
  </w:style>
  <w:style w:type="paragraph" w:styleId="715">
    <w:name w:val="Plain Text"/>
    <w:basedOn w:val="690"/>
    <w:link w:val="911"/>
    <w:qFormat/>
    <w:rPr>
      <w:rFonts w:ascii="宋体" w:hAnsi="Courier New" w:cs="Courier New"/>
      <w:szCs w:val="21"/>
    </w:rPr>
  </w:style>
  <w:style w:type="paragraph" w:styleId="716">
    <w:name w:val="toc 8"/>
    <w:basedOn w:val="690"/>
    <w:next w:val="690"/>
    <w:semiHidden/>
    <w:pPr>
      <w:ind w:left="1470"/>
      <w:jc w:val="left"/>
    </w:pPr>
    <w:rPr>
      <w:szCs w:val="21"/>
    </w:rPr>
  </w:style>
  <w:style w:type="paragraph" w:styleId="717">
    <w:name w:val="Date"/>
    <w:basedOn w:val="690"/>
    <w:next w:val="690"/>
    <w:link w:val="912"/>
    <w:rPr>
      <w:sz w:val="24"/>
      <w:szCs w:val="24"/>
    </w:rPr>
  </w:style>
  <w:style w:type="paragraph" w:styleId="718">
    <w:name w:val="Body Text Indent 2"/>
    <w:basedOn w:val="690"/>
    <w:link w:val="913"/>
    <w:qFormat/>
    <w:pPr>
      <w:ind w:left="630" w:firstLine="645"/>
    </w:pPr>
    <w:rPr>
      <w:rFonts w:ascii="Arial" w:hAnsi="Arial" w:eastAsia="仿宋_GB2312" w:cs="Arial"/>
      <w:sz w:val="32"/>
      <w:szCs w:val="32"/>
    </w:rPr>
  </w:style>
  <w:style w:type="paragraph" w:styleId="719">
    <w:name w:val="endnote text"/>
    <w:basedOn w:val="690"/>
    <w:link w:val="894"/>
    <w:uiPriority w:val="99"/>
    <w:semiHidden/>
    <w:unhideWhenUsed/>
    <w:qFormat/>
    <w:rPr>
      <w:sz w:val="20"/>
    </w:rPr>
  </w:style>
  <w:style w:type="paragraph" w:styleId="720">
    <w:name w:val="Balloon Text"/>
    <w:basedOn w:val="690"/>
    <w:link w:val="914"/>
    <w:semiHidden/>
    <w:qFormat/>
    <w:rPr>
      <w:sz w:val="18"/>
      <w:szCs w:val="18"/>
    </w:rPr>
  </w:style>
  <w:style w:type="paragraph" w:styleId="721">
    <w:name w:val="Footer"/>
    <w:basedOn w:val="690"/>
    <w:link w:val="915"/>
    <w:uiPriority w:val="99"/>
    <w:qFormat/>
    <w:pPr>
      <w:jc w:val="left"/>
      <w:tabs>
        <w:tab w:val="center" w:pos="4153" w:leader="none"/>
        <w:tab w:val="right" w:pos="8306" w:leader="none"/>
      </w:tabs>
    </w:pPr>
    <w:rPr>
      <w:sz w:val="18"/>
      <w:szCs w:val="18"/>
    </w:rPr>
  </w:style>
  <w:style w:type="paragraph" w:styleId="722">
    <w:name w:val="Header"/>
    <w:basedOn w:val="690"/>
    <w:link w:val="916"/>
    <w:qFormat/>
    <w:pPr>
      <w:jc w:val="center"/>
      <w:tabs>
        <w:tab w:val="center" w:pos="4153" w:leader="none"/>
        <w:tab w:val="right" w:pos="8306" w:leader="none"/>
      </w:tabs>
      <w:pBdr>
        <w:bottom w:val="single" w:color="000000" w:sz="6" w:space="1"/>
      </w:pBdr>
    </w:pPr>
    <w:rPr>
      <w:sz w:val="18"/>
      <w:szCs w:val="18"/>
    </w:rPr>
  </w:style>
  <w:style w:type="paragraph" w:styleId="723">
    <w:name w:val="toc 1"/>
    <w:basedOn w:val="690"/>
    <w:next w:val="690"/>
    <w:uiPriority w:val="39"/>
    <w:qFormat/>
    <w:pPr>
      <w:jc w:val="left"/>
      <w:spacing w:before="120" w:after="120" w:line="400" w:lineRule="exact"/>
      <w:tabs>
        <w:tab w:val="right" w:pos="8720" w:leader="dot"/>
      </w:tabs>
    </w:pPr>
    <w:rPr>
      <w:rFonts w:ascii="宋体" w:hAnsi="宋体"/>
      <w:caps/>
      <w:sz w:val="24"/>
      <w:szCs w:val="24"/>
    </w:rPr>
  </w:style>
  <w:style w:type="paragraph" w:styleId="724">
    <w:name w:val="toc 4"/>
    <w:basedOn w:val="690"/>
    <w:next w:val="690"/>
    <w:semiHidden/>
    <w:qFormat/>
    <w:pPr>
      <w:ind w:left="630"/>
      <w:jc w:val="left"/>
    </w:pPr>
    <w:rPr>
      <w:szCs w:val="21"/>
    </w:rPr>
  </w:style>
  <w:style w:type="paragraph" w:styleId="725">
    <w:name w:val="Subtitle"/>
    <w:basedOn w:val="690"/>
    <w:next w:val="690"/>
    <w:link w:val="760"/>
    <w:uiPriority w:val="11"/>
    <w:qFormat/>
    <w:pPr>
      <w:spacing w:before="200" w:after="200"/>
    </w:pPr>
    <w:rPr>
      <w:sz w:val="24"/>
      <w:szCs w:val="24"/>
    </w:rPr>
  </w:style>
  <w:style w:type="paragraph" w:styleId="726">
    <w:name w:val="List"/>
    <w:basedOn w:val="690"/>
    <w:qFormat/>
    <w:pPr>
      <w:ind w:left="200" w:hanging="200"/>
    </w:pPr>
    <w:rPr>
      <w:szCs w:val="21"/>
    </w:rPr>
  </w:style>
  <w:style w:type="paragraph" w:styleId="727">
    <w:name w:val="footnote text"/>
    <w:basedOn w:val="690"/>
    <w:link w:val="893"/>
    <w:uiPriority w:val="99"/>
    <w:semiHidden/>
    <w:unhideWhenUsed/>
    <w:qFormat/>
    <w:pPr>
      <w:spacing w:after="40"/>
    </w:pPr>
    <w:rPr>
      <w:sz w:val="18"/>
    </w:rPr>
  </w:style>
  <w:style w:type="paragraph" w:styleId="728">
    <w:name w:val="toc 6"/>
    <w:basedOn w:val="690"/>
    <w:next w:val="690"/>
    <w:semiHidden/>
    <w:qFormat/>
    <w:pPr>
      <w:ind w:left="1050"/>
      <w:jc w:val="left"/>
    </w:pPr>
    <w:rPr>
      <w:szCs w:val="21"/>
    </w:rPr>
  </w:style>
  <w:style w:type="paragraph" w:styleId="729">
    <w:name w:val="Body Text Indent 3"/>
    <w:basedOn w:val="690"/>
    <w:link w:val="917"/>
    <w:qFormat/>
    <w:pPr>
      <w:ind w:left="645" w:firstLine="645"/>
    </w:pPr>
    <w:rPr>
      <w:rFonts w:ascii="Arial" w:hAnsi="Arial" w:eastAsia="仿宋_GB2312" w:cs="Arial"/>
      <w:color w:val="ffff00"/>
      <w:sz w:val="32"/>
      <w:szCs w:val="32"/>
    </w:rPr>
  </w:style>
  <w:style w:type="paragraph" w:styleId="730">
    <w:name w:val="table of figures"/>
    <w:basedOn w:val="690"/>
    <w:next w:val="690"/>
    <w:semiHidden/>
    <w:qFormat/>
    <w:pPr>
      <w:ind w:left="840" w:hanging="420"/>
    </w:pPr>
    <w:rPr>
      <w:szCs w:val="21"/>
    </w:rPr>
  </w:style>
  <w:style w:type="paragraph" w:styleId="731">
    <w:name w:val="toc 2"/>
    <w:basedOn w:val="690"/>
    <w:next w:val="690"/>
    <w:uiPriority w:val="39"/>
    <w:qFormat/>
    <w:pPr>
      <w:ind w:left="210"/>
      <w:jc w:val="left"/>
    </w:pPr>
    <w:rPr>
      <w:smallCaps/>
      <w:szCs w:val="24"/>
    </w:rPr>
  </w:style>
  <w:style w:type="paragraph" w:styleId="732">
    <w:name w:val="toc 9"/>
    <w:basedOn w:val="690"/>
    <w:next w:val="690"/>
    <w:semiHidden/>
    <w:qFormat/>
    <w:pPr>
      <w:ind w:left="1680"/>
      <w:jc w:val="left"/>
    </w:pPr>
    <w:rPr>
      <w:szCs w:val="21"/>
    </w:rPr>
  </w:style>
  <w:style w:type="paragraph" w:styleId="733">
    <w:name w:val="Body Text 2"/>
    <w:basedOn w:val="690"/>
    <w:link w:val="918"/>
    <w:qFormat/>
    <w:pPr>
      <w:jc w:val="center"/>
      <w:widowControl/>
    </w:pPr>
    <w:rPr>
      <w:rFonts w:ascii="楷体_GB2312" w:eastAsia="楷体_GB2312"/>
      <w:sz w:val="28"/>
      <w:szCs w:val="28"/>
    </w:rPr>
  </w:style>
  <w:style w:type="paragraph" w:styleId="734">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690"/>
    <w:next w:val="690"/>
    <w:semiHidden/>
    <w:qFormat/>
    <w:pPr>
      <w:spacing w:line="240" w:lineRule="atLeast"/>
    </w:pPr>
    <w:rPr>
      <w:b/>
      <w:bCs/>
      <w:szCs w:val="21"/>
    </w:rPr>
  </w:style>
  <w:style w:type="paragraph" w:styleId="736">
    <w:name w:val="Title"/>
    <w:basedOn w:val="690"/>
    <w:next w:val="690"/>
    <w:link w:val="759"/>
    <w:uiPriority w:val="10"/>
    <w:qFormat/>
    <w:pPr>
      <w:contextualSpacing/>
      <w:spacing w:before="300" w:after="200"/>
    </w:pPr>
    <w:rPr>
      <w:sz w:val="48"/>
      <w:szCs w:val="48"/>
    </w:rPr>
  </w:style>
  <w:style w:type="paragraph" w:styleId="737">
    <w:name w:val="annotation subject"/>
    <w:basedOn w:val="708"/>
    <w:next w:val="708"/>
    <w:link w:val="919"/>
    <w:semiHidden/>
    <w:qFormat/>
    <w:rPr>
      <w:b/>
      <w:bCs/>
      <w:szCs w:val="21"/>
    </w:rPr>
  </w:style>
  <w:style w:type="paragraph" w:styleId="738">
    <w:name w:val="Body Text First Indent"/>
    <w:basedOn w:val="690"/>
    <w:link w:val="920"/>
    <w:qFormat/>
    <w:pPr>
      <w:ind w:firstLine="200"/>
      <w:spacing w:line="360" w:lineRule="auto"/>
    </w:pPr>
    <w:rPr>
      <w:rFonts w:ascii="仿宋_GB2312" w:eastAsia="仿宋_GB2312"/>
      <w:sz w:val="30"/>
      <w:szCs w:val="30"/>
    </w:rPr>
  </w:style>
  <w:style w:type="paragraph" w:styleId="739">
    <w:name w:val="Body Text First Indent 2"/>
    <w:basedOn w:val="711"/>
    <w:link w:val="921"/>
    <w:qFormat/>
    <w:pPr>
      <w:ind w:left="0" w:firstLine="420"/>
      <w:spacing w:after="0" w:line="360" w:lineRule="auto"/>
    </w:pPr>
    <w:rPr>
      <w:rFonts w:ascii="宋体" w:hAnsi="宋体"/>
      <w:szCs w:val="20"/>
    </w:rPr>
  </w:style>
  <w:style w:type="table" w:styleId="740">
    <w:name w:val="Table Grid"/>
    <w:basedOn w:val="7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qFormat/>
    <w:rPr>
      <w:b/>
      <w:bCs/>
    </w:rPr>
  </w:style>
  <w:style w:type="character" w:styleId="742">
    <w:name w:val="endnote reference"/>
    <w:uiPriority w:val="99"/>
    <w:semiHidden/>
    <w:unhideWhenUsed/>
    <w:qFormat/>
    <w:rPr>
      <w:vertAlign w:val="superscript"/>
    </w:rPr>
  </w:style>
  <w:style w:type="character" w:styleId="743">
    <w:name w:val="page number"/>
    <w:qFormat/>
  </w:style>
  <w:style w:type="character" w:styleId="744">
    <w:name w:val="FollowedHyperlink"/>
    <w:qFormat/>
    <w:rPr>
      <w:color w:val="800080"/>
      <w:u w:val="single"/>
    </w:rPr>
  </w:style>
  <w:style w:type="character" w:styleId="745">
    <w:name w:val="Hyperlink"/>
    <w:uiPriority w:val="99"/>
    <w:qFormat/>
    <w:rPr>
      <w:color w:val="0000ff"/>
      <w:u w:val="single"/>
    </w:rPr>
  </w:style>
  <w:style w:type="character" w:styleId="746">
    <w:name w:val="annotation reference"/>
    <w:semiHidden/>
    <w:qFormat/>
    <w:rPr>
      <w:sz w:val="21"/>
      <w:szCs w:val="21"/>
    </w:rPr>
  </w:style>
  <w:style w:type="character" w:styleId="747">
    <w:name w:val="footnote reference"/>
    <w:uiPriority w:val="99"/>
    <w:unhideWhenUsed/>
    <w:qFormat/>
    <w:rPr>
      <w:vertAlign w:val="superscript"/>
    </w:rPr>
  </w:style>
  <w:style w:type="character" w:styleId="748" w:customStyle="1">
    <w:name w:val="Heading 1 Char"/>
    <w:uiPriority w:val="9"/>
    <w:qFormat/>
    <w:rPr>
      <w:rFonts w:ascii="Arial" w:hAnsi="Arial" w:eastAsia="Arial" w:cs="Arial"/>
      <w:sz w:val="40"/>
      <w:szCs w:val="40"/>
    </w:rPr>
  </w:style>
  <w:style w:type="character" w:styleId="749" w:customStyle="1">
    <w:name w:val="Heading 2 Char"/>
    <w:uiPriority w:val="9"/>
    <w:qFormat/>
    <w:rPr>
      <w:rFonts w:ascii="Arial" w:hAnsi="Arial" w:eastAsia="Arial" w:cs="Arial"/>
      <w:sz w:val="34"/>
    </w:rPr>
  </w:style>
  <w:style w:type="character" w:styleId="750" w:customStyle="1">
    <w:name w:val="Heading 3 Char"/>
    <w:uiPriority w:val="9"/>
    <w:qFormat/>
    <w:rPr>
      <w:rFonts w:ascii="Arial" w:hAnsi="Arial" w:eastAsia="Arial" w:cs="Arial"/>
      <w:sz w:val="30"/>
      <w:szCs w:val="30"/>
    </w:rPr>
  </w:style>
  <w:style w:type="character" w:styleId="751" w:customStyle="1">
    <w:name w:val="Heading 4 Char"/>
    <w:uiPriority w:val="9"/>
    <w:qFormat/>
    <w:rPr>
      <w:rFonts w:ascii="Arial" w:hAnsi="Arial" w:eastAsia="Arial" w:cs="Arial"/>
      <w:b/>
      <w:bCs/>
      <w:sz w:val="26"/>
      <w:szCs w:val="26"/>
    </w:rPr>
  </w:style>
  <w:style w:type="character" w:styleId="752" w:customStyle="1">
    <w:name w:val="Heading 5 Char"/>
    <w:uiPriority w:val="9"/>
    <w:qFormat/>
    <w:rPr>
      <w:rFonts w:ascii="Arial" w:hAnsi="Arial" w:eastAsia="Arial" w:cs="Arial"/>
      <w:b/>
      <w:bCs/>
      <w:sz w:val="24"/>
      <w:szCs w:val="24"/>
    </w:rPr>
  </w:style>
  <w:style w:type="character" w:styleId="753" w:customStyle="1">
    <w:name w:val="Heading 6 Char"/>
    <w:uiPriority w:val="9"/>
    <w:qFormat/>
    <w:rPr>
      <w:rFonts w:ascii="Arial" w:hAnsi="Arial" w:eastAsia="Arial" w:cs="Arial"/>
      <w:b/>
      <w:bCs/>
      <w:sz w:val="22"/>
      <w:szCs w:val="22"/>
    </w:rPr>
  </w:style>
  <w:style w:type="character" w:styleId="754" w:customStyle="1">
    <w:name w:val="Heading 7 Char"/>
    <w:uiPriority w:val="9"/>
    <w:qFormat/>
    <w:rPr>
      <w:rFonts w:ascii="Arial" w:hAnsi="Arial" w:eastAsia="Arial" w:cs="Arial"/>
      <w:b/>
      <w:bCs/>
      <w:i/>
      <w:iCs/>
      <w:sz w:val="22"/>
      <w:szCs w:val="22"/>
    </w:rPr>
  </w:style>
  <w:style w:type="character" w:styleId="755" w:customStyle="1">
    <w:name w:val="Heading 8 Char"/>
    <w:uiPriority w:val="9"/>
    <w:qFormat/>
    <w:rPr>
      <w:rFonts w:ascii="Arial" w:hAnsi="Arial" w:eastAsia="Arial" w:cs="Arial"/>
      <w:i/>
      <w:iCs/>
      <w:sz w:val="22"/>
      <w:szCs w:val="22"/>
    </w:rPr>
  </w:style>
  <w:style w:type="character" w:styleId="756" w:customStyle="1">
    <w:name w:val="Heading 9 Char"/>
    <w:uiPriority w:val="9"/>
    <w:qFormat/>
    <w:rPr>
      <w:rFonts w:ascii="Arial" w:hAnsi="Arial" w:eastAsia="Arial" w:cs="Arial"/>
      <w:i/>
      <w:iCs/>
      <w:sz w:val="21"/>
      <w:szCs w:val="21"/>
    </w:rPr>
  </w:style>
  <w:style w:type="paragraph" w:styleId="757">
    <w:name w:val="List Paragraph"/>
    <w:basedOn w:val="690"/>
    <w:qFormat/>
    <w:pPr>
      <w:contextualSpacing/>
      <w:ind w:left="720"/>
      <w:jc w:val="left"/>
      <w:widowControl/>
    </w:pPr>
    <w:rPr>
      <w:rFonts w:ascii="Calibri" w:hAnsi="Calibri"/>
      <w:sz w:val="24"/>
      <w:szCs w:val="24"/>
      <w:lang w:eastAsia="en-US" w:bidi="en-US"/>
    </w:rPr>
  </w:style>
  <w:style w:type="paragraph" w:styleId="758">
    <w:name w:val="No Spacing"/>
    <w:uiPriority w:val="99"/>
    <w:qFormat/>
    <w:pPr>
      <w:jc w:val="both"/>
      <w:widowControl w:val="off"/>
    </w:pPr>
    <w:rPr>
      <w:sz w:val="21"/>
      <w:szCs w:val="21"/>
    </w:rPr>
  </w:style>
  <w:style w:type="character" w:styleId="759" w:customStyle="1">
    <w:name w:val="标题 字符"/>
    <w:link w:val="736"/>
    <w:uiPriority w:val="10"/>
    <w:qFormat/>
    <w:rPr>
      <w:sz w:val="48"/>
      <w:szCs w:val="48"/>
    </w:rPr>
  </w:style>
  <w:style w:type="character" w:styleId="760" w:customStyle="1">
    <w:name w:val="副标题 字符"/>
    <w:link w:val="725"/>
    <w:uiPriority w:val="11"/>
    <w:qFormat/>
    <w:rPr>
      <w:sz w:val="24"/>
      <w:szCs w:val="24"/>
    </w:rPr>
  </w:style>
  <w:style w:type="paragraph" w:styleId="761">
    <w:name w:val="Quote"/>
    <w:basedOn w:val="690"/>
    <w:next w:val="690"/>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90"/>
    <w:next w:val="690"/>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uiPriority w:val="99"/>
    <w:qFormat/>
  </w:style>
  <w:style w:type="character" w:styleId="766" w:customStyle="1">
    <w:name w:val="Footer Char"/>
    <w:uiPriority w:val="99"/>
    <w:qFormat/>
  </w:style>
  <w:style w:type="character" w:styleId="767" w:customStyle="1">
    <w:name w:val="Caption Char"/>
    <w:uiPriority w:val="99"/>
    <w:qFormat/>
  </w:style>
  <w:style w:type="table" w:styleId="76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727"/>
    <w:uiPriority w:val="99"/>
    <w:qFormat/>
    <w:rPr>
      <w:sz w:val="18"/>
    </w:rPr>
  </w:style>
  <w:style w:type="character" w:styleId="894" w:customStyle="1">
    <w:name w:val="尾注文本 字符"/>
    <w:link w:val="719"/>
    <w:uiPriority w:val="99"/>
    <w:qFormat/>
    <w:rPr>
      <w:sz w:val="20"/>
    </w:rPr>
  </w:style>
  <w:style w:type="paragraph" w:styleId="895" w:customStyle="1">
    <w:name w:val="TOC 标题1"/>
    <w:uiPriority w:val="39"/>
    <w:unhideWhenUsed/>
    <w:qFormat/>
  </w:style>
  <w:style w:type="character" w:styleId="896" w:customStyle="1">
    <w:name w:val="标题 1 字符"/>
    <w:link w:val="691"/>
    <w:qFormat/>
    <w:rPr>
      <w:rFonts w:ascii="楷体_GB2312" w:hAnsi="Times New Roman" w:eastAsia="楷体_GB2312" w:cs="Times New Roman"/>
      <w:sz w:val="28"/>
      <w:szCs w:val="28"/>
    </w:rPr>
  </w:style>
  <w:style w:type="character" w:styleId="897" w:customStyle="1">
    <w:name w:val="标题 2 字符"/>
    <w:link w:val="692"/>
    <w:qFormat/>
    <w:rPr>
      <w:rFonts w:ascii="Arial" w:hAnsi="Arial" w:eastAsia="幼圆" w:cs="Arial"/>
      <w:b/>
      <w:bCs/>
      <w:sz w:val="44"/>
      <w:szCs w:val="44"/>
    </w:rPr>
  </w:style>
  <w:style w:type="character" w:styleId="898" w:customStyle="1">
    <w:name w:val="正文缩进 字符"/>
    <w:link w:val="703"/>
    <w:qFormat/>
    <w:rPr>
      <w:szCs w:val="21"/>
    </w:rPr>
  </w:style>
  <w:style w:type="character" w:styleId="899" w:customStyle="1">
    <w:name w:val="标题 3 字符"/>
    <w:link w:val="693"/>
    <w:qFormat/>
    <w:rPr>
      <w:rFonts w:ascii="Times New Roman" w:hAnsi="Times New Roman" w:eastAsia="宋体" w:cs="Times New Roman"/>
      <w:b/>
      <w:bCs/>
      <w:sz w:val="32"/>
      <w:szCs w:val="32"/>
    </w:rPr>
  </w:style>
  <w:style w:type="character" w:styleId="900" w:customStyle="1">
    <w:name w:val="标题 4 字符"/>
    <w:link w:val="694"/>
    <w:qFormat/>
    <w:rPr>
      <w:rFonts w:ascii="Arial" w:hAnsi="Arial" w:eastAsia="黑体" w:cs="Arial"/>
      <w:b/>
      <w:bCs/>
      <w:sz w:val="28"/>
      <w:szCs w:val="28"/>
    </w:rPr>
  </w:style>
  <w:style w:type="character" w:styleId="901" w:customStyle="1">
    <w:name w:val="标题 5 字符"/>
    <w:link w:val="695"/>
    <w:qFormat/>
    <w:rPr>
      <w:rFonts w:ascii="宋体" w:hAnsi="Times New Roman" w:eastAsia="宋体" w:cs="Times New Roman"/>
      <w:color w:val="000000"/>
      <w:sz w:val="28"/>
      <w:szCs w:val="28"/>
    </w:rPr>
  </w:style>
  <w:style w:type="character" w:styleId="902" w:customStyle="1">
    <w:name w:val="标题 6 字符"/>
    <w:link w:val="696"/>
    <w:qFormat/>
    <w:rPr>
      <w:rFonts w:ascii="Arial" w:hAnsi="Arial" w:eastAsia="黑体" w:cs="Times New Roman"/>
      <w:b/>
      <w:bCs/>
      <w:sz w:val="24"/>
      <w:szCs w:val="24"/>
    </w:rPr>
  </w:style>
  <w:style w:type="character" w:styleId="903" w:customStyle="1">
    <w:name w:val="标题 7 字符"/>
    <w:link w:val="697"/>
    <w:rPr>
      <w:rFonts w:ascii="Times New Roman" w:hAnsi="Times New Roman" w:eastAsia="宋体" w:cs="Times New Roman"/>
      <w:b/>
      <w:bCs/>
      <w:sz w:val="24"/>
      <w:szCs w:val="24"/>
    </w:rPr>
  </w:style>
  <w:style w:type="character" w:styleId="904" w:customStyle="1">
    <w:name w:val="标题 8 字符"/>
    <w:link w:val="698"/>
    <w:qFormat/>
    <w:rPr>
      <w:rFonts w:ascii="Arial" w:hAnsi="Arial" w:eastAsia="黑体" w:cs="Times New Roman"/>
      <w:sz w:val="24"/>
      <w:szCs w:val="24"/>
    </w:rPr>
  </w:style>
  <w:style w:type="character" w:styleId="905" w:customStyle="1">
    <w:name w:val="标题 9 字符"/>
    <w:link w:val="699"/>
    <w:rPr>
      <w:rFonts w:ascii="Arial" w:hAnsi="Arial" w:eastAsia="黑体" w:cs="Times New Roman"/>
      <w:szCs w:val="21"/>
    </w:rPr>
  </w:style>
  <w:style w:type="character" w:styleId="906" w:customStyle="1">
    <w:name w:val="文档结构图 字符"/>
    <w:link w:val="707"/>
    <w:semiHidden/>
    <w:qFormat/>
    <w:rPr>
      <w:rFonts w:ascii="Times New Roman" w:hAnsi="Times New Roman" w:eastAsia="宋体" w:cs="Times New Roman"/>
      <w:szCs w:val="21"/>
      <w:shd w:val="clear" w:color="auto" w:fill="000080"/>
    </w:rPr>
  </w:style>
  <w:style w:type="character" w:styleId="907" w:customStyle="1">
    <w:name w:val="批注文字 字符"/>
    <w:link w:val="708"/>
    <w:uiPriority w:val="99"/>
    <w:semiHidden/>
  </w:style>
  <w:style w:type="character" w:styleId="908" w:customStyle="1">
    <w:name w:val="正文文本 3 字符"/>
    <w:link w:val="709"/>
    <w:qFormat/>
    <w:rPr>
      <w:rFonts w:ascii="仿宋_GB2312" w:hAnsi="Arial" w:eastAsia="仿宋_GB2312" w:cs="Times New Roman"/>
      <w:sz w:val="32"/>
      <w:szCs w:val="32"/>
    </w:rPr>
  </w:style>
  <w:style w:type="character" w:styleId="909" w:customStyle="1">
    <w:name w:val="正文文本 字符"/>
    <w:link w:val="710"/>
    <w:qFormat/>
    <w:rPr>
      <w:rFonts w:ascii="楷体_GB2312" w:hAnsi="Arial" w:eastAsia="楷体_GB2312" w:cs="Times New Roman"/>
      <w:sz w:val="28"/>
      <w:szCs w:val="28"/>
    </w:rPr>
  </w:style>
  <w:style w:type="character" w:styleId="910" w:customStyle="1">
    <w:name w:val="正文文本缩进 字符"/>
    <w:link w:val="711"/>
    <w:uiPriority w:val="99"/>
    <w:semiHidden/>
    <w:qFormat/>
  </w:style>
  <w:style w:type="character" w:styleId="911" w:customStyle="1">
    <w:name w:val="纯文本 字符"/>
    <w:link w:val="715"/>
    <w:qFormat/>
    <w:rPr>
      <w:rFonts w:ascii="宋体" w:hAnsi="Courier New" w:eastAsia="宋体" w:cs="Courier New"/>
      <w:szCs w:val="21"/>
    </w:rPr>
  </w:style>
  <w:style w:type="character" w:styleId="912" w:customStyle="1">
    <w:name w:val="日期 字符"/>
    <w:link w:val="717"/>
    <w:qFormat/>
    <w:rPr>
      <w:rFonts w:ascii="Times New Roman" w:hAnsi="Times New Roman" w:eastAsia="宋体" w:cs="Times New Roman"/>
      <w:sz w:val="24"/>
      <w:szCs w:val="24"/>
    </w:rPr>
  </w:style>
  <w:style w:type="character" w:styleId="913" w:customStyle="1">
    <w:name w:val="正文文本缩进 2 字符"/>
    <w:link w:val="718"/>
    <w:qFormat/>
    <w:rPr>
      <w:rFonts w:ascii="Arial" w:hAnsi="Arial" w:eastAsia="仿宋_GB2312" w:cs="Arial"/>
      <w:sz w:val="32"/>
      <w:szCs w:val="32"/>
    </w:rPr>
  </w:style>
  <w:style w:type="character" w:styleId="914" w:customStyle="1">
    <w:name w:val="批注框文本 字符"/>
    <w:link w:val="720"/>
    <w:semiHidden/>
    <w:qFormat/>
    <w:rPr>
      <w:rFonts w:ascii="Times New Roman" w:hAnsi="Times New Roman" w:eastAsia="宋体" w:cs="Times New Roman"/>
      <w:sz w:val="18"/>
      <w:szCs w:val="18"/>
    </w:rPr>
  </w:style>
  <w:style w:type="character" w:styleId="915" w:customStyle="1">
    <w:name w:val="页脚 字符"/>
    <w:link w:val="721"/>
    <w:uiPriority w:val="99"/>
    <w:qFormat/>
    <w:rPr>
      <w:rFonts w:ascii="Times New Roman" w:hAnsi="Times New Roman" w:eastAsia="宋体" w:cs="Times New Roman"/>
      <w:sz w:val="18"/>
      <w:szCs w:val="18"/>
    </w:rPr>
  </w:style>
  <w:style w:type="character" w:styleId="916" w:customStyle="1">
    <w:name w:val="页眉 字符"/>
    <w:link w:val="722"/>
    <w:qFormat/>
    <w:rPr>
      <w:rFonts w:ascii="Times New Roman" w:hAnsi="Times New Roman" w:eastAsia="宋体" w:cs="Times New Roman"/>
      <w:sz w:val="18"/>
      <w:szCs w:val="18"/>
    </w:rPr>
  </w:style>
  <w:style w:type="character" w:styleId="917" w:customStyle="1">
    <w:name w:val="正文文本缩进 3 字符"/>
    <w:link w:val="729"/>
    <w:qFormat/>
    <w:rPr>
      <w:rFonts w:ascii="Arial" w:hAnsi="Arial" w:eastAsia="仿宋_GB2312" w:cs="Arial"/>
      <w:color w:val="ffff00"/>
      <w:sz w:val="32"/>
      <w:szCs w:val="32"/>
    </w:rPr>
  </w:style>
  <w:style w:type="character" w:styleId="918" w:customStyle="1">
    <w:name w:val="正文文本 2 字符"/>
    <w:link w:val="733"/>
    <w:qFormat/>
    <w:rPr>
      <w:rFonts w:ascii="楷体_GB2312" w:hAnsi="Times New Roman" w:eastAsia="楷体_GB2312" w:cs="Times New Roman"/>
      <w:sz w:val="28"/>
      <w:szCs w:val="28"/>
    </w:rPr>
  </w:style>
  <w:style w:type="character" w:styleId="919" w:customStyle="1">
    <w:name w:val="批注主题 字符"/>
    <w:link w:val="737"/>
    <w:semiHidden/>
    <w:qFormat/>
    <w:rPr>
      <w:rFonts w:ascii="Times New Roman" w:hAnsi="Times New Roman" w:eastAsia="宋体" w:cs="Times New Roman"/>
      <w:b/>
      <w:bCs/>
      <w:szCs w:val="21"/>
    </w:rPr>
  </w:style>
  <w:style w:type="character" w:styleId="920" w:customStyle="1">
    <w:name w:val="正文文本首行缩进 字符"/>
    <w:link w:val="738"/>
    <w:qFormat/>
    <w:rPr>
      <w:rFonts w:ascii="仿宋_GB2312" w:hAnsi="Times New Roman" w:eastAsia="仿宋_GB2312" w:cs="Times New Roman"/>
      <w:sz w:val="30"/>
      <w:szCs w:val="30"/>
    </w:rPr>
  </w:style>
  <w:style w:type="character" w:styleId="921" w:customStyle="1">
    <w:name w:val="正文文本首行缩进 2 字符"/>
    <w:link w:val="739"/>
    <w:qFormat/>
    <w:rPr>
      <w:rFonts w:ascii="宋体" w:hAnsi="宋体" w:eastAsia="宋体" w:cs="Times New Roman"/>
      <w:szCs w:val="20"/>
    </w:rPr>
  </w:style>
  <w:style w:type="character" w:styleId="922" w:customStyle="1">
    <w:name w:val="font5 Char"/>
    <w:qFormat/>
    <w:rPr>
      <w:rFonts w:ascii="宋体" w:hAnsi="宋体" w:eastAsia="宋体"/>
      <w:sz w:val="28"/>
      <w:szCs w:val="28"/>
      <w:lang w:val="en-US" w:eastAsia="zh-CN" w:bidi="ar-SA"/>
    </w:rPr>
  </w:style>
  <w:style w:type="character" w:styleId="923" w:customStyle="1">
    <w:name w:val="二级目录 Char"/>
    <w:link w:val="924"/>
    <w:qFormat/>
    <w:rPr>
      <w:b/>
      <w:sz w:val="30"/>
      <w:szCs w:val="28"/>
    </w:rPr>
  </w:style>
  <w:style w:type="paragraph" w:styleId="924" w:customStyle="1">
    <w:name w:val="二级目录"/>
    <w:next w:val="690"/>
    <w:link w:val="923"/>
    <w:qFormat/>
    <w:pPr>
      <w:numPr>
        <w:numId w:val="2"/>
      </w:numPr>
      <w:tabs>
        <w:tab w:val="left" w:pos="1145" w:leader="none"/>
      </w:tabs>
      <w:outlineLvl w:val="1"/>
    </w:pPr>
    <w:rPr>
      <w:b/>
      <w:sz w:val="30"/>
      <w:szCs w:val="28"/>
    </w:rPr>
  </w:style>
  <w:style w:type="character" w:styleId="925" w:customStyle="1">
    <w:name w:val="列出段落 Char"/>
    <w:link w:val="926"/>
    <w:qFormat/>
    <w:rPr>
      <w:rFonts w:ascii="Calibri" w:hAnsi="Calibri"/>
      <w:sz w:val="24"/>
      <w:szCs w:val="24"/>
      <w:lang w:eastAsia="en-US" w:bidi="en-US"/>
    </w:rPr>
  </w:style>
  <w:style w:type="paragraph" w:styleId="926" w:customStyle="1">
    <w:name w:val="列出段落1"/>
    <w:basedOn w:val="690"/>
    <w:link w:val="925"/>
    <w:qFormat/>
    <w:pPr>
      <w:contextualSpacing/>
      <w:ind w:left="720"/>
      <w:jc w:val="left"/>
      <w:widowControl/>
    </w:pPr>
    <w:rPr>
      <w:rFonts w:ascii="Calibri" w:hAnsi="Calibri"/>
      <w:sz w:val="24"/>
      <w:szCs w:val="24"/>
      <w:lang w:eastAsia="en-US" w:bidi="en-US"/>
    </w:rPr>
  </w:style>
  <w:style w:type="paragraph" w:styleId="927" w:customStyle="1">
    <w:name w:val="Body Text(ch)"/>
    <w:basedOn w:val="690"/>
    <w:next w:val="710"/>
    <w:qFormat/>
    <w:pPr>
      <w:spacing w:after="120"/>
    </w:pPr>
    <w:rPr>
      <w:rFonts w:ascii="宋体" w:hAnsi="Arial"/>
      <w:bCs/>
      <w:iCs/>
      <w:szCs w:val="24"/>
    </w:rPr>
  </w:style>
  <w:style w:type="paragraph" w:styleId="928" w:customStyle="1">
    <w:name w:val="xl27"/>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customStyle="1">
    <w:name w:val="xl26"/>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0" w:customStyle="1">
    <w:name w:val="Char"/>
    <w:basedOn w:val="690"/>
    <w:qFormat/>
    <w:pPr>
      <w:ind w:firstLine="200"/>
      <w:tabs>
        <w:tab w:val="left" w:pos="360" w:leader="none"/>
      </w:tabs>
    </w:pPr>
    <w:rPr>
      <w:sz w:val="28"/>
      <w:szCs w:val="30"/>
    </w:rPr>
  </w:style>
  <w:style w:type="paragraph" w:styleId="931" w:customStyle="1">
    <w:name w:val="Char1"/>
    <w:basedOn w:val="707"/>
    <w:qFormat/>
    <w:rPr>
      <w:rFonts w:ascii="Tahoma" w:hAnsi="Tahoma"/>
      <w:sz w:val="24"/>
      <w:szCs w:val="24"/>
    </w:rPr>
  </w:style>
  <w:style w:type="paragraph" w:styleId="932" w:customStyle="1">
    <w:name w:val="普通正文"/>
    <w:basedOn w:val="690"/>
    <w:uiPriority w:val="99"/>
    <w:qFormat/>
    <w:pPr>
      <w:ind w:firstLine="480"/>
      <w:jc w:val="left"/>
      <w:spacing w:before="120" w:after="120" w:line="360" w:lineRule="auto"/>
    </w:pPr>
    <w:rPr>
      <w:rFonts w:ascii="Arial" w:hAnsi="Arial"/>
      <w:sz w:val="24"/>
      <w:szCs w:val="24"/>
    </w:rPr>
  </w:style>
  <w:style w:type="paragraph" w:styleId="933" w:customStyle="1">
    <w:name w:val="table_lines"/>
    <w:basedOn w:val="690"/>
    <w:qFormat/>
    <w:pPr>
      <w:jc w:val="left"/>
      <w:widowControl/>
    </w:pPr>
    <w:rPr>
      <w:sz w:val="20"/>
      <w:szCs w:val="20"/>
      <w:lang w:val="de-DE" w:eastAsia="de-DE"/>
    </w:rPr>
  </w:style>
  <w:style w:type="paragraph" w:styleId="934" w:customStyle="1">
    <w:name w:val="附录1"/>
    <w:qFormat/>
    <w:pPr>
      <w:ind w:left="907" w:hanging="907"/>
      <w:spacing w:before="240" w:line="600" w:lineRule="atLeast"/>
      <w:tabs>
        <w:tab w:val="left" w:pos="907" w:leader="none"/>
      </w:tabs>
    </w:pPr>
    <w:rPr>
      <w:b/>
      <w:i/>
      <w:sz w:val="28"/>
    </w:rPr>
  </w:style>
  <w:style w:type="paragraph" w:styleId="935" w:customStyle="1">
    <w:name w:val="font7"/>
    <w:basedOn w:val="690"/>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707"/>
    <w:qFormat/>
    <w:pPr>
      <w:spacing w:line="360" w:lineRule="auto"/>
    </w:pPr>
    <w:rPr>
      <w:rFonts w:ascii="Tahoma" w:hAnsi="Tahoma"/>
      <w:sz w:val="24"/>
      <w:szCs w:val="24"/>
    </w:rPr>
  </w:style>
  <w:style w:type="paragraph" w:styleId="937" w:customStyle="1">
    <w:name w:val="4"/>
    <w:basedOn w:val="690"/>
    <w:next w:val="729"/>
    <w:qFormat/>
    <w:pPr>
      <w:ind w:firstLine="420"/>
      <w:spacing w:line="360" w:lineRule="auto"/>
    </w:pPr>
    <w:rPr>
      <w:color w:val="ff0000"/>
      <w:sz w:val="24"/>
      <w:szCs w:val="24"/>
    </w:rPr>
  </w:style>
  <w:style w:type="paragraph" w:styleId="938" w:customStyle="1">
    <w:name w:val="普通 (Web)"/>
    <w:basedOn w:val="690"/>
    <w:qFormat/>
    <w:pPr>
      <w:jc w:val="left"/>
      <w:spacing w:before="100" w:beforeAutospacing="1" w:after="100" w:afterAutospacing="1"/>
      <w:widowControl/>
    </w:pPr>
    <w:rPr>
      <w:rFonts w:ascii="宋体" w:hAnsi="宋体"/>
      <w:sz w:val="24"/>
      <w:szCs w:val="24"/>
    </w:rPr>
  </w:style>
  <w:style w:type="paragraph" w:styleId="939" w:customStyle="1">
    <w:name w:val="Char Char Char Char Char Char Char Char Char Char"/>
    <w:basedOn w:val="690"/>
    <w:qFormat/>
    <w:pPr>
      <w:spacing w:line="360" w:lineRule="auto"/>
    </w:pPr>
    <w:rPr>
      <w:sz w:val="24"/>
      <w:szCs w:val="20"/>
    </w:rPr>
  </w:style>
  <w:style w:type="paragraph" w:styleId="940" w:customStyle="1">
    <w:name w:val="样式1"/>
    <w:basedOn w:val="690"/>
    <w:qFormat/>
    <w:pPr>
      <w:numPr>
        <w:numId w:val="3"/>
      </w:numPr>
    </w:pPr>
    <w:rPr>
      <w:rFonts w:ascii="宋体" w:hAnsi="宋体"/>
      <w:szCs w:val="21"/>
    </w:rPr>
  </w:style>
  <w:style w:type="paragraph" w:styleId="941" w:customStyle="1">
    <w:name w:val="font6"/>
    <w:basedOn w:val="690"/>
    <w:qFormat/>
    <w:pPr>
      <w:jc w:val="left"/>
      <w:spacing w:before="100" w:beforeAutospacing="1" w:after="100" w:afterAutospacing="1"/>
      <w:widowControl/>
    </w:pPr>
    <w:rPr>
      <w:rFonts w:hint="eastAsia" w:ascii="宋体" w:hAnsi="宋体"/>
      <w:sz w:val="28"/>
      <w:szCs w:val="28"/>
      <w:u w:val="single"/>
    </w:rPr>
  </w:style>
  <w:style w:type="paragraph" w:styleId="942" w:customStyle="1">
    <w:name w:val="xl25"/>
    <w:basedOn w:val="69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690"/>
    <w:next w:val="6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4" w:customStyle="1">
    <w:name w:val="标题3"/>
    <w:basedOn w:val="690"/>
    <w:next w:val="690"/>
    <w:qFormat/>
    <w:pPr>
      <w:ind w:firstLine="624"/>
      <w:spacing w:line="590" w:lineRule="atLeast"/>
    </w:pPr>
    <w:rPr>
      <w:rFonts w:ascii="方正黑体_GBK" w:eastAsia="方正黑体_GBK"/>
      <w:sz w:val="32"/>
      <w:szCs w:val="32"/>
    </w:rPr>
  </w:style>
  <w:style w:type="paragraph" w:styleId="945" w:customStyle="1">
    <w:name w:val="xl24"/>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customStyle="1">
    <w:name w:val="xl29"/>
    <w:basedOn w:val="69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customStyle="1">
    <w:name w:val="Char Char Char Char Char Char Char Char"/>
    <w:basedOn w:val="690"/>
    <w:qFormat/>
    <w:pPr>
      <w:jc w:val="left"/>
      <w:spacing w:after="160" w:line="240" w:lineRule="exact"/>
      <w:widowControl/>
    </w:pPr>
    <w:rPr>
      <w:rFonts w:ascii="Verdana" w:hAnsi="Verdana"/>
      <w:sz w:val="20"/>
      <w:szCs w:val="20"/>
      <w:lang w:eastAsia="en-US"/>
    </w:rPr>
  </w:style>
  <w:style w:type="paragraph" w:styleId="948" w:customStyle="1">
    <w:name w:val="xl28"/>
    <w:basedOn w:val="6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customStyle="1">
    <w:name w:val="Char Char Char Char Char Char Char Char1"/>
    <w:basedOn w:val="690"/>
    <w:qFormat/>
    <w:pPr>
      <w:jc w:val="left"/>
      <w:spacing w:after="160" w:line="240" w:lineRule="exact"/>
      <w:widowControl/>
    </w:pPr>
    <w:rPr>
      <w:rFonts w:ascii="Verdana" w:hAnsi="Verdana"/>
      <w:sz w:val="20"/>
      <w:szCs w:val="20"/>
      <w:lang w:eastAsia="en-US"/>
    </w:rPr>
  </w:style>
  <w:style w:type="paragraph" w:styleId="950" w:customStyle="1">
    <w:name w:val="xl30"/>
    <w:basedOn w:val="690"/>
    <w:qFormat/>
    <w:pPr>
      <w:jc w:val="center"/>
      <w:spacing w:before="100" w:beforeAutospacing="1" w:after="100" w:afterAutospacing="1"/>
      <w:widowControl/>
    </w:pPr>
    <w:rPr>
      <w:rFonts w:ascii="宋体" w:hAnsi="宋体"/>
      <w:b/>
      <w:bCs/>
      <w:sz w:val="36"/>
      <w:szCs w:val="36"/>
    </w:rPr>
  </w:style>
  <w:style w:type="paragraph" w:styleId="951" w:customStyle="1">
    <w:name w:val="Char Char Char Char1"/>
    <w:basedOn w:val="707"/>
    <w:qFormat/>
    <w:pPr>
      <w:spacing w:line="360" w:lineRule="auto"/>
    </w:pPr>
    <w:rPr>
      <w:rFonts w:ascii="Tahoma" w:hAnsi="Tahoma"/>
      <w:sz w:val="24"/>
      <w:szCs w:val="24"/>
    </w:rPr>
  </w:style>
  <w:style w:type="paragraph" w:styleId="952" w:customStyle="1">
    <w:name w:val="table_1stline"/>
    <w:basedOn w:val="690"/>
    <w:qFormat/>
    <w:pPr>
      <w:jc w:val="left"/>
      <w:spacing w:before="120"/>
      <w:widowControl/>
    </w:pPr>
    <w:rPr>
      <w:bCs/>
      <w:sz w:val="20"/>
      <w:szCs w:val="20"/>
      <w:lang w:val="de-DE" w:eastAsia="de-DE"/>
    </w:rPr>
  </w:style>
  <w:style w:type="paragraph" w:styleId="953" w:customStyle="1">
    <w:name w:val="font5"/>
    <w:basedOn w:val="690"/>
    <w:qFormat/>
    <w:pPr>
      <w:jc w:val="left"/>
      <w:spacing w:before="100" w:beforeAutospacing="1" w:after="100" w:afterAutospacing="1"/>
      <w:widowControl/>
    </w:pPr>
    <w:rPr>
      <w:rFonts w:hint="eastAsia" w:ascii="宋体" w:hAnsi="宋体"/>
      <w:sz w:val="28"/>
      <w:szCs w:val="28"/>
    </w:rPr>
  </w:style>
  <w:style w:type="paragraph" w:styleId="954" w:customStyle="1">
    <w:name w:val="标题1"/>
    <w:basedOn w:val="690"/>
    <w:next w:val="6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修订1"/>
    <w:uiPriority w:val="99"/>
    <w:semiHidden/>
    <w:qFormat/>
    <w:rPr>
      <w:sz w:val="21"/>
      <w:szCs w:val="21"/>
    </w:rPr>
  </w:style>
  <w:style w:type="paragraph" w:styleId="956" w:customStyle="1">
    <w:name w:val="AONormal"/>
    <w:qFormat/>
    <w:pPr>
      <w:ind w:firstLine="440"/>
      <w:spacing w:line="400" w:lineRule="exact"/>
    </w:pPr>
    <w:rPr>
      <w:rFonts w:ascii="华文楷体" w:hAnsi="华文楷体" w:eastAsia="华文楷体" w:cs="华文楷体"/>
      <w:sz w:val="22"/>
      <w:szCs w:val="21"/>
    </w:rPr>
  </w:style>
  <w:style w:type="paragraph" w:styleId="957" w:customStyle="1">
    <w:name w:val="0正文"/>
    <w:qFormat/>
    <w:pPr>
      <w:ind w:firstLine="200"/>
    </w:pPr>
    <w:rPr>
      <w:sz w:val="21"/>
      <w:szCs w:val="21"/>
    </w:rPr>
  </w:style>
  <w:style w:type="paragraph" w:styleId="958" w:customStyle="1">
    <w:name w:val="1级"/>
    <w:basedOn w:val="690"/>
    <w:next w:val="959"/>
    <w:qFormat/>
    <w:pPr>
      <w:numPr>
        <w:numId w:val="4"/>
      </w:numPr>
      <w:jc w:val="left"/>
      <w:spacing w:line="360" w:lineRule="auto"/>
      <w:outlineLvl w:val="0"/>
    </w:pPr>
    <w:rPr>
      <w:rFonts w:ascii="宋体" w:hAnsi="宋体" w:eastAsia="方正小标宋_GBK" w:cs="宋体"/>
      <w:sz w:val="32"/>
    </w:rPr>
  </w:style>
  <w:style w:type="paragraph" w:styleId="959" w:customStyle="1">
    <w:name w:val="标准正文"/>
    <w:basedOn w:val="690"/>
    <w:qFormat/>
    <w:pPr>
      <w:ind w:firstLine="480"/>
      <w:jc w:val="left"/>
      <w:spacing w:line="360" w:lineRule="auto"/>
    </w:pPr>
    <w:rPr>
      <w:rFonts w:ascii="宋体" w:hAnsi="宋体" w:eastAsia="方正仿宋_GBK" w:cs="宋体"/>
      <w:sz w:val="28"/>
      <w:szCs w:val="28"/>
    </w:rPr>
  </w:style>
  <w:style w:type="table" w:styleId="960" w:customStyle="1">
    <w:name w:val="Table Normal"/>
    <w:unhideWhenUsed/>
    <w:qFormat/>
    <w:tblPr>
      <w:tblCellMar>
        <w:left w:w="0" w:type="dxa"/>
        <w:top w:w="0" w:type="dxa"/>
        <w:right w:w="0" w:type="dxa"/>
        <w:bottom w:w="0" w:type="dxa"/>
      </w:tblCellMar>
    </w:tblPr>
  </w:style>
  <w:style w:type="paragraph" w:styleId="961" w:customStyle="1">
    <w:name w:val="TOC 标题11"/>
    <w:basedOn w:val="690"/>
    <w:next w:val="690"/>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付钢</cp:lastModifiedBy>
  <cp:revision>17</cp:revision>
  <dcterms:created xsi:type="dcterms:W3CDTF">2025-10-15T05:43:00Z</dcterms:created>
  <dcterms:modified xsi:type="dcterms:W3CDTF">2025-10-17T07:10:43Z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eyJoZGlkIjoiY2MyMzYyMjE4OGEyYmU0NGU4OWM3NGNlZDgzMmNmZWUiLCJ1c2VySWQiOiIxNjE1NDYxNTc2In0=</vt:lpwstr>
  </property>
  <property fmtid="{D5CDD505-2E9C-101B-9397-08002B2CF9AE}" pid="3" name="KSOProductBuildVer">
    <vt:lpwstr>2052-12.1.0.22525</vt:lpwstr>
  </property>
  <property fmtid="{D5CDD505-2E9C-101B-9397-08002B2CF9AE}" pid="4" name="ICV">
    <vt:lpwstr>93F554D917414E7780BFC4970F40C817_12</vt:lpwstr>
  </property>
</Properties>
</file>