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4"/>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924"/>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924"/>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924"/>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2028"/>
        <w:keepLines w:val="0"/>
        <w:keepNext w:val="0"/>
        <w:pageBreakBefore w:val="0"/>
        <w:spacing w:line="400" w:lineRule="exact"/>
        <w:widowControl w:val="off"/>
        <w:rPr>
          <w:rFonts w:hint="eastAsia" w:ascii="仿宋" w:hAnsi="仿宋" w:eastAsia="仿宋" w:cs="仿宋"/>
          <w:color w:val="000000" w:themeColor="text1"/>
          <w:sz w:val="32"/>
          <w:highlight w:val="none"/>
          <w:lang w:eastAsia="zh-CN"/>
          <w14:textFill>
            <w14:solidFill>
              <w14:schemeClr w14:val="tx1"/>
            </w14:solidFill>
          </w14:textFill>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：JSZC-320312-YXYX-G2024-0017</w:t>
      </w:r>
      <w:r/>
    </w:p>
    <w:p>
      <w:pPr>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ind w:firstLine="192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2024年中央农业防灾减灾和水利救灾资金</w:t>
      </w:r>
      <w:r/>
    </w:p>
    <w:p>
      <w:pPr>
        <w:ind w:firstLine="352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lang w:eastAsia="zh-CN"/>
        </w:rPr>
        <w:t xml:space="preserve">农作物重大病虫害防控</w:t>
      </w:r>
      <w:r/>
    </w:p>
    <w:p>
      <w:pPr>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ind w:firstLine="2028"/>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51"/>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4" o:title=""/>
              </v:shape>
            </w:pict>
          </mc:Fallback>
        </mc:AlternateContent>
      </w:r>
      <w:r/>
    </w:p>
    <w:p>
      <w:pPr>
        <w:pStyle w:val="929"/>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四</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val="en-US" w:eastAsia="zh-CN"/>
        </w:rPr>
        <w:t xml:space="preserve">十</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40"/>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40"/>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徐州市铜山区农业农村局（机关）2024年中央农业防灾减灾和水利救灾资金农作物重大病虫害防控项目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2024年中央农业防灾减灾和水利救灾资金农作物重大病虫害防控</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JSZC-320312-YXYX-G2024-0017</w:t>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1、潜在供应商访问电子招标投标交易平台的网络地址和方法：</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（5）招标代理机构（采购代理机构）将数据电文形式的采购文件加载至“苏采云”系统，供潜在投标人下载或者查阅。      </w:t>
      </w:r>
      <w:r/>
    </w:p>
    <w:p>
      <w:pPr>
        <w:ind w:firstLine="300"/>
        <w:spacing w:line="519" w:lineRule="atLeast"/>
        <w:rPr>
          <w:rFonts w:ascii="仿宋" w:hAnsi="仿宋" w:eastAsia="仿宋" w:cs="仿宋"/>
          <w:sz w:val="3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rPr>
        <w:t xml:space="preserve">（6）苏采云系统使用谷歌浏览器参与开标。</w:t>
      </w:r>
      <w:r/>
    </w:p>
    <w:p>
      <w:pPr>
        <w:spacing w:line="360" w:lineRule="auto"/>
        <w:rPr>
          <w:rFonts w:hint="eastAsia"/>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、招标文件售价：免费</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四、投标有关信息</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（一）投标截止时间：202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30</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  </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（二）开标时间：202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4</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30</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ind w:firstLine="300"/>
        <w:spacing w:line="519" w:lineRule="atLeast"/>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（三）联系方式：0516—696836</w:t>
      </w:r>
      <w:r>
        <w:rPr>
          <w:rFonts w:hint="eastAsia" w:ascii="仿宋" w:hAnsi="仿宋" w:eastAsia="仿宋" w:cs="仿宋"/>
          <w:color w:val="000000"/>
          <w:sz w:val="28"/>
          <w:szCs w:val="28"/>
          <w:lang w:val="en-US" w:eastAsia="zh-CN"/>
        </w:rPr>
        <w:t xml:space="preserve">56</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val="en-US" w:eastAsia="zh-CN"/>
        </w:rPr>
        <w:t xml:space="preserve">姚焕钊</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联系电话：0516—696836</w:t>
      </w:r>
      <w:r>
        <w:rPr>
          <w:rFonts w:hint="eastAsia" w:ascii="仿宋" w:hAnsi="仿宋" w:eastAsia="仿宋" w:cs="仿宋"/>
          <w:color w:val="000000"/>
          <w:sz w:val="28"/>
          <w:szCs w:val="28"/>
          <w:lang w:val="en-US" w:eastAsia="zh-CN"/>
        </w:rPr>
        <w:t xml:space="preserve">56</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spacing w:line="36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000000"/>
          <w:sz w:val="30"/>
          <w:highlight w:val="none"/>
        </w:rPr>
      </w:r>
      <w:r/>
    </w:p>
    <w:p>
      <w:pPr>
        <w:pStyle w:val="919"/>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926"/>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926"/>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pStyle w:val="94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3.采用</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"http://lilun.caigou2003.com/recijiedu/2365668.html"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最低评标价法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4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采用</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"http://lilun.caigou2003.com/recijiedu/2365667.html"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综合评分法</w:t>
      </w:r>
      <w:r>
        <w:rPr>
          <w:rFonts w:hint="eastAsia" w:ascii="仿宋" w:hAnsi="仿宋" w:eastAsia="仿宋" w:cs="仿宋"/>
          <w:sz w:val="28"/>
          <w:szCs w:val="28"/>
        </w:rPr>
        <w:fldChar w:fldCharType="end"/>
      </w:r>
      <w:r>
        <w:rPr>
          <w:rFonts w:hint="eastAsia" w:ascii="仿宋" w:hAnsi="仿宋" w:eastAsia="仿宋" w:cs="仿宋"/>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4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非单一产品采购项目，多家投标人提供的核心产品品牌相同的，按前两款规定处理。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94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94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94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94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94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941"/>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spacing w:line="360" w:lineRule="auto"/>
        <w:rPr>
          <w:rFonts w:hint="eastAsia" w:ascii="仿宋" w:hAnsi="仿宋" w:eastAsia="仿宋" w:cs="仿宋"/>
          <w:color w:val="ff0000"/>
          <w:sz w:val="28"/>
          <w:szCs w:val="28"/>
          <w:lang w:eastAsia="zh-CN"/>
        </w:rPr>
      </w:pPr>
      <w:r>
        <w:rPr>
          <w:rFonts w:hint="eastAsia" w:ascii="仿宋" w:hAnsi="仿宋" w:eastAsia="仿宋" w:cs="仿宋"/>
          <w:sz w:val="28"/>
          <w:szCs w:val="28"/>
        </w:rPr>
        <w:t xml:space="preserve">（二十九）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both"/>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000000"/>
          <w:highlight w:val="none"/>
        </w:rPr>
      </w:r>
      <w:r/>
    </w:p>
    <w:p>
      <w:pPr>
        <w:pStyle w:val="941"/>
        <w:rPr>
          <w:rFonts w:hint="eastAsia"/>
        </w:rPr>
      </w:pPr>
      <w:r>
        <w:rPr>
          <w:rFonts w:hint="eastAsia"/>
        </w:rPr>
      </w:r>
      <w:r/>
    </w:p>
    <w:p>
      <w:pPr>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38"/>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投标人的资格条件：</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符合《中华人民共和国政府采购法》第二十二条的规定；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同时明确相关事项如下：</w:t>
            </w:r>
            <w:r/>
          </w:p>
          <w:p>
            <w:pPr>
              <w:numPr>
                <w:ilvl w:val="0"/>
                <w:numId w:val="2"/>
              </w:numPr>
              <w:ind w:left="0" w:right="0" w:firstLine="0"/>
              <w:jc w:val="both"/>
              <w:keepLines w:val="0"/>
              <w:keepNext w:val="0"/>
              <w:pageBreakBefore w:val="0"/>
              <w:spacing w:after="0" w:line="360" w:lineRule="auto"/>
              <w:widowControl/>
              <w:rPr>
                <w:rFonts w:hint="eastAsia" w:ascii="仿宋" w:hAnsi="仿宋" w:eastAsia="仿宋" w:cs="仿宋"/>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i w:val="0"/>
                <w:caps w:val="0"/>
                <w:color w:val="000000" w:themeColor="text1"/>
                <w:spacing w:val="0"/>
                <w:sz w:val="28"/>
                <w:szCs w:val="28"/>
                <w14:textFill>
                  <w14:solidFill>
                    <w14:schemeClr w14:val="tx1"/>
                  </w14:solidFill>
                </w14:textFill>
              </w:rPr>
              <w:t xml:space="preserve">此项目属于专门面向中小微企业采购的项目，</w:t>
            </w:r>
            <w:r>
              <w:rPr>
                <w:rFonts w:hint="eastAsia" w:ascii="仿宋" w:hAnsi="仿宋" w:eastAsia="仿宋" w:cs="仿宋"/>
                <w:i w:val="0"/>
                <w:caps w:val="0"/>
                <w:color w:val="000000" w:themeColor="text1"/>
                <w:spacing w:val="0"/>
                <w:sz w:val="28"/>
                <w:szCs w:val="28"/>
                <w:u w:val="none"/>
                <w:lang w:val="en-US" w:eastAsia="zh-CN" w:bidi="ar"/>
                <w14:textFill>
                  <w14:solidFill>
                    <w14:schemeClr w14:val="tx1"/>
                  </w14:solidFill>
                </w14:textFill>
              </w:rPr>
              <w:t xml:space="preserve">供应商提供的货物全部由符合政策要求的中小企业制造，</w:t>
            </w:r>
            <w:r>
              <w:rPr>
                <w:rFonts w:hint="eastAsia" w:ascii="仿宋" w:hAnsi="仿宋" w:eastAsia="仿宋" w:cs="仿宋"/>
                <w:b w:val="0"/>
                <w:bCs/>
                <w:color w:val="000000" w:themeColor="text1"/>
                <w:sz w:val="28"/>
                <w:szCs w:val="28"/>
                <w14:textFill>
                  <w14:solidFill>
                    <w14:schemeClr w14:val="tx1"/>
                  </w14:solidFill>
                </w14:textFill>
              </w:rPr>
              <w:t xml:space="preserve">供应商提供的货物的制造商应全部为中小微企业、监狱企业、残疾人福利性单位。</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二、本项目不接受联合体参与采购活动。</w:t>
            </w:r>
            <w:r/>
          </w:p>
          <w:p>
            <w:pPr>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三、单位负责人为同一人或者存在直接控股、管理关系的不同供应商，不得参加同一合同项下的政府采购活动。</w:t>
            </w:r>
            <w:r/>
          </w:p>
          <w:p>
            <w:pPr>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四、为本采购项目提供整体设计、规范编制或者项目管理、监理、检测等服务的供应商，不得再参加本采购项目的采购活动。</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五、查询及使用供应商信用记录：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(一)由采购人查询信用信息。</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(二)查询渠道包括：</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3.“信用江苏”网（http://credit.jiangsu.gov.cn/）；</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4.“信用中国（江苏徐州）”网</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"http://www.xuzhoucredit.gov.cn/"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http://www.xuzhoucredit.gov.cn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(三)截止时点（查询环节）：</w:t>
            </w:r>
            <w:r>
              <w:rPr>
                <w:rFonts w:hint="eastAsia" w:ascii="仿宋" w:hAnsi="仿宋" w:eastAsia="仿宋" w:cs="仿宋"/>
                <w:b w:val="0"/>
                <w:bCs w:val="0"/>
                <w:sz w:val="28"/>
                <w:szCs w:val="28"/>
              </w:rPr>
              <w:t xml:space="preserve">资格审查</w:t>
            </w:r>
            <w:r>
              <w:rPr>
                <w:rFonts w:hint="eastAsia" w:ascii="仿宋" w:hAnsi="仿宋" w:eastAsia="仿宋" w:cs="仿宋"/>
                <w:sz w:val="28"/>
                <w:szCs w:val="28"/>
              </w:rPr>
              <w:t xml:space="preserve">结束前。</w:t>
            </w:r>
            <w:r/>
          </w:p>
          <w:p>
            <w:pPr>
              <w:ind w:left="90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(四)信用信息查询记录和证据留存的具体方式：网页截屏打印，与其他采购文件一并保存。</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(五)信用信息的使用规则：</w:t>
            </w:r>
            <w:r/>
          </w:p>
          <w:p>
            <w:pPr>
              <w:ind w:left="899"/>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956"/>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41"/>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pStyle w:val="94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rPr>
                <w:rFonts w:hint="eastAsia" w:ascii="仿宋" w:hAnsi="仿宋" w:eastAsia="仿宋" w:cs="仿宋"/>
                <w:color w:val="000000"/>
                <w:sz w:val="28"/>
                <w:szCs w:val="28"/>
              </w:rPr>
              <w:t xml:space="preserve">；</w:t>
            </w:r>
            <w:r/>
          </w:p>
          <w:p>
            <w:pPr>
              <w:pStyle w:val="941"/>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956"/>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财务状况报告（即提供投标人的本项目开标时间前6个月内任何时间的资产负债表、利润表扫描件各一份；或提供投标人</w:t>
            </w:r>
            <w:r>
              <w:rPr>
                <w:rFonts w:hint="eastAsia" w:ascii="仿宋" w:hAnsi="仿宋" w:eastAsia="仿宋" w:cs="仿宋"/>
                <w:sz w:val="28"/>
                <w:szCs w:val="28"/>
                <w:lang w:val="en-US" w:eastAsia="zh-CN"/>
              </w:rPr>
              <w:t xml:space="preserve">2022年度（或2023</w:t>
            </w:r>
            <w:r>
              <w:rPr>
                <w:rFonts w:hint="eastAsia" w:ascii="仿宋" w:hAnsi="仿宋" w:eastAsia="仿宋" w:cs="仿宋"/>
                <w:sz w:val="28"/>
                <w:szCs w:val="28"/>
              </w:rPr>
              <w:t xml:space="preserve">年度</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经审计的财务报告扫描件一份；或投标人的本项目开标时间前6个月内银行出具的资信证明扫描件一份）</w:t>
            </w:r>
            <w:r>
              <w:rPr>
                <w:rFonts w:hint="eastAsia" w:ascii="仿宋" w:hAnsi="仿宋" w:eastAsia="仿宋" w:cs="仿宋"/>
                <w:sz w:val="28"/>
                <w:szCs w:val="28"/>
                <w:lang w:eastAsia="zh-CN"/>
              </w:rPr>
              <w:t xml:space="preserve">。</w:t>
            </w:r>
            <w:r/>
          </w:p>
          <w:p>
            <w:pPr>
              <w:pStyle w:val="956"/>
              <w:ind w:left="551" w:hanging="551"/>
              <w:spacing w:line="360" w:lineRule="auto"/>
              <w:rPr>
                <w:rFonts w:hint="eastAsia" w:ascii="仿宋" w:hAnsi="仿宋" w:eastAsia="仿宋" w:cs="仿宋"/>
                <w:color w:val="000000"/>
                <w:sz w:val="28"/>
                <w:szCs w:val="28"/>
                <w:lang w:val="en-US" w:eastAsia="zh-CN"/>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28"/>
                <w:szCs w:val="28"/>
                <w:lang w:eastAsia="zh-CN"/>
              </w:rPr>
              <w:t xml:space="preserve">。</w:t>
            </w:r>
            <w:r/>
          </w:p>
          <w:p>
            <w:pPr>
              <w:pStyle w:val="956"/>
              <w:ind w:left="551" w:hanging="551"/>
              <w:spacing w:line="360" w:lineRule="auto"/>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、具备履行合同所必需的设备和专业技术能力的证明材料扫描件；格式见本文件第七章《投标文件相关格式》。</w:t>
            </w:r>
            <w:r/>
          </w:p>
          <w:p>
            <w:pPr>
              <w:pStyle w:val="956"/>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5、投标人参加政府采购活动前3年内在经营活动中没有重大违法记录的书面声明，加盖电子签章，格式见本文件第七章《投标文件相关格式》。</w:t>
            </w:r>
            <w:r/>
          </w:p>
          <w:p>
            <w:pPr>
              <w:pStyle w:val="956"/>
              <w:ind w:left="551" w:hanging="551"/>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6、中小企业声明函</w:t>
            </w:r>
            <w:r>
              <w:rPr>
                <w:rFonts w:hint="eastAsia" w:ascii="仿宋" w:hAnsi="仿宋" w:eastAsia="仿宋" w:cs="仿宋"/>
                <w:bCs/>
                <w:color w:val="000000"/>
                <w:sz w:val="28"/>
                <w:szCs w:val="28"/>
                <w:lang w:eastAsia="zh-CN"/>
              </w:rPr>
              <w:t xml:space="preserve">。</w:t>
            </w:r>
            <w:r>
              <w:rPr>
                <w:rFonts w:hint="eastAsia" w:ascii="仿宋" w:hAnsi="仿宋" w:eastAsia="仿宋" w:cs="仿宋"/>
                <w:color w:val="000000"/>
                <w:sz w:val="28"/>
                <w:szCs w:val="28"/>
              </w:rPr>
              <w:t xml:space="preserve">加盖电子签章，格式见本文件第七章《投标文件相关格式》。</w:t>
            </w:r>
            <w:r/>
          </w:p>
          <w:p>
            <w:pPr>
              <w:pStyle w:val="941"/>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94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94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1.《分项价格表》（加盖电子签章，格式见招标文件第七章《投标文件相关格式》）；</w:t>
            </w:r>
            <w:r/>
          </w:p>
          <w:p>
            <w:pPr>
              <w:pStyle w:val="94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94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941"/>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941"/>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《偏离表》</w:t>
            </w:r>
            <w:r>
              <w:rPr>
                <w:rFonts w:hint="eastAsia" w:ascii="仿宋" w:hAnsi="仿宋" w:eastAsia="仿宋" w:cs="仿宋"/>
                <w:color w:val="auto"/>
                <w:sz w:val="28"/>
                <w:szCs w:val="28"/>
              </w:rPr>
              <w:t xml:space="preserve">（加盖电子签章</w:t>
            </w:r>
            <w:r>
              <w:rPr>
                <w:rFonts w:hint="eastAsia" w:ascii="仿宋" w:hAnsi="仿宋" w:eastAsia="仿宋" w:cs="仿宋"/>
                <w:color w:val="auto"/>
                <w:sz w:val="28"/>
                <w:szCs w:val="28"/>
              </w:rPr>
              <w:t xml:space="preserve">，格式见招标文件第七章《投标文件相关格式》）</w:t>
            </w:r>
            <w:r>
              <w:rPr>
                <w:rFonts w:hint="eastAsia" w:ascii="仿宋" w:hAnsi="仿宋" w:eastAsia="仿宋" w:cs="仿宋"/>
                <w:color w:val="auto"/>
                <w:sz w:val="28"/>
                <w:szCs w:val="28"/>
              </w:rPr>
              <w:t xml:space="preserve">。</w:t>
            </w:r>
            <w:r>
              <w:rPr>
                <w:color w:val="auto"/>
              </w:rPr>
            </w:r>
            <w:r/>
          </w:p>
          <w:p>
            <w:pPr>
              <w:shd w:val="nil" w:color="auto"/>
              <w:rPr>
                <w:rFonts w:ascii="仿宋" w:hAnsi="仿宋" w:cs="仿宋"/>
                <w:sz w:val="28"/>
                <w:szCs w:val="28"/>
                <w14:ligatures w14:val="none"/>
              </w:rPr>
            </w:pPr>
            <w:r>
              <w:rPr>
                <w:rFonts w:ascii="仿宋" w:hAnsi="仿宋" w:cs="仿宋"/>
                <w:sz w:val="28"/>
                <w:szCs w:val="28"/>
              </w:rPr>
            </w:r>
            <w:r>
              <w:rPr>
                <w:rFonts w:ascii="仿宋" w:hAnsi="仿宋" w:eastAsia="仿宋" w:cs="仿宋"/>
                <w:sz w:val="28"/>
                <w:szCs w:val="28"/>
                <w:highlight w:val="none"/>
              </w:rPr>
              <w:t xml:space="preserve">采购需求中需要提供的证明材料</w:t>
            </w:r>
            <w:r>
              <w:rPr>
                <w:rFonts w:ascii="仿宋" w:hAnsi="仿宋" w:eastAsia="仿宋" w:cs="仿宋"/>
                <w:sz w:val="28"/>
                <w:szCs w:val="28"/>
              </w:rPr>
              <w:t xml:space="preserve">加盖电子签章。</w:t>
            </w:r>
            <w:r>
              <w:rPr>
                <w:rFonts w:ascii="仿宋" w:hAnsi="仿宋" w:cs="仿宋"/>
                <w:sz w:val="28"/>
                <w:szCs w:val="28"/>
              </w:rPr>
            </w:r>
            <w:r/>
          </w:p>
          <w:p>
            <w:pPr>
              <w:pStyle w:val="977"/>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p>
          <w:p>
            <w:pPr>
              <w:pStyle w:val="956"/>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一</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技术部分</w:t>
            </w:r>
            <w:r/>
          </w:p>
          <w:p>
            <w:pPr>
              <w:pStyle w:val="963"/>
              <w:jc w:val="both"/>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t xml:space="preserve">1、</w:t>
            </w:r>
            <w:r>
              <w:rPr>
                <w:rFonts w:hint="eastAsia" w:ascii="仿宋" w:hAnsi="仿宋" w:eastAsia="仿宋" w:cs="仿宋"/>
                <w:color w:val="000000"/>
                <w:sz w:val="28"/>
                <w:szCs w:val="28"/>
                <w:lang w:val="en-US" w:eastAsia="zh-CN" w:bidi="ar-SA"/>
              </w:rPr>
              <w:t xml:space="preserve">设备、工艺流程，包装标识、使用说明书（</w:t>
            </w:r>
            <w:r>
              <w:rPr>
                <w:rFonts w:hint="eastAsia" w:ascii="仿宋" w:hAnsi="仿宋" w:eastAsia="仿宋" w:cs="仿宋"/>
                <w:b w:val="0"/>
                <w:bCs/>
                <w:color w:val="000000"/>
                <w:sz w:val="28"/>
                <w:szCs w:val="28"/>
              </w:rPr>
              <w:t xml:space="preserve">根据评分细则和项目要求自行编写)；</w:t>
            </w:r>
            <w:r/>
          </w:p>
          <w:p>
            <w:pPr>
              <w:pStyle w:val="959"/>
              <w:spacing w:line="360" w:lineRule="auto"/>
              <w:rPr>
                <w:rFonts w:hint="eastAsia"/>
                <w:b w:val="0"/>
                <w:bCs/>
                <w:color w:val="000000"/>
              </w:rPr>
            </w:pPr>
            <w:r>
              <w:rPr>
                <w:rFonts w:hint="eastAsia" w:ascii="仿宋" w:hAnsi="仿宋" w:eastAsia="仿宋" w:cs="仿宋"/>
                <w:b w:val="0"/>
                <w:bCs/>
                <w:color w:val="000000"/>
                <w:sz w:val="28"/>
                <w:szCs w:val="28"/>
                <w:lang w:val="en-US" w:eastAsia="zh-CN" w:bidi="ar-SA"/>
              </w:rPr>
              <w:t xml:space="preserve">2、质量控制措施</w:t>
            </w:r>
            <w:r>
              <w:rPr>
                <w:rFonts w:hint="eastAsia" w:ascii="仿宋" w:hAnsi="仿宋" w:eastAsia="仿宋" w:cs="仿宋"/>
                <w:b w:val="0"/>
                <w:bCs/>
                <w:color w:val="000000"/>
                <w:sz w:val="28"/>
                <w:szCs w:val="28"/>
              </w:rPr>
              <w:t xml:space="preserve">(根据评分细则和项目要求自行编写)；</w:t>
            </w:r>
            <w:r/>
          </w:p>
          <w:p>
            <w:pPr>
              <w:pStyle w:val="959"/>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3、</w:t>
            </w:r>
            <w:r>
              <w:rPr>
                <w:rFonts w:hint="eastAsia" w:ascii="仿宋" w:hAnsi="仿宋" w:eastAsia="仿宋" w:cs="仿宋"/>
                <w:b w:val="0"/>
                <w:bCs/>
                <w:color w:val="000000"/>
                <w:sz w:val="28"/>
                <w:szCs w:val="28"/>
              </w:rPr>
              <w:t xml:space="preserve">项目实施方案(根据评分细则和项目要求自行编写)；</w:t>
            </w:r>
            <w:r/>
          </w:p>
          <w:p>
            <w:pPr>
              <w:pStyle w:val="959"/>
              <w:spacing w:line="360" w:lineRule="auto"/>
              <w:rPr>
                <w:rFonts w:hint="eastAsia" w:ascii="仿宋" w:hAnsi="仿宋" w:eastAsia="仿宋" w:cs="仿宋"/>
                <w:b w:val="0"/>
                <w:bCs/>
                <w:color w:val="000000"/>
                <w:sz w:val="28"/>
                <w:szCs w:val="28"/>
                <w:lang w:val="en-US" w:eastAsia="zh-CN"/>
              </w:rPr>
            </w:pP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技术指导方案</w:t>
            </w:r>
            <w:r>
              <w:rPr>
                <w:rFonts w:hint="eastAsia" w:ascii="仿宋" w:hAnsi="仿宋" w:eastAsia="仿宋" w:cs="仿宋"/>
                <w:b w:val="0"/>
                <w:bCs/>
                <w:color w:val="000000"/>
                <w:sz w:val="28"/>
                <w:szCs w:val="28"/>
              </w:rPr>
              <w:t xml:space="preserve">(根据评分细则和项目要求自行编写)；</w:t>
            </w:r>
            <w:r/>
          </w:p>
          <w:p>
            <w:pPr>
              <w:pStyle w:val="976"/>
              <w:spacing w:line="360" w:lineRule="auto"/>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lang w:val="en-US" w:eastAsia="zh-CN"/>
              </w:rPr>
              <w:t xml:space="preserve">5、</w:t>
            </w:r>
            <w:r>
              <w:rPr>
                <w:rFonts w:hint="eastAsia" w:ascii="仿宋" w:hAnsi="仿宋" w:eastAsia="仿宋" w:cs="仿宋"/>
                <w:b w:val="0"/>
                <w:bCs/>
                <w:color w:val="000000"/>
                <w:sz w:val="28"/>
                <w:szCs w:val="28"/>
                <w:lang w:eastAsia="zh-CN"/>
              </w:rPr>
              <w:t xml:space="preserve">售后服务方案</w:t>
            </w:r>
            <w:r>
              <w:rPr>
                <w:rFonts w:hint="eastAsia" w:ascii="仿宋" w:hAnsi="仿宋" w:eastAsia="仿宋" w:cs="仿宋"/>
                <w:b w:val="0"/>
                <w:bCs/>
                <w:color w:val="000000"/>
                <w:sz w:val="28"/>
                <w:szCs w:val="28"/>
              </w:rPr>
              <w:t xml:space="preserve">(根据评分细则和项目要求自行编写)；</w:t>
            </w:r>
            <w:r/>
          </w:p>
          <w:p>
            <w:pPr>
              <w:pStyle w:val="959"/>
              <w:spacing w:line="360" w:lineRule="auto"/>
              <w:rPr>
                <w:rFonts w:hint="eastAsia" w:eastAsia="仿宋"/>
                <w:b w:val="0"/>
                <w:bCs/>
                <w:color w:val="000000"/>
                <w:lang w:val="en-US" w:eastAsia="zh-CN"/>
              </w:rPr>
            </w:pPr>
            <w:r>
              <w:rPr>
                <w:rFonts w:hint="eastAsia" w:ascii="仿宋" w:hAnsi="仿宋" w:eastAsia="仿宋" w:cs="仿宋"/>
                <w:b w:val="0"/>
                <w:bCs/>
                <w:color w:val="000000"/>
                <w:sz w:val="28"/>
                <w:szCs w:val="28"/>
                <w:lang w:val="en-US" w:eastAsia="zh-CN"/>
              </w:rPr>
              <w:t xml:space="preserve">6、应急方案</w:t>
            </w:r>
            <w:r>
              <w:rPr>
                <w:rFonts w:hint="eastAsia" w:ascii="仿宋" w:hAnsi="仿宋" w:eastAsia="仿宋" w:cs="仿宋"/>
                <w:b w:val="0"/>
                <w:bCs/>
                <w:color w:val="000000"/>
                <w:sz w:val="28"/>
                <w:szCs w:val="28"/>
              </w:rPr>
              <w:t xml:space="preserve">(根据评分细则和项目要求自行编写)；</w:t>
            </w:r>
            <w:r/>
          </w:p>
          <w:p>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lang w:val="en-US" w:eastAsia="zh-CN"/>
              </w:rPr>
              <w:t xml:space="preserve">二</w:t>
            </w:r>
            <w:r>
              <w:rPr>
                <w:rFonts w:hint="eastAsia" w:ascii="仿宋" w:hAnsi="仿宋" w:eastAsia="仿宋" w:cs="仿宋"/>
                <w:bCs/>
                <w:color w:val="000000"/>
                <w:sz w:val="28"/>
                <w:szCs w:val="28"/>
                <w:lang w:eastAsia="zh-CN"/>
              </w:rPr>
              <w:t xml:space="preserve">）</w:t>
            </w:r>
            <w:r>
              <w:rPr>
                <w:rFonts w:hint="eastAsia" w:ascii="仿宋" w:hAnsi="仿宋" w:eastAsia="仿宋" w:cs="仿宋"/>
                <w:bCs/>
                <w:color w:val="000000"/>
                <w:sz w:val="28"/>
                <w:szCs w:val="28"/>
              </w:rPr>
              <w:t xml:space="preserve">商务部分</w:t>
            </w:r>
            <w:r/>
          </w:p>
          <w:p>
            <w:pPr>
              <w:pStyle w:val="963"/>
              <w:jc w:val="both"/>
              <w:spacing w:line="360" w:lineRule="auto"/>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投标人业绩</w:t>
            </w:r>
            <w:r/>
          </w:p>
          <w:p>
            <w:pPr>
              <w:pStyle w:val="929"/>
              <w:ind w:left="0" w:firstLine="0"/>
              <w:spacing w:line="360" w:lineRule="auto"/>
              <w:rPr>
                <w:rFonts w:hint="eastAsia" w:ascii="仿宋" w:hAnsi="仿宋" w:eastAsia="仿宋" w:cs="仿宋"/>
                <w:bCs/>
                <w:sz w:val="28"/>
                <w:szCs w:val="28"/>
              </w:rPr>
            </w:pP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lang w:val="en-US" w:eastAsia="zh-CN"/>
              </w:rPr>
              <w:t xml:space="preserve">三</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价格折扣文件格式</w:t>
            </w:r>
            <w:r>
              <w:rPr>
                <w:rFonts w:hint="eastAsia" w:ascii="仿宋" w:hAnsi="仿宋" w:eastAsia="仿宋" w:cs="仿宋"/>
                <w:b w:val="0"/>
                <w:bCs/>
                <w:sz w:val="28"/>
                <w:szCs w:val="28"/>
                <w:lang w:eastAsia="zh-CN"/>
              </w:rPr>
              <w:t xml:space="preserve">：</w:t>
            </w:r>
            <w:r>
              <w:rPr>
                <w:rFonts w:hint="eastAsia" w:ascii="仿宋" w:hAnsi="仿宋" w:eastAsia="仿宋" w:cs="仿宋"/>
                <w:b w:val="0"/>
                <w:bCs/>
                <w:sz w:val="28"/>
                <w:szCs w:val="28"/>
              </w:rPr>
              <w:t xml:space="preserve">无</w:t>
            </w:r>
            <w:r>
              <w:rPr>
                <w:rFonts w:hint="eastAsia" w:ascii="仿宋" w:hAnsi="仿宋" w:eastAsia="仿宋" w:cs="仿宋"/>
                <w:bCs/>
                <w:sz w:val="28"/>
                <w:szCs w:val="28"/>
              </w:rPr>
              <w:t xml:space="preserve">。</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sz w:val="28"/>
                <w:szCs w:val="28"/>
                <w:lang w:eastAsia="zh-CN"/>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ind w:firstLine="472"/>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ind w:left="792" w:hanging="240"/>
              <w:spacing w:line="360" w:lineRule="auto"/>
              <w:rPr>
                <w:rFonts w:hint="eastAsia" w:ascii="仿宋" w:hAnsi="仿宋" w:eastAsia="仿宋" w:cs="仿宋"/>
                <w:color w:val="000000"/>
                <w:sz w:val="28"/>
                <w:szCs w:val="28"/>
                <w:highlight w:val="none"/>
              </w:rPr>
            </w:pPr>
            <w:r>
              <w:rPr>
                <w:rFonts w:hint="eastAsia" w:ascii="仿宋" w:hAnsi="仿宋" w:eastAsia="仿宋" w:cs="仿宋"/>
                <w:bCs/>
                <w:sz w:val="28"/>
                <w:szCs w:val="28"/>
              </w:rPr>
              <w:t xml:space="preserve">2.</w:t>
            </w:r>
            <w:r>
              <w:rPr>
                <w:rFonts w:hint="eastAsia" w:ascii="仿宋" w:hAnsi="仿宋" w:eastAsia="仿宋" w:cs="仿宋"/>
                <w:sz w:val="28"/>
                <w:szCs w:val="28"/>
              </w:rPr>
              <w:t xml:space="preserve">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jc w:val="left"/>
              <w:spacing w:line="360" w:lineRule="auto"/>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本项目预算金额：</w:t>
            </w:r>
            <w:r>
              <w:rPr>
                <w:rFonts w:hint="eastAsia" w:ascii="仿宋" w:hAnsi="仿宋" w:eastAsia="仿宋" w:cs="仿宋"/>
                <w:b/>
                <w:bCs/>
                <w:color w:val="000000"/>
                <w:sz w:val="28"/>
                <w:szCs w:val="28"/>
                <w:highlight w:val="none"/>
                <w:lang w:val="en-US" w:eastAsia="zh-CN"/>
              </w:rPr>
              <w:t xml:space="preserve">153</w:t>
            </w:r>
            <w:r>
              <w:rPr>
                <w:rFonts w:hint="eastAsia" w:ascii="仿宋" w:hAnsi="仿宋" w:eastAsia="仿宋" w:cs="仿宋"/>
                <w:b/>
                <w:bCs/>
                <w:color w:val="000000"/>
                <w:sz w:val="28"/>
                <w:szCs w:val="28"/>
                <w:highlight w:val="none"/>
              </w:rPr>
              <w:t xml:space="preserve">万元，不接受超过采购预算的投标报价。</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报价包括产品价、税金、运费、售后服务、投标人的利润等全部费用，采购人不再支付报价以外的任何费用。</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95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95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(十八)</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color w:val="000000" w:themeColor="text1"/>
                <w:sz w:val="28"/>
                <w:szCs w:val="28"/>
                <w:u w:val="none"/>
                <w14:textFill>
                  <w14:solidFill>
                    <w14:schemeClr w14:val="tx1"/>
                  </w14:solidFill>
                </w14:textFill>
              </w:rPr>
            </w:pPr>
            <w:r>
              <w:rPr>
                <w:rFonts w:hint="eastAsia" w:ascii="仿宋" w:hAnsi="仿宋" w:eastAsia="仿宋" w:cs="仿宋"/>
                <w:color w:val="000000" w:themeColor="text1"/>
                <w:sz w:val="28"/>
                <w:szCs w:val="28"/>
                <w:u w:val="none"/>
                <w14:textFill>
                  <w14:solidFill>
                    <w14:schemeClr w14:val="tx1"/>
                  </w14:solidFill>
                </w14:textFill>
              </w:rPr>
              <w:t xml:space="preserve">一、投标文件提交时间：202</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u w:val="none"/>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30</w:t>
            </w:r>
            <w:r>
              <w:rPr>
                <w:rFonts w:hint="eastAsia" w:ascii="仿宋" w:hAnsi="仿宋" w:eastAsia="仿宋" w:cs="仿宋"/>
                <w:color w:val="000000" w:themeColor="text1"/>
                <w:sz w:val="28"/>
                <w:szCs w:val="28"/>
                <w:u w:val="none"/>
                <w14:textFill>
                  <w14:solidFill>
                    <w14:schemeClr w14:val="tx1"/>
                  </w14:solidFill>
                </w14:textFill>
              </w:rPr>
              <w:t xml:space="preserve">日北京时间</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u w:val="none"/>
                <w14:textFill>
                  <w14:solidFill>
                    <w14:schemeClr w14:val="tx1"/>
                  </w14:solidFill>
                </w14:textFill>
              </w:rPr>
              <w:t xml:space="preserve">：</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u w:val="none"/>
                <w14:textFill>
                  <w14:solidFill>
                    <w14:schemeClr w14:val="tx1"/>
                  </w14:solidFill>
                </w14:textFill>
              </w:rPr>
              <w:t xml:space="preserve">0前。</w:t>
            </w:r>
            <w:r/>
          </w:p>
          <w:p>
            <w:pPr>
              <w:ind w:left="560" w:hanging="480"/>
              <w:spacing w:line="360" w:lineRule="auto"/>
              <w:rPr>
                <w:rFonts w:hint="eastAsia" w:ascii="仿宋" w:hAnsi="仿宋" w:eastAsia="仿宋" w:cs="仿宋"/>
                <w:color w:val="000000" w:themeColor="text1"/>
                <w:sz w:val="28"/>
                <w:szCs w:val="28"/>
                <w:u w:val="none"/>
                <w14:textFill>
                  <w14:solidFill>
                    <w14:schemeClr w14:val="tx1"/>
                  </w14:solidFill>
                </w14:textFill>
              </w:rPr>
            </w:pPr>
            <w:r>
              <w:rPr>
                <w:rFonts w:hint="eastAsia" w:ascii="仿宋" w:hAnsi="仿宋" w:eastAsia="仿宋" w:cs="仿宋"/>
                <w:color w:val="000000" w:themeColor="text1"/>
                <w:sz w:val="28"/>
                <w:szCs w:val="28"/>
                <w:u w:val="none"/>
                <w14:textFill>
                  <w14:solidFill>
                    <w14:schemeClr w14:val="tx1"/>
                  </w14:solidFill>
                </w14:textFill>
              </w:rPr>
              <w:t xml:space="preserve">二、投标文件接收截止时间：202</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u w:val="none"/>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30</w:t>
            </w:r>
            <w:r>
              <w:rPr>
                <w:rFonts w:hint="eastAsia" w:ascii="仿宋" w:hAnsi="仿宋" w:eastAsia="仿宋" w:cs="仿宋"/>
                <w:color w:val="000000" w:themeColor="text1"/>
                <w:sz w:val="28"/>
                <w:szCs w:val="28"/>
                <w:u w:val="none"/>
                <w14:textFill>
                  <w14:solidFill>
                    <w14:schemeClr w14:val="tx1"/>
                  </w14:solidFill>
                </w14:textFill>
              </w:rPr>
              <w:t xml:space="preserve">日北京时间</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u w:val="none"/>
                <w14:textFill>
                  <w14:solidFill>
                    <w14:schemeClr w14:val="tx1"/>
                  </w14:solidFill>
                </w14:textFill>
              </w:rPr>
              <w:t xml:space="preserve">：</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u w:val="none"/>
                <w14:textFill>
                  <w14:solidFill>
                    <w14:schemeClr w14:val="tx1"/>
                  </w14:solidFill>
                </w14:textFill>
              </w:rPr>
              <w:t xml:space="preserve">0。</w:t>
            </w:r>
            <w:r/>
          </w:p>
          <w:p>
            <w:pPr>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2445"/>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(二十四)</w:t>
            </w:r>
            <w:r/>
          </w:p>
        </w:tc>
        <w:tc>
          <w:tcPr>
            <w:tcMar>
              <w:left w:w="108" w:type="dxa"/>
              <w:top w:w="0" w:type="dxa"/>
              <w:right w:w="108" w:type="dxa"/>
              <w:bottom w:w="0" w:type="dxa"/>
            </w:tcMar>
            <w:tcW w:w="8313" w:type="dxa"/>
            <w:vAlign w:val="top"/>
            <w:textDirection w:val="lrTb"/>
            <w:noWrap w:val="false"/>
          </w:tcPr>
          <w:p>
            <w:pPr>
              <w:pStyle w:val="956"/>
              <w:spacing w:line="360" w:lineRule="auto"/>
              <w:tabs>
                <w:tab w:val="right" w:pos="8097" w:leader="none"/>
              </w:tabs>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开标时间及地点：</w:t>
            </w:r>
            <w:r>
              <w:rPr>
                <w:rFonts w:hint="eastAsia" w:ascii="仿宋" w:hAnsi="仿宋" w:eastAsia="仿宋" w:cs="仿宋"/>
                <w:color w:val="000000" w:themeColor="text1"/>
                <w:sz w:val="28"/>
                <w:szCs w:val="28"/>
                <w:lang w:eastAsia="zh-CN"/>
                <w14:textFill>
                  <w14:solidFill>
                    <w14:schemeClr w14:val="tx1"/>
                  </w14:solidFill>
                </w14:textFill>
              </w:rPr>
              <w:tab/>
            </w:r>
            <w:r/>
          </w:p>
          <w:p>
            <w:pPr>
              <w:pStyle w:val="956"/>
              <w:spacing w:line="360" w:lineRule="auto"/>
              <w:rPr>
                <w:rFonts w:hint="eastAsia" w:ascii="仿宋" w:hAnsi="仿宋" w:eastAsia="仿宋" w:cs="仿宋"/>
                <w:color w:val="000000" w:themeColor="text1"/>
                <w:sz w:val="28"/>
                <w:szCs w:val="28"/>
                <w:u w:val="none"/>
                <w14:textFill>
                  <w14:solidFill>
                    <w14:schemeClr w14:val="tx1"/>
                  </w14:solidFill>
                </w14:textFill>
              </w:rPr>
            </w:pPr>
            <w:r>
              <w:rPr>
                <w:rFonts w:hint="eastAsia" w:ascii="仿宋" w:hAnsi="仿宋" w:eastAsia="仿宋" w:cs="仿宋"/>
                <w:color w:val="000000" w:themeColor="text1"/>
                <w:sz w:val="28"/>
                <w:szCs w:val="28"/>
                <w:u w:val="none"/>
                <w14:textFill>
                  <w14:solidFill>
                    <w14:schemeClr w14:val="tx1"/>
                  </w14:solidFill>
                </w14:textFill>
              </w:rPr>
              <w:t xml:space="preserve">1.开标时间：202</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4</w:t>
            </w:r>
            <w:r>
              <w:rPr>
                <w:rFonts w:hint="eastAsia" w:ascii="仿宋" w:hAnsi="仿宋" w:eastAsia="仿宋" w:cs="仿宋"/>
                <w:color w:val="000000" w:themeColor="text1"/>
                <w:sz w:val="28"/>
                <w:szCs w:val="28"/>
                <w:u w:val="none"/>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30</w:t>
            </w:r>
            <w:r>
              <w:rPr>
                <w:rFonts w:hint="eastAsia" w:ascii="仿宋" w:hAnsi="仿宋" w:eastAsia="仿宋" w:cs="仿宋"/>
                <w:color w:val="000000" w:themeColor="text1"/>
                <w:sz w:val="28"/>
                <w:szCs w:val="28"/>
                <w:u w:val="none"/>
                <w14:textFill>
                  <w14:solidFill>
                    <w14:schemeClr w14:val="tx1"/>
                  </w14:solidFill>
                </w14:textFill>
              </w:rPr>
              <w:t xml:space="preserve">日</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10</w:t>
            </w:r>
            <w:r>
              <w:rPr>
                <w:rFonts w:hint="eastAsia" w:ascii="仿宋" w:hAnsi="仿宋" w:eastAsia="仿宋" w:cs="仿宋"/>
                <w:color w:val="000000" w:themeColor="text1"/>
                <w:sz w:val="28"/>
                <w:szCs w:val="28"/>
                <w:u w:val="none"/>
                <w14:textFill>
                  <w14:solidFill>
                    <w14:schemeClr w14:val="tx1"/>
                  </w14:solidFill>
                </w14:textFill>
              </w:rPr>
              <w:t xml:space="preserve">：</w:t>
            </w:r>
            <w:r>
              <w:rPr>
                <w:rFonts w:hint="eastAsia" w:ascii="仿宋" w:hAnsi="仿宋" w:eastAsia="仿宋" w:cs="仿宋"/>
                <w:color w:val="000000" w:themeColor="text1"/>
                <w:sz w:val="28"/>
                <w:szCs w:val="28"/>
                <w:u w:val="none"/>
                <w:lang w:val="en-US" w:eastAsia="zh-CN"/>
                <w14:textFill>
                  <w14:solidFill>
                    <w14:schemeClr w14:val="tx1"/>
                  </w14:solidFill>
                </w14:textFill>
              </w:rPr>
              <w:t xml:space="preserve">0</w:t>
            </w:r>
            <w:r>
              <w:rPr>
                <w:rFonts w:hint="eastAsia" w:ascii="仿宋" w:hAnsi="仿宋" w:eastAsia="仿宋" w:cs="仿宋"/>
                <w:color w:val="000000" w:themeColor="text1"/>
                <w:sz w:val="28"/>
                <w:szCs w:val="28"/>
                <w:u w:val="none"/>
                <w14:textFill>
                  <w14:solidFill>
                    <w14:schemeClr w14:val="tx1"/>
                  </w14:solidFill>
                </w14:textFill>
              </w:rPr>
              <w:t xml:space="preserve">0（标准时间）</w:t>
            </w:r>
            <w:r/>
          </w:p>
          <w:p>
            <w:pPr>
              <w:ind w:left="1680" w:hanging="168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14:textFill>
                  <w14:solidFill>
                    <w14:schemeClr w14:val="tx1"/>
                  </w14:solidFill>
                </w14:textFill>
              </w:rPr>
              <w:fldChar w:fldCharType="separate"/>
            </w:r>
            <w:r>
              <w:rPr>
                <w:rStyle w:val="940"/>
                <w:rFonts w:hint="eastAsia" w:ascii="仿宋" w:hAnsi="仿宋" w:eastAsia="仿宋" w:cs="仿宋"/>
                <w:color w:val="000000" w:themeColor="text1"/>
                <w:sz w:val="28"/>
                <w:szCs w:val="28"/>
                <w14:textFill>
                  <w14:solidFill>
                    <w14:schemeClr w14:val="tx1"/>
                  </w14:solidFill>
                </w14:textFill>
              </w:rPr>
              <w:t xml:space="preserve">http://czj.xz.gov.cn/Home/HomeIndex）--业务工作--用户登录，点击“苏采云”进入系统“开标大厅”。</w:t>
            </w:r>
            <w:r>
              <w:rPr>
                <w:rFonts w:hint="eastAsia" w:ascii="仿宋" w:hAnsi="仿宋" w:eastAsia="仿宋" w:cs="仿宋"/>
                <w:color w:val="000000" w:themeColor="text1"/>
                <w:sz w:val="28"/>
                <w:szCs w:val="28"/>
                <w14:textFill>
                  <w14:solidFill>
                    <w14:schemeClr w14:val="tx1"/>
                  </w14:solidFill>
                </w14:textFill>
              </w:rPr>
              <w:fldChar w:fldCharType="end"/>
            </w:r>
            <w:r/>
          </w:p>
          <w:p>
            <w:pPr>
              <w:pStyle w:val="941"/>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94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94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94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26"/>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p>
        </w:tc>
      </w:tr>
    </w:tbl>
    <w:p>
      <w:pPr>
        <w:ind w:firstLine="600"/>
        <w:spacing w:line="23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ind w:firstLine="600"/>
        <w:spacing w:line="23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ind w:firstLine="2377"/>
        <w:spacing w:line="520" w:lineRule="exact"/>
        <w:tabs>
          <w:tab w:val="left" w:pos="2235" w:leader="none"/>
        </w:tabs>
        <w:rPr>
          <w:rFonts w:hint="eastAsia" w:ascii="仿宋" w:hAnsi="仿宋" w:eastAsia="仿宋" w:cs="仿宋"/>
          <w:color w:val="000000"/>
          <w:sz w:val="32"/>
          <w:szCs w:val="32"/>
        </w:rPr>
      </w:pPr>
      <w:r>
        <w:rPr>
          <w:rFonts w:hint="eastAsia" w:ascii="仿宋" w:hAnsi="仿宋" w:eastAsia="仿宋" w:cs="仿宋"/>
          <w:b/>
          <w:bCs/>
          <w:sz w:val="32"/>
          <w:szCs w:val="32"/>
        </w:rPr>
        <w:t xml:space="preserve">本章附件：招标代理服务收费标准</w:t>
      </w:r>
      <w:r/>
    </w:p>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53"/>
        <w:rPr>
          <w:rFonts w:hint="eastAsia" w:ascii="仿宋" w:hAnsi="仿宋" w:eastAsia="仿宋" w:cs="仿宋"/>
          <w:highlight w:val="none"/>
        </w:rPr>
      </w:pPr>
      <w:r>
        <w:rPr>
          <w:rFonts w:hint="eastAsia" w:ascii="仿宋" w:hAnsi="仿宋" w:eastAsia="仿宋" w:cs="仿宋"/>
          <w:highlight w:val="none"/>
        </w:rPr>
      </w:r>
      <w:r/>
    </w:p>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749"/>
        <w:tblW w:w="8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中标金额</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服务</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工程</w:t>
            </w:r>
            <w:r/>
          </w:p>
        </w:tc>
        <w:tc>
          <w:tcPr>
            <w:tcW w:w="197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收费上</w:t>
            </w:r>
            <w:r>
              <w:rPr>
                <w:rFonts w:hint="eastAsia" w:ascii="仿宋" w:hAnsi="仿宋" w:eastAsia="仿宋" w:cs="仿宋"/>
                <w:color w:val="000000"/>
                <w:sz w:val="28"/>
                <w:szCs w:val="28"/>
                <w:lang w:val="en-US" w:eastAsia="zh-CN"/>
              </w:rPr>
              <w:t xml:space="preserve">下</w:t>
            </w:r>
            <w:r>
              <w:rPr>
                <w:rFonts w:hint="eastAsia" w:ascii="仿宋" w:hAnsi="仿宋" w:eastAsia="仿宋" w:cs="仿宋"/>
                <w:color w:val="000000"/>
                <w:sz w:val="28"/>
                <w:szCs w:val="28"/>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最低5千元</w:t>
            </w:r>
            <w:r/>
          </w:p>
          <w:p>
            <w:pPr>
              <w:keepLines w:val="0"/>
              <w:keepNext w:val="0"/>
              <w:pageBreakBefore w:val="0"/>
              <w:spacing w:line="600" w:lineRule="exact"/>
              <w:widowControl/>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最高15万元</w:t>
            </w:r>
            <w:r/>
          </w:p>
          <w:p>
            <w:pPr>
              <w:ind w:firstLine="28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l000万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5000万</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l亿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10亿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10亿</w:t>
            </w:r>
            <w:r>
              <w:rPr>
                <w:rFonts w:hint="eastAsia" w:ascii="仿宋" w:hAnsi="仿宋" w:eastAsia="仿宋" w:cs="仿宋"/>
                <w:color w:val="333333"/>
                <w:sz w:val="28"/>
                <w:szCs w:val="28"/>
              </w:rPr>
              <w:t xml:space="preserve">~</w:t>
            </w:r>
            <w:r>
              <w:rPr>
                <w:rFonts w:hint="eastAsia" w:ascii="仿宋" w:hAnsi="仿宋" w:eastAsia="仿宋" w:cs="仿宋"/>
                <w:color w:val="000000"/>
                <w:sz w:val="28"/>
                <w:szCs w:val="28"/>
              </w:rPr>
              <w:t xml:space="preserve">50亿</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w:t>
            </w:r>
            <w:r>
              <w:rPr>
                <w:rFonts w:hint="eastAsia" w:ascii="仿宋" w:hAnsi="仿宋" w:eastAsia="仿宋" w:cs="仿宋"/>
                <w:color w:val="333333"/>
                <w:sz w:val="28"/>
                <w:szCs w:val="28"/>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说明：</w:t>
      </w:r>
      <w:r/>
    </w:p>
    <w:p>
      <w:pPr>
        <w:ind w:firstLine="677"/>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1.按上表计算的收费为代理服务全过程的收费金额。</w:t>
      </w:r>
      <w:r>
        <w:rPr>
          <w:rFonts w:hint="eastAsia" w:ascii="仿宋" w:hAnsi="仿宋" w:eastAsia="仿宋" w:cs="仿宋"/>
          <w:color w:val="000000"/>
          <w:sz w:val="28"/>
          <w:szCs w:val="28"/>
          <w:lang w:val="en-US" w:eastAsia="zh-CN"/>
        </w:rPr>
        <w:t xml:space="preserve">各社会代理机构</w:t>
      </w:r>
      <w:r>
        <w:rPr>
          <w:rFonts w:hint="eastAsia" w:ascii="仿宋" w:hAnsi="仿宋" w:eastAsia="仿宋" w:cs="仿宋"/>
          <w:color w:val="000000"/>
          <w:sz w:val="28"/>
          <w:szCs w:val="28"/>
        </w:rPr>
        <w:t xml:space="preserve">不</w:t>
      </w:r>
      <w:r>
        <w:rPr>
          <w:rFonts w:hint="eastAsia" w:ascii="仿宋" w:hAnsi="仿宋" w:eastAsia="仿宋" w:cs="仿宋"/>
          <w:color w:val="000000"/>
          <w:sz w:val="28"/>
          <w:szCs w:val="28"/>
          <w:lang w:val="en-US" w:eastAsia="zh-CN"/>
        </w:rPr>
        <w:t xml:space="preserve">再</w:t>
      </w:r>
      <w:r>
        <w:rPr>
          <w:rFonts w:hint="eastAsia" w:ascii="仿宋" w:hAnsi="仿宋" w:eastAsia="仿宋" w:cs="仿宋"/>
          <w:color w:val="000000"/>
          <w:sz w:val="28"/>
          <w:szCs w:val="28"/>
        </w:rPr>
        <w:t xml:space="preserve">收取采购文件制作售卖费用。</w:t>
      </w:r>
      <w:r/>
    </w:p>
    <w:p>
      <w:pPr>
        <w:ind w:firstLine="630"/>
        <w:keepLines w:val="0"/>
        <w:keepNext w:val="0"/>
        <w:pageBreakBefore w:val="0"/>
        <w:spacing w:line="600" w:lineRule="exact"/>
        <w:tabs>
          <w:tab w:val="left" w:pos="84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2.代理服务费按差额定率累进法计算。</w:t>
      </w:r>
      <w:r/>
    </w:p>
    <w:p>
      <w:pPr>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3.代理服务费基准金额（按差额定率累进法计算的）=中标金额（按差额定率累进法计算的） * 费率（%）</w:t>
      </w:r>
      <w:r/>
    </w:p>
    <w:p>
      <w:pPr>
        <w:ind w:left="67"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4.代理服务费应收取金额=代理服务费基准金额（按差额定率累进法计算的）的合计数。</w:t>
      </w:r>
      <w:r/>
    </w:p>
    <w:p>
      <w:pPr>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5.计算出的代理服务费应收取金额如低于</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千元，按</w:t>
      </w: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千元收取；如高于</w:t>
      </w:r>
      <w:r>
        <w:rPr>
          <w:rFonts w:hint="eastAsia" w:ascii="仿宋" w:hAnsi="仿宋" w:eastAsia="仿宋" w:cs="仿宋"/>
          <w:color w:val="000000"/>
          <w:sz w:val="28"/>
          <w:szCs w:val="28"/>
          <w:lang w:val="en-US" w:eastAsia="zh-CN"/>
        </w:rPr>
        <w:t xml:space="preserve">15万元，按15万元收取。</w:t>
      </w:r>
      <w:r/>
    </w:p>
    <w:p>
      <w:pPr>
        <w:ind w:left="-1" w:firstLine="560"/>
        <w:keepLines w:val="0"/>
        <w:keepNext w:val="0"/>
        <w:pageBreakBefore w:val="0"/>
        <w:spacing w:line="6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w:t>
      </w:r>
      <w:r>
        <w:rPr>
          <w:rFonts w:hint="eastAsia" w:ascii="仿宋" w:hAnsi="仿宋" w:eastAsia="仿宋" w:cs="仿宋"/>
          <w:color w:val="000000"/>
          <w:sz w:val="28"/>
          <w:szCs w:val="28"/>
          <w:lang w:val="en-US" w:eastAsia="zh-CN"/>
        </w:rPr>
        <w:t xml:space="preserve">定点类等无金额或事先不能计算出价格总额的</w:t>
      </w:r>
      <w:r>
        <w:rPr>
          <w:rFonts w:hint="eastAsia" w:ascii="仿宋" w:hAnsi="仿宋" w:eastAsia="仿宋" w:cs="仿宋"/>
          <w:color w:val="000000"/>
          <w:sz w:val="28"/>
          <w:szCs w:val="28"/>
        </w:rPr>
        <w:t xml:space="preserve">项目，</w:t>
      </w:r>
      <w:r>
        <w:rPr>
          <w:rFonts w:hint="eastAsia" w:ascii="仿宋" w:hAnsi="仿宋" w:eastAsia="仿宋" w:cs="仿宋"/>
          <w:color w:val="000000"/>
          <w:sz w:val="28"/>
          <w:szCs w:val="28"/>
          <w:lang w:val="en-US" w:eastAsia="zh-CN"/>
        </w:rPr>
        <w:t xml:space="preserve">按</w:t>
      </w:r>
      <w:r>
        <w:rPr>
          <w:rFonts w:hint="eastAsia" w:ascii="仿宋" w:hAnsi="仿宋" w:eastAsia="仿宋" w:cs="仿宋"/>
          <w:color w:val="000000"/>
          <w:sz w:val="28"/>
          <w:szCs w:val="28"/>
        </w:rPr>
        <w:t xml:space="preserve">中标（成交）金额</w:t>
      </w:r>
      <w:r>
        <w:rPr>
          <w:rFonts w:hint="eastAsia" w:ascii="仿宋" w:hAnsi="仿宋" w:eastAsia="仿宋" w:cs="仿宋"/>
          <w:color w:val="000000"/>
          <w:sz w:val="28"/>
          <w:szCs w:val="28"/>
          <w:lang w:val="en-US" w:eastAsia="zh-CN"/>
        </w:rPr>
        <w:t xml:space="preserve">100</w:t>
      </w:r>
      <w:r>
        <w:rPr>
          <w:rFonts w:hint="eastAsia" w:ascii="仿宋" w:hAnsi="仿宋" w:eastAsia="仿宋" w:cs="仿宋"/>
          <w:color w:val="000000"/>
          <w:sz w:val="28"/>
          <w:szCs w:val="28"/>
        </w:rPr>
        <w:t xml:space="preserve">万元计算</w:t>
      </w:r>
      <w:r>
        <w:rPr>
          <w:rFonts w:hint="eastAsia" w:ascii="仿宋" w:hAnsi="仿宋" w:eastAsia="仿宋" w:cs="仿宋"/>
          <w:color w:val="000000"/>
          <w:sz w:val="28"/>
          <w:szCs w:val="28"/>
          <w:lang w:val="en-US" w:eastAsia="zh-CN"/>
        </w:rPr>
        <w:t xml:space="preserve">服务费</w:t>
      </w:r>
      <w:r>
        <w:rPr>
          <w:rFonts w:hint="eastAsia" w:ascii="仿宋" w:hAnsi="仿宋" w:eastAsia="仿宋" w:cs="仿宋"/>
          <w:color w:val="000000"/>
          <w:sz w:val="28"/>
          <w:szCs w:val="28"/>
        </w:rPr>
        <w:t xml:space="preserve">。</w:t>
      </w:r>
      <w:r/>
    </w:p>
    <w:p>
      <w:pPr>
        <w:ind w:firstLine="630"/>
        <w:keepLines w:val="0"/>
        <w:keepNext w:val="0"/>
        <w:pageBreakBefore w:val="0"/>
        <w:spacing w:line="600" w:lineRule="exact"/>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7.多个采购包（标段）项目按总项目中标（成交）金额收费，最高不超过15万元。</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.账户信息：收款人：江苏友信招标代理有限公司 </w:t>
      </w:r>
      <w:r/>
    </w:p>
    <w:p>
      <w:pPr>
        <w:ind w:firstLine="720"/>
        <w:spacing w:line="560" w:lineRule="exact"/>
        <w:rPr>
          <w:rFonts w:hint="eastAsia" w:ascii="仿宋" w:hAnsi="仿宋" w:eastAsia="仿宋" w:cs="仿宋"/>
          <w:sz w:val="28"/>
          <w:szCs w:val="28"/>
        </w:rPr>
      </w:pPr>
      <w:r>
        <w:rPr>
          <w:rFonts w:hint="eastAsia" w:ascii="仿宋" w:hAnsi="仿宋" w:eastAsia="仿宋" w:cs="仿宋"/>
          <w:sz w:val="28"/>
          <w:szCs w:val="28"/>
        </w:rPr>
        <w:t xml:space="preserve">户银行：</w:t>
      </w:r>
      <w:r>
        <w:rPr>
          <w:rFonts w:hint="eastAsia" w:ascii="仿宋" w:hAnsi="仿宋" w:eastAsia="仿宋" w:cs="仿宋"/>
          <w:sz w:val="28"/>
          <w:szCs w:val="28"/>
          <w:lang w:eastAsia="zh-CN"/>
        </w:rPr>
        <w:t xml:space="preserve">徐州</w:t>
      </w:r>
      <w:r>
        <w:rPr>
          <w:rFonts w:hint="eastAsia" w:ascii="仿宋" w:hAnsi="仿宋" w:eastAsia="仿宋" w:cs="仿宋"/>
          <w:sz w:val="28"/>
          <w:szCs w:val="28"/>
        </w:rPr>
        <w:t xml:space="preserve">农村商业银行北京路支行 </w:t>
      </w:r>
      <w:r/>
    </w:p>
    <w:p>
      <w:pPr>
        <w:ind w:firstLine="720"/>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p>
    <w:p>
      <w:pPr>
        <w:jc w:val="center"/>
        <w:spacing w:line="360" w:lineRule="auto"/>
        <w:rPr>
          <w:rFonts w:hint="eastAsia" w:ascii="宋体" w:hAnsi="宋体" w:cs="宋体"/>
          <w:color w:val="000000"/>
        </w:rPr>
      </w:pPr>
      <w:r>
        <w:rPr>
          <w:rFonts w:hint="eastAsia" w:ascii="宋体" w:hAnsi="宋体" w:cs="宋体"/>
          <w:color w:val="000000"/>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p>
    <w:tbl>
      <w:tblPr>
        <w:tblStyle w:val="989"/>
        <w:tblW w:w="974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809"/>
        </w:trPr>
        <w:tc>
          <w:tcPr>
            <w:gridSpan w:val="2"/>
            <w:tcMar>
              <w:left w:w="108" w:type="dxa"/>
              <w:top w:w="0" w:type="dxa"/>
              <w:right w:w="108" w:type="dxa"/>
              <w:bottom w:w="0" w:type="dxa"/>
            </w:tcMar>
            <w:tcW w:w="3280" w:type="dxa"/>
            <w:vAlign w:val="center"/>
            <w:textDirection w:val="lrTb"/>
            <w:noWrap w:val="false"/>
          </w:tcPr>
          <w:p>
            <w:pPr>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评分项目</w:t>
            </w:r>
            <w:r/>
          </w:p>
        </w:tc>
        <w:tc>
          <w:tcPr>
            <w:tcMar>
              <w:left w:w="108" w:type="dxa"/>
              <w:top w:w="0" w:type="dxa"/>
              <w:right w:w="108" w:type="dxa"/>
              <w:bottom w:w="0" w:type="dxa"/>
            </w:tcMar>
            <w:tcW w:w="6466" w:type="dxa"/>
            <w:vAlign w:val="center"/>
            <w:textDirection w:val="lrTb"/>
            <w:noWrap w:val="false"/>
          </w:tcPr>
          <w:p>
            <w:pPr>
              <w:ind w:firstLine="1446"/>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评分细则</w:t>
            </w:r>
            <w:r/>
          </w:p>
        </w:tc>
      </w:tr>
      <w:tr>
        <w:trPr>
          <w:trHeight w:val="1496"/>
        </w:trPr>
        <w:tc>
          <w:tcPr>
            <w:gridSpan w:val="2"/>
            <w:tcMar>
              <w:left w:w="108" w:type="dxa"/>
              <w:top w:w="0" w:type="dxa"/>
              <w:right w:w="108" w:type="dxa"/>
              <w:bottom w:w="0" w:type="dxa"/>
            </w:tcMar>
            <w:tcW w:w="3280"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w:t>
            </w:r>
            <w:r>
              <w:rPr>
                <w:rFonts w:hint="eastAsia" w:ascii="仿宋" w:hAnsi="仿宋" w:eastAsia="仿宋" w:cs="仿宋"/>
                <w:color w:val="000000"/>
                <w:sz w:val="24"/>
                <w:szCs w:val="24"/>
                <w:lang w:eastAsia="zh-CN"/>
              </w:rPr>
              <w:t xml:space="preserve">报价</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（30分）</w:t>
            </w:r>
            <w:r/>
          </w:p>
        </w:tc>
        <w:tc>
          <w:tcPr>
            <w:tcMar>
              <w:left w:w="108" w:type="dxa"/>
              <w:top w:w="0" w:type="dxa"/>
              <w:right w:w="108" w:type="dxa"/>
              <w:bottom w:w="0" w:type="dxa"/>
            </w:tcMar>
            <w:tcW w:w="6466" w:type="dxa"/>
            <w:vAlign w:val="center"/>
            <w:textDirection w:val="lrTb"/>
            <w:noWrap w:val="false"/>
          </w:tcPr>
          <w:p>
            <w:pPr>
              <w:pStyle w:val="959"/>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采用低价优先法计算，即满足招标文件要求且投标人评审价格最低的投标报价为评标基准价，其价格得分为满分。</w:t>
            </w:r>
            <w:r/>
          </w:p>
          <w:p>
            <w:pPr>
              <w:pStyle w:val="959"/>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各投标人价格得分=最低报价（投标人的最低评审价格）÷各投标人评审价格×</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0。（按四舍五入取至小数点后两位）</w:t>
            </w:r>
            <w:r/>
          </w:p>
        </w:tc>
      </w:tr>
      <w:tr>
        <w:trPr>
          <w:trHeight w:val="1696"/>
        </w:trPr>
        <w:tc>
          <w:tcPr>
            <w:tcMar>
              <w:left w:w="108" w:type="dxa"/>
              <w:top w:w="0" w:type="dxa"/>
              <w:right w:w="108" w:type="dxa"/>
              <w:bottom w:w="0" w:type="dxa"/>
            </w:tcMar>
            <w:tcW w:w="1579"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p>
        </w:tc>
        <w:tc>
          <w:tcPr>
            <w:tcMar>
              <w:left w:w="108" w:type="dxa"/>
              <w:top w:w="0" w:type="dxa"/>
              <w:right w:w="108" w:type="dxa"/>
              <w:bottom w:w="0" w:type="dxa"/>
            </w:tcMar>
            <w:tcW w:w="1701"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项目业绩</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（4分）</w:t>
            </w:r>
            <w:r/>
          </w:p>
        </w:tc>
        <w:tc>
          <w:tcPr>
            <w:tcMar>
              <w:left w:w="108" w:type="dxa"/>
              <w:top w:w="0" w:type="dxa"/>
              <w:right w:w="108" w:type="dxa"/>
              <w:bottom w:w="0" w:type="dxa"/>
            </w:tcMar>
            <w:tcW w:w="6466"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投标文件中提供投标人为乙方，合同签订日期在2021年</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月1日以后，合同内容为相同或类似产品的项目业绩，每提供一份项目业绩合同的得2分，本项最高得4分。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1579" w:type="dxa"/>
            <w:vAlign w:val="center"/>
            <w:vMerge w:val="restart"/>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部分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Mar>
              <w:left w:w="108" w:type="dxa"/>
              <w:top w:w="0" w:type="dxa"/>
              <w:right w:w="108" w:type="dxa"/>
              <w:bottom w:w="0" w:type="dxa"/>
            </w:tcMar>
            <w:tcW w:w="1701"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设备、工艺流程，包装标识、使用说明书</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p>
        </w:tc>
        <w:tc>
          <w:tcPr>
            <w:tcMar>
              <w:left w:w="108" w:type="dxa"/>
              <w:top w:w="0" w:type="dxa"/>
              <w:right w:w="108" w:type="dxa"/>
              <w:bottom w:w="0" w:type="dxa"/>
            </w:tcMar>
            <w:tcW w:w="6466" w:type="dxa"/>
            <w:vAlign w:val="top"/>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根据投标文件中提供的所投产品生产商具备的主要设备、工艺流程、包装标识、使用说明书等内容进行综合评审：</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1、设备、工艺流程（</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设备、工艺流程先进、完全符合项目要求的得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设备、工艺流程一般，基本符合项目要求的得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设备老旧及工艺流程过时，不能满足项目要求的得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未提供相关材料和内容不得分。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2、包装标识、使用说明书（</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包装标识符合标准、使用说明书完整的得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包装标识符合标准、使用说明书不完整的得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p>
        </w:tc>
      </w:tr>
      <w:tr>
        <w:trPr>
          <w:trHeight w:val="663"/>
        </w:trPr>
        <w:tc>
          <w:tcPr>
            <w:tcW w:w="1579" w:type="dxa"/>
            <w:vAlign w:val="top"/>
            <w:vMerge w:val="continue"/>
            <w:textDirection w:val="lrTb"/>
            <w:noWrap w:val="false"/>
          </w:tcPr>
          <w:p>
            <w:pP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质量控制措施（1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w:t>
            </w:r>
            <w:r/>
          </w:p>
        </w:tc>
        <w:tc>
          <w:tcPr>
            <w:tcMar>
              <w:left w:w="108" w:type="dxa"/>
              <w:top w:w="0" w:type="dxa"/>
              <w:right w:w="108" w:type="dxa"/>
              <w:bottom w:w="0" w:type="dxa"/>
            </w:tcMar>
            <w:tcW w:w="6466"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根据质量控制措施的内容全面性、可行性、针对性进行评价。</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分）：全面具体详实得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分；较全面得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分；存在较大漏项或缺陷得1分。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分；较切实可行得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分；可行性欠缺得1分。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分；针对性较强得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分；针对性不强得1分。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分，最低得0分。</w:t>
            </w:r>
            <w:r/>
          </w:p>
        </w:tc>
      </w:tr>
      <w:tr>
        <w:trPr>
          <w:trHeight w:val="1185"/>
        </w:trPr>
        <w:tc>
          <w:tcPr>
            <w:tcW w:w="1579" w:type="dxa"/>
            <w:vAlign w:val="top"/>
            <w:vMerge w:val="continue"/>
            <w:textDirection w:val="lrTb"/>
            <w:noWrap w:val="false"/>
          </w:tcPr>
          <w:p>
            <w:pP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项目实施方案</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tc>
        <w:tc>
          <w:tcPr>
            <w:tcMar>
              <w:left w:w="108" w:type="dxa"/>
              <w:top w:w="0" w:type="dxa"/>
              <w:right w:w="108" w:type="dxa"/>
              <w:bottom w:w="0" w:type="dxa"/>
            </w:tcMar>
            <w:tcW w:w="6466"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根据投标文件中的项目实施方案，进行综合打分：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1、供货方案（</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供货方案合理、可行，完全满足项目要求的得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供货方案较合理、基本可行的得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供货方案不合理、可行性欠缺的得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不提供不得分。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2、组织实施方案（8分）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组织实施方案方案科学合理、可操作性强的得8分；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组织实施方案较科学合理、可操作性较强的得</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组织实施方案一般、可操作性一般的得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不提供的不得分。</w:t>
            </w:r>
            <w:r/>
          </w:p>
        </w:tc>
      </w:tr>
      <w:tr>
        <w:trPr>
          <w:trHeight w:val="90"/>
        </w:trPr>
        <w:tc>
          <w:tcPr>
            <w:tcW w:w="1579" w:type="dxa"/>
            <w:vAlign w:val="top"/>
            <w:vMerge w:val="continue"/>
            <w:textDirection w:val="lrTb"/>
            <w:noWrap w:val="false"/>
          </w:tcPr>
          <w:p>
            <w:pP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技术指导方案</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tc>
        <w:tc>
          <w:tcPr>
            <w:tcMar>
              <w:left w:w="108" w:type="dxa"/>
              <w:top w:w="0" w:type="dxa"/>
              <w:right w:w="108" w:type="dxa"/>
              <w:bottom w:w="0" w:type="dxa"/>
            </w:tcMar>
            <w:tcW w:w="6466"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根据技术指导方案的内容全面性、可行性、针对性进行评价。</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针对性（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分）：针对性强得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分；针对性较强得2分；针对性不强得1分。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售后服务方案（</w:t>
            </w:r>
            <w:r>
              <w:rPr>
                <w:rFonts w:hint="eastAsia" w:ascii="仿宋" w:hAnsi="仿宋" w:eastAsia="仿宋" w:cs="仿宋"/>
                <w:color w:val="000000"/>
                <w:sz w:val="24"/>
                <w:szCs w:val="24"/>
                <w:lang w:val="en-US" w:eastAsia="zh-CN"/>
              </w:rPr>
              <w:t xml:space="preserve">8分</w:t>
            </w:r>
            <w:r>
              <w:rPr>
                <w:rFonts w:hint="eastAsia" w:ascii="仿宋" w:hAnsi="仿宋" w:eastAsia="仿宋" w:cs="仿宋"/>
                <w:color w:val="000000"/>
                <w:sz w:val="24"/>
                <w:szCs w:val="24"/>
              </w:rPr>
              <w:t xml:space="preserve">）</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Mar>
              <w:left w:w="108" w:type="dxa"/>
              <w:top w:w="0" w:type="dxa"/>
              <w:right w:w="108" w:type="dxa"/>
              <w:bottom w:w="0" w:type="dxa"/>
            </w:tcMar>
            <w:tcW w:w="6466"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根据售后服务方案的内容全面性、可行性进行评价。</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全面性（4分）：全面具体详实得4分；较全面得2分；存在较大漏项或缺陷得1分。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可行性（</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分）：切实可行得</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分；较切实可行得2分；可行性欠缺得1分。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rPr>
                <w:rFonts w:hint="eastAsia" w:ascii="仿宋" w:hAnsi="仿宋" w:eastAsia="仿宋" w:cs="仿宋"/>
                <w:color w:val="ff0000"/>
                <w:sz w:val="24"/>
                <w:szCs w:val="24"/>
              </w:rPr>
            </w:pPr>
            <w:r>
              <w:rPr>
                <w:rFonts w:hint="eastAsia" w:ascii="仿宋" w:hAnsi="仿宋" w:eastAsia="仿宋" w:cs="仿宋"/>
                <w:color w:val="ff0000"/>
                <w:sz w:val="24"/>
                <w:szCs w:val="24"/>
              </w:rPr>
            </w:r>
            <w:r/>
          </w:p>
        </w:tc>
        <w:tc>
          <w:tcPr>
            <w:tcMar>
              <w:left w:w="108" w:type="dxa"/>
              <w:top w:w="0" w:type="dxa"/>
              <w:right w:w="108" w:type="dxa"/>
              <w:bottom w:w="0" w:type="dxa"/>
            </w:tcMar>
            <w:tcW w:w="1701" w:type="dxa"/>
            <w:vAlign w:val="center"/>
            <w:textDirection w:val="lrTb"/>
            <w:noWrap w:val="false"/>
          </w:tcPr>
          <w:p>
            <w:pPr>
              <w:pStyle w:val="959"/>
              <w:ind w:left="-106" w:hanging="1"/>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7分</w:t>
            </w:r>
            <w:r>
              <w:rPr>
                <w:rFonts w:hint="eastAsia" w:ascii="仿宋" w:hAnsi="仿宋" w:eastAsia="仿宋" w:cs="仿宋"/>
                <w:color w:val="000000"/>
                <w:sz w:val="24"/>
                <w:szCs w:val="24"/>
                <w:lang w:eastAsia="zh-CN"/>
              </w:rPr>
              <w:t xml:space="preserve">）</w:t>
            </w:r>
            <w:r/>
          </w:p>
        </w:tc>
        <w:tc>
          <w:tcPr>
            <w:tcMar>
              <w:left w:w="108" w:type="dxa"/>
              <w:top w:w="0" w:type="dxa"/>
              <w:right w:w="108" w:type="dxa"/>
              <w:bottom w:w="0" w:type="dxa"/>
            </w:tcMar>
            <w:tcW w:w="6466" w:type="dxa"/>
            <w:vAlign w:val="center"/>
            <w:textDirection w:val="lrTb"/>
            <w:noWrap w:val="false"/>
          </w:tcPr>
          <w:p>
            <w:pPr>
              <w:pStyle w:val="976"/>
              <w:spacing w:line="24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7分</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全面、可行的得7分；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较全面、较可行的得4分；</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方案</w:t>
            </w:r>
            <w:r>
              <w:rPr>
                <w:rFonts w:hint="eastAsia" w:ascii="仿宋" w:hAnsi="仿宋" w:eastAsia="仿宋" w:cs="仿宋"/>
                <w:color w:val="000000"/>
                <w:sz w:val="24"/>
                <w:szCs w:val="24"/>
                <w:lang w:val="en-US" w:eastAsia="zh-CN"/>
              </w:rPr>
              <w:t xml:space="preserve">全面性、可行性、欠缺的得2分。不提供不得分。</w:t>
            </w:r>
            <w:r/>
          </w:p>
          <w:p>
            <w:pPr>
              <w:pStyle w:val="955"/>
              <w:rPr>
                <w:rFonts w:hint="eastAsia"/>
                <w:color w:val="000000"/>
              </w:rPr>
            </w:pPr>
            <w:r>
              <w:rPr>
                <w:rFonts w:hint="eastAsia" w:ascii="仿宋" w:hAnsi="仿宋" w:eastAsia="仿宋" w:cs="仿宋"/>
                <w:color w:val="000000"/>
                <w:sz w:val="24"/>
                <w:szCs w:val="24"/>
              </w:rPr>
              <w:t xml:space="preserve">未提供的得0分，本项最高得</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分，最低得0分。</w:t>
            </w:r>
            <w:r/>
          </w:p>
        </w:tc>
      </w:tr>
    </w:tbl>
    <w:p>
      <w:pPr>
        <w:pStyle w:val="959"/>
        <w:rPr>
          <w:rFonts w:hint="eastAsia" w:ascii="仿宋" w:hAnsi="仿宋" w:eastAsia="仿宋" w:cs="仿宋"/>
          <w:b w:val="0"/>
          <w:bCs w:val="0"/>
          <w:color w:val="ff0000"/>
          <w:sz w:val="24"/>
        </w:rPr>
      </w:pPr>
      <w:r>
        <w:rPr>
          <w:rFonts w:hint="eastAsia" w:ascii="仿宋" w:hAnsi="仿宋" w:eastAsia="仿宋" w:cs="仿宋"/>
          <w:b w:val="0"/>
          <w:bCs w:val="0"/>
          <w:color w:val="ff0000"/>
          <w:sz w:val="24"/>
        </w:rPr>
      </w:r>
      <w:r/>
    </w:p>
    <w:p>
      <w:pPr>
        <w:pStyle w:val="959"/>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959"/>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p>
    <w:p>
      <w:pPr>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933"/>
        <w:rPr>
          <w:rFonts w:hint="eastAsia" w:ascii="仿宋" w:hAnsi="仿宋" w:eastAsia="仿宋" w:cs="仿宋"/>
          <w:sz w:val="28"/>
          <w:szCs w:val="28"/>
        </w:rPr>
      </w:pPr>
      <w:r>
        <w:rPr>
          <w:rFonts w:hint="eastAsia" w:ascii="仿宋" w:hAnsi="仿宋" w:eastAsia="仿宋" w:cs="仿宋"/>
          <w:sz w:val="28"/>
          <w:szCs w:val="28"/>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2024年中央农业防灾减灾和水利救灾资金农作物重大病虫害防控</w:t>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JSZC-320312-YXYX-G2024-0017</w:t>
      </w:r>
      <w:r/>
    </w:p>
    <w:p>
      <w:pPr>
        <w:pStyle w:val="929"/>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 </w:t>
      </w:r>
      <w:r/>
    </w:p>
    <w:p>
      <w:pPr>
        <w:pStyle w:val="929"/>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883"/>
        <w:jc w:val="center"/>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  购  人：</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成交供应商：</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929"/>
        <w:jc w:val="both"/>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p>
    <w:p>
      <w:pPr>
        <w:pStyle w:val="941"/>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p>
    <w:p>
      <w:pPr>
        <w:pStyle w:val="941"/>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p>
    <w:p>
      <w:pPr>
        <w:pStyle w:val="941"/>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p>
    <w:p>
      <w:pPr>
        <w:pStyle w:val="941"/>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p>
    <w:p>
      <w:pPr>
        <w:pStyle w:val="941"/>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968"/>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     本合同总金额为人民币大写金额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元（小写金额：</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lang w:eastAsia="zh-CN"/>
        </w:rPr>
        <w:t xml:space="preserve">元），经双方协商一致，选择以下第</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lang w:eastAsia="zh-CN"/>
        </w:rPr>
        <w:t xml:space="preserve"> </w:t>
      </w:r>
      <w:r>
        <w:rPr>
          <w:rFonts w:hint="eastAsia" w:ascii="仿宋" w:hAnsi="仿宋" w:eastAsia="仿宋" w:cs="仿宋"/>
          <w:color w:val="000000"/>
          <w:sz w:val="28"/>
          <w:szCs w:val="28"/>
          <w:lang w:eastAsia="zh-CN"/>
        </w:rPr>
        <w:t xml:space="preserve">种付款方式：</w:t>
      </w:r>
      <w:r/>
    </w:p>
    <w:p>
      <w:pPr>
        <w:pStyle w:val="941"/>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p>
    <w:p>
      <w:pPr>
        <w:pStyle w:val="941"/>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p>
    <w:p>
      <w:pPr>
        <w:pStyle w:val="941"/>
        <w:ind w:firstLine="540"/>
        <w:spacing w:line="520" w:lineRule="exact"/>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p>
    <w:p>
      <w:pPr>
        <w:pStyle w:val="941"/>
        <w:ind w:firstLine="542"/>
        <w:spacing w:line="52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p>
    <w:p>
      <w:pPr>
        <w:pStyle w:val="941"/>
        <w:ind w:firstLine="540"/>
        <w:spacing w:line="52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卖方出具的全额正式发票；</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5.2 交货地点为买方指定地点。</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5.3卖方应在不迟于每批合同标的备妥待运前</w:t>
      </w:r>
      <w:r>
        <w:rPr>
          <w:rFonts w:hint="eastAsia" w:ascii="仿宋" w:hAnsi="仿宋" w:eastAsia="仿宋" w:cs="仿宋"/>
          <w:color w:val="000000"/>
          <w:sz w:val="28"/>
          <w:szCs w:val="28"/>
          <w:u w:val="single"/>
        </w:rPr>
        <w:t xml:space="preserve"> 5</w:t>
      </w:r>
      <w:r>
        <w:rPr>
          <w:rFonts w:hint="eastAsia" w:ascii="仿宋" w:hAnsi="仿宋" w:eastAsia="仿宋" w:cs="仿宋"/>
          <w:color w:val="000000"/>
          <w:sz w:val="28"/>
          <w:szCs w:val="28"/>
        </w:rPr>
        <w:t xml:space="preserve">日通知买方。</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5.5如果卖方未能按照合同规定的交货期限交货，卖方应按每天迟交合同标的金额的百分之</w:t>
      </w:r>
      <w:r>
        <w:rPr>
          <w:rFonts w:hint="eastAsia" w:ascii="仿宋" w:hAnsi="仿宋" w:eastAsia="仿宋" w:cs="仿宋"/>
          <w:color w:val="000000"/>
          <w:sz w:val="28"/>
          <w:szCs w:val="28"/>
          <w:u w:val="single"/>
        </w:rPr>
        <w:t xml:space="preserve">一</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color w:val="000000"/>
          <w:sz w:val="28"/>
          <w:szCs w:val="28"/>
        </w:rPr>
        <w:t xml:space="preserve">%)的比率支付违约金。违约金的总金额不超过合同总价的百分之</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 ，违约金的支付不能免除卖方继续交付相关合同标的的义务。</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如果卖方在合同规定的交货期限后</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日内仍未能交付全部或部分标的，在不妨碍买方采取其他救济手段的情况下，买方可以向卖方发出书面违约通知从而全部或部分地终止合同。</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技术资料随合同标的同时交付给买方。</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color w:val="000000"/>
          <w:sz w:val="28"/>
          <w:szCs w:val="28"/>
        </w:rPr>
        <w:t xml:space="preserve">。</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 签订合同后，所有标的出厂需经买方验收后方可发货。</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 合同标的的验收应在卖方的协助下进行。合同标的全部交付完毕后，卖方可向买方书面提出验收要求，买方在接到书面要求后</w:t>
      </w:r>
      <w:r>
        <w:rPr>
          <w:rFonts w:hint="eastAsia" w:ascii="仿宋" w:hAnsi="仿宋" w:eastAsia="仿宋" w:cs="仿宋"/>
          <w:color w:val="000000"/>
          <w:sz w:val="28"/>
          <w:szCs w:val="28"/>
          <w:u w:val="single"/>
        </w:rPr>
        <w:t xml:space="preserve">10 </w:t>
      </w:r>
      <w:r>
        <w:rPr>
          <w:rFonts w:hint="eastAsia" w:ascii="仿宋" w:hAnsi="仿宋" w:eastAsia="仿宋" w:cs="仿宋"/>
          <w:color w:val="000000"/>
          <w:sz w:val="28"/>
          <w:szCs w:val="28"/>
        </w:rPr>
        <w:t xml:space="preserve">日进行验收。如果验收因卖方原因发生迟延和/ 或在其它情况下发生额外费用，买方有权就因迟延发生的损害和损失和/或任何额外费用请求赔偿。</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pStyle w:val="941"/>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w:t>
      </w:r>
      <w:r/>
    </w:p>
    <w:p>
      <w:pPr>
        <w:pStyle w:val="941"/>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941"/>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p>
    <w:p>
      <w:pPr>
        <w:pStyle w:val="941"/>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p>
    <w:p>
      <w:pPr>
        <w:pStyle w:val="941"/>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941"/>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p>
    <w:p>
      <w:pPr>
        <w:pStyle w:val="941"/>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941"/>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p>
    <w:p>
      <w:pPr>
        <w:pStyle w:val="941"/>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p>
    <w:p>
      <w:pPr>
        <w:pStyle w:val="941"/>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p>
    <w:p>
      <w:pPr>
        <w:pStyle w:val="941"/>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p>
    <w:p>
      <w:pPr>
        <w:pStyle w:val="941"/>
        <w:jc w:val="right"/>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p>
    <w:p>
      <w:pPr>
        <w:pStyle w:val="941"/>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JSZC-320312-YXYX-G2024-0017</w:t>
      </w:r>
      <w:r>
        <w:rPr>
          <w:rFonts w:hint="eastAsia" w:ascii="仿宋" w:hAnsi="仿宋" w:eastAsia="仿宋" w:cs="仿宋"/>
          <w:color w:val="000000" w:themeColor="text1"/>
          <w:sz w:val="28"/>
          <w:szCs w:val="28"/>
          <w14:textFill>
            <w14:solidFill>
              <w14:schemeClr w14:val="tx1"/>
            </w14:solidFill>
          </w14:textFill>
        </w:rPr>
        <w:t xml:space="preserve">）的投标。买</w:t>
      </w:r>
      <w:r>
        <w:rPr>
          <w:rFonts w:hint="eastAsia" w:ascii="仿宋" w:hAnsi="仿宋" w:eastAsia="仿宋" w:cs="仿宋"/>
          <w:color w:val="000000"/>
          <w:sz w:val="28"/>
          <w:szCs w:val="28"/>
        </w:rPr>
        <w:t xml:space="preserve">方和卖方共同达成如下协议。</w:t>
      </w:r>
      <w:r/>
    </w:p>
    <w:p>
      <w:pPr>
        <w:pStyle w:val="941"/>
        <w:numPr>
          <w:ilvl w:val="0"/>
          <w:numId w:val="3"/>
        </w:numP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p>
    <w:p>
      <w:pPr>
        <w:pStyle w:val="941"/>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p>
    <w:p>
      <w:pPr>
        <w:pStyle w:val="941"/>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p>
    <w:p>
      <w:pPr>
        <w:pStyle w:val="941"/>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p>
    <w:p>
      <w:pPr>
        <w:pStyle w:val="941"/>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p>
    <w:p>
      <w:pPr>
        <w:pStyle w:val="941"/>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p>
    <w:p>
      <w:pPr>
        <w:pStyle w:val="941"/>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p>
    <w:p>
      <w:pPr>
        <w:pStyle w:val="941"/>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p>
    <w:p>
      <w:pPr>
        <w:pStyle w:val="941"/>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p>
    <w:p>
      <w:pPr>
        <w:pStyle w:val="941"/>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p>
    <w:p>
      <w:pPr>
        <w:pStyle w:val="941"/>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p>
    <w:p>
      <w:pPr>
        <w:pStyle w:val="941"/>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p>
    <w:p>
      <w:pPr>
        <w:pStyle w:val="941"/>
        <w:ind w:firstLine="36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JSZC-320312-YXYX-G2024-0017</w:t>
      </w:r>
      <w:r>
        <w:rPr>
          <w:rFonts w:hint="eastAsia" w:ascii="仿宋" w:hAnsi="仿宋" w:eastAsia="仿宋" w:cs="仿宋"/>
          <w:bCs/>
          <w:color w:val="000000" w:themeColor="text1"/>
          <w:sz w:val="28"/>
          <w:szCs w:val="28"/>
          <w:lang w:val="en-US" w:eastAsia="zh-CN"/>
          <w14:textFill>
            <w14:solidFill>
              <w14:schemeClr w14:val="tx1"/>
            </w14:solidFill>
          </w14:textFill>
        </w:rPr>
        <w:t xml:space="preserve"> </w:t>
      </w:r>
      <w:r>
        <w:rPr>
          <w:rFonts w:hint="eastAsia" w:ascii="仿宋" w:hAnsi="仿宋" w:eastAsia="仿宋" w:cs="仿宋"/>
          <w:color w:val="000000" w:themeColor="text1"/>
          <w:sz w:val="28"/>
          <w:szCs w:val="28"/>
          <w14:textFill>
            <w14:solidFill>
              <w14:schemeClr w14:val="tx1"/>
            </w14:solidFill>
          </w14:textFill>
        </w:rPr>
        <w:t xml:space="preserve">]为准。</w:t>
      </w:r>
      <w:r/>
    </w:p>
    <w:p>
      <w:pPr>
        <w:pStyle w:val="941"/>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941"/>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p>
    <w:p>
      <w:pPr>
        <w:pStyle w:val="941"/>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p>
    <w:p>
      <w:pPr>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宋体"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t xml:space="preserve">第六</w:t>
      </w:r>
      <w:bookmarkStart w:id="0" w:name="_Toc322457054"/>
      <w:r/>
      <w:bookmarkEnd w:id="0"/>
      <w:r/>
      <w:bookmarkStart w:id="1" w:name="_Toc324452802"/>
      <w:r/>
      <w:bookmarkEnd w:id="1"/>
      <w:r>
        <w:rPr>
          <w:rFonts w:hint="eastAsia" w:ascii="仿宋" w:hAnsi="仿宋" w:eastAsia="仿宋" w:cs="仿宋"/>
          <w:b w:val="0"/>
          <w:bCs/>
          <w:color w:val="000000"/>
          <w:sz w:val="32"/>
          <w:szCs w:val="32"/>
          <w:highlight w:val="none"/>
          <w:lang w:eastAsia="zh-CN"/>
        </w:rPr>
        <w:t xml:space="preserve">章</w:t>
      </w:r>
      <w:r>
        <w:rPr>
          <w:rFonts w:ascii="宋体" w:hAnsi="宋体" w:eastAsia="宋体"/>
          <w:color w:val="000000"/>
          <w:sz w:val="30"/>
          <w:szCs w:val="30"/>
        </w:rPr>
        <w:t xml:space="preserve"> </w:t>
      </w:r>
      <w:r>
        <w:rPr>
          <w:rFonts w:hint="eastAsia" w:ascii="宋体" w:hAnsi="宋体"/>
          <w:color w:val="000000"/>
          <w:sz w:val="30"/>
          <w:szCs w:val="30"/>
          <w:lang w:eastAsia="zh-CN"/>
        </w:rPr>
        <w:t xml:space="preserve">采购需求</w:t>
      </w:r>
      <w:r/>
    </w:p>
    <w:p>
      <w:pPr>
        <w:jc w:val="both"/>
        <w:spacing w:line="288" w:lineRule="auto"/>
        <w:rPr>
          <w:rFonts w:hint="eastAsia" w:ascii="仿宋" w:hAnsi="仿宋" w:eastAsia="仿宋" w:cs="仿宋"/>
          <w:b w:val="0"/>
          <w:bCs/>
          <w:color w:val="000000"/>
          <w:sz w:val="32"/>
          <w:szCs w:val="32"/>
          <w:highlight w:val="none"/>
        </w:rPr>
      </w:pPr>
      <w:r>
        <w:rPr>
          <w:rFonts w:hint="eastAsia" w:ascii="仿宋" w:hAnsi="仿宋" w:eastAsia="仿宋" w:cs="仿宋"/>
          <w:b w:val="0"/>
          <w:bCs/>
          <w:color w:val="000000"/>
          <w:sz w:val="32"/>
          <w:szCs w:val="32"/>
          <w:highlight w:val="none"/>
        </w:rPr>
      </w:r>
      <w:r/>
    </w:p>
    <w:p>
      <w:pPr>
        <w:pStyle w:val="984"/>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959"/>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2024年中央农业防灾减灾和水利救灾资金农作物重大病虫害防控</w:t>
      </w:r>
      <w:r/>
    </w:p>
    <w:p>
      <w:pPr>
        <w:pStyle w:val="959"/>
        <w:jc w:val="left"/>
        <w:spacing w:line="360" w:lineRule="auto"/>
        <w:rPr>
          <w:rFonts w:hint="eastAsia" w:ascii="仿宋" w:hAnsi="仿宋" w:eastAsia="仿宋" w:cs="仿宋"/>
          <w:b/>
          <w:color w:val="000000"/>
          <w:spacing w:val="2"/>
          <w:sz w:val="28"/>
          <w:szCs w:val="28"/>
        </w:rPr>
      </w:pP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项目预算：</w:t>
      </w:r>
      <w:r>
        <w:rPr>
          <w:rFonts w:hint="eastAsia" w:ascii="仿宋" w:hAnsi="仿宋" w:eastAsia="仿宋" w:cs="仿宋"/>
          <w:b/>
          <w:color w:val="000000"/>
          <w:spacing w:val="2"/>
          <w:sz w:val="28"/>
          <w:szCs w:val="28"/>
        </w:rPr>
        <w:t xml:space="preserve">本项目采购预算总金额</w:t>
      </w:r>
      <w:r>
        <w:rPr>
          <w:rFonts w:hint="eastAsia" w:ascii="仿宋" w:hAnsi="仿宋" w:eastAsia="仿宋" w:cs="仿宋"/>
          <w:b/>
          <w:color w:val="000000"/>
          <w:spacing w:val="2"/>
          <w:sz w:val="28"/>
          <w:szCs w:val="28"/>
          <w:lang w:val="en-US" w:eastAsia="zh-CN"/>
        </w:rPr>
        <w:t xml:space="preserve">153</w:t>
      </w:r>
      <w:r>
        <w:rPr>
          <w:rFonts w:hint="eastAsia" w:ascii="仿宋" w:hAnsi="仿宋" w:eastAsia="仿宋" w:cs="仿宋"/>
          <w:b/>
          <w:color w:val="000000"/>
          <w:spacing w:val="2"/>
          <w:sz w:val="28"/>
          <w:szCs w:val="28"/>
        </w:rPr>
        <w:t xml:space="preserve">万元人民币；报价包括全部费用，采购人不再支付报价以外的任何费用。</w:t>
      </w:r>
      <w:r/>
    </w:p>
    <w:p>
      <w:pPr>
        <w:pStyle w:val="963"/>
        <w:spacing w:line="30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p>
    <w:p>
      <w:pPr>
        <w:pStyle w:val="963"/>
        <w:jc w:val="left"/>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ab/>
      </w:r>
      <w:r/>
    </w:p>
    <w:tbl>
      <w:tblPr>
        <w:tblStyle w:val="749"/>
        <w:tblW w:w="96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93"/>
        <w:gridCol w:w="2715"/>
        <w:gridCol w:w="1215"/>
        <w:gridCol w:w="1005"/>
        <w:gridCol w:w="714"/>
        <w:gridCol w:w="1967"/>
      </w:tblGrid>
      <w:tr>
        <w:trPr>
          <w:jc w:val="center"/>
          <w:trHeight w:val="865"/>
        </w:trPr>
        <w:tc>
          <w:tcPr>
            <w:shd w:val="clear" w:color="auto" w:fill="e7e6e6"/>
            <w:tcW w:w="1993"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名称</w:t>
            </w:r>
            <w:r/>
          </w:p>
        </w:tc>
        <w:tc>
          <w:tcPr>
            <w:shd w:val="clear" w:color="auto" w:fill="e7e6e6"/>
            <w:tcW w:w="271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产品名称</w:t>
            </w:r>
            <w:r/>
          </w:p>
        </w:tc>
        <w:tc>
          <w:tcPr>
            <w:shd w:val="clear" w:color="auto" w:fill="e7e6e6"/>
            <w:tcW w:w="1215"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规格</w:t>
            </w:r>
            <w:r/>
          </w:p>
        </w:tc>
        <w:tc>
          <w:tcPr>
            <w:shd w:val="clear" w:color="auto" w:fill="e7e6e6"/>
            <w:tcW w:w="100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数量</w:t>
            </w:r>
            <w:r/>
          </w:p>
        </w:tc>
        <w:tc>
          <w:tcPr>
            <w:shd w:val="clear" w:color="auto" w:fill="e7e6e6"/>
            <w:tcW w:w="714"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单位</w:t>
            </w:r>
            <w:r/>
          </w:p>
        </w:tc>
        <w:tc>
          <w:tcPr>
            <w:shd w:val="clear" w:color="auto" w:fill="e7e6e6"/>
            <w:tcW w:w="1967"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最高限价</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eastAsia="zh-CN"/>
              </w:rPr>
              <w:t xml:space="preserve">万元</w:t>
            </w:r>
            <w:r>
              <w:rPr>
                <w:rFonts w:hint="eastAsia" w:ascii="仿宋" w:hAnsi="仿宋" w:eastAsia="仿宋" w:cs="仿宋"/>
                <w:sz w:val="24"/>
                <w:szCs w:val="24"/>
                <w:lang w:val="en-US" w:eastAsia="zh-CN"/>
              </w:rPr>
              <w:t xml:space="preserve">)</w:t>
            </w:r>
            <w:r/>
          </w:p>
        </w:tc>
      </w:tr>
      <w:tr>
        <w:trPr>
          <w:jc w:val="center"/>
          <w:trHeight w:val="813"/>
        </w:trPr>
        <w:tc>
          <w:tcPr>
            <w:tcW w:w="1993" w:type="dxa"/>
            <w:vAlign w:val="center"/>
            <w:vMerge w:val="restart"/>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2024年中央农业防灾减灾和水利救灾资金农作物重大病虫害防控</w:t>
            </w:r>
            <w:r/>
          </w:p>
        </w:tc>
        <w:tc>
          <w:tcPr>
            <w:tcW w:w="27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45%戊唑·嘧菌酯SC</w:t>
            </w:r>
            <w:r/>
          </w:p>
        </w:tc>
        <w:tc>
          <w:tcPr>
            <w:tcW w:w="12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200克/瓶</w:t>
            </w:r>
            <w:r/>
          </w:p>
        </w:tc>
        <w:tc>
          <w:tcPr>
            <w:tcW w:w="1005"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1.071</w:t>
            </w:r>
            <w:r/>
          </w:p>
        </w:tc>
        <w:tc>
          <w:tcPr>
            <w:tcW w:w="714"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p>
        </w:tc>
        <w:tc>
          <w:tcPr>
            <w:tcW w:w="196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30</w:t>
            </w:r>
            <w:r/>
          </w:p>
        </w:tc>
      </w:tr>
      <w:tr>
        <w:trPr>
          <w:jc w:val="center"/>
          <w:trHeight w:val="445"/>
        </w:trPr>
        <w:tc>
          <w:tcPr>
            <w:tcW w:w="1993"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7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70%吡蚜·呋虫胺WDG</w:t>
            </w:r>
            <w:r/>
          </w:p>
        </w:tc>
        <w:tc>
          <w:tcPr>
            <w:tcW w:w="12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80克/袋</w:t>
            </w:r>
            <w:r/>
          </w:p>
        </w:tc>
        <w:tc>
          <w:tcPr>
            <w:tcW w:w="1005"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0.417</w:t>
            </w:r>
            <w:r/>
          </w:p>
        </w:tc>
        <w:tc>
          <w:tcPr>
            <w:tcW w:w="714"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p>
        </w:tc>
        <w:tc>
          <w:tcPr>
            <w:tcW w:w="196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25</w:t>
            </w:r>
            <w:r/>
          </w:p>
        </w:tc>
      </w:tr>
      <w:tr>
        <w:trPr>
          <w:jc w:val="center"/>
          <w:trHeight w:val="555"/>
        </w:trPr>
        <w:tc>
          <w:tcPr>
            <w:tcW w:w="1993"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7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40%烯啶·吡蚜酮WG</w:t>
            </w:r>
            <w:r/>
          </w:p>
        </w:tc>
        <w:tc>
          <w:tcPr>
            <w:tcW w:w="12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100克/袋</w:t>
            </w:r>
            <w:r/>
          </w:p>
        </w:tc>
        <w:tc>
          <w:tcPr>
            <w:tcW w:w="1005"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1.081</w:t>
            </w:r>
            <w:r/>
          </w:p>
        </w:tc>
        <w:tc>
          <w:tcPr>
            <w:tcW w:w="714"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p>
        </w:tc>
        <w:tc>
          <w:tcPr>
            <w:tcW w:w="196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20</w:t>
            </w:r>
            <w:r/>
          </w:p>
        </w:tc>
      </w:tr>
      <w:tr>
        <w:trPr>
          <w:jc w:val="center"/>
          <w:trHeight w:val="555"/>
        </w:trPr>
        <w:tc>
          <w:tcPr>
            <w:tcW w:w="1993"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7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42%肟菌·戊唑醇SC</w:t>
            </w:r>
            <w:r/>
          </w:p>
        </w:tc>
        <w:tc>
          <w:tcPr>
            <w:tcW w:w="12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100克/瓶</w:t>
            </w:r>
            <w:r/>
          </w:p>
        </w:tc>
        <w:tc>
          <w:tcPr>
            <w:tcW w:w="1005" w:type="dxa"/>
            <w:vAlign w:val="center"/>
            <w:textDirection w:val="lrTb"/>
            <w:noWrap w:val="false"/>
          </w:tcPr>
          <w:p>
            <w:pPr>
              <w:jc w:val="center"/>
              <w:spacing w:line="360" w:lineRule="auto"/>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1.913</w:t>
            </w:r>
            <w:r/>
          </w:p>
        </w:tc>
        <w:tc>
          <w:tcPr>
            <w:tcW w:w="714"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p>
        </w:tc>
        <w:tc>
          <w:tcPr>
            <w:tcW w:w="196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30.6</w:t>
            </w:r>
            <w:r/>
          </w:p>
        </w:tc>
      </w:tr>
      <w:tr>
        <w:trPr>
          <w:jc w:val="center"/>
          <w:trHeight w:val="555"/>
        </w:trPr>
        <w:tc>
          <w:tcPr>
            <w:tcW w:w="1993"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7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25%阿维·茚虫威SC</w:t>
            </w:r>
            <w:r/>
          </w:p>
        </w:tc>
        <w:tc>
          <w:tcPr>
            <w:tcW w:w="12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150克/瓶</w:t>
            </w:r>
            <w:r/>
          </w:p>
        </w:tc>
        <w:tc>
          <w:tcPr>
            <w:tcW w:w="1005"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0.886</w:t>
            </w:r>
            <w:r/>
          </w:p>
        </w:tc>
        <w:tc>
          <w:tcPr>
            <w:tcW w:w="714"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吨</w:t>
            </w:r>
            <w:r/>
          </w:p>
        </w:tc>
        <w:tc>
          <w:tcPr>
            <w:tcW w:w="196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39</w:t>
            </w:r>
            <w:r/>
          </w:p>
        </w:tc>
      </w:tr>
      <w:tr>
        <w:trPr>
          <w:jc w:val="center"/>
          <w:trHeight w:val="555"/>
        </w:trPr>
        <w:tc>
          <w:tcPr>
            <w:tcW w:w="1993" w:type="dxa"/>
            <w:vAlign w:val="center"/>
            <w:vMerge w:val="continue"/>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2715" w:type="dxa"/>
            <w:vAlign w:val="center"/>
            <w:textDirection w:val="lrTb"/>
            <w:noWrap w:val="false"/>
          </w:tcPr>
          <w:p>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稻纵卷叶螟智能诱捕器</w:t>
            </w:r>
            <w:r/>
          </w:p>
        </w:tc>
        <w:tc>
          <w:tcPr>
            <w:tcW w:w="1215"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005"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714"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台</w:t>
            </w:r>
            <w:r/>
          </w:p>
        </w:tc>
        <w:tc>
          <w:tcPr>
            <w:tcW w:w="196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8.4</w:t>
            </w:r>
            <w:r/>
          </w:p>
        </w:tc>
      </w:tr>
      <w:tr>
        <w:trPr>
          <w:jc w:val="center"/>
          <w:trHeight w:val="555"/>
        </w:trPr>
        <w:tc>
          <w:tcPr>
            <w:tcW w:w="1993"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w:t>
            </w:r>
            <w:r/>
          </w:p>
        </w:tc>
        <w:tc>
          <w:tcPr>
            <w:gridSpan w:val="4"/>
            <w:tcW w:w="5649" w:type="dxa"/>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W w:w="1967" w:type="dxa"/>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153</w:t>
            </w:r>
            <w:r/>
          </w:p>
        </w:tc>
      </w:tr>
    </w:tbl>
    <w:p>
      <w:pPr>
        <w:pStyle w:val="963"/>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 </w:t>
      </w:r>
      <w:r/>
    </w:p>
    <w:p>
      <w:pPr>
        <w:pStyle w:val="961"/>
        <w:numPr>
          <w:ilvl w:val="0"/>
          <w:numId w:val="0"/>
        </w:numPr>
        <w:ind w:left="0" w:firstLine="0"/>
        <w:keepLines w:val="0"/>
        <w:keepNext w:val="0"/>
        <w:pageBreakBefore w:val="0"/>
        <w:spacing w:line="360" w:lineRule="auto"/>
        <w:widowControl w:val="off"/>
        <w:rPr>
          <w:rFonts w:hint="eastAsia" w:ascii="仿宋" w:hAnsi="仿宋" w:eastAsia="仿宋" w:cs="仿宋"/>
          <w:i w:val="0"/>
          <w:caps w:val="0"/>
          <w:color w:val="000000" w:themeColor="text1"/>
          <w:spacing w:val="0"/>
          <w:sz w:val="28"/>
          <w:szCs w:val="28"/>
          <w:lang w:eastAsia="zh-CN"/>
          <w14:textFill>
            <w14:solidFill>
              <w14:schemeClr w14:val="tx1"/>
            </w14:solidFill>
          </w14:textFill>
        </w:rPr>
        <w:outlineLvl w:val="9"/>
      </w:pPr>
      <w:r>
        <w:rPr>
          <w:rFonts w:hint="eastAsia" w:ascii="仿宋" w:hAnsi="仿宋" w:eastAsia="仿宋" w:cs="仿宋"/>
          <w:i w:val="0"/>
          <w:caps w:val="0"/>
          <w:color w:val="000000" w:themeColor="text1"/>
          <w:spacing w:val="0"/>
          <w:sz w:val="28"/>
          <w:szCs w:val="28"/>
          <w:lang w:val="en-US" w:eastAsia="zh-CN" w:bidi="ar-SA"/>
          <w14:textFill>
            <w14:solidFill>
              <w14:schemeClr w14:val="tx1"/>
            </w14:solidFill>
          </w14:textFill>
        </w:rPr>
        <w:t xml:space="preserve">2、</w:t>
      </w:r>
      <w:r>
        <w:rPr>
          <w:rFonts w:hint="eastAsia" w:ascii="仿宋" w:hAnsi="仿宋" w:eastAsia="仿宋" w:cs="仿宋"/>
          <w:i w:val="0"/>
          <w:caps w:val="0"/>
          <w:color w:val="000000" w:themeColor="text1"/>
          <w:spacing w:val="0"/>
          <w:sz w:val="28"/>
          <w:szCs w:val="28"/>
          <w14:textFill>
            <w14:solidFill>
              <w14:schemeClr w14:val="tx1"/>
            </w14:solidFill>
          </w14:textFill>
        </w:rPr>
        <w:t xml:space="preserve">供应商为生产厂家的提供</w:t>
      </w:r>
      <w:r>
        <w:rPr>
          <w:rFonts w:hint="eastAsia" w:ascii="仿宋" w:hAnsi="仿宋" w:eastAsia="仿宋" w:cs="仿宋"/>
          <w:i w:val="0"/>
          <w:caps w:val="0"/>
          <w:color w:val="000000" w:themeColor="text1"/>
          <w:spacing w:val="0"/>
          <w:sz w:val="28"/>
          <w:szCs w:val="28"/>
          <w:lang w:val="en-US" w:eastAsia="zh-CN"/>
          <w14:textFill>
            <w14:solidFill>
              <w14:schemeClr w14:val="tx1"/>
            </w14:solidFill>
          </w14:textFill>
        </w:rPr>
        <w:t xml:space="preserve">所投产品的</w:t>
      </w:r>
      <w:r>
        <w:rPr>
          <w:rFonts w:hint="eastAsia" w:ascii="仿宋" w:hAnsi="仿宋" w:eastAsia="仿宋" w:cs="仿宋"/>
          <w:i w:val="0"/>
          <w:caps w:val="0"/>
          <w:color w:val="000000" w:themeColor="text1"/>
          <w:spacing w:val="0"/>
          <w:sz w:val="28"/>
          <w:szCs w:val="28"/>
          <w14:textFill>
            <w14:solidFill>
              <w14:schemeClr w14:val="tx1"/>
            </w14:solidFill>
          </w14:textFill>
        </w:rPr>
        <w:t xml:space="preserve">农药生产许可证或生产批准证</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w:t>
      </w:r>
      <w:r>
        <w:rPr>
          <w:rFonts w:hint="eastAsia" w:ascii="仿宋" w:hAnsi="仿宋" w:eastAsia="仿宋" w:cs="仿宋"/>
          <w:i w:val="0"/>
          <w:caps w:val="0"/>
          <w:color w:val="000000" w:themeColor="text1"/>
          <w:spacing w:val="0"/>
          <w:sz w:val="28"/>
          <w:szCs w:val="28"/>
          <w14:textFill>
            <w14:solidFill>
              <w14:schemeClr w14:val="tx1"/>
            </w14:solidFill>
          </w14:textFill>
        </w:rPr>
        <w:t xml:space="preserve">农药登记证</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w:t>
      </w:r>
      <w:r>
        <w:rPr>
          <w:rFonts w:hint="eastAsia" w:ascii="仿宋" w:hAnsi="仿宋" w:eastAsia="仿宋" w:cs="仿宋"/>
          <w:i w:val="0"/>
          <w:caps w:val="0"/>
          <w:color w:val="000000" w:themeColor="text1"/>
          <w:spacing w:val="0"/>
          <w:sz w:val="28"/>
          <w:szCs w:val="28"/>
          <w:lang w:val="en-US" w:eastAsia="zh-CN"/>
          <w14:textFill>
            <w14:solidFill>
              <w14:schemeClr w14:val="tx1"/>
            </w14:solidFill>
          </w14:textFill>
        </w:rPr>
        <w:t xml:space="preserve">产品</w:t>
      </w:r>
      <w:r>
        <w:rPr>
          <w:rFonts w:hint="eastAsia" w:ascii="仿宋" w:hAnsi="仿宋" w:eastAsia="仿宋" w:cs="仿宋"/>
          <w:i w:val="0"/>
          <w:caps w:val="0"/>
          <w:color w:val="000000" w:themeColor="text1"/>
          <w:spacing w:val="0"/>
          <w:sz w:val="28"/>
          <w:szCs w:val="28"/>
          <w14:textFill>
            <w14:solidFill>
              <w14:schemeClr w14:val="tx1"/>
            </w14:solidFill>
          </w14:textFill>
        </w:rPr>
        <w:t xml:space="preserve">标准证</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的原件扫描件加盖</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生产厂家</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公</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章</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w:t>
      </w:r>
      <w:r>
        <w:rPr>
          <w:rFonts w:hint="eastAsia" w:ascii="仿宋" w:hAnsi="仿宋" w:eastAsia="仿宋" w:cs="仿宋"/>
          <w:i w:val="0"/>
          <w:caps w:val="0"/>
          <w:color w:val="000000" w:themeColor="text1"/>
          <w:spacing w:val="0"/>
          <w:sz w:val="28"/>
          <w:szCs w:val="28"/>
          <w14:textFill>
            <w14:solidFill>
              <w14:schemeClr w14:val="tx1"/>
            </w14:solidFill>
          </w14:textFill>
        </w:rPr>
        <w:t xml:space="preserve">供应商为经销商的提供农药经营许可证</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w:t>
      </w:r>
      <w:r>
        <w:rPr>
          <w:rFonts w:hint="eastAsia" w:ascii="仿宋" w:hAnsi="仿宋" w:eastAsia="仿宋" w:cs="仿宋"/>
          <w:i w:val="0"/>
          <w:caps w:val="0"/>
          <w:color w:val="000000" w:themeColor="text1"/>
          <w:spacing w:val="0"/>
          <w:sz w:val="28"/>
          <w:szCs w:val="28"/>
          <w14:textFill>
            <w14:solidFill>
              <w14:schemeClr w14:val="tx1"/>
            </w14:solidFill>
          </w14:textFill>
        </w:rPr>
        <w:t xml:space="preserve">另须提供所投农药产品的农药生产许可证或生产批准证</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w:t>
      </w:r>
      <w:r>
        <w:rPr>
          <w:rFonts w:hint="eastAsia" w:ascii="仿宋" w:hAnsi="仿宋" w:eastAsia="仿宋" w:cs="仿宋"/>
          <w:i w:val="0"/>
          <w:caps w:val="0"/>
          <w:color w:val="000000" w:themeColor="text1"/>
          <w:spacing w:val="0"/>
          <w:sz w:val="28"/>
          <w:szCs w:val="28"/>
          <w14:textFill>
            <w14:solidFill>
              <w14:schemeClr w14:val="tx1"/>
            </w14:solidFill>
          </w14:textFill>
        </w:rPr>
        <w:t xml:space="preserve">农药登记证</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w:t>
      </w:r>
      <w:r>
        <w:rPr>
          <w:rFonts w:hint="eastAsia" w:ascii="仿宋" w:hAnsi="仿宋" w:eastAsia="仿宋" w:cs="仿宋"/>
          <w:i w:val="0"/>
          <w:caps w:val="0"/>
          <w:color w:val="000000" w:themeColor="text1"/>
          <w:spacing w:val="0"/>
          <w:sz w:val="28"/>
          <w:szCs w:val="28"/>
          <w:lang w:val="en-US" w:eastAsia="zh-CN"/>
          <w14:textFill>
            <w14:solidFill>
              <w14:schemeClr w14:val="tx1"/>
            </w14:solidFill>
          </w14:textFill>
        </w:rPr>
        <w:t xml:space="preserve">产品</w:t>
      </w:r>
      <w:r>
        <w:rPr>
          <w:rFonts w:hint="eastAsia" w:ascii="仿宋" w:hAnsi="仿宋" w:eastAsia="仿宋" w:cs="仿宋"/>
          <w:i w:val="0"/>
          <w:caps w:val="0"/>
          <w:color w:val="000000" w:themeColor="text1"/>
          <w:spacing w:val="0"/>
          <w:sz w:val="28"/>
          <w:szCs w:val="28"/>
          <w14:textFill>
            <w14:solidFill>
              <w14:schemeClr w14:val="tx1"/>
            </w14:solidFill>
          </w14:textFill>
        </w:rPr>
        <w:t xml:space="preserve">标准证</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的</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原件扫描件加盖</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生产厂家</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公</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章</w:t>
      </w:r>
      <w:r>
        <w:rPr>
          <w:rFonts w:hint="eastAsia" w:ascii="仿宋" w:hAnsi="仿宋" w:eastAsia="仿宋" w:cs="仿宋"/>
          <w:i w:val="0"/>
          <w:caps w:val="0"/>
          <w:color w:val="000000" w:themeColor="text1"/>
          <w:spacing w:val="0"/>
          <w:sz w:val="28"/>
          <w:szCs w:val="28"/>
          <w:lang w:eastAsia="zh-CN"/>
          <w14:textFill>
            <w14:solidFill>
              <w14:schemeClr w14:val="tx1"/>
            </w14:solidFill>
          </w14:textFill>
        </w:rPr>
        <w:t xml:space="preserve">。</w:t>
      </w:r>
      <w:r/>
    </w:p>
    <w:p>
      <w:pPr>
        <w:pStyle w:val="953"/>
        <w:numPr>
          <w:ilvl w:val="0"/>
          <w:numId w:val="0"/>
        </w:numPr>
        <w:keepLines w:val="0"/>
        <w:keepNext w:val="0"/>
        <w:pageBreakBefore w:val="0"/>
        <w:spacing w:line="360" w:lineRule="auto"/>
        <w:widowControl w:val="off"/>
        <w:rPr>
          <w:rFonts w:hint="default"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lang w:eastAsia="zh-CN"/>
          <w14:textFill>
            <w14:solidFill>
              <w14:schemeClr w14:val="tx1"/>
            </w14:solidFill>
          </w14:textFill>
        </w:rPr>
        <w:t xml:space="preserve">稻纵卷叶螟智能诱捕器</w:t>
      </w:r>
      <w:r>
        <w:rPr>
          <w:rFonts w:hint="eastAsia" w:ascii="仿宋" w:hAnsi="仿宋" w:eastAsia="仿宋" w:cs="仿宋"/>
          <w:color w:val="000000" w:themeColor="text1"/>
          <w:sz w:val="28"/>
          <w:szCs w:val="28"/>
          <w:lang w:val="en-US" w:eastAsia="zh-CN"/>
          <w14:textFill>
            <w14:solidFill>
              <w14:schemeClr w14:val="tx1"/>
            </w14:solidFill>
          </w14:textFill>
        </w:rPr>
        <w:t xml:space="preserve">须符合江苏省绿色防控产品目录要求。</w:t>
      </w:r>
      <w:r/>
    </w:p>
    <w:p>
      <w:pPr>
        <w:pStyle w:val="963"/>
        <w:keepLines w:val="0"/>
        <w:keepNext w:val="0"/>
        <w:pageBreakBefore w:val="0"/>
        <w:spacing w:line="360" w:lineRule="auto"/>
        <w:widowControl w:val="off"/>
        <w:rPr>
          <w:rFonts w:hint="eastAsia" w:ascii="仿宋" w:hAnsi="仿宋" w:eastAsia="仿宋" w:cs="仿宋"/>
          <w:b w:val="0"/>
          <w:bCs/>
          <w:color w:val="000000"/>
          <w:sz w:val="28"/>
          <w:szCs w:val="28"/>
        </w:rPr>
        <w:outlineLvl w:val="9"/>
      </w:pPr>
      <w:r>
        <w:rPr>
          <w:rFonts w:hint="eastAsia" w:ascii="仿宋" w:hAnsi="仿宋" w:eastAsia="仿宋" w:cs="仿宋"/>
          <w:b w:val="0"/>
          <w:bCs/>
          <w:color w:val="000000"/>
          <w:sz w:val="28"/>
          <w:szCs w:val="28"/>
          <w:lang w:val="en-US" w:eastAsia="zh-CN"/>
        </w:rPr>
        <w:t xml:space="preserve">4</w:t>
      </w:r>
      <w:r>
        <w:rPr>
          <w:rFonts w:hint="eastAsia" w:ascii="仿宋" w:hAnsi="仿宋" w:eastAsia="仿宋" w:cs="仿宋"/>
          <w:b w:val="0"/>
          <w:bCs/>
          <w:color w:val="000000"/>
          <w:sz w:val="28"/>
          <w:szCs w:val="28"/>
        </w:rPr>
        <w:t xml:space="preserve">、交货时间：</w:t>
      </w:r>
      <w:r>
        <w:rPr>
          <w:rFonts w:hint="eastAsia" w:ascii="仿宋" w:hAnsi="仿宋" w:eastAsia="仿宋" w:cs="仿宋"/>
          <w:b w:val="0"/>
          <w:bCs/>
          <w:color w:val="000000"/>
          <w:sz w:val="28"/>
          <w:szCs w:val="28"/>
          <w:highlight w:val="none"/>
        </w:rPr>
        <w:t xml:space="preserve">合同签订后</w:t>
      </w:r>
      <w:r>
        <w:rPr>
          <w:rFonts w:hint="eastAsia" w:ascii="仿宋" w:hAnsi="仿宋" w:eastAsia="仿宋" w:cs="仿宋"/>
          <w:b w:val="0"/>
          <w:bCs/>
          <w:color w:val="000000"/>
          <w:sz w:val="28"/>
          <w:szCs w:val="28"/>
          <w:highlight w:val="none"/>
          <w:lang w:val="en-US" w:eastAsia="zh-CN"/>
        </w:rPr>
        <w:t xml:space="preserve">一个月</w:t>
      </w:r>
      <w:r>
        <w:rPr>
          <w:rFonts w:hint="eastAsia" w:ascii="仿宋" w:hAnsi="仿宋" w:eastAsia="仿宋" w:cs="仿宋"/>
          <w:b w:val="0"/>
          <w:bCs/>
          <w:color w:val="000000"/>
          <w:sz w:val="28"/>
          <w:szCs w:val="28"/>
          <w:highlight w:val="none"/>
        </w:rPr>
        <w:t xml:space="preserve">内</w:t>
      </w:r>
      <w:r>
        <w:rPr>
          <w:rFonts w:hint="eastAsia" w:ascii="仿宋" w:hAnsi="仿宋" w:eastAsia="仿宋" w:cs="仿宋"/>
          <w:b w:val="0"/>
          <w:bCs/>
          <w:color w:val="000000"/>
          <w:sz w:val="28"/>
          <w:szCs w:val="28"/>
          <w:highlight w:val="none"/>
          <w:lang w:eastAsia="zh-CN"/>
        </w:rPr>
        <w:t xml:space="preserve">供货</w:t>
      </w:r>
      <w:r>
        <w:rPr>
          <w:rFonts w:hint="eastAsia" w:ascii="仿宋" w:hAnsi="仿宋" w:eastAsia="仿宋" w:cs="仿宋"/>
          <w:b w:val="0"/>
          <w:bCs/>
          <w:color w:val="000000"/>
          <w:sz w:val="28"/>
          <w:szCs w:val="28"/>
          <w:highlight w:val="none"/>
        </w:rPr>
        <w:t xml:space="preserve">完成</w:t>
      </w:r>
      <w:r>
        <w:rPr>
          <w:rFonts w:hint="eastAsia" w:ascii="仿宋" w:hAnsi="仿宋" w:eastAsia="仿宋" w:cs="仿宋"/>
          <w:b w:val="0"/>
          <w:bCs/>
          <w:color w:val="000000"/>
          <w:sz w:val="28"/>
          <w:szCs w:val="28"/>
        </w:rPr>
        <w:t xml:space="preserve">。</w:t>
      </w:r>
      <w:r/>
    </w:p>
    <w:p>
      <w:pPr>
        <w:pStyle w:val="963"/>
        <w:keepLines w:val="0"/>
        <w:keepNext w:val="0"/>
        <w:pageBreakBefore w:val="0"/>
        <w:spacing w:line="360" w:lineRule="auto"/>
        <w:widowControl w:val="off"/>
        <w:rPr>
          <w:rFonts w:hint="eastAsia" w:ascii="仿宋" w:hAnsi="仿宋" w:eastAsia="仿宋" w:cs="仿宋"/>
          <w:b w:val="0"/>
          <w:bCs/>
          <w:color w:val="000000"/>
          <w:sz w:val="28"/>
          <w:szCs w:val="28"/>
        </w:rPr>
        <w:outlineLvl w:val="9"/>
      </w:pPr>
      <w:r>
        <w:rPr>
          <w:rFonts w:hint="eastAsia" w:ascii="仿宋" w:hAnsi="仿宋" w:eastAsia="仿宋" w:cs="仿宋"/>
          <w:b w:val="0"/>
          <w:bCs/>
          <w:color w:val="000000"/>
          <w:sz w:val="28"/>
          <w:szCs w:val="28"/>
          <w:lang w:val="en-US" w:eastAsia="zh-CN"/>
        </w:rPr>
        <w:t xml:space="preserve">5</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对采购项目质量、服务及结算方面的要求</w:t>
      </w:r>
      <w:r>
        <w:rPr>
          <w:rFonts w:hint="eastAsia" w:ascii="仿宋" w:hAnsi="仿宋" w:eastAsia="仿宋" w:cs="仿宋"/>
          <w:b w:val="0"/>
          <w:bCs/>
          <w:color w:val="000000"/>
          <w:sz w:val="28"/>
          <w:szCs w:val="28"/>
        </w:rPr>
        <w:t xml:space="preserve">：</w:t>
      </w:r>
      <w:r>
        <w:rPr>
          <w:rFonts w:hint="eastAsia" w:ascii="仿宋" w:hAnsi="仿宋" w:eastAsia="仿宋" w:cs="仿宋"/>
          <w:b w:val="0"/>
          <w:bCs/>
          <w:color w:val="000000"/>
          <w:sz w:val="28"/>
          <w:szCs w:val="28"/>
          <w:lang w:val="en-US" w:eastAsia="zh-CN"/>
        </w:rPr>
        <w:t xml:space="preserve">产品达到国家规定的质量标准，送货到指定地点，按合同结算</w:t>
      </w:r>
      <w:r>
        <w:rPr>
          <w:rFonts w:hint="eastAsia" w:ascii="仿宋" w:hAnsi="仿宋" w:eastAsia="仿宋" w:cs="仿宋"/>
          <w:b w:val="0"/>
          <w:bCs/>
          <w:color w:val="000000"/>
          <w:sz w:val="28"/>
          <w:szCs w:val="28"/>
        </w:rPr>
        <w:t xml:space="preserve">。</w:t>
      </w:r>
      <w:r/>
    </w:p>
    <w:p>
      <w:pPr>
        <w:pStyle w:val="976"/>
        <w:keepLines w:val="0"/>
        <w:keepNext w:val="0"/>
        <w:pageBreakBefore w:val="0"/>
        <w:spacing w:line="360" w:lineRule="auto"/>
        <w:widowControl w:val="off"/>
        <w:rPr>
          <w:rFonts w:hint="eastAsia" w:ascii="仿宋" w:hAnsi="仿宋" w:eastAsia="仿宋" w:cs="仿宋"/>
          <w:sz w:val="28"/>
          <w:szCs w:val="28"/>
        </w:rPr>
        <w:outlineLvl w:val="9"/>
      </w:pPr>
      <w:r>
        <w:rPr>
          <w:rFonts w:hint="eastAsia" w:ascii="仿宋" w:hAnsi="仿宋" w:eastAsia="仿宋" w:cs="仿宋"/>
          <w:b w:val="0"/>
          <w:bCs/>
          <w:sz w:val="28"/>
          <w:szCs w:val="28"/>
          <w:lang w:val="en-US" w:eastAsia="zh-CN"/>
        </w:rPr>
        <w:t xml:space="preserve">6</w:t>
      </w:r>
      <w:r>
        <w:rPr>
          <w:rFonts w:hint="eastAsia" w:ascii="仿宋" w:hAnsi="仿宋" w:eastAsia="仿宋" w:cs="仿宋"/>
          <w:b w:val="0"/>
          <w:bCs/>
          <w:sz w:val="28"/>
          <w:szCs w:val="28"/>
        </w:rPr>
        <w:t xml:space="preserve">、产品质保期：质保期</w:t>
      </w:r>
      <w:r>
        <w:rPr>
          <w:rFonts w:hint="eastAsia" w:ascii="仿宋" w:hAnsi="仿宋" w:eastAsia="仿宋" w:cs="仿宋"/>
          <w:b w:val="0"/>
          <w:bCs/>
          <w:sz w:val="28"/>
          <w:szCs w:val="28"/>
          <w:lang w:eastAsia="zh-CN"/>
        </w:rPr>
        <w:t xml:space="preserve">二</w:t>
      </w:r>
      <w:r>
        <w:rPr>
          <w:rFonts w:hint="eastAsia" w:ascii="仿宋" w:hAnsi="仿宋" w:eastAsia="仿宋" w:cs="仿宋"/>
          <w:b w:val="0"/>
          <w:bCs/>
          <w:sz w:val="28"/>
          <w:szCs w:val="28"/>
        </w:rPr>
        <w:t xml:space="preserve">年（自交货验收合格之日起计）。</w:t>
      </w:r>
      <w:r/>
    </w:p>
    <w:p>
      <w:pPr>
        <w:pStyle w:val="963"/>
        <w:jc w:val="left"/>
        <w:keepLines w:val="0"/>
        <w:keepNext w:val="0"/>
        <w:pageBreakBefore w:val="0"/>
        <w:spacing w:line="360" w:lineRule="auto"/>
        <w:widowControl w:val="off"/>
        <w:rPr>
          <w:rFonts w:hint="eastAsia" w:ascii="仿宋" w:hAnsi="仿宋" w:eastAsia="仿宋" w:cs="仿宋"/>
          <w:b/>
          <w:color w:val="000000"/>
          <w:sz w:val="28"/>
          <w:szCs w:val="28"/>
          <w:lang w:val="en-US" w:eastAsia="zh-CN"/>
        </w:rPr>
        <w:outlineLvl w:val="9"/>
      </w:pPr>
      <w:r>
        <w:rPr>
          <w:rFonts w:hint="eastAsia" w:ascii="仿宋" w:hAnsi="仿宋" w:eastAsia="仿宋" w:cs="仿宋"/>
          <w:b/>
          <w:color w:val="000000"/>
          <w:sz w:val="28"/>
          <w:szCs w:val="28"/>
          <w:lang w:val="en-US" w:eastAsia="zh-CN"/>
        </w:rPr>
        <w:t xml:space="preserve">三、投标文件中提供项目总体方案。投标人报价时应根据自己的实施方案，充分考虑安全措施及其他影响因素。</w:t>
      </w:r>
      <w:r/>
    </w:p>
    <w:p>
      <w:pPr>
        <w:jc w:val="center"/>
        <w:spacing w:line="239"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rPr>
      </w:r>
      <w:r/>
    </w:p>
    <w:p>
      <w:pPr>
        <w:spacing w:line="360" w:lineRule="auto"/>
        <w:rPr>
          <w:rFonts w:hint="eastAsia"/>
          <w:sz w:val="30"/>
          <w:szCs w:val="30"/>
        </w:rPr>
      </w:pPr>
      <w:r/>
      <w:bookmarkStart w:id="2" w:name="_Toc522790136"/>
      <w:r/>
      <w:bookmarkStart w:id="3" w:name="_Toc523404701"/>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r>
      <w:r/>
    </w:p>
    <w:p>
      <w:pPr>
        <w:ind w:firstLine="3600"/>
        <w:spacing w:line="360" w:lineRule="auto"/>
        <w:rPr>
          <w:rFonts w:hint="eastAsia"/>
          <w:sz w:val="30"/>
          <w:szCs w:val="30"/>
        </w:rPr>
      </w:pPr>
      <w:r>
        <w:rPr>
          <w:rFonts w:hint="eastAsia"/>
          <w:sz w:val="30"/>
          <w:szCs w:val="30"/>
        </w:rPr>
        <w:t xml:space="preserve">第七章  投标文件相关格式</w:t>
      </w:r>
      <w:bookmarkEnd w:id="2"/>
      <w:r/>
      <w:bookmarkEnd w:id="3"/>
      <w:r/>
      <w:r/>
    </w:p>
    <w:p>
      <w:pPr>
        <w:ind w:firstLine="4500"/>
        <w:spacing w:line="360" w:lineRule="auto"/>
        <w:rPr>
          <w:rFonts w:hint="eastAsia"/>
          <w:sz w:val="30"/>
          <w:szCs w:val="30"/>
        </w:rPr>
      </w:pPr>
      <w:r>
        <w:rPr>
          <w:rFonts w:hint="eastAsia"/>
          <w:sz w:val="30"/>
          <w:szCs w:val="30"/>
        </w:rPr>
        <w:t xml:space="preserve">一、投标函</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p>
    <w:p>
      <w:pPr>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2024年中央农业防灾减灾和水利救灾资金农作物重大病虫害防控</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项目编号：JSZC-320312-YXYX-G2024-0017</w:t>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电话：                 </w:t>
      </w:r>
      <w:r/>
    </w:p>
    <w:p>
      <w:pPr>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rPr>
        <w:t xml:space="preserve">日期：   年  月  日</w:t>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520" w:lineRule="exact"/>
        <w:rPr>
          <w:rFonts w:hint="eastAsia" w:ascii="仿宋" w:hAnsi="仿宋" w:eastAsia="仿宋" w:cs="仿宋"/>
          <w:sz w:val="28"/>
          <w:szCs w:val="28"/>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2024年中央农业防灾减灾和水利救灾资金农作物重大病虫害防控</w:t>
      </w:r>
      <w:r/>
    </w:p>
    <w:p>
      <w:pPr>
        <w:spacing w:line="360" w:lineRule="auto"/>
        <w:rPr>
          <w:rFonts w:hint="eastAsia" w:ascii="仿宋" w:hAnsi="仿宋" w:eastAsia="仿宋" w:cs="仿宋"/>
          <w:b/>
          <w:bCs/>
          <w:sz w:val="28"/>
          <w:szCs w:val="28"/>
          <w:u w:val="none"/>
        </w:rPr>
      </w:pPr>
      <w:r>
        <w:rPr>
          <w:rFonts w:hint="eastAsia" w:ascii="仿宋" w:hAnsi="仿宋" w:eastAsia="仿宋" w:cs="仿宋"/>
          <w:color w:val="000000"/>
          <w:sz w:val="28"/>
          <w:szCs w:val="28"/>
          <w:u w:val="none"/>
          <w:lang w:eastAsia="zh-CN"/>
        </w:rPr>
        <w:t xml:space="preserve">项目编号：JSZC-320312-YXYX-G2024-0017</w:t>
      </w:r>
      <w:r/>
    </w:p>
    <w:p>
      <w:pPr>
        <w:ind w:firstLine="6720"/>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货币单位：人民币元</w:t>
      </w:r>
      <w:r/>
    </w:p>
    <w:tbl>
      <w:tblPr>
        <w:tblStyle w:val="749"/>
        <w:tblW w:w="943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0"/>
        <w:gridCol w:w="2836"/>
        <w:gridCol w:w="2934"/>
      </w:tblGrid>
      <w:tr>
        <w:trPr>
          <w:cantSplit/>
          <w:jc w:val="center"/>
          <w:trHeight w:val="1163"/>
        </w:trPr>
        <w:tc>
          <w:tcPr>
            <w:tcW w:w="36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83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项目内容</w:t>
            </w:r>
            <w:r/>
          </w:p>
        </w:tc>
        <w:tc>
          <w:tcPr>
            <w:tcW w:w="293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价（小写）</w:t>
            </w:r>
            <w:r/>
          </w:p>
        </w:tc>
      </w:tr>
      <w:tr>
        <w:trPr>
          <w:cantSplit/>
          <w:jc w:val="center"/>
          <w:trHeight w:val="1214"/>
        </w:trPr>
        <w:tc>
          <w:tcPr>
            <w:tcW w:w="3660"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color w:val="000000"/>
                <w:sz w:val="28"/>
                <w:szCs w:val="28"/>
                <w:u w:val="none"/>
                <w:lang w:eastAsia="zh-CN"/>
              </w:rPr>
              <w:t xml:space="preserve">2024年中央农业防灾减灾和水利救灾资金农作物重大病虫害防控</w:t>
            </w:r>
            <w:r/>
          </w:p>
        </w:tc>
        <w:tc>
          <w:tcPr>
            <w:tcW w:w="283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p>
        </w:tc>
        <w:tc>
          <w:tcPr>
            <w:tcW w:w="293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1452"/>
        </w:trPr>
        <w:tc>
          <w:tcPr>
            <w:tcW w:w="36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lang w:val="en-US" w:eastAsia="zh-CN"/>
              </w:rPr>
              <w:t xml:space="preserve">报</w:t>
            </w:r>
            <w:r>
              <w:rPr>
                <w:rFonts w:hint="eastAsia" w:ascii="仿宋" w:hAnsi="仿宋" w:eastAsia="仿宋" w:cs="仿宋"/>
                <w:sz w:val="28"/>
                <w:szCs w:val="28"/>
              </w:rPr>
              <w:t xml:space="preserve">价（大写）：</w:t>
            </w:r>
            <w:r/>
          </w:p>
        </w:tc>
        <w:tc>
          <w:tcPr>
            <w:gridSpan w:val="2"/>
            <w:tcW w:w="577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272"/>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ascii="宋体" w:hAnsi="宋体"/>
          <w:sz w:val="24"/>
          <w:szCs w:val="24"/>
        </w:rPr>
      </w:pPr>
      <w:r>
        <w:rPr>
          <w:rFonts w:ascii="宋体" w:hAnsi="宋体"/>
          <w:sz w:val="24"/>
          <w:szCs w:val="24"/>
        </w:rPr>
      </w:r>
      <w:r/>
    </w:p>
    <w:p>
      <w:pPr>
        <w:pStyle w:val="93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3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3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pStyle w:val="930"/>
        <w:rPr>
          <w:rFonts w:ascii="宋体" w:hAnsi="宋体"/>
          <w:sz w:val="24"/>
          <w:szCs w:val="24"/>
        </w:rPr>
      </w:pPr>
      <w:r>
        <w:rPr>
          <w:rFonts w:ascii="宋体" w:hAnsi="宋体"/>
          <w:sz w:val="24"/>
          <w:szCs w:val="24"/>
        </w:rPr>
      </w:r>
      <w:r/>
    </w:p>
    <w:p>
      <w:pPr>
        <w:jc w:val="both"/>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项目编号：JSZC-320312-YXYX-G2024-0017</w:t>
      </w:r>
      <w:r/>
    </w:p>
    <w:p>
      <w:pPr>
        <w:rPr>
          <w:rFonts w:hint="eastAsia" w:ascii="仿宋" w:hAnsi="仿宋" w:eastAsia="仿宋" w:cs="仿宋"/>
          <w:color w:val="000000"/>
          <w:sz w:val="28"/>
          <w:szCs w:val="28"/>
          <w:highlight w:val="none"/>
          <w:u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2024年中央农业防灾减灾和水利救灾资金农作物重大病虫害防控</w:t>
      </w:r>
      <w:r/>
    </w:p>
    <w:p>
      <w:pPr>
        <w:jc w:val="righ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货币单位：人民币元</w:t>
      </w:r>
      <w:r/>
    </w:p>
    <w:p>
      <w:pPr>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4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782"/>
        <w:gridCol w:w="726"/>
        <w:gridCol w:w="786"/>
        <w:gridCol w:w="1163"/>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单位</w:t>
            </w:r>
            <w:r/>
          </w:p>
        </w:tc>
        <w:tc>
          <w:tcPr>
            <w:shd w:val="clear" w:color="auto" w:fill="c0c0c0"/>
            <w:tcMar>
              <w:left w:w="15" w:type="dxa"/>
              <w:top w:w="15" w:type="dxa"/>
              <w:right w:w="15" w:type="dxa"/>
              <w:bottom w:w="0" w:type="dxa"/>
            </w:tcMar>
            <w:tcW w:w="782"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数量</w:t>
            </w:r>
            <w:r/>
          </w:p>
        </w:tc>
        <w:tc>
          <w:tcPr>
            <w:shd w:val="clear" w:color="auto" w:fill="c0c0c0"/>
            <w:tcMar>
              <w:left w:w="15" w:type="dxa"/>
              <w:top w:w="15" w:type="dxa"/>
              <w:right w:w="15" w:type="dxa"/>
              <w:bottom w:w="0" w:type="dxa"/>
            </w:tcMar>
            <w:tcW w:w="72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单价</w:t>
            </w:r>
            <w:r/>
          </w:p>
        </w:tc>
        <w:tc>
          <w:tcPr>
            <w:shd w:val="clear" w:color="auto" w:fill="c0c0c0"/>
            <w:tcW w:w="786"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w:t>
            </w:r>
            <w:r/>
          </w:p>
        </w:tc>
        <w:tc>
          <w:tcPr>
            <w:shd w:val="clear" w:color="auto" w:fill="c0c0c0"/>
            <w:tcMar>
              <w:left w:w="15" w:type="dxa"/>
              <w:top w:w="15" w:type="dxa"/>
              <w:right w:w="15" w:type="dxa"/>
              <w:bottom w:w="0" w:type="dxa"/>
            </w:tcMar>
            <w:tcW w:w="1163" w:type="dxa"/>
            <w:vAlign w:val="center"/>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b/>
                <w:bCs/>
                <w:color w:val="000000"/>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8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26"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8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163"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总价合计（即《开标一览表》中的“总价”）</w:t>
            </w:r>
            <w:r/>
          </w:p>
        </w:tc>
        <w:tc>
          <w:tcPr>
            <w:gridSpan w:val="6"/>
            <w:tcW w:w="6008"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41"/>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rPr>
      </w:pPr>
      <w:r>
        <w:rPr>
          <w:rFonts w:hint="eastAsia"/>
        </w:rPr>
      </w:r>
      <w:r/>
    </w:p>
    <w:p>
      <w:pPr>
        <w:jc w:val="center"/>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highlight w:val="none"/>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2024年中央农业防灾减灾和水利救灾资金农作物重大病虫害防控</w:t>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项目编号：JSZC-320312-YXYX-G2024-0017</w:t>
      </w:r>
      <w:r>
        <w:rPr>
          <w:rFonts w:hint="eastAsia" w:ascii="仿宋" w:hAnsi="仿宋" w:eastAsia="仿宋" w:cs="仿宋"/>
          <w:color w:val="000000"/>
          <w:sz w:val="28"/>
          <w:szCs w:val="28"/>
          <w:lang w:val="en-US" w:eastAsia="zh-CN"/>
        </w:rPr>
        <w:t xml:space="preserve"> </w:t>
      </w:r>
      <w:r/>
    </w:p>
    <w:tbl>
      <w:tblPr>
        <w:tblStyle w:val="749"/>
        <w:tblW w:w="9000"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404"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476"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62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126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252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7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04"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476"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52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2024年中央农业防灾减灾和水利救灾资金农作物重大病虫害防控</w:t>
      </w:r>
      <w:r>
        <w:rPr>
          <w:rFonts w:hint="eastAsia" w:ascii="仿宋" w:hAnsi="仿宋" w:eastAsia="仿宋" w:cs="仿宋"/>
          <w:color w:val="000000"/>
          <w:sz w:val="30"/>
          <w:highlight w:val="none"/>
        </w:rPr>
        <w:t xml:space="preserve">）项目（</w:t>
      </w:r>
      <w:r>
        <w:rPr>
          <w:rFonts w:hint="eastAsia" w:ascii="仿宋" w:hAnsi="仿宋" w:eastAsia="仿宋" w:cs="仿宋"/>
          <w:color w:val="000000"/>
          <w:sz w:val="30"/>
          <w:highlight w:val="none"/>
          <w:lang w:eastAsia="zh-CN"/>
        </w:rPr>
        <w:t xml:space="preserve">项目编号：JSZC-320312-YXYX-G2024-0017</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956"/>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pStyle w:val="959"/>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2024年中央农业防灾减灾和水利救灾资金农作物重大病虫害防控</w:t>
      </w:r>
      <w:r/>
    </w:p>
    <w:p>
      <w:pPr>
        <w:spacing w:line="360" w:lineRule="auto"/>
        <w:rPr>
          <w:rFonts w:hint="eastAsia" w:ascii="仿宋" w:hAnsi="仿宋" w:eastAsia="仿宋" w:cs="仿宋"/>
          <w:color w:val="ff0000"/>
          <w:sz w:val="28"/>
          <w:szCs w:val="28"/>
          <w:lang w:eastAsia="zh-CN"/>
        </w:rPr>
      </w:pPr>
      <w:r>
        <w:rPr>
          <w:rFonts w:hint="eastAsia" w:ascii="仿宋" w:hAnsi="仿宋" w:eastAsia="仿宋" w:cs="仿宋"/>
          <w:spacing w:val="6"/>
          <w:sz w:val="28"/>
          <w:szCs w:val="28"/>
          <w:lang w:eastAsia="zh-CN"/>
        </w:rPr>
        <w:t xml:space="preserve">项目编号：JSZC-320312-YXYX-G2024-0017</w:t>
      </w:r>
      <w:r/>
    </w:p>
    <w:p>
      <w:pPr>
        <w:pStyle w:val="956"/>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956"/>
        <w:numPr>
          <w:ilvl w:val="0"/>
          <w:numId w:val="4"/>
        </w:numPr>
        <w:ind w:firstLine="560"/>
        <w:jc w:val="left"/>
        <w:spacing w:line="480" w:lineRule="exact"/>
        <w:rPr>
          <w:rFonts w:hint="eastAsia" w:ascii="仿宋" w:hAnsi="仿宋" w:eastAsia="仿宋" w:cs="仿宋"/>
          <w:bCs/>
          <w:sz w:val="28"/>
          <w:szCs w:val="28"/>
        </w:rPr>
      </w:pP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956"/>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956"/>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956"/>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6"/>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956"/>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pStyle w:val="956"/>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956"/>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956"/>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956"/>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pStyle w:val="956"/>
        <w:rPr>
          <w:rFonts w:ascii="宋体" w:hAnsi="宋体"/>
          <w:sz w:val="24"/>
        </w:rPr>
      </w:pPr>
      <w:r>
        <w:rPr>
          <w:rFonts w:ascii="宋体" w:hAnsi="宋体"/>
        </w:rPr>
        <w:t xml:space="preserve">                          </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941"/>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1"/>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41"/>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rPr>
      </w:pPr>
      <w:r>
        <w:rPr>
          <w:rFonts w:hint="eastAsia"/>
        </w:rPr>
      </w:r>
      <w:r/>
    </w:p>
    <w:p>
      <w:pPr>
        <w:jc w:val="center"/>
        <w:spacing w:line="480" w:lineRule="exact"/>
        <w:rPr>
          <w:rFonts w:hint="eastAsia" w:ascii="仿宋" w:hAnsi="仿宋" w:eastAsia="仿宋" w:cs="仿宋"/>
          <w:b/>
          <w:bCs/>
          <w:spacing w:val="6"/>
          <w:sz w:val="28"/>
          <w:szCs w:val="28"/>
        </w:rPr>
      </w:pP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59"/>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2024年中央农业防灾减灾和水利救灾资金农作物重大病虫害防控</w:t>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项目编号：JSZC-320312-YXYX-G2024-0017</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 141</w:t>
      </w:r>
      <w:r>
        <w:rPr>
          <w:rFonts w:hint="eastAsia" w:ascii="仿宋" w:hAnsi="仿宋" w:eastAsia="仿宋" w:cs="仿宋"/>
          <w:spacing w:val="6"/>
          <w:sz w:val="28"/>
          <w:szCs w:val="28"/>
        </w:rPr>
        <w:t xml:space="preserve">号）的规定，本单位为符合条件的残疾人福利性单位，本单位参加</w:t>
      </w:r>
      <w:r>
        <w:rPr>
          <w:rFonts w:hint="eastAsia" w:ascii="仿宋" w:hAnsi="仿宋" w:eastAsia="仿宋" w:cs="仿宋"/>
          <w:sz w:val="28"/>
          <w:szCs w:val="28"/>
          <w:u w:val="single"/>
          <w:lang w:eastAsia="zh-CN"/>
        </w:rPr>
        <w:t xml:space="preserve">徐州市铜山区农业农村局（机关）的</w:t>
      </w:r>
      <w:r>
        <w:rPr>
          <w:rFonts w:hint="eastAsia" w:ascii="仿宋" w:hAnsi="仿宋" w:eastAsia="仿宋" w:cs="仿宋"/>
          <w:color w:val="000000"/>
          <w:sz w:val="28"/>
          <w:szCs w:val="28"/>
          <w:u w:val="single"/>
          <w:lang w:eastAsia="zh-CN"/>
        </w:rPr>
        <w:t xml:space="preserve">2024年中央农业防灾减灾和水利救灾资金农作物重大病虫害防控</w:t>
      </w:r>
      <w:r>
        <w:rPr>
          <w:rFonts w:hint="eastAsia" w:ascii="仿宋" w:hAnsi="仿宋" w:eastAsia="仿宋" w:cs="仿宋"/>
          <w:spacing w:val="6"/>
          <w:sz w:val="28"/>
          <w:szCs w:val="28"/>
        </w:rPr>
        <w:t xml:space="preserve">的服务由本单位承担。</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徐州市铜山区农业农村局（机关）2024年中央农业防灾减灾和水利救灾资金农作物重大病虫害防控</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项目编号：JSZC-320312-YXYX-G2024-0017</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九、具备履行合同所必需的设备和专业技术能力的书面声明（附证明材料扫描件）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59"/>
        <w:ind w:firstLine="560"/>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2024年中央农业防灾减灾和水利救灾资金农作物重大病虫害防控</w:t>
      </w:r>
      <w:r>
        <w:rPr>
          <w:rFonts w:hint="eastAsia" w:ascii="仿宋" w:hAnsi="仿宋" w:eastAsia="仿宋" w:cs="仿宋"/>
          <w:color w:val="000000"/>
          <w:sz w:val="28"/>
          <w:szCs w:val="28"/>
        </w:rPr>
        <w:t xml:space="preserve"> </w:t>
      </w:r>
      <w:r/>
    </w:p>
    <w:p>
      <w:pPr>
        <w:ind w:firstLine="480"/>
        <w:spacing w:line="360" w:lineRule="auto"/>
        <w:widowControl w:val="off"/>
        <w:rPr>
          <w:rFonts w:hint="eastAsia" w:ascii="仿宋" w:hAnsi="仿宋" w:eastAsia="仿宋" w:cs="仿宋"/>
          <w:color w:val="000000"/>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color w:val="000000"/>
          <w:sz w:val="28"/>
          <w:szCs w:val="28"/>
          <w:lang w:eastAsia="zh-CN"/>
        </w:rPr>
        <w:t xml:space="preserve">项目编号：JSZC-320312-YXYX-G2024-0017</w:t>
      </w:r>
      <w:r/>
    </w:p>
    <w:p>
      <w:pPr>
        <w:pStyle w:val="959"/>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2024年中央农业防灾减灾和水利救灾资金农作物重大病虫害防控</w:t>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项目编号：JSZC-320312-YXYX-G2024-0017）</w:t>
      </w:r>
      <w:r>
        <w:rPr>
          <w:rFonts w:hint="eastAsia" w:ascii="仿宋" w:hAnsi="仿宋" w:eastAsia="仿宋" w:cs="仿宋"/>
          <w:sz w:val="28"/>
          <w:szCs w:val="28"/>
        </w:rPr>
        <w:t xml:space="preserve">所必需的设备和专业技术能力，具体为：</w:t>
      </w:r>
      <w:r/>
    </w:p>
    <w:p>
      <w:pPr>
        <w:pStyle w:val="956"/>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6"/>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6"/>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56"/>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956"/>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960"/>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p>
    <w:p>
      <w:pPr>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bookmarkStart w:id="4" w:name="_GoBack"/>
      <w:r/>
      <w:bookmarkEnd w:id="4"/>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27"/>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929"/>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Courier New">
    <w:panose1 w:val="02070309020205020404"/>
  </w:font>
  <w:font w:name="仿宋_GB2312">
    <w:panose1 w:val="02010609060101010101"/>
  </w:font>
  <w:font w:name="黑体">
    <w:panose1 w:val="02010609060101010101"/>
  </w:font>
  <w:font w:name="Verdana">
    <w:panose1 w:val="020B0604030504040204"/>
  </w:font>
  <w:font w:name="Calibri">
    <w:panose1 w:val="020F0502020204030204"/>
  </w:font>
  <w:font w:name="Cambria">
    <w:panose1 w:val="02040503050406030204"/>
  </w:font>
  <w:font w:name="Symbol">
    <w:panose1 w:val="05050102010706020507"/>
  </w:font>
  <w:font w:name="新宋体">
    <w:panose1 w:val="0201060903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771"/>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72"/>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73"/>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74"/>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75"/>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76"/>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78"/>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79"/>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rPr>
  </w:style>
  <w:style w:type="paragraph" w:styleId="752">
    <w:name w:val="toc 5"/>
    <w:basedOn w:val="738"/>
    <w:next w:val="738"/>
    <w:uiPriority w:val="39"/>
    <w:unhideWhenUsed/>
    <w:qFormat/>
    <w:pPr>
      <w:ind w:left="1134" w:right="0" w:firstLine="0"/>
      <w:spacing w:after="57"/>
    </w:pPr>
  </w:style>
  <w:style w:type="paragraph" w:styleId="753">
    <w:name w:val="toc 3"/>
    <w:basedOn w:val="738"/>
    <w:next w:val="738"/>
    <w:uiPriority w:val="39"/>
    <w:unhideWhenUsed/>
    <w:qFormat/>
    <w:pPr>
      <w:ind w:left="567" w:right="0" w:firstLine="0"/>
      <w:spacing w:after="57"/>
    </w:pPr>
  </w:style>
  <w:style w:type="paragraph" w:styleId="754">
    <w:name w:val="toc 8"/>
    <w:basedOn w:val="738"/>
    <w:next w:val="738"/>
    <w:uiPriority w:val="39"/>
    <w:unhideWhenUsed/>
    <w:qFormat/>
    <w:pPr>
      <w:ind w:left="1984" w:right="0" w:firstLine="0"/>
      <w:spacing w:after="57"/>
    </w:pPr>
  </w:style>
  <w:style w:type="paragraph" w:styleId="755">
    <w:name w:val="endnote text"/>
    <w:basedOn w:val="738"/>
    <w:link w:val="917"/>
    <w:uiPriority w:val="99"/>
    <w:semiHidden/>
    <w:unhideWhenUsed/>
    <w:qFormat/>
    <w:pPr>
      <w:spacing w:after="0" w:line="240" w:lineRule="auto"/>
    </w:pPr>
    <w:rPr>
      <w:sz w:val="20"/>
    </w:rPr>
  </w:style>
  <w:style w:type="paragraph" w:styleId="756">
    <w:name w:val="Footer"/>
    <w:basedOn w:val="738"/>
    <w:link w:val="790"/>
    <w:uiPriority w:val="99"/>
    <w:unhideWhenUsed/>
    <w:qFormat/>
    <w:pPr>
      <w:spacing w:after="0" w:line="240" w:lineRule="auto"/>
      <w:tabs>
        <w:tab w:val="center" w:pos="7143" w:leader="none"/>
        <w:tab w:val="right" w:pos="14287" w:leader="none"/>
      </w:tabs>
    </w:pPr>
  </w:style>
  <w:style w:type="paragraph" w:styleId="757">
    <w:name w:val="Header"/>
    <w:basedOn w:val="738"/>
    <w:link w:val="788"/>
    <w:uiPriority w:val="99"/>
    <w:unhideWhenUsed/>
    <w:qFormat/>
    <w:pPr>
      <w:spacing w:after="0" w:line="240" w:lineRule="auto"/>
      <w:tabs>
        <w:tab w:val="center" w:pos="7143" w:leader="none"/>
        <w:tab w:val="right" w:pos="14287" w:leader="none"/>
      </w:tabs>
    </w:pPr>
  </w:style>
  <w:style w:type="paragraph" w:styleId="758">
    <w:name w:val="toc 1"/>
    <w:basedOn w:val="738"/>
    <w:next w:val="738"/>
    <w:uiPriority w:val="39"/>
    <w:unhideWhenUsed/>
    <w:qFormat/>
    <w:pPr>
      <w:ind w:left="0" w:right="0" w:firstLine="0"/>
      <w:spacing w:after="57"/>
    </w:pPr>
  </w:style>
  <w:style w:type="paragraph" w:styleId="759">
    <w:name w:val="toc 4"/>
    <w:basedOn w:val="738"/>
    <w:next w:val="738"/>
    <w:uiPriority w:val="39"/>
    <w:unhideWhenUsed/>
    <w:qFormat/>
    <w:pPr>
      <w:ind w:left="850" w:right="0" w:firstLine="0"/>
      <w:spacing w:after="57"/>
    </w:pPr>
  </w:style>
  <w:style w:type="paragraph" w:styleId="760">
    <w:name w:val="Subtitle"/>
    <w:basedOn w:val="738"/>
    <w:next w:val="738"/>
    <w:link w:val="783"/>
    <w:uiPriority w:val="11"/>
    <w:qFormat/>
    <w:pPr>
      <w:spacing w:before="200" w:after="200"/>
    </w:pPr>
    <w:rPr>
      <w:sz w:val="24"/>
      <w:szCs w:val="24"/>
    </w:rPr>
  </w:style>
  <w:style w:type="paragraph" w:styleId="761">
    <w:name w:val="footnote text"/>
    <w:basedOn w:val="738"/>
    <w:link w:val="916"/>
    <w:uiPriority w:val="99"/>
    <w:semiHidden/>
    <w:unhideWhenUsed/>
    <w:qFormat/>
    <w:pPr>
      <w:spacing w:after="40" w:line="240" w:lineRule="auto"/>
    </w:pPr>
    <w:rPr>
      <w:sz w:val="18"/>
    </w:rPr>
  </w:style>
  <w:style w:type="paragraph" w:styleId="762">
    <w:name w:val="toc 6"/>
    <w:basedOn w:val="738"/>
    <w:next w:val="738"/>
    <w:uiPriority w:val="39"/>
    <w:unhideWhenUsed/>
    <w:qFormat/>
    <w:pPr>
      <w:ind w:left="1417" w:right="0" w:firstLine="0"/>
      <w:spacing w:after="57"/>
    </w:pPr>
  </w:style>
  <w:style w:type="paragraph" w:styleId="763">
    <w:name w:val="table of figures"/>
    <w:basedOn w:val="738"/>
    <w:next w:val="738"/>
    <w:uiPriority w:val="99"/>
    <w:unhideWhenUsed/>
    <w:qFormat/>
    <w:pPr>
      <w:spacing w:after="0" w:afterAutospacing="0"/>
    </w:pPr>
  </w:style>
  <w:style w:type="paragraph" w:styleId="764">
    <w:name w:val="toc 2"/>
    <w:basedOn w:val="738"/>
    <w:next w:val="738"/>
    <w:uiPriority w:val="39"/>
    <w:unhideWhenUsed/>
    <w:qFormat/>
    <w:pPr>
      <w:ind w:left="283" w:right="0" w:firstLine="0"/>
      <w:spacing w:after="57"/>
    </w:pPr>
  </w:style>
  <w:style w:type="paragraph" w:styleId="765">
    <w:name w:val="toc 9"/>
    <w:basedOn w:val="738"/>
    <w:next w:val="738"/>
    <w:uiPriority w:val="39"/>
    <w:unhideWhenUsed/>
    <w:pPr>
      <w:ind w:left="2268" w:right="0" w:firstLine="0"/>
      <w:spacing w:after="57"/>
    </w:pPr>
  </w:style>
  <w:style w:type="paragraph" w:styleId="766">
    <w:name w:val="Title"/>
    <w:basedOn w:val="738"/>
    <w:next w:val="738"/>
    <w:link w:val="782"/>
    <w:uiPriority w:val="10"/>
    <w:qFormat/>
    <w:pPr>
      <w:contextualSpacing/>
      <w:spacing w:before="300" w:after="200"/>
    </w:pPr>
    <w:rPr>
      <w:sz w:val="48"/>
      <w:szCs w:val="48"/>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rPr>
      <w:vertAlign w:val="superscript"/>
    </w:rPr>
  </w:style>
  <w:style w:type="character" w:styleId="769">
    <w:name w:val="Hyperlink"/>
    <w:uiPriority w:val="99"/>
    <w:unhideWhenUsed/>
    <w:rPr>
      <w:color w:val="0000ff" w:themeColor="hyperlink"/>
      <w:u w:val="single"/>
    </w:rPr>
  </w:style>
  <w:style w:type="character" w:styleId="770">
    <w:name w:val="footnote reference"/>
    <w:uiPriority w:val="99"/>
    <w:unhideWhenUsed/>
    <w:rPr>
      <w:vertAlign w:val="superscript"/>
    </w:rPr>
  </w:style>
  <w:style w:type="character" w:styleId="771" w:customStyle="1">
    <w:name w:val="Heading 1 Char"/>
    <w:link w:val="739"/>
    <w:uiPriority w:val="9"/>
    <w:qFormat/>
    <w:rPr>
      <w:rFonts w:ascii="Arial" w:hAnsi="Arial" w:eastAsia="Arial" w:cs="Arial"/>
      <w:sz w:val="40"/>
      <w:szCs w:val="40"/>
    </w:rPr>
  </w:style>
  <w:style w:type="character" w:styleId="772" w:customStyle="1">
    <w:name w:val="Heading 2 Char"/>
    <w:link w:val="740"/>
    <w:uiPriority w:val="9"/>
    <w:rPr>
      <w:rFonts w:ascii="Arial" w:hAnsi="Arial" w:eastAsia="Arial" w:cs="Arial"/>
      <w:sz w:val="34"/>
    </w:rPr>
  </w:style>
  <w:style w:type="character" w:styleId="773" w:customStyle="1">
    <w:name w:val="Heading 3 Char"/>
    <w:link w:val="741"/>
    <w:uiPriority w:val="9"/>
    <w:qFormat/>
    <w:rPr>
      <w:rFonts w:ascii="Arial" w:hAnsi="Arial" w:eastAsia="Arial" w:cs="Arial"/>
      <w:sz w:val="30"/>
      <w:szCs w:val="30"/>
    </w:rPr>
  </w:style>
  <w:style w:type="character" w:styleId="774" w:customStyle="1">
    <w:name w:val="Heading 4 Char"/>
    <w:link w:val="742"/>
    <w:uiPriority w:val="9"/>
    <w:rPr>
      <w:rFonts w:ascii="Arial" w:hAnsi="Arial" w:eastAsia="Arial" w:cs="Arial"/>
      <w:b/>
      <w:bCs/>
      <w:sz w:val="26"/>
      <w:szCs w:val="26"/>
    </w:rPr>
  </w:style>
  <w:style w:type="character" w:styleId="775" w:customStyle="1">
    <w:name w:val="Heading 5 Char"/>
    <w:link w:val="743"/>
    <w:uiPriority w:val="9"/>
    <w:qFormat/>
    <w:rPr>
      <w:rFonts w:ascii="Arial" w:hAnsi="Arial" w:eastAsia="Arial" w:cs="Arial"/>
      <w:b/>
      <w:bCs/>
      <w:sz w:val="24"/>
      <w:szCs w:val="24"/>
    </w:rPr>
  </w:style>
  <w:style w:type="character" w:styleId="776" w:customStyle="1">
    <w:name w:val="Heading 6 Char"/>
    <w:link w:val="744"/>
    <w:uiPriority w:val="9"/>
    <w:qFormat/>
    <w:rPr>
      <w:rFonts w:ascii="Arial" w:hAnsi="Arial" w:eastAsia="Arial" w:cs="Arial"/>
      <w:b/>
      <w:bCs/>
      <w:sz w:val="22"/>
      <w:szCs w:val="22"/>
    </w:rPr>
  </w:style>
  <w:style w:type="character" w:styleId="777" w:customStyle="1">
    <w:name w:val="Heading 7 Char"/>
    <w:link w:val="745"/>
    <w:uiPriority w:val="9"/>
    <w:rPr>
      <w:rFonts w:ascii="Arial" w:hAnsi="Arial" w:eastAsia="Arial" w:cs="Arial"/>
      <w:b/>
      <w:bCs/>
      <w:i/>
      <w:iCs/>
      <w:sz w:val="22"/>
      <w:szCs w:val="22"/>
    </w:rPr>
  </w:style>
  <w:style w:type="character" w:styleId="778" w:customStyle="1">
    <w:name w:val="Heading 8 Char"/>
    <w:link w:val="746"/>
    <w:uiPriority w:val="9"/>
    <w:qFormat/>
    <w:rPr>
      <w:rFonts w:ascii="Arial" w:hAnsi="Arial" w:eastAsia="Arial" w:cs="Arial"/>
      <w:i/>
      <w:iCs/>
      <w:sz w:val="22"/>
      <w:szCs w:val="22"/>
    </w:rPr>
  </w:style>
  <w:style w:type="character" w:styleId="779" w:customStyle="1">
    <w:name w:val="Heading 9 Char"/>
    <w:link w:val="747"/>
    <w:uiPriority w:val="9"/>
    <w:rPr>
      <w:rFonts w:ascii="Arial" w:hAnsi="Arial" w:eastAsia="Arial" w:cs="Arial"/>
      <w:i/>
      <w:iCs/>
      <w:sz w:val="21"/>
      <w:szCs w:val="21"/>
    </w:rPr>
  </w:style>
  <w:style w:type="paragraph" w:styleId="780">
    <w:name w:val="List Paragraph"/>
    <w:basedOn w:val="738"/>
    <w:uiPriority w:val="34"/>
    <w:qFormat/>
    <w:pPr>
      <w:contextualSpacing/>
      <w:ind w:left="720"/>
    </w:pPr>
  </w:style>
  <w:style w:type="paragraph" w:styleId="781">
    <w:name w:val="No Spacing"/>
    <w:uiPriority w:val="1"/>
    <w:qFormat/>
    <w:pPr>
      <w:spacing w:before="0" w:after="0" w:line="240" w:lineRule="auto"/>
    </w:pPr>
    <w:rPr>
      <w:rFonts w:hint="default" w:ascii="Times New Roman" w:hAnsi="Times New Roman" w:eastAsia="宋体" w:cs="Times New Roman"/>
    </w:rPr>
  </w:style>
  <w:style w:type="character" w:styleId="782" w:customStyle="1">
    <w:name w:val="Title Char"/>
    <w:link w:val="766"/>
    <w:uiPriority w:val="10"/>
    <w:qFormat/>
    <w:rPr>
      <w:sz w:val="48"/>
      <w:szCs w:val="48"/>
    </w:rPr>
  </w:style>
  <w:style w:type="character" w:styleId="783" w:customStyle="1">
    <w:name w:val="Subtitle Char"/>
    <w:link w:val="760"/>
    <w:uiPriority w:val="11"/>
    <w:qFormat/>
    <w:rPr>
      <w:sz w:val="24"/>
      <w:szCs w:val="24"/>
    </w:rPr>
  </w:style>
  <w:style w:type="paragraph" w:styleId="784">
    <w:name w:val="Quote"/>
    <w:basedOn w:val="738"/>
    <w:next w:val="738"/>
    <w:link w:val="785"/>
    <w:uiPriority w:val="29"/>
    <w:qFormat/>
    <w:pPr>
      <w:ind w:left="720" w:right="720"/>
    </w:pPr>
    <w:rPr>
      <w:i/>
    </w:rPr>
  </w:style>
  <w:style w:type="character" w:styleId="785" w:customStyle="1">
    <w:name w:val="Quote Char"/>
    <w:link w:val="784"/>
    <w:uiPriority w:val="29"/>
    <w:rPr>
      <w:i/>
    </w:rPr>
  </w:style>
  <w:style w:type="paragraph" w:styleId="786">
    <w:name w:val="Intense Quote"/>
    <w:basedOn w:val="738"/>
    <w:next w:val="738"/>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Intense Quote Char"/>
    <w:link w:val="786"/>
    <w:uiPriority w:val="30"/>
    <w:qFormat/>
    <w:rPr>
      <w:i/>
    </w:rPr>
  </w:style>
  <w:style w:type="character" w:styleId="788" w:customStyle="1">
    <w:name w:val="Header Char"/>
    <w:link w:val="757"/>
    <w:uiPriority w:val="99"/>
    <w:qFormat/>
  </w:style>
  <w:style w:type="character" w:styleId="789" w:customStyle="1">
    <w:name w:val="Footer Char"/>
    <w:link w:val="756"/>
    <w:uiPriority w:val="99"/>
    <w:qFormat/>
  </w:style>
  <w:style w:type="character" w:styleId="790" w:customStyle="1">
    <w:name w:val="Caption Char"/>
    <w:link w:val="756"/>
    <w:uiPriority w:val="99"/>
    <w:qFormat/>
  </w:style>
  <w:style w:type="table" w:styleId="79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4"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6"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7"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8"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1"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9"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0"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6"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3"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5"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6"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7"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8"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9"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0"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1"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2"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3"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4"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5"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6"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7"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5"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1"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2"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3"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4"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5"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6" w:customStyle="1">
    <w:name w:val="Footnote Text Char"/>
    <w:link w:val="761"/>
    <w:uiPriority w:val="99"/>
    <w:rPr>
      <w:sz w:val="18"/>
    </w:rPr>
  </w:style>
  <w:style w:type="character" w:styleId="917" w:customStyle="1">
    <w:name w:val="Endnote Text Char"/>
    <w:link w:val="755"/>
    <w:uiPriority w:val="99"/>
    <w:rPr>
      <w:sz w:val="20"/>
    </w:rPr>
  </w:style>
  <w:style w:type="paragraph" w:styleId="918" w:customStyle="1">
    <w:name w:val="TOC Heading"/>
    <w:uiPriority w:val="39"/>
    <w:unhideWhenUsed/>
    <w:rPr>
      <w:rFonts w:hint="default" w:ascii="Times New Roman" w:hAnsi="Times New Roman" w:eastAsia="宋体" w:cs="Times New Roman"/>
    </w:rPr>
  </w:style>
  <w:style w:type="paragraph" w:styleId="919" w:customStyle="1">
    <w:name w:val="标题 111"/>
    <w:basedOn w:val="738"/>
    <w:next w:val="738"/>
    <w:uiPriority w:val="0"/>
    <w:qFormat/>
    <w:pPr>
      <w:jc w:val="center"/>
      <w:keepLines/>
      <w:keepNext/>
      <w:spacing w:line="578" w:lineRule="auto"/>
      <w:outlineLvl w:val="0"/>
    </w:pPr>
    <w:rPr>
      <w:rFonts w:eastAsia="新宋体"/>
      <w:b/>
      <w:bCs/>
      <w:sz w:val="30"/>
      <w:szCs w:val="44"/>
    </w:rPr>
  </w:style>
  <w:style w:type="paragraph" w:styleId="920" w:customStyle="1">
    <w:name w:val="标题 211"/>
    <w:basedOn w:val="738"/>
    <w:next w:val="738"/>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21" w:customStyle="1">
    <w:name w:val="标题 31"/>
    <w:basedOn w:val="738"/>
    <w:next w:val="738"/>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22" w:customStyle="1">
    <w:name w:val="默认段落字体1"/>
    <w:link w:val="738"/>
    <w:uiPriority w:val="0"/>
    <w:semiHidden/>
    <w:qFormat/>
  </w:style>
  <w:style w:type="table" w:styleId="923" w:customStyle="1">
    <w:name w:val="普通表格111"/>
    <w:uiPriority w:val="0"/>
    <w:semiHidden/>
    <w:qFormat/>
    <w:tblPr/>
  </w:style>
  <w:style w:type="paragraph" w:styleId="924" w:customStyle="1">
    <w:name w:val="正文缩进1"/>
    <w:basedOn w:val="738"/>
    <w:uiPriority w:val="0"/>
    <w:qFormat/>
    <w:pPr>
      <w:ind w:firstLine="420"/>
    </w:pPr>
  </w:style>
  <w:style w:type="paragraph" w:styleId="925" w:customStyle="1">
    <w:name w:val="索引 511"/>
    <w:basedOn w:val="738"/>
    <w:next w:val="738"/>
    <w:uiPriority w:val="0"/>
    <w:pPr>
      <w:ind w:left="798"/>
      <w:jc w:val="left"/>
    </w:pPr>
    <w:rPr>
      <w:rFonts w:ascii="Calibri" w:hAnsi="Calibri" w:eastAsia="宋体" w:cs="Times New Roman"/>
      <w:sz w:val="21"/>
      <w:szCs w:val="24"/>
    </w:rPr>
  </w:style>
  <w:style w:type="paragraph" w:styleId="926" w:customStyle="1">
    <w:name w:val="正文文本12"/>
    <w:basedOn w:val="738"/>
    <w:next w:val="738"/>
    <w:uiPriority w:val="99"/>
    <w:qFormat/>
    <w:pPr>
      <w:spacing w:after="120"/>
    </w:pPr>
    <w:rPr>
      <w:rFonts w:ascii="Calibri" w:hAnsi="Calibri"/>
    </w:rPr>
  </w:style>
  <w:style w:type="paragraph" w:styleId="927" w:customStyle="1">
    <w:name w:val="正文文本缩进12"/>
    <w:basedOn w:val="738"/>
    <w:next w:val="928"/>
    <w:uiPriority w:val="0"/>
    <w:qFormat/>
    <w:pPr>
      <w:ind w:left="420"/>
      <w:spacing w:after="120"/>
    </w:pPr>
    <w:rPr>
      <w:rFonts w:ascii="Calibri" w:hAnsi="Calibri"/>
    </w:rPr>
  </w:style>
  <w:style w:type="paragraph" w:styleId="928" w:customStyle="1">
    <w:name w:val="寄信人地址11"/>
    <w:basedOn w:val="738"/>
    <w:uiPriority w:val="0"/>
    <w:qFormat/>
    <w:rPr>
      <w:rFonts w:ascii="Arial" w:hAnsi="Arial" w:eastAsia="宋体" w:cs="Times New Roman"/>
    </w:rPr>
  </w:style>
  <w:style w:type="paragraph" w:styleId="929" w:customStyle="1">
    <w:name w:val="文本块11"/>
    <w:basedOn w:val="738"/>
    <w:uiPriority w:val="99"/>
    <w:unhideWhenUsed/>
    <w:qFormat/>
    <w:pPr>
      <w:ind w:left="1440" w:right="1440"/>
      <w:spacing w:after="120"/>
    </w:pPr>
  </w:style>
  <w:style w:type="paragraph" w:styleId="930" w:customStyle="1">
    <w:name w:val="索引 412"/>
    <w:basedOn w:val="738"/>
    <w:next w:val="738"/>
    <w:uiPriority w:val="0"/>
    <w:qFormat/>
    <w:pPr>
      <w:ind w:left="1260"/>
    </w:pPr>
  </w:style>
  <w:style w:type="paragraph" w:styleId="931" w:customStyle="1">
    <w:name w:val="页脚11"/>
    <w:basedOn w:val="738"/>
    <w:uiPriority w:val="99"/>
    <w:qFormat/>
    <w:pPr>
      <w:jc w:val="left"/>
      <w:tabs>
        <w:tab w:val="center" w:pos="4153" w:leader="none"/>
        <w:tab w:val="right" w:pos="8306" w:leader="none"/>
      </w:tabs>
    </w:pPr>
    <w:rPr>
      <w:sz w:val="18"/>
      <w:szCs w:val="18"/>
    </w:rPr>
  </w:style>
  <w:style w:type="paragraph" w:styleId="932" w:customStyle="1">
    <w:name w:val="页眉11"/>
    <w:basedOn w:val="738"/>
    <w:uiPriority w:val="99"/>
    <w:qFormat/>
    <w:pPr>
      <w:jc w:val="center"/>
      <w:tabs>
        <w:tab w:val="center" w:pos="4153" w:leader="none"/>
        <w:tab w:val="right" w:pos="8306" w:leader="none"/>
      </w:tabs>
      <w:pBdr>
        <w:bottom w:val="single" w:color="000000" w:sz="6" w:space="1"/>
      </w:pBdr>
    </w:pPr>
    <w:rPr>
      <w:sz w:val="18"/>
      <w:szCs w:val="18"/>
    </w:rPr>
  </w:style>
  <w:style w:type="paragraph" w:styleId="933" w:customStyle="1">
    <w:name w:val="目录 1111"/>
    <w:basedOn w:val="738"/>
    <w:next w:val="738"/>
    <w:uiPriority w:val="39"/>
    <w:unhideWhenUsed/>
    <w:qFormat/>
    <w:pPr>
      <w:ind w:left="0" w:right="0" w:firstLine="0"/>
      <w:spacing w:after="57"/>
    </w:pPr>
  </w:style>
  <w:style w:type="paragraph" w:styleId="934" w:customStyle="1">
    <w:name w:val="脚注文本11"/>
    <w:basedOn w:val="738"/>
    <w:next w:val="925"/>
    <w:uiPriority w:val="0"/>
    <w:qFormat/>
    <w:pPr>
      <w:jc w:val="left"/>
    </w:pPr>
    <w:rPr>
      <w:rFonts w:ascii="Calibri" w:hAnsi="Calibri" w:eastAsia="宋体" w:cs="Times New Roman"/>
      <w:sz w:val="18"/>
      <w:szCs w:val="24"/>
    </w:rPr>
  </w:style>
  <w:style w:type="paragraph" w:styleId="935" w:customStyle="1">
    <w:name w:val="普通(网站)1"/>
    <w:basedOn w:val="738"/>
    <w:uiPriority w:val="0"/>
    <w:qFormat/>
    <w:pPr>
      <w:spacing w:before="100" w:beforeAutospacing="1" w:after="100" w:afterAutospacing="1"/>
    </w:pPr>
    <w:rPr>
      <w:rFonts w:ascii="宋体" w:hAnsi="宋体"/>
      <w:sz w:val="24"/>
    </w:rPr>
  </w:style>
  <w:style w:type="paragraph" w:styleId="936" w:customStyle="1">
    <w:name w:val="正文首行缩进12"/>
    <w:basedOn w:val="926"/>
    <w:next w:val="937"/>
    <w:uiPriority w:val="0"/>
    <w:qFormat/>
    <w:pPr>
      <w:ind w:firstLine="420"/>
    </w:pPr>
  </w:style>
  <w:style w:type="paragraph" w:styleId="937" w:customStyle="1">
    <w:name w:val="正文首行缩进 2111"/>
    <w:basedOn w:val="927"/>
    <w:next w:val="738"/>
    <w:uiPriority w:val="0"/>
    <w:qFormat/>
    <w:pPr>
      <w:ind w:firstLine="420"/>
      <w:spacing w:line="360" w:lineRule="auto"/>
    </w:pPr>
    <w:rPr>
      <w:color w:val="000000"/>
      <w:sz w:val="20"/>
    </w:rPr>
  </w:style>
  <w:style w:type="table" w:styleId="938" w:customStyle="1">
    <w:name w:val="网格型12"/>
    <w:basedOn w:val="923"/>
    <w:uiPriority w:val="39"/>
    <w:qFormat/>
    <w:tblPr/>
  </w:style>
  <w:style w:type="character" w:styleId="939" w:customStyle="1">
    <w:name w:val="页码1"/>
    <w:basedOn w:val="922"/>
    <w:link w:val="738"/>
    <w:uiPriority w:val="0"/>
    <w:qFormat/>
  </w:style>
  <w:style w:type="character" w:styleId="940" w:customStyle="1">
    <w:name w:val="超链接1"/>
    <w:basedOn w:val="922"/>
    <w:link w:val="738"/>
    <w:uiPriority w:val="99"/>
    <w:unhideWhenUsed/>
    <w:qFormat/>
    <w:rPr>
      <w:color w:val="0000ff"/>
      <w:u w:val="none"/>
    </w:rPr>
  </w:style>
  <w:style w:type="paragraph" w:styleId="941" w:customStyle="1">
    <w:name w:val="正文1"/>
    <w:basedOn w:val="942"/>
    <w:next w:val="947"/>
    <w:uiPriority w:val="0"/>
    <w:qFormat/>
    <w:pPr>
      <w:jc w:val="left"/>
      <w:spacing w:line="360" w:lineRule="atLeast"/>
    </w:pPr>
    <w:rPr>
      <w:rFonts w:ascii="宋体" w:hAnsi="Calibri" w:eastAsia="宋体" w:cs="Times New Roman"/>
      <w:sz w:val="24"/>
      <w:szCs w:val="20"/>
    </w:rPr>
  </w:style>
  <w:style w:type="paragraph" w:styleId="942" w:customStyle="1">
    <w:name w:val="正文112"/>
    <w:next w:val="9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3" w:customStyle="1">
    <w:name w:val="页脚1"/>
    <w:basedOn w:val="944"/>
    <w:uiPriority w:val="0"/>
    <w:qFormat/>
    <w:pPr>
      <w:jc w:val="left"/>
      <w:tabs>
        <w:tab w:val="center" w:pos="4153" w:leader="none"/>
        <w:tab w:val="right" w:pos="8306" w:leader="none"/>
      </w:tabs>
    </w:pPr>
    <w:rPr>
      <w:sz w:val="18"/>
      <w:szCs w:val="18"/>
    </w:rPr>
  </w:style>
  <w:style w:type="paragraph" w:styleId="944" w:customStyle="1">
    <w:name w:val="正文113"/>
    <w:next w:val="945"/>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945" w:customStyle="1">
    <w:name w:val="BodyText1I21"/>
    <w:basedOn w:val="946"/>
    <w:uiPriority w:val="0"/>
    <w:qFormat/>
    <w:pPr>
      <w:ind w:firstLine="420"/>
      <w:spacing w:line="240" w:lineRule="auto"/>
    </w:pPr>
    <w:rPr>
      <w:sz w:val="21"/>
    </w:rPr>
  </w:style>
  <w:style w:type="paragraph" w:styleId="946" w:customStyle="1">
    <w:name w:val="BodyTextIndent1"/>
    <w:basedOn w:val="944"/>
    <w:uiPriority w:val="0"/>
    <w:qFormat/>
    <w:pPr>
      <w:ind w:left="420" w:firstLine="200"/>
      <w:spacing w:after="120" w:line="360" w:lineRule="auto"/>
    </w:pPr>
    <w:rPr>
      <w:rFonts w:ascii="Verdana" w:hAnsi="Verdana"/>
      <w:sz w:val="24"/>
      <w:szCs w:val="28"/>
    </w:rPr>
  </w:style>
  <w:style w:type="paragraph" w:styleId="947" w:customStyle="1">
    <w:name w:val="正文1111"/>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BodyText1I211"/>
    <w:basedOn w:val="949"/>
    <w:uiPriority w:val="0"/>
    <w:qFormat/>
    <w:pPr>
      <w:ind w:firstLine="420"/>
      <w:spacing w:line="240" w:lineRule="auto"/>
    </w:pPr>
    <w:rPr>
      <w:sz w:val="21"/>
    </w:rPr>
  </w:style>
  <w:style w:type="paragraph" w:styleId="949" w:customStyle="1">
    <w:name w:val="BodyTextIndent11"/>
    <w:basedOn w:val="944"/>
    <w:uiPriority w:val="0"/>
    <w:qFormat/>
    <w:pPr>
      <w:ind w:left="420" w:firstLine="200"/>
      <w:spacing w:after="120" w:line="360" w:lineRule="auto"/>
    </w:pPr>
    <w:rPr>
      <w:rFonts w:ascii="Verdana" w:hAnsi="Verdana"/>
      <w:sz w:val="24"/>
      <w:szCs w:val="28"/>
    </w:rPr>
  </w:style>
  <w:style w:type="character" w:styleId="950" w:customStyle="1">
    <w:name w:val="NormalCharacter1"/>
    <w:link w:val="738"/>
    <w:uiPriority w:val="0"/>
    <w:semiHidden/>
    <w:qFormat/>
    <w:rPr>
      <w:sz w:val="28"/>
      <w:lang w:val="en-US" w:eastAsia="zh-CN" w:bidi="ar-SA"/>
    </w:rPr>
  </w:style>
  <w:style w:type="paragraph" w:styleId="951" w:customStyle="1">
    <w:name w:val="段"/>
    <w:basedOn w:val="941"/>
    <w:next w:val="941"/>
    <w:uiPriority w:val="0"/>
    <w:qFormat/>
    <w:pPr>
      <w:ind w:firstLine="200"/>
      <w:widowControl/>
    </w:pPr>
    <w:rPr>
      <w:sz w:val="20"/>
    </w:rPr>
  </w:style>
  <w:style w:type="paragraph" w:styleId="952" w:customStyle="1">
    <w:name w:val="正文文本缩进11"/>
    <w:basedOn w:val="953"/>
    <w:uiPriority w:val="0"/>
    <w:qFormat/>
    <w:pPr>
      <w:ind w:firstLine="425"/>
      <w:spacing w:line="360" w:lineRule="auto"/>
    </w:pPr>
  </w:style>
  <w:style w:type="paragraph" w:styleId="953" w:customStyle="1">
    <w:name w:val="正文111"/>
    <w:next w:val="9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4" w:customStyle="1">
    <w:name w:val="正文首行缩进11"/>
    <w:basedOn w:val="955"/>
    <w:uiPriority w:val="0"/>
    <w:qFormat/>
    <w:pPr>
      <w:ind w:firstLine="420"/>
    </w:pPr>
    <w:rPr>
      <w:sz w:val="24"/>
    </w:rPr>
  </w:style>
  <w:style w:type="paragraph" w:styleId="955" w:customStyle="1">
    <w:name w:val="正文文本11"/>
    <w:basedOn w:val="956"/>
    <w:next w:val="953"/>
    <w:uiPriority w:val="0"/>
    <w:qFormat/>
    <w:pPr>
      <w:spacing w:after="120"/>
    </w:pPr>
  </w:style>
  <w:style w:type="paragraph" w:styleId="956" w:customStyle="1">
    <w:name w:val="正文11"/>
    <w:next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7" w:customStyle="1">
    <w:name w:val="标题 21"/>
    <w:basedOn w:val="941"/>
    <w:next w:val="956"/>
    <w:uiPriority w:val="0"/>
    <w:qFormat/>
    <w:pPr>
      <w:jc w:val="left"/>
      <w:keepLines/>
      <w:keepNext/>
      <w:spacing w:before="50"/>
      <w:tabs>
        <w:tab w:val="left" w:pos="0" w:leader="none"/>
      </w:tabs>
    </w:pPr>
    <w:rPr>
      <w:rFonts w:ascii="Arial" w:hAnsi="Arial" w:eastAsia="黑体"/>
      <w:sz w:val="32"/>
      <w:szCs w:val="20"/>
    </w:rPr>
  </w:style>
  <w:style w:type="paragraph" w:styleId="958" w:customStyle="1">
    <w:name w:val="标题 11"/>
    <w:basedOn w:val="959"/>
    <w:next w:val="959"/>
    <w:uiPriority w:val="0"/>
    <w:qFormat/>
    <w:pPr>
      <w:keepLines/>
      <w:keepNext/>
      <w:spacing w:before="340" w:after="330" w:line="578" w:lineRule="auto"/>
      <w:outlineLvl w:val="0"/>
    </w:pPr>
    <w:rPr>
      <w:b/>
      <w:bCs/>
      <w:sz w:val="44"/>
      <w:szCs w:val="44"/>
    </w:rPr>
  </w:style>
  <w:style w:type="paragraph" w:styleId="959" w:customStyle="1">
    <w:name w:val="正文13"/>
    <w:next w:val="9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0" w:customStyle="1">
    <w:name w:val="文本块1"/>
    <w:basedOn w:val="959"/>
    <w:uiPriority w:val="0"/>
    <w:qFormat/>
    <w:pPr>
      <w:ind w:left="420" w:right="33"/>
      <w:jc w:val="left"/>
    </w:pPr>
    <w:rPr>
      <w:sz w:val="24"/>
      <w:szCs w:val="20"/>
    </w:rPr>
  </w:style>
  <w:style w:type="paragraph" w:styleId="961" w:customStyle="1">
    <w:name w:val="正文首行缩进 21"/>
    <w:basedOn w:val="962"/>
    <w:next w:val="953"/>
    <w:uiPriority w:val="0"/>
    <w:qFormat/>
    <w:pPr>
      <w:ind w:firstLine="420"/>
    </w:pPr>
  </w:style>
  <w:style w:type="paragraph" w:styleId="962" w:customStyle="1">
    <w:name w:val="正文文本缩进1"/>
    <w:basedOn w:val="963"/>
    <w:next w:val="964"/>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963" w:customStyle="1">
    <w:name w:val="正文12"/>
    <w:next w:val="9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4" w:customStyle="1">
    <w:name w:val="寄信人地址1"/>
    <w:basedOn w:val="963"/>
    <w:uiPriority w:val="0"/>
    <w:qFormat/>
    <w:rPr>
      <w:rFonts w:ascii="Arial" w:hAnsi="Arial"/>
    </w:rPr>
  </w:style>
  <w:style w:type="paragraph" w:styleId="965" w:customStyle="1">
    <w:name w:val="目录 11"/>
    <w:basedOn w:val="956"/>
    <w:next w:val="956"/>
    <w:uiPriority w:val="0"/>
    <w:qFormat/>
    <w:pPr>
      <w:jc w:val="left"/>
      <w:spacing w:before="120" w:after="120"/>
    </w:pPr>
    <w:rPr>
      <w:rFonts w:ascii="Calibri" w:hAnsi="Calibri" w:eastAsia="宋体"/>
      <w:b/>
      <w:bCs/>
      <w:caps/>
      <w:sz w:val="20"/>
      <w:szCs w:val="20"/>
    </w:rPr>
  </w:style>
  <w:style w:type="paragraph" w:styleId="966" w:customStyle="1">
    <w:name w:val="BlockQuote1"/>
    <w:basedOn w:val="967"/>
    <w:uiPriority w:val="0"/>
    <w:qFormat/>
    <w:pPr>
      <w:ind w:left="256" w:right="6" w:firstLine="624"/>
    </w:pPr>
    <w:rPr>
      <w:rFonts w:eastAsia="仿宋_GB2312"/>
      <w:sz w:val="28"/>
    </w:rPr>
  </w:style>
  <w:style w:type="paragraph" w:styleId="967" w:customStyle="1">
    <w:name w:val="正文121"/>
    <w:next w:val="966"/>
    <w:uiPriority w:val="0"/>
    <w:qFormat/>
    <w:rPr>
      <w:rFonts w:hint="default" w:ascii="Times New Roman" w:hAnsi="Times New Roman" w:eastAsia="宋体" w:cs="Times New Roman"/>
    </w:rPr>
  </w:style>
  <w:style w:type="paragraph" w:styleId="968" w:customStyle="1">
    <w:name w:val="正文文本1"/>
    <w:basedOn w:val="956"/>
    <w:next w:val="969"/>
    <w:uiPriority w:val="0"/>
    <w:qFormat/>
    <w:pPr>
      <w:spacing w:after="120"/>
    </w:pPr>
    <w:rPr>
      <w:lang w:eastAsia="en-US"/>
    </w:rPr>
  </w:style>
  <w:style w:type="paragraph" w:styleId="969" w:customStyle="1">
    <w:name w:val="一级条标题"/>
    <w:basedOn w:val="970"/>
    <w:next w:val="95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0" w:customStyle="1">
    <w:name w:val="章标题"/>
    <w:basedOn w:val="942"/>
    <w:next w:val="94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71" w:customStyle="1">
    <w:name w:val="纯文本1"/>
    <w:basedOn w:val="956"/>
    <w:uiPriority w:val="0"/>
    <w:qFormat/>
    <w:rPr>
      <w:rFonts w:ascii="宋体" w:hAnsi="Courier New"/>
      <w:sz w:val="20"/>
      <w:szCs w:val="20"/>
    </w:rPr>
  </w:style>
  <w:style w:type="paragraph" w:styleId="972" w:customStyle="1">
    <w:name w:val="标题 41"/>
    <w:basedOn w:val="956"/>
    <w:next w:val="941"/>
    <w:uiPriority w:val="0"/>
    <w:qFormat/>
    <w:pPr>
      <w:ind w:left="864" w:hanging="864"/>
      <w:keepLines/>
      <w:keepNext/>
      <w:spacing w:before="280" w:after="290" w:line="376" w:lineRule="auto"/>
      <w:outlineLvl w:val="3"/>
    </w:pPr>
    <w:rPr>
      <w:rFonts w:ascii="Cambria" w:hAnsi="Cambria"/>
      <w:b/>
      <w:bCs/>
      <w:sz w:val="28"/>
      <w:szCs w:val="28"/>
    </w:rPr>
  </w:style>
  <w:style w:type="paragraph" w:styleId="973" w:customStyle="1">
    <w:name w:val="正文首行缩进 211"/>
    <w:basedOn w:val="974"/>
    <w:next w:val="967"/>
    <w:uiPriority w:val="0"/>
    <w:qFormat/>
    <w:pPr>
      <w:ind w:firstLine="420"/>
      <w:jc w:val="both"/>
    </w:pPr>
    <w:rPr>
      <w:lang w:val="en-US" w:eastAsia="en-US"/>
    </w:rPr>
  </w:style>
  <w:style w:type="paragraph" w:styleId="974" w:customStyle="1">
    <w:name w:val="正文文本缩进111"/>
    <w:basedOn w:val="967"/>
    <w:next w:val="975"/>
    <w:uiPriority w:val="0"/>
    <w:qFormat/>
    <w:pPr>
      <w:ind w:firstLine="538"/>
    </w:pPr>
    <w:rPr>
      <w:sz w:val="28"/>
    </w:rPr>
  </w:style>
  <w:style w:type="paragraph" w:styleId="975" w:customStyle="1">
    <w:name w:val="样式 正文文本缩进 + 首行缩进:  2 字符 行距: 1.5 倍行距"/>
    <w:basedOn w:val="962"/>
    <w:uiPriority w:val="0"/>
    <w:qFormat/>
    <w:pPr>
      <w:ind w:firstLine="645"/>
      <w:spacing w:before="156"/>
    </w:pPr>
    <w:rPr>
      <w:rFonts w:ascii="Calibri" w:hAnsi="Calibri"/>
      <w:sz w:val="28"/>
    </w:rPr>
  </w:style>
  <w:style w:type="paragraph" w:styleId="976" w:customStyle="1">
    <w:name w:val="表格文字"/>
    <w:basedOn w:val="963"/>
    <w:next w:val="955"/>
    <w:uiPriority w:val="0"/>
    <w:qFormat/>
    <w:pPr>
      <w:jc w:val="left"/>
    </w:pPr>
    <w:rPr>
      <w:bCs/>
      <w:spacing w:val="10"/>
      <w:sz w:val="20"/>
      <w:szCs w:val="20"/>
    </w:rPr>
  </w:style>
  <w:style w:type="paragraph" w:styleId="977" w:customStyle="1">
    <w:name w:val="脚注文本1"/>
    <w:basedOn w:val="959"/>
    <w:next w:val="978"/>
    <w:uiPriority w:val="0"/>
    <w:qFormat/>
    <w:rPr>
      <w:rFonts w:eastAsia="Times New Roman"/>
      <w:sz w:val="18"/>
      <w:szCs w:val="18"/>
    </w:rPr>
  </w:style>
  <w:style w:type="paragraph" w:styleId="978" w:customStyle="1">
    <w:name w:val="索引 51"/>
    <w:basedOn w:val="941"/>
    <w:next w:val="941"/>
    <w:uiPriority w:val="0"/>
    <w:qFormat/>
    <w:pPr>
      <w:ind w:left="798"/>
    </w:pPr>
    <w:rPr>
      <w:rFonts w:ascii="Calibri" w:hAnsi="Calibri"/>
    </w:rPr>
  </w:style>
  <w:style w:type="paragraph" w:styleId="979" w:customStyle="1">
    <w:name w:val="正文首行缩进1"/>
    <w:basedOn w:val="955"/>
    <w:next w:val="961"/>
    <w:uiPriority w:val="0"/>
    <w:qFormat/>
    <w:pPr>
      <w:ind w:firstLine="420"/>
      <w:spacing w:after="120"/>
    </w:pPr>
    <w:rPr>
      <w:rFonts w:ascii="Times New Roman" w:eastAsia="宋体"/>
      <w:sz w:val="24"/>
      <w:szCs w:val="24"/>
    </w:rPr>
  </w:style>
  <w:style w:type="paragraph" w:styleId="980" w:customStyle="1">
    <w:name w:val="列出段落1"/>
    <w:basedOn w:val="738"/>
    <w:uiPriority w:val="34"/>
    <w:qFormat/>
    <w:pPr>
      <w:ind w:left="480"/>
      <w:jc w:val="left"/>
    </w:pPr>
    <w:rPr>
      <w:rFonts w:ascii="Calibri" w:hAnsi="Calibri" w:eastAsia="PMingLiU"/>
      <w:sz w:val="24"/>
      <w:szCs w:val="20"/>
      <w:lang w:eastAsia="zh-TW"/>
    </w:rPr>
  </w:style>
  <w:style w:type="paragraph" w:styleId="981" w:customStyle="1">
    <w:name w:val="索引 411"/>
    <w:basedOn w:val="738"/>
    <w:next w:val="738"/>
    <w:uiPriority w:val="0"/>
    <w:qFormat/>
    <w:pPr>
      <w:ind w:left="1260"/>
    </w:pPr>
  </w:style>
  <w:style w:type="paragraph" w:styleId="982" w:customStyle="1">
    <w:name w:val="页眉1"/>
    <w:basedOn w:val="959"/>
    <w:uiPriority w:val="0"/>
    <w:qFormat/>
    <w:pPr>
      <w:jc w:val="center"/>
      <w:tabs>
        <w:tab w:val="center" w:pos="4153" w:leader="none"/>
        <w:tab w:val="right" w:pos="8306" w:leader="none"/>
      </w:tabs>
      <w:pBdr>
        <w:bottom w:val="single" w:color="000000" w:sz="6" w:space="1"/>
      </w:pBdr>
    </w:pPr>
    <w:rPr>
      <w:sz w:val="18"/>
      <w:szCs w:val="18"/>
    </w:rPr>
  </w:style>
  <w:style w:type="paragraph" w:styleId="983" w:customStyle="1">
    <w:name w:val="目录 12"/>
    <w:basedOn w:val="959"/>
    <w:next w:val="959"/>
    <w:uiPriority w:val="0"/>
    <w:qFormat/>
    <w:rPr>
      <w:sz w:val="20"/>
      <w:szCs w:val="20"/>
    </w:rPr>
  </w:style>
  <w:style w:type="paragraph" w:styleId="984" w:customStyle="1">
    <w:name w:val="首行缩进"/>
    <w:basedOn w:val="959"/>
    <w:next w:val="959"/>
    <w:uiPriority w:val="0"/>
    <w:qFormat/>
    <w:pPr>
      <w:ind w:firstLine="480"/>
      <w:spacing w:line="360" w:lineRule="auto"/>
    </w:pPr>
    <w:rPr>
      <w:rFonts w:ascii="宋体" w:hAnsi="宋体"/>
      <w:sz w:val="24"/>
    </w:rPr>
  </w:style>
  <w:style w:type="paragraph" w:styleId="985" w:customStyle="1">
    <w:name w:val="目录 111"/>
    <w:basedOn w:val="953"/>
    <w:next w:val="953"/>
    <w:uiPriority w:val="0"/>
    <w:qFormat/>
    <w:pPr>
      <w:jc w:val="left"/>
      <w:spacing w:after="100" w:line="259" w:lineRule="auto"/>
      <w:widowControl/>
    </w:pPr>
    <w:rPr>
      <w:rFonts w:ascii="Calibri" w:hAnsi="Calibri" w:eastAsia="宋体"/>
      <w:sz w:val="22"/>
      <w:szCs w:val="22"/>
    </w:rPr>
  </w:style>
  <w:style w:type="paragraph" w:styleId="986" w:customStyle="1">
    <w:name w:val="索引 41"/>
    <w:basedOn w:val="941"/>
    <w:next w:val="941"/>
    <w:uiPriority w:val="0"/>
    <w:qFormat/>
    <w:pPr>
      <w:ind w:left="600"/>
    </w:pPr>
    <w:rPr>
      <w:rFonts w:ascii="Calibri" w:hAnsi="Calibri"/>
      <w:sz w:val="22"/>
      <w:szCs w:val="22"/>
    </w:rPr>
  </w:style>
  <w:style w:type="table" w:styleId="987" w:customStyle="1">
    <w:name w:val="网格型11"/>
    <w:basedOn w:val="988"/>
    <w:uiPriority w:val="59"/>
    <w:qFormat/>
    <w:tblPr/>
  </w:style>
  <w:style w:type="table" w:styleId="988" w:customStyle="1">
    <w:name w:val="普通表格1"/>
    <w:uiPriority w:val="99"/>
    <w:unhideWhenUsed/>
    <w:qFormat/>
    <w:tblPr/>
  </w:style>
  <w:style w:type="table" w:styleId="989" w:customStyle="1">
    <w:name w:val="网格型1"/>
    <w:basedOn w:val="990"/>
    <w:uiPriority w:val="39"/>
    <w:qFormat/>
    <w:tblPr/>
  </w:style>
  <w:style w:type="table" w:styleId="990" w:customStyle="1">
    <w:name w:val="普通表格11"/>
    <w:uiPriority w:val="0"/>
    <w:semiHidden/>
    <w:qFormat/>
    <w:tbl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6</cp:revision>
  <dcterms:created xsi:type="dcterms:W3CDTF">2014-10-29T12:08:00Z</dcterms:created>
  <dcterms:modified xsi:type="dcterms:W3CDTF">2024-10-08T02:19:34Z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7C9D53E3EB2A49E8A210EC66359E09FE_12</vt:lpwstr>
  </property>
</Properties>
</file>